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footer1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2.xml" ContentType="application/vnd.openxmlformats-officedocument.wordprocessingml.footer+xml"/>
  <Override PartName="/word/header26.xml" ContentType="application/vnd.openxmlformats-officedocument.wordprocessingml.header+xml"/>
  <Override PartName="/word/footer23.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color w:val="FFFFFF" w:themeColor="background1"/>
          <w:sz w:val="20"/>
        </w:rPr>
        <w:id w:val="39943160"/>
        <w:docPartObj>
          <w:docPartGallery w:val="Cover Pages"/>
          <w:docPartUnique/>
        </w:docPartObj>
      </w:sdtPr>
      <w:sdtEndPr>
        <w:rPr>
          <w:color w:val="auto"/>
          <w:sz w:val="2"/>
        </w:rPr>
      </w:sdtEndPr>
      <w:sdtContent>
        <w:tbl>
          <w:tblPr>
            <w:tblW w:w="10773" w:type="dxa"/>
            <w:tblLayout w:type="fixed"/>
            <w:tblCellMar>
              <w:left w:w="0" w:type="dxa"/>
              <w:right w:w="0" w:type="dxa"/>
            </w:tblCellMar>
            <w:tblLook w:val="04A0" w:firstRow="1" w:lastRow="0" w:firstColumn="1" w:lastColumn="0" w:noHBand="0" w:noVBand="1"/>
          </w:tblPr>
          <w:tblGrid>
            <w:gridCol w:w="10773"/>
          </w:tblGrid>
          <w:tr w:rsidR="00C04FE4" w:rsidRPr="00C04FE4" w14:paraId="360A8E68" w14:textId="77777777" w:rsidTr="000463EC">
            <w:trPr>
              <w:trHeight w:hRule="exact" w:val="10772"/>
            </w:trPr>
            <w:tc>
              <w:tcPr>
                <w:tcW w:w="10773" w:type="dxa"/>
                <w:shd w:val="clear" w:color="auto" w:fill="auto"/>
              </w:tcPr>
              <w:p w14:paraId="69CB511E" w14:textId="77777777" w:rsidR="00C04FE4" w:rsidRPr="00C04FE4" w:rsidRDefault="00C04FE4" w:rsidP="000463EC">
                <w:pPr>
                  <w:pStyle w:val="CoverDate"/>
                  <w:rPr>
                    <w:color w:val="FFFFFF" w:themeColor="background1"/>
                  </w:rPr>
                </w:pPr>
              </w:p>
              <w:p w14:paraId="7E6715ED" w14:textId="77777777" w:rsidR="00831042" w:rsidRDefault="00831042" w:rsidP="00831042">
                <w:pPr>
                  <w:pStyle w:val="CoverHeading"/>
                  <w:jc w:val="left"/>
                  <w:rPr>
                    <w:noProof/>
                    <w:color w:val="FFFFFF" w:themeColor="background1"/>
                    <w:lang w:eastAsia="en-AU"/>
                  </w:rPr>
                </w:pPr>
              </w:p>
              <w:p w14:paraId="37F3E8A8" w14:textId="284F1F0E" w:rsidR="00C04FE4" w:rsidRPr="00C04FE4" w:rsidRDefault="00831042" w:rsidP="00831042">
                <w:pPr>
                  <w:pStyle w:val="CoverHeading"/>
                  <w:jc w:val="left"/>
                  <w:rPr>
                    <w:color w:val="FFFFFF" w:themeColor="background1"/>
                  </w:rPr>
                </w:pPr>
                <w:r w:rsidRPr="00831042">
                  <w:rPr>
                    <w:noProof/>
                    <w:color w:val="FFFFFF" w:themeColor="background1"/>
                    <w:lang w:eastAsia="en-AU"/>
                  </w:rPr>
                  <w:drawing>
                    <wp:inline distT="0" distB="0" distL="0" distR="0" wp14:anchorId="18A459CC" wp14:editId="4B9E9263">
                      <wp:extent cx="3735067" cy="795646"/>
                      <wp:effectExtent l="0" t="0" r="0" b="5080"/>
                      <wp:docPr id="12" name="Picture 12" descr="C:\Users\coffb\AppData\Local\Microsoft\Windows\Temporary Internet Files\Content.Outlook\Z1ZACWR8\CEWO_logo_inline_highRes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ffb\AppData\Local\Microsoft\Windows\Temporary Internet Files\Content.Outlook\Z1ZACWR8\CEWO_logo_inline_highRes (002).jpg"/>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3829461" cy="815754"/>
                              </a:xfrm>
                              <a:prstGeom prst="rect">
                                <a:avLst/>
                              </a:prstGeom>
                              <a:noFill/>
                              <a:ln>
                                <a:noFill/>
                              </a:ln>
                            </pic:spPr>
                          </pic:pic>
                        </a:graphicData>
                      </a:graphic>
                    </wp:inline>
                  </w:drawing>
                </w:r>
              </w:p>
              <w:p w14:paraId="1BA8CD8D" w14:textId="09B28320" w:rsidR="003E61E4" w:rsidRDefault="003E61E4" w:rsidP="003E61E4">
                <w:pPr>
                  <w:pStyle w:val="CoverHeading"/>
                  <w:jc w:val="left"/>
                  <w:rPr>
                    <w:noProof/>
                    <w:lang w:eastAsia="en-AU"/>
                  </w:rPr>
                </w:pPr>
              </w:p>
              <w:p w14:paraId="23313911" w14:textId="7D48A8A0" w:rsidR="00C04FE4" w:rsidRPr="00C04FE4" w:rsidRDefault="00C04FE4" w:rsidP="003E61E4">
                <w:pPr>
                  <w:pStyle w:val="CoverHeading"/>
                  <w:jc w:val="left"/>
                  <w:rPr>
                    <w:color w:val="FFFFFF" w:themeColor="background1"/>
                  </w:rPr>
                </w:pPr>
              </w:p>
              <w:p w14:paraId="381CBEC8" w14:textId="0E863B10" w:rsidR="00C04FE4" w:rsidRDefault="00C04FE4" w:rsidP="000463EC">
                <w:pPr>
                  <w:pStyle w:val="CoverHeading"/>
                  <w:rPr>
                    <w:color w:val="FFFFFF" w:themeColor="background1"/>
                  </w:rPr>
                </w:pPr>
              </w:p>
              <w:p w14:paraId="4E94873D" w14:textId="0652BC8E" w:rsidR="003E61E4" w:rsidRDefault="003E61E4" w:rsidP="003E61E4">
                <w:pPr>
                  <w:pStyle w:val="CoverSubheading"/>
                </w:pPr>
              </w:p>
              <w:p w14:paraId="3991C030" w14:textId="77777777" w:rsidR="003E61E4" w:rsidRPr="003E61E4" w:rsidRDefault="003E61E4" w:rsidP="003E61E4">
                <w:pPr>
                  <w:pStyle w:val="CoverSubheading"/>
                </w:pPr>
              </w:p>
              <w:p w14:paraId="54284ECB" w14:textId="77777777" w:rsidR="00DC793C" w:rsidRDefault="00C04FE4" w:rsidP="000463EC">
                <w:pPr>
                  <w:pStyle w:val="CoverHeading2"/>
                  <w:tabs>
                    <w:tab w:val="left" w:pos="9950"/>
                  </w:tabs>
                  <w:rPr>
                    <w:color w:val="65876D" w:themeColor="accent4" w:themeShade="BF"/>
                  </w:rPr>
                </w:pPr>
                <w:r w:rsidRPr="00C04FE4">
                  <w:rPr>
                    <w:color w:val="FFFFFF" w:themeColor="background1"/>
                  </w:rPr>
                  <w:br/>
                </w:r>
                <w:r w:rsidRPr="00EF3609">
                  <w:rPr>
                    <w:color w:val="65876D" w:themeColor="accent4" w:themeShade="BF"/>
                  </w:rPr>
                  <w:fldChar w:fldCharType="begin"/>
                </w:r>
                <w:r w:rsidRPr="00EF3609">
                  <w:rPr>
                    <w:color w:val="65876D" w:themeColor="accent4" w:themeShade="BF"/>
                  </w:rPr>
                  <w:instrText xml:space="preserve"> DOCPROPERTY  "Cover Heading"  \* MERGEFORMAT </w:instrText>
                </w:r>
                <w:r w:rsidRPr="00EF3609">
                  <w:rPr>
                    <w:color w:val="65876D" w:themeColor="accent4" w:themeShade="BF"/>
                  </w:rPr>
                  <w:fldChar w:fldCharType="separate"/>
                </w:r>
                <w:r w:rsidR="00FC4EC2">
                  <w:rPr>
                    <w:color w:val="65876D" w:themeColor="accent4" w:themeShade="BF"/>
                  </w:rPr>
                  <w:t>Black Box Management Framework</w:t>
                </w:r>
                <w:r w:rsidRPr="00EF3609">
                  <w:rPr>
                    <w:color w:val="65876D" w:themeColor="accent4" w:themeShade="BF"/>
                  </w:rPr>
                  <w:fldChar w:fldCharType="end"/>
                </w:r>
                <w:bookmarkStart w:id="0" w:name="starthere"/>
                <w:bookmarkEnd w:id="0"/>
                <w:r w:rsidR="00A237E6">
                  <w:rPr>
                    <w:color w:val="65876D" w:themeColor="accent4" w:themeShade="BF"/>
                  </w:rPr>
                  <w:t>:</w:t>
                </w:r>
              </w:p>
              <w:p w14:paraId="41CFD2F3" w14:textId="6869187B" w:rsidR="00C04FE4" w:rsidRPr="00EF3609" w:rsidRDefault="00A237E6" w:rsidP="000463EC">
                <w:pPr>
                  <w:pStyle w:val="CoverHeading2"/>
                  <w:tabs>
                    <w:tab w:val="left" w:pos="9950"/>
                  </w:tabs>
                  <w:rPr>
                    <w:color w:val="65876D" w:themeColor="accent4" w:themeShade="BF"/>
                  </w:rPr>
                </w:pPr>
                <w:r>
                  <w:rPr>
                    <w:color w:val="65876D" w:themeColor="accent4" w:themeShade="BF"/>
                  </w:rPr>
                  <w:t xml:space="preserve">A Framework for Managing </w:t>
                </w:r>
                <w:r w:rsidR="00D774B4">
                  <w:rPr>
                    <w:color w:val="65876D" w:themeColor="accent4" w:themeShade="BF"/>
                  </w:rPr>
                  <w:t>Floodplain</w:t>
                </w:r>
                <w:r w:rsidR="005C2DE7">
                  <w:rPr>
                    <w:color w:val="65876D" w:themeColor="accent4" w:themeShade="BF"/>
                  </w:rPr>
                  <w:t xml:space="preserve"> and Wetland</w:t>
                </w:r>
                <w:r w:rsidR="00D774B4">
                  <w:rPr>
                    <w:color w:val="65876D" w:themeColor="accent4" w:themeShade="BF"/>
                  </w:rPr>
                  <w:t xml:space="preserve"> </w:t>
                </w:r>
                <w:r w:rsidR="00DC793C">
                  <w:rPr>
                    <w:color w:val="65876D" w:themeColor="accent4" w:themeShade="BF"/>
                  </w:rPr>
                  <w:t xml:space="preserve">Black Box Eucalypts </w:t>
                </w:r>
                <w:r w:rsidR="00D774B4">
                  <w:rPr>
                    <w:color w:val="65876D" w:themeColor="accent4" w:themeShade="BF"/>
                  </w:rPr>
                  <w:t xml:space="preserve">in the </w:t>
                </w:r>
                <w:r w:rsidR="00DC793C">
                  <w:rPr>
                    <w:color w:val="65876D" w:themeColor="accent4" w:themeShade="BF"/>
                  </w:rPr>
                  <w:t>Murray-Darling Basin</w:t>
                </w:r>
                <w:r>
                  <w:rPr>
                    <w:color w:val="65876D" w:themeColor="accent4" w:themeShade="BF"/>
                  </w:rPr>
                  <w:t xml:space="preserve"> </w:t>
                </w:r>
              </w:p>
              <w:p w14:paraId="5CDC9B61" w14:textId="5A8FD848" w:rsidR="00C04FE4" w:rsidRPr="00EF3609" w:rsidRDefault="00C04FE4" w:rsidP="000463EC">
                <w:pPr>
                  <w:pStyle w:val="CoverTitle"/>
                  <w:rPr>
                    <w:color w:val="65876D" w:themeColor="accent4" w:themeShade="BF"/>
                  </w:rPr>
                </w:pPr>
                <w:r w:rsidRPr="00EF3609">
                  <w:rPr>
                    <w:color w:val="65876D" w:themeColor="accent4" w:themeShade="BF"/>
                  </w:rPr>
                  <w:fldChar w:fldCharType="begin"/>
                </w:r>
                <w:r w:rsidRPr="00EF3609">
                  <w:rPr>
                    <w:color w:val="65876D" w:themeColor="accent4" w:themeShade="BF"/>
                  </w:rPr>
                  <w:instrText xml:space="preserve"> DOCPROPERTY  "Cover Subheading"  \* MERGEFORMAT </w:instrText>
                </w:r>
                <w:r w:rsidRPr="00EF3609">
                  <w:rPr>
                    <w:color w:val="65876D" w:themeColor="accent4" w:themeShade="BF"/>
                  </w:rPr>
                  <w:fldChar w:fldCharType="separate"/>
                </w:r>
                <w:r w:rsidR="00FC4EC2">
                  <w:rPr>
                    <w:color w:val="65876D" w:themeColor="accent4" w:themeShade="BF"/>
                  </w:rPr>
                  <w:t xml:space="preserve"> </w:t>
                </w:r>
                <w:r w:rsidRPr="00EF3609">
                  <w:rPr>
                    <w:color w:val="65876D" w:themeColor="accent4" w:themeShade="BF"/>
                  </w:rPr>
                  <w:fldChar w:fldCharType="end"/>
                </w:r>
              </w:p>
              <w:p w14:paraId="1641AFAF" w14:textId="77777777" w:rsidR="00C04FE4" w:rsidRPr="00C04FE4" w:rsidRDefault="00C04FE4" w:rsidP="000463EC">
                <w:pPr>
                  <w:pStyle w:val="CoverDate2"/>
                </w:pPr>
              </w:p>
              <w:p w14:paraId="4800E613" w14:textId="29266264" w:rsidR="00C04FE4" w:rsidRPr="00C04FE4" w:rsidRDefault="00777F86" w:rsidP="000463EC">
                <w:pPr>
                  <w:pStyle w:val="CoverDate2"/>
                </w:pPr>
                <w:r>
                  <w:t>June</w:t>
                </w:r>
                <w:r w:rsidR="00110367" w:rsidRPr="00C76F3D">
                  <w:t xml:space="preserve"> 2018</w:t>
                </w:r>
              </w:p>
              <w:p w14:paraId="65874F93" w14:textId="361530F0" w:rsidR="00C04FE4" w:rsidRDefault="00C04FE4" w:rsidP="000463EC">
                <w:pPr>
                  <w:pStyle w:val="CoverDate2"/>
                </w:pPr>
              </w:p>
              <w:p w14:paraId="6603284C" w14:textId="2D420D50" w:rsidR="003E61E4" w:rsidRDefault="003E61E4" w:rsidP="000463EC">
                <w:pPr>
                  <w:pStyle w:val="CoverDate2"/>
                </w:pPr>
              </w:p>
              <w:p w14:paraId="5A058496" w14:textId="242319FB" w:rsidR="003E61E4" w:rsidRDefault="003E61E4" w:rsidP="000463EC">
                <w:pPr>
                  <w:pStyle w:val="CoverDate2"/>
                </w:pPr>
              </w:p>
              <w:p w14:paraId="6D4C6BAF" w14:textId="65827150" w:rsidR="003E61E4" w:rsidRDefault="003E61E4" w:rsidP="000463EC">
                <w:pPr>
                  <w:pStyle w:val="CoverDate2"/>
                </w:pPr>
              </w:p>
              <w:p w14:paraId="593A5C05" w14:textId="5841E6F9" w:rsidR="003E61E4" w:rsidRDefault="00831042" w:rsidP="000463EC">
                <w:pPr>
                  <w:pStyle w:val="CoverDate2"/>
                </w:pPr>
                <w:r w:rsidRPr="00D319A8">
                  <w:rPr>
                    <w:noProof/>
                    <w:color w:val="FFFFFF" w:themeColor="background1"/>
                    <w:lang w:eastAsia="en-AU"/>
                  </w:rPr>
                  <w:drawing>
                    <wp:anchor distT="0" distB="0" distL="114300" distR="114300" simplePos="0" relativeHeight="251687936" behindDoc="0" locked="0" layoutInCell="1" allowOverlap="1" wp14:anchorId="00151BE8" wp14:editId="65C8FF0A">
                      <wp:simplePos x="0" y="0"/>
                      <wp:positionH relativeFrom="column">
                        <wp:posOffset>74930</wp:posOffset>
                      </wp:positionH>
                      <wp:positionV relativeFrom="paragraph">
                        <wp:posOffset>134430</wp:posOffset>
                      </wp:positionV>
                      <wp:extent cx="6268720" cy="3255010"/>
                      <wp:effectExtent l="0" t="0" r="0" b="2540"/>
                      <wp:wrapNone/>
                      <wp:docPr id="1130" name="Picture 1130" descr="J:\IE\Projects\06_Central West\IW154200\21 Deliverables\030 Calperum Case Study\Photos-FieldTrip1\DSC_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IE\Projects\06_Central West\IW154200\21 Deliverables\030 Calperum Case Study\Photos-FieldTrip1\DSC_7344.JPG"/>
                              <pic:cNvPicPr>
                                <a:picLocks noChangeAspect="1" noChangeArrowheads="1"/>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6268720" cy="3255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B3EFA8" w14:textId="0CFA885A" w:rsidR="003E61E4" w:rsidRDefault="003E61E4" w:rsidP="003E61E4">
                <w:pPr>
                  <w:pStyle w:val="CoverDate2"/>
                  <w:jc w:val="left"/>
                </w:pPr>
              </w:p>
              <w:p w14:paraId="7F92BA5E" w14:textId="74976FCE" w:rsidR="009D463B" w:rsidRDefault="009D463B" w:rsidP="003E61E4">
                <w:pPr>
                  <w:pStyle w:val="CoverDate2"/>
                </w:pPr>
              </w:p>
              <w:p w14:paraId="1304B118" w14:textId="7808BDDC" w:rsidR="00F03AC4" w:rsidRPr="00C04FE4" w:rsidRDefault="00F03AC4" w:rsidP="000463EC">
                <w:pPr>
                  <w:pStyle w:val="CoverDate2"/>
                </w:pPr>
              </w:p>
            </w:tc>
          </w:tr>
          <w:tr w:rsidR="00C04FE4" w:rsidRPr="00C04FE4" w14:paraId="6D5A2C60" w14:textId="77777777" w:rsidTr="000463EC">
            <w:trPr>
              <w:trHeight w:hRule="exact" w:val="4820"/>
            </w:trPr>
            <w:tc>
              <w:tcPr>
                <w:tcW w:w="10773" w:type="dxa"/>
                <w:shd w:val="clear" w:color="auto" w:fill="auto"/>
              </w:tcPr>
              <w:p w14:paraId="4E05F775" w14:textId="6460A41F" w:rsidR="00C04FE4" w:rsidRPr="00C04FE4" w:rsidRDefault="00C04FE4" w:rsidP="000463EC">
                <w:pPr>
                  <w:pStyle w:val="ClientName"/>
                  <w:spacing w:after="0" w:line="240" w:lineRule="auto"/>
                  <w:rPr>
                    <w:color w:val="FFFFFF" w:themeColor="background1"/>
                    <w:sz w:val="2"/>
                  </w:rPr>
                </w:pPr>
                <w:r w:rsidRPr="00C04FE4">
                  <w:rPr>
                    <w:color w:val="FFFFFF" w:themeColor="background1"/>
                    <w:sz w:val="2"/>
                  </w:rPr>
                  <w:fldChar w:fldCharType="begin"/>
                </w:r>
                <w:r w:rsidRPr="00C04FE4">
                  <w:rPr>
                    <w:color w:val="FFFFFF" w:themeColor="background1"/>
                    <w:sz w:val="2"/>
                  </w:rPr>
                  <w:instrText xml:space="preserve"> DOCPROPERTY  "Document Title"  \* MERGEFORMAT </w:instrText>
                </w:r>
                <w:r w:rsidRPr="00C04FE4">
                  <w:rPr>
                    <w:color w:val="FFFFFF" w:themeColor="background1"/>
                    <w:sz w:val="2"/>
                  </w:rPr>
                  <w:fldChar w:fldCharType="separate"/>
                </w:r>
                <w:r w:rsidR="00FC4EC2">
                  <w:rPr>
                    <w:color w:val="FFFFFF" w:themeColor="background1"/>
                    <w:sz w:val="2"/>
                  </w:rPr>
                  <w:t xml:space="preserve"> </w:t>
                </w:r>
                <w:r w:rsidRPr="00C04FE4">
                  <w:rPr>
                    <w:color w:val="FFFFFF" w:themeColor="background1"/>
                    <w:sz w:val="2"/>
                  </w:rPr>
                  <w:fldChar w:fldCharType="end"/>
                </w:r>
              </w:p>
              <w:p w14:paraId="55F32EE0" w14:textId="77777777" w:rsidR="00C04FE4" w:rsidRPr="00C04FE4" w:rsidRDefault="00C04FE4" w:rsidP="000463EC">
                <w:pPr>
                  <w:pStyle w:val="ClientName"/>
                  <w:spacing w:after="0" w:line="240" w:lineRule="auto"/>
                  <w:rPr>
                    <w:color w:val="FFFFFF" w:themeColor="background1"/>
                  </w:rPr>
                </w:pPr>
                <w:r w:rsidRPr="00C04FE4">
                  <w:rPr>
                    <w:color w:val="FFFFFF" w:themeColor="background1"/>
                    <w:sz w:val="2"/>
                  </w:rPr>
                  <w:fldChar w:fldCharType="begin"/>
                </w:r>
                <w:r w:rsidRPr="00C04FE4">
                  <w:rPr>
                    <w:color w:val="FFFFFF" w:themeColor="background1"/>
                    <w:sz w:val="2"/>
                  </w:rPr>
                  <w:instrText xml:space="preserve"> DOCPROPERTY  "Client Name"  \* MERGEFORMAT </w:instrText>
                </w:r>
                <w:r w:rsidRPr="00C04FE4">
                  <w:rPr>
                    <w:color w:val="FFFFFF" w:themeColor="background1"/>
                    <w:sz w:val="2"/>
                  </w:rPr>
                  <w:fldChar w:fldCharType="separate"/>
                </w:r>
                <w:r w:rsidR="00FC4EC2">
                  <w:rPr>
                    <w:color w:val="FFFFFF" w:themeColor="background1"/>
                    <w:sz w:val="2"/>
                  </w:rPr>
                  <w:t>Commonwealth Environmental Water Office</w:t>
                </w:r>
                <w:r w:rsidRPr="00C04FE4">
                  <w:rPr>
                    <w:color w:val="FFFFFF" w:themeColor="background1"/>
                    <w:sz w:val="2"/>
                  </w:rPr>
                  <w:fldChar w:fldCharType="end"/>
                </w:r>
              </w:p>
            </w:tc>
          </w:tr>
        </w:tbl>
        <w:p w14:paraId="37655962" w14:textId="77777777" w:rsidR="00C04FE4" w:rsidRPr="00C04FE4" w:rsidRDefault="005C788A" w:rsidP="000463EC">
          <w:pPr>
            <w:pStyle w:val="Para0"/>
            <w:spacing w:before="0" w:after="0" w:line="240" w:lineRule="auto"/>
            <w:rPr>
              <w:sz w:val="2"/>
            </w:rPr>
            <w:sectPr w:rsidR="00C04FE4" w:rsidRPr="00C04FE4" w:rsidSect="00D03F73">
              <w:headerReference w:type="default" r:id="rId9"/>
              <w:footerReference w:type="default" r:id="rId10"/>
              <w:headerReference w:type="first" r:id="rId11"/>
              <w:footerReference w:type="first" r:id="rId12"/>
              <w:pgSz w:w="11901" w:h="16840" w:code="9"/>
              <w:pgMar w:top="567" w:right="567" w:bottom="567" w:left="567" w:header="567" w:footer="369" w:gutter="0"/>
              <w:cols w:space="0"/>
              <w:formProt w:val="0"/>
              <w:docGrid w:linePitch="360"/>
            </w:sectPr>
          </w:pPr>
        </w:p>
      </w:sdtContent>
    </w:sdt>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983"/>
        <w:gridCol w:w="7933"/>
      </w:tblGrid>
      <w:tr w:rsidR="00C04FE4" w:rsidRPr="00C04FE4" w14:paraId="42A567C2" w14:textId="77777777" w:rsidTr="000463EC">
        <w:trPr>
          <w:trHeight w:hRule="exact" w:val="683"/>
        </w:trPr>
        <w:tc>
          <w:tcPr>
            <w:tcW w:w="5000" w:type="pct"/>
            <w:gridSpan w:val="2"/>
          </w:tcPr>
          <w:p w14:paraId="4622DDD7" w14:textId="77777777" w:rsidR="00C04FE4" w:rsidRPr="00C04FE4" w:rsidRDefault="00C04FE4" w:rsidP="000463EC">
            <w:pPr>
              <w:pStyle w:val="ProjectName"/>
            </w:pPr>
            <w:r w:rsidRPr="00EF3609">
              <w:rPr>
                <w:color w:val="65876D" w:themeColor="accent4" w:themeShade="BF"/>
              </w:rPr>
              <w:lastRenderedPageBreak/>
              <w:fldChar w:fldCharType="begin"/>
            </w:r>
            <w:r w:rsidRPr="00EF3609">
              <w:rPr>
                <w:color w:val="65876D" w:themeColor="accent4" w:themeShade="BF"/>
              </w:rPr>
              <w:instrText xml:space="preserve"> DOCPROPERTY  "Project Name"  \* MERGEFORMAT </w:instrText>
            </w:r>
            <w:r w:rsidRPr="00EF3609">
              <w:rPr>
                <w:color w:val="65876D" w:themeColor="accent4" w:themeShade="BF"/>
              </w:rPr>
              <w:fldChar w:fldCharType="separate"/>
            </w:r>
            <w:r w:rsidR="00FC4EC2">
              <w:rPr>
                <w:color w:val="65876D" w:themeColor="accent4" w:themeShade="BF"/>
              </w:rPr>
              <w:t xml:space="preserve">Black </w:t>
            </w:r>
            <w:r w:rsidR="00FC4EC2" w:rsidRPr="00170A62">
              <w:rPr>
                <w:color w:val="65876D" w:themeColor="accent4" w:themeShade="BF"/>
              </w:rPr>
              <w:t>Box</w:t>
            </w:r>
            <w:r w:rsidR="00FC4EC2">
              <w:rPr>
                <w:color w:val="65876D" w:themeColor="accent4" w:themeShade="BF"/>
              </w:rPr>
              <w:t xml:space="preserve"> Management Framework</w:t>
            </w:r>
            <w:r w:rsidRPr="00EF3609">
              <w:rPr>
                <w:color w:val="65876D" w:themeColor="accent4" w:themeShade="BF"/>
              </w:rPr>
              <w:fldChar w:fldCharType="end"/>
            </w:r>
          </w:p>
        </w:tc>
      </w:tr>
      <w:tr w:rsidR="00C04FE4" w:rsidRPr="00DA18B2" w14:paraId="53E4A500" w14:textId="77777777" w:rsidTr="000463EC">
        <w:trPr>
          <w:trHeight w:val="284"/>
        </w:trPr>
        <w:tc>
          <w:tcPr>
            <w:tcW w:w="1000" w:type="pct"/>
          </w:tcPr>
          <w:p w14:paraId="5E8A5178" w14:textId="77777777" w:rsidR="00C04FE4" w:rsidRPr="00DA18B2" w:rsidRDefault="00C04FE4" w:rsidP="000463EC">
            <w:pPr>
              <w:pStyle w:val="Tabletext"/>
              <w:spacing w:before="0"/>
              <w:rPr>
                <w:szCs w:val="20"/>
              </w:rPr>
            </w:pPr>
            <w:r w:rsidRPr="00DA18B2">
              <w:rPr>
                <w:szCs w:val="20"/>
              </w:rPr>
              <w:t>Project No:</w:t>
            </w:r>
          </w:p>
        </w:tc>
        <w:tc>
          <w:tcPr>
            <w:tcW w:w="4000" w:type="pct"/>
          </w:tcPr>
          <w:p w14:paraId="7B645A2F" w14:textId="44DC0161" w:rsidR="00C04FE4" w:rsidRPr="00DA18B2" w:rsidRDefault="00110367" w:rsidP="000463EC">
            <w:pPr>
              <w:pStyle w:val="ProjectNo"/>
              <w:rPr>
                <w:szCs w:val="20"/>
              </w:rPr>
            </w:pPr>
            <w:r>
              <w:rPr>
                <w:szCs w:val="20"/>
              </w:rPr>
              <w:t>IW154200</w:t>
            </w:r>
          </w:p>
        </w:tc>
      </w:tr>
      <w:tr w:rsidR="00C04FE4" w:rsidRPr="00DA18B2" w14:paraId="44BA4E2E" w14:textId="77777777" w:rsidTr="000463EC">
        <w:trPr>
          <w:trHeight w:val="284"/>
        </w:trPr>
        <w:tc>
          <w:tcPr>
            <w:tcW w:w="1000" w:type="pct"/>
          </w:tcPr>
          <w:p w14:paraId="059AC872" w14:textId="77777777" w:rsidR="00C04FE4" w:rsidRPr="00DA18B2" w:rsidRDefault="00C04FE4" w:rsidP="000463EC">
            <w:pPr>
              <w:pStyle w:val="Tabletext"/>
              <w:spacing w:before="0"/>
              <w:rPr>
                <w:szCs w:val="20"/>
              </w:rPr>
            </w:pPr>
            <w:r w:rsidRPr="00DA18B2">
              <w:rPr>
                <w:szCs w:val="20"/>
              </w:rPr>
              <w:t>Document Title:</w:t>
            </w:r>
          </w:p>
        </w:tc>
        <w:tc>
          <w:tcPr>
            <w:tcW w:w="4000" w:type="pct"/>
          </w:tcPr>
          <w:p w14:paraId="1E086FEB" w14:textId="3CBE57FC" w:rsidR="00C04FE4" w:rsidRPr="00DA18B2" w:rsidRDefault="005972ED" w:rsidP="00ED088F">
            <w:pPr>
              <w:pStyle w:val="DocumentTitle"/>
              <w:rPr>
                <w:szCs w:val="20"/>
              </w:rPr>
            </w:pPr>
            <w:r w:rsidRPr="00DA18B2">
              <w:rPr>
                <w:szCs w:val="20"/>
              </w:rPr>
              <w:t xml:space="preserve">Black Box Management Framework </w:t>
            </w:r>
          </w:p>
        </w:tc>
      </w:tr>
      <w:tr w:rsidR="00C04FE4" w:rsidRPr="00DA18B2" w14:paraId="37067F46" w14:textId="77777777" w:rsidTr="000463EC">
        <w:trPr>
          <w:trHeight w:val="284"/>
        </w:trPr>
        <w:tc>
          <w:tcPr>
            <w:tcW w:w="1000" w:type="pct"/>
          </w:tcPr>
          <w:p w14:paraId="0F267872" w14:textId="77777777" w:rsidR="00C04FE4" w:rsidRPr="001D6E30" w:rsidRDefault="00C04FE4" w:rsidP="000463EC">
            <w:pPr>
              <w:pStyle w:val="Tabletext"/>
              <w:spacing w:before="0"/>
              <w:rPr>
                <w:szCs w:val="20"/>
              </w:rPr>
            </w:pPr>
            <w:r w:rsidRPr="001D6E30">
              <w:rPr>
                <w:szCs w:val="20"/>
              </w:rPr>
              <w:t>Date:</w:t>
            </w:r>
          </w:p>
        </w:tc>
        <w:tc>
          <w:tcPr>
            <w:tcW w:w="4000" w:type="pct"/>
          </w:tcPr>
          <w:p w14:paraId="51E771D3" w14:textId="3723423B" w:rsidR="00C04FE4" w:rsidRPr="003F2534" w:rsidRDefault="00777F86" w:rsidP="003F2534">
            <w:pPr>
              <w:pStyle w:val="Tabletext"/>
              <w:spacing w:before="0"/>
              <w:rPr>
                <w:szCs w:val="20"/>
              </w:rPr>
            </w:pPr>
            <w:r>
              <w:rPr>
                <w:szCs w:val="20"/>
              </w:rPr>
              <w:t>June</w:t>
            </w:r>
            <w:r w:rsidR="003F2534" w:rsidRPr="003F2534">
              <w:rPr>
                <w:szCs w:val="20"/>
              </w:rPr>
              <w:t xml:space="preserve"> </w:t>
            </w:r>
            <w:r w:rsidR="00ED088F" w:rsidRPr="003F2534">
              <w:rPr>
                <w:szCs w:val="20"/>
              </w:rPr>
              <w:t>201</w:t>
            </w:r>
            <w:r w:rsidR="00110367" w:rsidRPr="003F2534">
              <w:rPr>
                <w:szCs w:val="20"/>
              </w:rPr>
              <w:t>8</w:t>
            </w:r>
          </w:p>
        </w:tc>
      </w:tr>
      <w:tr w:rsidR="00C04FE4" w:rsidRPr="00DA18B2" w14:paraId="32A824BB" w14:textId="77777777" w:rsidTr="000463EC">
        <w:trPr>
          <w:trHeight w:val="284"/>
        </w:trPr>
        <w:tc>
          <w:tcPr>
            <w:tcW w:w="1000" w:type="pct"/>
          </w:tcPr>
          <w:p w14:paraId="44F728F0" w14:textId="77777777" w:rsidR="00C04FE4" w:rsidRPr="00DA18B2" w:rsidRDefault="00C04FE4" w:rsidP="000463EC">
            <w:pPr>
              <w:pStyle w:val="Tabletext"/>
              <w:spacing w:before="0"/>
              <w:rPr>
                <w:szCs w:val="20"/>
              </w:rPr>
            </w:pPr>
            <w:r w:rsidRPr="00DA18B2">
              <w:rPr>
                <w:szCs w:val="20"/>
              </w:rPr>
              <w:t>Author</w:t>
            </w:r>
            <w:r w:rsidR="00A344B5" w:rsidRPr="00DA18B2">
              <w:rPr>
                <w:szCs w:val="20"/>
              </w:rPr>
              <w:t>s</w:t>
            </w:r>
            <w:r w:rsidRPr="00DA18B2">
              <w:rPr>
                <w:szCs w:val="20"/>
              </w:rPr>
              <w:t>:</w:t>
            </w:r>
          </w:p>
        </w:tc>
        <w:tc>
          <w:tcPr>
            <w:tcW w:w="4000" w:type="pct"/>
          </w:tcPr>
          <w:p w14:paraId="58EA616B" w14:textId="4D864F32" w:rsidR="00C04FE4" w:rsidRPr="00DA18B2" w:rsidRDefault="00110367" w:rsidP="005972ED">
            <w:pPr>
              <w:pStyle w:val="Tabletext"/>
              <w:spacing w:before="0"/>
              <w:rPr>
                <w:szCs w:val="20"/>
              </w:rPr>
            </w:pPr>
            <w:r>
              <w:rPr>
                <w:szCs w:val="20"/>
              </w:rPr>
              <w:t>Ian Overton</w:t>
            </w:r>
            <w:r w:rsidR="00EA593C">
              <w:rPr>
                <w:szCs w:val="20"/>
              </w:rPr>
              <w:t xml:space="preserve"> </w:t>
            </w:r>
            <w:r>
              <w:rPr>
                <w:szCs w:val="20"/>
              </w:rPr>
              <w:t>/</w:t>
            </w:r>
            <w:r w:rsidR="00EA593C">
              <w:rPr>
                <w:szCs w:val="20"/>
              </w:rPr>
              <w:t xml:space="preserve"> Brittany Coff / </w:t>
            </w:r>
            <w:r>
              <w:rPr>
                <w:szCs w:val="20"/>
              </w:rPr>
              <w:t>Daniel Mollison</w:t>
            </w:r>
            <w:r w:rsidR="00EA593C">
              <w:rPr>
                <w:szCs w:val="20"/>
              </w:rPr>
              <w:t xml:space="preserve"> </w:t>
            </w:r>
            <w:r>
              <w:rPr>
                <w:szCs w:val="20"/>
              </w:rPr>
              <w:t>/</w:t>
            </w:r>
            <w:r w:rsidR="00EA593C">
              <w:rPr>
                <w:szCs w:val="20"/>
              </w:rPr>
              <w:t xml:space="preserve"> </w:t>
            </w:r>
            <w:r w:rsidR="005972ED" w:rsidRPr="00DA18B2">
              <w:rPr>
                <w:szCs w:val="20"/>
              </w:rPr>
              <w:t>Rowan Barling / Katie Fels</w:t>
            </w:r>
            <w:r w:rsidR="00EA593C">
              <w:rPr>
                <w:szCs w:val="20"/>
              </w:rPr>
              <w:t xml:space="preserve"> / Andrew Boyd</w:t>
            </w:r>
            <w:r w:rsidR="005972ED" w:rsidRPr="00DA18B2">
              <w:rPr>
                <w:szCs w:val="20"/>
              </w:rPr>
              <w:t xml:space="preserve"> (with assistance from the Black Box Working Group)</w:t>
            </w:r>
          </w:p>
        </w:tc>
      </w:tr>
      <w:tr w:rsidR="00C04FE4" w:rsidRPr="00DA18B2" w14:paraId="3E30CA02" w14:textId="77777777" w:rsidTr="000463EC">
        <w:trPr>
          <w:trHeight w:val="284"/>
        </w:trPr>
        <w:tc>
          <w:tcPr>
            <w:tcW w:w="1000" w:type="pct"/>
          </w:tcPr>
          <w:p w14:paraId="7795F21F" w14:textId="7079DDE2" w:rsidR="00C04FE4" w:rsidRPr="00DA18B2" w:rsidRDefault="00C04FE4" w:rsidP="000463EC">
            <w:pPr>
              <w:pStyle w:val="Tabletext"/>
              <w:spacing w:before="0"/>
              <w:rPr>
                <w:szCs w:val="20"/>
              </w:rPr>
            </w:pPr>
          </w:p>
        </w:tc>
        <w:tc>
          <w:tcPr>
            <w:tcW w:w="4000" w:type="pct"/>
          </w:tcPr>
          <w:p w14:paraId="343707BE" w14:textId="77777777" w:rsidR="00A344B5" w:rsidRPr="00DA18B2" w:rsidRDefault="00A344B5" w:rsidP="000463EC">
            <w:pPr>
              <w:pStyle w:val="Tabletext"/>
              <w:spacing w:before="0"/>
              <w:rPr>
                <w:szCs w:val="20"/>
              </w:rPr>
            </w:pPr>
          </w:p>
        </w:tc>
      </w:tr>
      <w:tr w:rsidR="00C04FE4" w:rsidRPr="00DA18B2" w14:paraId="6FFE4B5D" w14:textId="77777777" w:rsidTr="000463EC">
        <w:trPr>
          <w:trHeight w:hRule="exact" w:val="122"/>
        </w:trPr>
        <w:tc>
          <w:tcPr>
            <w:tcW w:w="5000" w:type="pct"/>
            <w:gridSpan w:val="2"/>
          </w:tcPr>
          <w:p w14:paraId="70C27B3A" w14:textId="77777777" w:rsidR="00C04FE4" w:rsidRPr="00DA18B2" w:rsidRDefault="00C04FE4" w:rsidP="000463EC">
            <w:pPr>
              <w:pStyle w:val="Tabletext"/>
              <w:rPr>
                <w:szCs w:val="20"/>
              </w:rPr>
            </w:pPr>
          </w:p>
        </w:tc>
      </w:tr>
      <w:tr w:rsidR="00C04FE4" w:rsidRPr="00DA18B2" w14:paraId="7C5555B6" w14:textId="77777777" w:rsidTr="000463EC">
        <w:trPr>
          <w:trHeight w:val="2278"/>
        </w:trPr>
        <w:tc>
          <w:tcPr>
            <w:tcW w:w="5000" w:type="pct"/>
            <w:gridSpan w:val="2"/>
          </w:tcPr>
          <w:p w14:paraId="099E3330" w14:textId="0548B876" w:rsidR="00C04FE4" w:rsidRPr="00DA18B2" w:rsidRDefault="00395166" w:rsidP="000463EC">
            <w:pPr>
              <w:pStyle w:val="Tabletext"/>
              <w:spacing w:before="0" w:after="0"/>
              <w:rPr>
                <w:color w:val="000000" w:themeColor="text1"/>
                <w:szCs w:val="20"/>
              </w:rPr>
            </w:pPr>
            <w:r w:rsidRPr="00DA18B2">
              <w:rPr>
                <w:color w:val="000000" w:themeColor="text1"/>
                <w:szCs w:val="20"/>
              </w:rPr>
              <w:fldChar w:fldCharType="begin"/>
            </w:r>
            <w:r w:rsidRPr="00DA18B2">
              <w:rPr>
                <w:color w:val="000000" w:themeColor="text1"/>
                <w:szCs w:val="20"/>
              </w:rPr>
              <w:instrText xml:space="preserve"> DOCVARIABLE  EntityOnly  \* MERGEFORMAT </w:instrText>
            </w:r>
            <w:r w:rsidRPr="00DA18B2">
              <w:rPr>
                <w:color w:val="000000" w:themeColor="text1"/>
                <w:szCs w:val="20"/>
              </w:rPr>
              <w:fldChar w:fldCharType="separate"/>
            </w:r>
            <w:r w:rsidR="00FC4EC2" w:rsidRPr="00DA18B2">
              <w:rPr>
                <w:color w:val="000000" w:themeColor="text1"/>
                <w:szCs w:val="20"/>
              </w:rPr>
              <w:t>Jacobs Group (Australia) Pty Limited</w:t>
            </w:r>
            <w:r w:rsidRPr="00DA18B2">
              <w:rPr>
                <w:color w:val="000000" w:themeColor="text1"/>
                <w:szCs w:val="20"/>
              </w:rPr>
              <w:fldChar w:fldCharType="end"/>
            </w:r>
            <w:r w:rsidR="00C04FE4" w:rsidRPr="00DA18B2">
              <w:rPr>
                <w:color w:val="000000" w:themeColor="text1"/>
                <w:szCs w:val="20"/>
              </w:rPr>
              <w:br/>
            </w:r>
            <w:r w:rsidR="006F1E3B" w:rsidRPr="00DA18B2">
              <w:rPr>
                <w:color w:val="000000" w:themeColor="text1"/>
                <w:szCs w:val="20"/>
              </w:rPr>
              <w:fldChar w:fldCharType="begin"/>
            </w:r>
            <w:r w:rsidR="006F1E3B" w:rsidRPr="00DA18B2">
              <w:rPr>
                <w:color w:val="000000" w:themeColor="text1"/>
                <w:szCs w:val="20"/>
              </w:rPr>
              <w:instrText xml:space="preserve"> DOCVARIABLE  CoverBusinessRegoNo  \* MERGEFORMAT </w:instrText>
            </w:r>
            <w:r w:rsidR="006F1E3B" w:rsidRPr="00DA18B2">
              <w:rPr>
                <w:color w:val="000000" w:themeColor="text1"/>
                <w:szCs w:val="20"/>
              </w:rPr>
              <w:fldChar w:fldCharType="separate"/>
            </w:r>
            <w:r w:rsidR="00FC4EC2" w:rsidRPr="00DA18B2">
              <w:rPr>
                <w:color w:val="000000" w:themeColor="text1"/>
                <w:szCs w:val="20"/>
              </w:rPr>
              <w:t>ABN 37 001 024 095</w:t>
            </w:r>
            <w:r w:rsidR="006F1E3B" w:rsidRPr="00DA18B2">
              <w:rPr>
                <w:color w:val="000000" w:themeColor="text1"/>
                <w:szCs w:val="20"/>
              </w:rPr>
              <w:fldChar w:fldCharType="end"/>
            </w:r>
            <w:r w:rsidR="00C04FE4" w:rsidRPr="00DA18B2">
              <w:rPr>
                <w:color w:val="000000" w:themeColor="text1"/>
                <w:szCs w:val="20"/>
              </w:rPr>
              <w:br/>
            </w:r>
            <w:r w:rsidR="006F1E3B" w:rsidRPr="00DA18B2">
              <w:rPr>
                <w:color w:val="000000" w:themeColor="text1"/>
                <w:szCs w:val="20"/>
              </w:rPr>
              <w:fldChar w:fldCharType="begin"/>
            </w:r>
            <w:r w:rsidR="006F1E3B" w:rsidRPr="00DA18B2">
              <w:rPr>
                <w:color w:val="000000" w:themeColor="text1"/>
                <w:szCs w:val="20"/>
              </w:rPr>
              <w:instrText xml:space="preserve"> DOCVARIABLE  Address  \* MERGEFORMAT </w:instrText>
            </w:r>
            <w:r w:rsidR="006F1E3B" w:rsidRPr="00DA18B2">
              <w:rPr>
                <w:color w:val="000000" w:themeColor="text1"/>
                <w:szCs w:val="20"/>
              </w:rPr>
              <w:fldChar w:fldCharType="separate"/>
            </w:r>
            <w:r w:rsidR="00FC4EC2" w:rsidRPr="00DA18B2">
              <w:rPr>
                <w:color w:val="000000" w:themeColor="text1"/>
                <w:szCs w:val="20"/>
              </w:rPr>
              <w:t>Level 6, 30 Flinders Street</w:t>
            </w:r>
            <w:r w:rsidR="00FC4EC2" w:rsidRPr="00DA18B2">
              <w:rPr>
                <w:color w:val="000000" w:themeColor="text1"/>
                <w:szCs w:val="20"/>
              </w:rPr>
              <w:br/>
              <w:t>Adelaide SA 5000 Australia</w:t>
            </w:r>
            <w:r w:rsidR="006F1E3B" w:rsidRPr="00DA18B2">
              <w:rPr>
                <w:color w:val="000000" w:themeColor="text1"/>
                <w:szCs w:val="20"/>
              </w:rPr>
              <w:fldChar w:fldCharType="end"/>
            </w:r>
            <w:r w:rsidR="00C04FE4" w:rsidRPr="00DA18B2">
              <w:rPr>
                <w:color w:val="000000" w:themeColor="text1"/>
                <w:szCs w:val="20"/>
              </w:rPr>
              <w:br/>
            </w:r>
            <w:r w:rsidR="006F1E3B" w:rsidRPr="00DA18B2">
              <w:rPr>
                <w:color w:val="000000" w:themeColor="text1"/>
                <w:szCs w:val="20"/>
              </w:rPr>
              <w:fldChar w:fldCharType="begin"/>
            </w:r>
            <w:r w:rsidR="006F1E3B" w:rsidRPr="00DA18B2">
              <w:rPr>
                <w:color w:val="000000" w:themeColor="text1"/>
                <w:szCs w:val="20"/>
              </w:rPr>
              <w:instrText xml:space="preserve"> DOCVARIABLE  Phone  \* MERGEFORMAT </w:instrText>
            </w:r>
            <w:r w:rsidR="006F1E3B" w:rsidRPr="00DA18B2">
              <w:rPr>
                <w:color w:val="000000" w:themeColor="text1"/>
                <w:szCs w:val="20"/>
              </w:rPr>
              <w:fldChar w:fldCharType="separate"/>
            </w:r>
            <w:r w:rsidR="00FC4EC2" w:rsidRPr="00DA18B2">
              <w:rPr>
                <w:color w:val="000000" w:themeColor="text1"/>
                <w:szCs w:val="20"/>
              </w:rPr>
              <w:t>T +61 8 8113 5400</w:t>
            </w:r>
            <w:r w:rsidR="006F1E3B" w:rsidRPr="00DA18B2">
              <w:rPr>
                <w:color w:val="000000" w:themeColor="text1"/>
                <w:szCs w:val="20"/>
              </w:rPr>
              <w:fldChar w:fldCharType="end"/>
            </w:r>
            <w:r w:rsidR="00C04FE4" w:rsidRPr="00DA18B2">
              <w:rPr>
                <w:color w:val="000000" w:themeColor="text1"/>
                <w:szCs w:val="20"/>
              </w:rPr>
              <w:br/>
            </w:r>
            <w:r w:rsidR="006F1E3B" w:rsidRPr="00DA18B2">
              <w:rPr>
                <w:color w:val="000000" w:themeColor="text1"/>
                <w:szCs w:val="20"/>
              </w:rPr>
              <w:fldChar w:fldCharType="begin"/>
            </w:r>
            <w:r w:rsidR="006F1E3B" w:rsidRPr="00DA18B2">
              <w:rPr>
                <w:color w:val="000000" w:themeColor="text1"/>
                <w:szCs w:val="20"/>
              </w:rPr>
              <w:instrText xml:space="preserve"> DOCVARIABLE  Fax  \* MERGEFORMAT </w:instrText>
            </w:r>
            <w:r w:rsidR="006F1E3B" w:rsidRPr="00DA18B2">
              <w:rPr>
                <w:color w:val="000000" w:themeColor="text1"/>
                <w:szCs w:val="20"/>
              </w:rPr>
              <w:fldChar w:fldCharType="separate"/>
            </w:r>
            <w:r w:rsidR="00FC4EC2" w:rsidRPr="00DA18B2">
              <w:rPr>
                <w:color w:val="000000" w:themeColor="text1"/>
                <w:szCs w:val="20"/>
              </w:rPr>
              <w:t>F +61 8 8113 5440</w:t>
            </w:r>
            <w:r w:rsidR="006F1E3B" w:rsidRPr="00DA18B2">
              <w:rPr>
                <w:color w:val="000000" w:themeColor="text1"/>
                <w:szCs w:val="20"/>
              </w:rPr>
              <w:fldChar w:fldCharType="end"/>
            </w:r>
            <w:r w:rsidR="00C04FE4" w:rsidRPr="00DA18B2">
              <w:rPr>
                <w:color w:val="000000" w:themeColor="text1"/>
                <w:szCs w:val="20"/>
              </w:rPr>
              <w:br/>
            </w:r>
            <w:r w:rsidR="006F1E3B" w:rsidRPr="00DA18B2">
              <w:rPr>
                <w:color w:val="000000" w:themeColor="text1"/>
                <w:szCs w:val="20"/>
              </w:rPr>
              <w:fldChar w:fldCharType="begin"/>
            </w:r>
            <w:r w:rsidR="006F1E3B" w:rsidRPr="00DA18B2">
              <w:rPr>
                <w:color w:val="000000" w:themeColor="text1"/>
                <w:szCs w:val="20"/>
              </w:rPr>
              <w:instrText xml:space="preserve"> DOCVARIABLE  Web  \* MERGEFORMAT </w:instrText>
            </w:r>
            <w:r w:rsidR="006F1E3B" w:rsidRPr="00DA18B2">
              <w:rPr>
                <w:color w:val="000000" w:themeColor="text1"/>
                <w:szCs w:val="20"/>
              </w:rPr>
              <w:fldChar w:fldCharType="separate"/>
            </w:r>
            <w:r w:rsidR="00FC4EC2" w:rsidRPr="00DA18B2">
              <w:rPr>
                <w:color w:val="000000" w:themeColor="text1"/>
                <w:szCs w:val="20"/>
              </w:rPr>
              <w:t>www.jacobs.com</w:t>
            </w:r>
            <w:r w:rsidR="006F1E3B" w:rsidRPr="00DA18B2">
              <w:rPr>
                <w:color w:val="000000" w:themeColor="text1"/>
                <w:szCs w:val="20"/>
              </w:rPr>
              <w:fldChar w:fldCharType="end"/>
            </w:r>
          </w:p>
          <w:p w14:paraId="151E6A6B" w14:textId="77777777" w:rsidR="00E91C32" w:rsidRPr="00DA18B2" w:rsidRDefault="00E91C32" w:rsidP="000463EC">
            <w:pPr>
              <w:pStyle w:val="Tabletext"/>
              <w:spacing w:before="0" w:after="0"/>
              <w:rPr>
                <w:color w:val="000000" w:themeColor="text1"/>
                <w:szCs w:val="20"/>
              </w:rPr>
            </w:pPr>
          </w:p>
          <w:p w14:paraId="4AE54444" w14:textId="77777777" w:rsidR="00D72A57" w:rsidRPr="00DA18B2" w:rsidRDefault="00D72A57" w:rsidP="000463EC">
            <w:pPr>
              <w:pStyle w:val="Tabletext"/>
              <w:spacing w:before="0" w:after="0"/>
              <w:rPr>
                <w:color w:val="000000" w:themeColor="text1"/>
                <w:szCs w:val="20"/>
              </w:rPr>
            </w:pPr>
          </w:p>
          <w:p w14:paraId="5878C3C9" w14:textId="0EAFACAA" w:rsidR="0002468E" w:rsidRPr="00DA18B2" w:rsidRDefault="00F8366B" w:rsidP="000463EC">
            <w:pPr>
              <w:pStyle w:val="Tabletext"/>
              <w:spacing w:before="0" w:after="0"/>
              <w:rPr>
                <w:color w:val="000000" w:themeColor="text1"/>
                <w:szCs w:val="20"/>
              </w:rPr>
            </w:pPr>
            <w:r w:rsidRPr="00DA18B2">
              <w:rPr>
                <w:color w:val="000000" w:themeColor="text1"/>
                <w:szCs w:val="20"/>
              </w:rPr>
              <w:t xml:space="preserve">This document has been produced by </w:t>
            </w:r>
            <w:bookmarkStart w:id="1" w:name="_GoBack"/>
            <w:r w:rsidR="00D72A57" w:rsidRPr="00DA18B2">
              <w:rPr>
                <w:color w:val="000000" w:themeColor="text1"/>
                <w:szCs w:val="20"/>
              </w:rPr>
              <w:t xml:space="preserve">Jacobs Group (Australia) </w:t>
            </w:r>
            <w:bookmarkEnd w:id="1"/>
            <w:r w:rsidR="00D72A57" w:rsidRPr="00DA18B2">
              <w:rPr>
                <w:color w:val="000000" w:themeColor="text1"/>
                <w:szCs w:val="20"/>
              </w:rPr>
              <w:t xml:space="preserve">for </w:t>
            </w:r>
            <w:r w:rsidRPr="00DA18B2">
              <w:rPr>
                <w:color w:val="000000" w:themeColor="text1"/>
                <w:szCs w:val="20"/>
              </w:rPr>
              <w:t>the Commonwealth Environmental Water Office</w:t>
            </w:r>
            <w:r w:rsidR="00ED088F" w:rsidRPr="00DA18B2">
              <w:rPr>
                <w:color w:val="000000" w:themeColor="text1"/>
                <w:szCs w:val="20"/>
              </w:rPr>
              <w:t xml:space="preserve"> (CEWO)</w:t>
            </w:r>
            <w:r w:rsidR="00D72A57" w:rsidRPr="00DA18B2">
              <w:rPr>
                <w:color w:val="000000" w:themeColor="text1"/>
                <w:szCs w:val="20"/>
              </w:rPr>
              <w:t>, Department of the Environment and Energy.</w:t>
            </w:r>
            <w:r w:rsidR="006552C0" w:rsidRPr="00DA18B2">
              <w:rPr>
                <w:color w:val="000000" w:themeColor="text1"/>
                <w:szCs w:val="20"/>
              </w:rPr>
              <w:t xml:space="preserve"> It can be referenced as:</w:t>
            </w:r>
          </w:p>
          <w:p w14:paraId="5C26540C" w14:textId="729904FC" w:rsidR="004B5864" w:rsidRPr="00DA18B2" w:rsidRDefault="002320D1" w:rsidP="000463EC">
            <w:pPr>
              <w:pStyle w:val="Tabletext"/>
              <w:spacing w:before="0" w:after="0"/>
              <w:rPr>
                <w:color w:val="000000" w:themeColor="text1"/>
                <w:szCs w:val="20"/>
              </w:rPr>
            </w:pPr>
            <w:r w:rsidRPr="00DA18B2">
              <w:rPr>
                <w:color w:val="000000" w:themeColor="text1"/>
                <w:szCs w:val="20"/>
              </w:rPr>
              <w:br/>
            </w:r>
            <w:r w:rsidR="004B5864" w:rsidRPr="00DA18B2">
              <w:rPr>
                <w:b/>
                <w:color w:val="000000" w:themeColor="text1"/>
                <w:szCs w:val="20"/>
              </w:rPr>
              <w:t>Reference:</w:t>
            </w:r>
          </w:p>
          <w:p w14:paraId="2BFBE31E" w14:textId="1E7B9D37" w:rsidR="00D72A57" w:rsidRPr="00DA18B2" w:rsidRDefault="00EA593C" w:rsidP="000463EC">
            <w:pPr>
              <w:pStyle w:val="Tabletext"/>
              <w:spacing w:before="0" w:after="0"/>
              <w:rPr>
                <w:color w:val="000000" w:themeColor="text1"/>
                <w:szCs w:val="20"/>
              </w:rPr>
            </w:pPr>
            <w:r w:rsidRPr="005E40FD">
              <w:rPr>
                <w:color w:val="000000" w:themeColor="text1"/>
                <w:szCs w:val="20"/>
              </w:rPr>
              <w:t xml:space="preserve">Overton IC, Coff B, Mollison D, Barling R, Fels K and Boyd A (2018) </w:t>
            </w:r>
            <w:r w:rsidR="002320D1" w:rsidRPr="005E40FD">
              <w:rPr>
                <w:i/>
                <w:color w:val="000000" w:themeColor="text1"/>
                <w:szCs w:val="20"/>
              </w:rPr>
              <w:t>Black Box Management Framework</w:t>
            </w:r>
            <w:r w:rsidR="00DC793C" w:rsidRPr="005E40FD">
              <w:rPr>
                <w:i/>
                <w:color w:val="000000" w:themeColor="text1"/>
                <w:szCs w:val="20"/>
              </w:rPr>
              <w:t xml:space="preserve">: </w:t>
            </w:r>
            <w:r w:rsidR="00DC793C" w:rsidRPr="00C54C63">
              <w:rPr>
                <w:i/>
                <w:color w:val="000000" w:themeColor="text1"/>
                <w:szCs w:val="20"/>
              </w:rPr>
              <w:t xml:space="preserve">A Framework for Managing </w:t>
            </w:r>
            <w:r w:rsidR="00D774B4" w:rsidRPr="00C54C63">
              <w:rPr>
                <w:i/>
                <w:color w:val="000000" w:themeColor="text1"/>
                <w:szCs w:val="20"/>
              </w:rPr>
              <w:t>Fl</w:t>
            </w:r>
            <w:r w:rsidR="00D774B4" w:rsidRPr="005E40FD">
              <w:rPr>
                <w:i/>
                <w:color w:val="000000" w:themeColor="text1"/>
                <w:szCs w:val="20"/>
              </w:rPr>
              <w:t>oodplain</w:t>
            </w:r>
            <w:r w:rsidR="005C2DE7">
              <w:rPr>
                <w:i/>
                <w:color w:val="000000" w:themeColor="text1"/>
                <w:szCs w:val="20"/>
              </w:rPr>
              <w:t xml:space="preserve"> and Wetland</w:t>
            </w:r>
            <w:r w:rsidR="00D774B4" w:rsidRPr="005E40FD">
              <w:rPr>
                <w:i/>
                <w:color w:val="000000" w:themeColor="text1"/>
                <w:szCs w:val="20"/>
              </w:rPr>
              <w:t xml:space="preserve"> </w:t>
            </w:r>
            <w:r w:rsidR="00DC793C" w:rsidRPr="005E40FD">
              <w:rPr>
                <w:i/>
                <w:color w:val="000000" w:themeColor="text1"/>
                <w:szCs w:val="20"/>
              </w:rPr>
              <w:t>Black Box Eucalypts in the Murray-Darling Basin</w:t>
            </w:r>
            <w:r w:rsidR="00CD4FDA" w:rsidRPr="005E40FD">
              <w:rPr>
                <w:color w:val="000000" w:themeColor="text1"/>
                <w:szCs w:val="20"/>
              </w:rPr>
              <w:t>. P</w:t>
            </w:r>
            <w:r w:rsidR="002320D1" w:rsidRPr="005E40FD">
              <w:rPr>
                <w:color w:val="000000" w:themeColor="text1"/>
                <w:szCs w:val="20"/>
              </w:rPr>
              <w:t>repared by Jacobs Group (Australia) Pty Ltd</w:t>
            </w:r>
            <w:r w:rsidRPr="005E40FD">
              <w:rPr>
                <w:color w:val="000000" w:themeColor="text1"/>
                <w:szCs w:val="20"/>
              </w:rPr>
              <w:t xml:space="preserve"> for the Commonwealth Environmental Water Office</w:t>
            </w:r>
            <w:r w:rsidR="002320D1" w:rsidRPr="005E40FD">
              <w:rPr>
                <w:color w:val="000000" w:themeColor="text1"/>
                <w:szCs w:val="20"/>
              </w:rPr>
              <w:t xml:space="preserve">, </w:t>
            </w:r>
            <w:r w:rsidR="00D774B4" w:rsidRPr="005E40FD">
              <w:rPr>
                <w:color w:val="000000" w:themeColor="text1"/>
                <w:szCs w:val="20"/>
              </w:rPr>
              <w:t>Department of the Environment and Energy</w:t>
            </w:r>
            <w:r w:rsidR="00BD0270">
              <w:rPr>
                <w:color w:val="000000" w:themeColor="text1"/>
                <w:szCs w:val="20"/>
              </w:rPr>
              <w:t>.</w:t>
            </w:r>
          </w:p>
          <w:p w14:paraId="7944BB5B" w14:textId="77777777" w:rsidR="00D72A57" w:rsidRPr="00DA18B2" w:rsidRDefault="00D72A57" w:rsidP="000463EC">
            <w:pPr>
              <w:pStyle w:val="Tabletext"/>
              <w:spacing w:before="0" w:after="0"/>
              <w:rPr>
                <w:color w:val="000000" w:themeColor="text1"/>
                <w:szCs w:val="20"/>
              </w:rPr>
            </w:pPr>
          </w:p>
          <w:p w14:paraId="554CFB12" w14:textId="28205FA4" w:rsidR="00892415" w:rsidRPr="00DA18B2" w:rsidRDefault="00892415" w:rsidP="000463EC">
            <w:pPr>
              <w:pStyle w:val="Tabletext"/>
              <w:spacing w:before="0" w:after="0"/>
              <w:rPr>
                <w:color w:val="000000" w:themeColor="text1"/>
                <w:szCs w:val="20"/>
              </w:rPr>
            </w:pPr>
            <w:r w:rsidRPr="00DA18B2">
              <w:rPr>
                <w:b/>
                <w:color w:val="000000" w:themeColor="text1"/>
                <w:szCs w:val="20"/>
              </w:rPr>
              <w:t>Acknowledgement</w:t>
            </w:r>
            <w:r w:rsidR="00ED088F" w:rsidRPr="00DA18B2">
              <w:rPr>
                <w:b/>
                <w:color w:val="000000" w:themeColor="text1"/>
                <w:szCs w:val="20"/>
              </w:rPr>
              <w:t xml:space="preserve"> for contributions</w:t>
            </w:r>
            <w:r w:rsidRPr="00DA18B2">
              <w:rPr>
                <w:b/>
                <w:color w:val="000000" w:themeColor="text1"/>
                <w:szCs w:val="20"/>
              </w:rPr>
              <w:t>:</w:t>
            </w:r>
            <w:r w:rsidRPr="00DA18B2">
              <w:rPr>
                <w:color w:val="000000" w:themeColor="text1"/>
                <w:szCs w:val="20"/>
              </w:rPr>
              <w:t xml:space="preserve"> </w:t>
            </w:r>
          </w:p>
          <w:p w14:paraId="5CD47A82" w14:textId="52037B4E" w:rsidR="00650C18" w:rsidRPr="00DA18B2" w:rsidRDefault="00650C18" w:rsidP="000463EC">
            <w:pPr>
              <w:pStyle w:val="Tabletext"/>
              <w:spacing w:before="0" w:after="0"/>
              <w:rPr>
                <w:color w:val="000000" w:themeColor="text1"/>
                <w:szCs w:val="20"/>
              </w:rPr>
            </w:pPr>
            <w:r w:rsidRPr="00DA18B2">
              <w:rPr>
                <w:color w:val="000000" w:themeColor="text1"/>
                <w:szCs w:val="20"/>
              </w:rPr>
              <w:t>This document was produced with significant input fro</w:t>
            </w:r>
            <w:r w:rsidR="00424E33" w:rsidRPr="00DA18B2">
              <w:rPr>
                <w:color w:val="000000" w:themeColor="text1"/>
                <w:szCs w:val="20"/>
              </w:rPr>
              <w:t>m</w:t>
            </w:r>
            <w:r w:rsidR="00ED088F" w:rsidRPr="00DA18B2">
              <w:rPr>
                <w:color w:val="000000" w:themeColor="text1"/>
                <w:szCs w:val="20"/>
              </w:rPr>
              <w:t xml:space="preserve"> (as part of a Black Box Working Group)</w:t>
            </w:r>
            <w:r w:rsidR="00424E33" w:rsidRPr="00DA18B2">
              <w:rPr>
                <w:color w:val="000000" w:themeColor="text1"/>
                <w:szCs w:val="20"/>
              </w:rPr>
              <w:t>:</w:t>
            </w:r>
            <w:r w:rsidRPr="00DA18B2">
              <w:rPr>
                <w:color w:val="000000" w:themeColor="text1"/>
                <w:szCs w:val="20"/>
              </w:rPr>
              <w:t xml:space="preserve"> </w:t>
            </w:r>
            <w:r w:rsidR="00EA593C">
              <w:rPr>
                <w:color w:val="000000" w:themeColor="text1"/>
                <w:szCs w:val="20"/>
              </w:rPr>
              <w:t xml:space="preserve">Tanya Doody (CSIRO), </w:t>
            </w:r>
            <w:r w:rsidRPr="00DA18B2">
              <w:rPr>
                <w:color w:val="000000" w:themeColor="text1"/>
                <w:szCs w:val="20"/>
              </w:rPr>
              <w:t>C</w:t>
            </w:r>
            <w:r w:rsidR="00AB6E3C" w:rsidRPr="00DA18B2">
              <w:rPr>
                <w:color w:val="000000" w:themeColor="text1"/>
                <w:szCs w:val="20"/>
              </w:rPr>
              <w:t>herie</w:t>
            </w:r>
            <w:r w:rsidRPr="00DA18B2">
              <w:rPr>
                <w:color w:val="000000" w:themeColor="text1"/>
                <w:szCs w:val="20"/>
              </w:rPr>
              <w:t xml:space="preserve"> Campbell (M</w:t>
            </w:r>
            <w:r w:rsidR="00424E33" w:rsidRPr="00DA18B2">
              <w:rPr>
                <w:color w:val="000000" w:themeColor="text1"/>
                <w:szCs w:val="20"/>
              </w:rPr>
              <w:t xml:space="preserve">urray-Darling </w:t>
            </w:r>
            <w:r w:rsidRPr="00DA18B2">
              <w:rPr>
                <w:color w:val="000000" w:themeColor="text1"/>
                <w:szCs w:val="20"/>
              </w:rPr>
              <w:t>F</w:t>
            </w:r>
            <w:r w:rsidR="00424E33" w:rsidRPr="00DA18B2">
              <w:rPr>
                <w:color w:val="000000" w:themeColor="text1"/>
                <w:szCs w:val="20"/>
              </w:rPr>
              <w:t xml:space="preserve">reshwater </w:t>
            </w:r>
            <w:r w:rsidRPr="00DA18B2">
              <w:rPr>
                <w:color w:val="000000" w:themeColor="text1"/>
                <w:szCs w:val="20"/>
              </w:rPr>
              <w:t>R</w:t>
            </w:r>
            <w:r w:rsidR="00424E33" w:rsidRPr="00DA18B2">
              <w:rPr>
                <w:color w:val="000000" w:themeColor="text1"/>
                <w:szCs w:val="20"/>
              </w:rPr>
              <w:t xml:space="preserve">esearch </w:t>
            </w:r>
            <w:r w:rsidRPr="00DA18B2">
              <w:rPr>
                <w:color w:val="000000" w:themeColor="text1"/>
                <w:szCs w:val="20"/>
              </w:rPr>
              <w:t>C</w:t>
            </w:r>
            <w:r w:rsidR="00424E33" w:rsidRPr="00DA18B2">
              <w:rPr>
                <w:color w:val="000000" w:themeColor="text1"/>
                <w:szCs w:val="20"/>
              </w:rPr>
              <w:t>entre (MDFRC)</w:t>
            </w:r>
            <w:r w:rsidRPr="00DA18B2">
              <w:rPr>
                <w:color w:val="000000" w:themeColor="text1"/>
                <w:szCs w:val="20"/>
              </w:rPr>
              <w:t xml:space="preserve">), </w:t>
            </w:r>
            <w:r w:rsidR="00424E33" w:rsidRPr="00DA18B2">
              <w:rPr>
                <w:color w:val="000000" w:themeColor="text1"/>
                <w:szCs w:val="20"/>
              </w:rPr>
              <w:t xml:space="preserve">Susan Gehrig (SA Research and Development Institute/MDFRC), Todd Wallace (University of Adelaide), Juliette Woods (SA Dept. Environment, Water and Natural Resources (DEWNR)/Flinders University), </w:t>
            </w:r>
            <w:r w:rsidR="00ED088F" w:rsidRPr="00DA18B2">
              <w:rPr>
                <w:color w:val="000000" w:themeColor="text1"/>
                <w:szCs w:val="20"/>
              </w:rPr>
              <w:t>Tumi Bjornsson</w:t>
            </w:r>
            <w:r w:rsidR="00B50D51" w:rsidRPr="00DA18B2">
              <w:rPr>
                <w:color w:val="000000" w:themeColor="text1"/>
                <w:szCs w:val="20"/>
              </w:rPr>
              <w:t xml:space="preserve">, </w:t>
            </w:r>
            <w:r w:rsidR="00ED088F" w:rsidRPr="00DA18B2">
              <w:rPr>
                <w:color w:val="000000" w:themeColor="text1"/>
                <w:szCs w:val="20"/>
              </w:rPr>
              <w:t>Tony Herbert</w:t>
            </w:r>
            <w:r w:rsidR="00B50D51" w:rsidRPr="00DA18B2">
              <w:rPr>
                <w:color w:val="000000" w:themeColor="text1"/>
                <w:szCs w:val="20"/>
              </w:rPr>
              <w:t xml:space="preserve"> and Jan Whittle </w:t>
            </w:r>
            <w:r w:rsidR="00ED088F" w:rsidRPr="00DA18B2">
              <w:rPr>
                <w:color w:val="000000" w:themeColor="text1"/>
                <w:szCs w:val="20"/>
              </w:rPr>
              <w:t xml:space="preserve">(DEWNR), Ben Dyer and Rebecca White (Murray-Darling Basin Authority), </w:t>
            </w:r>
            <w:r w:rsidR="00BD0270">
              <w:rPr>
                <w:color w:val="000000" w:themeColor="text1"/>
                <w:szCs w:val="20"/>
              </w:rPr>
              <w:t>Mark Henderson</w:t>
            </w:r>
            <w:r w:rsidRPr="00DA18B2">
              <w:rPr>
                <w:color w:val="000000" w:themeColor="text1"/>
                <w:szCs w:val="20"/>
              </w:rPr>
              <w:t xml:space="preserve"> (NSW O</w:t>
            </w:r>
            <w:r w:rsidR="00424E33" w:rsidRPr="00DA18B2">
              <w:rPr>
                <w:color w:val="000000" w:themeColor="text1"/>
                <w:szCs w:val="20"/>
              </w:rPr>
              <w:t xml:space="preserve">ffice of </w:t>
            </w:r>
            <w:r w:rsidRPr="00DA18B2">
              <w:rPr>
                <w:color w:val="000000" w:themeColor="text1"/>
                <w:szCs w:val="20"/>
              </w:rPr>
              <w:t>E</w:t>
            </w:r>
            <w:r w:rsidR="00424E33" w:rsidRPr="00DA18B2">
              <w:rPr>
                <w:color w:val="000000" w:themeColor="text1"/>
                <w:szCs w:val="20"/>
              </w:rPr>
              <w:t xml:space="preserve">nvironment and </w:t>
            </w:r>
            <w:r w:rsidRPr="00DA18B2">
              <w:rPr>
                <w:color w:val="000000" w:themeColor="text1"/>
                <w:szCs w:val="20"/>
              </w:rPr>
              <w:t>H</w:t>
            </w:r>
            <w:r w:rsidR="00424E33" w:rsidRPr="00DA18B2">
              <w:rPr>
                <w:color w:val="000000" w:themeColor="text1"/>
                <w:szCs w:val="20"/>
              </w:rPr>
              <w:t>eritage</w:t>
            </w:r>
            <w:r w:rsidRPr="00DA18B2">
              <w:rPr>
                <w:color w:val="000000" w:themeColor="text1"/>
                <w:szCs w:val="20"/>
              </w:rPr>
              <w:t xml:space="preserve">), </w:t>
            </w:r>
            <w:r w:rsidR="00BD0270">
              <w:rPr>
                <w:color w:val="000000" w:themeColor="text1"/>
                <w:szCs w:val="20"/>
              </w:rPr>
              <w:t>Andrew Sharpe</w:t>
            </w:r>
            <w:r w:rsidR="00424E33" w:rsidRPr="00DA18B2">
              <w:rPr>
                <w:color w:val="000000" w:themeColor="text1"/>
                <w:szCs w:val="20"/>
              </w:rPr>
              <w:t xml:space="preserve"> </w:t>
            </w:r>
            <w:r w:rsidR="00D72A57" w:rsidRPr="00DA18B2">
              <w:rPr>
                <w:color w:val="000000" w:themeColor="text1"/>
                <w:szCs w:val="20"/>
              </w:rPr>
              <w:t>(V</w:t>
            </w:r>
            <w:r w:rsidR="00ED088F" w:rsidRPr="00DA18B2">
              <w:rPr>
                <w:color w:val="000000" w:themeColor="text1"/>
                <w:szCs w:val="20"/>
              </w:rPr>
              <w:t xml:space="preserve">ictorian </w:t>
            </w:r>
            <w:r w:rsidR="00D72A57" w:rsidRPr="00DA18B2">
              <w:rPr>
                <w:color w:val="000000" w:themeColor="text1"/>
                <w:szCs w:val="20"/>
              </w:rPr>
              <w:t>E</w:t>
            </w:r>
            <w:r w:rsidR="00ED088F" w:rsidRPr="00DA18B2">
              <w:rPr>
                <w:color w:val="000000" w:themeColor="text1"/>
                <w:szCs w:val="20"/>
              </w:rPr>
              <w:t xml:space="preserve">nvironmental </w:t>
            </w:r>
            <w:r w:rsidRPr="00DA18B2">
              <w:rPr>
                <w:color w:val="000000" w:themeColor="text1"/>
                <w:szCs w:val="20"/>
              </w:rPr>
              <w:t>W</w:t>
            </w:r>
            <w:r w:rsidR="00ED088F" w:rsidRPr="00DA18B2">
              <w:rPr>
                <w:color w:val="000000" w:themeColor="text1"/>
                <w:szCs w:val="20"/>
              </w:rPr>
              <w:t xml:space="preserve">ater </w:t>
            </w:r>
            <w:r w:rsidR="00D72A57" w:rsidRPr="00DA18B2">
              <w:rPr>
                <w:color w:val="000000" w:themeColor="text1"/>
                <w:szCs w:val="20"/>
              </w:rPr>
              <w:t>H</w:t>
            </w:r>
            <w:r w:rsidR="00ED088F" w:rsidRPr="00DA18B2">
              <w:rPr>
                <w:color w:val="000000" w:themeColor="text1"/>
                <w:szCs w:val="20"/>
              </w:rPr>
              <w:t>older</w:t>
            </w:r>
            <w:r w:rsidRPr="00DA18B2">
              <w:rPr>
                <w:color w:val="000000" w:themeColor="text1"/>
                <w:szCs w:val="20"/>
              </w:rPr>
              <w:t>)</w:t>
            </w:r>
            <w:r w:rsidR="00424E33" w:rsidRPr="00DA18B2">
              <w:rPr>
                <w:color w:val="000000" w:themeColor="text1"/>
                <w:szCs w:val="20"/>
              </w:rPr>
              <w:t>, John Cooke and Andrew Greenfield (Mallee C</w:t>
            </w:r>
            <w:r w:rsidR="00ED088F" w:rsidRPr="00DA18B2">
              <w:rPr>
                <w:color w:val="000000" w:themeColor="text1"/>
                <w:szCs w:val="20"/>
              </w:rPr>
              <w:t xml:space="preserve">atchment </w:t>
            </w:r>
            <w:r w:rsidR="00424E33" w:rsidRPr="00DA18B2">
              <w:rPr>
                <w:color w:val="000000" w:themeColor="text1"/>
                <w:szCs w:val="20"/>
              </w:rPr>
              <w:t>M</w:t>
            </w:r>
            <w:r w:rsidR="00ED088F" w:rsidRPr="00DA18B2">
              <w:rPr>
                <w:color w:val="000000" w:themeColor="text1"/>
                <w:szCs w:val="20"/>
              </w:rPr>
              <w:t xml:space="preserve">anagement </w:t>
            </w:r>
            <w:r w:rsidR="00424E33" w:rsidRPr="00DA18B2">
              <w:rPr>
                <w:color w:val="000000" w:themeColor="text1"/>
                <w:szCs w:val="20"/>
              </w:rPr>
              <w:t>A</w:t>
            </w:r>
            <w:r w:rsidR="00ED088F" w:rsidRPr="00DA18B2">
              <w:rPr>
                <w:color w:val="000000" w:themeColor="text1"/>
                <w:szCs w:val="20"/>
              </w:rPr>
              <w:t>uthority</w:t>
            </w:r>
            <w:r w:rsidR="00424E33" w:rsidRPr="00DA18B2">
              <w:rPr>
                <w:color w:val="000000" w:themeColor="text1"/>
                <w:szCs w:val="20"/>
              </w:rPr>
              <w:t>)</w:t>
            </w:r>
            <w:r w:rsidR="00ED088F" w:rsidRPr="00DA18B2">
              <w:rPr>
                <w:color w:val="000000" w:themeColor="text1"/>
                <w:szCs w:val="20"/>
              </w:rPr>
              <w:t>,</w:t>
            </w:r>
            <w:r w:rsidR="00424E33" w:rsidRPr="00DA18B2">
              <w:rPr>
                <w:color w:val="000000" w:themeColor="text1"/>
                <w:szCs w:val="20"/>
              </w:rPr>
              <w:t xml:space="preserve"> and Ryan Breen</w:t>
            </w:r>
            <w:r w:rsidR="00C54C63">
              <w:rPr>
                <w:color w:val="000000" w:themeColor="text1"/>
                <w:szCs w:val="20"/>
              </w:rPr>
              <w:t>,</w:t>
            </w:r>
            <w:r w:rsidR="00424E33" w:rsidRPr="00DA18B2">
              <w:rPr>
                <w:color w:val="000000" w:themeColor="text1"/>
                <w:szCs w:val="20"/>
              </w:rPr>
              <w:t xml:space="preserve"> </w:t>
            </w:r>
            <w:r w:rsidR="00ED088F" w:rsidRPr="00DA18B2">
              <w:rPr>
                <w:color w:val="000000" w:themeColor="text1"/>
                <w:szCs w:val="20"/>
              </w:rPr>
              <w:t>Melissa Head</w:t>
            </w:r>
            <w:r w:rsidR="00C54C63">
              <w:rPr>
                <w:color w:val="000000" w:themeColor="text1"/>
                <w:szCs w:val="20"/>
              </w:rPr>
              <w:t xml:space="preserve"> and Philip</w:t>
            </w:r>
            <w:r w:rsidR="00C54C63" w:rsidRPr="001D6E30">
              <w:rPr>
                <w:color w:val="000000" w:themeColor="text1"/>
                <w:szCs w:val="20"/>
              </w:rPr>
              <w:t xml:space="preserve">pa </w:t>
            </w:r>
            <w:r w:rsidR="006B1DBB" w:rsidRPr="00E230DF">
              <w:rPr>
                <w:color w:val="000000" w:themeColor="text1"/>
                <w:szCs w:val="20"/>
              </w:rPr>
              <w:t>Hunter</w:t>
            </w:r>
            <w:r w:rsidR="00ED088F" w:rsidRPr="00DA18B2">
              <w:rPr>
                <w:color w:val="000000" w:themeColor="text1"/>
                <w:szCs w:val="20"/>
              </w:rPr>
              <w:t xml:space="preserve"> </w:t>
            </w:r>
            <w:r w:rsidR="00D72A57" w:rsidRPr="00DA18B2">
              <w:rPr>
                <w:color w:val="000000" w:themeColor="text1"/>
                <w:szCs w:val="20"/>
              </w:rPr>
              <w:t>(</w:t>
            </w:r>
            <w:r w:rsidR="00ED088F" w:rsidRPr="00DA18B2">
              <w:rPr>
                <w:color w:val="000000" w:themeColor="text1"/>
                <w:szCs w:val="20"/>
              </w:rPr>
              <w:t>CEWO</w:t>
            </w:r>
            <w:r w:rsidR="00D72A57" w:rsidRPr="00DA18B2">
              <w:rPr>
                <w:color w:val="000000" w:themeColor="text1"/>
                <w:szCs w:val="20"/>
              </w:rPr>
              <w:t>)</w:t>
            </w:r>
            <w:r w:rsidR="00424E33" w:rsidRPr="00DA18B2">
              <w:rPr>
                <w:color w:val="000000" w:themeColor="text1"/>
                <w:szCs w:val="20"/>
              </w:rPr>
              <w:t xml:space="preserve">. </w:t>
            </w:r>
          </w:p>
          <w:p w14:paraId="61410E58" w14:textId="0F952E09" w:rsidR="00424E33" w:rsidRPr="00DA18B2" w:rsidRDefault="00424E33" w:rsidP="00424E33">
            <w:pPr>
              <w:pStyle w:val="Para0"/>
              <w:rPr>
                <w:szCs w:val="20"/>
              </w:rPr>
            </w:pPr>
            <w:r w:rsidRPr="00DA18B2">
              <w:rPr>
                <w:szCs w:val="20"/>
              </w:rPr>
              <w:t xml:space="preserve">The case study presented </w:t>
            </w:r>
            <w:r w:rsidR="00D774B4">
              <w:rPr>
                <w:szCs w:val="20"/>
              </w:rPr>
              <w:t>throughout the report</w:t>
            </w:r>
            <w:r w:rsidRPr="00DA18B2">
              <w:rPr>
                <w:szCs w:val="20"/>
              </w:rPr>
              <w:t xml:space="preserve"> was developed with assistance from Peter Cale, Manager and Senior Ecologist for Calperum Station</w:t>
            </w:r>
            <w:r w:rsidR="00D774B4">
              <w:rPr>
                <w:szCs w:val="20"/>
              </w:rPr>
              <w:t>, South Australia</w:t>
            </w:r>
            <w:r w:rsidRPr="00DA18B2">
              <w:rPr>
                <w:szCs w:val="20"/>
              </w:rPr>
              <w:t xml:space="preserve"> (operated by the Australian Landscape Trust).</w:t>
            </w:r>
          </w:p>
          <w:p w14:paraId="63016AB7" w14:textId="439457AE" w:rsidR="00424E33" w:rsidRPr="00DA18B2" w:rsidRDefault="00424E33" w:rsidP="00424E33">
            <w:pPr>
              <w:pStyle w:val="Tabletext"/>
              <w:spacing w:before="0" w:after="0"/>
              <w:rPr>
                <w:b/>
                <w:color w:val="000000" w:themeColor="text1"/>
                <w:szCs w:val="20"/>
              </w:rPr>
            </w:pPr>
            <w:r w:rsidRPr="00DA18B2">
              <w:rPr>
                <w:szCs w:val="20"/>
              </w:rPr>
              <w:t>Many others have provided input and guidance on specific elements of the framework throughout its development. We than</w:t>
            </w:r>
            <w:r w:rsidR="00ED088F" w:rsidRPr="00DA18B2">
              <w:rPr>
                <w:szCs w:val="20"/>
              </w:rPr>
              <w:t>k all for their time and effort.</w:t>
            </w:r>
          </w:p>
          <w:p w14:paraId="0A887AE2" w14:textId="77777777" w:rsidR="00D72A57" w:rsidRPr="00DA18B2" w:rsidRDefault="00D72A57" w:rsidP="000463EC">
            <w:pPr>
              <w:pStyle w:val="Tabletext"/>
              <w:spacing w:before="0" w:after="0"/>
              <w:rPr>
                <w:b/>
                <w:color w:val="000000" w:themeColor="text1"/>
                <w:szCs w:val="20"/>
              </w:rPr>
            </w:pPr>
          </w:p>
          <w:p w14:paraId="30DEF26A" w14:textId="77777777" w:rsidR="0002468E" w:rsidRPr="00DA18B2" w:rsidRDefault="0002468E" w:rsidP="000463EC">
            <w:pPr>
              <w:pStyle w:val="Tabletext"/>
              <w:spacing w:before="0" w:after="0"/>
              <w:rPr>
                <w:color w:val="000000" w:themeColor="text1"/>
                <w:szCs w:val="20"/>
              </w:rPr>
            </w:pPr>
            <w:r w:rsidRPr="00DA18B2">
              <w:rPr>
                <w:b/>
                <w:color w:val="000000" w:themeColor="text1"/>
                <w:szCs w:val="20"/>
              </w:rPr>
              <w:t>Acknowledgement of the Traditional Owners of the Mur</w:t>
            </w:r>
            <w:r w:rsidR="00650C18" w:rsidRPr="00DA18B2">
              <w:rPr>
                <w:b/>
                <w:color w:val="000000" w:themeColor="text1"/>
                <w:szCs w:val="20"/>
              </w:rPr>
              <w:t>ray-Darling Basin</w:t>
            </w:r>
          </w:p>
          <w:p w14:paraId="74069CD4" w14:textId="5CD9DE07" w:rsidR="00650C18" w:rsidRDefault="00650C18" w:rsidP="00650C18">
            <w:pPr>
              <w:pStyle w:val="Tabletext"/>
              <w:spacing w:before="0" w:after="0"/>
              <w:rPr>
                <w:color w:val="000000" w:themeColor="text1"/>
                <w:szCs w:val="20"/>
              </w:rPr>
            </w:pPr>
            <w:r w:rsidRPr="00DA18B2">
              <w:rPr>
                <w:color w:val="000000" w:themeColor="text1"/>
                <w:szCs w:val="20"/>
              </w:rPr>
              <w:t>The Commonwealth Environmental Water Office acknowledges and pays respect to the Traditional Owners, and their Nations, of the Murray–Darling Basin, who have a deep cultural, social, environmental, spiritual and economic connection to their lands and waters. The CEWO understands the need for recognition of Traditional Owner knowledge and cultural values in natural resource management associated with the Basin.</w:t>
            </w:r>
          </w:p>
          <w:p w14:paraId="2D279FCA" w14:textId="6A5B5BD2" w:rsidR="002E4AF5" w:rsidRDefault="002E4AF5" w:rsidP="00650C18">
            <w:pPr>
              <w:pStyle w:val="Tabletext"/>
              <w:spacing w:before="0" w:after="0"/>
              <w:rPr>
                <w:color w:val="000000" w:themeColor="text1"/>
                <w:szCs w:val="20"/>
              </w:rPr>
            </w:pPr>
          </w:p>
          <w:p w14:paraId="4DDE6ADE" w14:textId="77777777" w:rsidR="002E4AF5" w:rsidRPr="00DA18B2" w:rsidRDefault="002E4AF5" w:rsidP="00650C18">
            <w:pPr>
              <w:pStyle w:val="Tabletext"/>
              <w:spacing w:before="0" w:after="0"/>
              <w:rPr>
                <w:color w:val="000000" w:themeColor="text1"/>
                <w:szCs w:val="20"/>
              </w:rPr>
            </w:pPr>
          </w:p>
          <w:p w14:paraId="3CBB666E" w14:textId="77777777" w:rsidR="00C369EA" w:rsidRPr="00DA18B2" w:rsidRDefault="00C369EA" w:rsidP="00650C18">
            <w:pPr>
              <w:pStyle w:val="Tabletext"/>
              <w:spacing w:before="0" w:after="0"/>
              <w:rPr>
                <w:color w:val="000000" w:themeColor="text1"/>
                <w:szCs w:val="20"/>
              </w:rPr>
            </w:pPr>
          </w:p>
        </w:tc>
      </w:tr>
    </w:tbl>
    <w:p w14:paraId="26D8D2E3" w14:textId="77777777" w:rsidR="002E4AF5" w:rsidRPr="004465AC" w:rsidRDefault="002E4AF5" w:rsidP="002E4AF5">
      <w:pPr>
        <w:pStyle w:val="Heading1"/>
        <w:numPr>
          <w:ilvl w:val="0"/>
          <w:numId w:val="0"/>
        </w:numPr>
        <w:ind w:left="360" w:hanging="360"/>
        <w:rPr>
          <w:color w:val="65876D" w:themeColor="accent4" w:themeShade="BF"/>
        </w:rPr>
      </w:pPr>
      <w:bookmarkStart w:id="2" w:name="_Toc514017981"/>
      <w:r w:rsidRPr="00AA066E">
        <w:rPr>
          <w:color w:val="65876D" w:themeColor="accent4" w:themeShade="BF"/>
        </w:rPr>
        <w:t>Executive</w:t>
      </w:r>
      <w:r>
        <w:rPr>
          <w:color w:val="65876D" w:themeColor="accent4" w:themeShade="BF"/>
        </w:rPr>
        <w:t xml:space="preserve"> </w:t>
      </w:r>
      <w:r w:rsidRPr="004465AC">
        <w:rPr>
          <w:color w:val="65876D" w:themeColor="accent4" w:themeShade="BF"/>
        </w:rPr>
        <w:t>Summary</w:t>
      </w:r>
      <w:bookmarkEnd w:id="2"/>
    </w:p>
    <w:p w14:paraId="4988DD91" w14:textId="1427E2A8" w:rsidR="00BE440C" w:rsidRPr="00370232" w:rsidRDefault="00BE440C" w:rsidP="00370232">
      <w:pPr>
        <w:pStyle w:val="Para0"/>
      </w:pPr>
      <w:r>
        <w:t>Black Box (</w:t>
      </w:r>
      <w:r>
        <w:rPr>
          <w:i/>
          <w:iCs/>
        </w:rPr>
        <w:t>Eucalyptus largiflorens</w:t>
      </w:r>
      <w:r>
        <w:t xml:space="preserve">) is a small to medium sized tree that grows on the floodplains across the Murray-Darling Basin (the Basin), although it is more dominant in the southern basin. </w:t>
      </w:r>
    </w:p>
    <w:p w14:paraId="671F13B2" w14:textId="0998E4A9" w:rsidR="002E4AF5" w:rsidRPr="00F71E20" w:rsidRDefault="00BC4CB0" w:rsidP="002E4AF5">
      <w:pPr>
        <w:pStyle w:val="Para1bullet"/>
      </w:pPr>
      <w:r>
        <w:rPr>
          <w:color w:val="000000"/>
        </w:rPr>
        <w:t>T</w:t>
      </w:r>
      <w:r w:rsidR="002E4AF5" w:rsidRPr="00F71E20">
        <w:rPr>
          <w:color w:val="000000"/>
        </w:rPr>
        <w:t xml:space="preserve">here has been a significant overall decline in the condition of Black Box populations across the </w:t>
      </w:r>
      <w:r w:rsidR="0088616A">
        <w:rPr>
          <w:color w:val="000000"/>
        </w:rPr>
        <w:t xml:space="preserve">Murray-Darling </w:t>
      </w:r>
      <w:r w:rsidR="002E4AF5" w:rsidRPr="00F71E20">
        <w:rPr>
          <w:color w:val="000000"/>
        </w:rPr>
        <w:t>Basin since the 1980s, brought about by factors including</w:t>
      </w:r>
      <w:r w:rsidR="002E4AF5">
        <w:rPr>
          <w:color w:val="000000"/>
        </w:rPr>
        <w:t>,</w:t>
      </w:r>
      <w:r w:rsidR="002E4AF5" w:rsidRPr="00F71E20">
        <w:rPr>
          <w:color w:val="000000"/>
        </w:rPr>
        <w:t xml:space="preserve"> but not limited to</w:t>
      </w:r>
      <w:r w:rsidR="002E4AF5">
        <w:rPr>
          <w:color w:val="000000"/>
        </w:rPr>
        <w:t>,</w:t>
      </w:r>
      <w:r w:rsidR="002E4AF5" w:rsidRPr="00F71E20">
        <w:rPr>
          <w:color w:val="000000"/>
        </w:rPr>
        <w:t xml:space="preserve"> drought, river regulation, river water extraction, irrigation drainage, grazing, and land clearance.</w:t>
      </w:r>
      <w:r w:rsidR="002E4AF5">
        <w:rPr>
          <w:color w:val="000000"/>
        </w:rPr>
        <w:t xml:space="preserve"> </w:t>
      </w:r>
      <w:r w:rsidR="002E4AF5">
        <w:t>I</w:t>
      </w:r>
      <w:r w:rsidR="002E4AF5" w:rsidRPr="00F71E20">
        <w:t xml:space="preserve">n response to this decline, long term ecological objectives and outcomes have been set under the Basin-wide Environmental Watering Strategy (BWS) for Black Box vegetation. </w:t>
      </w:r>
    </w:p>
    <w:p w14:paraId="2E438D93" w14:textId="77777777" w:rsidR="002E4AF5" w:rsidRPr="00F71E20" w:rsidRDefault="002E4AF5" w:rsidP="002E4AF5">
      <w:pPr>
        <w:spacing w:before="240" w:after="120"/>
      </w:pPr>
      <w:r w:rsidRPr="00F71E20">
        <w:t xml:space="preserve">This Black Box Management Framework was developed to </w:t>
      </w:r>
      <w:r w:rsidRPr="00F71E20">
        <w:rPr>
          <w:i/>
          <w:iCs/>
        </w:rPr>
        <w:t>“assist practitioners in the assessment, planning and implementation of management practices, working towards sustainable ecological outcomes for the condition and extent of Black Box.”</w:t>
      </w:r>
      <w:r w:rsidRPr="00F71E20">
        <w:t xml:space="preserve"> It is focused on the management of existing viable trees</w:t>
      </w:r>
      <w:r>
        <w:t xml:space="preserve"> as part of a forest or woodland community. The Framework </w:t>
      </w:r>
      <w:r w:rsidRPr="00F71E20">
        <w:t xml:space="preserve">assumes that with an improvement in the condition </w:t>
      </w:r>
      <w:r>
        <w:t>o</w:t>
      </w:r>
      <w:r w:rsidRPr="00F71E20">
        <w:t xml:space="preserve">f </w:t>
      </w:r>
      <w:r>
        <w:t>existing Black Box trees</w:t>
      </w:r>
      <w:r w:rsidRPr="00F71E20">
        <w:t xml:space="preserve"> there </w:t>
      </w:r>
      <w:r>
        <w:t>will</w:t>
      </w:r>
      <w:r w:rsidRPr="00F71E20">
        <w:t xml:space="preserve"> be associated benefits to the </w:t>
      </w:r>
      <w:r>
        <w:t xml:space="preserve">sustainability of the species and to the </w:t>
      </w:r>
      <w:r w:rsidRPr="00F71E20">
        <w:t xml:space="preserve">broader </w:t>
      </w:r>
      <w:r>
        <w:t xml:space="preserve">flora and fauna of </w:t>
      </w:r>
      <w:r w:rsidRPr="00F71E20">
        <w:t xml:space="preserve">Black Box </w:t>
      </w:r>
      <w:r>
        <w:t>forest and w</w:t>
      </w:r>
      <w:r w:rsidRPr="00F71E20">
        <w:t>oodland communit</w:t>
      </w:r>
      <w:r>
        <w:t>ies</w:t>
      </w:r>
      <w:r w:rsidRPr="00F71E20">
        <w:t xml:space="preserve">.  </w:t>
      </w:r>
    </w:p>
    <w:p w14:paraId="709B082E" w14:textId="3E9DE32F" w:rsidR="002E4AF5" w:rsidRPr="002C79ED" w:rsidRDefault="002E4AF5" w:rsidP="002E4AF5">
      <w:pPr>
        <w:pStyle w:val="Para1bullet"/>
      </w:pPr>
      <w:r>
        <w:rPr>
          <w:rFonts w:cs="Arial"/>
          <w:szCs w:val="20"/>
        </w:rPr>
        <w:t xml:space="preserve">The Framework seeks to provide practitioners with a broad, adaptable set of processes, tools and management options that can be applied to Black Box growing on the floodplain and near wetlands. </w:t>
      </w:r>
      <w:r w:rsidRPr="00F87434">
        <w:rPr>
          <w:rFonts w:cs="Arial"/>
          <w:szCs w:val="20"/>
        </w:rPr>
        <w:t xml:space="preserve">The Framework provides a guided </w:t>
      </w:r>
      <w:r w:rsidR="009B6793">
        <w:rPr>
          <w:rFonts w:cs="Arial"/>
          <w:szCs w:val="20"/>
        </w:rPr>
        <w:t xml:space="preserve">evidence based </w:t>
      </w:r>
      <w:r w:rsidRPr="00F87434">
        <w:rPr>
          <w:rFonts w:cs="Arial"/>
          <w:szCs w:val="20"/>
        </w:rPr>
        <w:t>decision-making process</w:t>
      </w:r>
      <w:r>
        <w:rPr>
          <w:rFonts w:cs="Arial"/>
          <w:szCs w:val="20"/>
        </w:rPr>
        <w:t xml:space="preserve"> to</w:t>
      </w:r>
      <w:r w:rsidRPr="00C0196B">
        <w:rPr>
          <w:rFonts w:cs="Arial"/>
          <w:szCs w:val="20"/>
        </w:rPr>
        <w:t xml:space="preserve"> </w:t>
      </w:r>
      <w:r w:rsidRPr="00F87434">
        <w:rPr>
          <w:rFonts w:cs="Arial"/>
          <w:szCs w:val="20"/>
        </w:rPr>
        <w:t xml:space="preserve">support </w:t>
      </w:r>
      <w:r>
        <w:rPr>
          <w:rFonts w:cs="Arial"/>
          <w:szCs w:val="20"/>
        </w:rPr>
        <w:t xml:space="preserve">the </w:t>
      </w:r>
      <w:r w:rsidRPr="00F87434">
        <w:rPr>
          <w:rFonts w:cs="Arial"/>
          <w:szCs w:val="20"/>
        </w:rPr>
        <w:t xml:space="preserve">achievement of the ecological </w:t>
      </w:r>
      <w:r>
        <w:rPr>
          <w:rFonts w:cs="Arial"/>
          <w:szCs w:val="20"/>
        </w:rPr>
        <w:t>outcomes</w:t>
      </w:r>
      <w:r w:rsidRPr="00F87434">
        <w:rPr>
          <w:rFonts w:cs="Arial"/>
          <w:szCs w:val="20"/>
        </w:rPr>
        <w:t xml:space="preserve"> for Black Box, with advice on how to</w:t>
      </w:r>
      <w:r>
        <w:rPr>
          <w:rFonts w:cs="Arial"/>
          <w:szCs w:val="20"/>
        </w:rPr>
        <w:t xml:space="preserve">: </w:t>
      </w:r>
    </w:p>
    <w:p w14:paraId="6EBBFD3C" w14:textId="5B159B01" w:rsidR="007405D3" w:rsidRPr="00015000" w:rsidRDefault="00777705" w:rsidP="00F22225">
      <w:pPr>
        <w:pStyle w:val="Para1bullet"/>
        <w:numPr>
          <w:ilvl w:val="0"/>
          <w:numId w:val="61"/>
        </w:numPr>
      </w:pPr>
      <w:r>
        <w:rPr>
          <w:rFonts w:cs="Arial"/>
          <w:szCs w:val="20"/>
        </w:rPr>
        <w:t>Determine</w:t>
      </w:r>
      <w:r w:rsidRPr="00015000">
        <w:rPr>
          <w:rFonts w:cs="Arial"/>
          <w:szCs w:val="20"/>
        </w:rPr>
        <w:t xml:space="preserve"> </w:t>
      </w:r>
      <w:r w:rsidR="007405D3" w:rsidRPr="00015000">
        <w:rPr>
          <w:rFonts w:cs="Arial"/>
          <w:szCs w:val="20"/>
        </w:rPr>
        <w:t xml:space="preserve">the need for management </w:t>
      </w:r>
      <w:r w:rsidR="008B316E">
        <w:rPr>
          <w:rFonts w:cs="Arial"/>
          <w:szCs w:val="20"/>
        </w:rPr>
        <w:t>by</w:t>
      </w:r>
      <w:r w:rsidR="007405D3" w:rsidRPr="00015000">
        <w:rPr>
          <w:rFonts w:cs="Arial"/>
          <w:szCs w:val="20"/>
        </w:rPr>
        <w:t xml:space="preserve"> </w:t>
      </w:r>
      <w:r w:rsidR="008B316E" w:rsidRPr="00015000">
        <w:rPr>
          <w:rFonts w:cs="Arial"/>
          <w:szCs w:val="20"/>
        </w:rPr>
        <w:t>assess</w:t>
      </w:r>
      <w:r w:rsidR="008B316E">
        <w:rPr>
          <w:rFonts w:cs="Arial"/>
          <w:szCs w:val="20"/>
        </w:rPr>
        <w:t>ing</w:t>
      </w:r>
      <w:r w:rsidR="008B316E" w:rsidRPr="00015000">
        <w:rPr>
          <w:rFonts w:cs="Arial"/>
          <w:szCs w:val="20"/>
        </w:rPr>
        <w:t xml:space="preserve"> </w:t>
      </w:r>
      <w:r w:rsidR="007405D3" w:rsidRPr="00015000">
        <w:rPr>
          <w:rFonts w:cs="Arial"/>
          <w:szCs w:val="20"/>
        </w:rPr>
        <w:t xml:space="preserve">vegetation condition and </w:t>
      </w:r>
      <w:r w:rsidR="00BD0270">
        <w:rPr>
          <w:rFonts w:cs="Arial"/>
          <w:szCs w:val="20"/>
        </w:rPr>
        <w:t>stressors</w:t>
      </w:r>
      <w:r w:rsidR="007405D3" w:rsidRPr="00015000">
        <w:rPr>
          <w:rFonts w:cs="Arial"/>
          <w:szCs w:val="20"/>
        </w:rPr>
        <w:t xml:space="preserve">. This is </w:t>
      </w:r>
      <w:r w:rsidR="00BF4B4C">
        <w:rPr>
          <w:rFonts w:cs="Arial"/>
          <w:szCs w:val="20"/>
        </w:rPr>
        <w:t>undertaken</w:t>
      </w:r>
      <w:r w:rsidR="007405D3" w:rsidRPr="00015000">
        <w:rPr>
          <w:rFonts w:cs="Arial"/>
          <w:szCs w:val="20"/>
        </w:rPr>
        <w:t xml:space="preserve"> by </w:t>
      </w:r>
      <w:r w:rsidR="007405D3">
        <w:rPr>
          <w:rFonts w:cs="Arial"/>
          <w:szCs w:val="20"/>
        </w:rPr>
        <w:t>c</w:t>
      </w:r>
      <w:r w:rsidR="007405D3" w:rsidRPr="00015000">
        <w:rPr>
          <w:rFonts w:cs="Arial"/>
          <w:szCs w:val="20"/>
        </w:rPr>
        <w:t>onduct</w:t>
      </w:r>
      <w:r w:rsidR="007405D3">
        <w:rPr>
          <w:rFonts w:cs="Arial"/>
          <w:szCs w:val="20"/>
        </w:rPr>
        <w:t>ing</w:t>
      </w:r>
      <w:r w:rsidR="007405D3" w:rsidRPr="00F71E20">
        <w:t xml:space="preserve"> a site investigation, </w:t>
      </w:r>
      <w:r w:rsidR="007405D3">
        <w:t xml:space="preserve">to provide an evidence base for the understanding of </w:t>
      </w:r>
      <w:r w:rsidR="00D503E5">
        <w:t>the factors effecting Black Box condition</w:t>
      </w:r>
      <w:r w:rsidR="007405D3">
        <w:t xml:space="preserve"> and </w:t>
      </w:r>
      <w:r w:rsidR="00D503E5">
        <w:t xml:space="preserve">defining </w:t>
      </w:r>
      <w:r w:rsidR="007405D3">
        <w:t xml:space="preserve">management </w:t>
      </w:r>
      <w:r w:rsidR="007405D3" w:rsidRPr="00F71E20">
        <w:t>objective</w:t>
      </w:r>
      <w:r w:rsidR="007405D3">
        <w:t>s</w:t>
      </w:r>
      <w:r w:rsidR="007405D3">
        <w:rPr>
          <w:rFonts w:cs="Arial"/>
          <w:szCs w:val="20"/>
        </w:rPr>
        <w:t xml:space="preserve"> (Part A)</w:t>
      </w:r>
      <w:r w:rsidR="00F771F6">
        <w:rPr>
          <w:rFonts w:cs="Arial"/>
          <w:szCs w:val="20"/>
        </w:rPr>
        <w:t>.</w:t>
      </w:r>
    </w:p>
    <w:p w14:paraId="3CEEDEE8" w14:textId="0A36C4CB" w:rsidR="007405D3" w:rsidRPr="00C260AB" w:rsidRDefault="007405D3" w:rsidP="00F22225">
      <w:pPr>
        <w:pStyle w:val="Para1bullet"/>
        <w:numPr>
          <w:ilvl w:val="0"/>
          <w:numId w:val="61"/>
        </w:numPr>
      </w:pPr>
      <w:r>
        <w:rPr>
          <w:rFonts w:cs="Arial"/>
          <w:szCs w:val="20"/>
        </w:rPr>
        <w:t xml:space="preserve">Develop a range of </w:t>
      </w:r>
      <w:r w:rsidR="00BF0630">
        <w:rPr>
          <w:rFonts w:cs="Arial"/>
          <w:szCs w:val="20"/>
        </w:rPr>
        <w:t xml:space="preserve">potential </w:t>
      </w:r>
      <w:r w:rsidRPr="00015000">
        <w:rPr>
          <w:rFonts w:cs="Arial"/>
          <w:szCs w:val="20"/>
        </w:rPr>
        <w:t xml:space="preserve">management options </w:t>
      </w:r>
      <w:r w:rsidR="00BF0630">
        <w:rPr>
          <w:rFonts w:cs="Arial"/>
          <w:szCs w:val="20"/>
        </w:rPr>
        <w:t>for</w:t>
      </w:r>
      <w:r w:rsidRPr="00015000">
        <w:rPr>
          <w:rFonts w:cs="Arial"/>
          <w:szCs w:val="20"/>
        </w:rPr>
        <w:t xml:space="preserve"> a site. This requires gathering and synthesising information through a combinatio</w:t>
      </w:r>
      <w:r>
        <w:rPr>
          <w:rFonts w:cs="Arial"/>
          <w:szCs w:val="20"/>
        </w:rPr>
        <w:t>n of field and desktop research (Part A)</w:t>
      </w:r>
      <w:r w:rsidR="00F771F6">
        <w:rPr>
          <w:rFonts w:cs="Arial"/>
          <w:szCs w:val="20"/>
        </w:rPr>
        <w:t>.</w:t>
      </w:r>
    </w:p>
    <w:p w14:paraId="32EA4AB7" w14:textId="77777777" w:rsidR="007405D3" w:rsidRPr="00F71E20" w:rsidRDefault="007405D3" w:rsidP="00F22225">
      <w:pPr>
        <w:pStyle w:val="Para1bullet"/>
        <w:numPr>
          <w:ilvl w:val="0"/>
          <w:numId w:val="61"/>
        </w:numPr>
      </w:pPr>
      <w:r w:rsidRPr="00D6645C">
        <w:rPr>
          <w:rFonts w:cs="Arial"/>
          <w:szCs w:val="20"/>
        </w:rPr>
        <w:t>Develop</w:t>
      </w:r>
      <w:r w:rsidRPr="00F71E20">
        <w:rPr>
          <w:rFonts w:cs="Arial"/>
          <w:szCs w:val="20"/>
        </w:rPr>
        <w:t xml:space="preserve"> a Site Management </w:t>
      </w:r>
      <w:r w:rsidRPr="00D6645C">
        <w:rPr>
          <w:rFonts w:cs="Arial"/>
          <w:szCs w:val="20"/>
        </w:rPr>
        <w:t>Plan, which</w:t>
      </w:r>
      <w:r w:rsidRPr="00F71E20">
        <w:rPr>
          <w:rFonts w:cs="Arial"/>
          <w:szCs w:val="20"/>
        </w:rPr>
        <w:t xml:space="preserve"> involves prioritisation of management options for </w:t>
      </w:r>
      <w:r>
        <w:rPr>
          <w:rFonts w:cs="Arial"/>
          <w:szCs w:val="20"/>
        </w:rPr>
        <w:t>a</w:t>
      </w:r>
      <w:r w:rsidRPr="00F71E20">
        <w:rPr>
          <w:rFonts w:cs="Arial"/>
          <w:szCs w:val="20"/>
        </w:rPr>
        <w:t xml:space="preserve"> site through consider</w:t>
      </w:r>
      <w:r>
        <w:rPr>
          <w:rFonts w:cs="Arial"/>
          <w:szCs w:val="20"/>
        </w:rPr>
        <w:t>ing</w:t>
      </w:r>
      <w:r w:rsidRPr="00F71E20">
        <w:rPr>
          <w:rFonts w:cs="Arial"/>
          <w:szCs w:val="20"/>
        </w:rPr>
        <w:t xml:space="preserve"> the </w:t>
      </w:r>
      <w:r>
        <w:rPr>
          <w:rFonts w:cs="Arial"/>
          <w:szCs w:val="20"/>
        </w:rPr>
        <w:t xml:space="preserve">vulnerability and the </w:t>
      </w:r>
      <w:r w:rsidRPr="00F71E20">
        <w:rPr>
          <w:rFonts w:cs="Arial"/>
          <w:szCs w:val="20"/>
        </w:rPr>
        <w:t>feasibility of various management actions to meet site objectives, available resources, and assessment of risks and benefits</w:t>
      </w:r>
      <w:r>
        <w:rPr>
          <w:rFonts w:cs="Arial"/>
          <w:szCs w:val="20"/>
        </w:rPr>
        <w:t xml:space="preserve"> (Part B)</w:t>
      </w:r>
      <w:r w:rsidRPr="00F71E20">
        <w:rPr>
          <w:rFonts w:cs="Arial"/>
          <w:szCs w:val="20"/>
        </w:rPr>
        <w:t xml:space="preserve">. </w:t>
      </w:r>
    </w:p>
    <w:p w14:paraId="61411F8D" w14:textId="31D69B99" w:rsidR="007405D3" w:rsidRPr="00D6645C" w:rsidRDefault="007405D3" w:rsidP="00F22225">
      <w:pPr>
        <w:pStyle w:val="Para1bullet"/>
        <w:numPr>
          <w:ilvl w:val="0"/>
          <w:numId w:val="61"/>
        </w:numPr>
      </w:pPr>
      <w:r w:rsidRPr="00D6645C">
        <w:rPr>
          <w:rFonts w:cs="Arial"/>
          <w:szCs w:val="20"/>
        </w:rPr>
        <w:t>Prioritise</w:t>
      </w:r>
      <w:r w:rsidR="00F31668">
        <w:rPr>
          <w:rFonts w:cs="Arial"/>
          <w:szCs w:val="20"/>
        </w:rPr>
        <w:t>,</w:t>
      </w:r>
      <w:r w:rsidRPr="00F71E20">
        <w:rPr>
          <w:rFonts w:cs="Arial"/>
          <w:szCs w:val="20"/>
        </w:rPr>
        <w:t xml:space="preserve"> </w:t>
      </w:r>
      <w:r>
        <w:rPr>
          <w:rFonts w:cs="Arial"/>
          <w:szCs w:val="20"/>
        </w:rPr>
        <w:t xml:space="preserve">through transparent and </w:t>
      </w:r>
      <w:r w:rsidR="0021389B">
        <w:rPr>
          <w:rFonts w:cs="Arial"/>
          <w:szCs w:val="20"/>
        </w:rPr>
        <w:t>evidence-based</w:t>
      </w:r>
      <w:r>
        <w:rPr>
          <w:rFonts w:cs="Arial"/>
          <w:szCs w:val="20"/>
        </w:rPr>
        <w:t xml:space="preserve"> assessment</w:t>
      </w:r>
      <w:r w:rsidR="00F31668">
        <w:rPr>
          <w:rFonts w:cs="Arial"/>
          <w:szCs w:val="20"/>
        </w:rPr>
        <w:t>,</w:t>
      </w:r>
      <w:r>
        <w:rPr>
          <w:rFonts w:cs="Arial"/>
          <w:szCs w:val="20"/>
        </w:rPr>
        <w:t xml:space="preserve"> </w:t>
      </w:r>
      <w:r w:rsidRPr="00F71E20">
        <w:rPr>
          <w:rFonts w:cs="Arial"/>
          <w:szCs w:val="20"/>
        </w:rPr>
        <w:t>management actions across the Basin</w:t>
      </w:r>
      <w:r w:rsidR="00873AD1">
        <w:rPr>
          <w:rFonts w:cs="Arial"/>
          <w:szCs w:val="20"/>
        </w:rPr>
        <w:t xml:space="preserve">. These </w:t>
      </w:r>
      <w:r>
        <w:rPr>
          <w:rFonts w:cs="Arial"/>
          <w:szCs w:val="20"/>
        </w:rPr>
        <w:t>includ</w:t>
      </w:r>
      <w:r w:rsidR="00873AD1">
        <w:rPr>
          <w:rFonts w:cs="Arial"/>
          <w:szCs w:val="20"/>
        </w:rPr>
        <w:t>e</w:t>
      </w:r>
      <w:r>
        <w:rPr>
          <w:rFonts w:cs="Arial"/>
          <w:szCs w:val="20"/>
        </w:rPr>
        <w:t xml:space="preserve"> the</w:t>
      </w:r>
      <w:r w:rsidRPr="00F71E20">
        <w:rPr>
          <w:rFonts w:cs="Arial"/>
          <w:szCs w:val="20"/>
        </w:rPr>
        <w:t xml:space="preserve"> assessment of submitted site scale plans in consideration of Basin objectives, available resources, and the distribution of Black Box condition</w:t>
      </w:r>
      <w:r>
        <w:rPr>
          <w:rFonts w:cs="Arial"/>
          <w:szCs w:val="20"/>
        </w:rPr>
        <w:t>, vulnerability</w:t>
      </w:r>
      <w:r w:rsidRPr="00F71E20">
        <w:rPr>
          <w:rFonts w:cs="Arial"/>
          <w:szCs w:val="20"/>
        </w:rPr>
        <w:t xml:space="preserve"> and stressors</w:t>
      </w:r>
      <w:r>
        <w:rPr>
          <w:rFonts w:cs="Arial"/>
          <w:szCs w:val="20"/>
        </w:rPr>
        <w:t xml:space="preserve"> (Part C)</w:t>
      </w:r>
      <w:r w:rsidRPr="00F71E20">
        <w:rPr>
          <w:rFonts w:cs="Arial"/>
          <w:szCs w:val="20"/>
        </w:rPr>
        <w:t>.</w:t>
      </w:r>
    </w:p>
    <w:p w14:paraId="66E850EC" w14:textId="77777777" w:rsidR="008B316E" w:rsidRDefault="002E4AF5" w:rsidP="009144E4">
      <w:pPr>
        <w:pStyle w:val="Para0bullet"/>
        <w:numPr>
          <w:ilvl w:val="0"/>
          <w:numId w:val="0"/>
        </w:numPr>
        <w:tabs>
          <w:tab w:val="clear" w:pos="851"/>
        </w:tabs>
      </w:pPr>
      <w:r w:rsidRPr="00F71E20">
        <w:t>Given the broad spatial extent of Black Box vegetation and the influence of regional groundwater</w:t>
      </w:r>
      <w:r w:rsidR="00873AD1">
        <w:t xml:space="preserve"> and </w:t>
      </w:r>
      <w:r w:rsidRPr="00F71E20">
        <w:t xml:space="preserve">surface water processes on vegetation condition, effective management requires a holistic approach using multiple complementary interventions. The Framework outlines a suite of different options </w:t>
      </w:r>
      <w:r w:rsidR="00BD0270">
        <w:t xml:space="preserve">and tools </w:t>
      </w:r>
      <w:r w:rsidRPr="00F71E20">
        <w:t xml:space="preserve">that may be considered to </w:t>
      </w:r>
      <w:r>
        <w:t>manage the impact of</w:t>
      </w:r>
      <w:r w:rsidRPr="00F71E20">
        <w:t xml:space="preserve"> underlining stressors affecting Black Box condition.</w:t>
      </w:r>
      <w:r w:rsidR="009B6793">
        <w:t xml:space="preserve"> </w:t>
      </w:r>
      <w:r w:rsidR="00B9681D">
        <w:t>The process and use of these tools at a site scale is demonstrated through a</w:t>
      </w:r>
      <w:r w:rsidR="009B6793">
        <w:t xml:space="preserve"> case study at Calperum Station in Sou</w:t>
      </w:r>
      <w:r w:rsidR="00B9681D">
        <w:t>th Australia</w:t>
      </w:r>
      <w:r w:rsidR="0068184B">
        <w:t>, part of the Riverland Ramsar Site</w:t>
      </w:r>
      <w:r w:rsidR="00B9681D">
        <w:t xml:space="preserve">. They are also applicable </w:t>
      </w:r>
      <w:r w:rsidR="009B6793">
        <w:t>a</w:t>
      </w:r>
      <w:r w:rsidR="00B9681D">
        <w:t xml:space="preserve">t multiple scales of management, and preliminary </w:t>
      </w:r>
      <w:r w:rsidR="009B6793">
        <w:t xml:space="preserve">reach scale and Basin scale analysis </w:t>
      </w:r>
      <w:r w:rsidR="00B9681D">
        <w:t>is provided.</w:t>
      </w:r>
    </w:p>
    <w:p w14:paraId="5027CCC1" w14:textId="75922EF7" w:rsidR="00BE440C" w:rsidRDefault="00BE440C" w:rsidP="00153E59">
      <w:pPr>
        <w:pStyle w:val="Para0bullet"/>
        <w:numPr>
          <w:ilvl w:val="0"/>
          <w:numId w:val="0"/>
        </w:numPr>
        <w:tabs>
          <w:tab w:val="clear" w:pos="851"/>
        </w:tabs>
        <w:rPr>
          <w:color w:val="000000" w:themeColor="text1"/>
        </w:rPr>
      </w:pPr>
      <w:r w:rsidRPr="00AD4297">
        <w:t>Uncertainty is inherent when working within complex eco-hydrological environments</w:t>
      </w:r>
      <w:r>
        <w:t>. Throughout the Framework, working with uncertainty is addressed through a confidence assessment process</w:t>
      </w:r>
      <w:r w:rsidR="007764E8">
        <w:t xml:space="preserve">. This process provides a means to guide or evaluate information used for determining management requirements, and providing confidence in the decision for resource investment. </w:t>
      </w:r>
      <w:r>
        <w:rPr>
          <w:color w:val="000000" w:themeColor="text1"/>
        </w:rPr>
        <w:t xml:space="preserve">The level of confidence that is required for a </w:t>
      </w:r>
      <w:r w:rsidR="00AD6010">
        <w:rPr>
          <w:color w:val="000000" w:themeColor="text1"/>
        </w:rPr>
        <w:t>site</w:t>
      </w:r>
      <w:r>
        <w:rPr>
          <w:color w:val="000000" w:themeColor="text1"/>
        </w:rPr>
        <w:t xml:space="preserve"> should relate directly to the scale of the site, the proposed level of investment in management options, and the scale of benefits expected from management.</w:t>
      </w:r>
    </w:p>
    <w:p w14:paraId="3916B292" w14:textId="465B555E" w:rsidR="00F10DDF" w:rsidRDefault="00FA57E1" w:rsidP="00474FE8">
      <w:pPr>
        <w:pStyle w:val="Para1bullet"/>
      </w:pPr>
      <w:r>
        <w:t>R</w:t>
      </w:r>
      <w:r w:rsidR="00F10DDF">
        <w:t>esulting from analysis that have been undertaken at site, regional and basin scale</w:t>
      </w:r>
      <w:r w:rsidR="00175E0F">
        <w:t>s</w:t>
      </w:r>
      <w:r>
        <w:t>,</w:t>
      </w:r>
      <w:r w:rsidRPr="00FA57E1">
        <w:t xml:space="preserve"> </w:t>
      </w:r>
      <w:r>
        <w:t>the Framework presents a key set of principles for management of Black Box</w:t>
      </w:r>
      <w:r w:rsidR="00F10DDF">
        <w:t xml:space="preserve">. These include: </w:t>
      </w:r>
    </w:p>
    <w:p w14:paraId="35131C83" w14:textId="60B7A4FD" w:rsidR="003B142F" w:rsidRPr="00331D81" w:rsidRDefault="003B142F" w:rsidP="00F22225">
      <w:pPr>
        <w:pStyle w:val="CommentText"/>
        <w:numPr>
          <w:ilvl w:val="0"/>
          <w:numId w:val="54"/>
        </w:numPr>
      </w:pPr>
      <w:r w:rsidRPr="00331D81">
        <w:t>Environmental water is likel</w:t>
      </w:r>
      <w:r>
        <w:t>y to be effective where there are</w:t>
      </w:r>
      <w:r w:rsidRPr="00331D81">
        <w:t xml:space="preserve"> viable Black Box trees identified as “flow” stressed”, but less effective where the floodplain is subject to salinity stress.</w:t>
      </w:r>
      <w:r>
        <w:t xml:space="preserve"> </w:t>
      </w:r>
    </w:p>
    <w:p w14:paraId="3920F13C" w14:textId="31CE4498" w:rsidR="00370232" w:rsidRDefault="003B142F" w:rsidP="00F22225">
      <w:pPr>
        <w:pStyle w:val="CommentText"/>
        <w:numPr>
          <w:ilvl w:val="0"/>
          <w:numId w:val="54"/>
        </w:numPr>
      </w:pPr>
      <w:r w:rsidRPr="00331D81">
        <w:t>The achievement of sustainable outcomes for Black Box populations is dependent on complementary land and water management interventions.</w:t>
      </w:r>
      <w:r>
        <w:t xml:space="preserve"> </w:t>
      </w:r>
      <w:r w:rsidR="004072D5">
        <w:t xml:space="preserve">Much of the </w:t>
      </w:r>
      <w:r w:rsidR="009A3529">
        <w:t>Black Box throughout the Basin</w:t>
      </w:r>
      <w:r w:rsidR="00370232">
        <w:t xml:space="preserve"> </w:t>
      </w:r>
      <w:r w:rsidR="001A6547">
        <w:t xml:space="preserve">would require </w:t>
      </w:r>
      <w:r w:rsidR="004072D5">
        <w:t>a combination of complementary me</w:t>
      </w:r>
      <w:r w:rsidR="001A6547">
        <w:t>asures</w:t>
      </w:r>
      <w:r w:rsidR="009A3529">
        <w:t xml:space="preserve"> </w:t>
      </w:r>
      <w:r w:rsidR="004072D5">
        <w:t>as part of a management regime</w:t>
      </w:r>
      <w:r w:rsidR="00153E59">
        <w:t>.</w:t>
      </w:r>
    </w:p>
    <w:p w14:paraId="4AC2AD08" w14:textId="3DD13A02" w:rsidR="003B142F" w:rsidRPr="00370232" w:rsidRDefault="00370232" w:rsidP="00F22225">
      <w:pPr>
        <w:pStyle w:val="CommentText"/>
        <w:numPr>
          <w:ilvl w:val="0"/>
          <w:numId w:val="54"/>
        </w:numPr>
      </w:pPr>
      <w:r>
        <w:t>As a long-lived and slow-growing tree, mature Black Box takes many years to transition bet</w:t>
      </w:r>
      <w:r w:rsidR="00175E0F">
        <w:t xml:space="preserve">ween different condition states. </w:t>
      </w:r>
      <w:r>
        <w:t xml:space="preserve">The responsiveness of Black Box to change in condition is dependent on the severity of the stresses imposed. The setting of objectives and targeted outcomes for a site should therefore recognise the temporal commitment required and the interim </w:t>
      </w:r>
      <w:r w:rsidR="00AD6010">
        <w:t>measurable</w:t>
      </w:r>
      <w:r>
        <w:t xml:space="preserve"> targets observable in pursuit of long term Black Box outcomes.</w:t>
      </w:r>
    </w:p>
    <w:p w14:paraId="618D96A4" w14:textId="0D1BC8A8" w:rsidR="00881A0D" w:rsidRDefault="0058586B" w:rsidP="00881A0D">
      <w:pPr>
        <w:pStyle w:val="Para0"/>
      </w:pPr>
      <w:r>
        <w:t xml:space="preserve">Vulnerability is a key factor in prioritising resources for Black Box management. It is a combination of condition, stressors, and the likelihood of decline. A preliminary basin wide analysis of vulnerability </w:t>
      </w:r>
      <w:r w:rsidR="00175E0F">
        <w:t>identified</w:t>
      </w:r>
      <w:r>
        <w:t xml:space="preserve"> key zones of high and low vulnerability based on a combination of flooding frequency, groundwater salinity and groundwater depth information. </w:t>
      </w:r>
      <w:r w:rsidR="00881A0D">
        <w:t>This analysis</w:t>
      </w:r>
      <w:r w:rsidR="00881A0D" w:rsidRPr="00070AB3">
        <w:t xml:space="preserve"> identifies the Basin Plan regions of Macquarie-Castle</w:t>
      </w:r>
      <w:r w:rsidR="00881A0D">
        <w:t>r</w:t>
      </w:r>
      <w:r w:rsidR="00881A0D" w:rsidRPr="00070AB3">
        <w:t xml:space="preserve">eagh, Lower Darling, and </w:t>
      </w:r>
      <w:r w:rsidR="00153E59">
        <w:t xml:space="preserve">lower River </w:t>
      </w:r>
      <w:r w:rsidR="00881A0D" w:rsidRPr="00070AB3">
        <w:t xml:space="preserve">Murray </w:t>
      </w:r>
      <w:r w:rsidR="00175E0F">
        <w:t>as having</w:t>
      </w:r>
      <w:r w:rsidR="00881A0D" w:rsidRPr="00070AB3">
        <w:t xml:space="preserve"> the largest areas of vulnerable Black Box vegetation</w:t>
      </w:r>
      <w:r w:rsidR="004072D5">
        <w:t>.</w:t>
      </w:r>
    </w:p>
    <w:p w14:paraId="294C58E0" w14:textId="2C2726FC" w:rsidR="004072D5" w:rsidRPr="004072D5" w:rsidRDefault="004072D5" w:rsidP="004072D5">
      <w:pPr>
        <w:spacing w:after="0"/>
        <w:ind w:firstLine="1"/>
        <w:rPr>
          <w:rFonts w:cs="Times New Roman"/>
        </w:rPr>
      </w:pPr>
      <w:r w:rsidRPr="004072D5">
        <w:rPr>
          <w:rFonts w:cs="Times New Roman"/>
        </w:rPr>
        <w:t xml:space="preserve">The Framework aims to provide a process to guide practitioners in determining the appropriate suite of management options targeting the maintenance and </w:t>
      </w:r>
      <w:r w:rsidR="00AD6010" w:rsidRPr="004072D5">
        <w:rPr>
          <w:rFonts w:cs="Times New Roman"/>
        </w:rPr>
        <w:t>long-term</w:t>
      </w:r>
      <w:r w:rsidRPr="004072D5">
        <w:rPr>
          <w:rFonts w:cs="Times New Roman"/>
        </w:rPr>
        <w:t xml:space="preserve"> improvement in the condition of Black Box trees and their ecosystem function. Principles and strategies for targeting the basin-scale outcomes aim to support planning and decisions for maximising the effective use of available resources.</w:t>
      </w:r>
      <w:r w:rsidR="009144E4">
        <w:rPr>
          <w:rFonts w:cs="Times New Roman"/>
        </w:rPr>
        <w:t xml:space="preserve"> </w:t>
      </w:r>
    </w:p>
    <w:p w14:paraId="70FA549A" w14:textId="77777777" w:rsidR="004072D5" w:rsidRPr="004072D5" w:rsidRDefault="004072D5" w:rsidP="004072D5">
      <w:pPr>
        <w:spacing w:after="0"/>
        <w:rPr>
          <w:rFonts w:cs="Times New Roman"/>
          <w:lang w:val="en-US"/>
        </w:rPr>
      </w:pPr>
    </w:p>
    <w:p w14:paraId="77D9B7F5" w14:textId="77777777" w:rsidR="004072D5" w:rsidRPr="00331D81" w:rsidRDefault="004072D5" w:rsidP="00881A0D">
      <w:pPr>
        <w:pStyle w:val="Para0"/>
      </w:pPr>
    </w:p>
    <w:p w14:paraId="546F5A2B" w14:textId="77777777" w:rsidR="0058586B" w:rsidRDefault="0058586B" w:rsidP="00175E0F">
      <w:pPr>
        <w:pStyle w:val="CommentText"/>
      </w:pPr>
    </w:p>
    <w:p w14:paraId="5C961D96" w14:textId="77777777" w:rsidR="00F10DDF" w:rsidRDefault="00F10DDF" w:rsidP="00474FE8">
      <w:pPr>
        <w:pStyle w:val="Para1bullet"/>
      </w:pPr>
    </w:p>
    <w:p w14:paraId="72E96783" w14:textId="7984FE62" w:rsidR="00C04FE4" w:rsidRPr="00EF3609" w:rsidRDefault="00C04FE4" w:rsidP="000463EC">
      <w:pPr>
        <w:pStyle w:val="Contents"/>
        <w:rPr>
          <w:color w:val="65876D" w:themeColor="accent4" w:themeShade="BF"/>
        </w:rPr>
      </w:pPr>
      <w:r w:rsidRPr="00EF3609">
        <w:rPr>
          <w:color w:val="65876D" w:themeColor="accent4" w:themeShade="BF"/>
        </w:rPr>
        <w:t>Contents</w:t>
      </w:r>
    </w:p>
    <w:sdt>
      <w:sdtPr>
        <w:rPr>
          <w:noProof w:val="0"/>
        </w:rPr>
        <w:id w:val="243461376"/>
        <w:docPartObj>
          <w:docPartGallery w:val="Table of Contents"/>
          <w:docPartUnique/>
        </w:docPartObj>
      </w:sdtPr>
      <w:sdtEndPr>
        <w:rPr>
          <w:noProof/>
        </w:rPr>
      </w:sdtEndPr>
      <w:sdtContent>
        <w:p w14:paraId="3C143360" w14:textId="5FD2B9ED" w:rsidR="000F2F27" w:rsidRDefault="007A45D5">
          <w:pPr>
            <w:pStyle w:val="TOC1"/>
            <w:rPr>
              <w:rFonts w:asciiTheme="minorHAnsi" w:hAnsiTheme="minorHAnsi"/>
              <w:b w:val="0"/>
              <w:sz w:val="22"/>
              <w:szCs w:val="22"/>
              <w:lang w:eastAsia="en-AU"/>
            </w:rPr>
          </w:pPr>
          <w:r>
            <w:fldChar w:fldCharType="begin"/>
          </w:r>
          <w:r>
            <w:instrText xml:space="preserve"> TOC \o "1-2" \h \z \u </w:instrText>
          </w:r>
          <w:r>
            <w:fldChar w:fldCharType="separate"/>
          </w:r>
          <w:hyperlink w:anchor="_Toc514017981" w:history="1">
            <w:r w:rsidR="000F2F27" w:rsidRPr="002978DC">
              <w:rPr>
                <w:rStyle w:val="Hyperlink"/>
              </w:rPr>
              <w:t>Executive Summary</w:t>
            </w:r>
            <w:r w:rsidR="000F2F27">
              <w:rPr>
                <w:webHidden/>
              </w:rPr>
              <w:tab/>
            </w:r>
            <w:r w:rsidR="000F2F27">
              <w:rPr>
                <w:webHidden/>
              </w:rPr>
              <w:fldChar w:fldCharType="begin"/>
            </w:r>
            <w:r w:rsidR="000F2F27">
              <w:rPr>
                <w:webHidden/>
              </w:rPr>
              <w:instrText xml:space="preserve"> PAGEREF _Toc514017981 \h </w:instrText>
            </w:r>
            <w:r w:rsidR="000F2F27">
              <w:rPr>
                <w:webHidden/>
              </w:rPr>
            </w:r>
            <w:r w:rsidR="000F2F27">
              <w:rPr>
                <w:webHidden/>
              </w:rPr>
              <w:fldChar w:fldCharType="separate"/>
            </w:r>
            <w:r w:rsidR="000F2F27">
              <w:rPr>
                <w:webHidden/>
              </w:rPr>
              <w:t>ii</w:t>
            </w:r>
            <w:r w:rsidR="000F2F27">
              <w:rPr>
                <w:webHidden/>
              </w:rPr>
              <w:fldChar w:fldCharType="end"/>
            </w:r>
          </w:hyperlink>
        </w:p>
        <w:p w14:paraId="6E03B7CC" w14:textId="0452FC6B" w:rsidR="000F2F27" w:rsidRDefault="005C788A">
          <w:pPr>
            <w:pStyle w:val="TOC1"/>
            <w:rPr>
              <w:rFonts w:asciiTheme="minorHAnsi" w:hAnsiTheme="minorHAnsi"/>
              <w:b w:val="0"/>
              <w:sz w:val="22"/>
              <w:szCs w:val="22"/>
              <w:lang w:eastAsia="en-AU"/>
            </w:rPr>
          </w:pPr>
          <w:hyperlink w:anchor="_Toc514017982" w:history="1">
            <w:r w:rsidR="000F2F27" w:rsidRPr="002978DC">
              <w:rPr>
                <w:rStyle w:val="Hyperlink"/>
              </w:rPr>
              <w:t>1.</w:t>
            </w:r>
            <w:r w:rsidR="000F2F27">
              <w:rPr>
                <w:rFonts w:asciiTheme="minorHAnsi" w:hAnsiTheme="minorHAnsi"/>
                <w:b w:val="0"/>
                <w:sz w:val="22"/>
                <w:szCs w:val="22"/>
                <w:lang w:eastAsia="en-AU"/>
              </w:rPr>
              <w:tab/>
            </w:r>
            <w:r w:rsidR="000F2F27" w:rsidRPr="002978DC">
              <w:rPr>
                <w:rStyle w:val="Hyperlink"/>
              </w:rPr>
              <w:t>Introduction</w:t>
            </w:r>
            <w:r w:rsidR="000F2F27">
              <w:rPr>
                <w:webHidden/>
              </w:rPr>
              <w:tab/>
            </w:r>
            <w:r w:rsidR="000F2F27">
              <w:rPr>
                <w:webHidden/>
              </w:rPr>
              <w:fldChar w:fldCharType="begin"/>
            </w:r>
            <w:r w:rsidR="000F2F27">
              <w:rPr>
                <w:webHidden/>
              </w:rPr>
              <w:instrText xml:space="preserve"> PAGEREF _Toc514017982 \h </w:instrText>
            </w:r>
            <w:r w:rsidR="000F2F27">
              <w:rPr>
                <w:webHidden/>
              </w:rPr>
            </w:r>
            <w:r w:rsidR="000F2F27">
              <w:rPr>
                <w:webHidden/>
              </w:rPr>
              <w:fldChar w:fldCharType="separate"/>
            </w:r>
            <w:r w:rsidR="000F2F27">
              <w:rPr>
                <w:webHidden/>
              </w:rPr>
              <w:t>1</w:t>
            </w:r>
            <w:r w:rsidR="000F2F27">
              <w:rPr>
                <w:webHidden/>
              </w:rPr>
              <w:fldChar w:fldCharType="end"/>
            </w:r>
          </w:hyperlink>
        </w:p>
        <w:p w14:paraId="1FAF09B8" w14:textId="644A7FA7" w:rsidR="000F2F27" w:rsidRDefault="005C788A">
          <w:pPr>
            <w:pStyle w:val="TOC2"/>
            <w:rPr>
              <w:rFonts w:asciiTheme="minorHAnsi" w:hAnsiTheme="minorHAnsi"/>
              <w:sz w:val="22"/>
              <w:szCs w:val="22"/>
              <w:lang w:eastAsia="en-AU"/>
            </w:rPr>
          </w:pPr>
          <w:hyperlink w:anchor="_Toc514017983" w:history="1">
            <w:r w:rsidR="000F2F27" w:rsidRPr="002978DC">
              <w:rPr>
                <w:rStyle w:val="Hyperlink"/>
              </w:rPr>
              <w:t>1.1</w:t>
            </w:r>
            <w:r w:rsidR="000F2F27">
              <w:rPr>
                <w:rFonts w:asciiTheme="minorHAnsi" w:hAnsiTheme="minorHAnsi"/>
                <w:sz w:val="22"/>
                <w:szCs w:val="22"/>
                <w:lang w:eastAsia="en-AU"/>
              </w:rPr>
              <w:tab/>
            </w:r>
            <w:r w:rsidR="000F2F27" w:rsidRPr="002978DC">
              <w:rPr>
                <w:rStyle w:val="Hyperlink"/>
              </w:rPr>
              <w:t>Black Box Communities and the Need for Management</w:t>
            </w:r>
            <w:r w:rsidR="000F2F27">
              <w:rPr>
                <w:webHidden/>
              </w:rPr>
              <w:tab/>
            </w:r>
            <w:r w:rsidR="000F2F27">
              <w:rPr>
                <w:webHidden/>
              </w:rPr>
              <w:fldChar w:fldCharType="begin"/>
            </w:r>
            <w:r w:rsidR="000F2F27">
              <w:rPr>
                <w:webHidden/>
              </w:rPr>
              <w:instrText xml:space="preserve"> PAGEREF _Toc514017983 \h </w:instrText>
            </w:r>
            <w:r w:rsidR="000F2F27">
              <w:rPr>
                <w:webHidden/>
              </w:rPr>
            </w:r>
            <w:r w:rsidR="000F2F27">
              <w:rPr>
                <w:webHidden/>
              </w:rPr>
              <w:fldChar w:fldCharType="separate"/>
            </w:r>
            <w:r w:rsidR="000F2F27">
              <w:rPr>
                <w:webHidden/>
              </w:rPr>
              <w:t>1</w:t>
            </w:r>
            <w:r w:rsidR="000F2F27">
              <w:rPr>
                <w:webHidden/>
              </w:rPr>
              <w:fldChar w:fldCharType="end"/>
            </w:r>
          </w:hyperlink>
        </w:p>
        <w:p w14:paraId="19148E05" w14:textId="165224AD" w:rsidR="000F2F27" w:rsidRDefault="005C788A">
          <w:pPr>
            <w:pStyle w:val="TOC2"/>
            <w:rPr>
              <w:rFonts w:asciiTheme="minorHAnsi" w:hAnsiTheme="minorHAnsi"/>
              <w:sz w:val="22"/>
              <w:szCs w:val="22"/>
              <w:lang w:eastAsia="en-AU"/>
            </w:rPr>
          </w:pPr>
          <w:hyperlink w:anchor="_Toc514017984" w:history="1">
            <w:r w:rsidR="000F2F27" w:rsidRPr="002978DC">
              <w:rPr>
                <w:rStyle w:val="Hyperlink"/>
              </w:rPr>
              <w:t>1.2</w:t>
            </w:r>
            <w:r w:rsidR="000F2F27">
              <w:rPr>
                <w:rFonts w:asciiTheme="minorHAnsi" w:hAnsiTheme="minorHAnsi"/>
                <w:sz w:val="22"/>
                <w:szCs w:val="22"/>
                <w:lang w:eastAsia="en-AU"/>
              </w:rPr>
              <w:tab/>
            </w:r>
            <w:r w:rsidR="000F2F27" w:rsidRPr="002978DC">
              <w:rPr>
                <w:rStyle w:val="Hyperlink"/>
              </w:rPr>
              <w:t>Objectives of the Framework</w:t>
            </w:r>
            <w:r w:rsidR="000F2F27">
              <w:rPr>
                <w:webHidden/>
              </w:rPr>
              <w:tab/>
            </w:r>
            <w:r w:rsidR="000F2F27">
              <w:rPr>
                <w:webHidden/>
              </w:rPr>
              <w:fldChar w:fldCharType="begin"/>
            </w:r>
            <w:r w:rsidR="000F2F27">
              <w:rPr>
                <w:webHidden/>
              </w:rPr>
              <w:instrText xml:space="preserve"> PAGEREF _Toc514017984 \h </w:instrText>
            </w:r>
            <w:r w:rsidR="000F2F27">
              <w:rPr>
                <w:webHidden/>
              </w:rPr>
            </w:r>
            <w:r w:rsidR="000F2F27">
              <w:rPr>
                <w:webHidden/>
              </w:rPr>
              <w:fldChar w:fldCharType="separate"/>
            </w:r>
            <w:r w:rsidR="000F2F27">
              <w:rPr>
                <w:webHidden/>
              </w:rPr>
              <w:t>4</w:t>
            </w:r>
            <w:r w:rsidR="000F2F27">
              <w:rPr>
                <w:webHidden/>
              </w:rPr>
              <w:fldChar w:fldCharType="end"/>
            </w:r>
          </w:hyperlink>
        </w:p>
        <w:p w14:paraId="449915CE" w14:textId="3E96FBEC" w:rsidR="000F2F27" w:rsidRDefault="005C788A">
          <w:pPr>
            <w:pStyle w:val="TOC2"/>
            <w:rPr>
              <w:rFonts w:asciiTheme="minorHAnsi" w:hAnsiTheme="minorHAnsi"/>
              <w:sz w:val="22"/>
              <w:szCs w:val="22"/>
              <w:lang w:eastAsia="en-AU"/>
            </w:rPr>
          </w:pPr>
          <w:hyperlink w:anchor="_Toc514017985" w:history="1">
            <w:r w:rsidR="000F2F27" w:rsidRPr="002978DC">
              <w:rPr>
                <w:rStyle w:val="Hyperlink"/>
              </w:rPr>
              <w:t>1.3</w:t>
            </w:r>
            <w:r w:rsidR="000F2F27">
              <w:rPr>
                <w:rFonts w:asciiTheme="minorHAnsi" w:hAnsiTheme="minorHAnsi"/>
                <w:sz w:val="22"/>
                <w:szCs w:val="22"/>
                <w:lang w:eastAsia="en-AU"/>
              </w:rPr>
              <w:tab/>
            </w:r>
            <w:r w:rsidR="000F2F27" w:rsidRPr="002978DC">
              <w:rPr>
                <w:rStyle w:val="Hyperlink"/>
              </w:rPr>
              <w:t>Focus and Scope of the Framework</w:t>
            </w:r>
            <w:r w:rsidR="000F2F27">
              <w:rPr>
                <w:webHidden/>
              </w:rPr>
              <w:tab/>
            </w:r>
            <w:r w:rsidR="000F2F27">
              <w:rPr>
                <w:webHidden/>
              </w:rPr>
              <w:fldChar w:fldCharType="begin"/>
            </w:r>
            <w:r w:rsidR="000F2F27">
              <w:rPr>
                <w:webHidden/>
              </w:rPr>
              <w:instrText xml:space="preserve"> PAGEREF _Toc514017985 \h </w:instrText>
            </w:r>
            <w:r w:rsidR="000F2F27">
              <w:rPr>
                <w:webHidden/>
              </w:rPr>
            </w:r>
            <w:r w:rsidR="000F2F27">
              <w:rPr>
                <w:webHidden/>
              </w:rPr>
              <w:fldChar w:fldCharType="separate"/>
            </w:r>
            <w:r w:rsidR="000F2F27">
              <w:rPr>
                <w:webHidden/>
              </w:rPr>
              <w:t>4</w:t>
            </w:r>
            <w:r w:rsidR="000F2F27">
              <w:rPr>
                <w:webHidden/>
              </w:rPr>
              <w:fldChar w:fldCharType="end"/>
            </w:r>
          </w:hyperlink>
        </w:p>
        <w:p w14:paraId="3FE65E52" w14:textId="05B91AEC" w:rsidR="000F2F27" w:rsidRDefault="005C788A">
          <w:pPr>
            <w:pStyle w:val="TOC2"/>
            <w:rPr>
              <w:rFonts w:asciiTheme="minorHAnsi" w:hAnsiTheme="minorHAnsi"/>
              <w:sz w:val="22"/>
              <w:szCs w:val="22"/>
              <w:lang w:eastAsia="en-AU"/>
            </w:rPr>
          </w:pPr>
          <w:hyperlink w:anchor="_Toc514017986" w:history="1">
            <w:r w:rsidR="000F2F27" w:rsidRPr="002978DC">
              <w:rPr>
                <w:rStyle w:val="Hyperlink"/>
              </w:rPr>
              <w:t>1.4</w:t>
            </w:r>
            <w:r w:rsidR="000F2F27">
              <w:rPr>
                <w:rFonts w:asciiTheme="minorHAnsi" w:hAnsiTheme="minorHAnsi"/>
                <w:sz w:val="22"/>
                <w:szCs w:val="22"/>
                <w:lang w:eastAsia="en-AU"/>
              </w:rPr>
              <w:tab/>
            </w:r>
            <w:r w:rsidR="000F2F27" w:rsidRPr="002978DC">
              <w:rPr>
                <w:rStyle w:val="Hyperlink"/>
              </w:rPr>
              <w:t>Who Should Use this Document?</w:t>
            </w:r>
            <w:r w:rsidR="000F2F27">
              <w:rPr>
                <w:webHidden/>
              </w:rPr>
              <w:tab/>
            </w:r>
            <w:r w:rsidR="000F2F27">
              <w:rPr>
                <w:webHidden/>
              </w:rPr>
              <w:fldChar w:fldCharType="begin"/>
            </w:r>
            <w:r w:rsidR="000F2F27">
              <w:rPr>
                <w:webHidden/>
              </w:rPr>
              <w:instrText xml:space="preserve"> PAGEREF _Toc514017986 \h </w:instrText>
            </w:r>
            <w:r w:rsidR="000F2F27">
              <w:rPr>
                <w:webHidden/>
              </w:rPr>
            </w:r>
            <w:r w:rsidR="000F2F27">
              <w:rPr>
                <w:webHidden/>
              </w:rPr>
              <w:fldChar w:fldCharType="separate"/>
            </w:r>
            <w:r w:rsidR="000F2F27">
              <w:rPr>
                <w:webHidden/>
              </w:rPr>
              <w:t>5</w:t>
            </w:r>
            <w:r w:rsidR="000F2F27">
              <w:rPr>
                <w:webHidden/>
              </w:rPr>
              <w:fldChar w:fldCharType="end"/>
            </w:r>
          </w:hyperlink>
        </w:p>
        <w:p w14:paraId="03BD4B81" w14:textId="29F78788" w:rsidR="000F2F27" w:rsidRDefault="005C788A">
          <w:pPr>
            <w:pStyle w:val="TOC1"/>
            <w:rPr>
              <w:rFonts w:asciiTheme="minorHAnsi" w:hAnsiTheme="minorHAnsi"/>
              <w:b w:val="0"/>
              <w:sz w:val="22"/>
              <w:szCs w:val="22"/>
              <w:lang w:eastAsia="en-AU"/>
            </w:rPr>
          </w:pPr>
          <w:hyperlink w:anchor="_Toc514017987" w:history="1">
            <w:r w:rsidR="000F2F27" w:rsidRPr="002978DC">
              <w:rPr>
                <w:rStyle w:val="Hyperlink"/>
              </w:rPr>
              <w:t>2.</w:t>
            </w:r>
            <w:r w:rsidR="000F2F27">
              <w:rPr>
                <w:rFonts w:asciiTheme="minorHAnsi" w:hAnsiTheme="minorHAnsi"/>
                <w:b w:val="0"/>
                <w:sz w:val="22"/>
                <w:szCs w:val="22"/>
                <w:lang w:eastAsia="en-AU"/>
              </w:rPr>
              <w:tab/>
            </w:r>
            <w:r w:rsidR="000F2F27" w:rsidRPr="002978DC">
              <w:rPr>
                <w:rStyle w:val="Hyperlink"/>
              </w:rPr>
              <w:t>Black Box Management Framework</w:t>
            </w:r>
            <w:r w:rsidR="000F2F27">
              <w:rPr>
                <w:webHidden/>
              </w:rPr>
              <w:tab/>
            </w:r>
            <w:r w:rsidR="000F2F27">
              <w:rPr>
                <w:webHidden/>
              </w:rPr>
              <w:fldChar w:fldCharType="begin"/>
            </w:r>
            <w:r w:rsidR="000F2F27">
              <w:rPr>
                <w:webHidden/>
              </w:rPr>
              <w:instrText xml:space="preserve"> PAGEREF _Toc514017987 \h </w:instrText>
            </w:r>
            <w:r w:rsidR="000F2F27">
              <w:rPr>
                <w:webHidden/>
              </w:rPr>
            </w:r>
            <w:r w:rsidR="000F2F27">
              <w:rPr>
                <w:webHidden/>
              </w:rPr>
              <w:fldChar w:fldCharType="separate"/>
            </w:r>
            <w:r w:rsidR="000F2F27">
              <w:rPr>
                <w:webHidden/>
              </w:rPr>
              <w:t>6</w:t>
            </w:r>
            <w:r w:rsidR="000F2F27">
              <w:rPr>
                <w:webHidden/>
              </w:rPr>
              <w:fldChar w:fldCharType="end"/>
            </w:r>
          </w:hyperlink>
        </w:p>
        <w:p w14:paraId="100653EE" w14:textId="4FF4704D" w:rsidR="000F2F27" w:rsidRDefault="005C788A">
          <w:pPr>
            <w:pStyle w:val="TOC2"/>
            <w:rPr>
              <w:rFonts w:asciiTheme="minorHAnsi" w:hAnsiTheme="minorHAnsi"/>
              <w:sz w:val="22"/>
              <w:szCs w:val="22"/>
              <w:lang w:eastAsia="en-AU"/>
            </w:rPr>
          </w:pPr>
          <w:hyperlink w:anchor="_Toc514017988" w:history="1">
            <w:r w:rsidR="000F2F27" w:rsidRPr="002978DC">
              <w:rPr>
                <w:rStyle w:val="Hyperlink"/>
              </w:rPr>
              <w:t>2.1</w:t>
            </w:r>
            <w:r w:rsidR="000F2F27">
              <w:rPr>
                <w:rFonts w:asciiTheme="minorHAnsi" w:hAnsiTheme="minorHAnsi"/>
                <w:sz w:val="22"/>
                <w:szCs w:val="22"/>
                <w:lang w:eastAsia="en-AU"/>
              </w:rPr>
              <w:tab/>
            </w:r>
            <w:r w:rsidR="000F2F27" w:rsidRPr="002978DC">
              <w:rPr>
                <w:rStyle w:val="Hyperlink"/>
              </w:rPr>
              <w:t>Part A: Site Investigation</w:t>
            </w:r>
            <w:r w:rsidR="000F2F27">
              <w:rPr>
                <w:webHidden/>
              </w:rPr>
              <w:tab/>
            </w:r>
            <w:r w:rsidR="000F2F27">
              <w:rPr>
                <w:webHidden/>
              </w:rPr>
              <w:fldChar w:fldCharType="begin"/>
            </w:r>
            <w:r w:rsidR="000F2F27">
              <w:rPr>
                <w:webHidden/>
              </w:rPr>
              <w:instrText xml:space="preserve"> PAGEREF _Toc514017988 \h </w:instrText>
            </w:r>
            <w:r w:rsidR="000F2F27">
              <w:rPr>
                <w:webHidden/>
              </w:rPr>
            </w:r>
            <w:r w:rsidR="000F2F27">
              <w:rPr>
                <w:webHidden/>
              </w:rPr>
              <w:fldChar w:fldCharType="separate"/>
            </w:r>
            <w:r w:rsidR="000F2F27">
              <w:rPr>
                <w:webHidden/>
              </w:rPr>
              <w:t>7</w:t>
            </w:r>
            <w:r w:rsidR="000F2F27">
              <w:rPr>
                <w:webHidden/>
              </w:rPr>
              <w:fldChar w:fldCharType="end"/>
            </w:r>
          </w:hyperlink>
        </w:p>
        <w:p w14:paraId="5DCE908D" w14:textId="5E08733C" w:rsidR="000F2F27" w:rsidRDefault="005C788A">
          <w:pPr>
            <w:pStyle w:val="TOC2"/>
            <w:rPr>
              <w:rFonts w:asciiTheme="minorHAnsi" w:hAnsiTheme="minorHAnsi"/>
              <w:sz w:val="22"/>
              <w:szCs w:val="22"/>
              <w:lang w:eastAsia="en-AU"/>
            </w:rPr>
          </w:pPr>
          <w:hyperlink w:anchor="_Toc514017989" w:history="1">
            <w:r w:rsidR="000F2F27" w:rsidRPr="002978DC">
              <w:rPr>
                <w:rStyle w:val="Hyperlink"/>
              </w:rPr>
              <w:t>2.2</w:t>
            </w:r>
            <w:r w:rsidR="000F2F27">
              <w:rPr>
                <w:rFonts w:asciiTheme="minorHAnsi" w:hAnsiTheme="minorHAnsi"/>
                <w:sz w:val="22"/>
                <w:szCs w:val="22"/>
                <w:lang w:eastAsia="en-AU"/>
              </w:rPr>
              <w:tab/>
            </w:r>
            <w:r w:rsidR="000F2F27" w:rsidRPr="002978DC">
              <w:rPr>
                <w:rStyle w:val="Hyperlink"/>
              </w:rPr>
              <w:t>Part B: Site Management Plan</w:t>
            </w:r>
            <w:r w:rsidR="000F2F27">
              <w:rPr>
                <w:webHidden/>
              </w:rPr>
              <w:tab/>
            </w:r>
            <w:r w:rsidR="000F2F27">
              <w:rPr>
                <w:webHidden/>
              </w:rPr>
              <w:fldChar w:fldCharType="begin"/>
            </w:r>
            <w:r w:rsidR="000F2F27">
              <w:rPr>
                <w:webHidden/>
              </w:rPr>
              <w:instrText xml:space="preserve"> PAGEREF _Toc514017989 \h </w:instrText>
            </w:r>
            <w:r w:rsidR="000F2F27">
              <w:rPr>
                <w:webHidden/>
              </w:rPr>
            </w:r>
            <w:r w:rsidR="000F2F27">
              <w:rPr>
                <w:webHidden/>
              </w:rPr>
              <w:fldChar w:fldCharType="separate"/>
            </w:r>
            <w:r w:rsidR="000F2F27">
              <w:rPr>
                <w:webHidden/>
              </w:rPr>
              <w:t>7</w:t>
            </w:r>
            <w:r w:rsidR="000F2F27">
              <w:rPr>
                <w:webHidden/>
              </w:rPr>
              <w:fldChar w:fldCharType="end"/>
            </w:r>
          </w:hyperlink>
        </w:p>
        <w:p w14:paraId="588C48D0" w14:textId="112286E3" w:rsidR="000F2F27" w:rsidRDefault="005C788A">
          <w:pPr>
            <w:pStyle w:val="TOC2"/>
            <w:rPr>
              <w:rFonts w:asciiTheme="minorHAnsi" w:hAnsiTheme="minorHAnsi"/>
              <w:sz w:val="22"/>
              <w:szCs w:val="22"/>
              <w:lang w:eastAsia="en-AU"/>
            </w:rPr>
          </w:pPr>
          <w:hyperlink w:anchor="_Toc514017990" w:history="1">
            <w:r w:rsidR="000F2F27" w:rsidRPr="002978DC">
              <w:rPr>
                <w:rStyle w:val="Hyperlink"/>
              </w:rPr>
              <w:t>2.3</w:t>
            </w:r>
            <w:r w:rsidR="000F2F27">
              <w:rPr>
                <w:rFonts w:asciiTheme="minorHAnsi" w:hAnsiTheme="minorHAnsi"/>
                <w:sz w:val="22"/>
                <w:szCs w:val="22"/>
                <w:lang w:eastAsia="en-AU"/>
              </w:rPr>
              <w:tab/>
            </w:r>
            <w:r w:rsidR="000F2F27" w:rsidRPr="002978DC">
              <w:rPr>
                <w:rStyle w:val="Hyperlink"/>
              </w:rPr>
              <w:t>Part C: Managing for Basin Scale Improvement</w:t>
            </w:r>
            <w:r w:rsidR="000F2F27">
              <w:rPr>
                <w:webHidden/>
              </w:rPr>
              <w:tab/>
            </w:r>
            <w:r w:rsidR="000F2F27">
              <w:rPr>
                <w:webHidden/>
              </w:rPr>
              <w:fldChar w:fldCharType="begin"/>
            </w:r>
            <w:r w:rsidR="000F2F27">
              <w:rPr>
                <w:webHidden/>
              </w:rPr>
              <w:instrText xml:space="preserve"> PAGEREF _Toc514017990 \h </w:instrText>
            </w:r>
            <w:r w:rsidR="000F2F27">
              <w:rPr>
                <w:webHidden/>
              </w:rPr>
            </w:r>
            <w:r w:rsidR="000F2F27">
              <w:rPr>
                <w:webHidden/>
              </w:rPr>
              <w:fldChar w:fldCharType="separate"/>
            </w:r>
            <w:r w:rsidR="000F2F27">
              <w:rPr>
                <w:webHidden/>
              </w:rPr>
              <w:t>8</w:t>
            </w:r>
            <w:r w:rsidR="000F2F27">
              <w:rPr>
                <w:webHidden/>
              </w:rPr>
              <w:fldChar w:fldCharType="end"/>
            </w:r>
          </w:hyperlink>
        </w:p>
        <w:p w14:paraId="18D23A5E" w14:textId="55BE5BD3" w:rsidR="000F2F27" w:rsidRDefault="005C788A">
          <w:pPr>
            <w:pStyle w:val="TOC2"/>
            <w:rPr>
              <w:rFonts w:asciiTheme="minorHAnsi" w:hAnsiTheme="minorHAnsi"/>
              <w:sz w:val="22"/>
              <w:szCs w:val="22"/>
              <w:lang w:eastAsia="en-AU"/>
            </w:rPr>
          </w:pPr>
          <w:hyperlink w:anchor="_Toc514017991" w:history="1">
            <w:r w:rsidR="000F2F27" w:rsidRPr="002978DC">
              <w:rPr>
                <w:rStyle w:val="Hyperlink"/>
              </w:rPr>
              <w:t>2.4</w:t>
            </w:r>
            <w:r w:rsidR="000F2F27">
              <w:rPr>
                <w:rFonts w:asciiTheme="minorHAnsi" w:hAnsiTheme="minorHAnsi"/>
                <w:sz w:val="22"/>
                <w:szCs w:val="22"/>
                <w:lang w:eastAsia="en-AU"/>
              </w:rPr>
              <w:tab/>
            </w:r>
            <w:r w:rsidR="000F2F27" w:rsidRPr="002978DC">
              <w:rPr>
                <w:rStyle w:val="Hyperlink"/>
              </w:rPr>
              <w:t>Part D: Resources</w:t>
            </w:r>
            <w:r w:rsidR="000F2F27">
              <w:rPr>
                <w:webHidden/>
              </w:rPr>
              <w:tab/>
            </w:r>
            <w:r w:rsidR="000F2F27">
              <w:rPr>
                <w:webHidden/>
              </w:rPr>
              <w:fldChar w:fldCharType="begin"/>
            </w:r>
            <w:r w:rsidR="000F2F27">
              <w:rPr>
                <w:webHidden/>
              </w:rPr>
              <w:instrText xml:space="preserve"> PAGEREF _Toc514017991 \h </w:instrText>
            </w:r>
            <w:r w:rsidR="000F2F27">
              <w:rPr>
                <w:webHidden/>
              </w:rPr>
            </w:r>
            <w:r w:rsidR="000F2F27">
              <w:rPr>
                <w:webHidden/>
              </w:rPr>
              <w:fldChar w:fldCharType="separate"/>
            </w:r>
            <w:r w:rsidR="000F2F27">
              <w:rPr>
                <w:webHidden/>
              </w:rPr>
              <w:t>8</w:t>
            </w:r>
            <w:r w:rsidR="000F2F27">
              <w:rPr>
                <w:webHidden/>
              </w:rPr>
              <w:fldChar w:fldCharType="end"/>
            </w:r>
          </w:hyperlink>
        </w:p>
        <w:p w14:paraId="5415E3B7" w14:textId="56AA2833" w:rsidR="000F2F27" w:rsidRDefault="005C788A">
          <w:pPr>
            <w:pStyle w:val="TOC1"/>
            <w:rPr>
              <w:rFonts w:asciiTheme="minorHAnsi" w:hAnsiTheme="minorHAnsi"/>
              <w:b w:val="0"/>
              <w:sz w:val="22"/>
              <w:szCs w:val="22"/>
              <w:lang w:eastAsia="en-AU"/>
            </w:rPr>
          </w:pPr>
          <w:hyperlink w:anchor="_Toc514017992" w:history="1">
            <w:r w:rsidR="000F2F27" w:rsidRPr="002978DC">
              <w:rPr>
                <w:rStyle w:val="Hyperlink"/>
              </w:rPr>
              <w:t>3.</w:t>
            </w:r>
            <w:r w:rsidR="000F2F27">
              <w:rPr>
                <w:rFonts w:asciiTheme="minorHAnsi" w:hAnsiTheme="minorHAnsi"/>
                <w:b w:val="0"/>
                <w:sz w:val="22"/>
                <w:szCs w:val="22"/>
                <w:lang w:eastAsia="en-AU"/>
              </w:rPr>
              <w:tab/>
            </w:r>
            <w:r w:rsidR="000F2F27" w:rsidRPr="002978DC">
              <w:rPr>
                <w:rStyle w:val="Hyperlink"/>
              </w:rPr>
              <w:t>Part A: Site Investigation</w:t>
            </w:r>
            <w:r w:rsidR="000F2F27">
              <w:rPr>
                <w:webHidden/>
              </w:rPr>
              <w:tab/>
            </w:r>
            <w:r w:rsidR="000F2F27">
              <w:rPr>
                <w:webHidden/>
              </w:rPr>
              <w:fldChar w:fldCharType="begin"/>
            </w:r>
            <w:r w:rsidR="000F2F27">
              <w:rPr>
                <w:webHidden/>
              </w:rPr>
              <w:instrText xml:space="preserve"> PAGEREF _Toc514017992 \h </w:instrText>
            </w:r>
            <w:r w:rsidR="000F2F27">
              <w:rPr>
                <w:webHidden/>
              </w:rPr>
            </w:r>
            <w:r w:rsidR="000F2F27">
              <w:rPr>
                <w:webHidden/>
              </w:rPr>
              <w:fldChar w:fldCharType="separate"/>
            </w:r>
            <w:r w:rsidR="000F2F27">
              <w:rPr>
                <w:webHidden/>
              </w:rPr>
              <w:t>10</w:t>
            </w:r>
            <w:r w:rsidR="000F2F27">
              <w:rPr>
                <w:webHidden/>
              </w:rPr>
              <w:fldChar w:fldCharType="end"/>
            </w:r>
          </w:hyperlink>
        </w:p>
        <w:p w14:paraId="66CDCCD4" w14:textId="02534AF2" w:rsidR="000F2F27" w:rsidRDefault="005C788A">
          <w:pPr>
            <w:pStyle w:val="TOC2"/>
            <w:rPr>
              <w:rFonts w:asciiTheme="minorHAnsi" w:hAnsiTheme="minorHAnsi"/>
              <w:sz w:val="22"/>
              <w:szCs w:val="22"/>
              <w:lang w:eastAsia="en-AU"/>
            </w:rPr>
          </w:pPr>
          <w:hyperlink w:anchor="_Toc514017993" w:history="1">
            <w:r w:rsidR="000F2F27" w:rsidRPr="002978DC">
              <w:rPr>
                <w:rStyle w:val="Hyperlink"/>
              </w:rPr>
              <w:t>3.1</w:t>
            </w:r>
            <w:r w:rsidR="000F2F27">
              <w:rPr>
                <w:rFonts w:asciiTheme="minorHAnsi" w:hAnsiTheme="minorHAnsi"/>
                <w:sz w:val="22"/>
                <w:szCs w:val="22"/>
                <w:lang w:eastAsia="en-AU"/>
              </w:rPr>
              <w:tab/>
            </w:r>
            <w:r w:rsidR="000F2F27" w:rsidRPr="002978DC">
              <w:rPr>
                <w:rStyle w:val="Hyperlink"/>
              </w:rPr>
              <w:t>Introduction to the Site Investigation</w:t>
            </w:r>
            <w:r w:rsidR="000F2F27">
              <w:rPr>
                <w:webHidden/>
              </w:rPr>
              <w:tab/>
            </w:r>
            <w:r w:rsidR="000F2F27">
              <w:rPr>
                <w:webHidden/>
              </w:rPr>
              <w:fldChar w:fldCharType="begin"/>
            </w:r>
            <w:r w:rsidR="000F2F27">
              <w:rPr>
                <w:webHidden/>
              </w:rPr>
              <w:instrText xml:space="preserve"> PAGEREF _Toc514017993 \h </w:instrText>
            </w:r>
            <w:r w:rsidR="000F2F27">
              <w:rPr>
                <w:webHidden/>
              </w:rPr>
            </w:r>
            <w:r w:rsidR="000F2F27">
              <w:rPr>
                <w:webHidden/>
              </w:rPr>
              <w:fldChar w:fldCharType="separate"/>
            </w:r>
            <w:r w:rsidR="000F2F27">
              <w:rPr>
                <w:webHidden/>
              </w:rPr>
              <w:t>10</w:t>
            </w:r>
            <w:r w:rsidR="000F2F27">
              <w:rPr>
                <w:webHidden/>
              </w:rPr>
              <w:fldChar w:fldCharType="end"/>
            </w:r>
          </w:hyperlink>
        </w:p>
        <w:p w14:paraId="0037C9B2" w14:textId="4554DCFF" w:rsidR="000F2F27" w:rsidRDefault="005C788A">
          <w:pPr>
            <w:pStyle w:val="TOC2"/>
            <w:rPr>
              <w:rFonts w:asciiTheme="minorHAnsi" w:hAnsiTheme="minorHAnsi"/>
              <w:sz w:val="22"/>
              <w:szCs w:val="22"/>
              <w:lang w:eastAsia="en-AU"/>
            </w:rPr>
          </w:pPr>
          <w:hyperlink w:anchor="_Toc514017994" w:history="1">
            <w:r w:rsidR="000F2F27" w:rsidRPr="002978DC">
              <w:rPr>
                <w:rStyle w:val="Hyperlink"/>
              </w:rPr>
              <w:t>3.2</w:t>
            </w:r>
            <w:r w:rsidR="000F2F27">
              <w:rPr>
                <w:rFonts w:asciiTheme="minorHAnsi" w:hAnsiTheme="minorHAnsi"/>
                <w:sz w:val="22"/>
                <w:szCs w:val="22"/>
                <w:lang w:eastAsia="en-AU"/>
              </w:rPr>
              <w:tab/>
            </w:r>
            <w:r w:rsidR="000F2F27" w:rsidRPr="002978DC">
              <w:rPr>
                <w:rStyle w:val="Hyperlink"/>
              </w:rPr>
              <w:t>Working with Uncertainty</w:t>
            </w:r>
            <w:r w:rsidR="000F2F27">
              <w:rPr>
                <w:webHidden/>
              </w:rPr>
              <w:tab/>
            </w:r>
            <w:r w:rsidR="000F2F27">
              <w:rPr>
                <w:webHidden/>
              </w:rPr>
              <w:fldChar w:fldCharType="begin"/>
            </w:r>
            <w:r w:rsidR="000F2F27">
              <w:rPr>
                <w:webHidden/>
              </w:rPr>
              <w:instrText xml:space="preserve"> PAGEREF _Toc514017994 \h </w:instrText>
            </w:r>
            <w:r w:rsidR="000F2F27">
              <w:rPr>
                <w:webHidden/>
              </w:rPr>
            </w:r>
            <w:r w:rsidR="000F2F27">
              <w:rPr>
                <w:webHidden/>
              </w:rPr>
              <w:fldChar w:fldCharType="separate"/>
            </w:r>
            <w:r w:rsidR="000F2F27">
              <w:rPr>
                <w:webHidden/>
              </w:rPr>
              <w:t>11</w:t>
            </w:r>
            <w:r w:rsidR="000F2F27">
              <w:rPr>
                <w:webHidden/>
              </w:rPr>
              <w:fldChar w:fldCharType="end"/>
            </w:r>
          </w:hyperlink>
        </w:p>
        <w:p w14:paraId="77415B9F" w14:textId="4C211A18" w:rsidR="000F2F27" w:rsidRDefault="005C788A">
          <w:pPr>
            <w:pStyle w:val="TOC2"/>
            <w:rPr>
              <w:rFonts w:asciiTheme="minorHAnsi" w:hAnsiTheme="minorHAnsi"/>
              <w:sz w:val="22"/>
              <w:szCs w:val="22"/>
              <w:lang w:eastAsia="en-AU"/>
            </w:rPr>
          </w:pPr>
          <w:hyperlink w:anchor="_Toc514017995" w:history="1">
            <w:r w:rsidR="000F2F27" w:rsidRPr="002978DC">
              <w:rPr>
                <w:rStyle w:val="Hyperlink"/>
              </w:rPr>
              <w:t>3.3</w:t>
            </w:r>
            <w:r w:rsidR="000F2F27">
              <w:rPr>
                <w:rFonts w:asciiTheme="minorHAnsi" w:hAnsiTheme="minorHAnsi"/>
                <w:sz w:val="22"/>
                <w:szCs w:val="22"/>
                <w:lang w:eastAsia="en-AU"/>
              </w:rPr>
              <w:tab/>
            </w:r>
            <w:r w:rsidR="000F2F27" w:rsidRPr="002978DC">
              <w:rPr>
                <w:rStyle w:val="Hyperlink"/>
              </w:rPr>
              <w:t>Case Study: Calperum Station</w:t>
            </w:r>
            <w:r w:rsidR="000F2F27">
              <w:rPr>
                <w:webHidden/>
              </w:rPr>
              <w:tab/>
            </w:r>
            <w:r w:rsidR="000F2F27">
              <w:rPr>
                <w:webHidden/>
              </w:rPr>
              <w:fldChar w:fldCharType="begin"/>
            </w:r>
            <w:r w:rsidR="000F2F27">
              <w:rPr>
                <w:webHidden/>
              </w:rPr>
              <w:instrText xml:space="preserve"> PAGEREF _Toc514017995 \h </w:instrText>
            </w:r>
            <w:r w:rsidR="000F2F27">
              <w:rPr>
                <w:webHidden/>
              </w:rPr>
            </w:r>
            <w:r w:rsidR="000F2F27">
              <w:rPr>
                <w:webHidden/>
              </w:rPr>
              <w:fldChar w:fldCharType="separate"/>
            </w:r>
            <w:r w:rsidR="000F2F27">
              <w:rPr>
                <w:webHidden/>
              </w:rPr>
              <w:t>13</w:t>
            </w:r>
            <w:r w:rsidR="000F2F27">
              <w:rPr>
                <w:webHidden/>
              </w:rPr>
              <w:fldChar w:fldCharType="end"/>
            </w:r>
          </w:hyperlink>
        </w:p>
        <w:p w14:paraId="2164D82E" w14:textId="7DD24CA2" w:rsidR="000F2F27" w:rsidRDefault="005C788A">
          <w:pPr>
            <w:pStyle w:val="TOC2"/>
            <w:rPr>
              <w:rFonts w:asciiTheme="minorHAnsi" w:hAnsiTheme="minorHAnsi"/>
              <w:sz w:val="22"/>
              <w:szCs w:val="22"/>
              <w:lang w:eastAsia="en-AU"/>
            </w:rPr>
          </w:pPr>
          <w:hyperlink w:anchor="_Toc514017996" w:history="1">
            <w:r w:rsidR="000F2F27" w:rsidRPr="002978DC">
              <w:rPr>
                <w:rStyle w:val="Hyperlink"/>
              </w:rPr>
              <w:t>3.4</w:t>
            </w:r>
            <w:r w:rsidR="000F2F27">
              <w:rPr>
                <w:rFonts w:asciiTheme="minorHAnsi" w:hAnsiTheme="minorHAnsi"/>
                <w:sz w:val="22"/>
                <w:szCs w:val="22"/>
                <w:lang w:eastAsia="en-AU"/>
              </w:rPr>
              <w:tab/>
            </w:r>
            <w:r w:rsidR="000F2F27" w:rsidRPr="002978DC">
              <w:rPr>
                <w:rStyle w:val="Hyperlink"/>
              </w:rPr>
              <w:t>STEP 1: BLACK BOX CONDITION ASSESSMENT</w:t>
            </w:r>
            <w:r w:rsidR="000F2F27">
              <w:rPr>
                <w:webHidden/>
              </w:rPr>
              <w:tab/>
            </w:r>
            <w:r w:rsidR="000F2F27">
              <w:rPr>
                <w:webHidden/>
              </w:rPr>
              <w:fldChar w:fldCharType="begin"/>
            </w:r>
            <w:r w:rsidR="000F2F27">
              <w:rPr>
                <w:webHidden/>
              </w:rPr>
              <w:instrText xml:space="preserve"> PAGEREF _Toc514017996 \h </w:instrText>
            </w:r>
            <w:r w:rsidR="000F2F27">
              <w:rPr>
                <w:webHidden/>
              </w:rPr>
            </w:r>
            <w:r w:rsidR="000F2F27">
              <w:rPr>
                <w:webHidden/>
              </w:rPr>
              <w:fldChar w:fldCharType="separate"/>
            </w:r>
            <w:r w:rsidR="000F2F27">
              <w:rPr>
                <w:webHidden/>
              </w:rPr>
              <w:t>15</w:t>
            </w:r>
            <w:r w:rsidR="000F2F27">
              <w:rPr>
                <w:webHidden/>
              </w:rPr>
              <w:fldChar w:fldCharType="end"/>
            </w:r>
          </w:hyperlink>
        </w:p>
        <w:p w14:paraId="34C6107D" w14:textId="4171556B" w:rsidR="000F2F27" w:rsidRDefault="005C788A">
          <w:pPr>
            <w:pStyle w:val="TOC2"/>
            <w:rPr>
              <w:rFonts w:asciiTheme="minorHAnsi" w:hAnsiTheme="minorHAnsi"/>
              <w:sz w:val="22"/>
              <w:szCs w:val="22"/>
              <w:lang w:eastAsia="en-AU"/>
            </w:rPr>
          </w:pPr>
          <w:hyperlink w:anchor="_Toc514017997" w:history="1">
            <w:r w:rsidR="000F2F27" w:rsidRPr="002978DC">
              <w:rPr>
                <w:rStyle w:val="Hyperlink"/>
              </w:rPr>
              <w:t>3.5</w:t>
            </w:r>
            <w:r w:rsidR="000F2F27">
              <w:rPr>
                <w:rFonts w:asciiTheme="minorHAnsi" w:hAnsiTheme="minorHAnsi"/>
                <w:sz w:val="22"/>
                <w:szCs w:val="22"/>
                <w:lang w:eastAsia="en-AU"/>
              </w:rPr>
              <w:tab/>
            </w:r>
            <w:r w:rsidR="000F2F27" w:rsidRPr="002978DC">
              <w:rPr>
                <w:rStyle w:val="Hyperlink"/>
              </w:rPr>
              <w:t>STEP 2: IDENTIFICATION OF STRESSORS</w:t>
            </w:r>
            <w:r w:rsidR="000F2F27">
              <w:rPr>
                <w:webHidden/>
              </w:rPr>
              <w:tab/>
            </w:r>
            <w:r w:rsidR="000F2F27">
              <w:rPr>
                <w:webHidden/>
              </w:rPr>
              <w:fldChar w:fldCharType="begin"/>
            </w:r>
            <w:r w:rsidR="000F2F27">
              <w:rPr>
                <w:webHidden/>
              </w:rPr>
              <w:instrText xml:space="preserve"> PAGEREF _Toc514017997 \h </w:instrText>
            </w:r>
            <w:r w:rsidR="000F2F27">
              <w:rPr>
                <w:webHidden/>
              </w:rPr>
            </w:r>
            <w:r w:rsidR="000F2F27">
              <w:rPr>
                <w:webHidden/>
              </w:rPr>
              <w:fldChar w:fldCharType="separate"/>
            </w:r>
            <w:r w:rsidR="000F2F27">
              <w:rPr>
                <w:webHidden/>
              </w:rPr>
              <w:t>22</w:t>
            </w:r>
            <w:r w:rsidR="000F2F27">
              <w:rPr>
                <w:webHidden/>
              </w:rPr>
              <w:fldChar w:fldCharType="end"/>
            </w:r>
          </w:hyperlink>
        </w:p>
        <w:p w14:paraId="2D735298" w14:textId="361D183B" w:rsidR="000F2F27" w:rsidRDefault="005C788A">
          <w:pPr>
            <w:pStyle w:val="TOC2"/>
            <w:rPr>
              <w:rFonts w:asciiTheme="minorHAnsi" w:hAnsiTheme="minorHAnsi"/>
              <w:sz w:val="22"/>
              <w:szCs w:val="22"/>
              <w:lang w:eastAsia="en-AU"/>
            </w:rPr>
          </w:pPr>
          <w:hyperlink w:anchor="_Toc514017998" w:history="1">
            <w:r w:rsidR="000F2F27" w:rsidRPr="002978DC">
              <w:rPr>
                <w:rStyle w:val="Hyperlink"/>
              </w:rPr>
              <w:t>3.6</w:t>
            </w:r>
            <w:r w:rsidR="000F2F27">
              <w:rPr>
                <w:rFonts w:asciiTheme="minorHAnsi" w:hAnsiTheme="minorHAnsi"/>
                <w:sz w:val="22"/>
                <w:szCs w:val="22"/>
                <w:lang w:eastAsia="en-AU"/>
              </w:rPr>
              <w:tab/>
            </w:r>
            <w:r w:rsidR="000F2F27" w:rsidRPr="002978DC">
              <w:rPr>
                <w:rStyle w:val="Hyperlink"/>
              </w:rPr>
              <w:t>STEP 3: VULNERABILITY ASSESSMENT</w:t>
            </w:r>
            <w:r w:rsidR="000F2F27">
              <w:rPr>
                <w:webHidden/>
              </w:rPr>
              <w:tab/>
            </w:r>
            <w:r w:rsidR="000F2F27">
              <w:rPr>
                <w:webHidden/>
              </w:rPr>
              <w:fldChar w:fldCharType="begin"/>
            </w:r>
            <w:r w:rsidR="000F2F27">
              <w:rPr>
                <w:webHidden/>
              </w:rPr>
              <w:instrText xml:space="preserve"> PAGEREF _Toc514017998 \h </w:instrText>
            </w:r>
            <w:r w:rsidR="000F2F27">
              <w:rPr>
                <w:webHidden/>
              </w:rPr>
            </w:r>
            <w:r w:rsidR="000F2F27">
              <w:rPr>
                <w:webHidden/>
              </w:rPr>
              <w:fldChar w:fldCharType="separate"/>
            </w:r>
            <w:r w:rsidR="000F2F27">
              <w:rPr>
                <w:webHidden/>
              </w:rPr>
              <w:t>39</w:t>
            </w:r>
            <w:r w:rsidR="000F2F27">
              <w:rPr>
                <w:webHidden/>
              </w:rPr>
              <w:fldChar w:fldCharType="end"/>
            </w:r>
          </w:hyperlink>
        </w:p>
        <w:p w14:paraId="3C345A20" w14:textId="08D45F5B" w:rsidR="000F2F27" w:rsidRDefault="005C788A">
          <w:pPr>
            <w:pStyle w:val="TOC2"/>
            <w:rPr>
              <w:rFonts w:asciiTheme="minorHAnsi" w:hAnsiTheme="minorHAnsi"/>
              <w:sz w:val="22"/>
              <w:szCs w:val="22"/>
              <w:lang w:eastAsia="en-AU"/>
            </w:rPr>
          </w:pPr>
          <w:hyperlink w:anchor="_Toc514017999" w:history="1">
            <w:r w:rsidR="000F2F27" w:rsidRPr="002978DC">
              <w:rPr>
                <w:rStyle w:val="Hyperlink"/>
              </w:rPr>
              <w:t>3.7</w:t>
            </w:r>
            <w:r w:rsidR="000F2F27">
              <w:rPr>
                <w:rFonts w:asciiTheme="minorHAnsi" w:hAnsiTheme="minorHAnsi"/>
                <w:sz w:val="22"/>
                <w:szCs w:val="22"/>
                <w:lang w:eastAsia="en-AU"/>
              </w:rPr>
              <w:tab/>
            </w:r>
            <w:r w:rsidR="000F2F27" w:rsidRPr="002978DC">
              <w:rPr>
                <w:rStyle w:val="Hyperlink"/>
              </w:rPr>
              <w:t>STEP 4: SETTING OBJECTIVES AND TARGETS</w:t>
            </w:r>
            <w:r w:rsidR="000F2F27">
              <w:rPr>
                <w:webHidden/>
              </w:rPr>
              <w:tab/>
            </w:r>
            <w:r w:rsidR="000F2F27">
              <w:rPr>
                <w:webHidden/>
              </w:rPr>
              <w:fldChar w:fldCharType="begin"/>
            </w:r>
            <w:r w:rsidR="000F2F27">
              <w:rPr>
                <w:webHidden/>
              </w:rPr>
              <w:instrText xml:space="preserve"> PAGEREF _Toc514017999 \h </w:instrText>
            </w:r>
            <w:r w:rsidR="000F2F27">
              <w:rPr>
                <w:webHidden/>
              </w:rPr>
            </w:r>
            <w:r w:rsidR="000F2F27">
              <w:rPr>
                <w:webHidden/>
              </w:rPr>
              <w:fldChar w:fldCharType="separate"/>
            </w:r>
            <w:r w:rsidR="000F2F27">
              <w:rPr>
                <w:webHidden/>
              </w:rPr>
              <w:t>46</w:t>
            </w:r>
            <w:r w:rsidR="000F2F27">
              <w:rPr>
                <w:webHidden/>
              </w:rPr>
              <w:fldChar w:fldCharType="end"/>
            </w:r>
          </w:hyperlink>
        </w:p>
        <w:p w14:paraId="3F724D59" w14:textId="7843B853" w:rsidR="000F2F27" w:rsidRDefault="005C788A">
          <w:pPr>
            <w:pStyle w:val="TOC2"/>
            <w:rPr>
              <w:rFonts w:asciiTheme="minorHAnsi" w:hAnsiTheme="minorHAnsi"/>
              <w:sz w:val="22"/>
              <w:szCs w:val="22"/>
              <w:lang w:eastAsia="en-AU"/>
            </w:rPr>
          </w:pPr>
          <w:hyperlink w:anchor="_Toc514018000" w:history="1">
            <w:r w:rsidR="000F2F27" w:rsidRPr="002978DC">
              <w:rPr>
                <w:rStyle w:val="Hyperlink"/>
              </w:rPr>
              <w:t>3.8</w:t>
            </w:r>
            <w:r w:rsidR="000F2F27">
              <w:rPr>
                <w:rFonts w:asciiTheme="minorHAnsi" w:hAnsiTheme="minorHAnsi"/>
                <w:sz w:val="22"/>
                <w:szCs w:val="22"/>
                <w:lang w:eastAsia="en-AU"/>
              </w:rPr>
              <w:tab/>
            </w:r>
            <w:r w:rsidR="000F2F27" w:rsidRPr="002978DC">
              <w:rPr>
                <w:rStyle w:val="Hyperlink"/>
              </w:rPr>
              <w:t>STEP 5: IDENTIFYING A RANGE OF ACTIONS AND OPTIONS</w:t>
            </w:r>
            <w:r w:rsidR="000F2F27">
              <w:rPr>
                <w:webHidden/>
              </w:rPr>
              <w:tab/>
            </w:r>
            <w:r w:rsidR="000F2F27">
              <w:rPr>
                <w:webHidden/>
              </w:rPr>
              <w:fldChar w:fldCharType="begin"/>
            </w:r>
            <w:r w:rsidR="000F2F27">
              <w:rPr>
                <w:webHidden/>
              </w:rPr>
              <w:instrText xml:space="preserve"> PAGEREF _Toc514018000 \h </w:instrText>
            </w:r>
            <w:r w:rsidR="000F2F27">
              <w:rPr>
                <w:webHidden/>
              </w:rPr>
            </w:r>
            <w:r w:rsidR="000F2F27">
              <w:rPr>
                <w:webHidden/>
              </w:rPr>
              <w:fldChar w:fldCharType="separate"/>
            </w:r>
            <w:r w:rsidR="000F2F27">
              <w:rPr>
                <w:webHidden/>
              </w:rPr>
              <w:t>51</w:t>
            </w:r>
            <w:r w:rsidR="000F2F27">
              <w:rPr>
                <w:webHidden/>
              </w:rPr>
              <w:fldChar w:fldCharType="end"/>
            </w:r>
          </w:hyperlink>
        </w:p>
        <w:p w14:paraId="1F0E335D" w14:textId="6BCB15F2" w:rsidR="000F2F27" w:rsidRDefault="005C788A">
          <w:pPr>
            <w:pStyle w:val="TOC2"/>
            <w:rPr>
              <w:rFonts w:asciiTheme="minorHAnsi" w:hAnsiTheme="minorHAnsi"/>
              <w:sz w:val="22"/>
              <w:szCs w:val="22"/>
              <w:lang w:eastAsia="en-AU"/>
            </w:rPr>
          </w:pPr>
          <w:hyperlink w:anchor="_Toc514018001" w:history="1">
            <w:r w:rsidR="000F2F27" w:rsidRPr="002978DC">
              <w:rPr>
                <w:rStyle w:val="Hyperlink"/>
              </w:rPr>
              <w:t>3.9</w:t>
            </w:r>
            <w:r w:rsidR="000F2F27">
              <w:rPr>
                <w:rFonts w:asciiTheme="minorHAnsi" w:hAnsiTheme="minorHAnsi"/>
                <w:sz w:val="22"/>
                <w:szCs w:val="22"/>
                <w:lang w:eastAsia="en-AU"/>
              </w:rPr>
              <w:tab/>
            </w:r>
            <w:r w:rsidR="000F2F27" w:rsidRPr="002978DC">
              <w:rPr>
                <w:rStyle w:val="Hyperlink"/>
              </w:rPr>
              <w:t>Overall Confidence Assessment for the Site Investigation</w:t>
            </w:r>
            <w:r w:rsidR="000F2F27">
              <w:rPr>
                <w:webHidden/>
              </w:rPr>
              <w:tab/>
            </w:r>
            <w:r w:rsidR="000F2F27">
              <w:rPr>
                <w:webHidden/>
              </w:rPr>
              <w:fldChar w:fldCharType="begin"/>
            </w:r>
            <w:r w:rsidR="000F2F27">
              <w:rPr>
                <w:webHidden/>
              </w:rPr>
              <w:instrText xml:space="preserve"> PAGEREF _Toc514018001 \h </w:instrText>
            </w:r>
            <w:r w:rsidR="000F2F27">
              <w:rPr>
                <w:webHidden/>
              </w:rPr>
            </w:r>
            <w:r w:rsidR="000F2F27">
              <w:rPr>
                <w:webHidden/>
              </w:rPr>
              <w:fldChar w:fldCharType="separate"/>
            </w:r>
            <w:r w:rsidR="000F2F27">
              <w:rPr>
                <w:webHidden/>
              </w:rPr>
              <w:t>60</w:t>
            </w:r>
            <w:r w:rsidR="000F2F27">
              <w:rPr>
                <w:webHidden/>
              </w:rPr>
              <w:fldChar w:fldCharType="end"/>
            </w:r>
          </w:hyperlink>
        </w:p>
        <w:p w14:paraId="7ED53D10" w14:textId="07A4A5FE" w:rsidR="000F2F27" w:rsidRDefault="005C788A">
          <w:pPr>
            <w:pStyle w:val="TOC1"/>
            <w:rPr>
              <w:rFonts w:asciiTheme="minorHAnsi" w:hAnsiTheme="minorHAnsi"/>
              <w:b w:val="0"/>
              <w:sz w:val="22"/>
              <w:szCs w:val="22"/>
              <w:lang w:eastAsia="en-AU"/>
            </w:rPr>
          </w:pPr>
          <w:hyperlink w:anchor="_Toc514018002" w:history="1">
            <w:r w:rsidR="000F2F27" w:rsidRPr="002978DC">
              <w:rPr>
                <w:rStyle w:val="Hyperlink"/>
              </w:rPr>
              <w:t>4.</w:t>
            </w:r>
            <w:r w:rsidR="000F2F27">
              <w:rPr>
                <w:rFonts w:asciiTheme="minorHAnsi" w:hAnsiTheme="minorHAnsi"/>
                <w:b w:val="0"/>
                <w:sz w:val="22"/>
                <w:szCs w:val="22"/>
                <w:lang w:eastAsia="en-AU"/>
              </w:rPr>
              <w:tab/>
            </w:r>
            <w:r w:rsidR="000F2F27" w:rsidRPr="002978DC">
              <w:rPr>
                <w:rStyle w:val="Hyperlink"/>
              </w:rPr>
              <w:t>Part B: Site Management Plan</w:t>
            </w:r>
            <w:r w:rsidR="000F2F27">
              <w:rPr>
                <w:webHidden/>
              </w:rPr>
              <w:tab/>
            </w:r>
            <w:r w:rsidR="000F2F27">
              <w:rPr>
                <w:webHidden/>
              </w:rPr>
              <w:fldChar w:fldCharType="begin"/>
            </w:r>
            <w:r w:rsidR="000F2F27">
              <w:rPr>
                <w:webHidden/>
              </w:rPr>
              <w:instrText xml:space="preserve"> PAGEREF _Toc514018002 \h </w:instrText>
            </w:r>
            <w:r w:rsidR="000F2F27">
              <w:rPr>
                <w:webHidden/>
              </w:rPr>
            </w:r>
            <w:r w:rsidR="000F2F27">
              <w:rPr>
                <w:webHidden/>
              </w:rPr>
              <w:fldChar w:fldCharType="separate"/>
            </w:r>
            <w:r w:rsidR="000F2F27">
              <w:rPr>
                <w:webHidden/>
              </w:rPr>
              <w:t>62</w:t>
            </w:r>
            <w:r w:rsidR="000F2F27">
              <w:rPr>
                <w:webHidden/>
              </w:rPr>
              <w:fldChar w:fldCharType="end"/>
            </w:r>
          </w:hyperlink>
        </w:p>
        <w:p w14:paraId="55949D8D" w14:textId="2E0AA247" w:rsidR="000F2F27" w:rsidRDefault="005C788A">
          <w:pPr>
            <w:pStyle w:val="TOC2"/>
            <w:rPr>
              <w:rFonts w:asciiTheme="minorHAnsi" w:hAnsiTheme="minorHAnsi"/>
              <w:sz w:val="22"/>
              <w:szCs w:val="22"/>
              <w:lang w:eastAsia="en-AU"/>
            </w:rPr>
          </w:pPr>
          <w:hyperlink w:anchor="_Toc514018003" w:history="1">
            <w:r w:rsidR="000F2F27" w:rsidRPr="002978DC">
              <w:rPr>
                <w:rStyle w:val="Hyperlink"/>
              </w:rPr>
              <w:t>4.1</w:t>
            </w:r>
            <w:r w:rsidR="000F2F27">
              <w:rPr>
                <w:rFonts w:asciiTheme="minorHAnsi" w:hAnsiTheme="minorHAnsi"/>
                <w:sz w:val="22"/>
                <w:szCs w:val="22"/>
                <w:lang w:eastAsia="en-AU"/>
              </w:rPr>
              <w:tab/>
            </w:r>
            <w:r w:rsidR="000F2F27" w:rsidRPr="002978DC">
              <w:rPr>
                <w:rStyle w:val="Hyperlink"/>
              </w:rPr>
              <w:t>STEP 6: PRIORITISE BLACK BOX MANAGEMENT UNITS AND MANAGEMENT OPTIONS</w:t>
            </w:r>
            <w:r w:rsidR="000F2F27">
              <w:rPr>
                <w:webHidden/>
              </w:rPr>
              <w:tab/>
            </w:r>
            <w:r w:rsidR="000F2F27">
              <w:rPr>
                <w:webHidden/>
              </w:rPr>
              <w:fldChar w:fldCharType="begin"/>
            </w:r>
            <w:r w:rsidR="000F2F27">
              <w:rPr>
                <w:webHidden/>
              </w:rPr>
              <w:instrText xml:space="preserve"> PAGEREF _Toc514018003 \h </w:instrText>
            </w:r>
            <w:r w:rsidR="000F2F27">
              <w:rPr>
                <w:webHidden/>
              </w:rPr>
            </w:r>
            <w:r w:rsidR="000F2F27">
              <w:rPr>
                <w:webHidden/>
              </w:rPr>
              <w:fldChar w:fldCharType="separate"/>
            </w:r>
            <w:r w:rsidR="000F2F27">
              <w:rPr>
                <w:webHidden/>
              </w:rPr>
              <w:t>64</w:t>
            </w:r>
            <w:r w:rsidR="000F2F27">
              <w:rPr>
                <w:webHidden/>
              </w:rPr>
              <w:fldChar w:fldCharType="end"/>
            </w:r>
          </w:hyperlink>
        </w:p>
        <w:p w14:paraId="416D051C" w14:textId="4B5A289A" w:rsidR="000F2F27" w:rsidRDefault="005C788A">
          <w:pPr>
            <w:pStyle w:val="TOC2"/>
            <w:rPr>
              <w:rFonts w:asciiTheme="minorHAnsi" w:hAnsiTheme="minorHAnsi"/>
              <w:sz w:val="22"/>
              <w:szCs w:val="22"/>
              <w:lang w:eastAsia="en-AU"/>
            </w:rPr>
          </w:pPr>
          <w:hyperlink w:anchor="_Toc514018004" w:history="1">
            <w:r w:rsidR="000F2F27" w:rsidRPr="002978DC">
              <w:rPr>
                <w:rStyle w:val="Hyperlink"/>
              </w:rPr>
              <w:t>4.2</w:t>
            </w:r>
            <w:r w:rsidR="000F2F27">
              <w:rPr>
                <w:rFonts w:asciiTheme="minorHAnsi" w:hAnsiTheme="minorHAnsi"/>
                <w:sz w:val="22"/>
                <w:szCs w:val="22"/>
                <w:lang w:eastAsia="en-AU"/>
              </w:rPr>
              <w:tab/>
            </w:r>
            <w:r w:rsidR="000F2F27" w:rsidRPr="002978DC">
              <w:rPr>
                <w:rStyle w:val="Hyperlink"/>
              </w:rPr>
              <w:t>STEP 7: BENEFIT AND RISK ASSESSMENT</w:t>
            </w:r>
            <w:r w:rsidR="000F2F27">
              <w:rPr>
                <w:webHidden/>
              </w:rPr>
              <w:tab/>
            </w:r>
            <w:r w:rsidR="000F2F27">
              <w:rPr>
                <w:webHidden/>
              </w:rPr>
              <w:fldChar w:fldCharType="begin"/>
            </w:r>
            <w:r w:rsidR="000F2F27">
              <w:rPr>
                <w:webHidden/>
              </w:rPr>
              <w:instrText xml:space="preserve"> PAGEREF _Toc514018004 \h </w:instrText>
            </w:r>
            <w:r w:rsidR="000F2F27">
              <w:rPr>
                <w:webHidden/>
              </w:rPr>
            </w:r>
            <w:r w:rsidR="000F2F27">
              <w:rPr>
                <w:webHidden/>
              </w:rPr>
              <w:fldChar w:fldCharType="separate"/>
            </w:r>
            <w:r w:rsidR="000F2F27">
              <w:rPr>
                <w:webHidden/>
              </w:rPr>
              <w:t>68</w:t>
            </w:r>
            <w:r w:rsidR="000F2F27">
              <w:rPr>
                <w:webHidden/>
              </w:rPr>
              <w:fldChar w:fldCharType="end"/>
            </w:r>
          </w:hyperlink>
        </w:p>
        <w:p w14:paraId="0E69E9AD" w14:textId="609470B6" w:rsidR="000F2F27" w:rsidRDefault="005C788A">
          <w:pPr>
            <w:pStyle w:val="TOC2"/>
            <w:rPr>
              <w:rFonts w:asciiTheme="minorHAnsi" w:hAnsiTheme="minorHAnsi"/>
              <w:sz w:val="22"/>
              <w:szCs w:val="22"/>
              <w:lang w:eastAsia="en-AU"/>
            </w:rPr>
          </w:pPr>
          <w:hyperlink w:anchor="_Toc514018005" w:history="1">
            <w:r w:rsidR="000F2F27" w:rsidRPr="002978DC">
              <w:rPr>
                <w:rStyle w:val="Hyperlink"/>
              </w:rPr>
              <w:t>4.3</w:t>
            </w:r>
            <w:r w:rsidR="000F2F27">
              <w:rPr>
                <w:rFonts w:asciiTheme="minorHAnsi" w:hAnsiTheme="minorHAnsi"/>
                <w:sz w:val="22"/>
                <w:szCs w:val="22"/>
                <w:lang w:eastAsia="en-AU"/>
              </w:rPr>
              <w:tab/>
            </w:r>
            <w:r w:rsidR="000F2F27" w:rsidRPr="002978DC">
              <w:rPr>
                <w:rStyle w:val="Hyperlink"/>
              </w:rPr>
              <w:t>STEP 8: DEVELOPING A SITE MONITORING PLAN</w:t>
            </w:r>
            <w:r w:rsidR="000F2F27">
              <w:rPr>
                <w:webHidden/>
              </w:rPr>
              <w:tab/>
            </w:r>
            <w:r w:rsidR="000F2F27">
              <w:rPr>
                <w:webHidden/>
              </w:rPr>
              <w:fldChar w:fldCharType="begin"/>
            </w:r>
            <w:r w:rsidR="000F2F27">
              <w:rPr>
                <w:webHidden/>
              </w:rPr>
              <w:instrText xml:space="preserve"> PAGEREF _Toc514018005 \h </w:instrText>
            </w:r>
            <w:r w:rsidR="000F2F27">
              <w:rPr>
                <w:webHidden/>
              </w:rPr>
            </w:r>
            <w:r w:rsidR="000F2F27">
              <w:rPr>
                <w:webHidden/>
              </w:rPr>
              <w:fldChar w:fldCharType="separate"/>
            </w:r>
            <w:r w:rsidR="000F2F27">
              <w:rPr>
                <w:webHidden/>
              </w:rPr>
              <w:t>69</w:t>
            </w:r>
            <w:r w:rsidR="000F2F27">
              <w:rPr>
                <w:webHidden/>
              </w:rPr>
              <w:fldChar w:fldCharType="end"/>
            </w:r>
          </w:hyperlink>
        </w:p>
        <w:p w14:paraId="103657E9" w14:textId="6C07743B" w:rsidR="000F2F27" w:rsidRDefault="005C788A">
          <w:pPr>
            <w:pStyle w:val="TOC2"/>
            <w:rPr>
              <w:rFonts w:asciiTheme="minorHAnsi" w:hAnsiTheme="minorHAnsi"/>
              <w:sz w:val="22"/>
              <w:szCs w:val="22"/>
              <w:lang w:eastAsia="en-AU"/>
            </w:rPr>
          </w:pPr>
          <w:hyperlink w:anchor="_Toc514018006" w:history="1">
            <w:r w:rsidR="000F2F27" w:rsidRPr="002978DC">
              <w:rPr>
                <w:rStyle w:val="Hyperlink"/>
              </w:rPr>
              <w:t>4.4</w:t>
            </w:r>
            <w:r w:rsidR="000F2F27">
              <w:rPr>
                <w:rFonts w:asciiTheme="minorHAnsi" w:hAnsiTheme="minorHAnsi"/>
                <w:sz w:val="22"/>
                <w:szCs w:val="22"/>
                <w:lang w:eastAsia="en-AU"/>
              </w:rPr>
              <w:tab/>
            </w:r>
            <w:r w:rsidR="000F2F27" w:rsidRPr="002978DC">
              <w:rPr>
                <w:rStyle w:val="Hyperlink"/>
              </w:rPr>
              <w:t>STEP 9: DEVELOPING A SITE MANAGEMENT PLAN</w:t>
            </w:r>
            <w:r w:rsidR="000F2F27">
              <w:rPr>
                <w:webHidden/>
              </w:rPr>
              <w:tab/>
            </w:r>
            <w:r w:rsidR="000F2F27">
              <w:rPr>
                <w:webHidden/>
              </w:rPr>
              <w:fldChar w:fldCharType="begin"/>
            </w:r>
            <w:r w:rsidR="000F2F27">
              <w:rPr>
                <w:webHidden/>
              </w:rPr>
              <w:instrText xml:space="preserve"> PAGEREF _Toc514018006 \h </w:instrText>
            </w:r>
            <w:r w:rsidR="000F2F27">
              <w:rPr>
                <w:webHidden/>
              </w:rPr>
            </w:r>
            <w:r w:rsidR="000F2F27">
              <w:rPr>
                <w:webHidden/>
              </w:rPr>
              <w:fldChar w:fldCharType="separate"/>
            </w:r>
            <w:r w:rsidR="000F2F27">
              <w:rPr>
                <w:webHidden/>
              </w:rPr>
              <w:t>70</w:t>
            </w:r>
            <w:r w:rsidR="000F2F27">
              <w:rPr>
                <w:webHidden/>
              </w:rPr>
              <w:fldChar w:fldCharType="end"/>
            </w:r>
          </w:hyperlink>
        </w:p>
        <w:p w14:paraId="0FD732C1" w14:textId="0A074162" w:rsidR="000F2F27" w:rsidRDefault="005C788A">
          <w:pPr>
            <w:pStyle w:val="TOC1"/>
            <w:rPr>
              <w:rFonts w:asciiTheme="minorHAnsi" w:hAnsiTheme="minorHAnsi"/>
              <w:b w:val="0"/>
              <w:sz w:val="22"/>
              <w:szCs w:val="22"/>
              <w:lang w:eastAsia="en-AU"/>
            </w:rPr>
          </w:pPr>
          <w:hyperlink w:anchor="_Toc514018007" w:history="1">
            <w:r w:rsidR="000F2F27" w:rsidRPr="002978DC">
              <w:rPr>
                <w:rStyle w:val="Hyperlink"/>
              </w:rPr>
              <w:t>5.</w:t>
            </w:r>
            <w:r w:rsidR="000F2F27">
              <w:rPr>
                <w:rFonts w:asciiTheme="minorHAnsi" w:hAnsiTheme="minorHAnsi"/>
                <w:b w:val="0"/>
                <w:sz w:val="22"/>
                <w:szCs w:val="22"/>
                <w:lang w:eastAsia="en-AU"/>
              </w:rPr>
              <w:tab/>
            </w:r>
            <w:r w:rsidR="000F2F27" w:rsidRPr="002978DC">
              <w:rPr>
                <w:rStyle w:val="Hyperlink"/>
              </w:rPr>
              <w:t>Part C: Managing for Basin Scale Improvement</w:t>
            </w:r>
            <w:r w:rsidR="000F2F27">
              <w:rPr>
                <w:webHidden/>
              </w:rPr>
              <w:tab/>
            </w:r>
            <w:r w:rsidR="000F2F27">
              <w:rPr>
                <w:webHidden/>
              </w:rPr>
              <w:fldChar w:fldCharType="begin"/>
            </w:r>
            <w:r w:rsidR="000F2F27">
              <w:rPr>
                <w:webHidden/>
              </w:rPr>
              <w:instrText xml:space="preserve"> PAGEREF _Toc514018007 \h </w:instrText>
            </w:r>
            <w:r w:rsidR="000F2F27">
              <w:rPr>
                <w:webHidden/>
              </w:rPr>
            </w:r>
            <w:r w:rsidR="000F2F27">
              <w:rPr>
                <w:webHidden/>
              </w:rPr>
              <w:fldChar w:fldCharType="separate"/>
            </w:r>
            <w:r w:rsidR="000F2F27">
              <w:rPr>
                <w:webHidden/>
              </w:rPr>
              <w:t>72</w:t>
            </w:r>
            <w:r w:rsidR="000F2F27">
              <w:rPr>
                <w:webHidden/>
              </w:rPr>
              <w:fldChar w:fldCharType="end"/>
            </w:r>
          </w:hyperlink>
        </w:p>
        <w:p w14:paraId="4DC2D6ED" w14:textId="3E63D0F0" w:rsidR="000F2F27" w:rsidRDefault="005C788A">
          <w:pPr>
            <w:pStyle w:val="TOC2"/>
            <w:rPr>
              <w:rFonts w:asciiTheme="minorHAnsi" w:hAnsiTheme="minorHAnsi"/>
              <w:sz w:val="22"/>
              <w:szCs w:val="22"/>
              <w:lang w:eastAsia="en-AU"/>
            </w:rPr>
          </w:pPr>
          <w:hyperlink w:anchor="_Toc514018008" w:history="1">
            <w:r w:rsidR="000F2F27" w:rsidRPr="002978DC">
              <w:rPr>
                <w:rStyle w:val="Hyperlink"/>
              </w:rPr>
              <w:t>5.1</w:t>
            </w:r>
            <w:r w:rsidR="000F2F27">
              <w:rPr>
                <w:rFonts w:asciiTheme="minorHAnsi" w:hAnsiTheme="minorHAnsi"/>
                <w:sz w:val="22"/>
                <w:szCs w:val="22"/>
                <w:lang w:eastAsia="en-AU"/>
              </w:rPr>
              <w:tab/>
            </w:r>
            <w:r w:rsidR="000F2F27" w:rsidRPr="002978DC">
              <w:rPr>
                <w:rStyle w:val="Hyperlink"/>
              </w:rPr>
              <w:t>Applicability of the Framework to Different Scales</w:t>
            </w:r>
            <w:r w:rsidR="000F2F27">
              <w:rPr>
                <w:webHidden/>
              </w:rPr>
              <w:tab/>
            </w:r>
            <w:r w:rsidR="000F2F27">
              <w:rPr>
                <w:webHidden/>
              </w:rPr>
              <w:fldChar w:fldCharType="begin"/>
            </w:r>
            <w:r w:rsidR="000F2F27">
              <w:rPr>
                <w:webHidden/>
              </w:rPr>
              <w:instrText xml:space="preserve"> PAGEREF _Toc514018008 \h </w:instrText>
            </w:r>
            <w:r w:rsidR="000F2F27">
              <w:rPr>
                <w:webHidden/>
              </w:rPr>
            </w:r>
            <w:r w:rsidR="000F2F27">
              <w:rPr>
                <w:webHidden/>
              </w:rPr>
              <w:fldChar w:fldCharType="separate"/>
            </w:r>
            <w:r w:rsidR="000F2F27">
              <w:rPr>
                <w:webHidden/>
              </w:rPr>
              <w:t>72</w:t>
            </w:r>
            <w:r w:rsidR="000F2F27">
              <w:rPr>
                <w:webHidden/>
              </w:rPr>
              <w:fldChar w:fldCharType="end"/>
            </w:r>
          </w:hyperlink>
        </w:p>
        <w:p w14:paraId="46BC2082" w14:textId="17ACDBFE" w:rsidR="000F2F27" w:rsidRDefault="005C788A">
          <w:pPr>
            <w:pStyle w:val="TOC2"/>
            <w:rPr>
              <w:rFonts w:asciiTheme="minorHAnsi" w:hAnsiTheme="minorHAnsi"/>
              <w:sz w:val="22"/>
              <w:szCs w:val="22"/>
              <w:lang w:eastAsia="en-AU"/>
            </w:rPr>
          </w:pPr>
          <w:hyperlink w:anchor="_Toc514018009" w:history="1">
            <w:r w:rsidR="000F2F27" w:rsidRPr="002978DC">
              <w:rPr>
                <w:rStyle w:val="Hyperlink"/>
              </w:rPr>
              <w:t>5.2</w:t>
            </w:r>
            <w:r w:rsidR="000F2F27">
              <w:rPr>
                <w:rFonts w:asciiTheme="minorHAnsi" w:hAnsiTheme="minorHAnsi"/>
                <w:sz w:val="22"/>
                <w:szCs w:val="22"/>
                <w:lang w:eastAsia="en-AU"/>
              </w:rPr>
              <w:tab/>
            </w:r>
            <w:r w:rsidR="000F2F27" w:rsidRPr="002978DC">
              <w:rPr>
                <w:rStyle w:val="Hyperlink"/>
              </w:rPr>
              <w:t>Application of the Framework to a Reach or Regional Scale</w:t>
            </w:r>
            <w:r w:rsidR="000F2F27">
              <w:rPr>
                <w:webHidden/>
              </w:rPr>
              <w:tab/>
            </w:r>
            <w:r w:rsidR="000F2F27">
              <w:rPr>
                <w:webHidden/>
              </w:rPr>
              <w:fldChar w:fldCharType="begin"/>
            </w:r>
            <w:r w:rsidR="000F2F27">
              <w:rPr>
                <w:webHidden/>
              </w:rPr>
              <w:instrText xml:space="preserve"> PAGEREF _Toc514018009 \h </w:instrText>
            </w:r>
            <w:r w:rsidR="000F2F27">
              <w:rPr>
                <w:webHidden/>
              </w:rPr>
            </w:r>
            <w:r w:rsidR="000F2F27">
              <w:rPr>
                <w:webHidden/>
              </w:rPr>
              <w:fldChar w:fldCharType="separate"/>
            </w:r>
            <w:r w:rsidR="000F2F27">
              <w:rPr>
                <w:webHidden/>
              </w:rPr>
              <w:t>76</w:t>
            </w:r>
            <w:r w:rsidR="000F2F27">
              <w:rPr>
                <w:webHidden/>
              </w:rPr>
              <w:fldChar w:fldCharType="end"/>
            </w:r>
          </w:hyperlink>
        </w:p>
        <w:p w14:paraId="3A37EFF9" w14:textId="2296B786" w:rsidR="000F2F27" w:rsidRDefault="005C788A">
          <w:pPr>
            <w:pStyle w:val="TOC2"/>
            <w:rPr>
              <w:rFonts w:asciiTheme="minorHAnsi" w:hAnsiTheme="minorHAnsi"/>
              <w:sz w:val="22"/>
              <w:szCs w:val="22"/>
              <w:lang w:eastAsia="en-AU"/>
            </w:rPr>
          </w:pPr>
          <w:hyperlink w:anchor="_Toc514018010" w:history="1">
            <w:r w:rsidR="000F2F27" w:rsidRPr="002978DC">
              <w:rPr>
                <w:rStyle w:val="Hyperlink"/>
              </w:rPr>
              <w:t>5.3</w:t>
            </w:r>
            <w:r w:rsidR="000F2F27">
              <w:rPr>
                <w:rFonts w:asciiTheme="minorHAnsi" w:hAnsiTheme="minorHAnsi"/>
                <w:sz w:val="22"/>
                <w:szCs w:val="22"/>
                <w:lang w:eastAsia="en-AU"/>
              </w:rPr>
              <w:tab/>
            </w:r>
            <w:r w:rsidR="000F2F27" w:rsidRPr="002978DC">
              <w:rPr>
                <w:rStyle w:val="Hyperlink"/>
              </w:rPr>
              <w:t>Application of the Framework at the Basin Scale</w:t>
            </w:r>
            <w:r w:rsidR="000F2F27">
              <w:rPr>
                <w:webHidden/>
              </w:rPr>
              <w:tab/>
            </w:r>
            <w:r w:rsidR="000F2F27">
              <w:rPr>
                <w:webHidden/>
              </w:rPr>
              <w:fldChar w:fldCharType="begin"/>
            </w:r>
            <w:r w:rsidR="000F2F27">
              <w:rPr>
                <w:webHidden/>
              </w:rPr>
              <w:instrText xml:space="preserve"> PAGEREF _Toc514018010 \h </w:instrText>
            </w:r>
            <w:r w:rsidR="000F2F27">
              <w:rPr>
                <w:webHidden/>
              </w:rPr>
            </w:r>
            <w:r w:rsidR="000F2F27">
              <w:rPr>
                <w:webHidden/>
              </w:rPr>
              <w:fldChar w:fldCharType="separate"/>
            </w:r>
            <w:r w:rsidR="000F2F27">
              <w:rPr>
                <w:webHidden/>
              </w:rPr>
              <w:t>88</w:t>
            </w:r>
            <w:r w:rsidR="000F2F27">
              <w:rPr>
                <w:webHidden/>
              </w:rPr>
              <w:fldChar w:fldCharType="end"/>
            </w:r>
          </w:hyperlink>
        </w:p>
        <w:p w14:paraId="0EFDE7A5" w14:textId="4B2A5B0C" w:rsidR="000F2F27" w:rsidRDefault="005C788A">
          <w:pPr>
            <w:pStyle w:val="TOC2"/>
            <w:rPr>
              <w:rFonts w:asciiTheme="minorHAnsi" w:hAnsiTheme="minorHAnsi"/>
              <w:sz w:val="22"/>
              <w:szCs w:val="22"/>
              <w:lang w:eastAsia="en-AU"/>
            </w:rPr>
          </w:pPr>
          <w:hyperlink w:anchor="_Toc514018011" w:history="1">
            <w:r w:rsidR="000F2F27" w:rsidRPr="002978DC">
              <w:rPr>
                <w:rStyle w:val="Hyperlink"/>
              </w:rPr>
              <w:t>5.4</w:t>
            </w:r>
            <w:r w:rsidR="000F2F27">
              <w:rPr>
                <w:rFonts w:asciiTheme="minorHAnsi" w:hAnsiTheme="minorHAnsi"/>
                <w:sz w:val="22"/>
                <w:szCs w:val="22"/>
                <w:lang w:eastAsia="en-AU"/>
              </w:rPr>
              <w:tab/>
            </w:r>
            <w:r w:rsidR="000F2F27" w:rsidRPr="002978DC">
              <w:rPr>
                <w:rStyle w:val="Hyperlink"/>
              </w:rPr>
              <w:t>Principles for Management of Black Box</w:t>
            </w:r>
            <w:r w:rsidR="000F2F27">
              <w:rPr>
                <w:webHidden/>
              </w:rPr>
              <w:tab/>
            </w:r>
            <w:r w:rsidR="000F2F27">
              <w:rPr>
                <w:webHidden/>
              </w:rPr>
              <w:fldChar w:fldCharType="begin"/>
            </w:r>
            <w:r w:rsidR="000F2F27">
              <w:rPr>
                <w:webHidden/>
              </w:rPr>
              <w:instrText xml:space="preserve"> PAGEREF _Toc514018011 \h </w:instrText>
            </w:r>
            <w:r w:rsidR="000F2F27">
              <w:rPr>
                <w:webHidden/>
              </w:rPr>
            </w:r>
            <w:r w:rsidR="000F2F27">
              <w:rPr>
                <w:webHidden/>
              </w:rPr>
              <w:fldChar w:fldCharType="separate"/>
            </w:r>
            <w:r w:rsidR="000F2F27">
              <w:rPr>
                <w:webHidden/>
              </w:rPr>
              <w:t>113</w:t>
            </w:r>
            <w:r w:rsidR="000F2F27">
              <w:rPr>
                <w:webHidden/>
              </w:rPr>
              <w:fldChar w:fldCharType="end"/>
            </w:r>
          </w:hyperlink>
        </w:p>
        <w:p w14:paraId="3DAC63A8" w14:textId="49DA3E71" w:rsidR="000F2F27" w:rsidRDefault="005C788A">
          <w:pPr>
            <w:pStyle w:val="TOC1"/>
            <w:rPr>
              <w:rFonts w:asciiTheme="minorHAnsi" w:hAnsiTheme="minorHAnsi"/>
              <w:b w:val="0"/>
              <w:sz w:val="22"/>
              <w:szCs w:val="22"/>
              <w:lang w:eastAsia="en-AU"/>
            </w:rPr>
          </w:pPr>
          <w:hyperlink w:anchor="_Toc514018012" w:history="1">
            <w:r w:rsidR="000F2F27" w:rsidRPr="002978DC">
              <w:rPr>
                <w:rStyle w:val="Hyperlink"/>
              </w:rPr>
              <w:t>6.</w:t>
            </w:r>
            <w:r w:rsidR="000F2F27">
              <w:rPr>
                <w:rFonts w:asciiTheme="minorHAnsi" w:hAnsiTheme="minorHAnsi"/>
                <w:b w:val="0"/>
                <w:sz w:val="22"/>
                <w:szCs w:val="22"/>
                <w:lang w:eastAsia="en-AU"/>
              </w:rPr>
              <w:tab/>
            </w:r>
            <w:r w:rsidR="000F2F27" w:rsidRPr="002978DC">
              <w:rPr>
                <w:rStyle w:val="Hyperlink"/>
              </w:rPr>
              <w:t>Conclusion</w:t>
            </w:r>
            <w:r w:rsidR="000F2F27">
              <w:rPr>
                <w:webHidden/>
              </w:rPr>
              <w:tab/>
            </w:r>
            <w:r w:rsidR="000F2F27">
              <w:rPr>
                <w:webHidden/>
              </w:rPr>
              <w:fldChar w:fldCharType="begin"/>
            </w:r>
            <w:r w:rsidR="000F2F27">
              <w:rPr>
                <w:webHidden/>
              </w:rPr>
              <w:instrText xml:space="preserve"> PAGEREF _Toc514018012 \h </w:instrText>
            </w:r>
            <w:r w:rsidR="000F2F27">
              <w:rPr>
                <w:webHidden/>
              </w:rPr>
            </w:r>
            <w:r w:rsidR="000F2F27">
              <w:rPr>
                <w:webHidden/>
              </w:rPr>
              <w:fldChar w:fldCharType="separate"/>
            </w:r>
            <w:r w:rsidR="000F2F27">
              <w:rPr>
                <w:webHidden/>
              </w:rPr>
              <w:t>115</w:t>
            </w:r>
            <w:r w:rsidR="000F2F27">
              <w:rPr>
                <w:webHidden/>
              </w:rPr>
              <w:fldChar w:fldCharType="end"/>
            </w:r>
          </w:hyperlink>
        </w:p>
        <w:p w14:paraId="1977FF26" w14:textId="3ED7123E" w:rsidR="000F2F27" w:rsidRDefault="005C788A">
          <w:pPr>
            <w:pStyle w:val="TOC1"/>
            <w:rPr>
              <w:rFonts w:asciiTheme="minorHAnsi" w:hAnsiTheme="minorHAnsi"/>
              <w:b w:val="0"/>
              <w:sz w:val="22"/>
              <w:szCs w:val="22"/>
              <w:lang w:eastAsia="en-AU"/>
            </w:rPr>
          </w:pPr>
          <w:hyperlink w:anchor="_Toc514018013" w:history="1">
            <w:r w:rsidR="000F2F27" w:rsidRPr="002978DC">
              <w:rPr>
                <w:rStyle w:val="Hyperlink"/>
              </w:rPr>
              <w:t>7.</w:t>
            </w:r>
            <w:r w:rsidR="000F2F27">
              <w:rPr>
                <w:rFonts w:asciiTheme="minorHAnsi" w:hAnsiTheme="minorHAnsi"/>
                <w:b w:val="0"/>
                <w:sz w:val="22"/>
                <w:szCs w:val="22"/>
                <w:lang w:eastAsia="en-AU"/>
              </w:rPr>
              <w:tab/>
            </w:r>
            <w:r w:rsidR="000F2F27" w:rsidRPr="002978DC">
              <w:rPr>
                <w:rStyle w:val="Hyperlink"/>
              </w:rPr>
              <w:t>References</w:t>
            </w:r>
            <w:r w:rsidR="000F2F27">
              <w:rPr>
                <w:webHidden/>
              </w:rPr>
              <w:tab/>
            </w:r>
            <w:r w:rsidR="000F2F27">
              <w:rPr>
                <w:webHidden/>
              </w:rPr>
              <w:fldChar w:fldCharType="begin"/>
            </w:r>
            <w:r w:rsidR="000F2F27">
              <w:rPr>
                <w:webHidden/>
              </w:rPr>
              <w:instrText xml:space="preserve"> PAGEREF _Toc514018013 \h </w:instrText>
            </w:r>
            <w:r w:rsidR="000F2F27">
              <w:rPr>
                <w:webHidden/>
              </w:rPr>
            </w:r>
            <w:r w:rsidR="000F2F27">
              <w:rPr>
                <w:webHidden/>
              </w:rPr>
              <w:fldChar w:fldCharType="separate"/>
            </w:r>
            <w:r w:rsidR="000F2F27">
              <w:rPr>
                <w:webHidden/>
              </w:rPr>
              <w:t>116</w:t>
            </w:r>
            <w:r w:rsidR="000F2F27">
              <w:rPr>
                <w:webHidden/>
              </w:rPr>
              <w:fldChar w:fldCharType="end"/>
            </w:r>
          </w:hyperlink>
        </w:p>
        <w:p w14:paraId="0DD7C201" w14:textId="328BE670" w:rsidR="00415DFA" w:rsidRPr="003246A2" w:rsidRDefault="007A45D5" w:rsidP="0054034A">
          <w:pPr>
            <w:pStyle w:val="TOC1"/>
          </w:pPr>
          <w:r>
            <w:fldChar w:fldCharType="end"/>
          </w:r>
        </w:p>
        <w:p w14:paraId="259A0AD2" w14:textId="7E8F8D32" w:rsidR="00781A70" w:rsidRDefault="00781A70">
          <w:pPr>
            <w:pStyle w:val="TOC1"/>
          </w:pPr>
          <w:r>
            <w:t>Part D: Resources</w:t>
          </w:r>
        </w:p>
        <w:p w14:paraId="34D65BFD" w14:textId="77777777" w:rsidR="003E61E4" w:rsidRDefault="00C04FE4">
          <w:pPr>
            <w:pStyle w:val="TOC1"/>
            <w:rPr>
              <w:rFonts w:asciiTheme="minorHAnsi" w:hAnsiTheme="minorHAnsi"/>
              <w:b w:val="0"/>
              <w:sz w:val="22"/>
              <w:szCs w:val="22"/>
              <w:lang w:eastAsia="en-AU"/>
            </w:rPr>
          </w:pPr>
          <w:r w:rsidRPr="003246A2">
            <w:fldChar w:fldCharType="begin"/>
          </w:r>
          <w:r w:rsidRPr="003246A2">
            <w:instrText xml:space="preserve"> TOC \n \h \z \t "Heading 9,1,Appendix subheading 1,2,Appendix subheading 2,3" </w:instrText>
          </w:r>
          <w:r w:rsidRPr="003246A2">
            <w:fldChar w:fldCharType="separate"/>
          </w:r>
          <w:hyperlink w:anchor="_Toc510785220" w:history="1">
            <w:r w:rsidR="003E61E4" w:rsidRPr="0093641D">
              <w:rPr>
                <w:rStyle w:val="Hyperlink"/>
              </w:rPr>
              <w:t>Appendix A. Resources</w:t>
            </w:r>
          </w:hyperlink>
        </w:p>
        <w:p w14:paraId="1E93CB1C" w14:textId="77777777" w:rsidR="003E61E4" w:rsidRDefault="005C788A">
          <w:pPr>
            <w:pStyle w:val="TOC1"/>
            <w:rPr>
              <w:rFonts w:asciiTheme="minorHAnsi" w:hAnsiTheme="minorHAnsi"/>
              <w:b w:val="0"/>
              <w:sz w:val="22"/>
              <w:szCs w:val="22"/>
              <w:lang w:eastAsia="en-AU"/>
            </w:rPr>
          </w:pPr>
          <w:hyperlink w:anchor="_Toc510785221" w:history="1">
            <w:r w:rsidR="003E61E4" w:rsidRPr="0093641D">
              <w:rPr>
                <w:rStyle w:val="Hyperlink"/>
              </w:rPr>
              <w:t>Appendix B. A Summary of Black Box Needs, Stressors and Indicators</w:t>
            </w:r>
          </w:hyperlink>
        </w:p>
        <w:p w14:paraId="26E3AE9D" w14:textId="77777777" w:rsidR="003E61E4" w:rsidRDefault="005C788A">
          <w:pPr>
            <w:pStyle w:val="TOC1"/>
            <w:rPr>
              <w:rFonts w:asciiTheme="minorHAnsi" w:hAnsiTheme="minorHAnsi"/>
              <w:b w:val="0"/>
              <w:sz w:val="22"/>
              <w:szCs w:val="22"/>
              <w:lang w:eastAsia="en-AU"/>
            </w:rPr>
          </w:pPr>
          <w:hyperlink w:anchor="_Toc510785222" w:history="1">
            <w:r w:rsidR="003E61E4" w:rsidRPr="0093641D">
              <w:rPr>
                <w:rStyle w:val="Hyperlink"/>
              </w:rPr>
              <w:t>Appendix C. Rapid Black Box Condition Assessment</w:t>
            </w:r>
          </w:hyperlink>
        </w:p>
        <w:p w14:paraId="07AE94C8" w14:textId="77777777" w:rsidR="003E61E4" w:rsidRDefault="005C788A">
          <w:pPr>
            <w:pStyle w:val="TOC1"/>
            <w:rPr>
              <w:rFonts w:asciiTheme="minorHAnsi" w:hAnsiTheme="minorHAnsi"/>
              <w:b w:val="0"/>
              <w:sz w:val="22"/>
              <w:szCs w:val="22"/>
              <w:lang w:eastAsia="en-AU"/>
            </w:rPr>
          </w:pPr>
          <w:hyperlink w:anchor="_Toc510785223" w:history="1">
            <w:r w:rsidR="003E61E4" w:rsidRPr="0093641D">
              <w:rPr>
                <w:rStyle w:val="Hyperlink"/>
              </w:rPr>
              <w:t>Appendix D. The Living Murray Condition Assessment</w:t>
            </w:r>
          </w:hyperlink>
        </w:p>
        <w:p w14:paraId="4F8E64AB" w14:textId="77777777" w:rsidR="003E61E4" w:rsidRDefault="005C788A">
          <w:pPr>
            <w:pStyle w:val="TOC1"/>
            <w:rPr>
              <w:rFonts w:asciiTheme="minorHAnsi" w:hAnsiTheme="minorHAnsi"/>
              <w:b w:val="0"/>
              <w:sz w:val="22"/>
              <w:szCs w:val="22"/>
              <w:lang w:eastAsia="en-AU"/>
            </w:rPr>
          </w:pPr>
          <w:hyperlink w:anchor="_Toc510785224" w:history="1">
            <w:r w:rsidR="003E61E4" w:rsidRPr="0093641D">
              <w:rPr>
                <w:rStyle w:val="Hyperlink"/>
              </w:rPr>
              <w:t>Appendix E. Potential Management Actions</w:t>
            </w:r>
          </w:hyperlink>
        </w:p>
        <w:p w14:paraId="24B8CDD0" w14:textId="77777777" w:rsidR="003E61E4" w:rsidRDefault="005C788A">
          <w:pPr>
            <w:pStyle w:val="TOC1"/>
            <w:rPr>
              <w:rFonts w:asciiTheme="minorHAnsi" w:hAnsiTheme="minorHAnsi"/>
              <w:b w:val="0"/>
              <w:sz w:val="22"/>
              <w:szCs w:val="22"/>
              <w:lang w:eastAsia="en-AU"/>
            </w:rPr>
          </w:pPr>
          <w:hyperlink w:anchor="_Toc510785225" w:history="1">
            <w:r w:rsidR="003E61E4" w:rsidRPr="0093641D">
              <w:rPr>
                <w:rStyle w:val="Hyperlink"/>
              </w:rPr>
              <w:t>Appendix F. Rapid Prioritisation Method</w:t>
            </w:r>
          </w:hyperlink>
        </w:p>
        <w:p w14:paraId="60BC684C" w14:textId="77777777" w:rsidR="003E61E4" w:rsidRDefault="005C788A">
          <w:pPr>
            <w:pStyle w:val="TOC1"/>
            <w:rPr>
              <w:rFonts w:asciiTheme="minorHAnsi" w:hAnsiTheme="minorHAnsi"/>
              <w:b w:val="0"/>
              <w:sz w:val="22"/>
              <w:szCs w:val="22"/>
              <w:lang w:eastAsia="en-AU"/>
            </w:rPr>
          </w:pPr>
          <w:hyperlink w:anchor="_Toc510785226" w:history="1">
            <w:r w:rsidR="003E61E4" w:rsidRPr="0093641D">
              <w:rPr>
                <w:rStyle w:val="Hyperlink"/>
              </w:rPr>
              <w:t>Appendix G. Multi Criteria Assessment</w:t>
            </w:r>
          </w:hyperlink>
        </w:p>
        <w:p w14:paraId="36FA0D3E" w14:textId="77777777" w:rsidR="003E61E4" w:rsidRDefault="005C788A">
          <w:pPr>
            <w:pStyle w:val="TOC1"/>
            <w:rPr>
              <w:rFonts w:asciiTheme="minorHAnsi" w:hAnsiTheme="minorHAnsi"/>
              <w:b w:val="0"/>
              <w:sz w:val="22"/>
              <w:szCs w:val="22"/>
              <w:lang w:eastAsia="en-AU"/>
            </w:rPr>
          </w:pPr>
          <w:hyperlink w:anchor="_Toc510785227" w:history="1">
            <w:r w:rsidR="003E61E4" w:rsidRPr="0093641D">
              <w:rPr>
                <w:rStyle w:val="Hyperlink"/>
              </w:rPr>
              <w:t>Appendix H. Assessment Criteria for Selection of Black Box Management Units</w:t>
            </w:r>
          </w:hyperlink>
        </w:p>
        <w:p w14:paraId="31DAD100" w14:textId="77777777" w:rsidR="003E61E4" w:rsidRDefault="005C788A">
          <w:pPr>
            <w:pStyle w:val="TOC1"/>
            <w:rPr>
              <w:rFonts w:asciiTheme="minorHAnsi" w:hAnsiTheme="minorHAnsi"/>
              <w:b w:val="0"/>
              <w:sz w:val="22"/>
              <w:szCs w:val="22"/>
              <w:lang w:eastAsia="en-AU"/>
            </w:rPr>
          </w:pPr>
          <w:hyperlink w:anchor="_Toc510785228" w:history="1">
            <w:r w:rsidR="003E61E4" w:rsidRPr="0093641D">
              <w:rPr>
                <w:rStyle w:val="Hyperlink"/>
              </w:rPr>
              <w:t>Appendix I. Assessment Criteria for Management Options</w:t>
            </w:r>
          </w:hyperlink>
        </w:p>
        <w:p w14:paraId="3290BFCC" w14:textId="77777777" w:rsidR="003E61E4" w:rsidRDefault="005C788A">
          <w:pPr>
            <w:pStyle w:val="TOC1"/>
            <w:rPr>
              <w:rFonts w:asciiTheme="minorHAnsi" w:hAnsiTheme="minorHAnsi"/>
              <w:b w:val="0"/>
              <w:sz w:val="22"/>
              <w:szCs w:val="22"/>
              <w:lang w:eastAsia="en-AU"/>
            </w:rPr>
          </w:pPr>
          <w:hyperlink w:anchor="_Toc510785229" w:history="1">
            <w:r w:rsidR="003E61E4" w:rsidRPr="0093641D">
              <w:rPr>
                <w:rStyle w:val="Hyperlink"/>
              </w:rPr>
              <w:t>Appendix J. Managing Salinity from Environmental Watering</w:t>
            </w:r>
          </w:hyperlink>
        </w:p>
        <w:p w14:paraId="761AC3EE" w14:textId="77777777" w:rsidR="003E61E4" w:rsidRDefault="005C788A">
          <w:pPr>
            <w:pStyle w:val="TOC1"/>
            <w:rPr>
              <w:rFonts w:asciiTheme="minorHAnsi" w:hAnsiTheme="minorHAnsi"/>
              <w:b w:val="0"/>
              <w:sz w:val="22"/>
              <w:szCs w:val="22"/>
              <w:lang w:eastAsia="en-AU"/>
            </w:rPr>
          </w:pPr>
          <w:hyperlink w:anchor="_Toc510785230" w:history="1">
            <w:r w:rsidR="003E61E4" w:rsidRPr="0093641D">
              <w:rPr>
                <w:rStyle w:val="Hyperlink"/>
              </w:rPr>
              <w:t>Appendix K. Reach Scale Analysis of Black Box under Flow Stress, Salinity Stress, Flow and Salinity Stress and Low Stress for 60 – 80 ML/day Flows at the South Australian Border</w:t>
            </w:r>
          </w:hyperlink>
        </w:p>
        <w:p w14:paraId="7BDB84F5" w14:textId="77777777" w:rsidR="003E61E4" w:rsidRDefault="005C788A">
          <w:pPr>
            <w:pStyle w:val="TOC1"/>
            <w:rPr>
              <w:rFonts w:asciiTheme="minorHAnsi" w:hAnsiTheme="minorHAnsi"/>
              <w:b w:val="0"/>
              <w:sz w:val="22"/>
              <w:szCs w:val="22"/>
              <w:lang w:eastAsia="en-AU"/>
            </w:rPr>
          </w:pPr>
          <w:hyperlink w:anchor="_Toc510785231" w:history="1">
            <w:r w:rsidR="003E61E4" w:rsidRPr="0093641D">
              <w:rPr>
                <w:rStyle w:val="Hyperlink"/>
              </w:rPr>
              <w:t>Appendix L. Risk Assessment Process</w:t>
            </w:r>
          </w:hyperlink>
        </w:p>
        <w:p w14:paraId="2F88A2D1" w14:textId="77777777" w:rsidR="003E61E4" w:rsidRDefault="005C788A">
          <w:pPr>
            <w:pStyle w:val="TOC1"/>
            <w:rPr>
              <w:rFonts w:asciiTheme="minorHAnsi" w:hAnsiTheme="minorHAnsi"/>
              <w:b w:val="0"/>
              <w:sz w:val="22"/>
              <w:szCs w:val="22"/>
              <w:lang w:eastAsia="en-AU"/>
            </w:rPr>
          </w:pPr>
          <w:hyperlink w:anchor="_Toc510785232" w:history="1">
            <w:r w:rsidR="003E61E4" w:rsidRPr="0093641D">
              <w:rPr>
                <w:rStyle w:val="Hyperlink"/>
              </w:rPr>
              <w:t>Appendix M. Basin Scale Analysis – Additional Maps</w:t>
            </w:r>
          </w:hyperlink>
        </w:p>
        <w:p w14:paraId="0E18CBF9" w14:textId="4EBFF2E7" w:rsidR="00C04FE4" w:rsidRPr="00C04FE4" w:rsidRDefault="00C04FE4" w:rsidP="0054034A">
          <w:pPr>
            <w:pStyle w:val="TOC1"/>
          </w:pPr>
          <w:r w:rsidRPr="003246A2">
            <w:fldChar w:fldCharType="end"/>
          </w:r>
        </w:p>
      </w:sdtContent>
    </w:sdt>
    <w:p w14:paraId="6855D703" w14:textId="77777777" w:rsidR="008D6067" w:rsidRPr="00EF3609" w:rsidRDefault="008D6067" w:rsidP="008D6067">
      <w:pPr>
        <w:pStyle w:val="Contents"/>
        <w:rPr>
          <w:color w:val="65876D" w:themeColor="accent4" w:themeShade="BF"/>
        </w:rPr>
      </w:pPr>
      <w:r>
        <w:rPr>
          <w:color w:val="65876D" w:themeColor="accent4" w:themeShade="BF"/>
        </w:rPr>
        <w:t>Table of Tables</w:t>
      </w:r>
    </w:p>
    <w:p w14:paraId="6064ABEE" w14:textId="77777777" w:rsidR="0063076E" w:rsidRDefault="00D0107E">
      <w:pPr>
        <w:pStyle w:val="TableofFigures"/>
        <w:tabs>
          <w:tab w:val="right" w:leader="dot" w:pos="9906"/>
        </w:tabs>
        <w:rPr>
          <w:rFonts w:asciiTheme="minorHAnsi" w:hAnsiTheme="minorHAnsi"/>
          <w:noProof/>
          <w:sz w:val="22"/>
          <w:szCs w:val="22"/>
          <w:lang w:eastAsia="en-AU"/>
        </w:rPr>
      </w:pPr>
      <w:r w:rsidRPr="00C927A5">
        <w:rPr>
          <w:rStyle w:val="Hyperlink"/>
        </w:rPr>
        <w:fldChar w:fldCharType="begin"/>
      </w:r>
      <w:r w:rsidRPr="00C927A5">
        <w:rPr>
          <w:rStyle w:val="Hyperlink"/>
        </w:rPr>
        <w:instrText xml:space="preserve"> TOC \h \z \c "Table" </w:instrText>
      </w:r>
      <w:r w:rsidRPr="00C927A5">
        <w:rPr>
          <w:rStyle w:val="Hyperlink"/>
        </w:rPr>
        <w:fldChar w:fldCharType="separate"/>
      </w:r>
      <w:hyperlink w:anchor="_Toc514068767" w:history="1">
        <w:r w:rsidR="0063076E" w:rsidRPr="006F3DAE">
          <w:rPr>
            <w:rStyle w:val="Hyperlink"/>
            <w:noProof/>
          </w:rPr>
          <w:t>Table 1</w:t>
        </w:r>
        <w:r w:rsidR="0063076E" w:rsidRPr="006F3DAE">
          <w:rPr>
            <w:rStyle w:val="Hyperlink"/>
            <w:noProof/>
          </w:rPr>
          <w:noBreakHyphen/>
          <w:t>1: Condition of Black Box trees in six major regions of the Basin (Source: BWS - MDBA 2014)</w:t>
        </w:r>
        <w:r w:rsidR="0063076E">
          <w:rPr>
            <w:noProof/>
            <w:webHidden/>
          </w:rPr>
          <w:tab/>
        </w:r>
        <w:r w:rsidR="0063076E">
          <w:rPr>
            <w:noProof/>
            <w:webHidden/>
          </w:rPr>
          <w:fldChar w:fldCharType="begin"/>
        </w:r>
        <w:r w:rsidR="0063076E">
          <w:rPr>
            <w:noProof/>
            <w:webHidden/>
          </w:rPr>
          <w:instrText xml:space="preserve"> PAGEREF _Toc514068767 \h </w:instrText>
        </w:r>
        <w:r w:rsidR="0063076E">
          <w:rPr>
            <w:noProof/>
            <w:webHidden/>
          </w:rPr>
        </w:r>
        <w:r w:rsidR="0063076E">
          <w:rPr>
            <w:noProof/>
            <w:webHidden/>
          </w:rPr>
          <w:fldChar w:fldCharType="separate"/>
        </w:r>
        <w:r w:rsidR="0063076E">
          <w:rPr>
            <w:noProof/>
            <w:webHidden/>
          </w:rPr>
          <w:t>2</w:t>
        </w:r>
        <w:r w:rsidR="0063076E">
          <w:rPr>
            <w:noProof/>
            <w:webHidden/>
          </w:rPr>
          <w:fldChar w:fldCharType="end"/>
        </w:r>
      </w:hyperlink>
    </w:p>
    <w:p w14:paraId="1124B6EF"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68" w:history="1">
        <w:r w:rsidR="0063076E" w:rsidRPr="006F3DAE">
          <w:rPr>
            <w:rStyle w:val="Hyperlink"/>
            <w:noProof/>
          </w:rPr>
          <w:t>Table 3</w:t>
        </w:r>
        <w:r w:rsidR="0063076E" w:rsidRPr="006F3DAE">
          <w:rPr>
            <w:rStyle w:val="Hyperlink"/>
            <w:noProof/>
          </w:rPr>
          <w:noBreakHyphen/>
          <w:t>1: A guide to the confidence ratings and their meanings.</w:t>
        </w:r>
        <w:r w:rsidR="0063076E">
          <w:rPr>
            <w:noProof/>
            <w:webHidden/>
          </w:rPr>
          <w:tab/>
        </w:r>
        <w:r w:rsidR="0063076E">
          <w:rPr>
            <w:noProof/>
            <w:webHidden/>
          </w:rPr>
          <w:fldChar w:fldCharType="begin"/>
        </w:r>
        <w:r w:rsidR="0063076E">
          <w:rPr>
            <w:noProof/>
            <w:webHidden/>
          </w:rPr>
          <w:instrText xml:space="preserve"> PAGEREF _Toc514068768 \h </w:instrText>
        </w:r>
        <w:r w:rsidR="0063076E">
          <w:rPr>
            <w:noProof/>
            <w:webHidden/>
          </w:rPr>
        </w:r>
        <w:r w:rsidR="0063076E">
          <w:rPr>
            <w:noProof/>
            <w:webHidden/>
          </w:rPr>
          <w:fldChar w:fldCharType="separate"/>
        </w:r>
        <w:r w:rsidR="0063076E">
          <w:rPr>
            <w:noProof/>
            <w:webHidden/>
          </w:rPr>
          <w:t>12</w:t>
        </w:r>
        <w:r w:rsidR="0063076E">
          <w:rPr>
            <w:noProof/>
            <w:webHidden/>
          </w:rPr>
          <w:fldChar w:fldCharType="end"/>
        </w:r>
      </w:hyperlink>
    </w:p>
    <w:p w14:paraId="488AB0C3"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69" w:history="1">
        <w:r w:rsidR="0063076E" w:rsidRPr="006F3DAE">
          <w:rPr>
            <w:rStyle w:val="Hyperlink"/>
            <w:noProof/>
          </w:rPr>
          <w:t>Table 3</w:t>
        </w:r>
        <w:r w:rsidR="0063076E" w:rsidRPr="006F3DAE">
          <w:rPr>
            <w:rStyle w:val="Hyperlink"/>
            <w:noProof/>
          </w:rPr>
          <w:noBreakHyphen/>
          <w:t>2: Black Box condition classification</w:t>
        </w:r>
        <w:r w:rsidR="0063076E">
          <w:rPr>
            <w:noProof/>
            <w:webHidden/>
          </w:rPr>
          <w:tab/>
        </w:r>
        <w:r w:rsidR="0063076E">
          <w:rPr>
            <w:noProof/>
            <w:webHidden/>
          </w:rPr>
          <w:fldChar w:fldCharType="begin"/>
        </w:r>
        <w:r w:rsidR="0063076E">
          <w:rPr>
            <w:noProof/>
            <w:webHidden/>
          </w:rPr>
          <w:instrText xml:space="preserve"> PAGEREF _Toc514068769 \h </w:instrText>
        </w:r>
        <w:r w:rsidR="0063076E">
          <w:rPr>
            <w:noProof/>
            <w:webHidden/>
          </w:rPr>
        </w:r>
        <w:r w:rsidR="0063076E">
          <w:rPr>
            <w:noProof/>
            <w:webHidden/>
          </w:rPr>
          <w:fldChar w:fldCharType="separate"/>
        </w:r>
        <w:r w:rsidR="0063076E">
          <w:rPr>
            <w:noProof/>
            <w:webHidden/>
          </w:rPr>
          <w:t>17</w:t>
        </w:r>
        <w:r w:rsidR="0063076E">
          <w:rPr>
            <w:noProof/>
            <w:webHidden/>
          </w:rPr>
          <w:fldChar w:fldCharType="end"/>
        </w:r>
      </w:hyperlink>
    </w:p>
    <w:p w14:paraId="0BABFCB0"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70" w:history="1">
        <w:r w:rsidR="0063076E" w:rsidRPr="006F3DAE">
          <w:rPr>
            <w:rStyle w:val="Hyperlink"/>
            <w:noProof/>
          </w:rPr>
          <w:t xml:space="preserve">Table 3.3: Black Box condition, crown condition scores and ecological state (Overton </w:t>
        </w:r>
        <w:r w:rsidR="0063076E" w:rsidRPr="006F3DAE">
          <w:rPr>
            <w:rStyle w:val="Hyperlink"/>
            <w:i/>
            <w:noProof/>
          </w:rPr>
          <w:t>et al.</w:t>
        </w:r>
        <w:r w:rsidR="0063076E" w:rsidRPr="006F3DAE">
          <w:rPr>
            <w:rStyle w:val="Hyperlink"/>
            <w:noProof/>
          </w:rPr>
          <w:t>, 2014, with TLM scores applied).</w:t>
        </w:r>
        <w:r w:rsidR="0063076E">
          <w:rPr>
            <w:noProof/>
            <w:webHidden/>
          </w:rPr>
          <w:tab/>
        </w:r>
        <w:r w:rsidR="0063076E">
          <w:rPr>
            <w:noProof/>
            <w:webHidden/>
          </w:rPr>
          <w:fldChar w:fldCharType="begin"/>
        </w:r>
        <w:r w:rsidR="0063076E">
          <w:rPr>
            <w:noProof/>
            <w:webHidden/>
          </w:rPr>
          <w:instrText xml:space="preserve"> PAGEREF _Toc514068770 \h </w:instrText>
        </w:r>
        <w:r w:rsidR="0063076E">
          <w:rPr>
            <w:noProof/>
            <w:webHidden/>
          </w:rPr>
        </w:r>
        <w:r w:rsidR="0063076E">
          <w:rPr>
            <w:noProof/>
            <w:webHidden/>
          </w:rPr>
          <w:fldChar w:fldCharType="separate"/>
        </w:r>
        <w:r w:rsidR="0063076E">
          <w:rPr>
            <w:noProof/>
            <w:webHidden/>
          </w:rPr>
          <w:t>18</w:t>
        </w:r>
        <w:r w:rsidR="0063076E">
          <w:rPr>
            <w:noProof/>
            <w:webHidden/>
          </w:rPr>
          <w:fldChar w:fldCharType="end"/>
        </w:r>
      </w:hyperlink>
    </w:p>
    <w:p w14:paraId="6009A93A"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71" w:history="1">
        <w:r w:rsidR="0063076E" w:rsidRPr="006F3DAE">
          <w:rPr>
            <w:rStyle w:val="Hyperlink"/>
            <w:noProof/>
          </w:rPr>
          <w:t>Table 3</w:t>
        </w:r>
        <w:r w:rsidR="0063076E" w:rsidRPr="006F3DAE">
          <w:rPr>
            <w:rStyle w:val="Hyperlink"/>
            <w:noProof/>
          </w:rPr>
          <w:noBreakHyphen/>
          <w:t>4: Guide to a hierarchy of methods for undertaking a Black Box unit condition assessment</w:t>
        </w:r>
        <w:r w:rsidR="0063076E">
          <w:rPr>
            <w:noProof/>
            <w:webHidden/>
          </w:rPr>
          <w:tab/>
        </w:r>
        <w:r w:rsidR="0063076E">
          <w:rPr>
            <w:noProof/>
            <w:webHidden/>
          </w:rPr>
          <w:fldChar w:fldCharType="begin"/>
        </w:r>
        <w:r w:rsidR="0063076E">
          <w:rPr>
            <w:noProof/>
            <w:webHidden/>
          </w:rPr>
          <w:instrText xml:space="preserve"> PAGEREF _Toc514068771 \h </w:instrText>
        </w:r>
        <w:r w:rsidR="0063076E">
          <w:rPr>
            <w:noProof/>
            <w:webHidden/>
          </w:rPr>
        </w:r>
        <w:r w:rsidR="0063076E">
          <w:rPr>
            <w:noProof/>
            <w:webHidden/>
          </w:rPr>
          <w:fldChar w:fldCharType="separate"/>
        </w:r>
        <w:r w:rsidR="0063076E">
          <w:rPr>
            <w:noProof/>
            <w:webHidden/>
          </w:rPr>
          <w:t>19</w:t>
        </w:r>
        <w:r w:rsidR="0063076E">
          <w:rPr>
            <w:noProof/>
            <w:webHidden/>
          </w:rPr>
          <w:fldChar w:fldCharType="end"/>
        </w:r>
      </w:hyperlink>
    </w:p>
    <w:p w14:paraId="6DAE063C"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72" w:history="1">
        <w:r w:rsidR="0063076E" w:rsidRPr="006F3DAE">
          <w:rPr>
            <w:rStyle w:val="Hyperlink"/>
            <w:noProof/>
          </w:rPr>
          <w:t>Table 3</w:t>
        </w:r>
        <w:r w:rsidR="0063076E" w:rsidRPr="006F3DAE">
          <w:rPr>
            <w:rStyle w:val="Hyperlink"/>
            <w:noProof/>
          </w:rPr>
          <w:noBreakHyphen/>
          <w:t xml:space="preserve">5: Stress and recovery pathway transition descriptors (Overton </w:t>
        </w:r>
        <w:r w:rsidR="0063076E" w:rsidRPr="006F3DAE">
          <w:rPr>
            <w:rStyle w:val="Hyperlink"/>
            <w:i/>
            <w:noProof/>
          </w:rPr>
          <w:t>et al.</w:t>
        </w:r>
        <w:r w:rsidR="0063076E" w:rsidRPr="006F3DAE">
          <w:rPr>
            <w:rStyle w:val="Hyperlink"/>
            <w:noProof/>
          </w:rPr>
          <w:t>, 2014.)</w:t>
        </w:r>
        <w:r w:rsidR="0063076E">
          <w:rPr>
            <w:noProof/>
            <w:webHidden/>
          </w:rPr>
          <w:tab/>
        </w:r>
        <w:r w:rsidR="0063076E">
          <w:rPr>
            <w:noProof/>
            <w:webHidden/>
          </w:rPr>
          <w:fldChar w:fldCharType="begin"/>
        </w:r>
        <w:r w:rsidR="0063076E">
          <w:rPr>
            <w:noProof/>
            <w:webHidden/>
          </w:rPr>
          <w:instrText xml:space="preserve"> PAGEREF _Toc514068772 \h </w:instrText>
        </w:r>
        <w:r w:rsidR="0063076E">
          <w:rPr>
            <w:noProof/>
            <w:webHidden/>
          </w:rPr>
        </w:r>
        <w:r w:rsidR="0063076E">
          <w:rPr>
            <w:noProof/>
            <w:webHidden/>
          </w:rPr>
          <w:fldChar w:fldCharType="separate"/>
        </w:r>
        <w:r w:rsidR="0063076E">
          <w:rPr>
            <w:noProof/>
            <w:webHidden/>
          </w:rPr>
          <w:t>29</w:t>
        </w:r>
        <w:r w:rsidR="0063076E">
          <w:rPr>
            <w:noProof/>
            <w:webHidden/>
          </w:rPr>
          <w:fldChar w:fldCharType="end"/>
        </w:r>
      </w:hyperlink>
    </w:p>
    <w:p w14:paraId="483228C7"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73" w:history="1">
        <w:r w:rsidR="0063076E" w:rsidRPr="006F3DAE">
          <w:rPr>
            <w:rStyle w:val="Hyperlink"/>
            <w:noProof/>
          </w:rPr>
          <w:t>Table 3</w:t>
        </w:r>
        <w:r w:rsidR="0063076E" w:rsidRPr="006F3DAE">
          <w:rPr>
            <w:rStyle w:val="Hyperlink"/>
            <w:noProof/>
          </w:rPr>
          <w:noBreakHyphen/>
          <w:t>6: Hierarchy of data sources for providing increasing levels of understanding about the main stressors to Black Box at a site</w:t>
        </w:r>
        <w:r w:rsidR="0063076E">
          <w:rPr>
            <w:noProof/>
            <w:webHidden/>
          </w:rPr>
          <w:tab/>
        </w:r>
        <w:r w:rsidR="0063076E">
          <w:rPr>
            <w:noProof/>
            <w:webHidden/>
          </w:rPr>
          <w:fldChar w:fldCharType="begin"/>
        </w:r>
        <w:r w:rsidR="0063076E">
          <w:rPr>
            <w:noProof/>
            <w:webHidden/>
          </w:rPr>
          <w:instrText xml:space="preserve"> PAGEREF _Toc514068773 \h </w:instrText>
        </w:r>
        <w:r w:rsidR="0063076E">
          <w:rPr>
            <w:noProof/>
            <w:webHidden/>
          </w:rPr>
        </w:r>
        <w:r w:rsidR="0063076E">
          <w:rPr>
            <w:noProof/>
            <w:webHidden/>
          </w:rPr>
          <w:fldChar w:fldCharType="separate"/>
        </w:r>
        <w:r w:rsidR="0063076E">
          <w:rPr>
            <w:noProof/>
            <w:webHidden/>
          </w:rPr>
          <w:t>34</w:t>
        </w:r>
        <w:r w:rsidR="0063076E">
          <w:rPr>
            <w:noProof/>
            <w:webHidden/>
          </w:rPr>
          <w:fldChar w:fldCharType="end"/>
        </w:r>
      </w:hyperlink>
    </w:p>
    <w:p w14:paraId="4753333C"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74" w:history="1">
        <w:r w:rsidR="0063076E" w:rsidRPr="006F3DAE">
          <w:rPr>
            <w:rStyle w:val="Hyperlink"/>
            <w:noProof/>
          </w:rPr>
          <w:t>Table 3</w:t>
        </w:r>
        <w:r w:rsidR="0063076E" w:rsidRPr="006F3DAE">
          <w:rPr>
            <w:rStyle w:val="Hyperlink"/>
            <w:noProof/>
          </w:rPr>
          <w:noBreakHyphen/>
          <w:t>7: Summary of stressor thresholds</w:t>
        </w:r>
        <w:r w:rsidR="0063076E">
          <w:rPr>
            <w:noProof/>
            <w:webHidden/>
          </w:rPr>
          <w:tab/>
        </w:r>
        <w:r w:rsidR="0063076E">
          <w:rPr>
            <w:noProof/>
            <w:webHidden/>
          </w:rPr>
          <w:fldChar w:fldCharType="begin"/>
        </w:r>
        <w:r w:rsidR="0063076E">
          <w:rPr>
            <w:noProof/>
            <w:webHidden/>
          </w:rPr>
          <w:instrText xml:space="preserve"> PAGEREF _Toc514068774 \h </w:instrText>
        </w:r>
        <w:r w:rsidR="0063076E">
          <w:rPr>
            <w:noProof/>
            <w:webHidden/>
          </w:rPr>
        </w:r>
        <w:r w:rsidR="0063076E">
          <w:rPr>
            <w:noProof/>
            <w:webHidden/>
          </w:rPr>
          <w:fldChar w:fldCharType="separate"/>
        </w:r>
        <w:r w:rsidR="0063076E">
          <w:rPr>
            <w:noProof/>
            <w:webHidden/>
          </w:rPr>
          <w:t>35</w:t>
        </w:r>
        <w:r w:rsidR="0063076E">
          <w:rPr>
            <w:noProof/>
            <w:webHidden/>
          </w:rPr>
          <w:fldChar w:fldCharType="end"/>
        </w:r>
      </w:hyperlink>
    </w:p>
    <w:p w14:paraId="5DE14F93"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75" w:history="1">
        <w:r w:rsidR="0063076E" w:rsidRPr="006F3DAE">
          <w:rPr>
            <w:rStyle w:val="Hyperlink"/>
            <w:noProof/>
          </w:rPr>
          <w:t>Table 3</w:t>
        </w:r>
        <w:r w:rsidR="0063076E" w:rsidRPr="006F3DAE">
          <w:rPr>
            <w:rStyle w:val="Hyperlink"/>
            <w:noProof/>
          </w:rPr>
          <w:noBreakHyphen/>
          <w:t>8: Vulnerability Assessment based on combination of exposure to stressors and current condition (Potential Impact)</w:t>
        </w:r>
        <w:r w:rsidR="0063076E">
          <w:rPr>
            <w:noProof/>
            <w:webHidden/>
          </w:rPr>
          <w:tab/>
        </w:r>
        <w:r w:rsidR="0063076E">
          <w:rPr>
            <w:noProof/>
            <w:webHidden/>
          </w:rPr>
          <w:fldChar w:fldCharType="begin"/>
        </w:r>
        <w:r w:rsidR="0063076E">
          <w:rPr>
            <w:noProof/>
            <w:webHidden/>
          </w:rPr>
          <w:instrText xml:space="preserve"> PAGEREF _Toc514068775 \h </w:instrText>
        </w:r>
        <w:r w:rsidR="0063076E">
          <w:rPr>
            <w:noProof/>
            <w:webHidden/>
          </w:rPr>
        </w:r>
        <w:r w:rsidR="0063076E">
          <w:rPr>
            <w:noProof/>
            <w:webHidden/>
          </w:rPr>
          <w:fldChar w:fldCharType="separate"/>
        </w:r>
        <w:r w:rsidR="0063076E">
          <w:rPr>
            <w:noProof/>
            <w:webHidden/>
          </w:rPr>
          <w:t>40</w:t>
        </w:r>
        <w:r w:rsidR="0063076E">
          <w:rPr>
            <w:noProof/>
            <w:webHidden/>
          </w:rPr>
          <w:fldChar w:fldCharType="end"/>
        </w:r>
      </w:hyperlink>
    </w:p>
    <w:p w14:paraId="27B69EE2"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76" w:history="1">
        <w:r w:rsidR="0063076E" w:rsidRPr="006F3DAE">
          <w:rPr>
            <w:rStyle w:val="Hyperlink"/>
            <w:noProof/>
          </w:rPr>
          <w:t>Table 3</w:t>
        </w:r>
        <w:r w:rsidR="0063076E" w:rsidRPr="006F3DAE">
          <w:rPr>
            <w:rStyle w:val="Hyperlink"/>
            <w:noProof/>
          </w:rPr>
          <w:noBreakHyphen/>
          <w:t>9: Vulnerability Assessment related to management objectives</w:t>
        </w:r>
        <w:r w:rsidR="0063076E">
          <w:rPr>
            <w:noProof/>
            <w:webHidden/>
          </w:rPr>
          <w:tab/>
        </w:r>
        <w:r w:rsidR="0063076E">
          <w:rPr>
            <w:noProof/>
            <w:webHidden/>
          </w:rPr>
          <w:fldChar w:fldCharType="begin"/>
        </w:r>
        <w:r w:rsidR="0063076E">
          <w:rPr>
            <w:noProof/>
            <w:webHidden/>
          </w:rPr>
          <w:instrText xml:space="preserve"> PAGEREF _Toc514068776 \h </w:instrText>
        </w:r>
        <w:r w:rsidR="0063076E">
          <w:rPr>
            <w:noProof/>
            <w:webHidden/>
          </w:rPr>
        </w:r>
        <w:r w:rsidR="0063076E">
          <w:rPr>
            <w:noProof/>
            <w:webHidden/>
          </w:rPr>
          <w:fldChar w:fldCharType="separate"/>
        </w:r>
        <w:r w:rsidR="0063076E">
          <w:rPr>
            <w:noProof/>
            <w:webHidden/>
          </w:rPr>
          <w:t>40</w:t>
        </w:r>
        <w:r w:rsidR="0063076E">
          <w:rPr>
            <w:noProof/>
            <w:webHidden/>
          </w:rPr>
          <w:fldChar w:fldCharType="end"/>
        </w:r>
      </w:hyperlink>
    </w:p>
    <w:p w14:paraId="23FA0DD5"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77" w:history="1">
        <w:r w:rsidR="0063076E" w:rsidRPr="006F3DAE">
          <w:rPr>
            <w:rStyle w:val="Hyperlink"/>
            <w:noProof/>
          </w:rPr>
          <w:t>Table 3</w:t>
        </w:r>
        <w:r w:rsidR="0063076E" w:rsidRPr="006F3DAE">
          <w:rPr>
            <w:rStyle w:val="Hyperlink"/>
            <w:noProof/>
          </w:rPr>
          <w:noBreakHyphen/>
          <w:t>10: Rules to create the ‘do nothing’ scenario map</w:t>
        </w:r>
        <w:r w:rsidR="0063076E">
          <w:rPr>
            <w:noProof/>
            <w:webHidden/>
          </w:rPr>
          <w:tab/>
        </w:r>
        <w:r w:rsidR="0063076E">
          <w:rPr>
            <w:noProof/>
            <w:webHidden/>
          </w:rPr>
          <w:fldChar w:fldCharType="begin"/>
        </w:r>
        <w:r w:rsidR="0063076E">
          <w:rPr>
            <w:noProof/>
            <w:webHidden/>
          </w:rPr>
          <w:instrText xml:space="preserve"> PAGEREF _Toc514068777 \h </w:instrText>
        </w:r>
        <w:r w:rsidR="0063076E">
          <w:rPr>
            <w:noProof/>
            <w:webHidden/>
          </w:rPr>
        </w:r>
        <w:r w:rsidR="0063076E">
          <w:rPr>
            <w:noProof/>
            <w:webHidden/>
          </w:rPr>
          <w:fldChar w:fldCharType="separate"/>
        </w:r>
        <w:r w:rsidR="0063076E">
          <w:rPr>
            <w:noProof/>
            <w:webHidden/>
          </w:rPr>
          <w:t>41</w:t>
        </w:r>
        <w:r w:rsidR="0063076E">
          <w:rPr>
            <w:noProof/>
            <w:webHidden/>
          </w:rPr>
          <w:fldChar w:fldCharType="end"/>
        </w:r>
      </w:hyperlink>
    </w:p>
    <w:p w14:paraId="4AF17407"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78" w:history="1">
        <w:r w:rsidR="0063076E" w:rsidRPr="006F3DAE">
          <w:rPr>
            <w:rStyle w:val="Hyperlink"/>
            <w:noProof/>
          </w:rPr>
          <w:t>Table 3</w:t>
        </w:r>
        <w:r w:rsidR="0063076E" w:rsidRPr="006F3DAE">
          <w:rPr>
            <w:rStyle w:val="Hyperlink"/>
            <w:noProof/>
          </w:rPr>
          <w:noBreakHyphen/>
          <w:t>11: Confidence Levels for Vulnerability Assessment</w:t>
        </w:r>
        <w:r w:rsidR="0063076E">
          <w:rPr>
            <w:noProof/>
            <w:webHidden/>
          </w:rPr>
          <w:tab/>
        </w:r>
        <w:r w:rsidR="0063076E">
          <w:rPr>
            <w:noProof/>
            <w:webHidden/>
          </w:rPr>
          <w:fldChar w:fldCharType="begin"/>
        </w:r>
        <w:r w:rsidR="0063076E">
          <w:rPr>
            <w:noProof/>
            <w:webHidden/>
          </w:rPr>
          <w:instrText xml:space="preserve"> PAGEREF _Toc514068778 \h </w:instrText>
        </w:r>
        <w:r w:rsidR="0063076E">
          <w:rPr>
            <w:noProof/>
            <w:webHidden/>
          </w:rPr>
        </w:r>
        <w:r w:rsidR="0063076E">
          <w:rPr>
            <w:noProof/>
            <w:webHidden/>
          </w:rPr>
          <w:fldChar w:fldCharType="separate"/>
        </w:r>
        <w:r w:rsidR="0063076E">
          <w:rPr>
            <w:noProof/>
            <w:webHidden/>
          </w:rPr>
          <w:t>42</w:t>
        </w:r>
        <w:r w:rsidR="0063076E">
          <w:rPr>
            <w:noProof/>
            <w:webHidden/>
          </w:rPr>
          <w:fldChar w:fldCharType="end"/>
        </w:r>
      </w:hyperlink>
    </w:p>
    <w:p w14:paraId="2BFD0D9B"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79" w:history="1">
        <w:r w:rsidR="0063076E" w:rsidRPr="006F3DAE">
          <w:rPr>
            <w:rStyle w:val="Hyperlink"/>
            <w:noProof/>
          </w:rPr>
          <w:t>Table 3</w:t>
        </w:r>
        <w:r w:rsidR="0063076E" w:rsidRPr="006F3DAE">
          <w:rPr>
            <w:rStyle w:val="Hyperlink"/>
            <w:noProof/>
          </w:rPr>
          <w:noBreakHyphen/>
          <w:t>12: Example objectives and targets, related to Black Box stressors.</w:t>
        </w:r>
        <w:r w:rsidR="0063076E">
          <w:rPr>
            <w:noProof/>
            <w:webHidden/>
          </w:rPr>
          <w:tab/>
        </w:r>
        <w:r w:rsidR="0063076E">
          <w:rPr>
            <w:noProof/>
            <w:webHidden/>
          </w:rPr>
          <w:fldChar w:fldCharType="begin"/>
        </w:r>
        <w:r w:rsidR="0063076E">
          <w:rPr>
            <w:noProof/>
            <w:webHidden/>
          </w:rPr>
          <w:instrText xml:space="preserve"> PAGEREF _Toc514068779 \h </w:instrText>
        </w:r>
        <w:r w:rsidR="0063076E">
          <w:rPr>
            <w:noProof/>
            <w:webHidden/>
          </w:rPr>
        </w:r>
        <w:r w:rsidR="0063076E">
          <w:rPr>
            <w:noProof/>
            <w:webHidden/>
          </w:rPr>
          <w:fldChar w:fldCharType="separate"/>
        </w:r>
        <w:r w:rsidR="0063076E">
          <w:rPr>
            <w:noProof/>
            <w:webHidden/>
          </w:rPr>
          <w:t>48</w:t>
        </w:r>
        <w:r w:rsidR="0063076E">
          <w:rPr>
            <w:noProof/>
            <w:webHidden/>
          </w:rPr>
          <w:fldChar w:fldCharType="end"/>
        </w:r>
      </w:hyperlink>
    </w:p>
    <w:p w14:paraId="25FFBDB7"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80" w:history="1">
        <w:r w:rsidR="0063076E" w:rsidRPr="006F3DAE">
          <w:rPr>
            <w:rStyle w:val="Hyperlink"/>
            <w:noProof/>
          </w:rPr>
          <w:t>Table 3</w:t>
        </w:r>
        <w:r w:rsidR="0063076E" w:rsidRPr="006F3DAE">
          <w:rPr>
            <w:rStyle w:val="Hyperlink"/>
            <w:noProof/>
          </w:rPr>
          <w:noBreakHyphen/>
          <w:t>13: Example Black Box stressors and expected outcomes to be monitored over the short, medium and long timescales.</w:t>
        </w:r>
        <w:r w:rsidR="0063076E">
          <w:rPr>
            <w:noProof/>
            <w:webHidden/>
          </w:rPr>
          <w:tab/>
        </w:r>
        <w:r w:rsidR="0063076E">
          <w:rPr>
            <w:noProof/>
            <w:webHidden/>
          </w:rPr>
          <w:fldChar w:fldCharType="begin"/>
        </w:r>
        <w:r w:rsidR="0063076E">
          <w:rPr>
            <w:noProof/>
            <w:webHidden/>
          </w:rPr>
          <w:instrText xml:space="preserve"> PAGEREF _Toc514068780 \h </w:instrText>
        </w:r>
        <w:r w:rsidR="0063076E">
          <w:rPr>
            <w:noProof/>
            <w:webHidden/>
          </w:rPr>
        </w:r>
        <w:r w:rsidR="0063076E">
          <w:rPr>
            <w:noProof/>
            <w:webHidden/>
          </w:rPr>
          <w:fldChar w:fldCharType="separate"/>
        </w:r>
        <w:r w:rsidR="0063076E">
          <w:rPr>
            <w:noProof/>
            <w:webHidden/>
          </w:rPr>
          <w:t>49</w:t>
        </w:r>
        <w:r w:rsidR="0063076E">
          <w:rPr>
            <w:noProof/>
            <w:webHidden/>
          </w:rPr>
          <w:fldChar w:fldCharType="end"/>
        </w:r>
      </w:hyperlink>
    </w:p>
    <w:p w14:paraId="5F1DD71E"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81" w:history="1">
        <w:r w:rsidR="0063076E" w:rsidRPr="006F3DAE">
          <w:rPr>
            <w:rStyle w:val="Hyperlink"/>
            <w:noProof/>
          </w:rPr>
          <w:t>Table 3</w:t>
        </w:r>
        <w:r w:rsidR="0063076E" w:rsidRPr="006F3DAE">
          <w:rPr>
            <w:rStyle w:val="Hyperlink"/>
            <w:noProof/>
          </w:rPr>
          <w:noBreakHyphen/>
          <w:t>14: Management strategies overview</w:t>
        </w:r>
        <w:r w:rsidR="0063076E">
          <w:rPr>
            <w:noProof/>
            <w:webHidden/>
          </w:rPr>
          <w:tab/>
        </w:r>
        <w:r w:rsidR="0063076E">
          <w:rPr>
            <w:noProof/>
            <w:webHidden/>
          </w:rPr>
          <w:fldChar w:fldCharType="begin"/>
        </w:r>
        <w:r w:rsidR="0063076E">
          <w:rPr>
            <w:noProof/>
            <w:webHidden/>
          </w:rPr>
          <w:instrText xml:space="preserve"> PAGEREF _Toc514068781 \h </w:instrText>
        </w:r>
        <w:r w:rsidR="0063076E">
          <w:rPr>
            <w:noProof/>
            <w:webHidden/>
          </w:rPr>
        </w:r>
        <w:r w:rsidR="0063076E">
          <w:rPr>
            <w:noProof/>
            <w:webHidden/>
          </w:rPr>
          <w:fldChar w:fldCharType="separate"/>
        </w:r>
        <w:r w:rsidR="0063076E">
          <w:rPr>
            <w:noProof/>
            <w:webHidden/>
          </w:rPr>
          <w:t>52</w:t>
        </w:r>
        <w:r w:rsidR="0063076E">
          <w:rPr>
            <w:noProof/>
            <w:webHidden/>
          </w:rPr>
          <w:fldChar w:fldCharType="end"/>
        </w:r>
      </w:hyperlink>
    </w:p>
    <w:p w14:paraId="16D2783C"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82" w:history="1">
        <w:r w:rsidR="0063076E" w:rsidRPr="006F3DAE">
          <w:rPr>
            <w:rStyle w:val="Hyperlink"/>
            <w:noProof/>
          </w:rPr>
          <w:t>Table 3</w:t>
        </w:r>
        <w:r w:rsidR="0063076E" w:rsidRPr="006F3DAE">
          <w:rPr>
            <w:rStyle w:val="Hyperlink"/>
            <w:noProof/>
          </w:rPr>
          <w:noBreakHyphen/>
          <w:t>15: Hierarchy of management options</w:t>
        </w:r>
        <w:r w:rsidR="0063076E">
          <w:rPr>
            <w:noProof/>
            <w:webHidden/>
          </w:rPr>
          <w:tab/>
        </w:r>
        <w:r w:rsidR="0063076E">
          <w:rPr>
            <w:noProof/>
            <w:webHidden/>
          </w:rPr>
          <w:fldChar w:fldCharType="begin"/>
        </w:r>
        <w:r w:rsidR="0063076E">
          <w:rPr>
            <w:noProof/>
            <w:webHidden/>
          </w:rPr>
          <w:instrText xml:space="preserve"> PAGEREF _Toc514068782 \h </w:instrText>
        </w:r>
        <w:r w:rsidR="0063076E">
          <w:rPr>
            <w:noProof/>
            <w:webHidden/>
          </w:rPr>
        </w:r>
        <w:r w:rsidR="0063076E">
          <w:rPr>
            <w:noProof/>
            <w:webHidden/>
          </w:rPr>
          <w:fldChar w:fldCharType="separate"/>
        </w:r>
        <w:r w:rsidR="0063076E">
          <w:rPr>
            <w:noProof/>
            <w:webHidden/>
          </w:rPr>
          <w:t>55</w:t>
        </w:r>
        <w:r w:rsidR="0063076E">
          <w:rPr>
            <w:noProof/>
            <w:webHidden/>
          </w:rPr>
          <w:fldChar w:fldCharType="end"/>
        </w:r>
      </w:hyperlink>
    </w:p>
    <w:p w14:paraId="235B6393"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83" w:history="1">
        <w:r w:rsidR="0063076E" w:rsidRPr="006F3DAE">
          <w:rPr>
            <w:rStyle w:val="Hyperlink"/>
            <w:noProof/>
          </w:rPr>
          <w:t>Table 3</w:t>
        </w:r>
        <w:r w:rsidR="0063076E" w:rsidRPr="006F3DAE">
          <w:rPr>
            <w:rStyle w:val="Hyperlink"/>
            <w:noProof/>
          </w:rPr>
          <w:noBreakHyphen/>
          <w:t>16: Hierarchy of data sources for providing increasing levels of confidence about physical feasibility of management options for Black Box at a site</w:t>
        </w:r>
        <w:r w:rsidR="0063076E">
          <w:rPr>
            <w:noProof/>
            <w:webHidden/>
          </w:rPr>
          <w:tab/>
        </w:r>
        <w:r w:rsidR="0063076E">
          <w:rPr>
            <w:noProof/>
            <w:webHidden/>
          </w:rPr>
          <w:fldChar w:fldCharType="begin"/>
        </w:r>
        <w:r w:rsidR="0063076E">
          <w:rPr>
            <w:noProof/>
            <w:webHidden/>
          </w:rPr>
          <w:instrText xml:space="preserve"> PAGEREF _Toc514068783 \h </w:instrText>
        </w:r>
        <w:r w:rsidR="0063076E">
          <w:rPr>
            <w:noProof/>
            <w:webHidden/>
          </w:rPr>
        </w:r>
        <w:r w:rsidR="0063076E">
          <w:rPr>
            <w:noProof/>
            <w:webHidden/>
          </w:rPr>
          <w:fldChar w:fldCharType="separate"/>
        </w:r>
        <w:r w:rsidR="0063076E">
          <w:rPr>
            <w:noProof/>
            <w:webHidden/>
          </w:rPr>
          <w:t>57</w:t>
        </w:r>
        <w:r w:rsidR="0063076E">
          <w:rPr>
            <w:noProof/>
            <w:webHidden/>
          </w:rPr>
          <w:fldChar w:fldCharType="end"/>
        </w:r>
      </w:hyperlink>
    </w:p>
    <w:p w14:paraId="0407C6B6"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84" w:history="1">
        <w:r w:rsidR="0063076E" w:rsidRPr="006F3DAE">
          <w:rPr>
            <w:rStyle w:val="Hyperlink"/>
            <w:noProof/>
          </w:rPr>
          <w:t>Table 3</w:t>
        </w:r>
        <w:r w:rsidR="0063076E" w:rsidRPr="006F3DAE">
          <w:rPr>
            <w:rStyle w:val="Hyperlink"/>
            <w:noProof/>
          </w:rPr>
          <w:noBreakHyphen/>
          <w:t>17: Potential Channel opening locations at Calperum Station</w:t>
        </w:r>
        <w:r w:rsidR="0063076E">
          <w:rPr>
            <w:noProof/>
            <w:webHidden/>
          </w:rPr>
          <w:tab/>
        </w:r>
        <w:r w:rsidR="0063076E">
          <w:rPr>
            <w:noProof/>
            <w:webHidden/>
          </w:rPr>
          <w:fldChar w:fldCharType="begin"/>
        </w:r>
        <w:r w:rsidR="0063076E">
          <w:rPr>
            <w:noProof/>
            <w:webHidden/>
          </w:rPr>
          <w:instrText xml:space="preserve"> PAGEREF _Toc514068784 \h </w:instrText>
        </w:r>
        <w:r w:rsidR="0063076E">
          <w:rPr>
            <w:noProof/>
            <w:webHidden/>
          </w:rPr>
        </w:r>
        <w:r w:rsidR="0063076E">
          <w:rPr>
            <w:noProof/>
            <w:webHidden/>
          </w:rPr>
          <w:fldChar w:fldCharType="separate"/>
        </w:r>
        <w:r w:rsidR="0063076E">
          <w:rPr>
            <w:noProof/>
            <w:webHidden/>
          </w:rPr>
          <w:t>58</w:t>
        </w:r>
        <w:r w:rsidR="0063076E">
          <w:rPr>
            <w:noProof/>
            <w:webHidden/>
          </w:rPr>
          <w:fldChar w:fldCharType="end"/>
        </w:r>
      </w:hyperlink>
    </w:p>
    <w:p w14:paraId="395EF275"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85" w:history="1">
        <w:r w:rsidR="0063076E" w:rsidRPr="006F3DAE">
          <w:rPr>
            <w:rStyle w:val="Hyperlink"/>
            <w:noProof/>
          </w:rPr>
          <w:t>Table 3</w:t>
        </w:r>
        <w:r w:rsidR="0063076E" w:rsidRPr="006F3DAE">
          <w:rPr>
            <w:rStyle w:val="Hyperlink"/>
            <w:noProof/>
          </w:rPr>
          <w:noBreakHyphen/>
          <w:t>18: Overall Confidence Assessment – to be populated with the average confidence scores from each step of the site assessment process</w:t>
        </w:r>
        <w:r w:rsidR="0063076E">
          <w:rPr>
            <w:noProof/>
            <w:webHidden/>
          </w:rPr>
          <w:tab/>
        </w:r>
        <w:r w:rsidR="0063076E">
          <w:rPr>
            <w:noProof/>
            <w:webHidden/>
          </w:rPr>
          <w:fldChar w:fldCharType="begin"/>
        </w:r>
        <w:r w:rsidR="0063076E">
          <w:rPr>
            <w:noProof/>
            <w:webHidden/>
          </w:rPr>
          <w:instrText xml:space="preserve"> PAGEREF _Toc514068785 \h </w:instrText>
        </w:r>
        <w:r w:rsidR="0063076E">
          <w:rPr>
            <w:noProof/>
            <w:webHidden/>
          </w:rPr>
        </w:r>
        <w:r w:rsidR="0063076E">
          <w:rPr>
            <w:noProof/>
            <w:webHidden/>
          </w:rPr>
          <w:fldChar w:fldCharType="separate"/>
        </w:r>
        <w:r w:rsidR="0063076E">
          <w:rPr>
            <w:noProof/>
            <w:webHidden/>
          </w:rPr>
          <w:t>60</w:t>
        </w:r>
        <w:r w:rsidR="0063076E">
          <w:rPr>
            <w:noProof/>
            <w:webHidden/>
          </w:rPr>
          <w:fldChar w:fldCharType="end"/>
        </w:r>
      </w:hyperlink>
    </w:p>
    <w:p w14:paraId="0A885124"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86" w:history="1">
        <w:r w:rsidR="0063076E" w:rsidRPr="006F3DAE">
          <w:rPr>
            <w:rStyle w:val="Hyperlink"/>
            <w:noProof/>
          </w:rPr>
          <w:t>Table 4</w:t>
        </w:r>
        <w:r w:rsidR="0063076E" w:rsidRPr="006F3DAE">
          <w:rPr>
            <w:rStyle w:val="Hyperlink"/>
            <w:noProof/>
          </w:rPr>
          <w:noBreakHyphen/>
          <w:t>1: Guide to a hierarchy of methods for prioritising Black Box management units and options</w:t>
        </w:r>
        <w:r w:rsidR="0063076E">
          <w:rPr>
            <w:noProof/>
            <w:webHidden/>
          </w:rPr>
          <w:tab/>
        </w:r>
        <w:r w:rsidR="0063076E">
          <w:rPr>
            <w:noProof/>
            <w:webHidden/>
          </w:rPr>
          <w:fldChar w:fldCharType="begin"/>
        </w:r>
        <w:r w:rsidR="0063076E">
          <w:rPr>
            <w:noProof/>
            <w:webHidden/>
          </w:rPr>
          <w:instrText xml:space="preserve"> PAGEREF _Toc514068786 \h </w:instrText>
        </w:r>
        <w:r w:rsidR="0063076E">
          <w:rPr>
            <w:noProof/>
            <w:webHidden/>
          </w:rPr>
        </w:r>
        <w:r w:rsidR="0063076E">
          <w:rPr>
            <w:noProof/>
            <w:webHidden/>
          </w:rPr>
          <w:fldChar w:fldCharType="separate"/>
        </w:r>
        <w:r w:rsidR="0063076E">
          <w:rPr>
            <w:noProof/>
            <w:webHidden/>
          </w:rPr>
          <w:t>65</w:t>
        </w:r>
        <w:r w:rsidR="0063076E">
          <w:rPr>
            <w:noProof/>
            <w:webHidden/>
          </w:rPr>
          <w:fldChar w:fldCharType="end"/>
        </w:r>
      </w:hyperlink>
    </w:p>
    <w:p w14:paraId="2A9D955E"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87" w:history="1">
        <w:r w:rsidR="0063076E" w:rsidRPr="006F3DAE">
          <w:rPr>
            <w:rStyle w:val="Hyperlink"/>
            <w:noProof/>
          </w:rPr>
          <w:t>Table 4</w:t>
        </w:r>
        <w:r w:rsidR="0063076E" w:rsidRPr="006F3DAE">
          <w:rPr>
            <w:rStyle w:val="Hyperlink"/>
            <w:noProof/>
          </w:rPr>
          <w:noBreakHyphen/>
          <w:t>2: Example management combinations</w:t>
        </w:r>
        <w:r w:rsidR="0063076E">
          <w:rPr>
            <w:noProof/>
            <w:webHidden/>
          </w:rPr>
          <w:tab/>
        </w:r>
        <w:r w:rsidR="0063076E">
          <w:rPr>
            <w:noProof/>
            <w:webHidden/>
          </w:rPr>
          <w:fldChar w:fldCharType="begin"/>
        </w:r>
        <w:r w:rsidR="0063076E">
          <w:rPr>
            <w:noProof/>
            <w:webHidden/>
          </w:rPr>
          <w:instrText xml:space="preserve"> PAGEREF _Toc514068787 \h </w:instrText>
        </w:r>
        <w:r w:rsidR="0063076E">
          <w:rPr>
            <w:noProof/>
            <w:webHidden/>
          </w:rPr>
        </w:r>
        <w:r w:rsidR="0063076E">
          <w:rPr>
            <w:noProof/>
            <w:webHidden/>
          </w:rPr>
          <w:fldChar w:fldCharType="separate"/>
        </w:r>
        <w:r w:rsidR="0063076E">
          <w:rPr>
            <w:noProof/>
            <w:webHidden/>
          </w:rPr>
          <w:t>67</w:t>
        </w:r>
        <w:r w:rsidR="0063076E">
          <w:rPr>
            <w:noProof/>
            <w:webHidden/>
          </w:rPr>
          <w:fldChar w:fldCharType="end"/>
        </w:r>
      </w:hyperlink>
    </w:p>
    <w:p w14:paraId="7A77EEF7"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88" w:history="1">
        <w:r w:rsidR="0063076E" w:rsidRPr="006F3DAE">
          <w:rPr>
            <w:rStyle w:val="Hyperlink"/>
            <w:noProof/>
          </w:rPr>
          <w:t>Table 4</w:t>
        </w:r>
        <w:r w:rsidR="0063076E" w:rsidRPr="006F3DAE">
          <w:rPr>
            <w:rStyle w:val="Hyperlink"/>
            <w:noProof/>
          </w:rPr>
          <w:noBreakHyphen/>
          <w:t>3: Potential risks and benefits associated with management options</w:t>
        </w:r>
        <w:r w:rsidR="0063076E">
          <w:rPr>
            <w:noProof/>
            <w:webHidden/>
          </w:rPr>
          <w:tab/>
        </w:r>
        <w:r w:rsidR="0063076E">
          <w:rPr>
            <w:noProof/>
            <w:webHidden/>
          </w:rPr>
          <w:fldChar w:fldCharType="begin"/>
        </w:r>
        <w:r w:rsidR="0063076E">
          <w:rPr>
            <w:noProof/>
            <w:webHidden/>
          </w:rPr>
          <w:instrText xml:space="preserve"> PAGEREF _Toc514068788 \h </w:instrText>
        </w:r>
        <w:r w:rsidR="0063076E">
          <w:rPr>
            <w:noProof/>
            <w:webHidden/>
          </w:rPr>
        </w:r>
        <w:r w:rsidR="0063076E">
          <w:rPr>
            <w:noProof/>
            <w:webHidden/>
          </w:rPr>
          <w:fldChar w:fldCharType="separate"/>
        </w:r>
        <w:r w:rsidR="0063076E">
          <w:rPr>
            <w:noProof/>
            <w:webHidden/>
          </w:rPr>
          <w:t>68</w:t>
        </w:r>
        <w:r w:rsidR="0063076E">
          <w:rPr>
            <w:noProof/>
            <w:webHidden/>
          </w:rPr>
          <w:fldChar w:fldCharType="end"/>
        </w:r>
      </w:hyperlink>
    </w:p>
    <w:p w14:paraId="6617864B"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89" w:history="1">
        <w:r w:rsidR="0063076E" w:rsidRPr="006F3DAE">
          <w:rPr>
            <w:rStyle w:val="Hyperlink"/>
            <w:noProof/>
          </w:rPr>
          <w:t>Table 5</w:t>
        </w:r>
        <w:r w:rsidR="0063076E" w:rsidRPr="006F3DAE">
          <w:rPr>
            <w:rStyle w:val="Hyperlink"/>
            <w:noProof/>
          </w:rPr>
          <w:noBreakHyphen/>
          <w:t>1: Summary of data used in the regional analysis</w:t>
        </w:r>
        <w:r w:rsidR="0063076E">
          <w:rPr>
            <w:noProof/>
            <w:webHidden/>
          </w:rPr>
          <w:tab/>
        </w:r>
        <w:r w:rsidR="0063076E">
          <w:rPr>
            <w:noProof/>
            <w:webHidden/>
          </w:rPr>
          <w:fldChar w:fldCharType="begin"/>
        </w:r>
        <w:r w:rsidR="0063076E">
          <w:rPr>
            <w:noProof/>
            <w:webHidden/>
          </w:rPr>
          <w:instrText xml:space="preserve"> PAGEREF _Toc514068789 \h </w:instrText>
        </w:r>
        <w:r w:rsidR="0063076E">
          <w:rPr>
            <w:noProof/>
            <w:webHidden/>
          </w:rPr>
        </w:r>
        <w:r w:rsidR="0063076E">
          <w:rPr>
            <w:noProof/>
            <w:webHidden/>
          </w:rPr>
          <w:fldChar w:fldCharType="separate"/>
        </w:r>
        <w:r w:rsidR="0063076E">
          <w:rPr>
            <w:noProof/>
            <w:webHidden/>
          </w:rPr>
          <w:t>78</w:t>
        </w:r>
        <w:r w:rsidR="0063076E">
          <w:rPr>
            <w:noProof/>
            <w:webHidden/>
          </w:rPr>
          <w:fldChar w:fldCharType="end"/>
        </w:r>
      </w:hyperlink>
    </w:p>
    <w:p w14:paraId="2F87E229"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90" w:history="1">
        <w:r w:rsidR="0063076E" w:rsidRPr="006F3DAE">
          <w:rPr>
            <w:rStyle w:val="Hyperlink"/>
            <w:noProof/>
          </w:rPr>
          <w:t>Table 5</w:t>
        </w:r>
        <w:r w:rsidR="0063076E" w:rsidRPr="006F3DAE">
          <w:rPr>
            <w:rStyle w:val="Hyperlink"/>
            <w:noProof/>
          </w:rPr>
          <w:noBreakHyphen/>
          <w:t>2: Regional analysis of Black Box inundated and flow frequency for 60,000 ML/day flow at the South Australian border based on spatial datasets and flow time series supplied by MDBA.</w:t>
        </w:r>
        <w:r w:rsidR="0063076E">
          <w:rPr>
            <w:noProof/>
            <w:webHidden/>
          </w:rPr>
          <w:tab/>
        </w:r>
        <w:r w:rsidR="0063076E">
          <w:rPr>
            <w:noProof/>
            <w:webHidden/>
          </w:rPr>
          <w:fldChar w:fldCharType="begin"/>
        </w:r>
        <w:r w:rsidR="0063076E">
          <w:rPr>
            <w:noProof/>
            <w:webHidden/>
          </w:rPr>
          <w:instrText xml:space="preserve"> PAGEREF _Toc514068790 \h </w:instrText>
        </w:r>
        <w:r w:rsidR="0063076E">
          <w:rPr>
            <w:noProof/>
            <w:webHidden/>
          </w:rPr>
        </w:r>
        <w:r w:rsidR="0063076E">
          <w:rPr>
            <w:noProof/>
            <w:webHidden/>
          </w:rPr>
          <w:fldChar w:fldCharType="separate"/>
        </w:r>
        <w:r w:rsidR="0063076E">
          <w:rPr>
            <w:noProof/>
            <w:webHidden/>
          </w:rPr>
          <w:t>82</w:t>
        </w:r>
        <w:r w:rsidR="0063076E">
          <w:rPr>
            <w:noProof/>
            <w:webHidden/>
          </w:rPr>
          <w:fldChar w:fldCharType="end"/>
        </w:r>
      </w:hyperlink>
    </w:p>
    <w:p w14:paraId="0AFBFC7D"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91" w:history="1">
        <w:r w:rsidR="0063076E" w:rsidRPr="006F3DAE">
          <w:rPr>
            <w:rStyle w:val="Hyperlink"/>
            <w:noProof/>
          </w:rPr>
          <w:t>Table 5</w:t>
        </w:r>
        <w:r w:rsidR="0063076E" w:rsidRPr="006F3DAE">
          <w:rPr>
            <w:rStyle w:val="Hyperlink"/>
            <w:noProof/>
          </w:rPr>
          <w:noBreakHyphen/>
          <w:t>3: Regional analysis of Black Box inundated and flow frequency for 80,000 ML/day flow at the South Australian border based on spatial datasets and flow time series supplied by MDBA.</w:t>
        </w:r>
        <w:r w:rsidR="0063076E">
          <w:rPr>
            <w:noProof/>
            <w:webHidden/>
          </w:rPr>
          <w:tab/>
        </w:r>
        <w:r w:rsidR="0063076E">
          <w:rPr>
            <w:noProof/>
            <w:webHidden/>
          </w:rPr>
          <w:fldChar w:fldCharType="begin"/>
        </w:r>
        <w:r w:rsidR="0063076E">
          <w:rPr>
            <w:noProof/>
            <w:webHidden/>
          </w:rPr>
          <w:instrText xml:space="preserve"> PAGEREF _Toc514068791 \h </w:instrText>
        </w:r>
        <w:r w:rsidR="0063076E">
          <w:rPr>
            <w:noProof/>
            <w:webHidden/>
          </w:rPr>
        </w:r>
        <w:r w:rsidR="0063076E">
          <w:rPr>
            <w:noProof/>
            <w:webHidden/>
          </w:rPr>
          <w:fldChar w:fldCharType="separate"/>
        </w:r>
        <w:r w:rsidR="0063076E">
          <w:rPr>
            <w:noProof/>
            <w:webHidden/>
          </w:rPr>
          <w:t>83</w:t>
        </w:r>
        <w:r w:rsidR="0063076E">
          <w:rPr>
            <w:noProof/>
            <w:webHidden/>
          </w:rPr>
          <w:fldChar w:fldCharType="end"/>
        </w:r>
      </w:hyperlink>
    </w:p>
    <w:p w14:paraId="001206BB"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92" w:history="1">
        <w:r w:rsidR="0063076E" w:rsidRPr="006F3DAE">
          <w:rPr>
            <w:rStyle w:val="Hyperlink"/>
            <w:noProof/>
          </w:rPr>
          <w:t>Table 5</w:t>
        </w:r>
        <w:r w:rsidR="0063076E" w:rsidRPr="006F3DAE">
          <w:rPr>
            <w:rStyle w:val="Hyperlink"/>
            <w:noProof/>
          </w:rPr>
          <w:noBreakHyphen/>
          <w:t>4: Data used in the basin scale application of the Framework</w:t>
        </w:r>
        <w:r w:rsidR="0063076E">
          <w:rPr>
            <w:noProof/>
            <w:webHidden/>
          </w:rPr>
          <w:tab/>
        </w:r>
        <w:r w:rsidR="0063076E">
          <w:rPr>
            <w:noProof/>
            <w:webHidden/>
          </w:rPr>
          <w:fldChar w:fldCharType="begin"/>
        </w:r>
        <w:r w:rsidR="0063076E">
          <w:rPr>
            <w:noProof/>
            <w:webHidden/>
          </w:rPr>
          <w:instrText xml:space="preserve"> PAGEREF _Toc514068792 \h </w:instrText>
        </w:r>
        <w:r w:rsidR="0063076E">
          <w:rPr>
            <w:noProof/>
            <w:webHidden/>
          </w:rPr>
        </w:r>
        <w:r w:rsidR="0063076E">
          <w:rPr>
            <w:noProof/>
            <w:webHidden/>
          </w:rPr>
          <w:fldChar w:fldCharType="separate"/>
        </w:r>
        <w:r w:rsidR="0063076E">
          <w:rPr>
            <w:noProof/>
            <w:webHidden/>
          </w:rPr>
          <w:t>90</w:t>
        </w:r>
        <w:r w:rsidR="0063076E">
          <w:rPr>
            <w:noProof/>
            <w:webHidden/>
          </w:rPr>
          <w:fldChar w:fldCharType="end"/>
        </w:r>
      </w:hyperlink>
    </w:p>
    <w:p w14:paraId="4E98D3B4"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93" w:history="1">
        <w:r w:rsidR="0063076E" w:rsidRPr="006F3DAE">
          <w:rPr>
            <w:rStyle w:val="Hyperlink"/>
            <w:noProof/>
          </w:rPr>
          <w:t>Table 5</w:t>
        </w:r>
        <w:r w:rsidR="0063076E" w:rsidRPr="006F3DAE">
          <w:rPr>
            <w:rStyle w:val="Hyperlink"/>
            <w:noProof/>
          </w:rPr>
          <w:noBreakHyphen/>
          <w:t>5: Proportion of Black Box of different condition classes throughout the Basin</w:t>
        </w:r>
        <w:r w:rsidR="0063076E">
          <w:rPr>
            <w:noProof/>
            <w:webHidden/>
          </w:rPr>
          <w:tab/>
        </w:r>
        <w:r w:rsidR="0063076E">
          <w:rPr>
            <w:noProof/>
            <w:webHidden/>
          </w:rPr>
          <w:fldChar w:fldCharType="begin"/>
        </w:r>
        <w:r w:rsidR="0063076E">
          <w:rPr>
            <w:noProof/>
            <w:webHidden/>
          </w:rPr>
          <w:instrText xml:space="preserve"> PAGEREF _Toc514068793 \h </w:instrText>
        </w:r>
        <w:r w:rsidR="0063076E">
          <w:rPr>
            <w:noProof/>
            <w:webHidden/>
          </w:rPr>
        </w:r>
        <w:r w:rsidR="0063076E">
          <w:rPr>
            <w:noProof/>
            <w:webHidden/>
          </w:rPr>
          <w:fldChar w:fldCharType="separate"/>
        </w:r>
        <w:r w:rsidR="0063076E">
          <w:rPr>
            <w:noProof/>
            <w:webHidden/>
          </w:rPr>
          <w:t>91</w:t>
        </w:r>
        <w:r w:rsidR="0063076E">
          <w:rPr>
            <w:noProof/>
            <w:webHidden/>
          </w:rPr>
          <w:fldChar w:fldCharType="end"/>
        </w:r>
      </w:hyperlink>
    </w:p>
    <w:p w14:paraId="57FE7AD4"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94" w:history="1">
        <w:r w:rsidR="0063076E" w:rsidRPr="006F3DAE">
          <w:rPr>
            <w:rStyle w:val="Hyperlink"/>
            <w:noProof/>
          </w:rPr>
          <w:t>Table 5</w:t>
        </w:r>
        <w:r w:rsidR="0063076E" w:rsidRPr="006F3DAE">
          <w:rPr>
            <w:rStyle w:val="Hyperlink"/>
            <w:noProof/>
          </w:rPr>
          <w:noBreakHyphen/>
          <w:t>6: Proportion of Black Box in areas of different flood frequency for each region of the Basin</w:t>
        </w:r>
        <w:r w:rsidR="0063076E">
          <w:rPr>
            <w:noProof/>
            <w:webHidden/>
          </w:rPr>
          <w:tab/>
        </w:r>
        <w:r w:rsidR="0063076E">
          <w:rPr>
            <w:noProof/>
            <w:webHidden/>
          </w:rPr>
          <w:fldChar w:fldCharType="begin"/>
        </w:r>
        <w:r w:rsidR="0063076E">
          <w:rPr>
            <w:noProof/>
            <w:webHidden/>
          </w:rPr>
          <w:instrText xml:space="preserve"> PAGEREF _Toc514068794 \h </w:instrText>
        </w:r>
        <w:r w:rsidR="0063076E">
          <w:rPr>
            <w:noProof/>
            <w:webHidden/>
          </w:rPr>
        </w:r>
        <w:r w:rsidR="0063076E">
          <w:rPr>
            <w:noProof/>
            <w:webHidden/>
          </w:rPr>
          <w:fldChar w:fldCharType="separate"/>
        </w:r>
        <w:r w:rsidR="0063076E">
          <w:rPr>
            <w:noProof/>
            <w:webHidden/>
          </w:rPr>
          <w:t>95</w:t>
        </w:r>
        <w:r w:rsidR="0063076E">
          <w:rPr>
            <w:noProof/>
            <w:webHidden/>
          </w:rPr>
          <w:fldChar w:fldCharType="end"/>
        </w:r>
      </w:hyperlink>
    </w:p>
    <w:p w14:paraId="58BB07B5"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95" w:history="1">
        <w:r w:rsidR="0063076E" w:rsidRPr="006F3DAE">
          <w:rPr>
            <w:rStyle w:val="Hyperlink"/>
            <w:noProof/>
          </w:rPr>
          <w:t>Table 5</w:t>
        </w:r>
        <w:r w:rsidR="0063076E" w:rsidRPr="006F3DAE">
          <w:rPr>
            <w:rStyle w:val="Hyperlink"/>
            <w:noProof/>
          </w:rPr>
          <w:noBreakHyphen/>
          <w:t>7: Proportion of Black Box in areas of saline and non-saline groundwater</w:t>
        </w:r>
        <w:r w:rsidR="0063076E">
          <w:rPr>
            <w:noProof/>
            <w:webHidden/>
          </w:rPr>
          <w:tab/>
        </w:r>
        <w:r w:rsidR="0063076E">
          <w:rPr>
            <w:noProof/>
            <w:webHidden/>
          </w:rPr>
          <w:fldChar w:fldCharType="begin"/>
        </w:r>
        <w:r w:rsidR="0063076E">
          <w:rPr>
            <w:noProof/>
            <w:webHidden/>
          </w:rPr>
          <w:instrText xml:space="preserve"> PAGEREF _Toc514068795 \h </w:instrText>
        </w:r>
        <w:r w:rsidR="0063076E">
          <w:rPr>
            <w:noProof/>
            <w:webHidden/>
          </w:rPr>
        </w:r>
        <w:r w:rsidR="0063076E">
          <w:rPr>
            <w:noProof/>
            <w:webHidden/>
          </w:rPr>
          <w:fldChar w:fldCharType="separate"/>
        </w:r>
        <w:r w:rsidR="0063076E">
          <w:rPr>
            <w:noProof/>
            <w:webHidden/>
          </w:rPr>
          <w:t>100</w:t>
        </w:r>
        <w:r w:rsidR="0063076E">
          <w:rPr>
            <w:noProof/>
            <w:webHidden/>
          </w:rPr>
          <w:fldChar w:fldCharType="end"/>
        </w:r>
      </w:hyperlink>
    </w:p>
    <w:p w14:paraId="1A238BCA"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96" w:history="1">
        <w:r w:rsidR="0063076E" w:rsidRPr="006F3DAE">
          <w:rPr>
            <w:rStyle w:val="Hyperlink"/>
            <w:noProof/>
          </w:rPr>
          <w:t>Table 5</w:t>
        </w:r>
        <w:r w:rsidR="0063076E" w:rsidRPr="006F3DAE">
          <w:rPr>
            <w:rStyle w:val="Hyperlink"/>
            <w:noProof/>
          </w:rPr>
          <w:noBreakHyphen/>
          <w:t>8: Proportion of Black Box in areas of shallow and deep groundwater</w:t>
        </w:r>
        <w:r w:rsidR="0063076E">
          <w:rPr>
            <w:noProof/>
            <w:webHidden/>
          </w:rPr>
          <w:tab/>
        </w:r>
        <w:r w:rsidR="0063076E">
          <w:rPr>
            <w:noProof/>
            <w:webHidden/>
          </w:rPr>
          <w:fldChar w:fldCharType="begin"/>
        </w:r>
        <w:r w:rsidR="0063076E">
          <w:rPr>
            <w:noProof/>
            <w:webHidden/>
          </w:rPr>
          <w:instrText xml:space="preserve"> PAGEREF _Toc514068796 \h </w:instrText>
        </w:r>
        <w:r w:rsidR="0063076E">
          <w:rPr>
            <w:noProof/>
            <w:webHidden/>
          </w:rPr>
        </w:r>
        <w:r w:rsidR="0063076E">
          <w:rPr>
            <w:noProof/>
            <w:webHidden/>
          </w:rPr>
          <w:fldChar w:fldCharType="separate"/>
        </w:r>
        <w:r w:rsidR="0063076E">
          <w:rPr>
            <w:noProof/>
            <w:webHidden/>
          </w:rPr>
          <w:t>104</w:t>
        </w:r>
        <w:r w:rsidR="0063076E">
          <w:rPr>
            <w:noProof/>
            <w:webHidden/>
          </w:rPr>
          <w:fldChar w:fldCharType="end"/>
        </w:r>
      </w:hyperlink>
    </w:p>
    <w:p w14:paraId="60B68079"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97" w:history="1">
        <w:r w:rsidR="0063076E" w:rsidRPr="006F3DAE">
          <w:rPr>
            <w:rStyle w:val="Hyperlink"/>
            <w:noProof/>
          </w:rPr>
          <w:t>Table 5</w:t>
        </w:r>
        <w:r w:rsidR="0063076E" w:rsidRPr="006F3DAE">
          <w:rPr>
            <w:rStyle w:val="Hyperlink"/>
            <w:noProof/>
          </w:rPr>
          <w:noBreakHyphen/>
          <w:t>9: Conditions for vulnerability assessment at the Basin Scale</w:t>
        </w:r>
        <w:r w:rsidR="0063076E">
          <w:rPr>
            <w:noProof/>
            <w:webHidden/>
          </w:rPr>
          <w:tab/>
        </w:r>
        <w:r w:rsidR="0063076E">
          <w:rPr>
            <w:noProof/>
            <w:webHidden/>
          </w:rPr>
          <w:fldChar w:fldCharType="begin"/>
        </w:r>
        <w:r w:rsidR="0063076E">
          <w:rPr>
            <w:noProof/>
            <w:webHidden/>
          </w:rPr>
          <w:instrText xml:space="preserve"> PAGEREF _Toc514068797 \h </w:instrText>
        </w:r>
        <w:r w:rsidR="0063076E">
          <w:rPr>
            <w:noProof/>
            <w:webHidden/>
          </w:rPr>
        </w:r>
        <w:r w:rsidR="0063076E">
          <w:rPr>
            <w:noProof/>
            <w:webHidden/>
          </w:rPr>
          <w:fldChar w:fldCharType="separate"/>
        </w:r>
        <w:r w:rsidR="0063076E">
          <w:rPr>
            <w:noProof/>
            <w:webHidden/>
          </w:rPr>
          <w:t>106</w:t>
        </w:r>
        <w:r w:rsidR="0063076E">
          <w:rPr>
            <w:noProof/>
            <w:webHidden/>
          </w:rPr>
          <w:fldChar w:fldCharType="end"/>
        </w:r>
      </w:hyperlink>
    </w:p>
    <w:p w14:paraId="546B95B8"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98" w:history="1">
        <w:r w:rsidR="0063076E" w:rsidRPr="006F3DAE">
          <w:rPr>
            <w:rStyle w:val="Hyperlink"/>
            <w:noProof/>
          </w:rPr>
          <w:t>Table 5</w:t>
        </w:r>
        <w:r w:rsidR="0063076E" w:rsidRPr="006F3DAE">
          <w:rPr>
            <w:rStyle w:val="Hyperlink"/>
            <w:noProof/>
          </w:rPr>
          <w:noBreakHyphen/>
          <w:t>10: Areas of vulnerable Black Box throughout the Basin</w:t>
        </w:r>
        <w:r w:rsidR="0063076E">
          <w:rPr>
            <w:noProof/>
            <w:webHidden/>
          </w:rPr>
          <w:tab/>
        </w:r>
        <w:r w:rsidR="0063076E">
          <w:rPr>
            <w:noProof/>
            <w:webHidden/>
          </w:rPr>
          <w:fldChar w:fldCharType="begin"/>
        </w:r>
        <w:r w:rsidR="0063076E">
          <w:rPr>
            <w:noProof/>
            <w:webHidden/>
          </w:rPr>
          <w:instrText xml:space="preserve"> PAGEREF _Toc514068798 \h </w:instrText>
        </w:r>
        <w:r w:rsidR="0063076E">
          <w:rPr>
            <w:noProof/>
            <w:webHidden/>
          </w:rPr>
        </w:r>
        <w:r w:rsidR="0063076E">
          <w:rPr>
            <w:noProof/>
            <w:webHidden/>
          </w:rPr>
          <w:fldChar w:fldCharType="separate"/>
        </w:r>
        <w:r w:rsidR="0063076E">
          <w:rPr>
            <w:noProof/>
            <w:webHidden/>
          </w:rPr>
          <w:t>107</w:t>
        </w:r>
        <w:r w:rsidR="0063076E">
          <w:rPr>
            <w:noProof/>
            <w:webHidden/>
          </w:rPr>
          <w:fldChar w:fldCharType="end"/>
        </w:r>
      </w:hyperlink>
    </w:p>
    <w:p w14:paraId="3E5BA609"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799" w:history="1">
        <w:r w:rsidR="0063076E" w:rsidRPr="006F3DAE">
          <w:rPr>
            <w:rStyle w:val="Hyperlink"/>
            <w:noProof/>
          </w:rPr>
          <w:t>Table 5</w:t>
        </w:r>
        <w:r w:rsidR="0063076E" w:rsidRPr="006F3DAE">
          <w:rPr>
            <w:rStyle w:val="Hyperlink"/>
            <w:noProof/>
          </w:rPr>
          <w:noBreakHyphen/>
          <w:t>11: Proportion of Black Box throughout the Basin that is vulnerable (due to any combination of the stressors above)</w:t>
        </w:r>
        <w:r w:rsidR="0063076E">
          <w:rPr>
            <w:noProof/>
            <w:webHidden/>
          </w:rPr>
          <w:tab/>
        </w:r>
        <w:r w:rsidR="0063076E">
          <w:rPr>
            <w:noProof/>
            <w:webHidden/>
          </w:rPr>
          <w:fldChar w:fldCharType="begin"/>
        </w:r>
        <w:r w:rsidR="0063076E">
          <w:rPr>
            <w:noProof/>
            <w:webHidden/>
          </w:rPr>
          <w:instrText xml:space="preserve"> PAGEREF _Toc514068799 \h </w:instrText>
        </w:r>
        <w:r w:rsidR="0063076E">
          <w:rPr>
            <w:noProof/>
            <w:webHidden/>
          </w:rPr>
        </w:r>
        <w:r w:rsidR="0063076E">
          <w:rPr>
            <w:noProof/>
            <w:webHidden/>
          </w:rPr>
          <w:fldChar w:fldCharType="separate"/>
        </w:r>
        <w:r w:rsidR="0063076E">
          <w:rPr>
            <w:noProof/>
            <w:webHidden/>
          </w:rPr>
          <w:t>107</w:t>
        </w:r>
        <w:r w:rsidR="0063076E">
          <w:rPr>
            <w:noProof/>
            <w:webHidden/>
          </w:rPr>
          <w:fldChar w:fldCharType="end"/>
        </w:r>
      </w:hyperlink>
    </w:p>
    <w:p w14:paraId="5CFD7A37"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800" w:history="1">
        <w:r w:rsidR="0063076E" w:rsidRPr="006F3DAE">
          <w:rPr>
            <w:rStyle w:val="Hyperlink"/>
            <w:noProof/>
          </w:rPr>
          <w:t>Table 5</w:t>
        </w:r>
        <w:r w:rsidR="0063076E" w:rsidRPr="006F3DAE">
          <w:rPr>
            <w:rStyle w:val="Hyperlink"/>
            <w:noProof/>
          </w:rPr>
          <w:noBreakHyphen/>
          <w:t xml:space="preserve">12: </w:t>
        </w:r>
        <w:r w:rsidR="0063076E" w:rsidRPr="006F3DAE">
          <w:rPr>
            <w:rStyle w:val="Hyperlink"/>
            <w:rFonts w:cs="Arial"/>
            <w:bCs/>
            <w:noProof/>
          </w:rPr>
          <w:t>Involvement of stakeholders in measuring outcomes of environmental watering at different scales</w:t>
        </w:r>
        <w:r w:rsidR="0063076E">
          <w:rPr>
            <w:noProof/>
            <w:webHidden/>
          </w:rPr>
          <w:tab/>
        </w:r>
        <w:r w:rsidR="0063076E">
          <w:rPr>
            <w:noProof/>
            <w:webHidden/>
          </w:rPr>
          <w:fldChar w:fldCharType="begin"/>
        </w:r>
        <w:r w:rsidR="0063076E">
          <w:rPr>
            <w:noProof/>
            <w:webHidden/>
          </w:rPr>
          <w:instrText xml:space="preserve"> PAGEREF _Toc514068800 \h </w:instrText>
        </w:r>
        <w:r w:rsidR="0063076E">
          <w:rPr>
            <w:noProof/>
            <w:webHidden/>
          </w:rPr>
        </w:r>
        <w:r w:rsidR="0063076E">
          <w:rPr>
            <w:noProof/>
            <w:webHidden/>
          </w:rPr>
          <w:fldChar w:fldCharType="separate"/>
        </w:r>
        <w:r w:rsidR="0063076E">
          <w:rPr>
            <w:noProof/>
            <w:webHidden/>
          </w:rPr>
          <w:t>112</w:t>
        </w:r>
        <w:r w:rsidR="0063076E">
          <w:rPr>
            <w:noProof/>
            <w:webHidden/>
          </w:rPr>
          <w:fldChar w:fldCharType="end"/>
        </w:r>
      </w:hyperlink>
    </w:p>
    <w:p w14:paraId="03466CBF"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801" w:history="1">
        <w:r w:rsidR="0063076E" w:rsidRPr="006F3DAE">
          <w:rPr>
            <w:rStyle w:val="Hyperlink"/>
            <w:noProof/>
          </w:rPr>
          <w:t>Table 7</w:t>
        </w:r>
        <w:r w:rsidR="0063076E" w:rsidRPr="006F3DAE">
          <w:rPr>
            <w:rStyle w:val="Hyperlink"/>
            <w:noProof/>
          </w:rPr>
          <w:noBreakHyphen/>
          <w:t>1: A summary of Black Box needs and example indicators</w:t>
        </w:r>
        <w:r w:rsidR="0063076E">
          <w:rPr>
            <w:noProof/>
            <w:webHidden/>
          </w:rPr>
          <w:tab/>
        </w:r>
        <w:r w:rsidR="0063076E">
          <w:rPr>
            <w:noProof/>
            <w:webHidden/>
          </w:rPr>
          <w:fldChar w:fldCharType="begin"/>
        </w:r>
        <w:r w:rsidR="0063076E">
          <w:rPr>
            <w:noProof/>
            <w:webHidden/>
          </w:rPr>
          <w:instrText xml:space="preserve"> PAGEREF _Toc514068801 \h </w:instrText>
        </w:r>
        <w:r w:rsidR="0063076E">
          <w:rPr>
            <w:noProof/>
            <w:webHidden/>
          </w:rPr>
        </w:r>
        <w:r w:rsidR="0063076E">
          <w:rPr>
            <w:noProof/>
            <w:webHidden/>
          </w:rPr>
          <w:fldChar w:fldCharType="separate"/>
        </w:r>
        <w:r w:rsidR="0063076E">
          <w:rPr>
            <w:noProof/>
            <w:webHidden/>
          </w:rPr>
          <w:t>125</w:t>
        </w:r>
        <w:r w:rsidR="0063076E">
          <w:rPr>
            <w:noProof/>
            <w:webHidden/>
          </w:rPr>
          <w:fldChar w:fldCharType="end"/>
        </w:r>
      </w:hyperlink>
    </w:p>
    <w:p w14:paraId="3FC689EB"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802" w:history="1">
        <w:r w:rsidR="0063076E" w:rsidRPr="006F3DAE">
          <w:rPr>
            <w:rStyle w:val="Hyperlink"/>
            <w:noProof/>
          </w:rPr>
          <w:t>Table 7</w:t>
        </w:r>
        <w:r w:rsidR="0063076E" w:rsidRPr="006F3DAE">
          <w:rPr>
            <w:rStyle w:val="Hyperlink"/>
            <w:noProof/>
          </w:rPr>
          <w:noBreakHyphen/>
          <w:t>2: Black Box condition classification</w:t>
        </w:r>
        <w:r w:rsidR="0063076E">
          <w:rPr>
            <w:noProof/>
            <w:webHidden/>
          </w:rPr>
          <w:tab/>
        </w:r>
        <w:r w:rsidR="0063076E">
          <w:rPr>
            <w:noProof/>
            <w:webHidden/>
          </w:rPr>
          <w:fldChar w:fldCharType="begin"/>
        </w:r>
        <w:r w:rsidR="0063076E">
          <w:rPr>
            <w:noProof/>
            <w:webHidden/>
          </w:rPr>
          <w:instrText xml:space="preserve"> PAGEREF _Toc514068802 \h </w:instrText>
        </w:r>
        <w:r w:rsidR="0063076E">
          <w:rPr>
            <w:noProof/>
            <w:webHidden/>
          </w:rPr>
        </w:r>
        <w:r w:rsidR="0063076E">
          <w:rPr>
            <w:noProof/>
            <w:webHidden/>
          </w:rPr>
          <w:fldChar w:fldCharType="separate"/>
        </w:r>
        <w:r w:rsidR="0063076E">
          <w:rPr>
            <w:noProof/>
            <w:webHidden/>
          </w:rPr>
          <w:t>128</w:t>
        </w:r>
        <w:r w:rsidR="0063076E">
          <w:rPr>
            <w:noProof/>
            <w:webHidden/>
          </w:rPr>
          <w:fldChar w:fldCharType="end"/>
        </w:r>
      </w:hyperlink>
    </w:p>
    <w:p w14:paraId="3EA5CE7F"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803" w:history="1">
        <w:r w:rsidR="0063076E" w:rsidRPr="006F3DAE">
          <w:rPr>
            <w:rStyle w:val="Hyperlink"/>
            <w:noProof/>
          </w:rPr>
          <w:t>Table 7</w:t>
        </w:r>
        <w:r w:rsidR="0063076E" w:rsidRPr="006F3DAE">
          <w:rPr>
            <w:rStyle w:val="Hyperlink"/>
            <w:noProof/>
          </w:rPr>
          <w:noBreakHyphen/>
          <w:t>3: Growth form classification</w:t>
        </w:r>
        <w:r w:rsidR="0063076E">
          <w:rPr>
            <w:noProof/>
            <w:webHidden/>
          </w:rPr>
          <w:tab/>
        </w:r>
        <w:r w:rsidR="0063076E">
          <w:rPr>
            <w:noProof/>
            <w:webHidden/>
          </w:rPr>
          <w:fldChar w:fldCharType="begin"/>
        </w:r>
        <w:r w:rsidR="0063076E">
          <w:rPr>
            <w:noProof/>
            <w:webHidden/>
          </w:rPr>
          <w:instrText xml:space="preserve"> PAGEREF _Toc514068803 \h </w:instrText>
        </w:r>
        <w:r w:rsidR="0063076E">
          <w:rPr>
            <w:noProof/>
            <w:webHidden/>
          </w:rPr>
        </w:r>
        <w:r w:rsidR="0063076E">
          <w:rPr>
            <w:noProof/>
            <w:webHidden/>
          </w:rPr>
          <w:fldChar w:fldCharType="separate"/>
        </w:r>
        <w:r w:rsidR="0063076E">
          <w:rPr>
            <w:noProof/>
            <w:webHidden/>
          </w:rPr>
          <w:t>129</w:t>
        </w:r>
        <w:r w:rsidR="0063076E">
          <w:rPr>
            <w:noProof/>
            <w:webHidden/>
          </w:rPr>
          <w:fldChar w:fldCharType="end"/>
        </w:r>
      </w:hyperlink>
    </w:p>
    <w:p w14:paraId="79EFAB9C"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804" w:history="1">
        <w:r w:rsidR="0063076E" w:rsidRPr="006F3DAE">
          <w:rPr>
            <w:rStyle w:val="Hyperlink"/>
            <w:noProof/>
          </w:rPr>
          <w:t>Table 7</w:t>
        </w:r>
        <w:r w:rsidR="0063076E" w:rsidRPr="006F3DAE">
          <w:rPr>
            <w:rStyle w:val="Hyperlink"/>
            <w:noProof/>
          </w:rPr>
          <w:noBreakHyphen/>
          <w:t>4: Density Classification</w:t>
        </w:r>
        <w:r w:rsidR="0063076E">
          <w:rPr>
            <w:noProof/>
            <w:webHidden/>
          </w:rPr>
          <w:tab/>
        </w:r>
        <w:r w:rsidR="0063076E">
          <w:rPr>
            <w:noProof/>
            <w:webHidden/>
          </w:rPr>
          <w:fldChar w:fldCharType="begin"/>
        </w:r>
        <w:r w:rsidR="0063076E">
          <w:rPr>
            <w:noProof/>
            <w:webHidden/>
          </w:rPr>
          <w:instrText xml:space="preserve"> PAGEREF _Toc514068804 \h </w:instrText>
        </w:r>
        <w:r w:rsidR="0063076E">
          <w:rPr>
            <w:noProof/>
            <w:webHidden/>
          </w:rPr>
        </w:r>
        <w:r w:rsidR="0063076E">
          <w:rPr>
            <w:noProof/>
            <w:webHidden/>
          </w:rPr>
          <w:fldChar w:fldCharType="separate"/>
        </w:r>
        <w:r w:rsidR="0063076E">
          <w:rPr>
            <w:noProof/>
            <w:webHidden/>
          </w:rPr>
          <w:t>130</w:t>
        </w:r>
        <w:r w:rsidR="0063076E">
          <w:rPr>
            <w:noProof/>
            <w:webHidden/>
          </w:rPr>
          <w:fldChar w:fldCharType="end"/>
        </w:r>
      </w:hyperlink>
    </w:p>
    <w:p w14:paraId="7A9778D4"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805" w:history="1">
        <w:r w:rsidR="0063076E" w:rsidRPr="006F3DAE">
          <w:rPr>
            <w:rStyle w:val="Hyperlink"/>
            <w:noProof/>
          </w:rPr>
          <w:t>Table 7</w:t>
        </w:r>
        <w:r w:rsidR="0063076E" w:rsidRPr="006F3DAE">
          <w:rPr>
            <w:rStyle w:val="Hyperlink"/>
            <w:noProof/>
          </w:rPr>
          <w:noBreakHyphen/>
          <w:t>5: Areas of flow stress, salinity stress, flow &amp; salinity stress and low stress, and tree condition, for Black Box inundated by a 60,000ML/day at South Australian border.</w:t>
        </w:r>
        <w:r w:rsidR="0063076E">
          <w:rPr>
            <w:noProof/>
            <w:webHidden/>
          </w:rPr>
          <w:tab/>
        </w:r>
        <w:r w:rsidR="0063076E">
          <w:rPr>
            <w:noProof/>
            <w:webHidden/>
          </w:rPr>
          <w:fldChar w:fldCharType="begin"/>
        </w:r>
        <w:r w:rsidR="0063076E">
          <w:rPr>
            <w:noProof/>
            <w:webHidden/>
          </w:rPr>
          <w:instrText xml:space="preserve"> PAGEREF _Toc514068805 \h </w:instrText>
        </w:r>
        <w:r w:rsidR="0063076E">
          <w:rPr>
            <w:noProof/>
            <w:webHidden/>
          </w:rPr>
        </w:r>
        <w:r w:rsidR="0063076E">
          <w:rPr>
            <w:noProof/>
            <w:webHidden/>
          </w:rPr>
          <w:fldChar w:fldCharType="separate"/>
        </w:r>
        <w:r w:rsidR="0063076E">
          <w:rPr>
            <w:noProof/>
            <w:webHidden/>
          </w:rPr>
          <w:t>147</w:t>
        </w:r>
        <w:r w:rsidR="0063076E">
          <w:rPr>
            <w:noProof/>
            <w:webHidden/>
          </w:rPr>
          <w:fldChar w:fldCharType="end"/>
        </w:r>
      </w:hyperlink>
    </w:p>
    <w:p w14:paraId="20035248"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806" w:history="1">
        <w:r w:rsidR="0063076E" w:rsidRPr="006F3DAE">
          <w:rPr>
            <w:rStyle w:val="Hyperlink"/>
            <w:noProof/>
          </w:rPr>
          <w:t>Table 7</w:t>
        </w:r>
        <w:r w:rsidR="0063076E" w:rsidRPr="006F3DAE">
          <w:rPr>
            <w:rStyle w:val="Hyperlink"/>
            <w:noProof/>
          </w:rPr>
          <w:noBreakHyphen/>
          <w:t>6: Areas of flow stress, salinity stress, flow &amp; salinity stress, low stress, and modelled condition, for Black Box inundated between a 60,000ML/day to 80,000ML/day flow at South Australian border.</w:t>
        </w:r>
        <w:r w:rsidR="0063076E">
          <w:rPr>
            <w:noProof/>
            <w:webHidden/>
          </w:rPr>
          <w:tab/>
        </w:r>
        <w:r w:rsidR="0063076E">
          <w:rPr>
            <w:noProof/>
            <w:webHidden/>
          </w:rPr>
          <w:fldChar w:fldCharType="begin"/>
        </w:r>
        <w:r w:rsidR="0063076E">
          <w:rPr>
            <w:noProof/>
            <w:webHidden/>
          </w:rPr>
          <w:instrText xml:space="preserve"> PAGEREF _Toc514068806 \h </w:instrText>
        </w:r>
        <w:r w:rsidR="0063076E">
          <w:rPr>
            <w:noProof/>
            <w:webHidden/>
          </w:rPr>
        </w:r>
        <w:r w:rsidR="0063076E">
          <w:rPr>
            <w:noProof/>
            <w:webHidden/>
          </w:rPr>
          <w:fldChar w:fldCharType="separate"/>
        </w:r>
        <w:r w:rsidR="0063076E">
          <w:rPr>
            <w:noProof/>
            <w:webHidden/>
          </w:rPr>
          <w:t>148</w:t>
        </w:r>
        <w:r w:rsidR="0063076E">
          <w:rPr>
            <w:noProof/>
            <w:webHidden/>
          </w:rPr>
          <w:fldChar w:fldCharType="end"/>
        </w:r>
      </w:hyperlink>
    </w:p>
    <w:p w14:paraId="3A7851F9"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807" w:history="1">
        <w:r w:rsidR="0063076E" w:rsidRPr="006F3DAE">
          <w:rPr>
            <w:rStyle w:val="Hyperlink"/>
            <w:noProof/>
          </w:rPr>
          <w:t>Table 7</w:t>
        </w:r>
        <w:r w:rsidR="0063076E" w:rsidRPr="006F3DAE">
          <w:rPr>
            <w:rStyle w:val="Hyperlink"/>
            <w:noProof/>
          </w:rPr>
          <w:noBreakHyphen/>
          <w:t>7: Likelihood description guideline</w:t>
        </w:r>
        <w:r w:rsidR="0063076E">
          <w:rPr>
            <w:noProof/>
            <w:webHidden/>
          </w:rPr>
          <w:tab/>
        </w:r>
        <w:r w:rsidR="0063076E">
          <w:rPr>
            <w:noProof/>
            <w:webHidden/>
          </w:rPr>
          <w:fldChar w:fldCharType="begin"/>
        </w:r>
        <w:r w:rsidR="0063076E">
          <w:rPr>
            <w:noProof/>
            <w:webHidden/>
          </w:rPr>
          <w:instrText xml:space="preserve"> PAGEREF _Toc514068807 \h </w:instrText>
        </w:r>
        <w:r w:rsidR="0063076E">
          <w:rPr>
            <w:noProof/>
            <w:webHidden/>
          </w:rPr>
        </w:r>
        <w:r w:rsidR="0063076E">
          <w:rPr>
            <w:noProof/>
            <w:webHidden/>
          </w:rPr>
          <w:fldChar w:fldCharType="separate"/>
        </w:r>
        <w:r w:rsidR="0063076E">
          <w:rPr>
            <w:noProof/>
            <w:webHidden/>
          </w:rPr>
          <w:t>149</w:t>
        </w:r>
        <w:r w:rsidR="0063076E">
          <w:rPr>
            <w:noProof/>
            <w:webHidden/>
          </w:rPr>
          <w:fldChar w:fldCharType="end"/>
        </w:r>
      </w:hyperlink>
    </w:p>
    <w:p w14:paraId="34ED91AD" w14:textId="77777777" w:rsidR="0063076E" w:rsidRDefault="005C788A">
      <w:pPr>
        <w:pStyle w:val="TableofFigures"/>
        <w:tabs>
          <w:tab w:val="right" w:leader="dot" w:pos="9906"/>
        </w:tabs>
        <w:rPr>
          <w:rFonts w:asciiTheme="minorHAnsi" w:hAnsiTheme="minorHAnsi"/>
          <w:noProof/>
          <w:sz w:val="22"/>
          <w:szCs w:val="22"/>
          <w:lang w:eastAsia="en-AU"/>
        </w:rPr>
      </w:pPr>
      <w:hyperlink w:anchor="_Toc514068808" w:history="1">
        <w:r w:rsidR="0063076E" w:rsidRPr="006F3DAE">
          <w:rPr>
            <w:rStyle w:val="Hyperlink"/>
            <w:noProof/>
          </w:rPr>
          <w:t>Table 7</w:t>
        </w:r>
        <w:r w:rsidR="0063076E" w:rsidRPr="006F3DAE">
          <w:rPr>
            <w:rStyle w:val="Hyperlink"/>
            <w:noProof/>
          </w:rPr>
          <w:noBreakHyphen/>
          <w:t>8 Risk matrix</w:t>
        </w:r>
        <w:r w:rsidR="0063076E">
          <w:rPr>
            <w:noProof/>
            <w:webHidden/>
          </w:rPr>
          <w:tab/>
        </w:r>
        <w:r w:rsidR="0063076E">
          <w:rPr>
            <w:noProof/>
            <w:webHidden/>
          </w:rPr>
          <w:fldChar w:fldCharType="begin"/>
        </w:r>
        <w:r w:rsidR="0063076E">
          <w:rPr>
            <w:noProof/>
            <w:webHidden/>
          </w:rPr>
          <w:instrText xml:space="preserve"> PAGEREF _Toc514068808 \h </w:instrText>
        </w:r>
        <w:r w:rsidR="0063076E">
          <w:rPr>
            <w:noProof/>
            <w:webHidden/>
          </w:rPr>
        </w:r>
        <w:r w:rsidR="0063076E">
          <w:rPr>
            <w:noProof/>
            <w:webHidden/>
          </w:rPr>
          <w:fldChar w:fldCharType="separate"/>
        </w:r>
        <w:r w:rsidR="0063076E">
          <w:rPr>
            <w:noProof/>
            <w:webHidden/>
          </w:rPr>
          <w:t>151</w:t>
        </w:r>
        <w:r w:rsidR="0063076E">
          <w:rPr>
            <w:noProof/>
            <w:webHidden/>
          </w:rPr>
          <w:fldChar w:fldCharType="end"/>
        </w:r>
      </w:hyperlink>
    </w:p>
    <w:p w14:paraId="3F551124" w14:textId="6BB801AD" w:rsidR="00E160A4" w:rsidRDefault="00D0107E" w:rsidP="00E160A4">
      <w:pPr>
        <w:pStyle w:val="TOC2"/>
        <w:rPr>
          <w:rStyle w:val="Hyperlink"/>
        </w:rPr>
      </w:pPr>
      <w:r w:rsidRPr="00C927A5">
        <w:rPr>
          <w:rStyle w:val="Hyperlink"/>
        </w:rPr>
        <w:fldChar w:fldCharType="end"/>
      </w:r>
    </w:p>
    <w:p w14:paraId="5C84263B" w14:textId="77777777" w:rsidR="00E160A4" w:rsidRDefault="00E160A4">
      <w:pPr>
        <w:spacing w:after="0" w:line="240" w:lineRule="auto"/>
        <w:rPr>
          <w:rStyle w:val="Hyperlink"/>
          <w:noProof/>
          <w:szCs w:val="20"/>
        </w:rPr>
      </w:pPr>
      <w:r>
        <w:rPr>
          <w:rStyle w:val="Hyperlink"/>
        </w:rPr>
        <w:br w:type="page"/>
      </w:r>
    </w:p>
    <w:p w14:paraId="7DF28C51" w14:textId="3D7F6CF7" w:rsidR="008D6067" w:rsidRPr="00EF3609" w:rsidRDefault="008D6067" w:rsidP="00E160A4">
      <w:pPr>
        <w:pStyle w:val="TOC2"/>
        <w:rPr>
          <w:color w:val="65876D" w:themeColor="accent4" w:themeShade="BF"/>
        </w:rPr>
      </w:pPr>
      <w:r>
        <w:rPr>
          <w:color w:val="65876D" w:themeColor="accent4" w:themeShade="BF"/>
        </w:rPr>
        <w:t>Table of Figures</w:t>
      </w:r>
    </w:p>
    <w:p w14:paraId="0B5900F9" w14:textId="3CA6100A" w:rsidR="000F2F27" w:rsidRPr="003B40F8" w:rsidRDefault="00D0107E">
      <w:pPr>
        <w:pStyle w:val="TableofFigures"/>
        <w:tabs>
          <w:tab w:val="right" w:leader="dot" w:pos="9906"/>
        </w:tabs>
        <w:rPr>
          <w:rStyle w:val="Hyperlink"/>
        </w:rPr>
      </w:pPr>
      <w:r w:rsidRPr="006B28B5">
        <w:rPr>
          <w:rStyle w:val="Hyperlink"/>
        </w:rPr>
        <w:fldChar w:fldCharType="begin"/>
      </w:r>
      <w:r w:rsidRPr="006B28B5">
        <w:rPr>
          <w:rStyle w:val="Hyperlink"/>
        </w:rPr>
        <w:instrText xml:space="preserve"> TOC \h \z \c "Figure" </w:instrText>
      </w:r>
      <w:r w:rsidRPr="006B28B5">
        <w:rPr>
          <w:rStyle w:val="Hyperlink"/>
        </w:rPr>
        <w:fldChar w:fldCharType="separate"/>
      </w:r>
      <w:hyperlink w:anchor="_Toc514018070" w:history="1">
        <w:r w:rsidR="000F2F27" w:rsidRPr="00C43644">
          <w:rPr>
            <w:rStyle w:val="Hyperlink"/>
            <w:noProof/>
          </w:rPr>
          <w:t>Figure 1</w:t>
        </w:r>
        <w:r w:rsidR="000F2F27" w:rsidRPr="00C43644">
          <w:rPr>
            <w:rStyle w:val="Hyperlink"/>
            <w:noProof/>
          </w:rPr>
          <w:noBreakHyphen/>
          <w:t>1: A typical Black Box (Eucalyptus largiflorens) growing on a floodplain in the Lower River Murray (Southern Murray Darling Basin) (Photo: I. Overton, Jacobs)</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_Toc514018070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1</w:t>
        </w:r>
        <w:r w:rsidR="000F2F27" w:rsidRPr="003B40F8">
          <w:rPr>
            <w:rStyle w:val="Hyperlink"/>
            <w:webHidden/>
          </w:rPr>
          <w:fldChar w:fldCharType="end"/>
        </w:r>
      </w:hyperlink>
    </w:p>
    <w:p w14:paraId="708702E2" w14:textId="3A27D97C" w:rsidR="000F2F27" w:rsidRPr="003B40F8" w:rsidRDefault="005C788A">
      <w:pPr>
        <w:pStyle w:val="TableofFigures"/>
        <w:tabs>
          <w:tab w:val="right" w:leader="dot" w:pos="9906"/>
        </w:tabs>
        <w:rPr>
          <w:rStyle w:val="Hyperlink"/>
        </w:rPr>
      </w:pPr>
      <w:hyperlink w:anchor="_Toc514018071" w:history="1">
        <w:r w:rsidR="000F2F27" w:rsidRPr="00C43644">
          <w:rPr>
            <w:rStyle w:val="Hyperlink"/>
            <w:noProof/>
          </w:rPr>
          <w:t>Figure 1</w:t>
        </w:r>
        <w:r w:rsidR="000F2F27" w:rsidRPr="00C43644">
          <w:rPr>
            <w:rStyle w:val="Hyperlink"/>
            <w:noProof/>
          </w:rPr>
          <w:noBreakHyphen/>
          <w:t>2: Estimated Black Box distribution at the Basin scale</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_Toc514018071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3</w:t>
        </w:r>
        <w:r w:rsidR="000F2F27" w:rsidRPr="003B40F8">
          <w:rPr>
            <w:rStyle w:val="Hyperlink"/>
            <w:webHidden/>
          </w:rPr>
          <w:fldChar w:fldCharType="end"/>
        </w:r>
      </w:hyperlink>
    </w:p>
    <w:p w14:paraId="06867B4F" w14:textId="4E7F6CD5" w:rsidR="000F2F27" w:rsidRPr="003B40F8" w:rsidRDefault="005C788A">
      <w:pPr>
        <w:pStyle w:val="TableofFigures"/>
        <w:tabs>
          <w:tab w:val="right" w:leader="dot" w:pos="9906"/>
        </w:tabs>
        <w:rPr>
          <w:rStyle w:val="Hyperlink"/>
        </w:rPr>
      </w:pPr>
      <w:hyperlink w:anchor="_Toc514018072" w:history="1">
        <w:r w:rsidR="000F2F27" w:rsidRPr="00C43644">
          <w:rPr>
            <w:rStyle w:val="Hyperlink"/>
            <w:noProof/>
          </w:rPr>
          <w:t>Figure 2</w:t>
        </w:r>
        <w:r w:rsidR="000F2F27" w:rsidRPr="00C43644">
          <w:rPr>
            <w:rStyle w:val="Hyperlink"/>
            <w:noProof/>
          </w:rPr>
          <w:noBreakHyphen/>
          <w:t>1: Overview of the four parts of the Black Box Management Framework</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_Toc514018072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6</w:t>
        </w:r>
        <w:r w:rsidR="000F2F27" w:rsidRPr="003B40F8">
          <w:rPr>
            <w:rStyle w:val="Hyperlink"/>
            <w:webHidden/>
          </w:rPr>
          <w:fldChar w:fldCharType="end"/>
        </w:r>
      </w:hyperlink>
    </w:p>
    <w:p w14:paraId="70354C0E" w14:textId="7331C18B" w:rsidR="000F2F27" w:rsidRPr="003B40F8" w:rsidRDefault="005C788A">
      <w:pPr>
        <w:pStyle w:val="TableofFigures"/>
        <w:tabs>
          <w:tab w:val="right" w:leader="dot" w:pos="9906"/>
        </w:tabs>
        <w:rPr>
          <w:rStyle w:val="Hyperlink"/>
        </w:rPr>
      </w:pPr>
      <w:hyperlink w:anchor="_Toc514018073" w:history="1">
        <w:r w:rsidR="000F2F27" w:rsidRPr="00C43644">
          <w:rPr>
            <w:rStyle w:val="Hyperlink"/>
            <w:noProof/>
          </w:rPr>
          <w:t>Figure 3</w:t>
        </w:r>
        <w:r w:rsidR="000F2F27" w:rsidRPr="00C43644">
          <w:rPr>
            <w:rStyle w:val="Hyperlink"/>
            <w:noProof/>
          </w:rPr>
          <w:noBreakHyphen/>
          <w:t>1: Overview of Part A of the Black Box Management Framework</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_Toc514018073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10</w:t>
        </w:r>
        <w:r w:rsidR="000F2F27" w:rsidRPr="003B40F8">
          <w:rPr>
            <w:rStyle w:val="Hyperlink"/>
            <w:webHidden/>
          </w:rPr>
          <w:fldChar w:fldCharType="end"/>
        </w:r>
      </w:hyperlink>
    </w:p>
    <w:p w14:paraId="47B3A46E" w14:textId="46D2F17F" w:rsidR="000F2F27" w:rsidRPr="003B40F8" w:rsidRDefault="005C788A">
      <w:pPr>
        <w:pStyle w:val="TableofFigures"/>
        <w:tabs>
          <w:tab w:val="right" w:leader="dot" w:pos="9906"/>
        </w:tabs>
        <w:rPr>
          <w:rStyle w:val="Hyperlink"/>
        </w:rPr>
      </w:pPr>
      <w:hyperlink w:anchor="_Toc514018074" w:history="1">
        <w:r w:rsidR="000F2F27" w:rsidRPr="00C43644">
          <w:rPr>
            <w:rStyle w:val="Hyperlink"/>
            <w:noProof/>
          </w:rPr>
          <w:t>Figure 3</w:t>
        </w:r>
        <w:r w:rsidR="000F2F27" w:rsidRPr="00C43644">
          <w:rPr>
            <w:rStyle w:val="Hyperlink"/>
            <w:noProof/>
          </w:rPr>
          <w:noBreakHyphen/>
          <w:t>2: Part A: Approach for undertaking a Black Box site investigation</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_Toc514018074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10</w:t>
        </w:r>
        <w:r w:rsidR="000F2F27" w:rsidRPr="003B40F8">
          <w:rPr>
            <w:rStyle w:val="Hyperlink"/>
            <w:webHidden/>
          </w:rPr>
          <w:fldChar w:fldCharType="end"/>
        </w:r>
      </w:hyperlink>
    </w:p>
    <w:p w14:paraId="51B7E6CD" w14:textId="160C8EC2" w:rsidR="000F2F27" w:rsidRPr="003B40F8" w:rsidRDefault="005C788A">
      <w:pPr>
        <w:pStyle w:val="TableofFigures"/>
        <w:tabs>
          <w:tab w:val="right" w:leader="dot" w:pos="9906"/>
        </w:tabs>
        <w:rPr>
          <w:rStyle w:val="Hyperlink"/>
        </w:rPr>
      </w:pPr>
      <w:hyperlink w:anchor="_Toc514018075" w:history="1">
        <w:r w:rsidR="000F2F27" w:rsidRPr="00C43644">
          <w:rPr>
            <w:rStyle w:val="Hyperlink"/>
            <w:noProof/>
          </w:rPr>
          <w:t>Figure 3</w:t>
        </w:r>
        <w:r w:rsidR="000F2F27" w:rsidRPr="00C43644">
          <w:rPr>
            <w:rStyle w:val="Hyperlink"/>
            <w:noProof/>
          </w:rPr>
          <w:noBreakHyphen/>
          <w:t>3: Map of Calperum Station showing major features</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_Toc514018075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14</w:t>
        </w:r>
        <w:r w:rsidR="000F2F27" w:rsidRPr="003B40F8">
          <w:rPr>
            <w:rStyle w:val="Hyperlink"/>
            <w:webHidden/>
          </w:rPr>
          <w:fldChar w:fldCharType="end"/>
        </w:r>
      </w:hyperlink>
    </w:p>
    <w:p w14:paraId="171E3452" w14:textId="5E67AA81" w:rsidR="000F2F27" w:rsidRPr="003B40F8" w:rsidRDefault="005C788A">
      <w:pPr>
        <w:pStyle w:val="TableofFigures"/>
        <w:tabs>
          <w:tab w:val="right" w:leader="dot" w:pos="9906"/>
        </w:tabs>
        <w:rPr>
          <w:rStyle w:val="Hyperlink"/>
        </w:rPr>
      </w:pPr>
      <w:hyperlink w:anchor="_Toc514018076" w:history="1">
        <w:r w:rsidR="000F2F27" w:rsidRPr="00C43644">
          <w:rPr>
            <w:rStyle w:val="Hyperlink"/>
            <w:noProof/>
          </w:rPr>
          <w:t>Figure 3</w:t>
        </w:r>
        <w:r w:rsidR="000F2F27" w:rsidRPr="00C43644">
          <w:rPr>
            <w:rStyle w:val="Hyperlink"/>
            <w:noProof/>
          </w:rPr>
          <w:noBreakHyphen/>
          <w:t>4:  A small management unit of Black Box trees that have a range of conditions from Good to Dead</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_Toc514018076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15</w:t>
        </w:r>
        <w:r w:rsidR="000F2F27" w:rsidRPr="003B40F8">
          <w:rPr>
            <w:rStyle w:val="Hyperlink"/>
            <w:webHidden/>
          </w:rPr>
          <w:fldChar w:fldCharType="end"/>
        </w:r>
      </w:hyperlink>
    </w:p>
    <w:p w14:paraId="7CC9EC33" w14:textId="0DEE52D5" w:rsidR="000F2F27" w:rsidRPr="003B40F8" w:rsidRDefault="005C788A">
      <w:pPr>
        <w:pStyle w:val="TableofFigures"/>
        <w:tabs>
          <w:tab w:val="right" w:leader="dot" w:pos="9906"/>
        </w:tabs>
        <w:rPr>
          <w:rStyle w:val="Hyperlink"/>
        </w:rPr>
      </w:pPr>
      <w:hyperlink w:anchor="_Toc514018077" w:history="1">
        <w:r w:rsidR="000F2F27" w:rsidRPr="00C43644">
          <w:rPr>
            <w:rStyle w:val="Hyperlink"/>
            <w:noProof/>
          </w:rPr>
          <w:t>Figure 3</w:t>
        </w:r>
        <w:r w:rsidR="000F2F27" w:rsidRPr="00C43644">
          <w:rPr>
            <w:rStyle w:val="Hyperlink"/>
            <w:noProof/>
          </w:rPr>
          <w:noBreakHyphen/>
          <w:t>5: Black Box condition assessment. Top left: C1 Good - &gt;75% original canopy; Top right: C2 Medium – 75-40% original canopy and/or strong epicormic growth; Bottom left: C3 Poor - &lt;40% original canopy and/or small amount of epicormic growth; Bottom right: C4 Dead.</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_Toc514018077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17</w:t>
        </w:r>
        <w:r w:rsidR="000F2F27" w:rsidRPr="003B40F8">
          <w:rPr>
            <w:rStyle w:val="Hyperlink"/>
            <w:webHidden/>
          </w:rPr>
          <w:fldChar w:fldCharType="end"/>
        </w:r>
      </w:hyperlink>
    </w:p>
    <w:p w14:paraId="69776C7E" w14:textId="05127529" w:rsidR="000F2F27" w:rsidRPr="003B40F8" w:rsidRDefault="005C788A">
      <w:pPr>
        <w:pStyle w:val="TableofFigures"/>
        <w:tabs>
          <w:tab w:val="right" w:leader="dot" w:pos="9906"/>
        </w:tabs>
        <w:rPr>
          <w:rStyle w:val="Hyperlink"/>
        </w:rPr>
      </w:pPr>
      <w:hyperlink w:anchor="_Toc514018078" w:history="1">
        <w:r w:rsidR="000F2F27" w:rsidRPr="000F2F27">
          <w:rPr>
            <w:rStyle w:val="Hyperlink"/>
            <w:noProof/>
          </w:rPr>
          <w:t>Figure 3</w:t>
        </w:r>
        <w:r w:rsidR="000F2F27" w:rsidRPr="000F2F27">
          <w:rPr>
            <w:rStyle w:val="Hyperlink"/>
            <w:noProof/>
          </w:rPr>
          <w:noBreakHyphen/>
          <w:t>6: Calperum Station Black Box Condition</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_Toc514018078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21</w:t>
        </w:r>
        <w:r w:rsidR="000F2F27" w:rsidRPr="003B40F8">
          <w:rPr>
            <w:rStyle w:val="Hyperlink"/>
            <w:webHidden/>
          </w:rPr>
          <w:fldChar w:fldCharType="end"/>
        </w:r>
      </w:hyperlink>
    </w:p>
    <w:p w14:paraId="258A034E" w14:textId="541BA748" w:rsidR="000F2F27" w:rsidRPr="003B40F8" w:rsidRDefault="005C788A">
      <w:pPr>
        <w:pStyle w:val="TableofFigures"/>
        <w:tabs>
          <w:tab w:val="right" w:leader="dot" w:pos="9906"/>
        </w:tabs>
        <w:rPr>
          <w:rStyle w:val="Hyperlink"/>
        </w:rPr>
      </w:pPr>
      <w:hyperlink w:anchor="_Toc514018079" w:history="1">
        <w:r w:rsidR="000F2F27" w:rsidRPr="00C43644">
          <w:rPr>
            <w:rStyle w:val="Hyperlink"/>
            <w:noProof/>
          </w:rPr>
          <w:t>Figure 3</w:t>
        </w:r>
        <w:r w:rsidR="000F2F27" w:rsidRPr="00C43644">
          <w:rPr>
            <w:rStyle w:val="Hyperlink"/>
            <w:noProof/>
          </w:rPr>
          <w:noBreakHyphen/>
          <w:t xml:space="preserve">7: Conceptual model of the hydrogeology of the lower River Murray floodplain (Holland </w:t>
        </w:r>
        <w:r w:rsidR="000F2F27" w:rsidRPr="003B40F8">
          <w:rPr>
            <w:rStyle w:val="Hyperlink"/>
            <w:noProof/>
          </w:rPr>
          <w:t>et al.</w:t>
        </w:r>
        <w:r w:rsidR="000F2F27" w:rsidRPr="00C43644">
          <w:rPr>
            <w:rStyle w:val="Hyperlink"/>
            <w:noProof/>
          </w:rPr>
          <w:t>, 2005)</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_Toc514018079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24</w:t>
        </w:r>
        <w:r w:rsidR="000F2F27" w:rsidRPr="003B40F8">
          <w:rPr>
            <w:rStyle w:val="Hyperlink"/>
            <w:webHidden/>
          </w:rPr>
          <w:fldChar w:fldCharType="end"/>
        </w:r>
      </w:hyperlink>
    </w:p>
    <w:p w14:paraId="3AAD7F88" w14:textId="22C86B6E" w:rsidR="000F2F27" w:rsidRPr="003B40F8" w:rsidRDefault="005C788A">
      <w:pPr>
        <w:pStyle w:val="TableofFigures"/>
        <w:tabs>
          <w:tab w:val="right" w:leader="dot" w:pos="9906"/>
        </w:tabs>
        <w:rPr>
          <w:rStyle w:val="Hyperlink"/>
        </w:rPr>
      </w:pPr>
      <w:hyperlink w:anchor="_Toc514018080" w:history="1">
        <w:r w:rsidR="000F2F27" w:rsidRPr="00C43644">
          <w:rPr>
            <w:rStyle w:val="Hyperlink"/>
            <w:noProof/>
          </w:rPr>
          <w:t>Figure 3</w:t>
        </w:r>
        <w:r w:rsidR="000F2F27" w:rsidRPr="00C43644">
          <w:rPr>
            <w:rStyle w:val="Hyperlink"/>
            <w:noProof/>
          </w:rPr>
          <w:noBreakHyphen/>
          <w:t>8: Hydrogeological and ecohydrological processes on the River Murray floodplain (Overton and Doody, 2008a)</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_Toc514018080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26</w:t>
        </w:r>
        <w:r w:rsidR="000F2F27" w:rsidRPr="003B40F8">
          <w:rPr>
            <w:rStyle w:val="Hyperlink"/>
            <w:webHidden/>
          </w:rPr>
          <w:fldChar w:fldCharType="end"/>
        </w:r>
      </w:hyperlink>
    </w:p>
    <w:p w14:paraId="2D026717" w14:textId="2B02BAA9" w:rsidR="000F2F27" w:rsidRPr="003B40F8" w:rsidRDefault="005C788A">
      <w:pPr>
        <w:pStyle w:val="TableofFigures"/>
        <w:tabs>
          <w:tab w:val="right" w:leader="dot" w:pos="9906"/>
        </w:tabs>
        <w:rPr>
          <w:rStyle w:val="Hyperlink"/>
        </w:rPr>
      </w:pPr>
      <w:hyperlink w:anchor="_Toc514018081" w:history="1">
        <w:r w:rsidR="000F2F27" w:rsidRPr="00C43644">
          <w:rPr>
            <w:rStyle w:val="Hyperlink"/>
            <w:noProof/>
          </w:rPr>
          <w:t>Figure 3</w:t>
        </w:r>
        <w:r w:rsidR="000F2F27" w:rsidRPr="00C43644">
          <w:rPr>
            <w:rStyle w:val="Hyperlink"/>
            <w:noProof/>
          </w:rPr>
          <w:noBreakHyphen/>
          <w:t>9: Floodplain response to water management (AWE, 2015)</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_Toc514018081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26</w:t>
        </w:r>
        <w:r w:rsidR="000F2F27" w:rsidRPr="003B40F8">
          <w:rPr>
            <w:rStyle w:val="Hyperlink"/>
            <w:webHidden/>
          </w:rPr>
          <w:fldChar w:fldCharType="end"/>
        </w:r>
      </w:hyperlink>
    </w:p>
    <w:p w14:paraId="5039994C" w14:textId="7E51C1CF" w:rsidR="000F2F27" w:rsidRPr="003B40F8" w:rsidRDefault="005C788A">
      <w:pPr>
        <w:pStyle w:val="TableofFigures"/>
        <w:tabs>
          <w:tab w:val="right" w:leader="dot" w:pos="9906"/>
        </w:tabs>
        <w:rPr>
          <w:rStyle w:val="Hyperlink"/>
        </w:rPr>
      </w:pPr>
      <w:hyperlink w:anchor="_Toc514018082" w:history="1">
        <w:r w:rsidR="000F2F27" w:rsidRPr="00C43644">
          <w:rPr>
            <w:rStyle w:val="Hyperlink"/>
            <w:noProof/>
          </w:rPr>
          <w:t>Figure 3</w:t>
        </w:r>
        <w:r w:rsidR="000F2F27" w:rsidRPr="00C43644">
          <w:rPr>
            <w:rStyle w:val="Hyperlink"/>
            <w:noProof/>
          </w:rPr>
          <w:noBreakHyphen/>
          <w:t>10: Conceptual diagram of the salt accumulation mechanisms in floodplain soils (Overton, 2011).</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_Toc514018082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28</w:t>
        </w:r>
        <w:r w:rsidR="000F2F27" w:rsidRPr="003B40F8">
          <w:rPr>
            <w:rStyle w:val="Hyperlink"/>
            <w:webHidden/>
          </w:rPr>
          <w:fldChar w:fldCharType="end"/>
        </w:r>
      </w:hyperlink>
    </w:p>
    <w:p w14:paraId="4CBADE70" w14:textId="1A2292EF" w:rsidR="000F2F27" w:rsidRPr="003B40F8" w:rsidRDefault="005C788A">
      <w:pPr>
        <w:pStyle w:val="TableofFigures"/>
        <w:tabs>
          <w:tab w:val="right" w:leader="dot" w:pos="9906"/>
        </w:tabs>
        <w:rPr>
          <w:rStyle w:val="Hyperlink"/>
        </w:rPr>
      </w:pPr>
      <w:hyperlink w:anchor="_Toc514018083" w:history="1">
        <w:r w:rsidR="000F2F27" w:rsidRPr="00C43644">
          <w:rPr>
            <w:rStyle w:val="Hyperlink"/>
            <w:noProof/>
          </w:rPr>
          <w:t>Figure 3</w:t>
        </w:r>
        <w:r w:rsidR="000F2F27" w:rsidRPr="00C43644">
          <w:rPr>
            <w:rStyle w:val="Hyperlink"/>
            <w:noProof/>
          </w:rPr>
          <w:noBreakHyphen/>
          <w:t xml:space="preserve">11: Transition between various condition states for Black Box trees (Overton </w:t>
        </w:r>
        <w:r w:rsidR="000F2F27" w:rsidRPr="003B40F8">
          <w:rPr>
            <w:rStyle w:val="Hyperlink"/>
            <w:noProof/>
          </w:rPr>
          <w:t>et al.</w:t>
        </w:r>
        <w:r w:rsidR="000F2F27" w:rsidRPr="00C43644">
          <w:rPr>
            <w:rStyle w:val="Hyperlink"/>
            <w:noProof/>
          </w:rPr>
          <w:t>, 2014).</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_Toc514018083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29</w:t>
        </w:r>
        <w:r w:rsidR="000F2F27" w:rsidRPr="003B40F8">
          <w:rPr>
            <w:rStyle w:val="Hyperlink"/>
            <w:webHidden/>
          </w:rPr>
          <w:fldChar w:fldCharType="end"/>
        </w:r>
      </w:hyperlink>
    </w:p>
    <w:p w14:paraId="37F442C2" w14:textId="2B9708A3" w:rsidR="000F2F27" w:rsidRPr="003B40F8" w:rsidRDefault="005C788A">
      <w:pPr>
        <w:pStyle w:val="TableofFigures"/>
        <w:tabs>
          <w:tab w:val="right" w:leader="dot" w:pos="9906"/>
        </w:tabs>
        <w:rPr>
          <w:rStyle w:val="Hyperlink"/>
        </w:rPr>
      </w:pPr>
      <w:hyperlink w:anchor="_Toc514018084" w:history="1">
        <w:r w:rsidR="000F2F27" w:rsidRPr="00C43644">
          <w:rPr>
            <w:rStyle w:val="Hyperlink"/>
            <w:noProof/>
          </w:rPr>
          <w:t>Figure 3.12: Calperum Station soil water conceptual model (Cale and Cale 2011)</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_Toc514018084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31</w:t>
        </w:r>
        <w:r w:rsidR="000F2F27" w:rsidRPr="003B40F8">
          <w:rPr>
            <w:rStyle w:val="Hyperlink"/>
            <w:webHidden/>
          </w:rPr>
          <w:fldChar w:fldCharType="end"/>
        </w:r>
      </w:hyperlink>
    </w:p>
    <w:p w14:paraId="30B1DEAD" w14:textId="79D26699" w:rsidR="000F2F27" w:rsidRPr="003B40F8" w:rsidRDefault="005C788A">
      <w:pPr>
        <w:pStyle w:val="TableofFigures"/>
        <w:tabs>
          <w:tab w:val="right" w:leader="dot" w:pos="9906"/>
        </w:tabs>
        <w:rPr>
          <w:rStyle w:val="Hyperlink"/>
        </w:rPr>
      </w:pPr>
      <w:hyperlink w:anchor="_Toc514018085" w:history="1">
        <w:r w:rsidR="000F2F27" w:rsidRPr="00C43644">
          <w:rPr>
            <w:rStyle w:val="Hyperlink"/>
            <w:noProof/>
          </w:rPr>
          <w:t>Figure 3</w:t>
        </w:r>
        <w:r w:rsidR="000F2F27" w:rsidRPr="00C43644">
          <w:rPr>
            <w:rStyle w:val="Hyperlink"/>
            <w:noProof/>
          </w:rPr>
          <w:noBreakHyphen/>
          <w:t>13</w:t>
        </w:r>
        <w:r w:rsidR="000F2F27" w:rsidRPr="003B40F8">
          <w:rPr>
            <w:rStyle w:val="Hyperlink"/>
            <w:noProof/>
          </w:rPr>
          <w:t>: Black Box management units at risk by a combination of stressors</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_Toc514018085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38</w:t>
        </w:r>
        <w:r w:rsidR="000F2F27" w:rsidRPr="003B40F8">
          <w:rPr>
            <w:rStyle w:val="Hyperlink"/>
            <w:webHidden/>
          </w:rPr>
          <w:fldChar w:fldCharType="end"/>
        </w:r>
      </w:hyperlink>
    </w:p>
    <w:p w14:paraId="32B8504A" w14:textId="6653C3B6" w:rsidR="000F2F27" w:rsidRPr="003B40F8" w:rsidRDefault="005C788A">
      <w:pPr>
        <w:pStyle w:val="TableofFigures"/>
        <w:tabs>
          <w:tab w:val="right" w:leader="dot" w:pos="9906"/>
        </w:tabs>
        <w:rPr>
          <w:rStyle w:val="Hyperlink"/>
        </w:rPr>
      </w:pPr>
      <w:hyperlink w:anchor="_Toc514018086" w:history="1">
        <w:r w:rsidR="000F2F27" w:rsidRPr="00C43644">
          <w:rPr>
            <w:rStyle w:val="Hyperlink"/>
            <w:noProof/>
          </w:rPr>
          <w:t>Figure 3</w:t>
        </w:r>
        <w:r w:rsidR="000F2F27" w:rsidRPr="00C43644">
          <w:rPr>
            <w:rStyle w:val="Hyperlink"/>
            <w:noProof/>
          </w:rPr>
          <w:noBreakHyphen/>
          <w:t>14: Key components of Black Box vulnerability used in the Framework (Modified from IPCC, 2007).</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_Toc514018086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39</w:t>
        </w:r>
        <w:r w:rsidR="000F2F27" w:rsidRPr="003B40F8">
          <w:rPr>
            <w:rStyle w:val="Hyperlink"/>
            <w:webHidden/>
          </w:rPr>
          <w:fldChar w:fldCharType="end"/>
        </w:r>
      </w:hyperlink>
    </w:p>
    <w:p w14:paraId="63ECFE9F" w14:textId="5ECDC280" w:rsidR="000F2F27" w:rsidRPr="003B40F8" w:rsidRDefault="005C788A">
      <w:pPr>
        <w:pStyle w:val="TableofFigures"/>
        <w:tabs>
          <w:tab w:val="right" w:leader="dot" w:pos="9906"/>
        </w:tabs>
        <w:rPr>
          <w:rStyle w:val="Hyperlink"/>
        </w:rPr>
      </w:pPr>
      <w:hyperlink w:anchor="_Toc514018087" w:history="1">
        <w:r w:rsidR="000F2F27" w:rsidRPr="00C43644">
          <w:rPr>
            <w:rStyle w:val="Hyperlink"/>
            <w:noProof/>
          </w:rPr>
          <w:t>Figure 3</w:t>
        </w:r>
        <w:r w:rsidR="000F2F27" w:rsidRPr="00C43644">
          <w:rPr>
            <w:rStyle w:val="Hyperlink"/>
            <w:noProof/>
          </w:rPr>
          <w:noBreakHyphen/>
          <w:t>15</w:t>
        </w:r>
        <w:r w:rsidR="000F2F27" w:rsidRPr="003B40F8">
          <w:rPr>
            <w:rStyle w:val="Hyperlink"/>
            <w:noProof/>
          </w:rPr>
          <w:t>: Vulnerability assessment for Black Box on Calperum Station.</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_Toc514018087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43</w:t>
        </w:r>
        <w:r w:rsidR="000F2F27" w:rsidRPr="003B40F8">
          <w:rPr>
            <w:rStyle w:val="Hyperlink"/>
            <w:webHidden/>
          </w:rPr>
          <w:fldChar w:fldCharType="end"/>
        </w:r>
      </w:hyperlink>
    </w:p>
    <w:p w14:paraId="15F10E81" w14:textId="4120408F" w:rsidR="000F2F27" w:rsidRPr="003B40F8" w:rsidRDefault="005C788A">
      <w:pPr>
        <w:pStyle w:val="TableofFigures"/>
        <w:tabs>
          <w:tab w:val="right" w:leader="dot" w:pos="9906"/>
        </w:tabs>
        <w:rPr>
          <w:rStyle w:val="Hyperlink"/>
        </w:rPr>
      </w:pPr>
      <w:hyperlink w:anchor="_Toc514018088" w:history="1">
        <w:r w:rsidR="000F2F27" w:rsidRPr="003B40F8">
          <w:rPr>
            <w:rStyle w:val="Hyperlink"/>
            <w:noProof/>
          </w:rPr>
          <w:t>Figure 3</w:t>
        </w:r>
        <w:r w:rsidR="000F2F27" w:rsidRPr="003B40F8">
          <w:rPr>
            <w:rStyle w:val="Hyperlink"/>
            <w:noProof/>
          </w:rPr>
          <w:noBreakHyphen/>
          <w:t>16: Vulnerability map for Black Box.</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_Toc514018088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44</w:t>
        </w:r>
        <w:r w:rsidR="000F2F27" w:rsidRPr="003B40F8">
          <w:rPr>
            <w:rStyle w:val="Hyperlink"/>
            <w:webHidden/>
          </w:rPr>
          <w:fldChar w:fldCharType="end"/>
        </w:r>
      </w:hyperlink>
    </w:p>
    <w:p w14:paraId="5BC61E30" w14:textId="07151B9C" w:rsidR="000F2F27" w:rsidRPr="003B40F8" w:rsidRDefault="005C788A">
      <w:pPr>
        <w:pStyle w:val="TableofFigures"/>
        <w:tabs>
          <w:tab w:val="right" w:leader="dot" w:pos="9906"/>
        </w:tabs>
        <w:rPr>
          <w:rStyle w:val="Hyperlink"/>
        </w:rPr>
      </w:pPr>
      <w:hyperlink w:anchor="_Toc514018089" w:history="1">
        <w:r w:rsidR="000F2F27" w:rsidRPr="003B40F8">
          <w:rPr>
            <w:rStyle w:val="Hyperlink"/>
            <w:noProof/>
          </w:rPr>
          <w:t>Figure 3</w:t>
        </w:r>
        <w:r w:rsidR="000F2F27" w:rsidRPr="003B40F8">
          <w:rPr>
            <w:rStyle w:val="Hyperlink"/>
            <w:noProof/>
          </w:rPr>
          <w:noBreakHyphen/>
          <w:t>17: Do-Nothing scenario map for Black Box.</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_Toc514018089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45</w:t>
        </w:r>
        <w:r w:rsidR="000F2F27" w:rsidRPr="003B40F8">
          <w:rPr>
            <w:rStyle w:val="Hyperlink"/>
            <w:webHidden/>
          </w:rPr>
          <w:fldChar w:fldCharType="end"/>
        </w:r>
      </w:hyperlink>
    </w:p>
    <w:p w14:paraId="5A810189" w14:textId="46C2AA51" w:rsidR="000F2F27" w:rsidRPr="003B40F8" w:rsidRDefault="005C788A">
      <w:pPr>
        <w:pStyle w:val="TableofFigures"/>
        <w:tabs>
          <w:tab w:val="right" w:leader="dot" w:pos="9906"/>
        </w:tabs>
        <w:rPr>
          <w:rStyle w:val="Hyperlink"/>
        </w:rPr>
      </w:pPr>
      <w:hyperlink w:anchor="_Toc514018090" w:history="1">
        <w:r w:rsidR="000F2F27" w:rsidRPr="00C43644">
          <w:rPr>
            <w:rStyle w:val="Hyperlink"/>
            <w:noProof/>
          </w:rPr>
          <w:t>Figure 3</w:t>
        </w:r>
        <w:r w:rsidR="000F2F27" w:rsidRPr="00C43644">
          <w:rPr>
            <w:rStyle w:val="Hyperlink"/>
            <w:noProof/>
          </w:rPr>
          <w:noBreakHyphen/>
          <w:t>18: Potential channel opening locations</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_Toc514018090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59</w:t>
        </w:r>
        <w:r w:rsidR="000F2F27" w:rsidRPr="003B40F8">
          <w:rPr>
            <w:rStyle w:val="Hyperlink"/>
            <w:webHidden/>
          </w:rPr>
          <w:fldChar w:fldCharType="end"/>
        </w:r>
      </w:hyperlink>
    </w:p>
    <w:p w14:paraId="2224C667" w14:textId="71C25412" w:rsidR="000F2F27" w:rsidRPr="003B40F8" w:rsidRDefault="005C788A">
      <w:pPr>
        <w:pStyle w:val="TableofFigures"/>
        <w:tabs>
          <w:tab w:val="right" w:leader="dot" w:pos="9906"/>
        </w:tabs>
        <w:rPr>
          <w:rStyle w:val="Hyperlink"/>
        </w:rPr>
      </w:pPr>
      <w:hyperlink w:anchor="_Toc514018091" w:history="1">
        <w:r w:rsidR="000F2F27" w:rsidRPr="00C43644">
          <w:rPr>
            <w:rStyle w:val="Hyperlink"/>
            <w:noProof/>
          </w:rPr>
          <w:t>Figure 4</w:t>
        </w:r>
        <w:r w:rsidR="000F2F27" w:rsidRPr="00C43644">
          <w:rPr>
            <w:rStyle w:val="Hyperlink"/>
            <w:noProof/>
          </w:rPr>
          <w:noBreakHyphen/>
          <w:t>1: Process for Part B Developing a Site Management Plan</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_Toc514018091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62</w:t>
        </w:r>
        <w:r w:rsidR="000F2F27" w:rsidRPr="003B40F8">
          <w:rPr>
            <w:rStyle w:val="Hyperlink"/>
            <w:webHidden/>
          </w:rPr>
          <w:fldChar w:fldCharType="end"/>
        </w:r>
      </w:hyperlink>
    </w:p>
    <w:p w14:paraId="77DC2AE4" w14:textId="0749F166" w:rsidR="000F2F27" w:rsidRPr="003B40F8" w:rsidRDefault="005C788A">
      <w:pPr>
        <w:pStyle w:val="TableofFigures"/>
        <w:tabs>
          <w:tab w:val="right" w:leader="dot" w:pos="9906"/>
        </w:tabs>
        <w:rPr>
          <w:rStyle w:val="Hyperlink"/>
        </w:rPr>
      </w:pPr>
      <w:hyperlink w:anchor="_Toc514018092" w:history="1">
        <w:r w:rsidR="000F2F27" w:rsidRPr="00C43644">
          <w:rPr>
            <w:rStyle w:val="Hyperlink"/>
            <w:noProof/>
          </w:rPr>
          <w:t>Figure 4</w:t>
        </w:r>
        <w:r w:rsidR="000F2F27" w:rsidRPr="00C43644">
          <w:rPr>
            <w:rStyle w:val="Hyperlink"/>
            <w:noProof/>
          </w:rPr>
          <w:noBreakHyphen/>
          <w:t>2: Inputs required for the prioritisation of management units and management options</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_Toc514018092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63</w:t>
        </w:r>
        <w:r w:rsidR="000F2F27" w:rsidRPr="003B40F8">
          <w:rPr>
            <w:rStyle w:val="Hyperlink"/>
            <w:webHidden/>
          </w:rPr>
          <w:fldChar w:fldCharType="end"/>
        </w:r>
      </w:hyperlink>
    </w:p>
    <w:p w14:paraId="546665FC" w14:textId="427004F4" w:rsidR="000F2F27" w:rsidRPr="003B40F8" w:rsidRDefault="005C788A">
      <w:pPr>
        <w:pStyle w:val="TableofFigures"/>
        <w:tabs>
          <w:tab w:val="right" w:leader="dot" w:pos="9906"/>
        </w:tabs>
        <w:rPr>
          <w:rStyle w:val="Hyperlink"/>
        </w:rPr>
      </w:pPr>
      <w:hyperlink w:anchor="_Toc514018093" w:history="1">
        <w:r w:rsidR="000F2F27" w:rsidRPr="00C43644">
          <w:rPr>
            <w:rStyle w:val="Hyperlink"/>
            <w:noProof/>
          </w:rPr>
          <w:t>Figure 4</w:t>
        </w:r>
        <w:r w:rsidR="000F2F27" w:rsidRPr="00C43644">
          <w:rPr>
            <w:rStyle w:val="Hyperlink"/>
            <w:noProof/>
          </w:rPr>
          <w:noBreakHyphen/>
          <w:t>3: Overview of Step 6: Prioritise Black Box management units and management options</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_Toc514018093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64</w:t>
        </w:r>
        <w:r w:rsidR="000F2F27" w:rsidRPr="003B40F8">
          <w:rPr>
            <w:rStyle w:val="Hyperlink"/>
            <w:webHidden/>
          </w:rPr>
          <w:fldChar w:fldCharType="end"/>
        </w:r>
      </w:hyperlink>
    </w:p>
    <w:p w14:paraId="776369CE" w14:textId="2B31AE96" w:rsidR="000F2F27" w:rsidRPr="003B40F8" w:rsidRDefault="005C788A">
      <w:pPr>
        <w:pStyle w:val="TableofFigures"/>
        <w:tabs>
          <w:tab w:val="right" w:leader="dot" w:pos="9906"/>
        </w:tabs>
        <w:rPr>
          <w:rStyle w:val="Hyperlink"/>
        </w:rPr>
      </w:pPr>
      <w:hyperlink w:anchor="_Toc514018094" w:history="1">
        <w:r w:rsidR="000F2F27" w:rsidRPr="00C43644">
          <w:rPr>
            <w:rStyle w:val="Hyperlink"/>
            <w:noProof/>
          </w:rPr>
          <w:t>Figure 5</w:t>
        </w:r>
        <w:r w:rsidR="000F2F27" w:rsidRPr="00C43644">
          <w:rPr>
            <w:rStyle w:val="Hyperlink"/>
            <w:noProof/>
          </w:rPr>
          <w:noBreakHyphen/>
          <w:t>1: Example of a floodplain scale (Chowilla/Calperum Floodplain)</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_Toc514018094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73</w:t>
        </w:r>
        <w:r w:rsidR="000F2F27" w:rsidRPr="003B40F8">
          <w:rPr>
            <w:rStyle w:val="Hyperlink"/>
            <w:webHidden/>
          </w:rPr>
          <w:fldChar w:fldCharType="end"/>
        </w:r>
      </w:hyperlink>
    </w:p>
    <w:p w14:paraId="3BDF0E4E" w14:textId="34B757ED" w:rsidR="000F2F27" w:rsidRPr="003B40F8" w:rsidRDefault="005C788A">
      <w:pPr>
        <w:pStyle w:val="TableofFigures"/>
        <w:tabs>
          <w:tab w:val="right" w:leader="dot" w:pos="9906"/>
        </w:tabs>
        <w:rPr>
          <w:rStyle w:val="Hyperlink"/>
        </w:rPr>
      </w:pPr>
      <w:hyperlink w:anchor="_Toc514018095" w:history="1">
        <w:r w:rsidR="000F2F27" w:rsidRPr="00C43644">
          <w:rPr>
            <w:rStyle w:val="Hyperlink"/>
            <w:noProof/>
          </w:rPr>
          <w:t>Figure 5</w:t>
        </w:r>
        <w:r w:rsidR="000F2F27" w:rsidRPr="00C43644">
          <w:rPr>
            <w:rStyle w:val="Hyperlink"/>
            <w:noProof/>
          </w:rPr>
          <w:noBreakHyphen/>
          <w:t>2: Example of a reach scale (River Murray from Lock 4 to Lock 8)</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_Toc514018095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74</w:t>
        </w:r>
        <w:r w:rsidR="000F2F27" w:rsidRPr="003B40F8">
          <w:rPr>
            <w:rStyle w:val="Hyperlink"/>
            <w:webHidden/>
          </w:rPr>
          <w:fldChar w:fldCharType="end"/>
        </w:r>
      </w:hyperlink>
    </w:p>
    <w:p w14:paraId="77349395" w14:textId="3CCECC9F" w:rsidR="000F2F27" w:rsidRPr="003B40F8" w:rsidRDefault="005C788A">
      <w:pPr>
        <w:pStyle w:val="TableofFigures"/>
        <w:tabs>
          <w:tab w:val="right" w:leader="dot" w:pos="9906"/>
        </w:tabs>
        <w:rPr>
          <w:rStyle w:val="Hyperlink"/>
        </w:rPr>
      </w:pPr>
      <w:hyperlink w:anchor="_Toc514018096" w:history="1">
        <w:r w:rsidR="000F2F27" w:rsidRPr="00C43644">
          <w:rPr>
            <w:rStyle w:val="Hyperlink"/>
            <w:noProof/>
          </w:rPr>
          <w:t>Figure 5</w:t>
        </w:r>
        <w:r w:rsidR="000F2F27" w:rsidRPr="00C43644">
          <w:rPr>
            <w:rStyle w:val="Hyperlink"/>
            <w:noProof/>
          </w:rPr>
          <w:noBreakHyphen/>
          <w:t>3: The Murray Darling Basin</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_Toc514018096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75</w:t>
        </w:r>
        <w:r w:rsidR="000F2F27" w:rsidRPr="003B40F8">
          <w:rPr>
            <w:rStyle w:val="Hyperlink"/>
            <w:webHidden/>
          </w:rPr>
          <w:fldChar w:fldCharType="end"/>
        </w:r>
      </w:hyperlink>
    </w:p>
    <w:p w14:paraId="370EC5BF" w14:textId="0DBBD7EF" w:rsidR="000F2F27" w:rsidRPr="003B40F8" w:rsidRDefault="005C788A">
      <w:pPr>
        <w:pStyle w:val="TableofFigures"/>
        <w:tabs>
          <w:tab w:val="right" w:leader="dot" w:pos="9906"/>
        </w:tabs>
        <w:rPr>
          <w:rStyle w:val="Hyperlink"/>
        </w:rPr>
      </w:pPr>
      <w:hyperlink w:anchor="_Toc514018097" w:history="1">
        <w:r w:rsidR="000F2F27" w:rsidRPr="00C43644">
          <w:rPr>
            <w:rStyle w:val="Hyperlink"/>
            <w:noProof/>
          </w:rPr>
          <w:t>Figure 5</w:t>
        </w:r>
        <w:r w:rsidR="000F2F27" w:rsidRPr="00C43644">
          <w:rPr>
            <w:rStyle w:val="Hyperlink"/>
            <w:noProof/>
          </w:rPr>
          <w:noBreakHyphen/>
          <w:t>4: Regional scale analysis: extent of River Murray RiM-FIM zones</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_Toc514018097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77</w:t>
        </w:r>
        <w:r w:rsidR="000F2F27" w:rsidRPr="003B40F8">
          <w:rPr>
            <w:rStyle w:val="Hyperlink"/>
            <w:webHidden/>
          </w:rPr>
          <w:fldChar w:fldCharType="end"/>
        </w:r>
      </w:hyperlink>
    </w:p>
    <w:p w14:paraId="4CC50BB9" w14:textId="31B9D997" w:rsidR="000F2F27" w:rsidRPr="003B40F8" w:rsidRDefault="005C788A">
      <w:pPr>
        <w:pStyle w:val="TableofFigures"/>
        <w:tabs>
          <w:tab w:val="right" w:leader="dot" w:pos="9906"/>
        </w:tabs>
        <w:rPr>
          <w:rStyle w:val="Hyperlink"/>
        </w:rPr>
      </w:pPr>
      <w:hyperlink w:anchor="_Toc514018098" w:history="1">
        <w:r w:rsidR="000F2F27" w:rsidRPr="00C43644">
          <w:rPr>
            <w:rStyle w:val="Hyperlink"/>
            <w:noProof/>
          </w:rPr>
          <w:t>Figure 5</w:t>
        </w:r>
        <w:r w:rsidR="000F2F27" w:rsidRPr="00C43644">
          <w:rPr>
            <w:rStyle w:val="Hyperlink"/>
            <w:noProof/>
          </w:rPr>
          <w:noBreakHyphen/>
          <w:t>5: Change in the inundated area of floodplain on the River Murray relative to increasing flows measured at the South Australian border (MDBA 2015)</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_Toc514018098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80</w:t>
        </w:r>
        <w:r w:rsidR="000F2F27" w:rsidRPr="003B40F8">
          <w:rPr>
            <w:rStyle w:val="Hyperlink"/>
            <w:webHidden/>
          </w:rPr>
          <w:fldChar w:fldCharType="end"/>
        </w:r>
      </w:hyperlink>
    </w:p>
    <w:p w14:paraId="3E5FA228" w14:textId="26D4FB8A" w:rsidR="000F2F27" w:rsidRPr="003B40F8" w:rsidRDefault="005C788A">
      <w:pPr>
        <w:pStyle w:val="TableofFigures"/>
        <w:tabs>
          <w:tab w:val="right" w:leader="dot" w:pos="9906"/>
        </w:tabs>
        <w:rPr>
          <w:rStyle w:val="Hyperlink"/>
        </w:rPr>
      </w:pPr>
      <w:hyperlink w:anchor="_Toc514018099" w:history="1">
        <w:r w:rsidR="000F2F27" w:rsidRPr="00C43644">
          <w:rPr>
            <w:rStyle w:val="Hyperlink"/>
            <w:noProof/>
          </w:rPr>
          <w:t>Figure 5</w:t>
        </w:r>
        <w:r w:rsidR="000F2F27" w:rsidRPr="00C43644">
          <w:rPr>
            <w:rStyle w:val="Hyperlink"/>
            <w:noProof/>
          </w:rPr>
          <w:noBreakHyphen/>
          <w:t>6: Percentage of time that a daily flow occurs at the South Australian border for three scenarios (natural, pre-basin Plan and Basin Plan).</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_Toc514018099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81</w:t>
        </w:r>
        <w:r w:rsidR="000F2F27" w:rsidRPr="003B40F8">
          <w:rPr>
            <w:rStyle w:val="Hyperlink"/>
            <w:webHidden/>
          </w:rPr>
          <w:fldChar w:fldCharType="end"/>
        </w:r>
      </w:hyperlink>
    </w:p>
    <w:p w14:paraId="75DCAC39" w14:textId="201FC2A1" w:rsidR="000F2F27" w:rsidRPr="003B40F8" w:rsidRDefault="005C788A">
      <w:pPr>
        <w:pStyle w:val="TableofFigures"/>
        <w:tabs>
          <w:tab w:val="right" w:leader="dot" w:pos="9906"/>
        </w:tabs>
        <w:rPr>
          <w:rStyle w:val="Hyperlink"/>
        </w:rPr>
      </w:pPr>
      <w:hyperlink w:anchor="_Toc514018100" w:history="1">
        <w:r w:rsidR="000F2F27" w:rsidRPr="00C43644">
          <w:rPr>
            <w:rStyle w:val="Hyperlink"/>
            <w:noProof/>
          </w:rPr>
          <w:t>Figure 5</w:t>
        </w:r>
        <w:r w:rsidR="000F2F27" w:rsidRPr="00C43644">
          <w:rPr>
            <w:rStyle w:val="Hyperlink"/>
            <w:noProof/>
          </w:rPr>
          <w:noBreakHyphen/>
          <w:t>7: The four categories of stress for Zone 13 for 80,000 ML/day flow at the South Australian border.</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_Toc514018100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87</w:t>
        </w:r>
        <w:r w:rsidR="000F2F27" w:rsidRPr="003B40F8">
          <w:rPr>
            <w:rStyle w:val="Hyperlink"/>
            <w:webHidden/>
          </w:rPr>
          <w:fldChar w:fldCharType="end"/>
        </w:r>
      </w:hyperlink>
    </w:p>
    <w:p w14:paraId="2DC802CA" w14:textId="3BA06F46" w:rsidR="000F2F27" w:rsidRDefault="005C788A">
      <w:pPr>
        <w:pStyle w:val="TableofFigures"/>
        <w:tabs>
          <w:tab w:val="right" w:leader="dot" w:pos="9906"/>
        </w:tabs>
        <w:rPr>
          <w:rFonts w:asciiTheme="minorHAnsi" w:hAnsiTheme="minorHAnsi"/>
          <w:noProof/>
          <w:sz w:val="22"/>
          <w:szCs w:val="22"/>
          <w:lang w:eastAsia="en-AU"/>
        </w:rPr>
      </w:pPr>
      <w:hyperlink w:anchor="_Toc514018101" w:history="1">
        <w:r w:rsidR="000F2F27" w:rsidRPr="003B40F8">
          <w:rPr>
            <w:rStyle w:val="Hyperlink"/>
            <w:noProof/>
          </w:rPr>
          <w:t>Figure 5</w:t>
        </w:r>
        <w:r w:rsidR="000F2F27" w:rsidRPr="003B40F8">
          <w:rPr>
            <w:rStyle w:val="Hyperlink"/>
            <w:noProof/>
          </w:rPr>
          <w:noBreakHyphen/>
          <w:t>8: Locality map for the Basin and Basin Plan regions</w:t>
        </w:r>
        <w:r w:rsidR="000F2F27" w:rsidRPr="003B40F8">
          <w:rPr>
            <w:rStyle w:val="Hyperlink"/>
            <w:webHidden/>
          </w:rPr>
          <w:tab/>
        </w:r>
        <w:r w:rsidR="000F2F27" w:rsidRPr="003B40F8">
          <w:rPr>
            <w:rStyle w:val="Hyperlink"/>
            <w:webHidden/>
          </w:rPr>
          <w:fldChar w:fldCharType="begin"/>
        </w:r>
        <w:r w:rsidR="000F2F27" w:rsidRPr="003B40F8">
          <w:rPr>
            <w:rStyle w:val="Hyperlink"/>
            <w:webHidden/>
          </w:rPr>
          <w:instrText xml:space="preserve"> PAGEREF _Toc514018101 \h </w:instrText>
        </w:r>
        <w:r w:rsidR="000F2F27" w:rsidRPr="003B40F8">
          <w:rPr>
            <w:rStyle w:val="Hyperlink"/>
            <w:webHidden/>
          </w:rPr>
        </w:r>
        <w:r w:rsidR="000F2F27" w:rsidRPr="003B40F8">
          <w:rPr>
            <w:rStyle w:val="Hyperlink"/>
            <w:webHidden/>
          </w:rPr>
          <w:fldChar w:fldCharType="separate"/>
        </w:r>
        <w:r w:rsidR="000F2F27" w:rsidRPr="003B40F8">
          <w:rPr>
            <w:rStyle w:val="Hyperlink"/>
            <w:webHidden/>
          </w:rPr>
          <w:t>89</w:t>
        </w:r>
        <w:r w:rsidR="000F2F27" w:rsidRPr="003B40F8">
          <w:rPr>
            <w:rStyle w:val="Hyperlink"/>
            <w:webHidden/>
          </w:rPr>
          <w:fldChar w:fldCharType="end"/>
        </w:r>
      </w:hyperlink>
    </w:p>
    <w:p w14:paraId="6D1FD16D" w14:textId="3E1DFF21" w:rsidR="000F2F27" w:rsidRDefault="005C788A">
      <w:pPr>
        <w:pStyle w:val="TableofFigures"/>
        <w:tabs>
          <w:tab w:val="right" w:leader="dot" w:pos="9906"/>
        </w:tabs>
        <w:rPr>
          <w:rFonts w:asciiTheme="minorHAnsi" w:hAnsiTheme="minorHAnsi"/>
          <w:noProof/>
          <w:sz w:val="22"/>
          <w:szCs w:val="22"/>
          <w:lang w:eastAsia="en-AU"/>
        </w:rPr>
      </w:pPr>
      <w:hyperlink w:anchor="_Toc514018102" w:history="1">
        <w:r w:rsidR="000F2F27" w:rsidRPr="00C43644">
          <w:rPr>
            <w:rStyle w:val="Hyperlink"/>
            <w:noProof/>
          </w:rPr>
          <w:t>Figure 5</w:t>
        </w:r>
        <w:r w:rsidR="000F2F27" w:rsidRPr="00C43644">
          <w:rPr>
            <w:rStyle w:val="Hyperlink"/>
            <w:noProof/>
          </w:rPr>
          <w:noBreakHyphen/>
          <w:t>9: Black Box extent and condition throughout the Basin</w:t>
        </w:r>
        <w:r w:rsidR="000F2F27">
          <w:rPr>
            <w:noProof/>
            <w:webHidden/>
          </w:rPr>
          <w:tab/>
        </w:r>
        <w:r w:rsidR="000F2F27">
          <w:rPr>
            <w:noProof/>
            <w:webHidden/>
          </w:rPr>
          <w:fldChar w:fldCharType="begin"/>
        </w:r>
        <w:r w:rsidR="000F2F27">
          <w:rPr>
            <w:noProof/>
            <w:webHidden/>
          </w:rPr>
          <w:instrText xml:space="preserve"> PAGEREF _Toc514018102 \h </w:instrText>
        </w:r>
        <w:r w:rsidR="000F2F27">
          <w:rPr>
            <w:noProof/>
            <w:webHidden/>
          </w:rPr>
        </w:r>
        <w:r w:rsidR="000F2F27">
          <w:rPr>
            <w:noProof/>
            <w:webHidden/>
          </w:rPr>
          <w:fldChar w:fldCharType="separate"/>
        </w:r>
        <w:r w:rsidR="000F2F27">
          <w:rPr>
            <w:noProof/>
            <w:webHidden/>
          </w:rPr>
          <w:t>92</w:t>
        </w:r>
        <w:r w:rsidR="000F2F27">
          <w:rPr>
            <w:noProof/>
            <w:webHidden/>
          </w:rPr>
          <w:fldChar w:fldCharType="end"/>
        </w:r>
      </w:hyperlink>
    </w:p>
    <w:p w14:paraId="78B23ED3" w14:textId="0114B393" w:rsidR="000F2F27" w:rsidRDefault="005C788A">
      <w:pPr>
        <w:pStyle w:val="TableofFigures"/>
        <w:tabs>
          <w:tab w:val="right" w:leader="dot" w:pos="9906"/>
        </w:tabs>
        <w:rPr>
          <w:rFonts w:asciiTheme="minorHAnsi" w:hAnsiTheme="minorHAnsi"/>
          <w:noProof/>
          <w:sz w:val="22"/>
          <w:szCs w:val="22"/>
          <w:lang w:eastAsia="en-AU"/>
        </w:rPr>
      </w:pPr>
      <w:hyperlink w:anchor="_Toc514018103" w:history="1">
        <w:r w:rsidR="000F2F27" w:rsidRPr="00C43644">
          <w:rPr>
            <w:rStyle w:val="Hyperlink"/>
            <w:noProof/>
          </w:rPr>
          <w:t>Figure 5</w:t>
        </w:r>
        <w:r w:rsidR="000F2F27" w:rsidRPr="00C43644">
          <w:rPr>
            <w:rStyle w:val="Hyperlink"/>
            <w:noProof/>
          </w:rPr>
          <w:noBreakHyphen/>
          <w:t>10: Flood frequency map: Basin Scale</w:t>
        </w:r>
        <w:r w:rsidR="000F2F27">
          <w:rPr>
            <w:noProof/>
            <w:webHidden/>
          </w:rPr>
          <w:tab/>
        </w:r>
        <w:r w:rsidR="000F2F27">
          <w:rPr>
            <w:noProof/>
            <w:webHidden/>
          </w:rPr>
          <w:fldChar w:fldCharType="begin"/>
        </w:r>
        <w:r w:rsidR="000F2F27">
          <w:rPr>
            <w:noProof/>
            <w:webHidden/>
          </w:rPr>
          <w:instrText xml:space="preserve"> PAGEREF _Toc514018103 \h </w:instrText>
        </w:r>
        <w:r w:rsidR="000F2F27">
          <w:rPr>
            <w:noProof/>
            <w:webHidden/>
          </w:rPr>
        </w:r>
        <w:r w:rsidR="000F2F27">
          <w:rPr>
            <w:noProof/>
            <w:webHidden/>
          </w:rPr>
          <w:fldChar w:fldCharType="separate"/>
        </w:r>
        <w:r w:rsidR="000F2F27">
          <w:rPr>
            <w:noProof/>
            <w:webHidden/>
          </w:rPr>
          <w:t>94</w:t>
        </w:r>
        <w:r w:rsidR="000F2F27">
          <w:rPr>
            <w:noProof/>
            <w:webHidden/>
          </w:rPr>
          <w:fldChar w:fldCharType="end"/>
        </w:r>
      </w:hyperlink>
    </w:p>
    <w:p w14:paraId="69212B25" w14:textId="671D65C0" w:rsidR="000F2F27" w:rsidRDefault="005C788A">
      <w:pPr>
        <w:pStyle w:val="TableofFigures"/>
        <w:tabs>
          <w:tab w:val="right" w:leader="dot" w:pos="9906"/>
        </w:tabs>
        <w:rPr>
          <w:rFonts w:asciiTheme="minorHAnsi" w:hAnsiTheme="minorHAnsi"/>
          <w:noProof/>
          <w:sz w:val="22"/>
          <w:szCs w:val="22"/>
          <w:lang w:eastAsia="en-AU"/>
        </w:rPr>
      </w:pPr>
      <w:hyperlink w:anchor="_Toc514018104" w:history="1">
        <w:r w:rsidR="000F2F27" w:rsidRPr="00C43644">
          <w:rPr>
            <w:rStyle w:val="Hyperlink"/>
            <w:noProof/>
          </w:rPr>
          <w:t>Figure 5</w:t>
        </w:r>
        <w:r w:rsidR="000F2F27" w:rsidRPr="00C43644">
          <w:rPr>
            <w:rStyle w:val="Hyperlink"/>
            <w:noProof/>
          </w:rPr>
          <w:noBreakHyphen/>
          <w:t>11: Frequency of inundation of Black Box: basin scale</w:t>
        </w:r>
        <w:r w:rsidR="000F2F27">
          <w:rPr>
            <w:noProof/>
            <w:webHidden/>
          </w:rPr>
          <w:tab/>
        </w:r>
        <w:r w:rsidR="000F2F27">
          <w:rPr>
            <w:noProof/>
            <w:webHidden/>
          </w:rPr>
          <w:fldChar w:fldCharType="begin"/>
        </w:r>
        <w:r w:rsidR="000F2F27">
          <w:rPr>
            <w:noProof/>
            <w:webHidden/>
          </w:rPr>
          <w:instrText xml:space="preserve"> PAGEREF _Toc514018104 \h </w:instrText>
        </w:r>
        <w:r w:rsidR="000F2F27">
          <w:rPr>
            <w:noProof/>
            <w:webHidden/>
          </w:rPr>
        </w:r>
        <w:r w:rsidR="000F2F27">
          <w:rPr>
            <w:noProof/>
            <w:webHidden/>
          </w:rPr>
          <w:fldChar w:fldCharType="separate"/>
        </w:r>
        <w:r w:rsidR="000F2F27">
          <w:rPr>
            <w:noProof/>
            <w:webHidden/>
          </w:rPr>
          <w:t>97</w:t>
        </w:r>
        <w:r w:rsidR="000F2F27">
          <w:rPr>
            <w:noProof/>
            <w:webHidden/>
          </w:rPr>
          <w:fldChar w:fldCharType="end"/>
        </w:r>
      </w:hyperlink>
    </w:p>
    <w:p w14:paraId="38812C71" w14:textId="058EF459" w:rsidR="000F2F27" w:rsidRDefault="005C788A">
      <w:pPr>
        <w:pStyle w:val="TableofFigures"/>
        <w:tabs>
          <w:tab w:val="right" w:leader="dot" w:pos="9906"/>
        </w:tabs>
        <w:rPr>
          <w:rFonts w:asciiTheme="minorHAnsi" w:hAnsiTheme="minorHAnsi"/>
          <w:noProof/>
          <w:sz w:val="22"/>
          <w:szCs w:val="22"/>
          <w:lang w:eastAsia="en-AU"/>
        </w:rPr>
      </w:pPr>
      <w:hyperlink w:anchor="_Toc514018105" w:history="1">
        <w:r w:rsidR="000F2F27" w:rsidRPr="00C43644">
          <w:rPr>
            <w:rStyle w:val="Hyperlink"/>
            <w:noProof/>
          </w:rPr>
          <w:t>Figure 5</w:t>
        </w:r>
        <w:r w:rsidR="000F2F27" w:rsidRPr="00C43644">
          <w:rPr>
            <w:rStyle w:val="Hyperlink"/>
            <w:noProof/>
          </w:rPr>
          <w:noBreakHyphen/>
          <w:t>12: Groundwater salinity: basin scale</w:t>
        </w:r>
        <w:r w:rsidR="000F2F27">
          <w:rPr>
            <w:noProof/>
            <w:webHidden/>
          </w:rPr>
          <w:tab/>
        </w:r>
        <w:r w:rsidR="000F2F27">
          <w:rPr>
            <w:noProof/>
            <w:webHidden/>
          </w:rPr>
          <w:fldChar w:fldCharType="begin"/>
        </w:r>
        <w:r w:rsidR="000F2F27">
          <w:rPr>
            <w:noProof/>
            <w:webHidden/>
          </w:rPr>
          <w:instrText xml:space="preserve"> PAGEREF _Toc514018105 \h </w:instrText>
        </w:r>
        <w:r w:rsidR="000F2F27">
          <w:rPr>
            <w:noProof/>
            <w:webHidden/>
          </w:rPr>
        </w:r>
        <w:r w:rsidR="000F2F27">
          <w:rPr>
            <w:noProof/>
            <w:webHidden/>
          </w:rPr>
          <w:fldChar w:fldCharType="separate"/>
        </w:r>
        <w:r w:rsidR="000F2F27">
          <w:rPr>
            <w:noProof/>
            <w:webHidden/>
          </w:rPr>
          <w:t>99</w:t>
        </w:r>
        <w:r w:rsidR="000F2F27">
          <w:rPr>
            <w:noProof/>
            <w:webHidden/>
          </w:rPr>
          <w:fldChar w:fldCharType="end"/>
        </w:r>
      </w:hyperlink>
    </w:p>
    <w:p w14:paraId="4E92CA82" w14:textId="09EA9236" w:rsidR="000F2F27" w:rsidRDefault="005C788A">
      <w:pPr>
        <w:pStyle w:val="TableofFigures"/>
        <w:tabs>
          <w:tab w:val="right" w:leader="dot" w:pos="9906"/>
        </w:tabs>
        <w:rPr>
          <w:rFonts w:asciiTheme="minorHAnsi" w:hAnsiTheme="minorHAnsi"/>
          <w:noProof/>
          <w:sz w:val="22"/>
          <w:szCs w:val="22"/>
          <w:lang w:eastAsia="en-AU"/>
        </w:rPr>
      </w:pPr>
      <w:hyperlink w:anchor="_Toc514018106" w:history="1">
        <w:r w:rsidR="000F2F27" w:rsidRPr="00C43644">
          <w:rPr>
            <w:rStyle w:val="Hyperlink"/>
            <w:noProof/>
          </w:rPr>
          <w:t>Figure 5</w:t>
        </w:r>
        <w:r w:rsidR="000F2F27" w:rsidRPr="00C43644">
          <w:rPr>
            <w:rStyle w:val="Hyperlink"/>
            <w:noProof/>
          </w:rPr>
          <w:noBreakHyphen/>
          <w:t>13: Groundwater salinity and Black Box: basin scale</w:t>
        </w:r>
        <w:r w:rsidR="000F2F27">
          <w:rPr>
            <w:noProof/>
            <w:webHidden/>
          </w:rPr>
          <w:tab/>
        </w:r>
        <w:r w:rsidR="000F2F27">
          <w:rPr>
            <w:noProof/>
            <w:webHidden/>
          </w:rPr>
          <w:fldChar w:fldCharType="begin"/>
        </w:r>
        <w:r w:rsidR="000F2F27">
          <w:rPr>
            <w:noProof/>
            <w:webHidden/>
          </w:rPr>
          <w:instrText xml:space="preserve"> PAGEREF _Toc514018106 \h </w:instrText>
        </w:r>
        <w:r w:rsidR="000F2F27">
          <w:rPr>
            <w:noProof/>
            <w:webHidden/>
          </w:rPr>
        </w:r>
        <w:r w:rsidR="000F2F27">
          <w:rPr>
            <w:noProof/>
            <w:webHidden/>
          </w:rPr>
          <w:fldChar w:fldCharType="separate"/>
        </w:r>
        <w:r w:rsidR="000F2F27">
          <w:rPr>
            <w:noProof/>
            <w:webHidden/>
          </w:rPr>
          <w:t>101</w:t>
        </w:r>
        <w:r w:rsidR="000F2F27">
          <w:rPr>
            <w:noProof/>
            <w:webHidden/>
          </w:rPr>
          <w:fldChar w:fldCharType="end"/>
        </w:r>
      </w:hyperlink>
    </w:p>
    <w:p w14:paraId="706FC6CC" w14:textId="3DB2D7A2" w:rsidR="000F2F27" w:rsidRDefault="005C788A">
      <w:pPr>
        <w:pStyle w:val="TableofFigures"/>
        <w:tabs>
          <w:tab w:val="right" w:leader="dot" w:pos="9906"/>
        </w:tabs>
        <w:rPr>
          <w:rFonts w:asciiTheme="minorHAnsi" w:hAnsiTheme="minorHAnsi"/>
          <w:noProof/>
          <w:sz w:val="22"/>
          <w:szCs w:val="22"/>
          <w:lang w:eastAsia="en-AU"/>
        </w:rPr>
      </w:pPr>
      <w:hyperlink w:anchor="_Toc514018107" w:history="1">
        <w:r w:rsidR="000F2F27" w:rsidRPr="00C43644">
          <w:rPr>
            <w:rStyle w:val="Hyperlink"/>
            <w:noProof/>
          </w:rPr>
          <w:t>Figure 5</w:t>
        </w:r>
        <w:r w:rsidR="000F2F27" w:rsidRPr="00C43644">
          <w:rPr>
            <w:rStyle w:val="Hyperlink"/>
            <w:noProof/>
          </w:rPr>
          <w:noBreakHyphen/>
          <w:t>14: Groundwater depth: basin scale</w:t>
        </w:r>
        <w:r w:rsidR="000F2F27">
          <w:rPr>
            <w:noProof/>
            <w:webHidden/>
          </w:rPr>
          <w:tab/>
        </w:r>
        <w:r w:rsidR="000F2F27">
          <w:rPr>
            <w:noProof/>
            <w:webHidden/>
          </w:rPr>
          <w:fldChar w:fldCharType="begin"/>
        </w:r>
        <w:r w:rsidR="000F2F27">
          <w:rPr>
            <w:noProof/>
            <w:webHidden/>
          </w:rPr>
          <w:instrText xml:space="preserve"> PAGEREF _Toc514018107 \h </w:instrText>
        </w:r>
        <w:r w:rsidR="000F2F27">
          <w:rPr>
            <w:noProof/>
            <w:webHidden/>
          </w:rPr>
        </w:r>
        <w:r w:rsidR="000F2F27">
          <w:rPr>
            <w:noProof/>
            <w:webHidden/>
          </w:rPr>
          <w:fldChar w:fldCharType="separate"/>
        </w:r>
        <w:r w:rsidR="000F2F27">
          <w:rPr>
            <w:noProof/>
            <w:webHidden/>
          </w:rPr>
          <w:t>103</w:t>
        </w:r>
        <w:r w:rsidR="000F2F27">
          <w:rPr>
            <w:noProof/>
            <w:webHidden/>
          </w:rPr>
          <w:fldChar w:fldCharType="end"/>
        </w:r>
      </w:hyperlink>
    </w:p>
    <w:p w14:paraId="0B2A7DB1" w14:textId="5C52AB62" w:rsidR="000F2F27" w:rsidRDefault="005C788A">
      <w:pPr>
        <w:pStyle w:val="TableofFigures"/>
        <w:tabs>
          <w:tab w:val="right" w:leader="dot" w:pos="9906"/>
        </w:tabs>
        <w:rPr>
          <w:rFonts w:asciiTheme="minorHAnsi" w:hAnsiTheme="minorHAnsi"/>
          <w:noProof/>
          <w:sz w:val="22"/>
          <w:szCs w:val="22"/>
          <w:lang w:eastAsia="en-AU"/>
        </w:rPr>
      </w:pPr>
      <w:hyperlink w:anchor="_Toc514018108" w:history="1">
        <w:r w:rsidR="000F2F27" w:rsidRPr="00C43644">
          <w:rPr>
            <w:rStyle w:val="Hyperlink"/>
            <w:noProof/>
          </w:rPr>
          <w:t>Figure 5</w:t>
        </w:r>
        <w:r w:rsidR="000F2F27" w:rsidRPr="00C43644">
          <w:rPr>
            <w:rStyle w:val="Hyperlink"/>
            <w:noProof/>
          </w:rPr>
          <w:noBreakHyphen/>
          <w:t>15: Groundwater depth and Black Box: basin scale</w:t>
        </w:r>
        <w:r w:rsidR="000F2F27">
          <w:rPr>
            <w:noProof/>
            <w:webHidden/>
          </w:rPr>
          <w:tab/>
        </w:r>
        <w:r w:rsidR="000F2F27">
          <w:rPr>
            <w:noProof/>
            <w:webHidden/>
          </w:rPr>
          <w:fldChar w:fldCharType="begin"/>
        </w:r>
        <w:r w:rsidR="000F2F27">
          <w:rPr>
            <w:noProof/>
            <w:webHidden/>
          </w:rPr>
          <w:instrText xml:space="preserve"> PAGEREF _Toc514018108 \h </w:instrText>
        </w:r>
        <w:r w:rsidR="000F2F27">
          <w:rPr>
            <w:noProof/>
            <w:webHidden/>
          </w:rPr>
        </w:r>
        <w:r w:rsidR="000F2F27">
          <w:rPr>
            <w:noProof/>
            <w:webHidden/>
          </w:rPr>
          <w:fldChar w:fldCharType="separate"/>
        </w:r>
        <w:r w:rsidR="000F2F27">
          <w:rPr>
            <w:noProof/>
            <w:webHidden/>
          </w:rPr>
          <w:t>105</w:t>
        </w:r>
        <w:r w:rsidR="000F2F27">
          <w:rPr>
            <w:noProof/>
            <w:webHidden/>
          </w:rPr>
          <w:fldChar w:fldCharType="end"/>
        </w:r>
      </w:hyperlink>
    </w:p>
    <w:p w14:paraId="7824B342" w14:textId="153732C3" w:rsidR="000F2F27" w:rsidRDefault="005C788A">
      <w:pPr>
        <w:pStyle w:val="TableofFigures"/>
        <w:tabs>
          <w:tab w:val="right" w:leader="dot" w:pos="9906"/>
        </w:tabs>
        <w:rPr>
          <w:rFonts w:asciiTheme="minorHAnsi" w:hAnsiTheme="minorHAnsi"/>
          <w:noProof/>
          <w:sz w:val="22"/>
          <w:szCs w:val="22"/>
          <w:lang w:eastAsia="en-AU"/>
        </w:rPr>
      </w:pPr>
      <w:hyperlink w:anchor="_Toc514018109" w:history="1">
        <w:r w:rsidR="000F2F27" w:rsidRPr="00C43644">
          <w:rPr>
            <w:rStyle w:val="Hyperlink"/>
            <w:noProof/>
          </w:rPr>
          <w:t>Figure 5</w:t>
        </w:r>
        <w:r w:rsidR="000F2F27" w:rsidRPr="00C43644">
          <w:rPr>
            <w:rStyle w:val="Hyperlink"/>
            <w:noProof/>
          </w:rPr>
          <w:noBreakHyphen/>
          <w:t>16:  Components of the vulnerability assessment for Basin scale.</w:t>
        </w:r>
        <w:r w:rsidR="000F2F27">
          <w:rPr>
            <w:noProof/>
            <w:webHidden/>
          </w:rPr>
          <w:tab/>
        </w:r>
        <w:r w:rsidR="000F2F27">
          <w:rPr>
            <w:noProof/>
            <w:webHidden/>
          </w:rPr>
          <w:fldChar w:fldCharType="begin"/>
        </w:r>
        <w:r w:rsidR="000F2F27">
          <w:rPr>
            <w:noProof/>
            <w:webHidden/>
          </w:rPr>
          <w:instrText xml:space="preserve"> PAGEREF _Toc514018109 \h </w:instrText>
        </w:r>
        <w:r w:rsidR="000F2F27">
          <w:rPr>
            <w:noProof/>
            <w:webHidden/>
          </w:rPr>
        </w:r>
        <w:r w:rsidR="000F2F27">
          <w:rPr>
            <w:noProof/>
            <w:webHidden/>
          </w:rPr>
          <w:fldChar w:fldCharType="separate"/>
        </w:r>
        <w:r w:rsidR="000F2F27">
          <w:rPr>
            <w:noProof/>
            <w:webHidden/>
          </w:rPr>
          <w:t>106</w:t>
        </w:r>
        <w:r w:rsidR="000F2F27">
          <w:rPr>
            <w:noProof/>
            <w:webHidden/>
          </w:rPr>
          <w:fldChar w:fldCharType="end"/>
        </w:r>
      </w:hyperlink>
    </w:p>
    <w:p w14:paraId="32FDE184" w14:textId="3ADE7C31" w:rsidR="000F2F27" w:rsidRDefault="005C788A">
      <w:pPr>
        <w:pStyle w:val="TableofFigures"/>
        <w:tabs>
          <w:tab w:val="right" w:leader="dot" w:pos="9906"/>
        </w:tabs>
        <w:rPr>
          <w:rFonts w:asciiTheme="minorHAnsi" w:hAnsiTheme="minorHAnsi"/>
          <w:noProof/>
          <w:sz w:val="22"/>
          <w:szCs w:val="22"/>
          <w:lang w:eastAsia="en-AU"/>
        </w:rPr>
      </w:pPr>
      <w:hyperlink w:anchor="_Toc514018110" w:history="1">
        <w:r w:rsidR="000F2F27" w:rsidRPr="00C43644">
          <w:rPr>
            <w:rStyle w:val="Hyperlink"/>
            <w:noProof/>
          </w:rPr>
          <w:t>Figure 5</w:t>
        </w:r>
        <w:r w:rsidR="000F2F27" w:rsidRPr="00C43644">
          <w:rPr>
            <w:rStyle w:val="Hyperlink"/>
            <w:noProof/>
          </w:rPr>
          <w:noBreakHyphen/>
          <w:t>17: Vulnerability of Black Box: basin scale</w:t>
        </w:r>
        <w:r w:rsidR="000F2F27">
          <w:rPr>
            <w:noProof/>
            <w:webHidden/>
          </w:rPr>
          <w:tab/>
        </w:r>
        <w:r w:rsidR="000F2F27">
          <w:rPr>
            <w:noProof/>
            <w:webHidden/>
          </w:rPr>
          <w:fldChar w:fldCharType="begin"/>
        </w:r>
        <w:r w:rsidR="000F2F27">
          <w:rPr>
            <w:noProof/>
            <w:webHidden/>
          </w:rPr>
          <w:instrText xml:space="preserve"> PAGEREF _Toc514018110 \h </w:instrText>
        </w:r>
        <w:r w:rsidR="000F2F27">
          <w:rPr>
            <w:noProof/>
            <w:webHidden/>
          </w:rPr>
        </w:r>
        <w:r w:rsidR="000F2F27">
          <w:rPr>
            <w:noProof/>
            <w:webHidden/>
          </w:rPr>
          <w:fldChar w:fldCharType="separate"/>
        </w:r>
        <w:r w:rsidR="000F2F27">
          <w:rPr>
            <w:noProof/>
            <w:webHidden/>
          </w:rPr>
          <w:t>108</w:t>
        </w:r>
        <w:r w:rsidR="000F2F27">
          <w:rPr>
            <w:noProof/>
            <w:webHidden/>
          </w:rPr>
          <w:fldChar w:fldCharType="end"/>
        </w:r>
      </w:hyperlink>
    </w:p>
    <w:p w14:paraId="50C14637" w14:textId="52AB4B18" w:rsidR="000F2F27" w:rsidRDefault="005C788A">
      <w:pPr>
        <w:pStyle w:val="TableofFigures"/>
        <w:tabs>
          <w:tab w:val="right" w:leader="dot" w:pos="9906"/>
        </w:tabs>
        <w:rPr>
          <w:rFonts w:asciiTheme="minorHAnsi" w:hAnsiTheme="minorHAnsi"/>
          <w:noProof/>
          <w:sz w:val="22"/>
          <w:szCs w:val="22"/>
          <w:lang w:eastAsia="en-AU"/>
        </w:rPr>
      </w:pPr>
      <w:hyperlink w:anchor="_Toc514018111" w:history="1">
        <w:r w:rsidR="000F2F27" w:rsidRPr="00C43644">
          <w:rPr>
            <w:rStyle w:val="Hyperlink"/>
            <w:noProof/>
          </w:rPr>
          <w:t>Figure 5</w:t>
        </w:r>
        <w:r w:rsidR="000F2F27" w:rsidRPr="00C43644">
          <w:rPr>
            <w:rStyle w:val="Hyperlink"/>
            <w:noProof/>
          </w:rPr>
          <w:noBreakHyphen/>
          <w:t xml:space="preserve">18: Flood change map for the Murray-Darling Basin under historical, current and future modelled climate scenarios for a 1 in 10 year flood regime (Overton </w:t>
        </w:r>
        <w:r w:rsidR="000F2F27" w:rsidRPr="00C43644">
          <w:rPr>
            <w:rStyle w:val="Hyperlink"/>
            <w:i/>
            <w:noProof/>
          </w:rPr>
          <w:t>et al.</w:t>
        </w:r>
        <w:r w:rsidR="000F2F27" w:rsidRPr="00C43644">
          <w:rPr>
            <w:rStyle w:val="Hyperlink"/>
            <w:noProof/>
          </w:rPr>
          <w:t>, 2009).</w:t>
        </w:r>
        <w:r w:rsidR="000F2F27">
          <w:rPr>
            <w:noProof/>
            <w:webHidden/>
          </w:rPr>
          <w:tab/>
        </w:r>
        <w:r w:rsidR="000F2F27">
          <w:rPr>
            <w:noProof/>
            <w:webHidden/>
          </w:rPr>
          <w:fldChar w:fldCharType="begin"/>
        </w:r>
        <w:r w:rsidR="000F2F27">
          <w:rPr>
            <w:noProof/>
            <w:webHidden/>
          </w:rPr>
          <w:instrText xml:space="preserve"> PAGEREF _Toc514018111 \h </w:instrText>
        </w:r>
        <w:r w:rsidR="000F2F27">
          <w:rPr>
            <w:noProof/>
            <w:webHidden/>
          </w:rPr>
        </w:r>
        <w:r w:rsidR="000F2F27">
          <w:rPr>
            <w:noProof/>
            <w:webHidden/>
          </w:rPr>
          <w:fldChar w:fldCharType="separate"/>
        </w:r>
        <w:r w:rsidR="000F2F27">
          <w:rPr>
            <w:noProof/>
            <w:webHidden/>
          </w:rPr>
          <w:t>110</w:t>
        </w:r>
        <w:r w:rsidR="000F2F27">
          <w:rPr>
            <w:noProof/>
            <w:webHidden/>
          </w:rPr>
          <w:fldChar w:fldCharType="end"/>
        </w:r>
      </w:hyperlink>
    </w:p>
    <w:p w14:paraId="21AF8DD7" w14:textId="62B7CD19" w:rsidR="000F2F27" w:rsidRDefault="005C788A">
      <w:pPr>
        <w:pStyle w:val="TableofFigures"/>
        <w:tabs>
          <w:tab w:val="right" w:leader="dot" w:pos="9906"/>
        </w:tabs>
        <w:rPr>
          <w:rFonts w:asciiTheme="minorHAnsi" w:hAnsiTheme="minorHAnsi"/>
          <w:noProof/>
          <w:sz w:val="22"/>
          <w:szCs w:val="22"/>
          <w:lang w:eastAsia="en-AU"/>
        </w:rPr>
      </w:pPr>
      <w:hyperlink w:anchor="_Toc514018112" w:history="1">
        <w:r w:rsidR="000F2F27" w:rsidRPr="00C43644">
          <w:rPr>
            <w:rStyle w:val="Hyperlink"/>
            <w:noProof/>
          </w:rPr>
          <w:t>Figure 5</w:t>
        </w:r>
        <w:r w:rsidR="000F2F27" w:rsidRPr="00C43644">
          <w:rPr>
            <w:rStyle w:val="Hyperlink"/>
            <w:noProof/>
          </w:rPr>
          <w:noBreakHyphen/>
          <w:t>19: Black Box Management Framework – Prioritising Investments</w:t>
        </w:r>
        <w:r w:rsidR="000F2F27">
          <w:rPr>
            <w:noProof/>
            <w:webHidden/>
          </w:rPr>
          <w:tab/>
        </w:r>
        <w:r w:rsidR="000F2F27">
          <w:rPr>
            <w:noProof/>
            <w:webHidden/>
          </w:rPr>
          <w:fldChar w:fldCharType="begin"/>
        </w:r>
        <w:r w:rsidR="000F2F27">
          <w:rPr>
            <w:noProof/>
            <w:webHidden/>
          </w:rPr>
          <w:instrText xml:space="preserve"> PAGEREF _Toc514018112 \h </w:instrText>
        </w:r>
        <w:r w:rsidR="000F2F27">
          <w:rPr>
            <w:noProof/>
            <w:webHidden/>
          </w:rPr>
        </w:r>
        <w:r w:rsidR="000F2F27">
          <w:rPr>
            <w:noProof/>
            <w:webHidden/>
          </w:rPr>
          <w:fldChar w:fldCharType="separate"/>
        </w:r>
        <w:r w:rsidR="000F2F27">
          <w:rPr>
            <w:noProof/>
            <w:webHidden/>
          </w:rPr>
          <w:t>112</w:t>
        </w:r>
        <w:r w:rsidR="000F2F27">
          <w:rPr>
            <w:noProof/>
            <w:webHidden/>
          </w:rPr>
          <w:fldChar w:fldCharType="end"/>
        </w:r>
      </w:hyperlink>
    </w:p>
    <w:p w14:paraId="66E12D1F" w14:textId="43DCF858" w:rsidR="000F2F27" w:rsidRDefault="005C788A">
      <w:pPr>
        <w:pStyle w:val="TableofFigures"/>
        <w:tabs>
          <w:tab w:val="right" w:leader="dot" w:pos="9906"/>
        </w:tabs>
        <w:rPr>
          <w:rFonts w:asciiTheme="minorHAnsi" w:hAnsiTheme="minorHAnsi"/>
          <w:noProof/>
          <w:sz w:val="22"/>
          <w:szCs w:val="22"/>
          <w:lang w:eastAsia="en-AU"/>
        </w:rPr>
      </w:pPr>
      <w:hyperlink w:anchor="_Toc514018113" w:history="1">
        <w:r w:rsidR="000F2F27" w:rsidRPr="00C43644">
          <w:rPr>
            <w:rStyle w:val="Hyperlink"/>
            <w:noProof/>
          </w:rPr>
          <w:t>Figure 7</w:t>
        </w:r>
        <w:r w:rsidR="000F2F27" w:rsidRPr="00C43644">
          <w:rPr>
            <w:rStyle w:val="Hyperlink"/>
            <w:noProof/>
          </w:rPr>
          <w:noBreakHyphen/>
          <w:t>1: Black Box condition assessment. Top left: C1 Good - &gt;75% original canopy; Top right: C2 Medium – 75-40% original canopy and/or strong epicormic growth; Bottom left: C3 Poor - &lt;40% original canopy and/or small amount of epicormic growth; Bottom right: C4 Dead.</w:t>
        </w:r>
        <w:r w:rsidR="000F2F27">
          <w:rPr>
            <w:noProof/>
            <w:webHidden/>
          </w:rPr>
          <w:tab/>
        </w:r>
        <w:r w:rsidR="000F2F27">
          <w:rPr>
            <w:noProof/>
            <w:webHidden/>
          </w:rPr>
          <w:fldChar w:fldCharType="begin"/>
        </w:r>
        <w:r w:rsidR="000F2F27">
          <w:rPr>
            <w:noProof/>
            <w:webHidden/>
          </w:rPr>
          <w:instrText xml:space="preserve"> PAGEREF _Toc514018113 \h </w:instrText>
        </w:r>
        <w:r w:rsidR="000F2F27">
          <w:rPr>
            <w:noProof/>
            <w:webHidden/>
          </w:rPr>
        </w:r>
        <w:r w:rsidR="000F2F27">
          <w:rPr>
            <w:noProof/>
            <w:webHidden/>
          </w:rPr>
          <w:fldChar w:fldCharType="separate"/>
        </w:r>
        <w:r w:rsidR="000F2F27">
          <w:rPr>
            <w:noProof/>
            <w:webHidden/>
          </w:rPr>
          <w:t>128</w:t>
        </w:r>
        <w:r w:rsidR="000F2F27">
          <w:rPr>
            <w:noProof/>
            <w:webHidden/>
          </w:rPr>
          <w:fldChar w:fldCharType="end"/>
        </w:r>
      </w:hyperlink>
    </w:p>
    <w:p w14:paraId="678CEB0E" w14:textId="0F9FFD58" w:rsidR="000F2F27" w:rsidRDefault="005C788A">
      <w:pPr>
        <w:pStyle w:val="TableofFigures"/>
        <w:tabs>
          <w:tab w:val="right" w:leader="dot" w:pos="9906"/>
        </w:tabs>
        <w:rPr>
          <w:rFonts w:asciiTheme="minorHAnsi" w:hAnsiTheme="minorHAnsi"/>
          <w:noProof/>
          <w:sz w:val="22"/>
          <w:szCs w:val="22"/>
          <w:lang w:eastAsia="en-AU"/>
        </w:rPr>
      </w:pPr>
      <w:hyperlink w:anchor="_Toc514018114" w:history="1">
        <w:r w:rsidR="000F2F27" w:rsidRPr="00C43644">
          <w:rPr>
            <w:rStyle w:val="Hyperlink"/>
            <w:noProof/>
          </w:rPr>
          <w:t>Figure 7</w:t>
        </w:r>
        <w:r w:rsidR="000F2F27" w:rsidRPr="00C43644">
          <w:rPr>
            <w:rStyle w:val="Hyperlink"/>
            <w:noProof/>
          </w:rPr>
          <w:noBreakHyphen/>
          <w:t>2: Examples of Black Box growth Form</w:t>
        </w:r>
        <w:r w:rsidR="000F2F27">
          <w:rPr>
            <w:noProof/>
            <w:webHidden/>
          </w:rPr>
          <w:tab/>
        </w:r>
        <w:r w:rsidR="000F2F27">
          <w:rPr>
            <w:noProof/>
            <w:webHidden/>
          </w:rPr>
          <w:fldChar w:fldCharType="begin"/>
        </w:r>
        <w:r w:rsidR="000F2F27">
          <w:rPr>
            <w:noProof/>
            <w:webHidden/>
          </w:rPr>
          <w:instrText xml:space="preserve"> PAGEREF _Toc514018114 \h </w:instrText>
        </w:r>
        <w:r w:rsidR="000F2F27">
          <w:rPr>
            <w:noProof/>
            <w:webHidden/>
          </w:rPr>
        </w:r>
        <w:r w:rsidR="000F2F27">
          <w:rPr>
            <w:noProof/>
            <w:webHidden/>
          </w:rPr>
          <w:fldChar w:fldCharType="separate"/>
        </w:r>
        <w:r w:rsidR="000F2F27">
          <w:rPr>
            <w:noProof/>
            <w:webHidden/>
          </w:rPr>
          <w:t>129</w:t>
        </w:r>
        <w:r w:rsidR="000F2F27">
          <w:rPr>
            <w:noProof/>
            <w:webHidden/>
          </w:rPr>
          <w:fldChar w:fldCharType="end"/>
        </w:r>
      </w:hyperlink>
    </w:p>
    <w:p w14:paraId="24226E66" w14:textId="05BD4439" w:rsidR="000F2F27" w:rsidRDefault="005C788A">
      <w:pPr>
        <w:pStyle w:val="TableofFigures"/>
        <w:tabs>
          <w:tab w:val="right" w:leader="dot" w:pos="9906"/>
        </w:tabs>
        <w:rPr>
          <w:rFonts w:asciiTheme="minorHAnsi" w:hAnsiTheme="minorHAnsi"/>
          <w:noProof/>
          <w:sz w:val="22"/>
          <w:szCs w:val="22"/>
          <w:lang w:eastAsia="en-AU"/>
        </w:rPr>
      </w:pPr>
      <w:hyperlink w:anchor="_Toc514018115" w:history="1">
        <w:r w:rsidR="000F2F27" w:rsidRPr="00C43644">
          <w:rPr>
            <w:rStyle w:val="Hyperlink"/>
            <w:noProof/>
          </w:rPr>
          <w:t>Figure 7</w:t>
        </w:r>
        <w:r w:rsidR="000F2F27" w:rsidRPr="00C43644">
          <w:rPr>
            <w:rStyle w:val="Hyperlink"/>
            <w:noProof/>
          </w:rPr>
          <w:noBreakHyphen/>
          <w:t>3: Examples of Black Box unit density with aerial imagery</w:t>
        </w:r>
        <w:r w:rsidR="000F2F27">
          <w:rPr>
            <w:noProof/>
            <w:webHidden/>
          </w:rPr>
          <w:tab/>
        </w:r>
        <w:r w:rsidR="000F2F27">
          <w:rPr>
            <w:noProof/>
            <w:webHidden/>
          </w:rPr>
          <w:fldChar w:fldCharType="begin"/>
        </w:r>
        <w:r w:rsidR="000F2F27">
          <w:rPr>
            <w:noProof/>
            <w:webHidden/>
          </w:rPr>
          <w:instrText xml:space="preserve"> PAGEREF _Toc514018115 \h </w:instrText>
        </w:r>
        <w:r w:rsidR="000F2F27">
          <w:rPr>
            <w:noProof/>
            <w:webHidden/>
          </w:rPr>
        </w:r>
        <w:r w:rsidR="000F2F27">
          <w:rPr>
            <w:noProof/>
            <w:webHidden/>
          </w:rPr>
          <w:fldChar w:fldCharType="separate"/>
        </w:r>
        <w:r w:rsidR="000F2F27">
          <w:rPr>
            <w:noProof/>
            <w:webHidden/>
          </w:rPr>
          <w:t>130</w:t>
        </w:r>
        <w:r w:rsidR="000F2F27">
          <w:rPr>
            <w:noProof/>
            <w:webHidden/>
          </w:rPr>
          <w:fldChar w:fldCharType="end"/>
        </w:r>
      </w:hyperlink>
    </w:p>
    <w:p w14:paraId="57F211A0" w14:textId="4F22E09B" w:rsidR="000F2F27" w:rsidRDefault="005C788A">
      <w:pPr>
        <w:pStyle w:val="TableofFigures"/>
        <w:tabs>
          <w:tab w:val="right" w:leader="dot" w:pos="9906"/>
        </w:tabs>
        <w:rPr>
          <w:rFonts w:asciiTheme="minorHAnsi" w:hAnsiTheme="minorHAnsi"/>
          <w:noProof/>
          <w:sz w:val="22"/>
          <w:szCs w:val="22"/>
          <w:lang w:eastAsia="en-AU"/>
        </w:rPr>
      </w:pPr>
      <w:hyperlink w:anchor="_Toc514018116" w:history="1">
        <w:r w:rsidR="000F2F27" w:rsidRPr="00C43644">
          <w:rPr>
            <w:rStyle w:val="Hyperlink"/>
            <w:noProof/>
          </w:rPr>
          <w:t>Figure 7</w:t>
        </w:r>
        <w:r w:rsidR="000F2F27" w:rsidRPr="00C43644">
          <w:rPr>
            <w:rStyle w:val="Hyperlink"/>
            <w:noProof/>
          </w:rPr>
          <w:noBreakHyphen/>
          <w:t xml:space="preserve">4: TLM indicators of Black Box condition (Souter </w:t>
        </w:r>
        <w:r w:rsidR="000F2F27" w:rsidRPr="00C43644">
          <w:rPr>
            <w:rStyle w:val="Hyperlink"/>
            <w:i/>
            <w:noProof/>
          </w:rPr>
          <w:t>et al.,</w:t>
        </w:r>
        <w:r w:rsidR="000F2F27" w:rsidRPr="00C43644">
          <w:rPr>
            <w:rStyle w:val="Hyperlink"/>
            <w:noProof/>
          </w:rPr>
          <w:t xml:space="preserve"> 2010)</w:t>
        </w:r>
        <w:r w:rsidR="000F2F27">
          <w:rPr>
            <w:noProof/>
            <w:webHidden/>
          </w:rPr>
          <w:tab/>
        </w:r>
        <w:r w:rsidR="000F2F27">
          <w:rPr>
            <w:noProof/>
            <w:webHidden/>
          </w:rPr>
          <w:fldChar w:fldCharType="begin"/>
        </w:r>
        <w:r w:rsidR="000F2F27">
          <w:rPr>
            <w:noProof/>
            <w:webHidden/>
          </w:rPr>
          <w:instrText xml:space="preserve"> PAGEREF _Toc514018116 \h </w:instrText>
        </w:r>
        <w:r w:rsidR="000F2F27">
          <w:rPr>
            <w:noProof/>
            <w:webHidden/>
          </w:rPr>
        </w:r>
        <w:r w:rsidR="000F2F27">
          <w:rPr>
            <w:noProof/>
            <w:webHidden/>
          </w:rPr>
          <w:fldChar w:fldCharType="separate"/>
        </w:r>
        <w:r w:rsidR="000F2F27">
          <w:rPr>
            <w:noProof/>
            <w:webHidden/>
          </w:rPr>
          <w:t>132</w:t>
        </w:r>
        <w:r w:rsidR="000F2F27">
          <w:rPr>
            <w:noProof/>
            <w:webHidden/>
          </w:rPr>
          <w:fldChar w:fldCharType="end"/>
        </w:r>
      </w:hyperlink>
    </w:p>
    <w:p w14:paraId="7C9B0768" w14:textId="784AD5BB" w:rsidR="000F2F27" w:rsidRDefault="005C788A">
      <w:pPr>
        <w:pStyle w:val="TableofFigures"/>
        <w:tabs>
          <w:tab w:val="right" w:leader="dot" w:pos="9906"/>
        </w:tabs>
        <w:rPr>
          <w:rFonts w:asciiTheme="minorHAnsi" w:hAnsiTheme="minorHAnsi"/>
          <w:noProof/>
          <w:sz w:val="22"/>
          <w:szCs w:val="22"/>
          <w:lang w:eastAsia="en-AU"/>
        </w:rPr>
      </w:pPr>
      <w:hyperlink w:anchor="_Toc514018117" w:history="1">
        <w:r w:rsidR="000F2F27" w:rsidRPr="00C43644">
          <w:rPr>
            <w:rStyle w:val="Hyperlink"/>
            <w:noProof/>
          </w:rPr>
          <w:t>Figure 7</w:t>
        </w:r>
        <w:r w:rsidR="000F2F27" w:rsidRPr="00C43644">
          <w:rPr>
            <w:rStyle w:val="Hyperlink"/>
            <w:noProof/>
          </w:rPr>
          <w:noBreakHyphen/>
          <w:t>5: TLM measures as indicators and their relationship to analysis and reporting</w:t>
        </w:r>
        <w:r w:rsidR="000F2F27">
          <w:rPr>
            <w:noProof/>
            <w:webHidden/>
          </w:rPr>
          <w:tab/>
        </w:r>
        <w:r w:rsidR="000F2F27">
          <w:rPr>
            <w:noProof/>
            <w:webHidden/>
          </w:rPr>
          <w:fldChar w:fldCharType="begin"/>
        </w:r>
        <w:r w:rsidR="000F2F27">
          <w:rPr>
            <w:noProof/>
            <w:webHidden/>
          </w:rPr>
          <w:instrText xml:space="preserve"> PAGEREF _Toc514018117 \h </w:instrText>
        </w:r>
        <w:r w:rsidR="000F2F27">
          <w:rPr>
            <w:noProof/>
            <w:webHidden/>
          </w:rPr>
        </w:r>
        <w:r w:rsidR="000F2F27">
          <w:rPr>
            <w:noProof/>
            <w:webHidden/>
          </w:rPr>
          <w:fldChar w:fldCharType="separate"/>
        </w:r>
        <w:r w:rsidR="000F2F27">
          <w:rPr>
            <w:noProof/>
            <w:webHidden/>
          </w:rPr>
          <w:t>133</w:t>
        </w:r>
        <w:r w:rsidR="000F2F27">
          <w:rPr>
            <w:noProof/>
            <w:webHidden/>
          </w:rPr>
          <w:fldChar w:fldCharType="end"/>
        </w:r>
      </w:hyperlink>
    </w:p>
    <w:p w14:paraId="62780A47" w14:textId="5CD62CD7" w:rsidR="000F2F27" w:rsidRDefault="005C788A">
      <w:pPr>
        <w:pStyle w:val="TableofFigures"/>
        <w:tabs>
          <w:tab w:val="right" w:leader="dot" w:pos="9906"/>
        </w:tabs>
        <w:rPr>
          <w:rFonts w:asciiTheme="minorHAnsi" w:hAnsiTheme="minorHAnsi"/>
          <w:noProof/>
          <w:sz w:val="22"/>
          <w:szCs w:val="22"/>
          <w:lang w:eastAsia="en-AU"/>
        </w:rPr>
      </w:pPr>
      <w:hyperlink w:anchor="_Toc514018118" w:history="1">
        <w:r w:rsidR="000F2F27" w:rsidRPr="00C43644">
          <w:rPr>
            <w:rStyle w:val="Hyperlink"/>
            <w:noProof/>
          </w:rPr>
          <w:t>Figure 7</w:t>
        </w:r>
        <w:r w:rsidR="000F2F27" w:rsidRPr="00C43644">
          <w:rPr>
            <w:rStyle w:val="Hyperlink"/>
            <w:noProof/>
          </w:rPr>
          <w:noBreakHyphen/>
          <w:t>6: Example MCA output</w:t>
        </w:r>
        <w:r w:rsidR="000F2F27">
          <w:rPr>
            <w:noProof/>
            <w:webHidden/>
          </w:rPr>
          <w:tab/>
        </w:r>
        <w:r w:rsidR="000F2F27">
          <w:rPr>
            <w:noProof/>
            <w:webHidden/>
          </w:rPr>
          <w:fldChar w:fldCharType="begin"/>
        </w:r>
        <w:r w:rsidR="000F2F27">
          <w:rPr>
            <w:noProof/>
            <w:webHidden/>
          </w:rPr>
          <w:instrText xml:space="preserve"> PAGEREF _Toc514018118 \h </w:instrText>
        </w:r>
        <w:r w:rsidR="000F2F27">
          <w:rPr>
            <w:noProof/>
            <w:webHidden/>
          </w:rPr>
        </w:r>
        <w:r w:rsidR="000F2F27">
          <w:rPr>
            <w:noProof/>
            <w:webHidden/>
          </w:rPr>
          <w:fldChar w:fldCharType="separate"/>
        </w:r>
        <w:r w:rsidR="000F2F27">
          <w:rPr>
            <w:noProof/>
            <w:webHidden/>
          </w:rPr>
          <w:t>142</w:t>
        </w:r>
        <w:r w:rsidR="000F2F27">
          <w:rPr>
            <w:noProof/>
            <w:webHidden/>
          </w:rPr>
          <w:fldChar w:fldCharType="end"/>
        </w:r>
      </w:hyperlink>
    </w:p>
    <w:p w14:paraId="322F3C68" w14:textId="6C908628" w:rsidR="000F2F27" w:rsidRDefault="005C788A">
      <w:pPr>
        <w:pStyle w:val="TableofFigures"/>
        <w:tabs>
          <w:tab w:val="right" w:leader="dot" w:pos="9906"/>
        </w:tabs>
        <w:rPr>
          <w:rFonts w:asciiTheme="minorHAnsi" w:hAnsiTheme="minorHAnsi"/>
          <w:noProof/>
          <w:sz w:val="22"/>
          <w:szCs w:val="22"/>
          <w:lang w:eastAsia="en-AU"/>
        </w:rPr>
      </w:pPr>
      <w:hyperlink w:anchor="_Toc514018119" w:history="1">
        <w:r w:rsidR="000F2F27" w:rsidRPr="00C43644">
          <w:rPr>
            <w:rStyle w:val="Hyperlink"/>
            <w:noProof/>
          </w:rPr>
          <w:t>Figure 7</w:t>
        </w:r>
        <w:r w:rsidR="000F2F27" w:rsidRPr="00C43644">
          <w:rPr>
            <w:rStyle w:val="Hyperlink"/>
            <w:noProof/>
          </w:rPr>
          <w:noBreakHyphen/>
          <w:t>7: Black Box condition map: Darling</w:t>
        </w:r>
        <w:r w:rsidR="000F2F27">
          <w:rPr>
            <w:noProof/>
            <w:webHidden/>
          </w:rPr>
          <w:tab/>
        </w:r>
        <w:r w:rsidR="000F2F27">
          <w:rPr>
            <w:noProof/>
            <w:webHidden/>
          </w:rPr>
          <w:fldChar w:fldCharType="begin"/>
        </w:r>
        <w:r w:rsidR="000F2F27">
          <w:rPr>
            <w:noProof/>
            <w:webHidden/>
          </w:rPr>
          <w:instrText xml:space="preserve"> PAGEREF _Toc514018119 \h </w:instrText>
        </w:r>
        <w:r w:rsidR="000F2F27">
          <w:rPr>
            <w:noProof/>
            <w:webHidden/>
          </w:rPr>
        </w:r>
        <w:r w:rsidR="000F2F27">
          <w:rPr>
            <w:noProof/>
            <w:webHidden/>
          </w:rPr>
          <w:fldChar w:fldCharType="separate"/>
        </w:r>
        <w:r w:rsidR="000F2F27">
          <w:rPr>
            <w:noProof/>
            <w:webHidden/>
          </w:rPr>
          <w:t>153</w:t>
        </w:r>
        <w:r w:rsidR="000F2F27">
          <w:rPr>
            <w:noProof/>
            <w:webHidden/>
          </w:rPr>
          <w:fldChar w:fldCharType="end"/>
        </w:r>
      </w:hyperlink>
    </w:p>
    <w:p w14:paraId="592D29DC" w14:textId="5142ED8C" w:rsidR="000F2F27" w:rsidRDefault="005C788A">
      <w:pPr>
        <w:pStyle w:val="TableofFigures"/>
        <w:tabs>
          <w:tab w:val="right" w:leader="dot" w:pos="9906"/>
        </w:tabs>
        <w:rPr>
          <w:rFonts w:asciiTheme="minorHAnsi" w:hAnsiTheme="minorHAnsi"/>
          <w:noProof/>
          <w:sz w:val="22"/>
          <w:szCs w:val="22"/>
          <w:lang w:eastAsia="en-AU"/>
        </w:rPr>
      </w:pPr>
      <w:hyperlink w:anchor="_Toc514018120" w:history="1">
        <w:r w:rsidR="000F2F27" w:rsidRPr="00C43644">
          <w:rPr>
            <w:rStyle w:val="Hyperlink"/>
            <w:noProof/>
          </w:rPr>
          <w:t>Figure 7</w:t>
        </w:r>
        <w:r w:rsidR="000F2F27" w:rsidRPr="00C43644">
          <w:rPr>
            <w:rStyle w:val="Hyperlink"/>
            <w:noProof/>
          </w:rPr>
          <w:noBreakHyphen/>
          <w:t>8: Black Box condition map: Murray</w:t>
        </w:r>
        <w:r w:rsidR="000F2F27">
          <w:rPr>
            <w:noProof/>
            <w:webHidden/>
          </w:rPr>
          <w:tab/>
        </w:r>
        <w:r w:rsidR="000F2F27">
          <w:rPr>
            <w:noProof/>
            <w:webHidden/>
          </w:rPr>
          <w:fldChar w:fldCharType="begin"/>
        </w:r>
        <w:r w:rsidR="000F2F27">
          <w:rPr>
            <w:noProof/>
            <w:webHidden/>
          </w:rPr>
          <w:instrText xml:space="preserve"> PAGEREF _Toc514018120 \h </w:instrText>
        </w:r>
        <w:r w:rsidR="000F2F27">
          <w:rPr>
            <w:noProof/>
            <w:webHidden/>
          </w:rPr>
        </w:r>
        <w:r w:rsidR="000F2F27">
          <w:rPr>
            <w:noProof/>
            <w:webHidden/>
          </w:rPr>
          <w:fldChar w:fldCharType="separate"/>
        </w:r>
        <w:r w:rsidR="000F2F27">
          <w:rPr>
            <w:noProof/>
            <w:webHidden/>
          </w:rPr>
          <w:t>154</w:t>
        </w:r>
        <w:r w:rsidR="000F2F27">
          <w:rPr>
            <w:noProof/>
            <w:webHidden/>
          </w:rPr>
          <w:fldChar w:fldCharType="end"/>
        </w:r>
      </w:hyperlink>
    </w:p>
    <w:p w14:paraId="34ABD316" w14:textId="4D2E5E6D" w:rsidR="000F2F27" w:rsidRDefault="005C788A">
      <w:pPr>
        <w:pStyle w:val="TableofFigures"/>
        <w:tabs>
          <w:tab w:val="right" w:leader="dot" w:pos="9906"/>
        </w:tabs>
        <w:rPr>
          <w:rFonts w:asciiTheme="minorHAnsi" w:hAnsiTheme="minorHAnsi"/>
          <w:noProof/>
          <w:sz w:val="22"/>
          <w:szCs w:val="22"/>
          <w:lang w:eastAsia="en-AU"/>
        </w:rPr>
      </w:pPr>
      <w:hyperlink w:anchor="_Toc514018121" w:history="1">
        <w:r w:rsidR="000F2F27" w:rsidRPr="00C43644">
          <w:rPr>
            <w:rStyle w:val="Hyperlink"/>
            <w:noProof/>
          </w:rPr>
          <w:t>Figure 7</w:t>
        </w:r>
        <w:r w:rsidR="000F2F27" w:rsidRPr="00C43644">
          <w:rPr>
            <w:rStyle w:val="Hyperlink"/>
            <w:noProof/>
          </w:rPr>
          <w:noBreakHyphen/>
          <w:t>9: Flood frequency map: Darling</w:t>
        </w:r>
        <w:r w:rsidR="000F2F27">
          <w:rPr>
            <w:noProof/>
            <w:webHidden/>
          </w:rPr>
          <w:tab/>
        </w:r>
        <w:r w:rsidR="000F2F27">
          <w:rPr>
            <w:noProof/>
            <w:webHidden/>
          </w:rPr>
          <w:fldChar w:fldCharType="begin"/>
        </w:r>
        <w:r w:rsidR="000F2F27">
          <w:rPr>
            <w:noProof/>
            <w:webHidden/>
          </w:rPr>
          <w:instrText xml:space="preserve"> PAGEREF _Toc514018121 \h </w:instrText>
        </w:r>
        <w:r w:rsidR="000F2F27">
          <w:rPr>
            <w:noProof/>
            <w:webHidden/>
          </w:rPr>
        </w:r>
        <w:r w:rsidR="000F2F27">
          <w:rPr>
            <w:noProof/>
            <w:webHidden/>
          </w:rPr>
          <w:fldChar w:fldCharType="separate"/>
        </w:r>
        <w:r w:rsidR="000F2F27">
          <w:rPr>
            <w:noProof/>
            <w:webHidden/>
          </w:rPr>
          <w:t>155</w:t>
        </w:r>
        <w:r w:rsidR="000F2F27">
          <w:rPr>
            <w:noProof/>
            <w:webHidden/>
          </w:rPr>
          <w:fldChar w:fldCharType="end"/>
        </w:r>
      </w:hyperlink>
    </w:p>
    <w:p w14:paraId="3ECDB7A0" w14:textId="67D0791D" w:rsidR="000F2F27" w:rsidRDefault="005C788A">
      <w:pPr>
        <w:pStyle w:val="TableofFigures"/>
        <w:tabs>
          <w:tab w:val="right" w:leader="dot" w:pos="9906"/>
        </w:tabs>
        <w:rPr>
          <w:rFonts w:asciiTheme="minorHAnsi" w:hAnsiTheme="minorHAnsi"/>
          <w:noProof/>
          <w:sz w:val="22"/>
          <w:szCs w:val="22"/>
          <w:lang w:eastAsia="en-AU"/>
        </w:rPr>
      </w:pPr>
      <w:hyperlink w:anchor="_Toc514018122" w:history="1">
        <w:r w:rsidR="000F2F27" w:rsidRPr="00C43644">
          <w:rPr>
            <w:rStyle w:val="Hyperlink"/>
            <w:noProof/>
          </w:rPr>
          <w:t>Figure 7</w:t>
        </w:r>
        <w:r w:rsidR="000F2F27" w:rsidRPr="00C43644">
          <w:rPr>
            <w:rStyle w:val="Hyperlink"/>
            <w:noProof/>
          </w:rPr>
          <w:noBreakHyphen/>
          <w:t>10: Flood frequency map: Murray</w:t>
        </w:r>
        <w:r w:rsidR="000F2F27">
          <w:rPr>
            <w:noProof/>
            <w:webHidden/>
          </w:rPr>
          <w:tab/>
        </w:r>
        <w:r w:rsidR="000F2F27">
          <w:rPr>
            <w:noProof/>
            <w:webHidden/>
          </w:rPr>
          <w:fldChar w:fldCharType="begin"/>
        </w:r>
        <w:r w:rsidR="000F2F27">
          <w:rPr>
            <w:noProof/>
            <w:webHidden/>
          </w:rPr>
          <w:instrText xml:space="preserve"> PAGEREF _Toc514018122 \h </w:instrText>
        </w:r>
        <w:r w:rsidR="000F2F27">
          <w:rPr>
            <w:noProof/>
            <w:webHidden/>
          </w:rPr>
        </w:r>
        <w:r w:rsidR="000F2F27">
          <w:rPr>
            <w:noProof/>
            <w:webHidden/>
          </w:rPr>
          <w:fldChar w:fldCharType="separate"/>
        </w:r>
        <w:r w:rsidR="000F2F27">
          <w:rPr>
            <w:noProof/>
            <w:webHidden/>
          </w:rPr>
          <w:t>156</w:t>
        </w:r>
        <w:r w:rsidR="000F2F27">
          <w:rPr>
            <w:noProof/>
            <w:webHidden/>
          </w:rPr>
          <w:fldChar w:fldCharType="end"/>
        </w:r>
      </w:hyperlink>
    </w:p>
    <w:p w14:paraId="750A5DA6" w14:textId="27858F34" w:rsidR="000F2F27" w:rsidRDefault="005C788A">
      <w:pPr>
        <w:pStyle w:val="TableofFigures"/>
        <w:tabs>
          <w:tab w:val="right" w:leader="dot" w:pos="9906"/>
        </w:tabs>
        <w:rPr>
          <w:rFonts w:asciiTheme="minorHAnsi" w:hAnsiTheme="minorHAnsi"/>
          <w:noProof/>
          <w:sz w:val="22"/>
          <w:szCs w:val="22"/>
          <w:lang w:eastAsia="en-AU"/>
        </w:rPr>
      </w:pPr>
      <w:hyperlink w:anchor="_Toc514018123" w:history="1">
        <w:r w:rsidR="000F2F27" w:rsidRPr="00C43644">
          <w:rPr>
            <w:rStyle w:val="Hyperlink"/>
            <w:noProof/>
          </w:rPr>
          <w:t>Figure 7</w:t>
        </w:r>
        <w:r w:rsidR="000F2F27" w:rsidRPr="00C43644">
          <w:rPr>
            <w:rStyle w:val="Hyperlink"/>
            <w:noProof/>
          </w:rPr>
          <w:noBreakHyphen/>
          <w:t>11: Frequency of inundation of Black Box: Darling</w:t>
        </w:r>
        <w:r w:rsidR="000F2F27">
          <w:rPr>
            <w:noProof/>
            <w:webHidden/>
          </w:rPr>
          <w:tab/>
        </w:r>
        <w:r w:rsidR="000F2F27">
          <w:rPr>
            <w:noProof/>
            <w:webHidden/>
          </w:rPr>
          <w:fldChar w:fldCharType="begin"/>
        </w:r>
        <w:r w:rsidR="000F2F27">
          <w:rPr>
            <w:noProof/>
            <w:webHidden/>
          </w:rPr>
          <w:instrText xml:space="preserve"> PAGEREF _Toc514018123 \h </w:instrText>
        </w:r>
        <w:r w:rsidR="000F2F27">
          <w:rPr>
            <w:noProof/>
            <w:webHidden/>
          </w:rPr>
        </w:r>
        <w:r w:rsidR="000F2F27">
          <w:rPr>
            <w:noProof/>
            <w:webHidden/>
          </w:rPr>
          <w:fldChar w:fldCharType="separate"/>
        </w:r>
        <w:r w:rsidR="000F2F27">
          <w:rPr>
            <w:noProof/>
            <w:webHidden/>
          </w:rPr>
          <w:t>157</w:t>
        </w:r>
        <w:r w:rsidR="000F2F27">
          <w:rPr>
            <w:noProof/>
            <w:webHidden/>
          </w:rPr>
          <w:fldChar w:fldCharType="end"/>
        </w:r>
      </w:hyperlink>
    </w:p>
    <w:p w14:paraId="29B7920E" w14:textId="70CAC2E0" w:rsidR="000F2F27" w:rsidRDefault="005C788A">
      <w:pPr>
        <w:pStyle w:val="TableofFigures"/>
        <w:tabs>
          <w:tab w:val="right" w:leader="dot" w:pos="9906"/>
        </w:tabs>
        <w:rPr>
          <w:rFonts w:asciiTheme="minorHAnsi" w:hAnsiTheme="minorHAnsi"/>
          <w:noProof/>
          <w:sz w:val="22"/>
          <w:szCs w:val="22"/>
          <w:lang w:eastAsia="en-AU"/>
        </w:rPr>
      </w:pPr>
      <w:hyperlink w:anchor="_Toc514018124" w:history="1">
        <w:r w:rsidR="000F2F27" w:rsidRPr="00C43644">
          <w:rPr>
            <w:rStyle w:val="Hyperlink"/>
            <w:noProof/>
          </w:rPr>
          <w:t>Figure 7</w:t>
        </w:r>
        <w:r w:rsidR="000F2F27" w:rsidRPr="00C43644">
          <w:rPr>
            <w:rStyle w:val="Hyperlink"/>
            <w:noProof/>
          </w:rPr>
          <w:noBreakHyphen/>
          <w:t>12: Frequency of inundation of Black Box: Murray</w:t>
        </w:r>
        <w:r w:rsidR="000F2F27">
          <w:rPr>
            <w:noProof/>
            <w:webHidden/>
          </w:rPr>
          <w:tab/>
        </w:r>
        <w:r w:rsidR="000F2F27">
          <w:rPr>
            <w:noProof/>
            <w:webHidden/>
          </w:rPr>
          <w:fldChar w:fldCharType="begin"/>
        </w:r>
        <w:r w:rsidR="000F2F27">
          <w:rPr>
            <w:noProof/>
            <w:webHidden/>
          </w:rPr>
          <w:instrText xml:space="preserve"> PAGEREF _Toc514018124 \h </w:instrText>
        </w:r>
        <w:r w:rsidR="000F2F27">
          <w:rPr>
            <w:noProof/>
            <w:webHidden/>
          </w:rPr>
        </w:r>
        <w:r w:rsidR="000F2F27">
          <w:rPr>
            <w:noProof/>
            <w:webHidden/>
          </w:rPr>
          <w:fldChar w:fldCharType="separate"/>
        </w:r>
        <w:r w:rsidR="000F2F27">
          <w:rPr>
            <w:noProof/>
            <w:webHidden/>
          </w:rPr>
          <w:t>158</w:t>
        </w:r>
        <w:r w:rsidR="000F2F27">
          <w:rPr>
            <w:noProof/>
            <w:webHidden/>
          </w:rPr>
          <w:fldChar w:fldCharType="end"/>
        </w:r>
      </w:hyperlink>
    </w:p>
    <w:p w14:paraId="026AFA88" w14:textId="74209296" w:rsidR="000F2F27" w:rsidRDefault="005C788A">
      <w:pPr>
        <w:pStyle w:val="TableofFigures"/>
        <w:tabs>
          <w:tab w:val="right" w:leader="dot" w:pos="9906"/>
        </w:tabs>
        <w:rPr>
          <w:rFonts w:asciiTheme="minorHAnsi" w:hAnsiTheme="minorHAnsi"/>
          <w:noProof/>
          <w:sz w:val="22"/>
          <w:szCs w:val="22"/>
          <w:lang w:eastAsia="en-AU"/>
        </w:rPr>
      </w:pPr>
      <w:hyperlink w:anchor="_Toc514018125" w:history="1">
        <w:r w:rsidR="000F2F27" w:rsidRPr="00C43644">
          <w:rPr>
            <w:rStyle w:val="Hyperlink"/>
            <w:noProof/>
          </w:rPr>
          <w:t>Figure 7</w:t>
        </w:r>
        <w:r w:rsidR="000F2F27" w:rsidRPr="00C43644">
          <w:rPr>
            <w:rStyle w:val="Hyperlink"/>
            <w:noProof/>
          </w:rPr>
          <w:noBreakHyphen/>
          <w:t>13: Groundwater salinity: Darling</w:t>
        </w:r>
        <w:r w:rsidR="000F2F27">
          <w:rPr>
            <w:noProof/>
            <w:webHidden/>
          </w:rPr>
          <w:tab/>
        </w:r>
        <w:r w:rsidR="000F2F27">
          <w:rPr>
            <w:noProof/>
            <w:webHidden/>
          </w:rPr>
          <w:fldChar w:fldCharType="begin"/>
        </w:r>
        <w:r w:rsidR="000F2F27">
          <w:rPr>
            <w:noProof/>
            <w:webHidden/>
          </w:rPr>
          <w:instrText xml:space="preserve"> PAGEREF _Toc514018125 \h </w:instrText>
        </w:r>
        <w:r w:rsidR="000F2F27">
          <w:rPr>
            <w:noProof/>
            <w:webHidden/>
          </w:rPr>
        </w:r>
        <w:r w:rsidR="000F2F27">
          <w:rPr>
            <w:noProof/>
            <w:webHidden/>
          </w:rPr>
          <w:fldChar w:fldCharType="separate"/>
        </w:r>
        <w:r w:rsidR="000F2F27">
          <w:rPr>
            <w:noProof/>
            <w:webHidden/>
          </w:rPr>
          <w:t>159</w:t>
        </w:r>
        <w:r w:rsidR="000F2F27">
          <w:rPr>
            <w:noProof/>
            <w:webHidden/>
          </w:rPr>
          <w:fldChar w:fldCharType="end"/>
        </w:r>
      </w:hyperlink>
    </w:p>
    <w:p w14:paraId="5D19E5E8" w14:textId="7B80615D" w:rsidR="000F2F27" w:rsidRDefault="005C788A">
      <w:pPr>
        <w:pStyle w:val="TableofFigures"/>
        <w:tabs>
          <w:tab w:val="right" w:leader="dot" w:pos="9906"/>
        </w:tabs>
        <w:rPr>
          <w:rFonts w:asciiTheme="minorHAnsi" w:hAnsiTheme="minorHAnsi"/>
          <w:noProof/>
          <w:sz w:val="22"/>
          <w:szCs w:val="22"/>
          <w:lang w:eastAsia="en-AU"/>
        </w:rPr>
      </w:pPr>
      <w:hyperlink w:anchor="_Toc514018126" w:history="1">
        <w:r w:rsidR="000F2F27" w:rsidRPr="00C43644">
          <w:rPr>
            <w:rStyle w:val="Hyperlink"/>
            <w:noProof/>
          </w:rPr>
          <w:t>Figure 7</w:t>
        </w:r>
        <w:r w:rsidR="000F2F27" w:rsidRPr="00C43644">
          <w:rPr>
            <w:rStyle w:val="Hyperlink"/>
            <w:noProof/>
          </w:rPr>
          <w:noBreakHyphen/>
          <w:t>14: Groundwater salinity: Murray</w:t>
        </w:r>
        <w:r w:rsidR="000F2F27">
          <w:rPr>
            <w:noProof/>
            <w:webHidden/>
          </w:rPr>
          <w:tab/>
        </w:r>
        <w:r w:rsidR="000F2F27">
          <w:rPr>
            <w:noProof/>
            <w:webHidden/>
          </w:rPr>
          <w:fldChar w:fldCharType="begin"/>
        </w:r>
        <w:r w:rsidR="000F2F27">
          <w:rPr>
            <w:noProof/>
            <w:webHidden/>
          </w:rPr>
          <w:instrText xml:space="preserve"> PAGEREF _Toc514018126 \h </w:instrText>
        </w:r>
        <w:r w:rsidR="000F2F27">
          <w:rPr>
            <w:noProof/>
            <w:webHidden/>
          </w:rPr>
        </w:r>
        <w:r w:rsidR="000F2F27">
          <w:rPr>
            <w:noProof/>
            <w:webHidden/>
          </w:rPr>
          <w:fldChar w:fldCharType="separate"/>
        </w:r>
        <w:r w:rsidR="000F2F27">
          <w:rPr>
            <w:noProof/>
            <w:webHidden/>
          </w:rPr>
          <w:t>160</w:t>
        </w:r>
        <w:r w:rsidR="000F2F27">
          <w:rPr>
            <w:noProof/>
            <w:webHidden/>
          </w:rPr>
          <w:fldChar w:fldCharType="end"/>
        </w:r>
      </w:hyperlink>
    </w:p>
    <w:p w14:paraId="4595DF75" w14:textId="6770DA2E" w:rsidR="000F2F27" w:rsidRDefault="005C788A">
      <w:pPr>
        <w:pStyle w:val="TableofFigures"/>
        <w:tabs>
          <w:tab w:val="right" w:leader="dot" w:pos="9906"/>
        </w:tabs>
        <w:rPr>
          <w:rFonts w:asciiTheme="minorHAnsi" w:hAnsiTheme="minorHAnsi"/>
          <w:noProof/>
          <w:sz w:val="22"/>
          <w:szCs w:val="22"/>
          <w:lang w:eastAsia="en-AU"/>
        </w:rPr>
      </w:pPr>
      <w:hyperlink w:anchor="_Toc514018127" w:history="1">
        <w:r w:rsidR="000F2F27" w:rsidRPr="00C43644">
          <w:rPr>
            <w:rStyle w:val="Hyperlink"/>
            <w:noProof/>
          </w:rPr>
          <w:t>Figure 7</w:t>
        </w:r>
        <w:r w:rsidR="000F2F27" w:rsidRPr="00C43644">
          <w:rPr>
            <w:rStyle w:val="Hyperlink"/>
            <w:noProof/>
          </w:rPr>
          <w:noBreakHyphen/>
          <w:t>15: Groundwater salinity and Black Box: Darling</w:t>
        </w:r>
        <w:r w:rsidR="000F2F27">
          <w:rPr>
            <w:noProof/>
            <w:webHidden/>
          </w:rPr>
          <w:tab/>
        </w:r>
        <w:r w:rsidR="000F2F27">
          <w:rPr>
            <w:noProof/>
            <w:webHidden/>
          </w:rPr>
          <w:fldChar w:fldCharType="begin"/>
        </w:r>
        <w:r w:rsidR="000F2F27">
          <w:rPr>
            <w:noProof/>
            <w:webHidden/>
          </w:rPr>
          <w:instrText xml:space="preserve"> PAGEREF _Toc514018127 \h </w:instrText>
        </w:r>
        <w:r w:rsidR="000F2F27">
          <w:rPr>
            <w:noProof/>
            <w:webHidden/>
          </w:rPr>
        </w:r>
        <w:r w:rsidR="000F2F27">
          <w:rPr>
            <w:noProof/>
            <w:webHidden/>
          </w:rPr>
          <w:fldChar w:fldCharType="separate"/>
        </w:r>
        <w:r w:rsidR="000F2F27">
          <w:rPr>
            <w:noProof/>
            <w:webHidden/>
          </w:rPr>
          <w:t>161</w:t>
        </w:r>
        <w:r w:rsidR="000F2F27">
          <w:rPr>
            <w:noProof/>
            <w:webHidden/>
          </w:rPr>
          <w:fldChar w:fldCharType="end"/>
        </w:r>
      </w:hyperlink>
    </w:p>
    <w:p w14:paraId="21AA64BF" w14:textId="44C134DF" w:rsidR="000F2F27" w:rsidRDefault="005C788A">
      <w:pPr>
        <w:pStyle w:val="TableofFigures"/>
        <w:tabs>
          <w:tab w:val="right" w:leader="dot" w:pos="9906"/>
        </w:tabs>
        <w:rPr>
          <w:rFonts w:asciiTheme="minorHAnsi" w:hAnsiTheme="minorHAnsi"/>
          <w:noProof/>
          <w:sz w:val="22"/>
          <w:szCs w:val="22"/>
          <w:lang w:eastAsia="en-AU"/>
        </w:rPr>
      </w:pPr>
      <w:hyperlink w:anchor="_Toc514018128" w:history="1">
        <w:r w:rsidR="000F2F27" w:rsidRPr="00C43644">
          <w:rPr>
            <w:rStyle w:val="Hyperlink"/>
            <w:noProof/>
          </w:rPr>
          <w:t>Figure 7</w:t>
        </w:r>
        <w:r w:rsidR="000F2F27" w:rsidRPr="00C43644">
          <w:rPr>
            <w:rStyle w:val="Hyperlink"/>
            <w:noProof/>
          </w:rPr>
          <w:noBreakHyphen/>
          <w:t>16: Groundwater salinity and Black Box: Murray</w:t>
        </w:r>
        <w:r w:rsidR="000F2F27">
          <w:rPr>
            <w:noProof/>
            <w:webHidden/>
          </w:rPr>
          <w:tab/>
        </w:r>
        <w:r w:rsidR="000F2F27">
          <w:rPr>
            <w:noProof/>
            <w:webHidden/>
          </w:rPr>
          <w:fldChar w:fldCharType="begin"/>
        </w:r>
        <w:r w:rsidR="000F2F27">
          <w:rPr>
            <w:noProof/>
            <w:webHidden/>
          </w:rPr>
          <w:instrText xml:space="preserve"> PAGEREF _Toc514018128 \h </w:instrText>
        </w:r>
        <w:r w:rsidR="000F2F27">
          <w:rPr>
            <w:noProof/>
            <w:webHidden/>
          </w:rPr>
        </w:r>
        <w:r w:rsidR="000F2F27">
          <w:rPr>
            <w:noProof/>
            <w:webHidden/>
          </w:rPr>
          <w:fldChar w:fldCharType="separate"/>
        </w:r>
        <w:r w:rsidR="000F2F27">
          <w:rPr>
            <w:noProof/>
            <w:webHidden/>
          </w:rPr>
          <w:t>162</w:t>
        </w:r>
        <w:r w:rsidR="000F2F27">
          <w:rPr>
            <w:noProof/>
            <w:webHidden/>
          </w:rPr>
          <w:fldChar w:fldCharType="end"/>
        </w:r>
      </w:hyperlink>
    </w:p>
    <w:p w14:paraId="20E7B3AD" w14:textId="0013B46C" w:rsidR="000F2F27" w:rsidRDefault="005C788A">
      <w:pPr>
        <w:pStyle w:val="TableofFigures"/>
        <w:tabs>
          <w:tab w:val="right" w:leader="dot" w:pos="9906"/>
        </w:tabs>
        <w:rPr>
          <w:rFonts w:asciiTheme="minorHAnsi" w:hAnsiTheme="minorHAnsi"/>
          <w:noProof/>
          <w:sz w:val="22"/>
          <w:szCs w:val="22"/>
          <w:lang w:eastAsia="en-AU"/>
        </w:rPr>
      </w:pPr>
      <w:hyperlink w:anchor="_Toc514018129" w:history="1">
        <w:r w:rsidR="000F2F27" w:rsidRPr="00C43644">
          <w:rPr>
            <w:rStyle w:val="Hyperlink"/>
            <w:noProof/>
          </w:rPr>
          <w:t>Figure 7</w:t>
        </w:r>
        <w:r w:rsidR="000F2F27" w:rsidRPr="00C43644">
          <w:rPr>
            <w:rStyle w:val="Hyperlink"/>
            <w:noProof/>
          </w:rPr>
          <w:noBreakHyphen/>
          <w:t>17: Groundwater depth: Darling</w:t>
        </w:r>
        <w:r w:rsidR="000F2F27">
          <w:rPr>
            <w:noProof/>
            <w:webHidden/>
          </w:rPr>
          <w:tab/>
        </w:r>
        <w:r w:rsidR="000F2F27">
          <w:rPr>
            <w:noProof/>
            <w:webHidden/>
          </w:rPr>
          <w:fldChar w:fldCharType="begin"/>
        </w:r>
        <w:r w:rsidR="000F2F27">
          <w:rPr>
            <w:noProof/>
            <w:webHidden/>
          </w:rPr>
          <w:instrText xml:space="preserve"> PAGEREF _Toc514018129 \h </w:instrText>
        </w:r>
        <w:r w:rsidR="000F2F27">
          <w:rPr>
            <w:noProof/>
            <w:webHidden/>
          </w:rPr>
        </w:r>
        <w:r w:rsidR="000F2F27">
          <w:rPr>
            <w:noProof/>
            <w:webHidden/>
          </w:rPr>
          <w:fldChar w:fldCharType="separate"/>
        </w:r>
        <w:r w:rsidR="000F2F27">
          <w:rPr>
            <w:noProof/>
            <w:webHidden/>
          </w:rPr>
          <w:t>163</w:t>
        </w:r>
        <w:r w:rsidR="000F2F27">
          <w:rPr>
            <w:noProof/>
            <w:webHidden/>
          </w:rPr>
          <w:fldChar w:fldCharType="end"/>
        </w:r>
      </w:hyperlink>
    </w:p>
    <w:p w14:paraId="73E4C7D7" w14:textId="3DD6BFA5" w:rsidR="000F2F27" w:rsidRDefault="005C788A">
      <w:pPr>
        <w:pStyle w:val="TableofFigures"/>
        <w:tabs>
          <w:tab w:val="right" w:leader="dot" w:pos="9906"/>
        </w:tabs>
        <w:rPr>
          <w:rFonts w:asciiTheme="minorHAnsi" w:hAnsiTheme="minorHAnsi"/>
          <w:noProof/>
          <w:sz w:val="22"/>
          <w:szCs w:val="22"/>
          <w:lang w:eastAsia="en-AU"/>
        </w:rPr>
      </w:pPr>
      <w:hyperlink w:anchor="_Toc514018130" w:history="1">
        <w:r w:rsidR="000F2F27" w:rsidRPr="00C43644">
          <w:rPr>
            <w:rStyle w:val="Hyperlink"/>
            <w:noProof/>
          </w:rPr>
          <w:t>Figure 7</w:t>
        </w:r>
        <w:r w:rsidR="000F2F27" w:rsidRPr="00C43644">
          <w:rPr>
            <w:rStyle w:val="Hyperlink"/>
            <w:noProof/>
          </w:rPr>
          <w:noBreakHyphen/>
          <w:t>18: Groundwater depth: Murray</w:t>
        </w:r>
        <w:r w:rsidR="000F2F27">
          <w:rPr>
            <w:noProof/>
            <w:webHidden/>
          </w:rPr>
          <w:tab/>
        </w:r>
        <w:r w:rsidR="000F2F27">
          <w:rPr>
            <w:noProof/>
            <w:webHidden/>
          </w:rPr>
          <w:fldChar w:fldCharType="begin"/>
        </w:r>
        <w:r w:rsidR="000F2F27">
          <w:rPr>
            <w:noProof/>
            <w:webHidden/>
          </w:rPr>
          <w:instrText xml:space="preserve"> PAGEREF _Toc514018130 \h </w:instrText>
        </w:r>
        <w:r w:rsidR="000F2F27">
          <w:rPr>
            <w:noProof/>
            <w:webHidden/>
          </w:rPr>
        </w:r>
        <w:r w:rsidR="000F2F27">
          <w:rPr>
            <w:noProof/>
            <w:webHidden/>
          </w:rPr>
          <w:fldChar w:fldCharType="separate"/>
        </w:r>
        <w:r w:rsidR="000F2F27">
          <w:rPr>
            <w:noProof/>
            <w:webHidden/>
          </w:rPr>
          <w:t>164</w:t>
        </w:r>
        <w:r w:rsidR="000F2F27">
          <w:rPr>
            <w:noProof/>
            <w:webHidden/>
          </w:rPr>
          <w:fldChar w:fldCharType="end"/>
        </w:r>
      </w:hyperlink>
    </w:p>
    <w:p w14:paraId="2AD374B3" w14:textId="663F7578" w:rsidR="000F2F27" w:rsidRDefault="005C788A">
      <w:pPr>
        <w:pStyle w:val="TableofFigures"/>
        <w:tabs>
          <w:tab w:val="right" w:leader="dot" w:pos="9906"/>
        </w:tabs>
        <w:rPr>
          <w:rFonts w:asciiTheme="minorHAnsi" w:hAnsiTheme="minorHAnsi"/>
          <w:noProof/>
          <w:sz w:val="22"/>
          <w:szCs w:val="22"/>
          <w:lang w:eastAsia="en-AU"/>
        </w:rPr>
      </w:pPr>
      <w:hyperlink w:anchor="_Toc514018131" w:history="1">
        <w:r w:rsidR="000F2F27" w:rsidRPr="00C43644">
          <w:rPr>
            <w:rStyle w:val="Hyperlink"/>
            <w:noProof/>
          </w:rPr>
          <w:t>Figure 7</w:t>
        </w:r>
        <w:r w:rsidR="000F2F27" w:rsidRPr="00C43644">
          <w:rPr>
            <w:rStyle w:val="Hyperlink"/>
            <w:noProof/>
          </w:rPr>
          <w:noBreakHyphen/>
          <w:t>19: Groundwater depth and Black Box: Darling</w:t>
        </w:r>
        <w:r w:rsidR="000F2F27">
          <w:rPr>
            <w:noProof/>
            <w:webHidden/>
          </w:rPr>
          <w:tab/>
        </w:r>
        <w:r w:rsidR="000F2F27">
          <w:rPr>
            <w:noProof/>
            <w:webHidden/>
          </w:rPr>
          <w:fldChar w:fldCharType="begin"/>
        </w:r>
        <w:r w:rsidR="000F2F27">
          <w:rPr>
            <w:noProof/>
            <w:webHidden/>
          </w:rPr>
          <w:instrText xml:space="preserve"> PAGEREF _Toc514018131 \h </w:instrText>
        </w:r>
        <w:r w:rsidR="000F2F27">
          <w:rPr>
            <w:noProof/>
            <w:webHidden/>
          </w:rPr>
        </w:r>
        <w:r w:rsidR="000F2F27">
          <w:rPr>
            <w:noProof/>
            <w:webHidden/>
          </w:rPr>
          <w:fldChar w:fldCharType="separate"/>
        </w:r>
        <w:r w:rsidR="000F2F27">
          <w:rPr>
            <w:noProof/>
            <w:webHidden/>
          </w:rPr>
          <w:t>165</w:t>
        </w:r>
        <w:r w:rsidR="000F2F27">
          <w:rPr>
            <w:noProof/>
            <w:webHidden/>
          </w:rPr>
          <w:fldChar w:fldCharType="end"/>
        </w:r>
      </w:hyperlink>
    </w:p>
    <w:p w14:paraId="0D30B898" w14:textId="628B04BD" w:rsidR="000F2F27" w:rsidRDefault="005C788A">
      <w:pPr>
        <w:pStyle w:val="TableofFigures"/>
        <w:tabs>
          <w:tab w:val="right" w:leader="dot" w:pos="9906"/>
        </w:tabs>
        <w:rPr>
          <w:rFonts w:asciiTheme="minorHAnsi" w:hAnsiTheme="minorHAnsi"/>
          <w:noProof/>
          <w:sz w:val="22"/>
          <w:szCs w:val="22"/>
          <w:lang w:eastAsia="en-AU"/>
        </w:rPr>
      </w:pPr>
      <w:hyperlink w:anchor="_Toc514018132" w:history="1">
        <w:r w:rsidR="000F2F27" w:rsidRPr="00C43644">
          <w:rPr>
            <w:rStyle w:val="Hyperlink"/>
            <w:noProof/>
          </w:rPr>
          <w:t>Figure 7</w:t>
        </w:r>
        <w:r w:rsidR="000F2F27" w:rsidRPr="00C43644">
          <w:rPr>
            <w:rStyle w:val="Hyperlink"/>
            <w:noProof/>
          </w:rPr>
          <w:noBreakHyphen/>
          <w:t>20: Groundwater depth and Black Box: Murray</w:t>
        </w:r>
        <w:r w:rsidR="000F2F27">
          <w:rPr>
            <w:noProof/>
            <w:webHidden/>
          </w:rPr>
          <w:tab/>
        </w:r>
        <w:r w:rsidR="000F2F27">
          <w:rPr>
            <w:noProof/>
            <w:webHidden/>
          </w:rPr>
          <w:fldChar w:fldCharType="begin"/>
        </w:r>
        <w:r w:rsidR="000F2F27">
          <w:rPr>
            <w:noProof/>
            <w:webHidden/>
          </w:rPr>
          <w:instrText xml:space="preserve"> PAGEREF _Toc514018132 \h </w:instrText>
        </w:r>
        <w:r w:rsidR="000F2F27">
          <w:rPr>
            <w:noProof/>
            <w:webHidden/>
          </w:rPr>
        </w:r>
        <w:r w:rsidR="000F2F27">
          <w:rPr>
            <w:noProof/>
            <w:webHidden/>
          </w:rPr>
          <w:fldChar w:fldCharType="separate"/>
        </w:r>
        <w:r w:rsidR="000F2F27">
          <w:rPr>
            <w:noProof/>
            <w:webHidden/>
          </w:rPr>
          <w:t>166</w:t>
        </w:r>
        <w:r w:rsidR="000F2F27">
          <w:rPr>
            <w:noProof/>
            <w:webHidden/>
          </w:rPr>
          <w:fldChar w:fldCharType="end"/>
        </w:r>
      </w:hyperlink>
    </w:p>
    <w:p w14:paraId="21265039" w14:textId="3CEE4162" w:rsidR="000F2F27" w:rsidRDefault="005C788A">
      <w:pPr>
        <w:pStyle w:val="TableofFigures"/>
        <w:tabs>
          <w:tab w:val="right" w:leader="dot" w:pos="9906"/>
        </w:tabs>
        <w:rPr>
          <w:rFonts w:asciiTheme="minorHAnsi" w:hAnsiTheme="minorHAnsi"/>
          <w:noProof/>
          <w:sz w:val="22"/>
          <w:szCs w:val="22"/>
          <w:lang w:eastAsia="en-AU"/>
        </w:rPr>
      </w:pPr>
      <w:hyperlink w:anchor="_Toc514018133" w:history="1">
        <w:r w:rsidR="000F2F27" w:rsidRPr="00C43644">
          <w:rPr>
            <w:rStyle w:val="Hyperlink"/>
            <w:noProof/>
          </w:rPr>
          <w:t>Figure 7</w:t>
        </w:r>
        <w:r w:rsidR="000F2F27" w:rsidRPr="00C43644">
          <w:rPr>
            <w:rStyle w:val="Hyperlink"/>
            <w:noProof/>
          </w:rPr>
          <w:noBreakHyphen/>
          <w:t>21: Vulnerability of Black Box: Darling</w:t>
        </w:r>
        <w:r w:rsidR="000F2F27">
          <w:rPr>
            <w:noProof/>
            <w:webHidden/>
          </w:rPr>
          <w:tab/>
        </w:r>
        <w:r w:rsidR="000F2F27">
          <w:rPr>
            <w:noProof/>
            <w:webHidden/>
          </w:rPr>
          <w:fldChar w:fldCharType="begin"/>
        </w:r>
        <w:r w:rsidR="000F2F27">
          <w:rPr>
            <w:noProof/>
            <w:webHidden/>
          </w:rPr>
          <w:instrText xml:space="preserve"> PAGEREF _Toc514018133 \h </w:instrText>
        </w:r>
        <w:r w:rsidR="000F2F27">
          <w:rPr>
            <w:noProof/>
            <w:webHidden/>
          </w:rPr>
        </w:r>
        <w:r w:rsidR="000F2F27">
          <w:rPr>
            <w:noProof/>
            <w:webHidden/>
          </w:rPr>
          <w:fldChar w:fldCharType="separate"/>
        </w:r>
        <w:r w:rsidR="000F2F27">
          <w:rPr>
            <w:noProof/>
            <w:webHidden/>
          </w:rPr>
          <w:t>167</w:t>
        </w:r>
        <w:r w:rsidR="000F2F27">
          <w:rPr>
            <w:noProof/>
            <w:webHidden/>
          </w:rPr>
          <w:fldChar w:fldCharType="end"/>
        </w:r>
      </w:hyperlink>
    </w:p>
    <w:p w14:paraId="55E06C9A" w14:textId="79BA53D4" w:rsidR="000F2F27" w:rsidRDefault="005C788A">
      <w:pPr>
        <w:pStyle w:val="TableofFigures"/>
        <w:tabs>
          <w:tab w:val="right" w:leader="dot" w:pos="9906"/>
        </w:tabs>
        <w:rPr>
          <w:rFonts w:asciiTheme="minorHAnsi" w:hAnsiTheme="minorHAnsi"/>
          <w:noProof/>
          <w:sz w:val="22"/>
          <w:szCs w:val="22"/>
          <w:lang w:eastAsia="en-AU"/>
        </w:rPr>
      </w:pPr>
      <w:hyperlink w:anchor="_Toc514018134" w:history="1">
        <w:r w:rsidR="000F2F27" w:rsidRPr="00C43644">
          <w:rPr>
            <w:rStyle w:val="Hyperlink"/>
            <w:noProof/>
          </w:rPr>
          <w:t>Figure 7</w:t>
        </w:r>
        <w:r w:rsidR="000F2F27" w:rsidRPr="00C43644">
          <w:rPr>
            <w:rStyle w:val="Hyperlink"/>
            <w:noProof/>
          </w:rPr>
          <w:noBreakHyphen/>
          <w:t>22: Vulnerability of Black Box: Murray</w:t>
        </w:r>
        <w:r w:rsidR="000F2F27">
          <w:rPr>
            <w:noProof/>
            <w:webHidden/>
          </w:rPr>
          <w:tab/>
        </w:r>
        <w:r w:rsidR="000F2F27">
          <w:rPr>
            <w:noProof/>
            <w:webHidden/>
          </w:rPr>
          <w:fldChar w:fldCharType="begin"/>
        </w:r>
        <w:r w:rsidR="000F2F27">
          <w:rPr>
            <w:noProof/>
            <w:webHidden/>
          </w:rPr>
          <w:instrText xml:space="preserve"> PAGEREF _Toc514018134 \h </w:instrText>
        </w:r>
        <w:r w:rsidR="000F2F27">
          <w:rPr>
            <w:noProof/>
            <w:webHidden/>
          </w:rPr>
        </w:r>
        <w:r w:rsidR="000F2F27">
          <w:rPr>
            <w:noProof/>
            <w:webHidden/>
          </w:rPr>
          <w:fldChar w:fldCharType="separate"/>
        </w:r>
        <w:r w:rsidR="000F2F27">
          <w:rPr>
            <w:noProof/>
            <w:webHidden/>
          </w:rPr>
          <w:t>168</w:t>
        </w:r>
        <w:r w:rsidR="000F2F27">
          <w:rPr>
            <w:noProof/>
            <w:webHidden/>
          </w:rPr>
          <w:fldChar w:fldCharType="end"/>
        </w:r>
      </w:hyperlink>
    </w:p>
    <w:p w14:paraId="1DB33E3E" w14:textId="5F94AB52" w:rsidR="000F2F27" w:rsidRDefault="005C788A">
      <w:pPr>
        <w:pStyle w:val="TableofFigures"/>
        <w:tabs>
          <w:tab w:val="right" w:leader="dot" w:pos="9906"/>
        </w:tabs>
        <w:rPr>
          <w:rFonts w:asciiTheme="minorHAnsi" w:hAnsiTheme="minorHAnsi"/>
          <w:noProof/>
          <w:sz w:val="22"/>
          <w:szCs w:val="22"/>
          <w:lang w:eastAsia="en-AU"/>
        </w:rPr>
      </w:pPr>
      <w:hyperlink w:anchor="_Toc514018135" w:history="1">
        <w:r w:rsidR="000F2F27" w:rsidRPr="00C43644">
          <w:rPr>
            <w:rStyle w:val="Hyperlink"/>
            <w:noProof/>
          </w:rPr>
          <w:t>Figure 7</w:t>
        </w:r>
        <w:r w:rsidR="000F2F27" w:rsidRPr="00C43644">
          <w:rPr>
            <w:rStyle w:val="Hyperlink"/>
            <w:noProof/>
          </w:rPr>
          <w:noBreakHyphen/>
          <w:t>23: Flood change map for the upper area of the lower River Murray in South Australia under historical, current and future modelled climate scenarios for a 1 in 10-year flood regime (Overton et al., 2009).</w:t>
        </w:r>
        <w:r w:rsidR="000F2F27">
          <w:rPr>
            <w:noProof/>
            <w:webHidden/>
          </w:rPr>
          <w:tab/>
        </w:r>
        <w:r w:rsidR="000F2F27">
          <w:rPr>
            <w:noProof/>
            <w:webHidden/>
          </w:rPr>
          <w:fldChar w:fldCharType="begin"/>
        </w:r>
        <w:r w:rsidR="000F2F27">
          <w:rPr>
            <w:noProof/>
            <w:webHidden/>
          </w:rPr>
          <w:instrText xml:space="preserve"> PAGEREF _Toc514018135 \h </w:instrText>
        </w:r>
        <w:r w:rsidR="000F2F27">
          <w:rPr>
            <w:noProof/>
            <w:webHidden/>
          </w:rPr>
        </w:r>
        <w:r w:rsidR="000F2F27">
          <w:rPr>
            <w:noProof/>
            <w:webHidden/>
          </w:rPr>
          <w:fldChar w:fldCharType="separate"/>
        </w:r>
        <w:r w:rsidR="000F2F27">
          <w:rPr>
            <w:noProof/>
            <w:webHidden/>
          </w:rPr>
          <w:t>169</w:t>
        </w:r>
        <w:r w:rsidR="000F2F27">
          <w:rPr>
            <w:noProof/>
            <w:webHidden/>
          </w:rPr>
          <w:fldChar w:fldCharType="end"/>
        </w:r>
      </w:hyperlink>
    </w:p>
    <w:p w14:paraId="6C5AC2A7" w14:textId="5A3A5844" w:rsidR="00C369EA" w:rsidRDefault="00D0107E" w:rsidP="00C927A5">
      <w:pPr>
        <w:pStyle w:val="TOC2"/>
        <w:rPr>
          <w:rStyle w:val="Hyperlink"/>
        </w:rPr>
      </w:pPr>
      <w:r w:rsidRPr="006B28B5">
        <w:rPr>
          <w:rStyle w:val="Hyperlink"/>
        </w:rPr>
        <w:fldChar w:fldCharType="end"/>
      </w:r>
    </w:p>
    <w:p w14:paraId="0A2A63CF" w14:textId="3323C221" w:rsidR="002E4AF5" w:rsidRDefault="002E4AF5" w:rsidP="002E4AF5"/>
    <w:p w14:paraId="7DDB3C3C" w14:textId="76E25EAE" w:rsidR="002E4AF5" w:rsidRDefault="002E4AF5">
      <w:pPr>
        <w:spacing w:after="0" w:line="240" w:lineRule="auto"/>
      </w:pPr>
      <w:r>
        <w:br w:type="page"/>
      </w:r>
    </w:p>
    <w:p w14:paraId="65573750" w14:textId="642D3C17" w:rsidR="002E4AF5" w:rsidRPr="008C791B" w:rsidRDefault="002E4AF5" w:rsidP="008C791B">
      <w:pPr>
        <w:pStyle w:val="Contents"/>
        <w:rPr>
          <w:color w:val="65876D" w:themeColor="accent4" w:themeShade="BF"/>
        </w:rPr>
      </w:pPr>
      <w:r w:rsidRPr="008C791B">
        <w:rPr>
          <w:color w:val="65876D" w:themeColor="accent4" w:themeShade="BF"/>
        </w:rPr>
        <w:t>Glossary</w:t>
      </w:r>
    </w:p>
    <w:tbl>
      <w:tblPr>
        <w:tblStyle w:val="TableGrid"/>
        <w:tblW w:w="0" w:type="auto"/>
        <w:tblLook w:val="04A0" w:firstRow="1" w:lastRow="0" w:firstColumn="1" w:lastColumn="0" w:noHBand="0" w:noVBand="1"/>
      </w:tblPr>
      <w:tblGrid>
        <w:gridCol w:w="2263"/>
        <w:gridCol w:w="7080"/>
      </w:tblGrid>
      <w:tr w:rsidR="008451F5" w:rsidRPr="002E4AF5" w14:paraId="57EC460F" w14:textId="77777777" w:rsidTr="00447398">
        <w:tc>
          <w:tcPr>
            <w:tcW w:w="2263" w:type="dxa"/>
          </w:tcPr>
          <w:p w14:paraId="105E0F44" w14:textId="77777777" w:rsidR="008451F5" w:rsidRDefault="008451F5" w:rsidP="00447398">
            <w:r>
              <w:t>Adaptive capacity</w:t>
            </w:r>
          </w:p>
        </w:tc>
        <w:tc>
          <w:tcPr>
            <w:tcW w:w="7080" w:type="dxa"/>
          </w:tcPr>
          <w:p w14:paraId="037C7049" w14:textId="23D088CB" w:rsidR="008451F5" w:rsidRDefault="008451F5" w:rsidP="002B7990">
            <w:pPr>
              <w:pStyle w:val="Para0"/>
              <w:spacing w:before="0"/>
            </w:pPr>
            <w:r w:rsidRPr="001E5443">
              <w:t>Adaptive capacity is a function of the ability of a tree or community to recover from impact (resilience) and its ability to adapt to new conditions (e.g. growing new roots or establishing in another part of the floodplain)</w:t>
            </w:r>
            <w:r>
              <w:t xml:space="preserve">. </w:t>
            </w:r>
          </w:p>
        </w:tc>
      </w:tr>
      <w:tr w:rsidR="002E4AF5" w:rsidRPr="002E4AF5" w14:paraId="655E740B" w14:textId="77777777" w:rsidTr="00E230DF">
        <w:tc>
          <w:tcPr>
            <w:tcW w:w="2263" w:type="dxa"/>
          </w:tcPr>
          <w:p w14:paraId="2DFBAB30" w14:textId="768FDE9C" w:rsidR="002E4AF5" w:rsidRPr="002E4AF5" w:rsidRDefault="006D2AA2" w:rsidP="002E4AF5">
            <w:r>
              <w:t>Black Box community</w:t>
            </w:r>
          </w:p>
        </w:tc>
        <w:tc>
          <w:tcPr>
            <w:tcW w:w="7080" w:type="dxa"/>
          </w:tcPr>
          <w:p w14:paraId="2AE319B8" w14:textId="2652A410" w:rsidR="002E4AF5" w:rsidRPr="002E4AF5" w:rsidRDefault="006D2AA2" w:rsidP="005A50BE">
            <w:r>
              <w:t>The term used for a group of Black Box trees such as a forest or woodland</w:t>
            </w:r>
            <w:r w:rsidR="00873AD1">
              <w:t xml:space="preserve"> that supports a unique ecological community containing a variety of understorey vegetation and fauna</w:t>
            </w:r>
            <w:r>
              <w:t xml:space="preserve">. </w:t>
            </w:r>
          </w:p>
        </w:tc>
      </w:tr>
      <w:tr w:rsidR="006D2AA2" w:rsidRPr="002E4AF5" w14:paraId="55B15DE2" w14:textId="77777777" w:rsidTr="00E230DF">
        <w:tc>
          <w:tcPr>
            <w:tcW w:w="2263" w:type="dxa"/>
          </w:tcPr>
          <w:p w14:paraId="12C01FED" w14:textId="5E7BDE96" w:rsidR="006D2AA2" w:rsidRPr="002E4AF5" w:rsidRDefault="00015BCF" w:rsidP="00D73FAF">
            <w:r>
              <w:t>C</w:t>
            </w:r>
            <w:r w:rsidR="006D2AA2">
              <w:t>ondition</w:t>
            </w:r>
          </w:p>
        </w:tc>
        <w:tc>
          <w:tcPr>
            <w:tcW w:w="7080" w:type="dxa"/>
          </w:tcPr>
          <w:p w14:paraId="6F958237" w14:textId="1B02BC97" w:rsidR="006D2AA2" w:rsidRPr="002E4AF5" w:rsidRDefault="006D2AA2" w:rsidP="00D73FAF">
            <w:r>
              <w:t>The physical condition of Black Box</w:t>
            </w:r>
            <w:r w:rsidR="00873AD1">
              <w:t xml:space="preserve"> trees</w:t>
            </w:r>
            <w:r>
              <w:t xml:space="preserve"> that is akin to health.</w:t>
            </w:r>
            <w:r w:rsidR="00ED7B1D">
              <w:t xml:space="preserve"> This is usually based on visual indictors of crown canopy cover but could also include physiological indicators.</w:t>
            </w:r>
            <w:r w:rsidR="00E7080E">
              <w:t xml:space="preserve"> Tree health is not commonly used as this term implies </w:t>
            </w:r>
            <w:r w:rsidR="00B9455F">
              <w:t>a broader perspective than just condition.</w:t>
            </w:r>
          </w:p>
        </w:tc>
      </w:tr>
      <w:tr w:rsidR="006B66D8" w:rsidRPr="002E4AF5" w14:paraId="7A3644A5" w14:textId="77777777" w:rsidTr="00E230DF">
        <w:tc>
          <w:tcPr>
            <w:tcW w:w="2263" w:type="dxa"/>
          </w:tcPr>
          <w:p w14:paraId="76C4DD8C" w14:textId="517ADA8F" w:rsidR="006B66D8" w:rsidRDefault="006B66D8" w:rsidP="00D73FAF">
            <w:r>
              <w:t>Drivers</w:t>
            </w:r>
          </w:p>
        </w:tc>
        <w:tc>
          <w:tcPr>
            <w:tcW w:w="7080" w:type="dxa"/>
          </w:tcPr>
          <w:p w14:paraId="79743586" w14:textId="71908153" w:rsidR="006B66D8" w:rsidRDefault="006B66D8" w:rsidP="004D2076">
            <w:pPr>
              <w:rPr>
                <w:rFonts w:cs="Arial"/>
                <w:color w:val="000000" w:themeColor="text1"/>
                <w:szCs w:val="20"/>
              </w:rPr>
            </w:pPr>
            <w:r>
              <w:rPr>
                <w:rFonts w:cs="Arial"/>
                <w:color w:val="000000" w:themeColor="text1"/>
                <w:szCs w:val="20"/>
              </w:rPr>
              <w:t xml:space="preserve">In the context of the Black Box Management Framework, drivers are those </w:t>
            </w:r>
            <w:r w:rsidR="004D2076">
              <w:rPr>
                <w:rFonts w:cs="Arial"/>
                <w:color w:val="000000" w:themeColor="text1"/>
                <w:szCs w:val="20"/>
              </w:rPr>
              <w:t>factors</w:t>
            </w:r>
            <w:r>
              <w:rPr>
                <w:rFonts w:cs="Arial"/>
                <w:color w:val="000000" w:themeColor="text1"/>
                <w:szCs w:val="20"/>
              </w:rPr>
              <w:t xml:space="preserve"> and management actions that increase or decrease the range and intensity of stressors. This can include river regulation, land clearing and climate change.</w:t>
            </w:r>
          </w:p>
        </w:tc>
      </w:tr>
      <w:tr w:rsidR="006D2AA2" w:rsidRPr="002E4AF5" w14:paraId="2DB00904" w14:textId="77777777" w:rsidTr="00E230DF">
        <w:tc>
          <w:tcPr>
            <w:tcW w:w="2263" w:type="dxa"/>
          </w:tcPr>
          <w:p w14:paraId="5C9DEA40" w14:textId="77777777" w:rsidR="006D2AA2" w:rsidRPr="002E4AF5" w:rsidRDefault="006D2AA2" w:rsidP="00D73FAF">
            <w:r>
              <w:t>Ecological objectives</w:t>
            </w:r>
          </w:p>
        </w:tc>
        <w:tc>
          <w:tcPr>
            <w:tcW w:w="7080" w:type="dxa"/>
          </w:tcPr>
          <w:p w14:paraId="313086CC" w14:textId="656E6DEB" w:rsidR="006D2AA2" w:rsidRPr="002E4AF5" w:rsidRDefault="00832970" w:rsidP="00D73FAF">
            <w:r>
              <w:rPr>
                <w:rFonts w:cs="Arial"/>
                <w:color w:val="000000" w:themeColor="text1"/>
                <w:szCs w:val="20"/>
              </w:rPr>
              <w:t>T</w:t>
            </w:r>
            <w:r w:rsidRPr="009172B6">
              <w:rPr>
                <w:rFonts w:cs="Arial"/>
                <w:color w:val="000000" w:themeColor="text1"/>
                <w:szCs w:val="20"/>
              </w:rPr>
              <w:t xml:space="preserve">he high level </w:t>
            </w:r>
            <w:r w:rsidR="00B9455F">
              <w:rPr>
                <w:rFonts w:cs="Arial"/>
                <w:color w:val="000000" w:themeColor="text1"/>
                <w:szCs w:val="20"/>
              </w:rPr>
              <w:t xml:space="preserve">ecological </w:t>
            </w:r>
            <w:r w:rsidRPr="009172B6">
              <w:rPr>
                <w:rFonts w:cs="Arial"/>
                <w:color w:val="000000" w:themeColor="text1"/>
                <w:szCs w:val="20"/>
              </w:rPr>
              <w:t>outcomes, aspirations and step changes that a practitioner is seeking to achieve at a site over the medium to longer term.</w:t>
            </w:r>
          </w:p>
        </w:tc>
      </w:tr>
      <w:tr w:rsidR="006D2AA2" w:rsidRPr="002E4AF5" w14:paraId="2CCDC786" w14:textId="77777777" w:rsidTr="00E230DF">
        <w:tc>
          <w:tcPr>
            <w:tcW w:w="2263" w:type="dxa"/>
          </w:tcPr>
          <w:p w14:paraId="5556AE2D" w14:textId="77777777" w:rsidR="006D2AA2" w:rsidRPr="002E4AF5" w:rsidRDefault="006D2AA2" w:rsidP="00D73FAF">
            <w:r>
              <w:t>Ecological targets</w:t>
            </w:r>
          </w:p>
        </w:tc>
        <w:tc>
          <w:tcPr>
            <w:tcW w:w="7080" w:type="dxa"/>
          </w:tcPr>
          <w:p w14:paraId="7964D860" w14:textId="38C3727B" w:rsidR="006D2AA2" w:rsidRPr="002E4AF5" w:rsidRDefault="00832970" w:rsidP="00D73FAF">
            <w:r>
              <w:t>S</w:t>
            </w:r>
            <w:r w:rsidRPr="009172B6">
              <w:t xml:space="preserve">pecify the </w:t>
            </w:r>
            <w:r w:rsidR="00B9455F">
              <w:t xml:space="preserve">ecological </w:t>
            </w:r>
            <w:r w:rsidRPr="009172B6">
              <w:t xml:space="preserve">condition intended to be achieved </w:t>
            </w:r>
            <w:r w:rsidR="00AD6010" w:rsidRPr="009172B6">
              <w:t>because of</w:t>
            </w:r>
            <w:r w:rsidRPr="009172B6">
              <w:t xml:space="preserve"> an action, often described by a numerical value that allows for assessing and reporting change in condition against a benchmark over time</w:t>
            </w:r>
            <w:r>
              <w:t>.</w:t>
            </w:r>
          </w:p>
        </w:tc>
      </w:tr>
      <w:tr w:rsidR="008451F5" w:rsidRPr="002E4AF5" w14:paraId="646502BB" w14:textId="77777777" w:rsidTr="00447398">
        <w:tc>
          <w:tcPr>
            <w:tcW w:w="2263" w:type="dxa"/>
          </w:tcPr>
          <w:p w14:paraId="52F1BD14" w14:textId="77777777" w:rsidR="008451F5" w:rsidRPr="002E4AF5" w:rsidRDefault="008451F5" w:rsidP="00447398">
            <w:r>
              <w:t>Epicormic growth</w:t>
            </w:r>
          </w:p>
        </w:tc>
        <w:tc>
          <w:tcPr>
            <w:tcW w:w="7080" w:type="dxa"/>
          </w:tcPr>
          <w:p w14:paraId="1EEF7B97" w14:textId="77777777" w:rsidR="008451F5" w:rsidRDefault="008451F5" w:rsidP="00447398">
            <w:r>
              <w:t>G</w:t>
            </w:r>
            <w:r w:rsidRPr="00FF5028">
              <w:t>rowth of leaves on the tree trunks rather than on outer branches</w:t>
            </w:r>
            <w:r>
              <w:t>. This is the tree’s response to</w:t>
            </w:r>
            <w:r w:rsidRPr="00FF5028">
              <w:t xml:space="preserve"> water stress</w:t>
            </w:r>
            <w:r>
              <w:t xml:space="preserve"> as it cannot get the water to the outer extents of the tree canopy.</w:t>
            </w:r>
          </w:p>
        </w:tc>
      </w:tr>
      <w:tr w:rsidR="00610204" w:rsidRPr="002E4AF5" w14:paraId="7DA87F30" w14:textId="77777777" w:rsidTr="00E230DF">
        <w:tc>
          <w:tcPr>
            <w:tcW w:w="2263" w:type="dxa"/>
          </w:tcPr>
          <w:p w14:paraId="3E82C066" w14:textId="050DC438" w:rsidR="00610204" w:rsidRDefault="00610204" w:rsidP="00D73FAF">
            <w:r>
              <w:t>Exposure</w:t>
            </w:r>
          </w:p>
        </w:tc>
        <w:tc>
          <w:tcPr>
            <w:tcW w:w="7080" w:type="dxa"/>
          </w:tcPr>
          <w:p w14:paraId="391BE18C" w14:textId="6AACF838" w:rsidR="00610204" w:rsidRDefault="00610204" w:rsidP="00D73FAF">
            <w:r>
              <w:t>A</w:t>
            </w:r>
            <w:r w:rsidRPr="001E5443">
              <w:t xml:space="preserve"> function of the external stressors </w:t>
            </w:r>
            <w:r>
              <w:t xml:space="preserve">to Black Box </w:t>
            </w:r>
            <w:r w:rsidRPr="001E5443">
              <w:t>and their severity</w:t>
            </w:r>
            <w:r>
              <w:t>. These can be long term constant or chronic stressors</w:t>
            </w:r>
            <w:r w:rsidRPr="001E5443">
              <w:t xml:space="preserve"> (e.g. depth of saline groundwater</w:t>
            </w:r>
            <w:r>
              <w:t>) or acute events (e.g.</w:t>
            </w:r>
            <w:r w:rsidRPr="001E5443">
              <w:t xml:space="preserve"> </w:t>
            </w:r>
            <w:r>
              <w:t>frequency of d</w:t>
            </w:r>
            <w:r w:rsidRPr="001E5443">
              <w:t>roughts)</w:t>
            </w:r>
            <w:r>
              <w:t>;</w:t>
            </w:r>
          </w:p>
        </w:tc>
      </w:tr>
      <w:tr w:rsidR="006D2AA2" w:rsidRPr="002E4AF5" w14:paraId="517FD123" w14:textId="77777777" w:rsidTr="00E230DF">
        <w:tc>
          <w:tcPr>
            <w:tcW w:w="2263" w:type="dxa"/>
          </w:tcPr>
          <w:p w14:paraId="611279C1" w14:textId="77777777" w:rsidR="006D2AA2" w:rsidRPr="002E4AF5" w:rsidRDefault="006D2AA2" w:rsidP="00D73FAF">
            <w:r w:rsidRPr="002E4AF5">
              <w:t xml:space="preserve">Management </w:t>
            </w:r>
            <w:r>
              <w:t>u</w:t>
            </w:r>
            <w:r w:rsidRPr="002E4AF5">
              <w:t>nit</w:t>
            </w:r>
          </w:p>
        </w:tc>
        <w:tc>
          <w:tcPr>
            <w:tcW w:w="7080" w:type="dxa"/>
          </w:tcPr>
          <w:p w14:paraId="1CD5CF56" w14:textId="044DE57F" w:rsidR="005A50BE" w:rsidRPr="002E4AF5" w:rsidRDefault="006D2AA2" w:rsidP="005A50BE">
            <w:r>
              <w:t>A contiguous area of Black Box vegetation that is treated as a single area for management purposes. It has similar vegetation condition and similar stressor impacts.</w:t>
            </w:r>
            <w:r w:rsidR="005A50BE">
              <w:t xml:space="preserve"> The framework focuses on management units rather than individual trees, as tree condition commonly </w:t>
            </w:r>
            <w:r w:rsidR="005A50BE">
              <w:rPr>
                <w:color w:val="000000" w:themeColor="text1"/>
              </w:rPr>
              <w:t>varies</w:t>
            </w:r>
            <w:r w:rsidR="005A50BE" w:rsidRPr="007142CF">
              <w:rPr>
                <w:color w:val="000000" w:themeColor="text1"/>
              </w:rPr>
              <w:t xml:space="preserve"> from dead to very healthy </w:t>
            </w:r>
            <w:r w:rsidR="005A50BE">
              <w:rPr>
                <w:color w:val="000000" w:themeColor="text1"/>
              </w:rPr>
              <w:t xml:space="preserve">within small areas </w:t>
            </w:r>
            <w:r w:rsidR="005A50BE" w:rsidRPr="007142CF">
              <w:rPr>
                <w:color w:val="000000" w:themeColor="text1"/>
              </w:rPr>
              <w:t>due to spatial variability of soil types and individ</w:t>
            </w:r>
            <w:r w:rsidR="005A50BE">
              <w:rPr>
                <w:color w:val="000000" w:themeColor="text1"/>
              </w:rPr>
              <w:t>ual characteristics of the trees</w:t>
            </w:r>
            <w:r w:rsidR="005A50BE" w:rsidRPr="007142CF">
              <w:rPr>
                <w:color w:val="000000" w:themeColor="text1"/>
              </w:rPr>
              <w:t>. Additionally, the management options available for influencing Black Box stressors address large areas, rather than individual trees.</w:t>
            </w:r>
          </w:p>
        </w:tc>
      </w:tr>
      <w:tr w:rsidR="008451F5" w:rsidRPr="002E4AF5" w14:paraId="2599FDC6" w14:textId="77777777" w:rsidTr="00447398">
        <w:tc>
          <w:tcPr>
            <w:tcW w:w="2263" w:type="dxa"/>
          </w:tcPr>
          <w:p w14:paraId="78996A21" w14:textId="77777777" w:rsidR="008451F5" w:rsidRDefault="008451F5" w:rsidP="00447398">
            <w:r>
              <w:t>Resilience</w:t>
            </w:r>
          </w:p>
        </w:tc>
        <w:tc>
          <w:tcPr>
            <w:tcW w:w="7080" w:type="dxa"/>
          </w:tcPr>
          <w:p w14:paraId="30897D55" w14:textId="77777777" w:rsidR="008451F5" w:rsidRPr="001E5443" w:rsidRDefault="008451F5" w:rsidP="00447398">
            <w:pPr>
              <w:pStyle w:val="Para0"/>
              <w:spacing w:before="0"/>
            </w:pPr>
            <w:r>
              <w:t>Resilience is the ability of a tree or community to recover from impacts. Black Box trees are highly resilient to mild drought impacts and can recover fully, however severe, prolonged and frequent droughts may be too much for the trees in poor condition.</w:t>
            </w:r>
          </w:p>
        </w:tc>
      </w:tr>
      <w:tr w:rsidR="00610204" w:rsidRPr="002E4AF5" w14:paraId="28767AE2" w14:textId="77777777" w:rsidTr="00E230DF">
        <w:tc>
          <w:tcPr>
            <w:tcW w:w="2263" w:type="dxa"/>
          </w:tcPr>
          <w:p w14:paraId="5F35A152" w14:textId="2A880131" w:rsidR="00610204" w:rsidRPr="002E4AF5" w:rsidRDefault="00610204" w:rsidP="00D73FAF">
            <w:r>
              <w:t>Resistance</w:t>
            </w:r>
          </w:p>
        </w:tc>
        <w:tc>
          <w:tcPr>
            <w:tcW w:w="7080" w:type="dxa"/>
          </w:tcPr>
          <w:p w14:paraId="277AAE1E" w14:textId="47352EEB" w:rsidR="00610204" w:rsidRDefault="00610204" w:rsidP="005A50BE">
            <w:r w:rsidRPr="001E5443">
              <w:t>Resistance to change or sensitivity (e.g. salt and drought tolerance)</w:t>
            </w:r>
            <w:r>
              <w:t xml:space="preserve"> </w:t>
            </w:r>
            <w:r w:rsidRPr="001E5443">
              <w:t xml:space="preserve">is a function of the current condition and the nature of Black Box </w:t>
            </w:r>
            <w:r>
              <w:t>physiology and the community structure (e.g. unit size).</w:t>
            </w:r>
          </w:p>
        </w:tc>
      </w:tr>
      <w:tr w:rsidR="006D2AA2" w:rsidRPr="002E4AF5" w14:paraId="7137CA68" w14:textId="77777777" w:rsidTr="00E230DF">
        <w:tc>
          <w:tcPr>
            <w:tcW w:w="2263" w:type="dxa"/>
          </w:tcPr>
          <w:p w14:paraId="780D200C" w14:textId="77777777" w:rsidR="006D2AA2" w:rsidRDefault="006D2AA2" w:rsidP="00D73FAF">
            <w:r>
              <w:t>Risk assessment</w:t>
            </w:r>
          </w:p>
        </w:tc>
        <w:tc>
          <w:tcPr>
            <w:tcW w:w="7080" w:type="dxa"/>
          </w:tcPr>
          <w:p w14:paraId="2A935530" w14:textId="65D5E676" w:rsidR="006D2AA2" w:rsidRPr="002E4AF5" w:rsidRDefault="00A66050" w:rsidP="00D73FAF">
            <w:r>
              <w:t xml:space="preserve">A systematic process of evaluating potential risks associated with an action, or series of actions. This involves assessment of the likelihood and consequences, and mitigation factors to reduce risks within acceptable levels. </w:t>
            </w:r>
          </w:p>
        </w:tc>
      </w:tr>
      <w:tr w:rsidR="002E4AF5" w:rsidRPr="002E4AF5" w14:paraId="65527730" w14:textId="77777777" w:rsidTr="00E230DF">
        <w:tc>
          <w:tcPr>
            <w:tcW w:w="2263" w:type="dxa"/>
          </w:tcPr>
          <w:p w14:paraId="7396BFC8" w14:textId="05E605F0" w:rsidR="002E4AF5" w:rsidRPr="002E4AF5" w:rsidRDefault="006D2AA2" w:rsidP="002E4AF5">
            <w:r>
              <w:t>Soil salinisation</w:t>
            </w:r>
          </w:p>
        </w:tc>
        <w:tc>
          <w:tcPr>
            <w:tcW w:w="7080" w:type="dxa"/>
          </w:tcPr>
          <w:p w14:paraId="79484A2C" w14:textId="4A882352" w:rsidR="002E4AF5" w:rsidRPr="002E4AF5" w:rsidRDefault="006D2AA2" w:rsidP="002E4AF5">
            <w:r>
              <w:t xml:space="preserve">The process of salt accumulating in the soil due to saline water rising from the groundwater due to evapotranspiration. The salt is accumulated in the soil as the water is used by plants or evaporated. </w:t>
            </w:r>
            <w:r w:rsidR="00B9455F">
              <w:t xml:space="preserve">The rate of soil salinisation depends on the soil type and the depth of saline groundwater. Soil </w:t>
            </w:r>
            <w:r w:rsidR="00BB7276">
              <w:t>salinisation</w:t>
            </w:r>
            <w:r w:rsidR="00B9455F">
              <w:t xml:space="preserve"> usually occurs when saline groundwater is shallow (less than 6 metres from the surface).</w:t>
            </w:r>
          </w:p>
        </w:tc>
      </w:tr>
      <w:tr w:rsidR="006D2AA2" w:rsidRPr="002E4AF5" w14:paraId="3F76C4FE" w14:textId="77777777" w:rsidTr="00E230DF">
        <w:tc>
          <w:tcPr>
            <w:tcW w:w="2263" w:type="dxa"/>
          </w:tcPr>
          <w:p w14:paraId="04AD0593" w14:textId="77777777" w:rsidR="006D2AA2" w:rsidRPr="002E4AF5" w:rsidRDefault="006D2AA2" w:rsidP="00D73FAF">
            <w:r>
              <w:t>Stressor</w:t>
            </w:r>
          </w:p>
        </w:tc>
        <w:tc>
          <w:tcPr>
            <w:tcW w:w="7080" w:type="dxa"/>
          </w:tcPr>
          <w:p w14:paraId="7CBB7B51" w14:textId="3B55CC76" w:rsidR="006D2AA2" w:rsidRPr="002E4AF5" w:rsidRDefault="00A362EB" w:rsidP="00D73FAF">
            <w:r>
              <w:t xml:space="preserve">A stressor is a force, condition, event, or stimulus that causes stress to Black Box vegetation, resulting in decline in condition. </w:t>
            </w:r>
            <w:r w:rsidR="006B66D8">
              <w:t>This can include high soil salinity, reduced flood frequency or reduced rainfall.</w:t>
            </w:r>
          </w:p>
        </w:tc>
      </w:tr>
      <w:tr w:rsidR="002E4AF5" w:rsidRPr="002E4AF5" w14:paraId="20290052" w14:textId="77777777" w:rsidTr="00E230DF">
        <w:tc>
          <w:tcPr>
            <w:tcW w:w="2263" w:type="dxa"/>
          </w:tcPr>
          <w:p w14:paraId="27B35A5C" w14:textId="4BA2C44B" w:rsidR="002E4AF5" w:rsidRPr="002E4AF5" w:rsidRDefault="006D2AA2" w:rsidP="002E4AF5">
            <w:r>
              <w:t>Vulnerability</w:t>
            </w:r>
          </w:p>
        </w:tc>
        <w:tc>
          <w:tcPr>
            <w:tcW w:w="7080" w:type="dxa"/>
          </w:tcPr>
          <w:p w14:paraId="269E40CF" w14:textId="7BDB33A5" w:rsidR="002E4AF5" w:rsidRPr="002E4AF5" w:rsidRDefault="00A66050" w:rsidP="002B7990">
            <w:r>
              <w:t>Vulnerability is the quality or state of being exposed to the possibility of being attacked or harmed. The Framework uses the term vulnerability to mean the likelihood of decline</w:t>
            </w:r>
            <w:r w:rsidR="00CC210F">
              <w:t>.</w:t>
            </w:r>
          </w:p>
        </w:tc>
      </w:tr>
    </w:tbl>
    <w:p w14:paraId="70EA6EF6" w14:textId="77777777" w:rsidR="00C369EA" w:rsidRPr="00C04FE4" w:rsidRDefault="00C369EA" w:rsidP="000463EC">
      <w:pPr>
        <w:pStyle w:val="Para0"/>
        <w:sectPr w:rsidR="00C369EA" w:rsidRPr="00C04FE4" w:rsidSect="00D03F73">
          <w:headerReference w:type="even" r:id="rId13"/>
          <w:headerReference w:type="default" r:id="rId14"/>
          <w:footerReference w:type="default" r:id="rId15"/>
          <w:headerReference w:type="first" r:id="rId16"/>
          <w:footerReference w:type="first" r:id="rId17"/>
          <w:pgSz w:w="11901" w:h="16840" w:code="9"/>
          <w:pgMar w:top="567" w:right="851" w:bottom="851" w:left="1134" w:header="567" w:footer="370" w:gutter="0"/>
          <w:pgNumType w:fmt="lowerRoman" w:start="1"/>
          <w:cols w:space="0"/>
          <w:formProt w:val="0"/>
          <w:docGrid w:linePitch="360"/>
        </w:sectPr>
      </w:pPr>
    </w:p>
    <w:p w14:paraId="08AC24E5" w14:textId="125F11FB" w:rsidR="002C79ED" w:rsidRDefault="00C04FE4" w:rsidP="00C04FE4">
      <w:pPr>
        <w:pStyle w:val="Heading1"/>
        <w:rPr>
          <w:color w:val="65876D" w:themeColor="accent4" w:themeShade="BF"/>
        </w:rPr>
      </w:pPr>
      <w:bookmarkStart w:id="3" w:name="ContentPlaceHolder"/>
      <w:bookmarkStart w:id="4" w:name="_Toc371324297"/>
      <w:bookmarkStart w:id="5" w:name="_Toc514017982"/>
      <w:bookmarkEnd w:id="3"/>
      <w:r w:rsidRPr="005B047B">
        <w:rPr>
          <w:color w:val="65876D" w:themeColor="accent4" w:themeShade="BF"/>
        </w:rPr>
        <w:t>Introduction</w:t>
      </w:r>
      <w:bookmarkEnd w:id="4"/>
      <w:bookmarkEnd w:id="5"/>
    </w:p>
    <w:p w14:paraId="154E240D" w14:textId="326C6471" w:rsidR="00C04FE4" w:rsidRPr="002C79ED" w:rsidRDefault="002C79ED" w:rsidP="002C79ED">
      <w:pPr>
        <w:pStyle w:val="Heading2"/>
        <w:rPr>
          <w:color w:val="65876D" w:themeColor="accent4" w:themeShade="BF"/>
        </w:rPr>
      </w:pPr>
      <w:bookmarkStart w:id="6" w:name="_Toc514017983"/>
      <w:r>
        <w:rPr>
          <w:color w:val="65876D" w:themeColor="accent4" w:themeShade="BF"/>
        </w:rPr>
        <w:t xml:space="preserve">Black Box </w:t>
      </w:r>
      <w:r w:rsidR="0054034A">
        <w:rPr>
          <w:color w:val="65876D" w:themeColor="accent4" w:themeShade="BF"/>
        </w:rPr>
        <w:t>C</w:t>
      </w:r>
      <w:r>
        <w:rPr>
          <w:color w:val="65876D" w:themeColor="accent4" w:themeShade="BF"/>
        </w:rPr>
        <w:t xml:space="preserve">ommunities and the </w:t>
      </w:r>
      <w:r w:rsidR="0054034A">
        <w:rPr>
          <w:color w:val="65876D" w:themeColor="accent4" w:themeShade="BF"/>
        </w:rPr>
        <w:t>N</w:t>
      </w:r>
      <w:r>
        <w:rPr>
          <w:color w:val="65876D" w:themeColor="accent4" w:themeShade="BF"/>
        </w:rPr>
        <w:t xml:space="preserve">eed for </w:t>
      </w:r>
      <w:r w:rsidR="0054034A">
        <w:rPr>
          <w:color w:val="65876D" w:themeColor="accent4" w:themeShade="BF"/>
        </w:rPr>
        <w:t>M</w:t>
      </w:r>
      <w:r>
        <w:rPr>
          <w:color w:val="65876D" w:themeColor="accent4" w:themeShade="BF"/>
        </w:rPr>
        <w:t>anagement</w:t>
      </w:r>
      <w:bookmarkEnd w:id="6"/>
    </w:p>
    <w:p w14:paraId="26172520" w14:textId="0195ECD5" w:rsidR="006B6144" w:rsidRDefault="00DE1BCF" w:rsidP="00A40029">
      <w:pPr>
        <w:pStyle w:val="Para1bullet"/>
      </w:pPr>
      <w:r w:rsidRPr="00A2388E">
        <w:rPr>
          <w:rFonts w:cs="Arial"/>
          <w:szCs w:val="20"/>
        </w:rPr>
        <w:t xml:space="preserve">Black Box </w:t>
      </w:r>
      <w:r w:rsidRPr="00A2388E">
        <w:t>(</w:t>
      </w:r>
      <w:r w:rsidRPr="00A2388E">
        <w:rPr>
          <w:i/>
        </w:rPr>
        <w:t>Eucalyptus largiflorens</w:t>
      </w:r>
      <w:r w:rsidRPr="00A2388E">
        <w:t xml:space="preserve">) </w:t>
      </w:r>
      <w:r w:rsidRPr="00A2388E">
        <w:rPr>
          <w:rFonts w:cs="Arial"/>
          <w:szCs w:val="20"/>
        </w:rPr>
        <w:t xml:space="preserve">is a small to </w:t>
      </w:r>
      <w:r w:rsidR="0069149A">
        <w:rPr>
          <w:rFonts w:cs="Arial"/>
          <w:szCs w:val="20"/>
        </w:rPr>
        <w:t>large</w:t>
      </w:r>
      <w:r w:rsidRPr="00A2388E">
        <w:rPr>
          <w:rFonts w:cs="Arial"/>
          <w:szCs w:val="20"/>
        </w:rPr>
        <w:t xml:space="preserve"> </w:t>
      </w:r>
      <w:r w:rsidRPr="00AE1F00">
        <w:rPr>
          <w:rFonts w:cs="Arial"/>
          <w:szCs w:val="20"/>
        </w:rPr>
        <w:t xml:space="preserve">sized tree </w:t>
      </w:r>
      <w:r w:rsidR="00A822D3" w:rsidRPr="00AE1F00">
        <w:rPr>
          <w:rFonts w:cs="Arial"/>
          <w:szCs w:val="20"/>
        </w:rPr>
        <w:t xml:space="preserve">that grows </w:t>
      </w:r>
      <w:r w:rsidRPr="00AE1F00">
        <w:rPr>
          <w:rFonts w:cs="Arial"/>
          <w:szCs w:val="20"/>
        </w:rPr>
        <w:t xml:space="preserve">most commonly on </w:t>
      </w:r>
      <w:r w:rsidR="00A2388E" w:rsidRPr="00AE1F00">
        <w:rPr>
          <w:rFonts w:cs="Arial"/>
          <w:szCs w:val="20"/>
        </w:rPr>
        <w:t xml:space="preserve">the </w:t>
      </w:r>
      <w:r w:rsidRPr="00AE1F00">
        <w:rPr>
          <w:rFonts w:cs="Arial"/>
          <w:szCs w:val="20"/>
        </w:rPr>
        <w:t xml:space="preserve">floodplain </w:t>
      </w:r>
      <w:r w:rsidR="00A2388E" w:rsidRPr="00AE1F00">
        <w:rPr>
          <w:rFonts w:cs="Arial"/>
          <w:szCs w:val="20"/>
        </w:rPr>
        <w:t>across</w:t>
      </w:r>
      <w:r w:rsidR="00A822D3" w:rsidRPr="00AE1F00">
        <w:rPr>
          <w:rFonts w:cs="Arial"/>
          <w:szCs w:val="20"/>
        </w:rPr>
        <w:t xml:space="preserve"> the Murray</w:t>
      </w:r>
      <w:r w:rsidR="0069149A">
        <w:rPr>
          <w:rFonts w:cs="Arial"/>
          <w:szCs w:val="20"/>
        </w:rPr>
        <w:t>-</w:t>
      </w:r>
      <w:r w:rsidR="00A822D3" w:rsidRPr="00AE1F00">
        <w:rPr>
          <w:rFonts w:cs="Arial"/>
          <w:szCs w:val="20"/>
        </w:rPr>
        <w:t>Darling Basin (the Basin)</w:t>
      </w:r>
      <w:r w:rsidR="0014195F" w:rsidRPr="00AE1F00">
        <w:rPr>
          <w:rFonts w:cs="Arial"/>
          <w:szCs w:val="20"/>
        </w:rPr>
        <w:t xml:space="preserve"> (see </w:t>
      </w:r>
      <w:r w:rsidR="0014195F" w:rsidRPr="00AE1F00">
        <w:rPr>
          <w:rFonts w:cs="Arial"/>
          <w:szCs w:val="20"/>
        </w:rPr>
        <w:fldChar w:fldCharType="begin"/>
      </w:r>
      <w:r w:rsidR="0014195F" w:rsidRPr="00AE1F00">
        <w:rPr>
          <w:rFonts w:cs="Arial"/>
          <w:szCs w:val="20"/>
        </w:rPr>
        <w:instrText xml:space="preserve"> REF _Ref468880859 \h </w:instrText>
      </w:r>
      <w:r w:rsidR="00A91C35" w:rsidRPr="00AE1F00">
        <w:rPr>
          <w:rFonts w:cs="Arial"/>
          <w:szCs w:val="20"/>
        </w:rPr>
        <w:instrText xml:space="preserve"> \* MERGEFORMAT </w:instrText>
      </w:r>
      <w:r w:rsidR="0014195F" w:rsidRPr="00AE1F00">
        <w:rPr>
          <w:rFonts w:cs="Arial"/>
          <w:szCs w:val="20"/>
        </w:rPr>
      </w:r>
      <w:r w:rsidR="0014195F" w:rsidRPr="00AE1F00">
        <w:rPr>
          <w:rFonts w:cs="Arial"/>
          <w:szCs w:val="20"/>
        </w:rPr>
        <w:fldChar w:fldCharType="separate"/>
      </w:r>
      <w:r w:rsidR="00BF015B" w:rsidRPr="00890425">
        <w:t xml:space="preserve">Figure </w:t>
      </w:r>
      <w:r w:rsidR="00BF015B">
        <w:rPr>
          <w:noProof/>
        </w:rPr>
        <w:t>1</w:t>
      </w:r>
      <w:r w:rsidR="00BF015B">
        <w:rPr>
          <w:noProof/>
        </w:rPr>
        <w:noBreakHyphen/>
        <w:t>1</w:t>
      </w:r>
      <w:r w:rsidR="0014195F" w:rsidRPr="00AE1F00">
        <w:rPr>
          <w:rFonts w:cs="Arial"/>
          <w:szCs w:val="20"/>
        </w:rPr>
        <w:fldChar w:fldCharType="end"/>
      </w:r>
      <w:r w:rsidR="0014195F">
        <w:rPr>
          <w:rFonts w:cs="Arial"/>
          <w:szCs w:val="20"/>
        </w:rPr>
        <w:t>)</w:t>
      </w:r>
      <w:r w:rsidRPr="00A2388E">
        <w:rPr>
          <w:rFonts w:cs="Arial"/>
          <w:szCs w:val="20"/>
        </w:rPr>
        <w:t xml:space="preserve">. </w:t>
      </w:r>
      <w:r w:rsidRPr="00A2388E">
        <w:t>It</w:t>
      </w:r>
      <w:r w:rsidR="00A2388E">
        <w:t xml:space="preserve"> </w:t>
      </w:r>
      <w:r w:rsidR="0015681B" w:rsidRPr="00A2388E">
        <w:t xml:space="preserve">is a key </w:t>
      </w:r>
      <w:r w:rsidR="0015681B" w:rsidRPr="00F87434">
        <w:t xml:space="preserve">habitat forming species of the floodplain environment, providing high value habitat and ecosystem services for a range of floodplain </w:t>
      </w:r>
      <w:r w:rsidR="00CC210F">
        <w:t xml:space="preserve">flora and </w:t>
      </w:r>
      <w:r w:rsidR="00754D38">
        <w:t>fauna</w:t>
      </w:r>
      <w:r w:rsidR="00A822D3">
        <w:rPr>
          <w:rFonts w:cs="Arial"/>
          <w:szCs w:val="20"/>
        </w:rPr>
        <w:t>.</w:t>
      </w:r>
      <w:r w:rsidR="00CC210F">
        <w:t xml:space="preserve"> </w:t>
      </w:r>
      <w:bookmarkStart w:id="7" w:name="_Toc506189577"/>
      <w:bookmarkEnd w:id="7"/>
      <w:r w:rsidR="00AE10DC" w:rsidRPr="00F87434">
        <w:t xml:space="preserve">Black Box is </w:t>
      </w:r>
      <w:r w:rsidR="00AE10DC">
        <w:t>a</w:t>
      </w:r>
      <w:r w:rsidR="00AE10DC" w:rsidRPr="00F87434">
        <w:t xml:space="preserve"> dominant</w:t>
      </w:r>
      <w:r w:rsidR="00AE10DC">
        <w:t xml:space="preserve"> floodplain species</w:t>
      </w:r>
      <w:r w:rsidR="00AE10DC" w:rsidRPr="00F87434">
        <w:t xml:space="preserve"> in the </w:t>
      </w:r>
      <w:r w:rsidR="009B65D5">
        <w:t>s</w:t>
      </w:r>
      <w:r w:rsidR="008E374C" w:rsidRPr="00F87434">
        <w:t xml:space="preserve">outhern </w:t>
      </w:r>
      <w:r w:rsidR="009B65D5">
        <w:t>b</w:t>
      </w:r>
      <w:r w:rsidR="008E374C">
        <w:t>asin</w:t>
      </w:r>
      <w:r w:rsidR="00D707CE">
        <w:t>, extending</w:t>
      </w:r>
      <w:r w:rsidR="00AE10DC" w:rsidRPr="00F87434">
        <w:t xml:space="preserve"> </w:t>
      </w:r>
      <w:r w:rsidR="00D707CE">
        <w:t xml:space="preserve">south from Menindee Lakes and </w:t>
      </w:r>
      <w:r w:rsidR="008E4666">
        <w:t>along</w:t>
      </w:r>
      <w:r w:rsidR="00AE10DC" w:rsidRPr="00F87434">
        <w:t xml:space="preserve"> the Lachlan, Murrumbidgee and Murray </w:t>
      </w:r>
      <w:r w:rsidR="00D707CE">
        <w:t>r</w:t>
      </w:r>
      <w:r w:rsidR="00AE10DC" w:rsidRPr="00F87434">
        <w:t>ivers</w:t>
      </w:r>
      <w:r w:rsidR="00AE10DC">
        <w:t>. Bla</w:t>
      </w:r>
      <w:r w:rsidR="00DA18B2">
        <w:t xml:space="preserve">ck Box is not as common in the </w:t>
      </w:r>
      <w:r w:rsidR="009B65D5">
        <w:t>n</w:t>
      </w:r>
      <w:r w:rsidR="00AE10DC">
        <w:t xml:space="preserve">orthern </w:t>
      </w:r>
      <w:r w:rsidR="00DA18B2">
        <w:t>b</w:t>
      </w:r>
      <w:r w:rsidR="00AE10DC">
        <w:t>asin where the upper floodplains are more often dominated</w:t>
      </w:r>
      <w:r w:rsidR="00AE10DC" w:rsidRPr="00F87434">
        <w:t xml:space="preserve"> by Coolibah (</w:t>
      </w:r>
      <w:r w:rsidR="00AE10DC" w:rsidRPr="00F87434">
        <w:rPr>
          <w:i/>
        </w:rPr>
        <w:t>Eucalyptus coolabah</w:t>
      </w:r>
      <w:r w:rsidR="00AE10DC" w:rsidRPr="00F87434">
        <w:t>)</w:t>
      </w:r>
      <w:r w:rsidR="00AE10DC" w:rsidRPr="00AE1F00">
        <w:t>.</w:t>
      </w:r>
      <w:r w:rsidR="008E4666" w:rsidRPr="008E4666">
        <w:rPr>
          <w:rFonts w:cs="Arial"/>
          <w:szCs w:val="20"/>
        </w:rPr>
        <w:t xml:space="preserve"> </w:t>
      </w:r>
      <w:r w:rsidR="001B3FEE">
        <w:rPr>
          <w:rFonts w:cs="Arial"/>
          <w:szCs w:val="20"/>
        </w:rPr>
        <w:t xml:space="preserve">Refer </w:t>
      </w:r>
      <w:r w:rsidR="001B3FEE">
        <w:rPr>
          <w:rFonts w:cs="Arial"/>
          <w:szCs w:val="20"/>
        </w:rPr>
        <w:fldChar w:fldCharType="begin"/>
      </w:r>
      <w:r w:rsidR="001B3FEE">
        <w:rPr>
          <w:rFonts w:cs="Arial"/>
          <w:szCs w:val="20"/>
        </w:rPr>
        <w:instrText xml:space="preserve"> REF _Ref508871984 \h </w:instrText>
      </w:r>
      <w:r w:rsidR="001B3FEE">
        <w:rPr>
          <w:rFonts w:cs="Arial"/>
          <w:szCs w:val="20"/>
        </w:rPr>
      </w:r>
      <w:r w:rsidR="001B3FEE">
        <w:rPr>
          <w:rFonts w:cs="Arial"/>
          <w:szCs w:val="20"/>
        </w:rPr>
        <w:fldChar w:fldCharType="separate"/>
      </w:r>
      <w:r w:rsidR="00BF015B" w:rsidRPr="006B6144">
        <w:t xml:space="preserve">Figure </w:t>
      </w:r>
      <w:r w:rsidR="00BF015B">
        <w:rPr>
          <w:noProof/>
        </w:rPr>
        <w:t>1</w:t>
      </w:r>
      <w:r w:rsidR="00BF015B">
        <w:noBreakHyphen/>
      </w:r>
      <w:r w:rsidR="00BF015B">
        <w:rPr>
          <w:noProof/>
        </w:rPr>
        <w:t>2</w:t>
      </w:r>
      <w:r w:rsidR="001B3FEE">
        <w:rPr>
          <w:rFonts w:cs="Arial"/>
          <w:szCs w:val="20"/>
        </w:rPr>
        <w:fldChar w:fldCharType="end"/>
      </w:r>
      <w:r w:rsidR="001B3FEE">
        <w:rPr>
          <w:rFonts w:cs="Arial"/>
          <w:szCs w:val="20"/>
        </w:rPr>
        <w:t xml:space="preserve"> for Black Box distribution throughout the Basin. </w:t>
      </w:r>
      <w:r w:rsidR="008E4666" w:rsidRPr="008E4666">
        <w:rPr>
          <w:rFonts w:cs="Arial"/>
          <w:szCs w:val="20"/>
        </w:rPr>
        <w:t>Black Box grows at higher elevations on the floodplain with its distribution representing recruitment episodes in response to historic natural flood events.</w:t>
      </w:r>
      <w:r w:rsidR="008E4666">
        <w:rPr>
          <w:rFonts w:cs="Arial"/>
          <w:szCs w:val="20"/>
        </w:rPr>
        <w:t xml:space="preserve"> </w:t>
      </w:r>
      <w:r w:rsidR="00AD6996" w:rsidRPr="008E374C">
        <w:rPr>
          <w:rFonts w:cs="Arial"/>
          <w:szCs w:val="20"/>
        </w:rPr>
        <w:t xml:space="preserve">While known to be relatively tolerant of drought and salinity, Black Box prefers areas </w:t>
      </w:r>
      <w:r w:rsidR="00980398">
        <w:rPr>
          <w:rFonts w:cs="Arial"/>
          <w:szCs w:val="20"/>
        </w:rPr>
        <w:t xml:space="preserve">that are intermittently </w:t>
      </w:r>
      <w:r w:rsidR="00AD6010">
        <w:rPr>
          <w:rFonts w:cs="Arial"/>
          <w:szCs w:val="20"/>
        </w:rPr>
        <w:t>flooded,</w:t>
      </w:r>
      <w:r w:rsidR="00980398">
        <w:rPr>
          <w:rFonts w:cs="Arial"/>
          <w:szCs w:val="20"/>
        </w:rPr>
        <w:t xml:space="preserve"> </w:t>
      </w:r>
      <w:r w:rsidR="00A5351E">
        <w:rPr>
          <w:rFonts w:cs="Arial"/>
          <w:szCs w:val="20"/>
        </w:rPr>
        <w:t xml:space="preserve">and </w:t>
      </w:r>
      <w:r w:rsidR="00AD6996" w:rsidRPr="008E374C">
        <w:rPr>
          <w:rFonts w:cs="Arial"/>
          <w:szCs w:val="20"/>
        </w:rPr>
        <w:t xml:space="preserve">which </w:t>
      </w:r>
      <w:r w:rsidR="00980398">
        <w:rPr>
          <w:rFonts w:cs="Arial"/>
          <w:szCs w:val="20"/>
        </w:rPr>
        <w:t xml:space="preserve">are </w:t>
      </w:r>
      <w:r w:rsidR="00AD6996" w:rsidRPr="008E374C">
        <w:rPr>
          <w:rFonts w:cs="Arial"/>
          <w:szCs w:val="20"/>
        </w:rPr>
        <w:t>supplement</w:t>
      </w:r>
      <w:r w:rsidR="00980398">
        <w:rPr>
          <w:rFonts w:cs="Arial"/>
          <w:szCs w:val="20"/>
        </w:rPr>
        <w:t>ed by</w:t>
      </w:r>
      <w:r w:rsidR="00AD6996" w:rsidRPr="008E374C">
        <w:rPr>
          <w:rFonts w:cs="Arial"/>
          <w:szCs w:val="20"/>
        </w:rPr>
        <w:t xml:space="preserve"> other water sources (rainfall and groundwater) that </w:t>
      </w:r>
      <w:r w:rsidR="00980398">
        <w:rPr>
          <w:rFonts w:cs="Arial"/>
          <w:szCs w:val="20"/>
        </w:rPr>
        <w:t>can be</w:t>
      </w:r>
      <w:r w:rsidR="00980398" w:rsidRPr="008E374C">
        <w:rPr>
          <w:rFonts w:cs="Arial"/>
          <w:szCs w:val="20"/>
        </w:rPr>
        <w:t xml:space="preserve"> </w:t>
      </w:r>
      <w:r w:rsidR="00AD6996" w:rsidRPr="008E374C">
        <w:rPr>
          <w:rFonts w:cs="Arial"/>
          <w:szCs w:val="20"/>
        </w:rPr>
        <w:t>accessed opportunistically depending on a range of physical and hydrological factors</w:t>
      </w:r>
      <w:r w:rsidR="008E4666">
        <w:rPr>
          <w:rFonts w:cs="Arial"/>
          <w:szCs w:val="20"/>
        </w:rPr>
        <w:t xml:space="preserve"> (Casanova 2015)</w:t>
      </w:r>
      <w:r w:rsidR="00AD6996" w:rsidRPr="00F87434">
        <w:rPr>
          <w:rFonts w:cs="Arial"/>
          <w:szCs w:val="20"/>
        </w:rPr>
        <w:t xml:space="preserve">. </w:t>
      </w:r>
      <w:r w:rsidR="00D65738">
        <w:rPr>
          <w:rFonts w:cs="Arial"/>
          <w:szCs w:val="20"/>
        </w:rPr>
        <w:t xml:space="preserve">A review of Black Box distribution, health trends and water requirements </w:t>
      </w:r>
      <w:r w:rsidR="005C4005">
        <w:rPr>
          <w:rFonts w:cs="Arial"/>
          <w:szCs w:val="20"/>
        </w:rPr>
        <w:t>are</w:t>
      </w:r>
      <w:r w:rsidR="00D65738">
        <w:rPr>
          <w:rFonts w:cs="Arial"/>
          <w:szCs w:val="20"/>
        </w:rPr>
        <w:t xml:space="preserve"> provided in </w:t>
      </w:r>
      <w:r w:rsidR="00F74522">
        <w:rPr>
          <w:rFonts w:cs="Arial"/>
          <w:szCs w:val="20"/>
        </w:rPr>
        <w:t xml:space="preserve">the </w:t>
      </w:r>
      <w:r w:rsidR="00B834FE">
        <w:rPr>
          <w:rFonts w:cs="Arial"/>
          <w:szCs w:val="20"/>
        </w:rPr>
        <w:t>supporting</w:t>
      </w:r>
      <w:r w:rsidR="00F74522">
        <w:rPr>
          <w:rFonts w:cs="Arial"/>
          <w:szCs w:val="20"/>
        </w:rPr>
        <w:t xml:space="preserve"> document: </w:t>
      </w:r>
      <w:r w:rsidR="00F74522">
        <w:rPr>
          <w:rFonts w:cs="Arial"/>
          <w:i/>
          <w:szCs w:val="20"/>
        </w:rPr>
        <w:t xml:space="preserve">Black Box Health and Management Options </w:t>
      </w:r>
      <w:r w:rsidR="00F74522">
        <w:rPr>
          <w:rFonts w:cs="Arial"/>
          <w:szCs w:val="20"/>
        </w:rPr>
        <w:t>(</w:t>
      </w:r>
      <w:r w:rsidR="00D65738">
        <w:rPr>
          <w:rFonts w:cs="Arial"/>
          <w:szCs w:val="20"/>
        </w:rPr>
        <w:t>AWE</w:t>
      </w:r>
      <w:r w:rsidR="00BD0270">
        <w:rPr>
          <w:rFonts w:cs="Arial"/>
          <w:szCs w:val="20"/>
        </w:rPr>
        <w:t xml:space="preserve">, </w:t>
      </w:r>
      <w:r w:rsidR="00D65738">
        <w:rPr>
          <w:rFonts w:cs="Arial"/>
          <w:szCs w:val="20"/>
        </w:rPr>
        <w:t>2015</w:t>
      </w:r>
      <w:r w:rsidR="00F74522">
        <w:rPr>
          <w:rFonts w:cs="Arial"/>
          <w:szCs w:val="20"/>
        </w:rPr>
        <w:t>)</w:t>
      </w:r>
      <w:r w:rsidR="00D65738">
        <w:rPr>
          <w:rFonts w:cs="Arial"/>
          <w:szCs w:val="20"/>
        </w:rPr>
        <w:t xml:space="preserve">. </w:t>
      </w:r>
    </w:p>
    <w:p w14:paraId="60F814BD" w14:textId="37AA5CCE" w:rsidR="0014195F" w:rsidRPr="00F87434" w:rsidRDefault="0014195F" w:rsidP="0014195F">
      <w:pPr>
        <w:pStyle w:val="Para0"/>
      </w:pPr>
      <w:r w:rsidRPr="00F87434">
        <w:t xml:space="preserve">Black Box tends to grow as a dominant or co-dominant species (e.g. with Coolibah </w:t>
      </w:r>
      <w:r>
        <w:t>(</w:t>
      </w:r>
      <w:r w:rsidRPr="00F87434">
        <w:rPr>
          <w:i/>
        </w:rPr>
        <w:t>Eucalyptus coolabah</w:t>
      </w:r>
      <w:r>
        <w:rPr>
          <w:i/>
        </w:rPr>
        <w:t>)</w:t>
      </w:r>
      <w:r w:rsidRPr="00F87434">
        <w:rPr>
          <w:i/>
        </w:rPr>
        <w:t>,</w:t>
      </w:r>
      <w:r w:rsidRPr="00F87434">
        <w:t xml:space="preserve"> </w:t>
      </w:r>
      <w:r w:rsidR="00DA18B2">
        <w:t>River Red Gum (</w:t>
      </w:r>
      <w:r w:rsidR="00DA18B2" w:rsidRPr="00DA18B2">
        <w:rPr>
          <w:i/>
        </w:rPr>
        <w:t>E. camaldulensis</w:t>
      </w:r>
      <w:r w:rsidR="00DA18B2">
        <w:t xml:space="preserve">), </w:t>
      </w:r>
      <w:r w:rsidRPr="00F87434">
        <w:t>Buloke</w:t>
      </w:r>
      <w:r>
        <w:t xml:space="preserve"> (</w:t>
      </w:r>
      <w:r w:rsidRPr="00F87434">
        <w:rPr>
          <w:i/>
        </w:rPr>
        <w:t>Allocasuarina leuhmannii</w:t>
      </w:r>
      <w:r>
        <w:rPr>
          <w:i/>
        </w:rPr>
        <w:t>)</w:t>
      </w:r>
      <w:r w:rsidRPr="00F87434">
        <w:t xml:space="preserve"> or River Coobah </w:t>
      </w:r>
      <w:r>
        <w:t>(</w:t>
      </w:r>
      <w:r w:rsidRPr="00F87434">
        <w:rPr>
          <w:i/>
        </w:rPr>
        <w:t>Acacia stenophylla</w:t>
      </w:r>
      <w:r>
        <w:rPr>
          <w:i/>
        </w:rPr>
        <w:t>)</w:t>
      </w:r>
      <w:r w:rsidRPr="00F87434">
        <w:t>) over a sparse to dense understorey of small to medium-sized saltbushes and short-lived herbs and grasses, with occasional dense thickets of Lignum (</w:t>
      </w:r>
      <w:r w:rsidRPr="00F87434">
        <w:rPr>
          <w:i/>
        </w:rPr>
        <w:t>Duma florulenta</w:t>
      </w:r>
      <w:r w:rsidRPr="00F87434">
        <w:t xml:space="preserve">). Where the overstorey is sparser, </w:t>
      </w:r>
      <w:r w:rsidRPr="008E4666">
        <w:rPr>
          <w:i/>
        </w:rPr>
        <w:t>Chenopod</w:t>
      </w:r>
      <w:r w:rsidRPr="00F87434">
        <w:t xml:space="preserve"> shrubland can also develop in the understorey</w:t>
      </w:r>
      <w:r w:rsidR="0072453D">
        <w:t xml:space="preserve"> (Smith and Smith 2014</w:t>
      </w:r>
      <w:r w:rsidR="00DA18B2">
        <w:t>; Roberts J. 2004</w:t>
      </w:r>
      <w:r w:rsidR="00FE1285">
        <w:t>)</w:t>
      </w:r>
      <w:r w:rsidRPr="00F87434">
        <w:t xml:space="preserve">. The following Black Box community is formally protected by legislation: </w:t>
      </w:r>
    </w:p>
    <w:p w14:paraId="284087E1" w14:textId="43850DB8" w:rsidR="0014195F" w:rsidRPr="00E81BE2" w:rsidRDefault="0014195F" w:rsidP="00D27251">
      <w:pPr>
        <w:pStyle w:val="Para0bullet"/>
        <w:tabs>
          <w:tab w:val="clear" w:pos="851"/>
        </w:tabs>
        <w:spacing w:after="0"/>
        <w:ind w:left="850"/>
      </w:pPr>
      <w:r w:rsidRPr="00E81BE2">
        <w:t xml:space="preserve">Coolibah - Black Box Woodlands of the Darling Riverine Plains and the Brigalow Belt South Bioregions (Endangered), </w:t>
      </w:r>
      <w:r w:rsidRPr="00E81BE2">
        <w:rPr>
          <w:i/>
        </w:rPr>
        <w:t>Environment Protection and Biodiversity Conservation Act 1999</w:t>
      </w:r>
      <w:r w:rsidRPr="00E81BE2">
        <w:t xml:space="preserve"> (Aus</w:t>
      </w:r>
      <w:r w:rsidR="00AD6010">
        <w:t>.</w:t>
      </w:r>
      <w:r w:rsidRPr="00E81BE2">
        <w:t xml:space="preserve">) and </w:t>
      </w:r>
      <w:r w:rsidRPr="00E81BE2">
        <w:rPr>
          <w:i/>
        </w:rPr>
        <w:t>Threatened Species Conservation Act 1995</w:t>
      </w:r>
      <w:r w:rsidRPr="00E81BE2">
        <w:t xml:space="preserve"> (NSW).</w:t>
      </w:r>
    </w:p>
    <w:p w14:paraId="1ED536B5" w14:textId="2FA666F0" w:rsidR="0069149A" w:rsidRDefault="0069149A" w:rsidP="008C791B">
      <w:pPr>
        <w:pStyle w:val="Para0"/>
        <w:keepNext/>
        <w:jc w:val="center"/>
      </w:pPr>
      <w:r>
        <w:rPr>
          <w:noProof/>
          <w:lang w:eastAsia="en-AU"/>
        </w:rPr>
        <w:drawing>
          <wp:inline distT="0" distB="0" distL="0" distR="0" wp14:anchorId="1DC7E433" wp14:editId="03246F04">
            <wp:extent cx="4257621" cy="30670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SC_7440.JPG"/>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4276846" cy="3080899"/>
                    </a:xfrm>
                    <a:prstGeom prst="rect">
                      <a:avLst/>
                    </a:prstGeom>
                    <a:ln>
                      <a:noFill/>
                    </a:ln>
                    <a:extLst>
                      <a:ext uri="{53640926-AAD7-44D8-BBD7-CCE9431645EC}">
                        <a14:shadowObscured xmlns:a14="http://schemas.microsoft.com/office/drawing/2010/main"/>
                      </a:ext>
                    </a:extLst>
                  </pic:spPr>
                </pic:pic>
              </a:graphicData>
            </a:graphic>
          </wp:inline>
        </w:drawing>
      </w:r>
    </w:p>
    <w:p w14:paraId="58CC6F42" w14:textId="7B402E9C" w:rsidR="0014195F" w:rsidRDefault="0014195F" w:rsidP="008C791B">
      <w:pPr>
        <w:pStyle w:val="Caption"/>
      </w:pPr>
      <w:bookmarkStart w:id="8" w:name="_Ref468880859"/>
      <w:bookmarkStart w:id="9" w:name="_Toc514018070"/>
      <w:r w:rsidRPr="00890425">
        <w:t xml:space="preserve">Figure </w:t>
      </w:r>
      <w:r w:rsidR="004F42DD">
        <w:fldChar w:fldCharType="begin"/>
      </w:r>
      <w:r w:rsidR="004F42DD">
        <w:instrText xml:space="preserve"> STYLEREF 1 \s </w:instrText>
      </w:r>
      <w:r w:rsidR="004F42DD">
        <w:fldChar w:fldCharType="separate"/>
      </w:r>
      <w:r w:rsidR="00BF015B">
        <w:rPr>
          <w:noProof/>
        </w:rPr>
        <w:t>1</w:t>
      </w:r>
      <w:r w:rsidR="004F42DD">
        <w:fldChar w:fldCharType="end"/>
      </w:r>
      <w:r w:rsidR="004F42DD">
        <w:noBreakHyphen/>
      </w:r>
      <w:r w:rsidR="004F42DD">
        <w:fldChar w:fldCharType="begin"/>
      </w:r>
      <w:r w:rsidR="004F42DD">
        <w:instrText xml:space="preserve"> SEQ Figure \* ARABIC \s 1 </w:instrText>
      </w:r>
      <w:r w:rsidR="004F42DD">
        <w:fldChar w:fldCharType="separate"/>
      </w:r>
      <w:r w:rsidR="00BF015B">
        <w:rPr>
          <w:noProof/>
        </w:rPr>
        <w:t>1</w:t>
      </w:r>
      <w:r w:rsidR="004F42DD">
        <w:fldChar w:fldCharType="end"/>
      </w:r>
      <w:bookmarkEnd w:id="8"/>
      <w:r w:rsidRPr="00890425">
        <w:t>: A typical Black Box (Eucalyptus largiflorens) growing on a floodplain in the</w:t>
      </w:r>
      <w:r w:rsidR="000C47B9" w:rsidRPr="00890425">
        <w:t xml:space="preserve"> Lower </w:t>
      </w:r>
      <w:r w:rsidR="00E44465">
        <w:t xml:space="preserve">River </w:t>
      </w:r>
      <w:r w:rsidR="000C47B9" w:rsidRPr="00890425">
        <w:t>Murray (Southern Murray Darling</w:t>
      </w:r>
      <w:r w:rsidRPr="00890425">
        <w:t xml:space="preserve"> Basin</w:t>
      </w:r>
      <w:r w:rsidR="000C47B9" w:rsidRPr="00890425">
        <w:t>)</w:t>
      </w:r>
      <w:r w:rsidRPr="00890425">
        <w:t xml:space="preserve"> (Photo: </w:t>
      </w:r>
      <w:r w:rsidR="0069149A" w:rsidRPr="00890425">
        <w:t>I</w:t>
      </w:r>
      <w:r w:rsidRPr="00890425">
        <w:t xml:space="preserve">. </w:t>
      </w:r>
      <w:r w:rsidR="0069149A" w:rsidRPr="00890425">
        <w:t>Overton</w:t>
      </w:r>
      <w:r w:rsidRPr="00890425">
        <w:t xml:space="preserve">, </w:t>
      </w:r>
      <w:r w:rsidR="0069149A" w:rsidRPr="00890425">
        <w:t>Jacobs</w:t>
      </w:r>
      <w:r w:rsidRPr="00890425">
        <w:t>)</w:t>
      </w:r>
      <w:bookmarkEnd w:id="9"/>
    </w:p>
    <w:p w14:paraId="35D52D5D" w14:textId="1F39F96B" w:rsidR="0014195F" w:rsidRPr="00F87434" w:rsidRDefault="0014195F" w:rsidP="0014195F">
      <w:pPr>
        <w:pStyle w:val="Para0"/>
      </w:pPr>
      <w:r w:rsidRPr="00F87434">
        <w:t xml:space="preserve">Black Box communities provide a diversity of habitat </w:t>
      </w:r>
      <w:r>
        <w:t xml:space="preserve">that </w:t>
      </w:r>
      <w:r w:rsidRPr="00F87434">
        <w:t>support</w:t>
      </w:r>
      <w:r w:rsidR="00A5351E">
        <w:t>s</w:t>
      </w:r>
      <w:r w:rsidRPr="00F87434">
        <w:t xml:space="preserve"> on-ground foraging within accumulated litter, and hollow nesting fauna in stands of an appropriate age. Black Box communities provide hab</w:t>
      </w:r>
      <w:r w:rsidR="0072453D">
        <w:t xml:space="preserve">itat and other resources to </w:t>
      </w:r>
      <w:r w:rsidRPr="00F87434">
        <w:t xml:space="preserve">species of national conservation significance under the </w:t>
      </w:r>
      <w:r w:rsidRPr="00F87434">
        <w:rPr>
          <w:i/>
        </w:rPr>
        <w:t xml:space="preserve">Environment Protection and Biodiversity Conservation Act 1999 </w:t>
      </w:r>
      <w:r w:rsidRPr="00F87434">
        <w:t>(</w:t>
      </w:r>
      <w:r>
        <w:t>in addition to</w:t>
      </w:r>
      <w:r w:rsidRPr="00F87434">
        <w:t xml:space="preserve"> many state species</w:t>
      </w:r>
      <w:r>
        <w:t xml:space="preserve"> </w:t>
      </w:r>
      <w:r w:rsidR="00B624D4">
        <w:t xml:space="preserve">that are </w:t>
      </w:r>
      <w:r>
        <w:t>not listed</w:t>
      </w:r>
      <w:r w:rsidR="0072453D">
        <w:t xml:space="preserve"> below</w:t>
      </w:r>
      <w:r w:rsidRPr="00F87434">
        <w:t>):</w:t>
      </w:r>
    </w:p>
    <w:p w14:paraId="4E3A2253" w14:textId="7A009DDB" w:rsidR="0014195F" w:rsidRPr="006B48D9" w:rsidRDefault="0014195F" w:rsidP="00D27251">
      <w:pPr>
        <w:pStyle w:val="Para0bullet"/>
        <w:tabs>
          <w:tab w:val="clear" w:pos="851"/>
        </w:tabs>
        <w:spacing w:after="0"/>
        <w:ind w:left="850"/>
      </w:pPr>
      <w:r w:rsidRPr="006B48D9">
        <w:t xml:space="preserve">Regent Parrot (eastern), </w:t>
      </w:r>
      <w:r w:rsidRPr="006B48D9">
        <w:rPr>
          <w:i/>
        </w:rPr>
        <w:t>Polytelis anthopeplus monarchoides</w:t>
      </w:r>
      <w:r w:rsidRPr="006B48D9">
        <w:t xml:space="preserve"> (Vulnerable) </w:t>
      </w:r>
    </w:p>
    <w:p w14:paraId="2743A651" w14:textId="239E008A" w:rsidR="0014195F" w:rsidRPr="006B48D9" w:rsidRDefault="0014195F" w:rsidP="00D27251">
      <w:pPr>
        <w:pStyle w:val="Para0bullet"/>
        <w:tabs>
          <w:tab w:val="clear" w:pos="851"/>
        </w:tabs>
        <w:spacing w:after="0"/>
        <w:ind w:left="850"/>
      </w:pPr>
      <w:r w:rsidRPr="006B48D9">
        <w:t xml:space="preserve">Squatter Pigeon, </w:t>
      </w:r>
      <w:r w:rsidRPr="006B48D9">
        <w:rPr>
          <w:i/>
        </w:rPr>
        <w:t>Geophaps scripta</w:t>
      </w:r>
      <w:r w:rsidRPr="006B48D9">
        <w:t xml:space="preserve"> (Vulnerable)</w:t>
      </w:r>
    </w:p>
    <w:p w14:paraId="450BA7EA" w14:textId="14A85F67" w:rsidR="0014195F" w:rsidRPr="006B48D9" w:rsidRDefault="0014195F" w:rsidP="00D27251">
      <w:pPr>
        <w:pStyle w:val="Para0bullet"/>
        <w:tabs>
          <w:tab w:val="clear" w:pos="851"/>
        </w:tabs>
        <w:spacing w:after="0"/>
        <w:ind w:left="850"/>
      </w:pPr>
      <w:r w:rsidRPr="006B48D9">
        <w:t xml:space="preserve">Greater Long-eared Bat, </w:t>
      </w:r>
      <w:r w:rsidRPr="006B48D9">
        <w:rPr>
          <w:i/>
        </w:rPr>
        <w:t>Nyctophilus corbeni</w:t>
      </w:r>
      <w:r w:rsidRPr="006B48D9">
        <w:t xml:space="preserve"> (Vulnerable)</w:t>
      </w:r>
    </w:p>
    <w:p w14:paraId="6B3595D8" w14:textId="35B3EBA6" w:rsidR="0014195F" w:rsidRPr="006B48D9" w:rsidRDefault="0014195F" w:rsidP="00D27251">
      <w:pPr>
        <w:pStyle w:val="Para0bullet"/>
        <w:tabs>
          <w:tab w:val="clear" w:pos="851"/>
        </w:tabs>
        <w:spacing w:after="0"/>
        <w:ind w:left="850"/>
      </w:pPr>
      <w:r w:rsidRPr="006B48D9">
        <w:t xml:space="preserve">Five-clawed Work-skink, </w:t>
      </w:r>
      <w:r w:rsidRPr="006B48D9">
        <w:rPr>
          <w:i/>
        </w:rPr>
        <w:t>Anomalopus mackayi</w:t>
      </w:r>
      <w:r w:rsidRPr="006B48D9">
        <w:t xml:space="preserve"> (Vulnerable)</w:t>
      </w:r>
    </w:p>
    <w:p w14:paraId="01C27782" w14:textId="700C28B9" w:rsidR="0014195F" w:rsidRPr="00A344B5" w:rsidRDefault="0014195F" w:rsidP="00D27251">
      <w:pPr>
        <w:pStyle w:val="Para0bullet"/>
        <w:tabs>
          <w:tab w:val="clear" w:pos="851"/>
        </w:tabs>
        <w:spacing w:after="0"/>
        <w:ind w:left="850"/>
        <w:rPr>
          <w:lang w:val="es-ES"/>
        </w:rPr>
      </w:pPr>
      <w:r w:rsidRPr="00A344B5">
        <w:rPr>
          <w:lang w:val="es-ES"/>
        </w:rPr>
        <w:t xml:space="preserve">Ornamental Snake, </w:t>
      </w:r>
      <w:r w:rsidRPr="00A344B5">
        <w:rPr>
          <w:i/>
          <w:lang w:val="es-ES"/>
        </w:rPr>
        <w:t>Denisonia maculata</w:t>
      </w:r>
      <w:r w:rsidRPr="00A344B5">
        <w:rPr>
          <w:lang w:val="es-ES"/>
        </w:rPr>
        <w:t xml:space="preserve"> (Vulnerable)</w:t>
      </w:r>
    </w:p>
    <w:p w14:paraId="1C6F6968" w14:textId="45C6B2E2" w:rsidR="0014195F" w:rsidRPr="006B48D9" w:rsidRDefault="0014195F" w:rsidP="00D27251">
      <w:pPr>
        <w:pStyle w:val="Para0bullet"/>
        <w:tabs>
          <w:tab w:val="clear" w:pos="851"/>
        </w:tabs>
        <w:spacing w:after="0"/>
        <w:ind w:left="850"/>
      </w:pPr>
      <w:r w:rsidRPr="006B48D9">
        <w:t xml:space="preserve">Saltbush, </w:t>
      </w:r>
      <w:r w:rsidRPr="006B48D9">
        <w:rPr>
          <w:i/>
        </w:rPr>
        <w:t>Atriplex infrequens</w:t>
      </w:r>
      <w:r w:rsidRPr="006B48D9">
        <w:t xml:space="preserve"> (Vulnerable)</w:t>
      </w:r>
    </w:p>
    <w:p w14:paraId="792B7094" w14:textId="64272DBA" w:rsidR="0014195F" w:rsidRPr="00A344B5" w:rsidRDefault="0014195F" w:rsidP="00D27251">
      <w:pPr>
        <w:pStyle w:val="Para0bullet"/>
        <w:tabs>
          <w:tab w:val="clear" w:pos="851"/>
        </w:tabs>
        <w:spacing w:after="0"/>
        <w:ind w:left="850"/>
        <w:rPr>
          <w:lang w:val="es-ES"/>
        </w:rPr>
      </w:pPr>
      <w:r w:rsidRPr="00A344B5">
        <w:rPr>
          <w:lang w:val="es-ES"/>
        </w:rPr>
        <w:t xml:space="preserve">Mossgiel Daisy, </w:t>
      </w:r>
      <w:r w:rsidRPr="00A344B5">
        <w:rPr>
          <w:i/>
          <w:lang w:val="es-ES"/>
        </w:rPr>
        <w:t>Brachyscome papillosa</w:t>
      </w:r>
      <w:r w:rsidRPr="00A344B5">
        <w:rPr>
          <w:lang w:val="es-ES"/>
        </w:rPr>
        <w:t xml:space="preserve"> (Vulnerable)</w:t>
      </w:r>
    </w:p>
    <w:p w14:paraId="128ADEA5" w14:textId="57787C0E" w:rsidR="0014195F" w:rsidRPr="006B48D9" w:rsidRDefault="0014195F" w:rsidP="00D27251">
      <w:pPr>
        <w:pStyle w:val="Para0bullet"/>
        <w:tabs>
          <w:tab w:val="clear" w:pos="851"/>
        </w:tabs>
        <w:spacing w:after="0"/>
        <w:ind w:left="850"/>
      </w:pPr>
      <w:r w:rsidRPr="006B48D9">
        <w:t xml:space="preserve">Winged Peppercress, </w:t>
      </w:r>
      <w:r w:rsidRPr="006B48D9">
        <w:rPr>
          <w:i/>
        </w:rPr>
        <w:t>Lepidium monoplocoides</w:t>
      </w:r>
      <w:r w:rsidRPr="006B48D9">
        <w:t xml:space="preserve"> (Endangered)</w:t>
      </w:r>
    </w:p>
    <w:p w14:paraId="748C2399" w14:textId="13375517" w:rsidR="00B624D4" w:rsidRDefault="0014195F" w:rsidP="006B6144">
      <w:pPr>
        <w:pStyle w:val="Para0bullet"/>
        <w:tabs>
          <w:tab w:val="clear" w:pos="851"/>
        </w:tabs>
        <w:spacing w:after="0"/>
        <w:ind w:left="850"/>
      </w:pPr>
      <w:r w:rsidRPr="006B48D9">
        <w:t xml:space="preserve">Slender Darling-pea, </w:t>
      </w:r>
      <w:r w:rsidRPr="00744CE1">
        <w:rPr>
          <w:i/>
        </w:rPr>
        <w:t>Swainsona murrayana</w:t>
      </w:r>
      <w:r w:rsidRPr="006B48D9">
        <w:t xml:space="preserve"> (Vulnerable)</w:t>
      </w:r>
    </w:p>
    <w:p w14:paraId="30DDE0EF" w14:textId="77777777" w:rsidR="008C06C0" w:rsidRDefault="008C06C0" w:rsidP="002C79ED">
      <w:pPr>
        <w:pStyle w:val="Para1bullet"/>
        <w:rPr>
          <w:rFonts w:cs="Arial"/>
          <w:szCs w:val="20"/>
        </w:rPr>
      </w:pPr>
    </w:p>
    <w:p w14:paraId="1844E577" w14:textId="0DB01AD3" w:rsidR="002C79ED" w:rsidRDefault="002C79ED" w:rsidP="002C79ED">
      <w:pPr>
        <w:pStyle w:val="Para1bullet"/>
        <w:rPr>
          <w:rFonts w:cs="Arial"/>
          <w:szCs w:val="20"/>
        </w:rPr>
      </w:pPr>
      <w:r>
        <w:rPr>
          <w:rFonts w:cs="Arial"/>
          <w:szCs w:val="20"/>
        </w:rPr>
        <w:t xml:space="preserve">As a consequence of river regulation, the natural flood events that once supported Black Box </w:t>
      </w:r>
      <w:r w:rsidR="00F95BE9">
        <w:rPr>
          <w:rFonts w:cs="Arial"/>
          <w:szCs w:val="20"/>
        </w:rPr>
        <w:t>communities</w:t>
      </w:r>
      <w:r>
        <w:rPr>
          <w:rFonts w:cs="Arial"/>
          <w:szCs w:val="20"/>
        </w:rPr>
        <w:t xml:space="preserve"> </w:t>
      </w:r>
      <w:r w:rsidRPr="00F87434">
        <w:rPr>
          <w:rFonts w:cs="Arial"/>
          <w:szCs w:val="20"/>
        </w:rPr>
        <w:t xml:space="preserve">are now </w:t>
      </w:r>
      <w:r>
        <w:rPr>
          <w:rFonts w:cs="Arial"/>
          <w:szCs w:val="20"/>
        </w:rPr>
        <w:t>typically</w:t>
      </w:r>
      <w:r w:rsidRPr="00F87434">
        <w:rPr>
          <w:rFonts w:cs="Arial"/>
          <w:szCs w:val="20"/>
        </w:rPr>
        <w:t xml:space="preserve"> smaller </w:t>
      </w:r>
      <w:r>
        <w:rPr>
          <w:rFonts w:cs="Arial"/>
          <w:szCs w:val="20"/>
        </w:rPr>
        <w:t xml:space="preserve">in magnitude and duration, </w:t>
      </w:r>
      <w:r w:rsidRPr="00F87434">
        <w:rPr>
          <w:rFonts w:cs="Arial"/>
          <w:szCs w:val="20"/>
        </w:rPr>
        <w:t xml:space="preserve">and </w:t>
      </w:r>
      <w:r>
        <w:rPr>
          <w:rFonts w:cs="Arial"/>
          <w:szCs w:val="20"/>
        </w:rPr>
        <w:t xml:space="preserve">much </w:t>
      </w:r>
      <w:r w:rsidRPr="00F87434">
        <w:rPr>
          <w:rFonts w:cs="Arial"/>
          <w:szCs w:val="20"/>
        </w:rPr>
        <w:t>less frequent.</w:t>
      </w:r>
      <w:r>
        <w:rPr>
          <w:rFonts w:cs="Arial"/>
          <w:szCs w:val="20"/>
        </w:rPr>
        <w:t xml:space="preserve"> Significant areas of Black Box </w:t>
      </w:r>
      <w:r w:rsidR="00F95BE9">
        <w:rPr>
          <w:rFonts w:cs="Arial"/>
          <w:szCs w:val="20"/>
        </w:rPr>
        <w:t xml:space="preserve">communities </w:t>
      </w:r>
      <w:r>
        <w:rPr>
          <w:rFonts w:cs="Arial"/>
          <w:szCs w:val="20"/>
        </w:rPr>
        <w:t>now grow on the floodplain outside of the zone of influence of managed river flows</w:t>
      </w:r>
      <w:r w:rsidR="00A5351E">
        <w:rPr>
          <w:rFonts w:cs="Arial"/>
          <w:szCs w:val="20"/>
        </w:rPr>
        <w:t xml:space="preserve">. Thus, </w:t>
      </w:r>
      <w:r>
        <w:rPr>
          <w:rFonts w:cs="Arial"/>
          <w:szCs w:val="20"/>
        </w:rPr>
        <w:t>a holistic approach to management that extends beyond just environmental watering is needed.</w:t>
      </w:r>
      <w:r w:rsidRPr="00F87434">
        <w:rPr>
          <w:rFonts w:cs="Arial"/>
          <w:szCs w:val="20"/>
        </w:rPr>
        <w:t xml:space="preserve"> </w:t>
      </w:r>
      <w:r>
        <w:rPr>
          <w:rFonts w:cs="Arial"/>
          <w:szCs w:val="20"/>
        </w:rPr>
        <w:t xml:space="preserve">Black Box </w:t>
      </w:r>
      <w:r w:rsidR="00F95BE9">
        <w:rPr>
          <w:rFonts w:cs="Arial"/>
          <w:szCs w:val="20"/>
        </w:rPr>
        <w:t>communities</w:t>
      </w:r>
      <w:r>
        <w:rPr>
          <w:rFonts w:cs="Arial"/>
          <w:szCs w:val="20"/>
        </w:rPr>
        <w:t xml:space="preserve"> may display signs of response to a single watering event, however, achieving a sustained recovery and improvement in population condition is likely to require a long</w:t>
      </w:r>
      <w:r w:rsidR="006E7A50">
        <w:rPr>
          <w:rFonts w:cs="Arial"/>
          <w:szCs w:val="20"/>
        </w:rPr>
        <w:t>-</w:t>
      </w:r>
      <w:r>
        <w:rPr>
          <w:rFonts w:cs="Arial"/>
          <w:szCs w:val="20"/>
        </w:rPr>
        <w:t>term management commitment.</w:t>
      </w:r>
    </w:p>
    <w:p w14:paraId="2623BCA1" w14:textId="3801D8CF" w:rsidR="002C79ED" w:rsidRDefault="002C79ED" w:rsidP="002C79ED">
      <w:pPr>
        <w:pStyle w:val="Para1bullet"/>
        <w:rPr>
          <w:rFonts w:cs="Arial"/>
          <w:szCs w:val="20"/>
        </w:rPr>
      </w:pPr>
      <w:r>
        <w:rPr>
          <w:rFonts w:cs="Arial"/>
          <w:szCs w:val="20"/>
        </w:rPr>
        <w:t>The Basin Environmental Watering Strategy (BWS - MDBA, 2014) provides objectives and outcomes for the management of Black Box</w:t>
      </w:r>
      <w:r w:rsidR="00F95BE9">
        <w:rPr>
          <w:rFonts w:cs="Arial"/>
          <w:szCs w:val="20"/>
        </w:rPr>
        <w:t xml:space="preserve"> communities</w:t>
      </w:r>
      <w:r>
        <w:rPr>
          <w:rFonts w:cs="Arial"/>
          <w:szCs w:val="20"/>
        </w:rPr>
        <w:t>.</w:t>
      </w:r>
      <w:r w:rsidDel="008473FB">
        <w:rPr>
          <w:rFonts w:cs="Arial"/>
          <w:szCs w:val="20"/>
        </w:rPr>
        <w:t xml:space="preserve"> </w:t>
      </w:r>
      <w:r>
        <w:rPr>
          <w:rFonts w:cs="Arial"/>
          <w:szCs w:val="20"/>
        </w:rPr>
        <w:t>The long term</w:t>
      </w:r>
      <w:r w:rsidRPr="00F87434">
        <w:rPr>
          <w:rFonts w:cs="Arial"/>
          <w:szCs w:val="20"/>
        </w:rPr>
        <w:t xml:space="preserve"> </w:t>
      </w:r>
      <w:r>
        <w:rPr>
          <w:rFonts w:cs="Arial"/>
          <w:szCs w:val="20"/>
        </w:rPr>
        <w:t xml:space="preserve">general </w:t>
      </w:r>
      <w:r w:rsidRPr="00F87434">
        <w:rPr>
          <w:rFonts w:cs="Arial"/>
          <w:szCs w:val="20"/>
        </w:rPr>
        <w:t xml:space="preserve">decline in Black Box </w:t>
      </w:r>
      <w:r>
        <w:rPr>
          <w:rFonts w:cs="Arial"/>
          <w:szCs w:val="20"/>
        </w:rPr>
        <w:t>condition and functionality</w:t>
      </w:r>
      <w:r w:rsidRPr="00F87434">
        <w:rPr>
          <w:rFonts w:cs="Arial"/>
          <w:szCs w:val="20"/>
        </w:rPr>
        <w:t xml:space="preserve"> across the </w:t>
      </w:r>
      <w:r>
        <w:rPr>
          <w:rFonts w:cs="Arial"/>
          <w:szCs w:val="20"/>
        </w:rPr>
        <w:t>B</w:t>
      </w:r>
      <w:r w:rsidRPr="00F87434">
        <w:rPr>
          <w:rFonts w:cs="Arial"/>
          <w:szCs w:val="20"/>
        </w:rPr>
        <w:t xml:space="preserve">asin is </w:t>
      </w:r>
      <w:r>
        <w:rPr>
          <w:rFonts w:cs="Arial"/>
          <w:szCs w:val="20"/>
        </w:rPr>
        <w:t>the</w:t>
      </w:r>
      <w:r w:rsidRPr="00F87434">
        <w:rPr>
          <w:rFonts w:cs="Arial"/>
          <w:szCs w:val="20"/>
        </w:rPr>
        <w:t xml:space="preserve"> result of </w:t>
      </w:r>
      <w:r>
        <w:rPr>
          <w:rFonts w:cs="Arial"/>
          <w:szCs w:val="20"/>
        </w:rPr>
        <w:t>a combination of</w:t>
      </w:r>
      <w:r w:rsidRPr="00F87434">
        <w:rPr>
          <w:rFonts w:cs="Arial"/>
          <w:szCs w:val="20"/>
        </w:rPr>
        <w:t xml:space="preserve"> </w:t>
      </w:r>
      <w:r>
        <w:rPr>
          <w:rFonts w:cs="Arial"/>
          <w:szCs w:val="20"/>
        </w:rPr>
        <w:t>stressors. T</w:t>
      </w:r>
      <w:r w:rsidRPr="00F87434">
        <w:rPr>
          <w:rFonts w:cs="Arial"/>
          <w:szCs w:val="20"/>
        </w:rPr>
        <w:t>he influence of potential stressor</w:t>
      </w:r>
      <w:r>
        <w:rPr>
          <w:rFonts w:cs="Arial"/>
          <w:szCs w:val="20"/>
        </w:rPr>
        <w:t>s</w:t>
      </w:r>
      <w:r w:rsidRPr="00F87434">
        <w:rPr>
          <w:rFonts w:cs="Arial"/>
          <w:szCs w:val="20"/>
        </w:rPr>
        <w:t xml:space="preserve"> </w:t>
      </w:r>
      <w:r>
        <w:rPr>
          <w:rFonts w:cs="Arial"/>
          <w:szCs w:val="20"/>
        </w:rPr>
        <w:t xml:space="preserve">varies across </w:t>
      </w:r>
      <w:r w:rsidRPr="00F87434">
        <w:rPr>
          <w:rFonts w:cs="Arial"/>
          <w:szCs w:val="20"/>
        </w:rPr>
        <w:t>the Basin</w:t>
      </w:r>
      <w:r>
        <w:rPr>
          <w:rFonts w:cs="Arial"/>
          <w:szCs w:val="20"/>
        </w:rPr>
        <w:t xml:space="preserve"> however the</w:t>
      </w:r>
      <w:r w:rsidR="00B93C9F">
        <w:rPr>
          <w:rFonts w:cs="Arial"/>
          <w:szCs w:val="20"/>
        </w:rPr>
        <w:t>y</w:t>
      </w:r>
      <w:r>
        <w:rPr>
          <w:rFonts w:cs="Arial"/>
          <w:szCs w:val="20"/>
        </w:rPr>
        <w:t xml:space="preserve"> </w:t>
      </w:r>
      <w:r w:rsidRPr="00F87434">
        <w:rPr>
          <w:rFonts w:cs="Arial"/>
          <w:szCs w:val="20"/>
        </w:rPr>
        <w:t>includ</w:t>
      </w:r>
      <w:r>
        <w:rPr>
          <w:rFonts w:cs="Arial"/>
          <w:szCs w:val="20"/>
        </w:rPr>
        <w:t>e:</w:t>
      </w:r>
    </w:p>
    <w:p w14:paraId="44084162" w14:textId="77777777" w:rsidR="002C79ED" w:rsidRPr="006B5868" w:rsidRDefault="002C79ED" w:rsidP="00F22225">
      <w:pPr>
        <w:pStyle w:val="Para0bullet"/>
        <w:numPr>
          <w:ilvl w:val="0"/>
          <w:numId w:val="39"/>
        </w:numPr>
        <w:tabs>
          <w:tab w:val="clear" w:pos="851"/>
        </w:tabs>
        <w:spacing w:after="0"/>
      </w:pPr>
      <w:r>
        <w:t>reduced flooding frequency</w:t>
      </w:r>
    </w:p>
    <w:p w14:paraId="0BC11EBA" w14:textId="7335F839" w:rsidR="002C79ED" w:rsidRDefault="002C79ED" w:rsidP="00F22225">
      <w:pPr>
        <w:pStyle w:val="Para0bullet"/>
        <w:numPr>
          <w:ilvl w:val="0"/>
          <w:numId w:val="39"/>
        </w:numPr>
        <w:tabs>
          <w:tab w:val="clear" w:pos="851"/>
        </w:tabs>
        <w:spacing w:after="0"/>
      </w:pPr>
      <w:r>
        <w:t>elevated saline groundwater</w:t>
      </w:r>
      <w:r w:rsidR="00187697">
        <w:t xml:space="preserve"> levels (South-West of the MDB)</w:t>
      </w:r>
    </w:p>
    <w:p w14:paraId="374268FE" w14:textId="17DAEE15" w:rsidR="00324EC2" w:rsidRPr="006B5868" w:rsidRDefault="00324EC2" w:rsidP="00F22225">
      <w:pPr>
        <w:pStyle w:val="Para0bullet"/>
        <w:numPr>
          <w:ilvl w:val="0"/>
          <w:numId w:val="39"/>
        </w:numPr>
        <w:tabs>
          <w:tab w:val="clear" w:pos="851"/>
        </w:tabs>
        <w:spacing w:after="0"/>
      </w:pPr>
      <w:r>
        <w:t>reduced fresh groundwater</w:t>
      </w:r>
      <w:r w:rsidR="00187697">
        <w:t xml:space="preserve"> levels (North-East and East of the MDB)</w:t>
      </w:r>
    </w:p>
    <w:p w14:paraId="0AC47C0C" w14:textId="77777777" w:rsidR="002C79ED" w:rsidRPr="006B5868" w:rsidRDefault="002C79ED" w:rsidP="00F22225">
      <w:pPr>
        <w:pStyle w:val="Para0bullet"/>
        <w:numPr>
          <w:ilvl w:val="0"/>
          <w:numId w:val="39"/>
        </w:numPr>
        <w:tabs>
          <w:tab w:val="clear" w:pos="851"/>
        </w:tabs>
        <w:spacing w:after="0"/>
      </w:pPr>
      <w:r w:rsidRPr="006B5868">
        <w:t>elevated soil salinities</w:t>
      </w:r>
    </w:p>
    <w:p w14:paraId="2ED78DDC" w14:textId="77777777" w:rsidR="002C79ED" w:rsidRPr="006B5868" w:rsidRDefault="002C79ED" w:rsidP="00F22225">
      <w:pPr>
        <w:pStyle w:val="Para0bullet"/>
        <w:numPr>
          <w:ilvl w:val="0"/>
          <w:numId w:val="39"/>
        </w:numPr>
        <w:tabs>
          <w:tab w:val="clear" w:pos="851"/>
        </w:tabs>
        <w:spacing w:after="0"/>
      </w:pPr>
      <w:r w:rsidRPr="006B5868">
        <w:t>overgrazing</w:t>
      </w:r>
    </w:p>
    <w:p w14:paraId="7AEE9092" w14:textId="2F5B8AE2" w:rsidR="002C79ED" w:rsidRPr="002C79ED" w:rsidRDefault="002C79ED" w:rsidP="00F22225">
      <w:pPr>
        <w:pStyle w:val="Para0bullet"/>
        <w:numPr>
          <w:ilvl w:val="0"/>
          <w:numId w:val="39"/>
        </w:numPr>
        <w:tabs>
          <w:tab w:val="clear" w:pos="851"/>
        </w:tabs>
        <w:spacing w:after="200"/>
        <w:rPr>
          <w:rFonts w:cs="Arial"/>
          <w:szCs w:val="20"/>
        </w:rPr>
      </w:pPr>
      <w:r>
        <w:t>tree clearing</w:t>
      </w:r>
      <w:r w:rsidR="00B93C9F">
        <w:t>.</w:t>
      </w:r>
    </w:p>
    <w:p w14:paraId="0ED61BF7" w14:textId="595EFDB8" w:rsidR="002C79ED" w:rsidRPr="006B48D9" w:rsidRDefault="002C79ED" w:rsidP="002C79ED">
      <w:pPr>
        <w:pStyle w:val="Para0arrow"/>
        <w:numPr>
          <w:ilvl w:val="0"/>
          <w:numId w:val="0"/>
        </w:numPr>
      </w:pPr>
      <w:bookmarkStart w:id="10" w:name="_Ref457554854"/>
      <w:bookmarkStart w:id="11" w:name="_Toc461006037"/>
      <w:r w:rsidRPr="00545074">
        <w:t xml:space="preserve">The </w:t>
      </w:r>
      <w:r>
        <w:t>continuing</w:t>
      </w:r>
      <w:r w:rsidRPr="00545074">
        <w:t xml:space="preserve"> decline </w:t>
      </w:r>
      <w:r>
        <w:t>in the health and survival</w:t>
      </w:r>
      <w:r w:rsidRPr="00545074">
        <w:t xml:space="preserve"> of a widespread floodplain species such as Black Box would have far reaching impacts to the associated ecosystem and physical characteristics of the environment. Large </w:t>
      </w:r>
      <w:r w:rsidR="00F95BE9">
        <w:t>communities of</w:t>
      </w:r>
      <w:r w:rsidRPr="00545074">
        <w:t xml:space="preserve"> Black Box across the Basin remain in poor condition </w:t>
      </w:r>
      <w:r>
        <w:t>indicated</w:t>
      </w:r>
      <w:r w:rsidRPr="00545074">
        <w:t xml:space="preserve"> by the impaired condition of mature trees and the lack of multiple age classes</w:t>
      </w:r>
      <w:r>
        <w:t xml:space="preserve"> (recruitment)</w:t>
      </w:r>
      <w:r w:rsidRPr="00545074">
        <w:t>.</w:t>
      </w:r>
      <w:r w:rsidRPr="00AB7AF0">
        <w:t xml:space="preserve"> </w:t>
      </w:r>
      <w:r w:rsidRPr="00545074">
        <w:t>A significant proportio</w:t>
      </w:r>
      <w:r>
        <w:t>n of Black Box</w:t>
      </w:r>
      <w:r w:rsidR="00F95BE9">
        <w:t xml:space="preserve"> communities</w:t>
      </w:r>
      <w:r>
        <w:t xml:space="preserve"> in the southern b</w:t>
      </w:r>
      <w:r w:rsidRPr="00545074">
        <w:t>asin is in poor to severely degraded condition</w:t>
      </w:r>
      <w:r>
        <w:t>; where condition has been assessed</w:t>
      </w:r>
      <w:r w:rsidRPr="00545074">
        <w:t xml:space="preserve"> (</w:t>
      </w:r>
      <w:r>
        <w:t>refer to</w:t>
      </w:r>
      <w:r w:rsidRPr="00545074">
        <w:t xml:space="preserve"> </w:t>
      </w:r>
      <w:r w:rsidRPr="0072453D">
        <w:t>Table 1.1, percent of vegetation assessed)</w:t>
      </w:r>
      <w:r>
        <w:t>. Where present in the northern b</w:t>
      </w:r>
      <w:r w:rsidRPr="005F0C5A">
        <w:t xml:space="preserve">asin Black Box </w:t>
      </w:r>
      <w:r w:rsidR="00F95BE9">
        <w:t>communities are</w:t>
      </w:r>
      <w:r>
        <w:t xml:space="preserve"> </w:t>
      </w:r>
      <w:r w:rsidRPr="006B48D9">
        <w:t xml:space="preserve">generally </w:t>
      </w:r>
      <w:r>
        <w:t xml:space="preserve">considered </w:t>
      </w:r>
      <w:r w:rsidRPr="006B48D9">
        <w:t>in better condition than pop</w:t>
      </w:r>
      <w:r>
        <w:t>ulations found in the southern b</w:t>
      </w:r>
      <w:r w:rsidRPr="006B48D9">
        <w:t>asin</w:t>
      </w:r>
      <w:r>
        <w:t xml:space="preserve">, however significantly affected by land clearing and floodplain isolation (earthworks) </w:t>
      </w:r>
      <w:r w:rsidRPr="005F0C5A">
        <w:t>(pers. comm. S</w:t>
      </w:r>
      <w:r>
        <w:t>.</w:t>
      </w:r>
      <w:r w:rsidRPr="005F0C5A">
        <w:t xml:space="preserve"> Bowen</w:t>
      </w:r>
      <w:r>
        <w:t>, NSW OEH</w:t>
      </w:r>
      <w:r w:rsidRPr="005F0C5A">
        <w:t>,</w:t>
      </w:r>
      <w:r>
        <w:t xml:space="preserve"> and </w:t>
      </w:r>
      <w:r w:rsidRPr="005F0C5A">
        <w:t>S</w:t>
      </w:r>
      <w:r>
        <w:t>.</w:t>
      </w:r>
      <w:r w:rsidRPr="005F0C5A">
        <w:t xml:space="preserve"> Capon,</w:t>
      </w:r>
      <w:r>
        <w:t xml:space="preserve"> Griffith University,</w:t>
      </w:r>
      <w:r w:rsidRPr="005F0C5A">
        <w:t xml:space="preserve"> 2016)</w:t>
      </w:r>
      <w:r>
        <w:t>.</w:t>
      </w:r>
    </w:p>
    <w:p w14:paraId="46FB799E" w14:textId="2717B4B2" w:rsidR="002C79ED" w:rsidRPr="00890425" w:rsidRDefault="002C79ED" w:rsidP="00890425">
      <w:pPr>
        <w:pStyle w:val="Caption"/>
      </w:pPr>
      <w:bookmarkStart w:id="12" w:name="_Toc514068767"/>
      <w:r w:rsidRPr="00890425">
        <w:t xml:space="preserve">Table </w:t>
      </w:r>
      <w:r w:rsidRPr="00890425">
        <w:fldChar w:fldCharType="begin"/>
      </w:r>
      <w:r w:rsidRPr="00890425">
        <w:instrText xml:space="preserve"> STYLEREF 1 \s </w:instrText>
      </w:r>
      <w:r w:rsidRPr="00890425">
        <w:fldChar w:fldCharType="separate"/>
      </w:r>
      <w:r w:rsidR="00BF015B">
        <w:rPr>
          <w:noProof/>
        </w:rPr>
        <w:t>1</w:t>
      </w:r>
      <w:r w:rsidRPr="00890425">
        <w:fldChar w:fldCharType="end"/>
      </w:r>
      <w:r w:rsidRPr="00890425">
        <w:noBreakHyphen/>
      </w:r>
      <w:r w:rsidRPr="00890425">
        <w:fldChar w:fldCharType="begin"/>
      </w:r>
      <w:r w:rsidRPr="00890425">
        <w:instrText xml:space="preserve"> SEQ Table \* ARABIC \s 1 </w:instrText>
      </w:r>
      <w:r w:rsidRPr="00890425">
        <w:fldChar w:fldCharType="separate"/>
      </w:r>
      <w:r w:rsidR="00BF015B">
        <w:rPr>
          <w:noProof/>
        </w:rPr>
        <w:t>1</w:t>
      </w:r>
      <w:r w:rsidRPr="00890425">
        <w:fldChar w:fldCharType="end"/>
      </w:r>
      <w:bookmarkEnd w:id="10"/>
      <w:r w:rsidRPr="00890425">
        <w:t xml:space="preserve">: Condition of Black Box trees in six major regions of the </w:t>
      </w:r>
      <w:bookmarkEnd w:id="11"/>
      <w:r w:rsidRPr="00890425">
        <w:t>Basin (Source: BWS - MDBA 2014)</w:t>
      </w:r>
      <w:bookmarkEnd w:id="12"/>
    </w:p>
    <w:tbl>
      <w:tblPr>
        <w:tblStyle w:val="TableGrid"/>
        <w:tblW w:w="4975"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783"/>
        <w:gridCol w:w="2718"/>
        <w:gridCol w:w="2718"/>
        <w:gridCol w:w="2637"/>
      </w:tblGrid>
      <w:tr w:rsidR="002C79ED" w:rsidRPr="00F87434" w14:paraId="74B037C9" w14:textId="77777777" w:rsidTr="003E19B4">
        <w:trPr>
          <w:tblHeader/>
        </w:trPr>
        <w:tc>
          <w:tcPr>
            <w:tcW w:w="904" w:type="pct"/>
            <w:tcBorders>
              <w:right w:val="single" w:sz="4" w:space="0" w:color="FFFFFF" w:themeColor="background1"/>
            </w:tcBorders>
            <w:shd w:val="clear" w:color="auto" w:fill="65876D" w:themeFill="accent4" w:themeFillShade="BF"/>
          </w:tcPr>
          <w:p w14:paraId="387586A7" w14:textId="77777777" w:rsidR="002C79ED" w:rsidRPr="00F87434" w:rsidRDefault="002C79ED" w:rsidP="003E19B4">
            <w:pPr>
              <w:pStyle w:val="Tableheading"/>
              <w:rPr>
                <w:color w:val="FFFFFF" w:themeColor="background1"/>
              </w:rPr>
            </w:pPr>
            <w:r w:rsidRPr="00F87434">
              <w:rPr>
                <w:color w:val="FFFFFF" w:themeColor="background1"/>
              </w:rPr>
              <w:t>Basin region</w:t>
            </w:r>
          </w:p>
        </w:tc>
        <w:tc>
          <w:tcPr>
            <w:tcW w:w="1379" w:type="pct"/>
            <w:tcBorders>
              <w:left w:val="single" w:sz="4" w:space="0" w:color="FFFFFF" w:themeColor="background1"/>
              <w:right w:val="single" w:sz="4" w:space="0" w:color="FFFFFF" w:themeColor="background1"/>
            </w:tcBorders>
            <w:shd w:val="clear" w:color="auto" w:fill="65876D" w:themeFill="accent4" w:themeFillShade="BF"/>
          </w:tcPr>
          <w:p w14:paraId="0FBB8FDC" w14:textId="77777777" w:rsidR="002C79ED" w:rsidRPr="00F87434" w:rsidRDefault="002C79ED" w:rsidP="003E19B4">
            <w:pPr>
              <w:pStyle w:val="Tableheading"/>
              <w:jc w:val="center"/>
              <w:rPr>
                <w:color w:val="FFFFFF" w:themeColor="background1"/>
              </w:rPr>
            </w:pPr>
            <w:r w:rsidRPr="00F87434">
              <w:rPr>
                <w:color w:val="FFFFFF" w:themeColor="background1"/>
              </w:rPr>
              <w:t>Vegetation with condition score 0 – 6</w:t>
            </w:r>
            <w:r w:rsidRPr="00F87434">
              <w:rPr>
                <w:color w:val="FFFFFF" w:themeColor="background1"/>
              </w:rPr>
              <w:br/>
              <w:t>(severely degraded – poor)</w:t>
            </w:r>
          </w:p>
        </w:tc>
        <w:tc>
          <w:tcPr>
            <w:tcW w:w="1379" w:type="pct"/>
            <w:tcBorders>
              <w:left w:val="single" w:sz="4" w:space="0" w:color="FFFFFF" w:themeColor="background1"/>
              <w:right w:val="single" w:sz="4" w:space="0" w:color="FFFFFF" w:themeColor="background1"/>
            </w:tcBorders>
            <w:shd w:val="clear" w:color="auto" w:fill="65876D" w:themeFill="accent4" w:themeFillShade="BF"/>
          </w:tcPr>
          <w:p w14:paraId="298AA092" w14:textId="77777777" w:rsidR="002C79ED" w:rsidRPr="00F87434" w:rsidRDefault="002C79ED" w:rsidP="003E19B4">
            <w:pPr>
              <w:pStyle w:val="Tableheading"/>
              <w:jc w:val="center"/>
              <w:rPr>
                <w:color w:val="FFFFFF" w:themeColor="background1"/>
              </w:rPr>
            </w:pPr>
            <w:r w:rsidRPr="00F87434">
              <w:rPr>
                <w:color w:val="FFFFFF" w:themeColor="background1"/>
              </w:rPr>
              <w:t>Vegetation with a condition score &gt;6-10</w:t>
            </w:r>
            <w:r w:rsidRPr="00F87434">
              <w:rPr>
                <w:color w:val="FFFFFF" w:themeColor="background1"/>
              </w:rPr>
              <w:br/>
              <w:t>(moderate – good)</w:t>
            </w:r>
          </w:p>
        </w:tc>
        <w:tc>
          <w:tcPr>
            <w:tcW w:w="1338" w:type="pct"/>
            <w:tcBorders>
              <w:left w:val="single" w:sz="4" w:space="0" w:color="FFFFFF" w:themeColor="background1"/>
            </w:tcBorders>
            <w:shd w:val="clear" w:color="auto" w:fill="65876D" w:themeFill="accent4" w:themeFillShade="BF"/>
          </w:tcPr>
          <w:p w14:paraId="463EDCFA" w14:textId="77777777" w:rsidR="002C79ED" w:rsidRPr="00F87434" w:rsidRDefault="002C79ED" w:rsidP="003E19B4">
            <w:pPr>
              <w:pStyle w:val="Tableheading"/>
              <w:jc w:val="center"/>
              <w:rPr>
                <w:color w:val="FFFFFF" w:themeColor="background1"/>
              </w:rPr>
            </w:pPr>
            <w:r w:rsidRPr="00F87434">
              <w:rPr>
                <w:color w:val="FFFFFF" w:themeColor="background1"/>
              </w:rPr>
              <w:t>Percent of vegetation assessed (</w:t>
            </w:r>
            <w:r>
              <w:rPr>
                <w:color w:val="FFFFFF" w:themeColor="background1"/>
              </w:rPr>
              <w:t>for the managed</w:t>
            </w:r>
            <w:r>
              <w:rPr>
                <w:color w:val="FFFFFF" w:themeColor="background1"/>
                <w:vertAlign w:val="superscript"/>
              </w:rPr>
              <w:t>1</w:t>
            </w:r>
            <w:r>
              <w:rPr>
                <w:color w:val="FFFFFF" w:themeColor="background1"/>
              </w:rPr>
              <w:t xml:space="preserve"> floodplain</w:t>
            </w:r>
            <w:r w:rsidRPr="00F87434">
              <w:rPr>
                <w:color w:val="FFFFFF" w:themeColor="background1"/>
              </w:rPr>
              <w:t>)</w:t>
            </w:r>
          </w:p>
        </w:tc>
      </w:tr>
      <w:tr w:rsidR="002C79ED" w:rsidRPr="00F87434" w14:paraId="16438CC0" w14:textId="77777777" w:rsidTr="003E19B4">
        <w:tc>
          <w:tcPr>
            <w:tcW w:w="904" w:type="pct"/>
          </w:tcPr>
          <w:p w14:paraId="27591979" w14:textId="77777777" w:rsidR="002C79ED" w:rsidRPr="00F87434" w:rsidRDefault="002C79ED" w:rsidP="003E19B4">
            <w:pPr>
              <w:pStyle w:val="Tablesmalltext"/>
            </w:pPr>
            <w:r w:rsidRPr="00F87434">
              <w:t>Lachlan</w:t>
            </w:r>
          </w:p>
        </w:tc>
        <w:tc>
          <w:tcPr>
            <w:tcW w:w="1379" w:type="pct"/>
          </w:tcPr>
          <w:p w14:paraId="20330FC0" w14:textId="77777777" w:rsidR="002C79ED" w:rsidRPr="00F87434" w:rsidRDefault="002C79ED" w:rsidP="003E19B4">
            <w:pPr>
              <w:pStyle w:val="Tablesmalltext"/>
              <w:jc w:val="center"/>
            </w:pPr>
            <w:r w:rsidRPr="00F87434">
              <w:t>72%</w:t>
            </w:r>
          </w:p>
        </w:tc>
        <w:tc>
          <w:tcPr>
            <w:tcW w:w="1379" w:type="pct"/>
          </w:tcPr>
          <w:p w14:paraId="61EFF597" w14:textId="77777777" w:rsidR="002C79ED" w:rsidRPr="00F87434" w:rsidRDefault="002C79ED" w:rsidP="003E19B4">
            <w:pPr>
              <w:pStyle w:val="Tablesmalltext"/>
              <w:jc w:val="center"/>
            </w:pPr>
            <w:r w:rsidRPr="00F87434">
              <w:t>28%</w:t>
            </w:r>
          </w:p>
        </w:tc>
        <w:tc>
          <w:tcPr>
            <w:tcW w:w="1338" w:type="pct"/>
          </w:tcPr>
          <w:p w14:paraId="4DAD8E93" w14:textId="77777777" w:rsidR="002C79ED" w:rsidRPr="00F87434" w:rsidRDefault="002C79ED" w:rsidP="003E19B4">
            <w:pPr>
              <w:pStyle w:val="Tablesmalltext"/>
              <w:jc w:val="center"/>
            </w:pPr>
            <w:r w:rsidRPr="00F87434">
              <w:t>45%</w:t>
            </w:r>
          </w:p>
        </w:tc>
      </w:tr>
      <w:tr w:rsidR="002C79ED" w:rsidRPr="00F87434" w14:paraId="7A2EC36B" w14:textId="77777777" w:rsidTr="003E19B4">
        <w:tc>
          <w:tcPr>
            <w:tcW w:w="904" w:type="pct"/>
          </w:tcPr>
          <w:p w14:paraId="387B5214" w14:textId="77777777" w:rsidR="002C79ED" w:rsidRPr="00F87434" w:rsidRDefault="002C79ED" w:rsidP="003E19B4">
            <w:pPr>
              <w:pStyle w:val="Tablesmalltext"/>
            </w:pPr>
            <w:r w:rsidRPr="00F87434">
              <w:t>Murrumbidgee</w:t>
            </w:r>
          </w:p>
        </w:tc>
        <w:tc>
          <w:tcPr>
            <w:tcW w:w="1379" w:type="pct"/>
          </w:tcPr>
          <w:p w14:paraId="6E08A92C" w14:textId="77777777" w:rsidR="002C79ED" w:rsidRPr="00F87434" w:rsidRDefault="002C79ED" w:rsidP="003E19B4">
            <w:pPr>
              <w:pStyle w:val="Tablesmalltext"/>
              <w:jc w:val="center"/>
            </w:pPr>
            <w:r w:rsidRPr="00F87434">
              <w:t>54%</w:t>
            </w:r>
          </w:p>
        </w:tc>
        <w:tc>
          <w:tcPr>
            <w:tcW w:w="1379" w:type="pct"/>
          </w:tcPr>
          <w:p w14:paraId="5D4EEA01" w14:textId="77777777" w:rsidR="002C79ED" w:rsidRPr="00F87434" w:rsidRDefault="002C79ED" w:rsidP="003E19B4">
            <w:pPr>
              <w:pStyle w:val="Tablesmalltext"/>
              <w:jc w:val="center"/>
            </w:pPr>
            <w:r w:rsidRPr="00F87434">
              <w:t>46%</w:t>
            </w:r>
          </w:p>
        </w:tc>
        <w:tc>
          <w:tcPr>
            <w:tcW w:w="1338" w:type="pct"/>
          </w:tcPr>
          <w:p w14:paraId="37740D4B" w14:textId="77777777" w:rsidR="002C79ED" w:rsidRPr="00F87434" w:rsidRDefault="002C79ED" w:rsidP="003E19B4">
            <w:pPr>
              <w:pStyle w:val="Tablesmalltext"/>
              <w:jc w:val="center"/>
            </w:pPr>
            <w:r w:rsidRPr="00F87434">
              <w:t>73%</w:t>
            </w:r>
          </w:p>
        </w:tc>
      </w:tr>
      <w:tr w:rsidR="002C79ED" w:rsidRPr="00F87434" w14:paraId="06875048" w14:textId="77777777" w:rsidTr="003E19B4">
        <w:tc>
          <w:tcPr>
            <w:tcW w:w="904" w:type="pct"/>
          </w:tcPr>
          <w:p w14:paraId="6F0BE384" w14:textId="77777777" w:rsidR="002C79ED" w:rsidRPr="00F87434" w:rsidRDefault="002C79ED" w:rsidP="003E19B4">
            <w:pPr>
              <w:pStyle w:val="Tablesmalltext"/>
            </w:pPr>
            <w:r w:rsidRPr="00F87434">
              <w:t>Lower Darling</w:t>
            </w:r>
          </w:p>
        </w:tc>
        <w:tc>
          <w:tcPr>
            <w:tcW w:w="1379" w:type="pct"/>
          </w:tcPr>
          <w:p w14:paraId="362444B3" w14:textId="77777777" w:rsidR="002C79ED" w:rsidRPr="00F87434" w:rsidRDefault="002C79ED" w:rsidP="003E19B4">
            <w:pPr>
              <w:pStyle w:val="Tablesmalltext"/>
              <w:jc w:val="center"/>
            </w:pPr>
            <w:r w:rsidRPr="00F87434">
              <w:t>72%</w:t>
            </w:r>
          </w:p>
        </w:tc>
        <w:tc>
          <w:tcPr>
            <w:tcW w:w="1379" w:type="pct"/>
          </w:tcPr>
          <w:p w14:paraId="286C69B6" w14:textId="77777777" w:rsidR="002C79ED" w:rsidRPr="00F87434" w:rsidRDefault="002C79ED" w:rsidP="003E19B4">
            <w:pPr>
              <w:pStyle w:val="Tablesmalltext"/>
              <w:jc w:val="center"/>
            </w:pPr>
            <w:r w:rsidRPr="00F87434">
              <w:t>28%</w:t>
            </w:r>
          </w:p>
        </w:tc>
        <w:tc>
          <w:tcPr>
            <w:tcW w:w="1338" w:type="pct"/>
          </w:tcPr>
          <w:p w14:paraId="6220270F" w14:textId="77777777" w:rsidR="002C79ED" w:rsidRPr="00F87434" w:rsidRDefault="002C79ED" w:rsidP="003E19B4">
            <w:pPr>
              <w:pStyle w:val="Tablesmalltext"/>
              <w:jc w:val="center"/>
            </w:pPr>
            <w:r w:rsidRPr="00F87434">
              <w:t>85%</w:t>
            </w:r>
          </w:p>
        </w:tc>
      </w:tr>
      <w:tr w:rsidR="002C79ED" w:rsidRPr="00F87434" w14:paraId="32F2569E" w14:textId="77777777" w:rsidTr="003E19B4">
        <w:tc>
          <w:tcPr>
            <w:tcW w:w="904" w:type="pct"/>
          </w:tcPr>
          <w:p w14:paraId="101F87DE" w14:textId="77777777" w:rsidR="002C79ED" w:rsidRPr="00F87434" w:rsidRDefault="002C79ED" w:rsidP="003E19B4">
            <w:pPr>
              <w:pStyle w:val="Tablesmalltext"/>
            </w:pPr>
            <w:r w:rsidRPr="00F87434">
              <w:t>Murray</w:t>
            </w:r>
          </w:p>
        </w:tc>
        <w:tc>
          <w:tcPr>
            <w:tcW w:w="1379" w:type="pct"/>
          </w:tcPr>
          <w:p w14:paraId="24ABFB7C" w14:textId="77777777" w:rsidR="002C79ED" w:rsidRPr="00F87434" w:rsidRDefault="002C79ED" w:rsidP="003E19B4">
            <w:pPr>
              <w:pStyle w:val="Tablesmalltext"/>
              <w:jc w:val="center"/>
            </w:pPr>
            <w:r w:rsidRPr="00F87434">
              <w:t>3</w:t>
            </w:r>
            <w:r>
              <w:t>5</w:t>
            </w:r>
            <w:r w:rsidRPr="00F87434">
              <w:t>%</w:t>
            </w:r>
          </w:p>
        </w:tc>
        <w:tc>
          <w:tcPr>
            <w:tcW w:w="1379" w:type="pct"/>
          </w:tcPr>
          <w:p w14:paraId="74DB817C" w14:textId="77777777" w:rsidR="002C79ED" w:rsidRPr="00F87434" w:rsidRDefault="002C79ED" w:rsidP="003E19B4">
            <w:pPr>
              <w:pStyle w:val="Tablesmalltext"/>
              <w:jc w:val="center"/>
            </w:pPr>
            <w:r w:rsidRPr="00F87434">
              <w:t>65%</w:t>
            </w:r>
          </w:p>
        </w:tc>
        <w:tc>
          <w:tcPr>
            <w:tcW w:w="1338" w:type="pct"/>
          </w:tcPr>
          <w:p w14:paraId="24037027" w14:textId="77777777" w:rsidR="002C79ED" w:rsidRPr="00F87434" w:rsidRDefault="002C79ED" w:rsidP="003E19B4">
            <w:pPr>
              <w:pStyle w:val="Tablesmalltext"/>
              <w:jc w:val="center"/>
            </w:pPr>
            <w:r w:rsidRPr="00F87434">
              <w:t>28%</w:t>
            </w:r>
          </w:p>
        </w:tc>
      </w:tr>
      <w:tr w:rsidR="002C79ED" w:rsidRPr="00F87434" w14:paraId="2A5E6F14" w14:textId="77777777" w:rsidTr="003E19B4">
        <w:tc>
          <w:tcPr>
            <w:tcW w:w="904" w:type="pct"/>
          </w:tcPr>
          <w:p w14:paraId="15F1CC0F" w14:textId="77777777" w:rsidR="002C79ED" w:rsidRPr="00F87434" w:rsidRDefault="002C79ED" w:rsidP="003E19B4">
            <w:pPr>
              <w:pStyle w:val="Tablesmalltext"/>
            </w:pPr>
            <w:r w:rsidRPr="00F87434">
              <w:t>Wimmera-Avoca</w:t>
            </w:r>
          </w:p>
        </w:tc>
        <w:tc>
          <w:tcPr>
            <w:tcW w:w="1379" w:type="pct"/>
          </w:tcPr>
          <w:p w14:paraId="782E1B0F" w14:textId="77777777" w:rsidR="002C79ED" w:rsidRPr="00F87434" w:rsidRDefault="002C79ED" w:rsidP="003E19B4">
            <w:pPr>
              <w:pStyle w:val="Tablesmalltext"/>
              <w:jc w:val="center"/>
            </w:pPr>
            <w:r w:rsidRPr="00F87434">
              <w:t>42%</w:t>
            </w:r>
          </w:p>
        </w:tc>
        <w:tc>
          <w:tcPr>
            <w:tcW w:w="1379" w:type="pct"/>
          </w:tcPr>
          <w:p w14:paraId="1BD116D2" w14:textId="77777777" w:rsidR="002C79ED" w:rsidRPr="00F87434" w:rsidRDefault="002C79ED" w:rsidP="003E19B4">
            <w:pPr>
              <w:pStyle w:val="Tablesmalltext"/>
              <w:jc w:val="center"/>
            </w:pPr>
            <w:r w:rsidRPr="00F87434">
              <w:t>58%</w:t>
            </w:r>
          </w:p>
        </w:tc>
        <w:tc>
          <w:tcPr>
            <w:tcW w:w="1338" w:type="pct"/>
          </w:tcPr>
          <w:p w14:paraId="3F65403E" w14:textId="77777777" w:rsidR="002C79ED" w:rsidRPr="00F87434" w:rsidRDefault="002C79ED" w:rsidP="003E19B4">
            <w:pPr>
              <w:pStyle w:val="Tablesmalltext"/>
              <w:jc w:val="center"/>
            </w:pPr>
            <w:r w:rsidRPr="00F87434">
              <w:t>26%</w:t>
            </w:r>
          </w:p>
        </w:tc>
      </w:tr>
      <w:tr w:rsidR="002C79ED" w:rsidRPr="00F87434" w14:paraId="2DC88ABA" w14:textId="77777777" w:rsidTr="003E19B4">
        <w:tc>
          <w:tcPr>
            <w:tcW w:w="904" w:type="pct"/>
          </w:tcPr>
          <w:p w14:paraId="03D822F8" w14:textId="77777777" w:rsidR="002C79ED" w:rsidRPr="00F87434" w:rsidRDefault="002C79ED" w:rsidP="003E19B4">
            <w:pPr>
              <w:pStyle w:val="Tablesmalltext"/>
            </w:pPr>
            <w:r w:rsidRPr="00F87434">
              <w:t>Goulburn-Broken</w:t>
            </w:r>
          </w:p>
        </w:tc>
        <w:tc>
          <w:tcPr>
            <w:tcW w:w="1379" w:type="pct"/>
          </w:tcPr>
          <w:p w14:paraId="15C22943" w14:textId="77777777" w:rsidR="002C79ED" w:rsidRPr="00F87434" w:rsidRDefault="002C79ED" w:rsidP="003E19B4">
            <w:pPr>
              <w:pStyle w:val="Tablesmalltext"/>
              <w:jc w:val="center"/>
            </w:pPr>
            <w:r w:rsidRPr="00F87434">
              <w:t>28%</w:t>
            </w:r>
          </w:p>
        </w:tc>
        <w:tc>
          <w:tcPr>
            <w:tcW w:w="1379" w:type="pct"/>
          </w:tcPr>
          <w:p w14:paraId="54B5A669" w14:textId="77777777" w:rsidR="002C79ED" w:rsidRPr="00F87434" w:rsidRDefault="002C79ED" w:rsidP="003E19B4">
            <w:pPr>
              <w:pStyle w:val="Tablesmalltext"/>
              <w:jc w:val="center"/>
            </w:pPr>
            <w:r w:rsidRPr="00F87434">
              <w:t>72%</w:t>
            </w:r>
          </w:p>
        </w:tc>
        <w:tc>
          <w:tcPr>
            <w:tcW w:w="1338" w:type="pct"/>
          </w:tcPr>
          <w:p w14:paraId="57BDF764" w14:textId="77777777" w:rsidR="002C79ED" w:rsidRPr="00F87434" w:rsidRDefault="002C79ED" w:rsidP="003E19B4">
            <w:pPr>
              <w:pStyle w:val="Tablesmalltext"/>
              <w:jc w:val="center"/>
            </w:pPr>
            <w:r w:rsidRPr="00F87434">
              <w:t>77%</w:t>
            </w:r>
          </w:p>
        </w:tc>
      </w:tr>
    </w:tbl>
    <w:p w14:paraId="017EBB6B" w14:textId="77777777" w:rsidR="002C79ED" w:rsidRDefault="002C79ED" w:rsidP="002C79ED">
      <w:pPr>
        <w:pStyle w:val="Para0"/>
        <w:spacing w:before="0"/>
        <w:rPr>
          <w:sz w:val="14"/>
        </w:rPr>
      </w:pPr>
      <w:r w:rsidRPr="00FD0DAF">
        <w:rPr>
          <w:sz w:val="18"/>
          <w:vertAlign w:val="superscript"/>
        </w:rPr>
        <w:t>1</w:t>
      </w:r>
      <w:r w:rsidRPr="00FD0DAF">
        <w:rPr>
          <w:sz w:val="14"/>
        </w:rPr>
        <w:t>The concept of t</w:t>
      </w:r>
      <w:r w:rsidRPr="00AE1F00">
        <w:rPr>
          <w:sz w:val="14"/>
        </w:rPr>
        <w:t xml:space="preserve">he managed floodplain is used within the BWS to differentiate between the extent to which flows can be </w:t>
      </w:r>
      <w:r w:rsidRPr="00AE1F00">
        <w:rPr>
          <w:i/>
          <w:iCs/>
          <w:sz w:val="14"/>
        </w:rPr>
        <w:t xml:space="preserve">actively </w:t>
      </w:r>
      <w:r w:rsidRPr="00AE1F00">
        <w:rPr>
          <w:sz w:val="14"/>
        </w:rPr>
        <w:t>managed on the floodplain using environmental water and existing infrastructure verses those areas which are out of scope for active flow management. Refer section 5.2 for a further description on managed and unmanaged floodplains</w:t>
      </w:r>
      <w:r>
        <w:rPr>
          <w:sz w:val="14"/>
        </w:rPr>
        <w:t>.</w:t>
      </w:r>
    </w:p>
    <w:p w14:paraId="498156E0" w14:textId="77777777" w:rsidR="002C79ED" w:rsidRPr="002C79ED" w:rsidRDefault="002C79ED" w:rsidP="002C79ED">
      <w:pPr>
        <w:pStyle w:val="Para0bullet"/>
        <w:numPr>
          <w:ilvl w:val="0"/>
          <w:numId w:val="0"/>
        </w:numPr>
        <w:tabs>
          <w:tab w:val="clear" w:pos="851"/>
        </w:tabs>
        <w:spacing w:after="200"/>
        <w:ind w:left="425" w:hanging="425"/>
        <w:rPr>
          <w:rFonts w:cs="Arial"/>
          <w:szCs w:val="20"/>
        </w:rPr>
        <w:sectPr w:rsidR="002C79ED" w:rsidRPr="002C79ED" w:rsidSect="00181AC4">
          <w:headerReference w:type="even" r:id="rId19"/>
          <w:footerReference w:type="default" r:id="rId20"/>
          <w:headerReference w:type="first" r:id="rId21"/>
          <w:pgSz w:w="11901" w:h="16840" w:code="9"/>
          <w:pgMar w:top="567" w:right="851" w:bottom="851" w:left="1134" w:header="567" w:footer="370" w:gutter="0"/>
          <w:pgNumType w:start="1"/>
          <w:cols w:space="0"/>
          <w:formProt w:val="0"/>
          <w:docGrid w:linePitch="360"/>
        </w:sectPr>
      </w:pPr>
    </w:p>
    <w:p w14:paraId="45C89D81" w14:textId="6BCB6BFF" w:rsidR="005C2C5A" w:rsidRDefault="00B93B69" w:rsidP="00934F72">
      <w:pPr>
        <w:pStyle w:val="Caption"/>
        <w:spacing w:before="0" w:after="0"/>
        <w:jc w:val="center"/>
      </w:pPr>
      <w:r>
        <w:br w:type="textWrapping" w:clear="all"/>
      </w:r>
      <w:bookmarkStart w:id="13" w:name="_Ref468879342"/>
      <w:r w:rsidR="00934F72">
        <w:rPr>
          <w:noProof/>
          <w:lang w:eastAsia="en-AU"/>
        </w:rPr>
        <w:drawing>
          <wp:inline distT="0" distB="0" distL="0" distR="0" wp14:anchorId="75FB10AB" wp14:editId="08F64F74">
            <wp:extent cx="13380109" cy="82296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Fig1.2 BB at basin scale.png"/>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13392924" cy="8237482"/>
                    </a:xfrm>
                    <a:prstGeom prst="rect">
                      <a:avLst/>
                    </a:prstGeom>
                    <a:ln>
                      <a:noFill/>
                    </a:ln>
                    <a:extLst>
                      <a:ext uri="{53640926-AAD7-44D8-BBD7-CCE9431645EC}">
                        <a14:shadowObscured xmlns:a14="http://schemas.microsoft.com/office/drawing/2010/main"/>
                      </a:ext>
                    </a:extLst>
                  </pic:spPr>
                </pic:pic>
              </a:graphicData>
            </a:graphic>
          </wp:inline>
        </w:drawing>
      </w:r>
    </w:p>
    <w:p w14:paraId="59AFA03A" w14:textId="6A509442" w:rsidR="00FF74ED" w:rsidRDefault="00FF74ED" w:rsidP="00EA581E">
      <w:pPr>
        <w:pStyle w:val="Caption"/>
        <w:jc w:val="center"/>
      </w:pPr>
      <w:bookmarkStart w:id="14" w:name="_Ref508871984"/>
      <w:bookmarkStart w:id="15" w:name="_Toc514018071"/>
      <w:r w:rsidRPr="006B6144">
        <w:t xml:space="preserve">Figure </w:t>
      </w:r>
      <w:r w:rsidR="004F42DD">
        <w:fldChar w:fldCharType="begin"/>
      </w:r>
      <w:r w:rsidR="004F42DD">
        <w:instrText xml:space="preserve"> STYLEREF 1 \s </w:instrText>
      </w:r>
      <w:r w:rsidR="004F42DD">
        <w:fldChar w:fldCharType="separate"/>
      </w:r>
      <w:r w:rsidR="00BF015B">
        <w:rPr>
          <w:noProof/>
        </w:rPr>
        <w:t>1</w:t>
      </w:r>
      <w:r w:rsidR="004F42DD">
        <w:fldChar w:fldCharType="end"/>
      </w:r>
      <w:r w:rsidR="004F42DD">
        <w:noBreakHyphen/>
      </w:r>
      <w:r w:rsidR="004F42DD">
        <w:fldChar w:fldCharType="begin"/>
      </w:r>
      <w:r w:rsidR="004F42DD">
        <w:instrText xml:space="preserve"> SEQ Figure \* ARABIC \s 1 </w:instrText>
      </w:r>
      <w:r w:rsidR="004F42DD">
        <w:fldChar w:fldCharType="separate"/>
      </w:r>
      <w:r w:rsidR="00BF015B">
        <w:rPr>
          <w:noProof/>
        </w:rPr>
        <w:t>2</w:t>
      </w:r>
      <w:r w:rsidR="004F42DD">
        <w:fldChar w:fldCharType="end"/>
      </w:r>
      <w:bookmarkEnd w:id="13"/>
      <w:bookmarkEnd w:id="14"/>
      <w:r w:rsidRPr="006B6144">
        <w:t>: Estimated Black Box distribution at the Basin scale</w:t>
      </w:r>
      <w:bookmarkEnd w:id="15"/>
      <w:r w:rsidR="0072453D">
        <w:t xml:space="preserve"> </w:t>
      </w:r>
    </w:p>
    <w:p w14:paraId="41A2C18A" w14:textId="77777777" w:rsidR="00FF74ED" w:rsidRPr="006B6144" w:rsidRDefault="00FF74ED" w:rsidP="00890425">
      <w:pPr>
        <w:pStyle w:val="Caption"/>
        <w:sectPr w:rsidR="00FF74ED" w:rsidRPr="006B6144" w:rsidSect="00FF74ED">
          <w:headerReference w:type="default" r:id="rId23"/>
          <w:pgSz w:w="23814" w:h="16839" w:orient="landscape" w:code="8"/>
          <w:pgMar w:top="1134" w:right="567" w:bottom="851" w:left="851" w:header="567" w:footer="370" w:gutter="0"/>
          <w:cols w:space="0"/>
          <w:formProt w:val="0"/>
          <w:docGrid w:linePitch="360"/>
        </w:sectPr>
      </w:pPr>
    </w:p>
    <w:p w14:paraId="26F8268E" w14:textId="7E76A470" w:rsidR="007F5DF9" w:rsidRDefault="00F95BE9" w:rsidP="009C71EC">
      <w:pPr>
        <w:pStyle w:val="Heading2"/>
        <w:rPr>
          <w:color w:val="65876D" w:themeColor="accent4" w:themeShade="BF"/>
        </w:rPr>
      </w:pPr>
      <w:bookmarkStart w:id="16" w:name="_Toc505261752"/>
      <w:bookmarkStart w:id="17" w:name="_Toc505262015"/>
      <w:bookmarkStart w:id="18" w:name="_Toc505262268"/>
      <w:bookmarkStart w:id="19" w:name="_Toc514017984"/>
      <w:bookmarkEnd w:id="16"/>
      <w:bookmarkEnd w:id="17"/>
      <w:bookmarkEnd w:id="18"/>
      <w:r>
        <w:rPr>
          <w:color w:val="65876D" w:themeColor="accent4" w:themeShade="BF"/>
        </w:rPr>
        <w:t>Objectives</w:t>
      </w:r>
      <w:r w:rsidR="007F5DF9">
        <w:rPr>
          <w:color w:val="65876D" w:themeColor="accent4" w:themeShade="BF"/>
        </w:rPr>
        <w:t xml:space="preserve"> of the Framework</w:t>
      </w:r>
      <w:bookmarkEnd w:id="19"/>
    </w:p>
    <w:p w14:paraId="11194C0F" w14:textId="77777777" w:rsidR="00F95BE9" w:rsidRDefault="00F95BE9" w:rsidP="00F95BE9">
      <w:pPr>
        <w:pStyle w:val="Para0"/>
        <w:rPr>
          <w:rFonts w:cs="Arial"/>
          <w:szCs w:val="20"/>
        </w:rPr>
      </w:pPr>
      <w:r w:rsidRPr="00F87434">
        <w:rPr>
          <w:rFonts w:cs="Arial"/>
          <w:szCs w:val="20"/>
        </w:rPr>
        <w:t xml:space="preserve">The </w:t>
      </w:r>
      <w:r>
        <w:rPr>
          <w:rFonts w:cs="Arial"/>
          <w:szCs w:val="20"/>
        </w:rPr>
        <w:t xml:space="preserve">overarching vision for the </w:t>
      </w:r>
      <w:r w:rsidRPr="00F87434">
        <w:rPr>
          <w:rFonts w:cs="Arial"/>
          <w:szCs w:val="20"/>
        </w:rPr>
        <w:t xml:space="preserve">Framework </w:t>
      </w:r>
      <w:r>
        <w:rPr>
          <w:rFonts w:cs="Arial"/>
          <w:szCs w:val="20"/>
        </w:rPr>
        <w:t>is that it should:</w:t>
      </w:r>
    </w:p>
    <w:p w14:paraId="12878CE5" w14:textId="7A8D119B" w:rsidR="00F95BE9" w:rsidRDefault="00F95BE9" w:rsidP="00F95BE9">
      <w:pPr>
        <w:pStyle w:val="Para0"/>
        <w:ind w:left="425"/>
        <w:rPr>
          <w:rFonts w:cs="Arial"/>
          <w:szCs w:val="20"/>
        </w:rPr>
      </w:pPr>
      <w:r>
        <w:rPr>
          <w:rFonts w:cs="Arial"/>
          <w:i/>
          <w:szCs w:val="20"/>
        </w:rPr>
        <w:t>“</w:t>
      </w:r>
      <w:r w:rsidR="005605DC">
        <w:rPr>
          <w:rFonts w:cs="Arial"/>
          <w:i/>
          <w:szCs w:val="20"/>
        </w:rPr>
        <w:t>A</w:t>
      </w:r>
      <w:r w:rsidRPr="00901260">
        <w:rPr>
          <w:rFonts w:cs="Arial"/>
          <w:i/>
          <w:szCs w:val="20"/>
        </w:rPr>
        <w:t xml:space="preserve">ssist </w:t>
      </w:r>
      <w:r>
        <w:rPr>
          <w:rFonts w:cs="Arial"/>
          <w:i/>
          <w:szCs w:val="20"/>
        </w:rPr>
        <w:t>practitioners</w:t>
      </w:r>
      <w:r w:rsidRPr="00901260">
        <w:rPr>
          <w:rFonts w:cs="Arial"/>
          <w:i/>
          <w:szCs w:val="20"/>
        </w:rPr>
        <w:t xml:space="preserve"> in the assessment, planning and implementation of management practices, working towards sustain</w:t>
      </w:r>
      <w:r>
        <w:rPr>
          <w:rFonts w:cs="Arial"/>
          <w:i/>
          <w:szCs w:val="20"/>
        </w:rPr>
        <w:t>able</w:t>
      </w:r>
      <w:r w:rsidRPr="00901260">
        <w:rPr>
          <w:rFonts w:cs="Arial"/>
          <w:i/>
          <w:szCs w:val="20"/>
        </w:rPr>
        <w:t xml:space="preserve"> ecological outcomes for the condition and extent of Black Box.</w:t>
      </w:r>
      <w:r>
        <w:rPr>
          <w:rFonts w:cs="Arial"/>
          <w:i/>
          <w:szCs w:val="20"/>
        </w:rPr>
        <w:t>”</w:t>
      </w:r>
      <w:r w:rsidRPr="00F87434">
        <w:rPr>
          <w:rFonts w:cs="Arial"/>
          <w:szCs w:val="20"/>
        </w:rPr>
        <w:t xml:space="preserve"> </w:t>
      </w:r>
    </w:p>
    <w:p w14:paraId="7534F349" w14:textId="378957D1" w:rsidR="00F95BE9" w:rsidRPr="002C79ED" w:rsidRDefault="00F95BE9" w:rsidP="00F95BE9">
      <w:pPr>
        <w:pStyle w:val="Para1bullet"/>
      </w:pPr>
      <w:r w:rsidRPr="00F87434">
        <w:rPr>
          <w:rFonts w:cs="Arial"/>
          <w:szCs w:val="20"/>
        </w:rPr>
        <w:t>The Framework provides a guided decision-making process</w:t>
      </w:r>
      <w:r>
        <w:rPr>
          <w:rFonts w:cs="Arial"/>
          <w:szCs w:val="20"/>
        </w:rPr>
        <w:t xml:space="preserve"> to</w:t>
      </w:r>
      <w:r w:rsidRPr="00C0196B">
        <w:rPr>
          <w:rFonts w:cs="Arial"/>
          <w:szCs w:val="20"/>
        </w:rPr>
        <w:t xml:space="preserve"> </w:t>
      </w:r>
      <w:r w:rsidRPr="00F87434">
        <w:rPr>
          <w:rFonts w:cs="Arial"/>
          <w:szCs w:val="20"/>
        </w:rPr>
        <w:t xml:space="preserve">support </w:t>
      </w:r>
      <w:r>
        <w:rPr>
          <w:rFonts w:cs="Arial"/>
          <w:szCs w:val="20"/>
        </w:rPr>
        <w:t xml:space="preserve">the </w:t>
      </w:r>
      <w:r w:rsidR="00623D49">
        <w:rPr>
          <w:rFonts w:cs="Arial"/>
          <w:szCs w:val="20"/>
        </w:rPr>
        <w:t>achievement of</w:t>
      </w:r>
      <w:r w:rsidRPr="00F87434">
        <w:rPr>
          <w:rFonts w:cs="Arial"/>
          <w:szCs w:val="20"/>
        </w:rPr>
        <w:t xml:space="preserve"> ecological </w:t>
      </w:r>
      <w:r>
        <w:rPr>
          <w:rFonts w:cs="Arial"/>
          <w:szCs w:val="20"/>
        </w:rPr>
        <w:t>outcomes</w:t>
      </w:r>
      <w:r w:rsidRPr="00F87434">
        <w:rPr>
          <w:rFonts w:cs="Arial"/>
          <w:szCs w:val="20"/>
        </w:rPr>
        <w:t xml:space="preserve"> for Black Box, with advice on how to</w:t>
      </w:r>
      <w:r>
        <w:rPr>
          <w:rFonts w:cs="Arial"/>
          <w:szCs w:val="20"/>
        </w:rPr>
        <w:t xml:space="preserve">: </w:t>
      </w:r>
    </w:p>
    <w:p w14:paraId="0B6621A9" w14:textId="77777777" w:rsidR="00F95BE9" w:rsidRPr="00C260AB" w:rsidRDefault="00F95BE9" w:rsidP="00F22225">
      <w:pPr>
        <w:pStyle w:val="Para1bullet"/>
        <w:numPr>
          <w:ilvl w:val="0"/>
          <w:numId w:val="61"/>
        </w:numPr>
      </w:pPr>
      <w:r>
        <w:rPr>
          <w:rFonts w:cs="Arial"/>
          <w:szCs w:val="20"/>
        </w:rPr>
        <w:t>Conduct</w:t>
      </w:r>
      <w:r w:rsidRPr="00F71E20">
        <w:t xml:space="preserve"> a site investigation, with the objective of understanding the </w:t>
      </w:r>
      <w:r w:rsidRPr="00E30A23">
        <w:rPr>
          <w:rFonts w:cs="Arial"/>
          <w:szCs w:val="20"/>
        </w:rPr>
        <w:t>condition of Black Box, stressors affecting Black Box, objectives, and the range of management options available at a site</w:t>
      </w:r>
      <w:r w:rsidRPr="0049520C">
        <w:rPr>
          <w:rFonts w:cs="Arial"/>
          <w:szCs w:val="20"/>
        </w:rPr>
        <w:t xml:space="preserve">. </w:t>
      </w:r>
    </w:p>
    <w:p w14:paraId="6825FC13" w14:textId="10E95036" w:rsidR="00F95BE9" w:rsidRPr="00F71E20" w:rsidRDefault="00F95BE9" w:rsidP="00F22225">
      <w:pPr>
        <w:pStyle w:val="Para1bullet"/>
        <w:numPr>
          <w:ilvl w:val="0"/>
          <w:numId w:val="61"/>
        </w:numPr>
      </w:pPr>
      <w:r w:rsidRPr="00D6645C">
        <w:rPr>
          <w:rFonts w:cs="Arial"/>
          <w:szCs w:val="20"/>
        </w:rPr>
        <w:t>Develop</w:t>
      </w:r>
      <w:r w:rsidRPr="00F71E20">
        <w:rPr>
          <w:rFonts w:cs="Arial"/>
          <w:szCs w:val="20"/>
        </w:rPr>
        <w:t xml:space="preserve"> a Site Management </w:t>
      </w:r>
      <w:r w:rsidRPr="00D6645C">
        <w:rPr>
          <w:rFonts w:cs="Arial"/>
          <w:szCs w:val="20"/>
        </w:rPr>
        <w:t>Plan</w:t>
      </w:r>
      <w:r w:rsidR="00A5351E">
        <w:rPr>
          <w:rFonts w:cs="Arial"/>
          <w:szCs w:val="20"/>
        </w:rPr>
        <w:t>. This</w:t>
      </w:r>
      <w:r w:rsidRPr="00F71E20">
        <w:rPr>
          <w:rFonts w:cs="Arial"/>
          <w:szCs w:val="20"/>
        </w:rPr>
        <w:t xml:space="preserve"> involves prioritisation of management options for </w:t>
      </w:r>
      <w:r>
        <w:rPr>
          <w:rFonts w:cs="Arial"/>
          <w:szCs w:val="20"/>
        </w:rPr>
        <w:t>a</w:t>
      </w:r>
      <w:r w:rsidRPr="00F71E20">
        <w:rPr>
          <w:rFonts w:cs="Arial"/>
          <w:szCs w:val="20"/>
        </w:rPr>
        <w:t xml:space="preserve"> site through consider</w:t>
      </w:r>
      <w:r>
        <w:rPr>
          <w:rFonts w:cs="Arial"/>
          <w:szCs w:val="20"/>
        </w:rPr>
        <w:t>ing</w:t>
      </w:r>
      <w:r w:rsidRPr="00F71E20">
        <w:rPr>
          <w:rFonts w:cs="Arial"/>
          <w:szCs w:val="20"/>
        </w:rPr>
        <w:t xml:space="preserve"> the feasibility of various management actions to meet site objectives, available resources, and assessment of risks and benefits. </w:t>
      </w:r>
    </w:p>
    <w:p w14:paraId="14446123" w14:textId="2EF22641" w:rsidR="00F95BE9" w:rsidRPr="00D6645C" w:rsidRDefault="00F95BE9" w:rsidP="00F22225">
      <w:pPr>
        <w:pStyle w:val="Para1bullet"/>
        <w:numPr>
          <w:ilvl w:val="0"/>
          <w:numId w:val="61"/>
        </w:numPr>
      </w:pPr>
      <w:r w:rsidRPr="00D6645C">
        <w:rPr>
          <w:rFonts w:cs="Arial"/>
          <w:szCs w:val="20"/>
        </w:rPr>
        <w:t>Prioritise</w:t>
      </w:r>
      <w:r>
        <w:rPr>
          <w:rFonts w:cs="Arial"/>
          <w:szCs w:val="20"/>
        </w:rPr>
        <w:t>,</w:t>
      </w:r>
      <w:r w:rsidRPr="00F71E20">
        <w:rPr>
          <w:rFonts w:cs="Arial"/>
          <w:szCs w:val="20"/>
        </w:rPr>
        <w:t xml:space="preserve"> </w:t>
      </w:r>
      <w:r>
        <w:rPr>
          <w:rFonts w:cs="Arial"/>
          <w:szCs w:val="20"/>
        </w:rPr>
        <w:t xml:space="preserve">through </w:t>
      </w:r>
      <w:r w:rsidR="00C34EA5">
        <w:rPr>
          <w:rFonts w:cs="Arial"/>
          <w:szCs w:val="20"/>
        </w:rPr>
        <w:t xml:space="preserve">transparent </w:t>
      </w:r>
      <w:r w:rsidR="00DD2CEB">
        <w:rPr>
          <w:rFonts w:cs="Arial"/>
          <w:szCs w:val="20"/>
        </w:rPr>
        <w:t>evidence-based</w:t>
      </w:r>
      <w:r>
        <w:rPr>
          <w:rFonts w:cs="Arial"/>
          <w:szCs w:val="20"/>
        </w:rPr>
        <w:t xml:space="preserve"> assessment, </w:t>
      </w:r>
      <w:r w:rsidRPr="00F71E20">
        <w:rPr>
          <w:rFonts w:cs="Arial"/>
          <w:szCs w:val="20"/>
        </w:rPr>
        <w:t>management actions across the Basin</w:t>
      </w:r>
      <w:r w:rsidR="00A5351E">
        <w:rPr>
          <w:rFonts w:cs="Arial"/>
          <w:szCs w:val="20"/>
        </w:rPr>
        <w:t>. This includes</w:t>
      </w:r>
      <w:r w:rsidRPr="00F71E20">
        <w:rPr>
          <w:rFonts w:cs="Arial"/>
          <w:szCs w:val="20"/>
        </w:rPr>
        <w:t xml:space="preserve"> </w:t>
      </w:r>
      <w:r>
        <w:rPr>
          <w:rFonts w:cs="Arial"/>
          <w:szCs w:val="20"/>
        </w:rPr>
        <w:t>the</w:t>
      </w:r>
      <w:r w:rsidRPr="00F71E20">
        <w:rPr>
          <w:rFonts w:cs="Arial"/>
          <w:szCs w:val="20"/>
        </w:rPr>
        <w:t xml:space="preserve"> assessment of submitted site scale plans in consideration of the Basin objectives, available resources, and the distribution of Black Box condition and stressors across the Basin. </w:t>
      </w:r>
    </w:p>
    <w:p w14:paraId="37439558" w14:textId="1743B562" w:rsidR="002C79ED" w:rsidRPr="002C79ED" w:rsidRDefault="002C79ED" w:rsidP="002C79ED">
      <w:pPr>
        <w:pStyle w:val="Para1bullet"/>
        <w:rPr>
          <w:rFonts w:cs="Arial"/>
          <w:szCs w:val="20"/>
        </w:rPr>
      </w:pPr>
      <w:r w:rsidRPr="002C79ED">
        <w:rPr>
          <w:rFonts w:cs="Arial"/>
          <w:szCs w:val="20"/>
        </w:rPr>
        <w:t xml:space="preserve">The Framework aims to enhance the integration of complementary management options in conjunction with the use of environmental water, to target the long-term outcomes for Black Box as defined </w:t>
      </w:r>
      <w:r w:rsidR="006E7A50">
        <w:rPr>
          <w:rFonts w:cs="Arial"/>
          <w:szCs w:val="20"/>
        </w:rPr>
        <w:t>within</w:t>
      </w:r>
      <w:r w:rsidR="006E7A50" w:rsidRPr="002C79ED">
        <w:rPr>
          <w:rFonts w:cs="Arial"/>
          <w:szCs w:val="20"/>
        </w:rPr>
        <w:t xml:space="preserve"> </w:t>
      </w:r>
      <w:r w:rsidRPr="002C79ED">
        <w:rPr>
          <w:rFonts w:cs="Arial"/>
          <w:szCs w:val="20"/>
        </w:rPr>
        <w:t xml:space="preserve">the BWS. </w:t>
      </w:r>
      <w:r w:rsidR="006E7A50">
        <w:rPr>
          <w:rFonts w:cs="Arial"/>
          <w:szCs w:val="20"/>
        </w:rPr>
        <w:t xml:space="preserve">Principally, </w:t>
      </w:r>
      <w:r w:rsidRPr="002C79ED">
        <w:rPr>
          <w:rFonts w:cs="Arial"/>
          <w:szCs w:val="20"/>
        </w:rPr>
        <w:t xml:space="preserve">the BWS targeted outcomes </w:t>
      </w:r>
      <w:r w:rsidR="006E7A50">
        <w:rPr>
          <w:rFonts w:cs="Arial"/>
          <w:szCs w:val="20"/>
        </w:rPr>
        <w:t>seek</w:t>
      </w:r>
      <w:r w:rsidR="003F1310">
        <w:rPr>
          <w:rFonts w:cs="Arial"/>
          <w:szCs w:val="20"/>
        </w:rPr>
        <w:t xml:space="preserve"> to</w:t>
      </w:r>
      <w:r w:rsidRPr="002C79ED">
        <w:rPr>
          <w:rFonts w:cs="Arial"/>
          <w:szCs w:val="20"/>
        </w:rPr>
        <w:t>:</w:t>
      </w:r>
    </w:p>
    <w:p w14:paraId="36C52C02" w14:textId="1B922401" w:rsidR="002C79ED" w:rsidRPr="005D1B23" w:rsidRDefault="002C79ED" w:rsidP="00F22225">
      <w:pPr>
        <w:pStyle w:val="Para0number"/>
        <w:numPr>
          <w:ilvl w:val="0"/>
          <w:numId w:val="46"/>
        </w:numPr>
        <w:tabs>
          <w:tab w:val="clear" w:pos="851"/>
        </w:tabs>
        <w:spacing w:after="0"/>
      </w:pPr>
      <w:r w:rsidRPr="005D1B23">
        <w:t xml:space="preserve">maintain the current extent of Black Box </w:t>
      </w:r>
    </w:p>
    <w:p w14:paraId="453616CD" w14:textId="507C0511" w:rsidR="002C79ED" w:rsidRPr="005D1B23" w:rsidRDefault="003F1310" w:rsidP="00F22225">
      <w:pPr>
        <w:pStyle w:val="Para0number"/>
        <w:numPr>
          <w:ilvl w:val="0"/>
          <w:numId w:val="46"/>
        </w:numPr>
        <w:tabs>
          <w:tab w:val="clear" w:pos="851"/>
        </w:tabs>
        <w:spacing w:after="0"/>
      </w:pPr>
      <w:r>
        <w:t>arrest the</w:t>
      </w:r>
      <w:r w:rsidRPr="005D1B23">
        <w:t xml:space="preserve"> </w:t>
      </w:r>
      <w:r w:rsidR="002C79ED" w:rsidRPr="005D1B23">
        <w:t>decline in the condition of Black Box</w:t>
      </w:r>
    </w:p>
    <w:p w14:paraId="47159AA7" w14:textId="496C3A14" w:rsidR="002C79ED" w:rsidRDefault="002C79ED" w:rsidP="00F22225">
      <w:pPr>
        <w:pStyle w:val="Para0number"/>
        <w:numPr>
          <w:ilvl w:val="0"/>
          <w:numId w:val="46"/>
        </w:numPr>
        <w:tabs>
          <w:tab w:val="clear" w:pos="851"/>
        </w:tabs>
        <w:spacing w:after="240"/>
      </w:pPr>
      <w:r w:rsidRPr="005D1B23">
        <w:t>improve recruitment opportunities for Black Box by 2024.</w:t>
      </w:r>
    </w:p>
    <w:p w14:paraId="45B1FFB1" w14:textId="0AFAD6C6" w:rsidR="00F95BE9" w:rsidRPr="00D31D29" w:rsidRDefault="00F95BE9" w:rsidP="00F95BE9">
      <w:pPr>
        <w:pStyle w:val="Para0"/>
      </w:pPr>
      <w:r>
        <w:rPr>
          <w:i/>
        </w:rPr>
        <w:t xml:space="preserve">Black Box Health and Management Options </w:t>
      </w:r>
      <w:r>
        <w:t>(AWE 2015) is a companion document to this Framework providing detail on Black Box management requirements, particularly in relation to groundwater and salinity management. A broad range of other scientific literature should also be referred to for supporting the decision-making process</w:t>
      </w:r>
      <w:r w:rsidR="005605DC">
        <w:t>, and a range of resources are provided in the Appendices to th</w:t>
      </w:r>
      <w:r w:rsidR="00BD0270">
        <w:t>is</w:t>
      </w:r>
      <w:r w:rsidR="005605DC">
        <w:t xml:space="preserve"> Framework</w:t>
      </w:r>
      <w:r>
        <w:t>.</w:t>
      </w:r>
    </w:p>
    <w:p w14:paraId="3227CF25" w14:textId="53F1732C" w:rsidR="00F95BE9" w:rsidRPr="001E1D20" w:rsidRDefault="00F95BE9" w:rsidP="00F95BE9">
      <w:pPr>
        <w:pStyle w:val="Heading2"/>
        <w:rPr>
          <w:color w:val="65876D" w:themeColor="accent4" w:themeShade="BF"/>
        </w:rPr>
      </w:pPr>
      <w:bookmarkStart w:id="20" w:name="_Toc514017985"/>
      <w:r w:rsidRPr="001E1D20">
        <w:rPr>
          <w:color w:val="65876D" w:themeColor="accent4" w:themeShade="BF"/>
        </w:rPr>
        <w:t xml:space="preserve">Focus and </w:t>
      </w:r>
      <w:r w:rsidR="0054034A">
        <w:rPr>
          <w:color w:val="65876D" w:themeColor="accent4" w:themeShade="BF"/>
        </w:rPr>
        <w:t>S</w:t>
      </w:r>
      <w:r w:rsidRPr="001E1D20">
        <w:rPr>
          <w:color w:val="65876D" w:themeColor="accent4" w:themeShade="BF"/>
        </w:rPr>
        <w:t>cope of the Framework</w:t>
      </w:r>
      <w:bookmarkEnd w:id="20"/>
    </w:p>
    <w:p w14:paraId="0941B8AD" w14:textId="67173132" w:rsidR="00F95BE9" w:rsidRDefault="00F95BE9" w:rsidP="00F95BE9">
      <w:pPr>
        <w:pStyle w:val="Para0"/>
      </w:pPr>
      <w:r>
        <w:t xml:space="preserve">The following points describe the scope, intent, and bounds of the Framework, to clarify its intended purpose and use: </w:t>
      </w:r>
    </w:p>
    <w:p w14:paraId="7FC72BE5" w14:textId="540E1FBA" w:rsidR="001E1D20" w:rsidRPr="00F95BE9" w:rsidRDefault="001E1D20" w:rsidP="00F22225">
      <w:pPr>
        <w:pStyle w:val="Para0"/>
        <w:numPr>
          <w:ilvl w:val="0"/>
          <w:numId w:val="78"/>
        </w:numPr>
      </w:pPr>
      <w:r>
        <w:t xml:space="preserve">The focus of the Framework is on increasing the informed selection and effectiveness of management interventions to manage stressors (wherever practical) and improving the condition and recruitment success of existing Black Box populations. The intent is that by improving condition and functionality over the longer term, Black Box populations become more resilient and are able to respond and recruit during natural flood events. </w:t>
      </w:r>
      <w:r>
        <w:rPr>
          <w:rFonts w:cs="Arial"/>
          <w:szCs w:val="20"/>
        </w:rPr>
        <w:t>Whilst the F</w:t>
      </w:r>
      <w:r w:rsidRPr="001A7240">
        <w:rPr>
          <w:rFonts w:cs="Arial"/>
          <w:szCs w:val="20"/>
        </w:rPr>
        <w:t xml:space="preserve">ramework is focused on </w:t>
      </w:r>
      <w:r>
        <w:rPr>
          <w:rFonts w:cs="Arial"/>
          <w:szCs w:val="20"/>
        </w:rPr>
        <w:t xml:space="preserve">the maintenance and improvement </w:t>
      </w:r>
      <w:r w:rsidR="00BD0270">
        <w:rPr>
          <w:rFonts w:cs="Arial"/>
          <w:szCs w:val="20"/>
        </w:rPr>
        <w:t>in</w:t>
      </w:r>
      <w:r>
        <w:rPr>
          <w:rFonts w:cs="Arial"/>
          <w:szCs w:val="20"/>
        </w:rPr>
        <w:t xml:space="preserve"> condition </w:t>
      </w:r>
      <w:r w:rsidRPr="001A7240">
        <w:rPr>
          <w:rFonts w:cs="Arial"/>
          <w:szCs w:val="20"/>
        </w:rPr>
        <w:t>of existing viabl</w:t>
      </w:r>
      <w:r>
        <w:rPr>
          <w:rFonts w:cs="Arial"/>
          <w:szCs w:val="20"/>
        </w:rPr>
        <w:t>e trees</w:t>
      </w:r>
      <w:r w:rsidR="005605DC">
        <w:rPr>
          <w:rFonts w:cs="Arial"/>
          <w:szCs w:val="20"/>
        </w:rPr>
        <w:t>,</w:t>
      </w:r>
      <w:r>
        <w:rPr>
          <w:rFonts w:cs="Arial"/>
          <w:szCs w:val="20"/>
        </w:rPr>
        <w:t xml:space="preserve"> there are assumed benefits for the </w:t>
      </w:r>
      <w:r w:rsidRPr="00AA1D17">
        <w:rPr>
          <w:rFonts w:cs="Arial"/>
          <w:szCs w:val="20"/>
        </w:rPr>
        <w:t xml:space="preserve">associated </w:t>
      </w:r>
      <w:r w:rsidRPr="00AA1D17">
        <w:t xml:space="preserve">understorey vegetation </w:t>
      </w:r>
      <w:r>
        <w:t xml:space="preserve">and dependent fauna. </w:t>
      </w:r>
    </w:p>
    <w:p w14:paraId="4476C3BF" w14:textId="238688C5" w:rsidR="003F1310" w:rsidRPr="003F1310" w:rsidRDefault="002C79ED" w:rsidP="00F22225">
      <w:pPr>
        <w:pStyle w:val="Para0"/>
        <w:numPr>
          <w:ilvl w:val="0"/>
          <w:numId w:val="77"/>
        </w:numPr>
      </w:pPr>
      <w:r w:rsidRPr="00F95BE9">
        <w:rPr>
          <w:rFonts w:cs="Arial"/>
          <w:szCs w:val="20"/>
        </w:rPr>
        <w:t>It is not the intention of the Framework to prescribe interventions or procedures</w:t>
      </w:r>
      <w:r w:rsidR="002B7990">
        <w:rPr>
          <w:rFonts w:cs="Arial"/>
          <w:szCs w:val="20"/>
        </w:rPr>
        <w:t>. Rather, it intends to</w:t>
      </w:r>
      <w:r w:rsidRPr="00F95BE9">
        <w:rPr>
          <w:rFonts w:cs="Arial"/>
          <w:szCs w:val="20"/>
        </w:rPr>
        <w:t xml:space="preserve"> provide the concepts, strategies and guidance that may be applied by practitioners to achieve the best possible outcomes for Black Box trees and, consequently, the associated </w:t>
      </w:r>
      <w:r w:rsidR="001E4F53">
        <w:rPr>
          <w:rFonts w:cs="Arial"/>
          <w:szCs w:val="20"/>
        </w:rPr>
        <w:t xml:space="preserve">forest and </w:t>
      </w:r>
      <w:r w:rsidRPr="00F95BE9">
        <w:rPr>
          <w:rFonts w:cs="Arial"/>
          <w:szCs w:val="20"/>
        </w:rPr>
        <w:t xml:space="preserve">woodland communities. </w:t>
      </w:r>
    </w:p>
    <w:p w14:paraId="2C1E4374" w14:textId="60308866" w:rsidR="00F95BE9" w:rsidRDefault="007F5DF9" w:rsidP="00F22225">
      <w:pPr>
        <w:pStyle w:val="Para0"/>
        <w:numPr>
          <w:ilvl w:val="0"/>
          <w:numId w:val="77"/>
        </w:numPr>
      </w:pPr>
      <w:r w:rsidRPr="00F832F4">
        <w:t xml:space="preserve">It is acknowledged that many sites or regions within the Basin </w:t>
      </w:r>
      <w:r>
        <w:t>are</w:t>
      </w:r>
      <w:r w:rsidRPr="00F832F4">
        <w:t xml:space="preserve"> seeking to achieve multiple objectives through management, such as objectives for </w:t>
      </w:r>
      <w:r w:rsidR="00CE006F">
        <w:t>R</w:t>
      </w:r>
      <w:r w:rsidRPr="00F832F4">
        <w:t xml:space="preserve">iver </w:t>
      </w:r>
      <w:r w:rsidR="00CE006F">
        <w:t>R</w:t>
      </w:r>
      <w:r w:rsidRPr="00F832F4">
        <w:t xml:space="preserve">ed </w:t>
      </w:r>
      <w:r w:rsidR="00CE006F">
        <w:t>G</w:t>
      </w:r>
      <w:r w:rsidRPr="00F832F4">
        <w:t xml:space="preserve">um, </w:t>
      </w:r>
      <w:r w:rsidR="00CE006F">
        <w:t>C</w:t>
      </w:r>
      <w:r w:rsidRPr="00F832F4">
        <w:t xml:space="preserve">oolibah, fish, and birds. The focus of this Framework is on Black Box communities, and it does not intend to address other objectives. </w:t>
      </w:r>
      <w:r w:rsidR="005605DC">
        <w:t>It is</w:t>
      </w:r>
      <w:r w:rsidR="00F95BE9">
        <w:t xml:space="preserve"> recognised that in some cases</w:t>
      </w:r>
      <w:r w:rsidR="005605DC">
        <w:t>,</w:t>
      </w:r>
      <w:r w:rsidR="00F95BE9">
        <w:t xml:space="preserve"> targeting Black Box intervention may lead to positive or negative impacts on other environmental assets</w:t>
      </w:r>
      <w:r w:rsidR="003F1310">
        <w:t xml:space="preserve"> that need consideration in formulating a site management plan</w:t>
      </w:r>
      <w:r w:rsidR="00F95BE9">
        <w:t xml:space="preserve">. </w:t>
      </w:r>
    </w:p>
    <w:p w14:paraId="3B79C007" w14:textId="13BE3E25" w:rsidR="00F95BE9" w:rsidRPr="00F95BE9" w:rsidRDefault="00637DFC" w:rsidP="00F22225">
      <w:pPr>
        <w:pStyle w:val="Para0"/>
        <w:numPr>
          <w:ilvl w:val="0"/>
          <w:numId w:val="77"/>
        </w:numPr>
      </w:pPr>
      <w:r w:rsidRPr="00F95BE9">
        <w:rPr>
          <w:rFonts w:cs="Arial"/>
          <w:szCs w:val="20"/>
        </w:rPr>
        <w:t xml:space="preserve">The </w:t>
      </w:r>
      <w:r w:rsidR="009B65D5">
        <w:rPr>
          <w:rFonts w:cs="Arial"/>
          <w:szCs w:val="20"/>
        </w:rPr>
        <w:t>F</w:t>
      </w:r>
      <w:r w:rsidRPr="00F95BE9">
        <w:rPr>
          <w:rFonts w:cs="Arial"/>
          <w:szCs w:val="20"/>
        </w:rPr>
        <w:t xml:space="preserve">ramework is largely targeted at supporting the survival of existing adult Black Box trees. With healthy trees there is a good chance of having a healthy community of Black Box and consequently supporting a healthy </w:t>
      </w:r>
      <w:r w:rsidR="001E4F53">
        <w:rPr>
          <w:rFonts w:cs="Arial"/>
          <w:szCs w:val="20"/>
        </w:rPr>
        <w:t xml:space="preserve">forest or </w:t>
      </w:r>
      <w:r w:rsidRPr="00F95BE9">
        <w:rPr>
          <w:rFonts w:cs="Arial"/>
          <w:szCs w:val="20"/>
        </w:rPr>
        <w:t>woodland ecosystem. Maintaining healthy adult trees is not the only requirement to support sustainable healthy Black Box ecosystems</w:t>
      </w:r>
      <w:r w:rsidR="00BD0270">
        <w:rPr>
          <w:rFonts w:cs="Arial"/>
          <w:szCs w:val="20"/>
        </w:rPr>
        <w:t>, however</w:t>
      </w:r>
      <w:r w:rsidRPr="00F95BE9">
        <w:rPr>
          <w:rFonts w:cs="Arial"/>
          <w:szCs w:val="20"/>
        </w:rPr>
        <w:t xml:space="preserve"> it is a critical component and targeting </w:t>
      </w:r>
      <w:r w:rsidR="001E4F53">
        <w:rPr>
          <w:rFonts w:cs="Arial"/>
          <w:szCs w:val="20"/>
        </w:rPr>
        <w:t>the adult tree</w:t>
      </w:r>
      <w:r w:rsidRPr="00F95BE9">
        <w:rPr>
          <w:rFonts w:cs="Arial"/>
          <w:szCs w:val="20"/>
        </w:rPr>
        <w:t xml:space="preserve"> helps simplify the management planning. Key aspects to consider include recruitment of Black Box juveniles through ensuring flowering, seed dispersal mechanisms and conditions to allow sapling establishment. </w:t>
      </w:r>
      <w:r w:rsidR="00CB2588">
        <w:rPr>
          <w:rFonts w:cs="Arial"/>
          <w:szCs w:val="20"/>
        </w:rPr>
        <w:t xml:space="preserve">Managing </w:t>
      </w:r>
      <w:r w:rsidR="001D5B83">
        <w:rPr>
          <w:rFonts w:cs="Arial"/>
          <w:szCs w:val="20"/>
        </w:rPr>
        <w:t>for Black Box trees also supports</w:t>
      </w:r>
      <w:r w:rsidRPr="00F95BE9">
        <w:rPr>
          <w:rFonts w:cs="Arial"/>
          <w:szCs w:val="20"/>
        </w:rPr>
        <w:t xml:space="preserve"> </w:t>
      </w:r>
      <w:r w:rsidR="001D5B83">
        <w:rPr>
          <w:rFonts w:cs="Arial"/>
          <w:szCs w:val="20"/>
        </w:rPr>
        <w:t xml:space="preserve">the </w:t>
      </w:r>
      <w:r w:rsidRPr="00F95BE9">
        <w:rPr>
          <w:rFonts w:cs="Arial"/>
          <w:szCs w:val="20"/>
        </w:rPr>
        <w:t>maint</w:t>
      </w:r>
      <w:r w:rsidR="001D5B83">
        <w:rPr>
          <w:rFonts w:cs="Arial"/>
          <w:szCs w:val="20"/>
        </w:rPr>
        <w:t>enance of</w:t>
      </w:r>
      <w:r w:rsidRPr="00F95BE9">
        <w:rPr>
          <w:rFonts w:cs="Arial"/>
          <w:szCs w:val="20"/>
        </w:rPr>
        <w:t xml:space="preserve"> healthy understorey </w:t>
      </w:r>
      <w:r w:rsidR="001D5B83">
        <w:rPr>
          <w:rFonts w:cs="Arial"/>
          <w:szCs w:val="20"/>
        </w:rPr>
        <w:t xml:space="preserve">vegetation </w:t>
      </w:r>
      <w:r w:rsidRPr="00F95BE9">
        <w:rPr>
          <w:rFonts w:cs="Arial"/>
          <w:szCs w:val="20"/>
        </w:rPr>
        <w:t>through provision of upper soil moisture, reduced surface salt and provision of shade.</w:t>
      </w:r>
    </w:p>
    <w:p w14:paraId="2CC4D165" w14:textId="2771B75A" w:rsidR="00637DFC" w:rsidRDefault="002C79ED" w:rsidP="00F22225">
      <w:pPr>
        <w:pStyle w:val="Para0"/>
        <w:numPr>
          <w:ilvl w:val="0"/>
          <w:numId w:val="77"/>
        </w:numPr>
      </w:pPr>
      <w:r w:rsidRPr="00C06166">
        <w:t xml:space="preserve">Black Box </w:t>
      </w:r>
      <w:r>
        <w:t xml:space="preserve">occurs in communities of various densities ranging from dense forests with touching canopies to open forest, woodlands, sparse woodlands and isolated trees. The Framework has suggested three categories of density – forest, woodland and sparse. </w:t>
      </w:r>
      <w:r w:rsidR="001D5B83">
        <w:t xml:space="preserve">Communities of </w:t>
      </w:r>
      <w:r>
        <w:t xml:space="preserve">different </w:t>
      </w:r>
      <w:r w:rsidR="001D5B83">
        <w:t xml:space="preserve">densities </w:t>
      </w:r>
      <w:r>
        <w:t>support unique ecosystems with associated wildlife.</w:t>
      </w:r>
      <w:r w:rsidR="00474FE8">
        <w:t xml:space="preserve"> As such, management approaches should consider maintaining a diversity of densities. </w:t>
      </w:r>
      <w:r w:rsidR="005A50BE">
        <w:t>The Rapid Assessment T</w:t>
      </w:r>
      <w:r w:rsidR="00213D6B">
        <w:t xml:space="preserve">ool for Black Box condition assessment presented in chapter </w:t>
      </w:r>
      <w:r w:rsidR="00213D6B">
        <w:fldChar w:fldCharType="begin"/>
      </w:r>
      <w:r w:rsidR="00213D6B">
        <w:instrText xml:space="preserve"> REF _Ref504549058 \r \h </w:instrText>
      </w:r>
      <w:r w:rsidR="00213D6B">
        <w:fldChar w:fldCharType="separate"/>
      </w:r>
      <w:r w:rsidR="00BF015B">
        <w:t>3.4</w:t>
      </w:r>
      <w:r w:rsidR="00213D6B">
        <w:fldChar w:fldCharType="end"/>
      </w:r>
      <w:r w:rsidR="00213D6B">
        <w:t xml:space="preserve"> includes a classification for density for this reason. </w:t>
      </w:r>
      <w:r>
        <w:t xml:space="preserve"> Certain management actions will be more appropriate based on densities. For example, large scale flooding to improve the condition of a few isolated trees may not be the best approach.  </w:t>
      </w:r>
    </w:p>
    <w:p w14:paraId="59C62999" w14:textId="4E4E144A" w:rsidR="00B9658F" w:rsidRPr="00B9658F" w:rsidRDefault="00B9658F" w:rsidP="00F22225">
      <w:pPr>
        <w:pStyle w:val="Para0"/>
        <w:numPr>
          <w:ilvl w:val="0"/>
          <w:numId w:val="77"/>
        </w:numPr>
        <w:rPr>
          <w:rFonts w:cs="Arial"/>
          <w:szCs w:val="20"/>
        </w:rPr>
      </w:pPr>
      <w:r>
        <w:t xml:space="preserve">Project implementation is not considered in detail </w:t>
      </w:r>
      <w:r w:rsidR="00CE006F">
        <w:t xml:space="preserve">within </w:t>
      </w:r>
      <w:r>
        <w:t xml:space="preserve">this document. Implementation of selected management options will require engagement of the relevant state jurisdiction, regional authorities and resource managers. </w:t>
      </w:r>
    </w:p>
    <w:p w14:paraId="1E5B0B1F" w14:textId="2C7EE597" w:rsidR="00F95BE9" w:rsidRDefault="00F95BE9" w:rsidP="00F22225">
      <w:pPr>
        <w:pStyle w:val="Para0"/>
        <w:numPr>
          <w:ilvl w:val="0"/>
          <w:numId w:val="77"/>
        </w:numPr>
      </w:pPr>
      <w:r>
        <w:t xml:space="preserve">For </w:t>
      </w:r>
      <w:r w:rsidRPr="00F87434">
        <w:t xml:space="preserve">sites in the Basin </w:t>
      </w:r>
      <w:r>
        <w:t xml:space="preserve">that </w:t>
      </w:r>
      <w:r w:rsidRPr="00F87434">
        <w:t xml:space="preserve">have existing </w:t>
      </w:r>
      <w:r>
        <w:t>site</w:t>
      </w:r>
      <w:r w:rsidRPr="00F87434">
        <w:t xml:space="preserve"> management plans</w:t>
      </w:r>
      <w:r w:rsidR="005605DC">
        <w:t>,</w:t>
      </w:r>
      <w:r w:rsidRPr="00F87434">
        <w:t xml:space="preserve"> </w:t>
      </w:r>
      <w:r>
        <w:t>t</w:t>
      </w:r>
      <w:r w:rsidRPr="00F87434">
        <w:t xml:space="preserve">he Framework is intended to complement and </w:t>
      </w:r>
      <w:r>
        <w:t>reinforce these planning instruments</w:t>
      </w:r>
      <w:r w:rsidRPr="00F87434">
        <w:t xml:space="preserve">, not to replace them or provide an added layer of management complexity. </w:t>
      </w:r>
    </w:p>
    <w:p w14:paraId="1B894F3F" w14:textId="100F7679" w:rsidR="00F9539A" w:rsidRPr="001E1D20" w:rsidRDefault="00F9539A" w:rsidP="00F95BE9">
      <w:pPr>
        <w:pStyle w:val="Heading2"/>
        <w:rPr>
          <w:color w:val="65876D" w:themeColor="accent4" w:themeShade="BF"/>
        </w:rPr>
      </w:pPr>
      <w:bookmarkStart w:id="21" w:name="_Toc514017986"/>
      <w:r w:rsidRPr="001E1D20">
        <w:rPr>
          <w:color w:val="65876D" w:themeColor="accent4" w:themeShade="BF"/>
        </w:rPr>
        <w:t xml:space="preserve">Who </w:t>
      </w:r>
      <w:r w:rsidR="0054034A">
        <w:rPr>
          <w:color w:val="65876D" w:themeColor="accent4" w:themeShade="BF"/>
        </w:rPr>
        <w:t>S</w:t>
      </w:r>
      <w:r w:rsidRPr="001E1D20">
        <w:rPr>
          <w:color w:val="65876D" w:themeColor="accent4" w:themeShade="BF"/>
        </w:rPr>
        <w:t xml:space="preserve">hould </w:t>
      </w:r>
      <w:r w:rsidR="0054034A">
        <w:rPr>
          <w:color w:val="65876D" w:themeColor="accent4" w:themeShade="BF"/>
        </w:rPr>
        <w:t>U</w:t>
      </w:r>
      <w:r w:rsidRPr="001E1D20">
        <w:rPr>
          <w:color w:val="65876D" w:themeColor="accent4" w:themeShade="BF"/>
        </w:rPr>
        <w:t xml:space="preserve">se this </w:t>
      </w:r>
      <w:r w:rsidR="0054034A">
        <w:rPr>
          <w:color w:val="65876D" w:themeColor="accent4" w:themeShade="BF"/>
        </w:rPr>
        <w:t>D</w:t>
      </w:r>
      <w:r w:rsidRPr="001E1D20">
        <w:rPr>
          <w:color w:val="65876D" w:themeColor="accent4" w:themeShade="BF"/>
        </w:rPr>
        <w:t>ocument?</w:t>
      </w:r>
      <w:bookmarkEnd w:id="21"/>
    </w:p>
    <w:p w14:paraId="7DB1E31F" w14:textId="5D2A4D2B" w:rsidR="006F7CEC" w:rsidRDefault="00F9539A" w:rsidP="006F7CEC">
      <w:pPr>
        <w:pStyle w:val="Para0"/>
      </w:pPr>
      <w:r w:rsidRPr="00F87434">
        <w:t xml:space="preserve">This </w:t>
      </w:r>
      <w:r w:rsidR="00C8732A">
        <w:t>F</w:t>
      </w:r>
      <w:r w:rsidRPr="00F87434">
        <w:t xml:space="preserve">ramework has been developed for land, water and biodiversity </w:t>
      </w:r>
      <w:r w:rsidR="00466F00">
        <w:t>practitioners</w:t>
      </w:r>
      <w:r w:rsidRPr="00F87434">
        <w:t xml:space="preserve">. The </w:t>
      </w:r>
      <w:r w:rsidR="00466F00">
        <w:t>F</w:t>
      </w:r>
      <w:r w:rsidRPr="00F87434">
        <w:t xml:space="preserve">ramework </w:t>
      </w:r>
      <w:r w:rsidR="00E75F0E">
        <w:t xml:space="preserve">promotes sustainable management through </w:t>
      </w:r>
      <w:r w:rsidR="008317F8">
        <w:t>developing</w:t>
      </w:r>
      <w:r w:rsidR="00E75F0E">
        <w:t xml:space="preserve"> a good</w:t>
      </w:r>
      <w:r w:rsidRPr="00F87434">
        <w:t xml:space="preserve"> understanding of the condition of Black Box within their management area, and the drivers and stressors identified</w:t>
      </w:r>
      <w:r w:rsidR="006B48D9">
        <w:t xml:space="preserve"> as</w:t>
      </w:r>
      <w:r w:rsidRPr="00F87434">
        <w:t xml:space="preserve"> most likely causing this condition. </w:t>
      </w:r>
    </w:p>
    <w:p w14:paraId="2C632828" w14:textId="4F7EA199" w:rsidR="00AE2370" w:rsidRDefault="00F9539A" w:rsidP="00AE2370">
      <w:pPr>
        <w:pStyle w:val="Para0"/>
      </w:pPr>
      <w:r w:rsidRPr="00F87434">
        <w:t xml:space="preserve">In many circumstances </w:t>
      </w:r>
      <w:r>
        <w:t>practitioners</w:t>
      </w:r>
      <w:r w:rsidRPr="00F87434">
        <w:t xml:space="preserve"> do not have </w:t>
      </w:r>
      <w:r w:rsidR="00E75F0E">
        <w:t>comprehensive</w:t>
      </w:r>
      <w:r w:rsidR="00E75F0E" w:rsidRPr="00F87434">
        <w:t xml:space="preserve"> </w:t>
      </w:r>
      <w:r w:rsidRPr="00F87434">
        <w:t>information or knowledge about a site</w:t>
      </w:r>
      <w:r w:rsidR="006B48D9">
        <w:t>,</w:t>
      </w:r>
      <w:r w:rsidRPr="00F87434">
        <w:t xml:space="preserve"> but the </w:t>
      </w:r>
      <w:r>
        <w:t>F</w:t>
      </w:r>
      <w:r w:rsidRPr="00F87434">
        <w:t xml:space="preserve">ramework can still be applied where knowledge gaps and uncertainly exist. </w:t>
      </w:r>
      <w:r>
        <w:t>The</w:t>
      </w:r>
      <w:r w:rsidRPr="00F87434">
        <w:t xml:space="preserve"> </w:t>
      </w:r>
      <w:r>
        <w:t>F</w:t>
      </w:r>
      <w:r w:rsidRPr="00F87434">
        <w:t xml:space="preserve">ramework provides guidance </w:t>
      </w:r>
      <w:r w:rsidR="00466F00">
        <w:t>on</w:t>
      </w:r>
      <w:r w:rsidRPr="00F87434">
        <w:t xml:space="preserve"> how to reduce the uncertainty </w:t>
      </w:r>
      <w:r w:rsidR="00466F00">
        <w:t xml:space="preserve">and make </w:t>
      </w:r>
      <w:r w:rsidR="008317F8">
        <w:t xml:space="preserve">management </w:t>
      </w:r>
      <w:r w:rsidR="00466F00">
        <w:t xml:space="preserve">decisions </w:t>
      </w:r>
      <w:r w:rsidR="00E75F0E">
        <w:t>supported by a</w:t>
      </w:r>
      <w:r w:rsidR="002C79ED">
        <w:t xml:space="preserve">n approach to confidence assessment, and decision making based on acceptable levels of uncertainty (refer to Section </w:t>
      </w:r>
      <w:r w:rsidR="002C79ED">
        <w:fldChar w:fldCharType="begin"/>
      </w:r>
      <w:r w:rsidR="002C79ED">
        <w:instrText xml:space="preserve"> REF _Ref505673858 \r \h </w:instrText>
      </w:r>
      <w:r w:rsidR="002C79ED">
        <w:fldChar w:fldCharType="separate"/>
      </w:r>
      <w:r w:rsidR="00BF015B">
        <w:t>3.2</w:t>
      </w:r>
      <w:r w:rsidR="002C79ED">
        <w:fldChar w:fldCharType="end"/>
      </w:r>
      <w:r w:rsidR="002C79ED">
        <w:t xml:space="preserve">). </w:t>
      </w:r>
    </w:p>
    <w:p w14:paraId="73083ECD" w14:textId="77777777" w:rsidR="00F9539A" w:rsidRPr="00F87434" w:rsidRDefault="00F9539A" w:rsidP="00C8732A">
      <w:pPr>
        <w:pStyle w:val="Para0"/>
      </w:pPr>
    </w:p>
    <w:p w14:paraId="1E5E2820" w14:textId="740E467B" w:rsidR="00635B30" w:rsidRPr="006F7CEC" w:rsidRDefault="00635B30" w:rsidP="00106726">
      <w:pPr>
        <w:pStyle w:val="Heading1"/>
        <w:rPr>
          <w:color w:val="65876D" w:themeColor="accent4" w:themeShade="BF"/>
        </w:rPr>
      </w:pPr>
      <w:bookmarkStart w:id="22" w:name="_Toc514017987"/>
      <w:bookmarkStart w:id="23" w:name="_Toc461713611"/>
      <w:r w:rsidRPr="006F7CEC">
        <w:rPr>
          <w:color w:val="65876D" w:themeColor="accent4" w:themeShade="BF"/>
        </w:rPr>
        <w:t xml:space="preserve">Black Box </w:t>
      </w:r>
      <w:r w:rsidR="005E40FD">
        <w:rPr>
          <w:color w:val="65876D" w:themeColor="accent4" w:themeShade="BF"/>
        </w:rPr>
        <w:t>M</w:t>
      </w:r>
      <w:r w:rsidRPr="006F7CEC">
        <w:rPr>
          <w:color w:val="65876D" w:themeColor="accent4" w:themeShade="BF"/>
        </w:rPr>
        <w:t xml:space="preserve">anagement </w:t>
      </w:r>
      <w:r w:rsidR="005E40FD">
        <w:rPr>
          <w:color w:val="65876D" w:themeColor="accent4" w:themeShade="BF"/>
        </w:rPr>
        <w:t>F</w:t>
      </w:r>
      <w:r w:rsidRPr="006F7CEC">
        <w:rPr>
          <w:color w:val="65876D" w:themeColor="accent4" w:themeShade="BF"/>
        </w:rPr>
        <w:t>ramework</w:t>
      </w:r>
      <w:bookmarkEnd w:id="22"/>
    </w:p>
    <w:p w14:paraId="7C4F55F9" w14:textId="7D8F9A55" w:rsidR="00920072" w:rsidRDefault="001E1D20" w:rsidP="006B28B5">
      <w:pPr>
        <w:pStyle w:val="Para0arrow"/>
        <w:numPr>
          <w:ilvl w:val="0"/>
          <w:numId w:val="0"/>
        </w:numPr>
      </w:pPr>
      <w:bookmarkStart w:id="24" w:name="_Toc461713612"/>
      <w:bookmarkStart w:id="25" w:name="_Toc461713613"/>
      <w:bookmarkStart w:id="26" w:name="_Toc461713614"/>
      <w:bookmarkStart w:id="27" w:name="_Toc461713615"/>
      <w:bookmarkStart w:id="28" w:name="_Toc461713616"/>
      <w:bookmarkEnd w:id="23"/>
      <w:bookmarkEnd w:id="24"/>
      <w:bookmarkEnd w:id="25"/>
      <w:bookmarkEnd w:id="26"/>
      <w:bookmarkEnd w:id="27"/>
      <w:bookmarkEnd w:id="28"/>
      <w:r>
        <w:t xml:space="preserve">This section outlines the structure of the </w:t>
      </w:r>
      <w:r w:rsidR="00564738">
        <w:t>Framework and</w:t>
      </w:r>
      <w:r w:rsidR="00296577">
        <w:t xml:space="preserve"> provides</w:t>
      </w:r>
      <w:r>
        <w:t xml:space="preserve"> a roadmap for its use. </w:t>
      </w:r>
      <w:r w:rsidR="006F3B3C" w:rsidRPr="007F5DF9">
        <w:t>The process embedded within the Frame</w:t>
      </w:r>
      <w:r w:rsidR="00147081" w:rsidRPr="007F5DF9">
        <w:t xml:space="preserve">work includes </w:t>
      </w:r>
      <w:r w:rsidR="00A3727B">
        <w:t>four</w:t>
      </w:r>
      <w:r w:rsidR="00147081" w:rsidRPr="007F5DF9">
        <w:t xml:space="preserve"> key parts</w:t>
      </w:r>
      <w:r w:rsidR="00920072">
        <w:t xml:space="preserve">, as described in </w:t>
      </w:r>
      <w:r w:rsidR="006B28B5">
        <w:fldChar w:fldCharType="begin"/>
      </w:r>
      <w:r w:rsidR="006B28B5">
        <w:instrText xml:space="preserve"> REF _Ref505339624 \h </w:instrText>
      </w:r>
      <w:r w:rsidR="006B28B5">
        <w:fldChar w:fldCharType="separate"/>
      </w:r>
      <w:r w:rsidR="00BF015B" w:rsidRPr="00890425">
        <w:t xml:space="preserve">Figure </w:t>
      </w:r>
      <w:r w:rsidR="00BF015B">
        <w:rPr>
          <w:noProof/>
        </w:rPr>
        <w:t>2</w:t>
      </w:r>
      <w:r w:rsidR="00BF015B">
        <w:noBreakHyphen/>
      </w:r>
      <w:r w:rsidR="00BF015B">
        <w:rPr>
          <w:noProof/>
        </w:rPr>
        <w:t>1</w:t>
      </w:r>
      <w:r w:rsidR="006B28B5">
        <w:fldChar w:fldCharType="end"/>
      </w:r>
      <w:r w:rsidR="006B28B5">
        <w:t xml:space="preserve">. </w:t>
      </w:r>
    </w:p>
    <w:p w14:paraId="39813933" w14:textId="00B2C2BC" w:rsidR="00100448" w:rsidRDefault="00100448" w:rsidP="006B28B5">
      <w:pPr>
        <w:pStyle w:val="Para0arrow"/>
        <w:numPr>
          <w:ilvl w:val="0"/>
          <w:numId w:val="0"/>
        </w:numPr>
      </w:pPr>
    </w:p>
    <w:p w14:paraId="64E552A7" w14:textId="79A0D786" w:rsidR="00CF7B7F" w:rsidRDefault="005605DC" w:rsidP="00A40029">
      <w:pPr>
        <w:pStyle w:val="Para0arrow"/>
        <w:numPr>
          <w:ilvl w:val="0"/>
          <w:numId w:val="0"/>
        </w:numPr>
        <w:jc w:val="center"/>
      </w:pPr>
      <w:r>
        <w:rPr>
          <w:noProof/>
          <w:lang w:eastAsia="en-AU"/>
        </w:rPr>
        <w:drawing>
          <wp:inline distT="0" distB="0" distL="0" distR="0" wp14:anchorId="10C9D97E" wp14:editId="3740522B">
            <wp:extent cx="6007395" cy="560150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6013279" cy="5606993"/>
                    </a:xfrm>
                    <a:prstGeom prst="rect">
                      <a:avLst/>
                    </a:prstGeom>
                    <a:noFill/>
                  </pic:spPr>
                </pic:pic>
              </a:graphicData>
            </a:graphic>
          </wp:inline>
        </w:drawing>
      </w:r>
    </w:p>
    <w:p w14:paraId="4FA7C4D5" w14:textId="365DCACB" w:rsidR="001E1D20" w:rsidRPr="00890425" w:rsidRDefault="001E1D20" w:rsidP="00A40029">
      <w:pPr>
        <w:pStyle w:val="Caption"/>
        <w:jc w:val="center"/>
      </w:pPr>
      <w:bookmarkStart w:id="29" w:name="_Ref505339624"/>
      <w:bookmarkStart w:id="30" w:name="_Toc514018072"/>
      <w:r w:rsidRPr="00890425">
        <w:t xml:space="preserve">Figure </w:t>
      </w:r>
      <w:r w:rsidR="004F42DD">
        <w:fldChar w:fldCharType="begin"/>
      </w:r>
      <w:r w:rsidR="004F42DD">
        <w:instrText xml:space="preserve"> STYLEREF 1 \s </w:instrText>
      </w:r>
      <w:r w:rsidR="004F42DD">
        <w:fldChar w:fldCharType="separate"/>
      </w:r>
      <w:r w:rsidR="00BF015B">
        <w:rPr>
          <w:noProof/>
        </w:rPr>
        <w:t>2</w:t>
      </w:r>
      <w:r w:rsidR="004F42DD">
        <w:fldChar w:fldCharType="end"/>
      </w:r>
      <w:r w:rsidR="004F42DD">
        <w:noBreakHyphen/>
      </w:r>
      <w:r w:rsidR="004F42DD">
        <w:fldChar w:fldCharType="begin"/>
      </w:r>
      <w:r w:rsidR="004F42DD">
        <w:instrText xml:space="preserve"> SEQ Figure \* ARABIC \s 1 </w:instrText>
      </w:r>
      <w:r w:rsidR="004F42DD">
        <w:fldChar w:fldCharType="separate"/>
      </w:r>
      <w:r w:rsidR="00BF015B">
        <w:rPr>
          <w:noProof/>
        </w:rPr>
        <w:t>1</w:t>
      </w:r>
      <w:r w:rsidR="004F42DD">
        <w:fldChar w:fldCharType="end"/>
      </w:r>
      <w:bookmarkEnd w:id="29"/>
      <w:r w:rsidRPr="00890425">
        <w:t xml:space="preserve">: Overview of the </w:t>
      </w:r>
      <w:r w:rsidR="00A3727B">
        <w:t>four</w:t>
      </w:r>
      <w:r w:rsidRPr="00890425">
        <w:t xml:space="preserve"> parts of the Black Box Management Framework</w:t>
      </w:r>
      <w:bookmarkEnd w:id="30"/>
    </w:p>
    <w:p w14:paraId="3C440904" w14:textId="4C29A607" w:rsidR="001E1D20" w:rsidRDefault="001E1D20" w:rsidP="006B28B5">
      <w:pPr>
        <w:pStyle w:val="Para0arrow"/>
        <w:numPr>
          <w:ilvl w:val="0"/>
          <w:numId w:val="0"/>
        </w:numPr>
      </w:pPr>
    </w:p>
    <w:p w14:paraId="5176814B" w14:textId="26E1BFA6" w:rsidR="00920072" w:rsidRDefault="00920072" w:rsidP="00920072">
      <w:pPr>
        <w:pStyle w:val="Para0"/>
        <w:rPr>
          <w:rFonts w:cs="Arial"/>
          <w:szCs w:val="20"/>
        </w:rPr>
      </w:pPr>
      <w:r w:rsidRPr="004B11FB">
        <w:rPr>
          <w:rFonts w:cs="Arial"/>
          <w:szCs w:val="20"/>
        </w:rPr>
        <w:t xml:space="preserve">The </w:t>
      </w:r>
      <w:r w:rsidR="008D43BF">
        <w:rPr>
          <w:rFonts w:cs="Arial"/>
          <w:szCs w:val="20"/>
        </w:rPr>
        <w:t xml:space="preserve">purpose of </w:t>
      </w:r>
      <w:r w:rsidR="008D43BF" w:rsidRPr="00331E5E">
        <w:rPr>
          <w:rFonts w:cs="Arial"/>
          <w:i/>
          <w:szCs w:val="20"/>
        </w:rPr>
        <w:t>Part A: Site I</w:t>
      </w:r>
      <w:r w:rsidRPr="00331E5E">
        <w:rPr>
          <w:rFonts w:cs="Arial"/>
          <w:i/>
          <w:szCs w:val="20"/>
        </w:rPr>
        <w:t>nvestigation</w:t>
      </w:r>
      <w:r>
        <w:rPr>
          <w:rFonts w:cs="Arial"/>
          <w:szCs w:val="20"/>
        </w:rPr>
        <w:t xml:space="preserve"> is to understand the condition of Black Box, stressors affecting Black Box, objectives, and the range of management options available at a site. This requires gathering and synthesising information through a combination of field and desktop research.</w:t>
      </w:r>
      <w:r w:rsidRPr="00920072">
        <w:rPr>
          <w:rFonts w:cs="Arial"/>
          <w:szCs w:val="20"/>
        </w:rPr>
        <w:t xml:space="preserve"> </w:t>
      </w:r>
      <w:r>
        <w:rPr>
          <w:rFonts w:cs="Arial"/>
          <w:szCs w:val="20"/>
        </w:rPr>
        <w:t xml:space="preserve">The </w:t>
      </w:r>
      <w:r w:rsidR="008D43BF">
        <w:rPr>
          <w:rFonts w:cs="Arial"/>
          <w:szCs w:val="20"/>
        </w:rPr>
        <w:t xml:space="preserve">information and analysis completed in Part A feeds in to </w:t>
      </w:r>
      <w:r w:rsidR="00BD0270">
        <w:rPr>
          <w:rFonts w:cs="Arial"/>
          <w:szCs w:val="20"/>
        </w:rPr>
        <w:t xml:space="preserve">the </w:t>
      </w:r>
      <w:r w:rsidR="008D43BF">
        <w:rPr>
          <w:rFonts w:cs="Arial"/>
          <w:szCs w:val="20"/>
        </w:rPr>
        <w:t xml:space="preserve">development of a Site Management Plan (Part B). </w:t>
      </w:r>
      <w:r w:rsidR="00564738">
        <w:rPr>
          <w:rFonts w:cs="Arial"/>
          <w:szCs w:val="20"/>
        </w:rPr>
        <w:t xml:space="preserve">Developing the </w:t>
      </w:r>
      <w:r w:rsidR="000A2027">
        <w:rPr>
          <w:rFonts w:cs="Arial"/>
          <w:szCs w:val="20"/>
        </w:rPr>
        <w:t>S</w:t>
      </w:r>
      <w:r w:rsidR="00564738">
        <w:rPr>
          <w:rFonts w:cs="Arial"/>
          <w:szCs w:val="20"/>
        </w:rPr>
        <w:t xml:space="preserve">ite </w:t>
      </w:r>
      <w:r w:rsidR="000A2027">
        <w:rPr>
          <w:rFonts w:cs="Arial"/>
          <w:szCs w:val="20"/>
        </w:rPr>
        <w:t>M</w:t>
      </w:r>
      <w:r w:rsidR="00564738">
        <w:rPr>
          <w:rFonts w:cs="Arial"/>
          <w:szCs w:val="20"/>
        </w:rPr>
        <w:t xml:space="preserve">anagement </w:t>
      </w:r>
      <w:r w:rsidR="000A2027">
        <w:rPr>
          <w:rFonts w:cs="Arial"/>
          <w:szCs w:val="20"/>
        </w:rPr>
        <w:t>P</w:t>
      </w:r>
      <w:r w:rsidR="00564738">
        <w:rPr>
          <w:rFonts w:cs="Arial"/>
          <w:szCs w:val="20"/>
        </w:rPr>
        <w:t xml:space="preserve">lan </w:t>
      </w:r>
      <w:r w:rsidR="008D43BF">
        <w:rPr>
          <w:rFonts w:cs="Arial"/>
          <w:szCs w:val="20"/>
        </w:rPr>
        <w:t xml:space="preserve">involves </w:t>
      </w:r>
      <w:r w:rsidR="00A3727B">
        <w:rPr>
          <w:rFonts w:cs="Arial"/>
          <w:szCs w:val="20"/>
        </w:rPr>
        <w:t xml:space="preserve">prioritising </w:t>
      </w:r>
      <w:r>
        <w:rPr>
          <w:rFonts w:cs="Arial"/>
          <w:szCs w:val="20"/>
        </w:rPr>
        <w:t>management options</w:t>
      </w:r>
      <w:r w:rsidR="008D43BF">
        <w:rPr>
          <w:rFonts w:cs="Arial"/>
          <w:szCs w:val="20"/>
        </w:rPr>
        <w:t xml:space="preserve"> for the site through consider</w:t>
      </w:r>
      <w:r w:rsidR="00E230DF">
        <w:rPr>
          <w:rFonts w:cs="Arial"/>
          <w:szCs w:val="20"/>
        </w:rPr>
        <w:t>ing</w:t>
      </w:r>
      <w:r w:rsidR="008D43BF">
        <w:rPr>
          <w:rFonts w:cs="Arial"/>
          <w:szCs w:val="20"/>
        </w:rPr>
        <w:t xml:space="preserve"> </w:t>
      </w:r>
      <w:r w:rsidR="00331E5E">
        <w:rPr>
          <w:rFonts w:cs="Arial"/>
          <w:szCs w:val="20"/>
        </w:rPr>
        <w:t xml:space="preserve">the </w:t>
      </w:r>
      <w:r w:rsidR="008D43BF">
        <w:rPr>
          <w:rFonts w:cs="Arial"/>
          <w:szCs w:val="20"/>
        </w:rPr>
        <w:t xml:space="preserve">feasibility of various management actions to meet site objectives, available resources, and assessment of risks and benefits. Following the prioritisation, a plan of action can be developed, including </w:t>
      </w:r>
      <w:r w:rsidR="000A2027">
        <w:rPr>
          <w:rFonts w:cs="Arial"/>
          <w:szCs w:val="20"/>
        </w:rPr>
        <w:t xml:space="preserve">the </w:t>
      </w:r>
      <w:r w:rsidR="00331E5E">
        <w:rPr>
          <w:rFonts w:cs="Arial"/>
          <w:szCs w:val="20"/>
        </w:rPr>
        <w:t xml:space="preserve">development of </w:t>
      </w:r>
      <w:r w:rsidR="008D43BF">
        <w:rPr>
          <w:rFonts w:cs="Arial"/>
          <w:szCs w:val="20"/>
        </w:rPr>
        <w:t>any proposals for investment. Part C describes the process for prioritis</w:t>
      </w:r>
      <w:r w:rsidR="00A3727B">
        <w:rPr>
          <w:rFonts w:cs="Arial"/>
          <w:szCs w:val="20"/>
        </w:rPr>
        <w:t>ing</w:t>
      </w:r>
      <w:r w:rsidR="008D43BF">
        <w:rPr>
          <w:rFonts w:cs="Arial"/>
          <w:szCs w:val="20"/>
        </w:rPr>
        <w:t xml:space="preserve"> management actions across the Basin</w:t>
      </w:r>
      <w:r w:rsidR="00213D6B">
        <w:rPr>
          <w:rFonts w:cs="Arial"/>
          <w:szCs w:val="20"/>
        </w:rPr>
        <w:t xml:space="preserve"> </w:t>
      </w:r>
      <w:r w:rsidR="000A2027">
        <w:rPr>
          <w:rFonts w:cs="Arial"/>
          <w:szCs w:val="20"/>
        </w:rPr>
        <w:t>that supports the</w:t>
      </w:r>
      <w:r w:rsidR="008D43BF">
        <w:rPr>
          <w:rFonts w:cs="Arial"/>
          <w:szCs w:val="20"/>
        </w:rPr>
        <w:t xml:space="preserve"> assessment of submitted site scale plans in consideration of the Basin objectives, available resources, and the distribution of Black Box condition and stressors across the Basin. </w:t>
      </w:r>
      <w:r w:rsidR="00CF7B7F">
        <w:rPr>
          <w:rFonts w:cs="Arial"/>
          <w:szCs w:val="20"/>
        </w:rPr>
        <w:t xml:space="preserve">Part D provides a series of resources available to practitioners to access further information regarding Black Box management. </w:t>
      </w:r>
    </w:p>
    <w:p w14:paraId="3C39BA86" w14:textId="2A0E37AC" w:rsidR="00D66025" w:rsidRDefault="008D43BF" w:rsidP="00920072">
      <w:pPr>
        <w:pStyle w:val="Para0"/>
      </w:pPr>
      <w:r>
        <w:rPr>
          <w:rFonts w:cs="Arial"/>
          <w:szCs w:val="20"/>
        </w:rPr>
        <w:t xml:space="preserve">Parts A and B of the </w:t>
      </w:r>
      <w:r w:rsidR="00225D29">
        <w:rPr>
          <w:rFonts w:cs="Arial"/>
          <w:szCs w:val="20"/>
        </w:rPr>
        <w:t>Framework</w:t>
      </w:r>
      <w:r>
        <w:rPr>
          <w:rFonts w:cs="Arial"/>
          <w:szCs w:val="20"/>
        </w:rPr>
        <w:t xml:space="preserve"> are primarily concerned with the site scale (where a “site” </w:t>
      </w:r>
      <w:r w:rsidR="00287C4C">
        <w:rPr>
          <w:rFonts w:cs="Arial"/>
          <w:szCs w:val="20"/>
        </w:rPr>
        <w:t>is typically a single floodplain or location</w:t>
      </w:r>
      <w:r>
        <w:rPr>
          <w:rFonts w:cs="Arial"/>
          <w:szCs w:val="20"/>
        </w:rPr>
        <w:t>)</w:t>
      </w:r>
      <w:r w:rsidR="004D2076">
        <w:rPr>
          <w:rFonts w:cs="Arial"/>
          <w:szCs w:val="20"/>
        </w:rPr>
        <w:t>. These Parts are</w:t>
      </w:r>
      <w:r>
        <w:rPr>
          <w:rFonts w:cs="Arial"/>
          <w:szCs w:val="20"/>
        </w:rPr>
        <w:t xml:space="preserve"> </w:t>
      </w:r>
      <w:r w:rsidR="00D66025">
        <w:rPr>
          <w:rFonts w:cs="Arial"/>
          <w:szCs w:val="20"/>
        </w:rPr>
        <w:t>aimed as a guide for</w:t>
      </w:r>
      <w:r>
        <w:rPr>
          <w:rFonts w:cs="Arial"/>
          <w:szCs w:val="20"/>
        </w:rPr>
        <w:t xml:space="preserve"> </w:t>
      </w:r>
      <w:r w:rsidR="00D66025" w:rsidRPr="00F87434">
        <w:t xml:space="preserve">land, water and biodiversity </w:t>
      </w:r>
      <w:r w:rsidR="00D66025">
        <w:t>practitioners to develop a good</w:t>
      </w:r>
      <w:r w:rsidR="00D66025" w:rsidRPr="00F87434">
        <w:t xml:space="preserve"> understanding of the condition of Black Box within their management area</w:t>
      </w:r>
      <w:r w:rsidR="00D66025">
        <w:t xml:space="preserve"> (Part A</w:t>
      </w:r>
      <w:r w:rsidR="00DD2CEB">
        <w:t>), and</w:t>
      </w:r>
      <w:r w:rsidR="00D66025">
        <w:t xml:space="preserve"> develop a plan of action for management of Black Box (Part B). Part C is concerned with </w:t>
      </w:r>
      <w:r w:rsidR="00213D6B">
        <w:t xml:space="preserve">application of the Framework to a range of scales, from floodplain, reach, region, up to </w:t>
      </w:r>
      <w:r w:rsidR="00D66025">
        <w:t xml:space="preserve">the </w:t>
      </w:r>
      <w:r w:rsidR="00451E98">
        <w:t>b</w:t>
      </w:r>
      <w:r w:rsidR="00D66025">
        <w:t xml:space="preserve">asin </w:t>
      </w:r>
      <w:r w:rsidR="00451E98">
        <w:t>s</w:t>
      </w:r>
      <w:r w:rsidR="00D66025">
        <w:t>cale</w:t>
      </w:r>
      <w:r w:rsidR="005E0EB1">
        <w:t>. It can</w:t>
      </w:r>
      <w:r w:rsidR="00D66025">
        <w:t xml:space="preserve"> be used by </w:t>
      </w:r>
      <w:r w:rsidR="00D66025" w:rsidRPr="00F87434">
        <w:t xml:space="preserve">land, water and biodiversity </w:t>
      </w:r>
      <w:r w:rsidR="00D66025">
        <w:t xml:space="preserve">practitioners to understand how their management area fits </w:t>
      </w:r>
      <w:r w:rsidR="004D2076">
        <w:t>within</w:t>
      </w:r>
      <w:r w:rsidR="00D66025">
        <w:t xml:space="preserve"> the broader Basin wide context. It can also be used by Basin wide decision makers to prioritise </w:t>
      </w:r>
      <w:r w:rsidR="00213D6B">
        <w:t>management</w:t>
      </w:r>
      <w:r w:rsidR="00D66025">
        <w:t xml:space="preserve">. </w:t>
      </w:r>
    </w:p>
    <w:p w14:paraId="536FAFB4" w14:textId="21B3CB95" w:rsidR="00D66025" w:rsidRDefault="00A3727B" w:rsidP="00D66025">
      <w:pPr>
        <w:pStyle w:val="Para0"/>
      </w:pPr>
      <w:r>
        <w:t>The parts of the Framework are</w:t>
      </w:r>
      <w:r w:rsidR="00D66025">
        <w:t xml:space="preserve"> described in more detail in the sub-sections below.</w:t>
      </w:r>
    </w:p>
    <w:p w14:paraId="4D529601" w14:textId="332E14CF" w:rsidR="00767B67" w:rsidRPr="00AA066E" w:rsidRDefault="00147081" w:rsidP="00331E5E">
      <w:pPr>
        <w:pStyle w:val="Heading2"/>
        <w:rPr>
          <w:color w:val="65876D" w:themeColor="accent4" w:themeShade="BF"/>
        </w:rPr>
      </w:pPr>
      <w:bookmarkStart w:id="31" w:name="_Toc514017988"/>
      <w:r w:rsidRPr="00AA066E">
        <w:rPr>
          <w:color w:val="65876D" w:themeColor="accent4" w:themeShade="BF"/>
        </w:rPr>
        <w:t>Part</w:t>
      </w:r>
      <w:r w:rsidR="006F3B3C" w:rsidRPr="00AA066E">
        <w:rPr>
          <w:color w:val="65876D" w:themeColor="accent4" w:themeShade="BF"/>
        </w:rPr>
        <w:t xml:space="preserve"> A: </w:t>
      </w:r>
      <w:r w:rsidR="00FD4364" w:rsidRPr="00AA066E">
        <w:rPr>
          <w:color w:val="65876D" w:themeColor="accent4" w:themeShade="BF"/>
        </w:rPr>
        <w:t>Site I</w:t>
      </w:r>
      <w:r w:rsidR="006F3B3C" w:rsidRPr="00AA066E">
        <w:rPr>
          <w:color w:val="65876D" w:themeColor="accent4" w:themeShade="BF"/>
        </w:rPr>
        <w:t>nvestigation</w:t>
      </w:r>
      <w:bookmarkEnd w:id="31"/>
    </w:p>
    <w:p w14:paraId="5D15E7BF" w14:textId="0995E3AE" w:rsidR="00FD4364" w:rsidRDefault="00BC0E8D" w:rsidP="00FA57A1">
      <w:pPr>
        <w:pStyle w:val="Para0"/>
        <w:rPr>
          <w:rFonts w:cs="Arial"/>
          <w:szCs w:val="20"/>
        </w:rPr>
      </w:pPr>
      <w:r w:rsidRPr="00331E5E">
        <w:rPr>
          <w:rFonts w:cs="Arial"/>
          <w:szCs w:val="20"/>
        </w:rPr>
        <w:t xml:space="preserve">The </w:t>
      </w:r>
      <w:r w:rsidR="00FD4364">
        <w:rPr>
          <w:rFonts w:cs="Arial"/>
          <w:szCs w:val="20"/>
        </w:rPr>
        <w:t xml:space="preserve">purpose of the site investigation is to understand the </w:t>
      </w:r>
      <w:r w:rsidR="008439C2">
        <w:rPr>
          <w:rFonts w:cs="Arial"/>
          <w:szCs w:val="20"/>
        </w:rPr>
        <w:t>condition of Black Box, stressors affecting Black Box, objectives, and the range of management options available at a site. This requires gathering and synthesising information through a combination of field and desktop research</w:t>
      </w:r>
      <w:r w:rsidR="00287C4C">
        <w:rPr>
          <w:rFonts w:cs="Arial"/>
          <w:szCs w:val="20"/>
        </w:rPr>
        <w:t xml:space="preserve">, and involves the following steps: </w:t>
      </w:r>
      <w:r w:rsidR="008439C2">
        <w:rPr>
          <w:rFonts w:cs="Arial"/>
          <w:szCs w:val="20"/>
        </w:rPr>
        <w:t xml:space="preserve"> </w:t>
      </w:r>
    </w:p>
    <w:p w14:paraId="21BEFCD3" w14:textId="739AAF94" w:rsidR="008B122B" w:rsidRPr="0027558B" w:rsidRDefault="008B122B" w:rsidP="00F22225">
      <w:pPr>
        <w:pStyle w:val="Para0arrow"/>
        <w:numPr>
          <w:ilvl w:val="0"/>
          <w:numId w:val="72"/>
        </w:numPr>
        <w:tabs>
          <w:tab w:val="clear" w:pos="851"/>
          <w:tab w:val="left" w:pos="993"/>
        </w:tabs>
        <w:ind w:left="993"/>
      </w:pPr>
      <w:r w:rsidRPr="0027558B">
        <w:t xml:space="preserve">Assessing Black Box </w:t>
      </w:r>
      <w:r w:rsidR="00706796">
        <w:t>c</w:t>
      </w:r>
      <w:r w:rsidRPr="0027558B">
        <w:t>ondition</w:t>
      </w:r>
    </w:p>
    <w:p w14:paraId="36F5F595" w14:textId="3750C739" w:rsidR="008B122B" w:rsidRDefault="00287C4C" w:rsidP="00F22225">
      <w:pPr>
        <w:pStyle w:val="Para0arrow"/>
        <w:numPr>
          <w:ilvl w:val="0"/>
          <w:numId w:val="72"/>
        </w:numPr>
        <w:tabs>
          <w:tab w:val="clear" w:pos="851"/>
          <w:tab w:val="left" w:pos="993"/>
        </w:tabs>
        <w:ind w:left="993"/>
      </w:pPr>
      <w:r>
        <w:t>Identifying</w:t>
      </w:r>
      <w:r w:rsidRPr="0027558B">
        <w:t xml:space="preserve"> </w:t>
      </w:r>
      <w:r w:rsidR="008B122B" w:rsidRPr="0027558B">
        <w:t xml:space="preserve">Black Box </w:t>
      </w:r>
      <w:r w:rsidR="00706796">
        <w:t>s</w:t>
      </w:r>
      <w:r w:rsidR="008B122B" w:rsidRPr="0027558B">
        <w:t>tressors</w:t>
      </w:r>
    </w:p>
    <w:p w14:paraId="14DB212F" w14:textId="6BF0BCD9" w:rsidR="008B122B" w:rsidRPr="0027558B" w:rsidRDefault="008B122B" w:rsidP="00F22225">
      <w:pPr>
        <w:pStyle w:val="Para0arrow"/>
        <w:numPr>
          <w:ilvl w:val="0"/>
          <w:numId w:val="72"/>
        </w:numPr>
        <w:tabs>
          <w:tab w:val="clear" w:pos="851"/>
          <w:tab w:val="left" w:pos="993"/>
        </w:tabs>
        <w:ind w:left="993"/>
      </w:pPr>
      <w:r>
        <w:t xml:space="preserve">Vulnerability </w:t>
      </w:r>
      <w:r w:rsidR="00706796">
        <w:t>a</w:t>
      </w:r>
      <w:r>
        <w:t>ssessment</w:t>
      </w:r>
      <w:r w:rsidRPr="008B122B">
        <w:rPr>
          <w:rFonts w:cs="Arial"/>
          <w:szCs w:val="20"/>
        </w:rPr>
        <w:t xml:space="preserve"> </w:t>
      </w:r>
      <w:r>
        <w:rPr>
          <w:rFonts w:cs="Arial"/>
          <w:szCs w:val="20"/>
        </w:rPr>
        <w:t xml:space="preserve">- </w:t>
      </w:r>
      <w:r w:rsidRPr="00331E5E">
        <w:rPr>
          <w:rFonts w:cs="Arial"/>
          <w:szCs w:val="20"/>
        </w:rPr>
        <w:t xml:space="preserve">a combination of </w:t>
      </w:r>
      <w:r>
        <w:rPr>
          <w:rFonts w:cs="Arial"/>
          <w:szCs w:val="20"/>
        </w:rPr>
        <w:t xml:space="preserve">Black Box </w:t>
      </w:r>
      <w:r w:rsidRPr="00331E5E">
        <w:rPr>
          <w:rFonts w:cs="Arial"/>
          <w:szCs w:val="20"/>
        </w:rPr>
        <w:t xml:space="preserve">condition and </w:t>
      </w:r>
      <w:r>
        <w:rPr>
          <w:rFonts w:cs="Arial"/>
          <w:szCs w:val="20"/>
        </w:rPr>
        <w:t xml:space="preserve">the </w:t>
      </w:r>
      <w:r w:rsidRPr="00331E5E">
        <w:rPr>
          <w:rFonts w:cs="Arial"/>
          <w:szCs w:val="20"/>
        </w:rPr>
        <w:t>stressors</w:t>
      </w:r>
      <w:r>
        <w:rPr>
          <w:rFonts w:cs="Arial"/>
          <w:szCs w:val="20"/>
        </w:rPr>
        <w:t xml:space="preserve"> affecting Black Box, leads to the overall vulnerability</w:t>
      </w:r>
      <w:r w:rsidR="00706796">
        <w:rPr>
          <w:rFonts w:cs="Arial"/>
          <w:szCs w:val="20"/>
        </w:rPr>
        <w:t xml:space="preserve"> assessment</w:t>
      </w:r>
    </w:p>
    <w:p w14:paraId="3594C990" w14:textId="689C69BB" w:rsidR="008B122B" w:rsidRPr="0027558B" w:rsidRDefault="008B122B" w:rsidP="00F22225">
      <w:pPr>
        <w:pStyle w:val="Para0arrow"/>
        <w:numPr>
          <w:ilvl w:val="0"/>
          <w:numId w:val="72"/>
        </w:numPr>
        <w:tabs>
          <w:tab w:val="clear" w:pos="851"/>
          <w:tab w:val="left" w:pos="993"/>
        </w:tabs>
        <w:ind w:left="993"/>
      </w:pPr>
      <w:r w:rsidRPr="0027558B">
        <w:t xml:space="preserve">Developing </w:t>
      </w:r>
      <w:r w:rsidR="00706796">
        <w:t>m</w:t>
      </w:r>
      <w:r w:rsidRPr="0027558B">
        <w:t xml:space="preserve">anagement </w:t>
      </w:r>
      <w:r w:rsidR="00706796">
        <w:t>o</w:t>
      </w:r>
      <w:r w:rsidRPr="0027558B">
        <w:t xml:space="preserve">bjectives and </w:t>
      </w:r>
      <w:r w:rsidR="00706796">
        <w:t>t</w:t>
      </w:r>
      <w:r w:rsidRPr="0027558B">
        <w:t>argets</w:t>
      </w:r>
      <w:r w:rsidRPr="008B122B">
        <w:rPr>
          <w:rFonts w:cs="Arial"/>
          <w:szCs w:val="20"/>
        </w:rPr>
        <w:t xml:space="preserve"> </w:t>
      </w:r>
      <w:r>
        <w:rPr>
          <w:rFonts w:cs="Arial"/>
          <w:szCs w:val="20"/>
        </w:rPr>
        <w:t xml:space="preserve">- </w:t>
      </w:r>
      <w:r w:rsidRPr="00331E5E">
        <w:rPr>
          <w:rFonts w:cs="Arial"/>
          <w:szCs w:val="20"/>
        </w:rPr>
        <w:t xml:space="preserve">comparing the current condition </w:t>
      </w:r>
      <w:r>
        <w:rPr>
          <w:rFonts w:cs="Arial"/>
          <w:szCs w:val="20"/>
        </w:rPr>
        <w:t xml:space="preserve">of Black Box </w:t>
      </w:r>
      <w:r w:rsidRPr="00331E5E">
        <w:rPr>
          <w:rFonts w:cs="Arial"/>
          <w:szCs w:val="20"/>
        </w:rPr>
        <w:t xml:space="preserve">with the </w:t>
      </w:r>
      <w:r w:rsidR="00706796">
        <w:rPr>
          <w:rFonts w:cs="Arial"/>
          <w:szCs w:val="20"/>
        </w:rPr>
        <w:t xml:space="preserve">ecological </w:t>
      </w:r>
      <w:r w:rsidRPr="00331E5E">
        <w:rPr>
          <w:rFonts w:cs="Arial"/>
          <w:szCs w:val="20"/>
        </w:rPr>
        <w:t>objectives</w:t>
      </w:r>
      <w:r>
        <w:rPr>
          <w:rFonts w:cs="Arial"/>
          <w:szCs w:val="20"/>
        </w:rPr>
        <w:t>. Objectives can come from the history of active management, and targets and objectives at a site/region/basin scale.</w:t>
      </w:r>
    </w:p>
    <w:p w14:paraId="280569B6" w14:textId="4F461513" w:rsidR="008B122B" w:rsidRPr="0027558B" w:rsidRDefault="008B122B" w:rsidP="00F22225">
      <w:pPr>
        <w:pStyle w:val="Para0arrow"/>
        <w:numPr>
          <w:ilvl w:val="0"/>
          <w:numId w:val="72"/>
        </w:numPr>
        <w:tabs>
          <w:tab w:val="clear" w:pos="851"/>
          <w:tab w:val="left" w:pos="993"/>
        </w:tabs>
        <w:ind w:left="993"/>
      </w:pPr>
      <w:r w:rsidRPr="0027558B">
        <w:t xml:space="preserve">Developing </w:t>
      </w:r>
      <w:r w:rsidR="00706796">
        <w:t>m</w:t>
      </w:r>
      <w:r w:rsidRPr="0027558B">
        <w:t xml:space="preserve">anagement </w:t>
      </w:r>
      <w:r w:rsidR="00706796">
        <w:t>a</w:t>
      </w:r>
      <w:r>
        <w:t xml:space="preserve">ctions and </w:t>
      </w:r>
      <w:r w:rsidR="00706796">
        <w:t>o</w:t>
      </w:r>
      <w:r w:rsidRPr="0027558B">
        <w:t>ptions</w:t>
      </w:r>
      <w:r w:rsidRPr="008B122B">
        <w:rPr>
          <w:rFonts w:cs="Arial"/>
          <w:szCs w:val="20"/>
        </w:rPr>
        <w:t xml:space="preserve"> </w:t>
      </w:r>
      <w:r>
        <w:rPr>
          <w:rFonts w:cs="Arial"/>
          <w:szCs w:val="20"/>
        </w:rPr>
        <w:t>- i</w:t>
      </w:r>
      <w:r w:rsidRPr="00331E5E">
        <w:rPr>
          <w:rFonts w:cs="Arial"/>
          <w:szCs w:val="20"/>
        </w:rPr>
        <w:t>nvestigating</w:t>
      </w:r>
      <w:r w:rsidRPr="00F14224">
        <w:rPr>
          <w:rFonts w:cs="Arial"/>
          <w:szCs w:val="20"/>
        </w:rPr>
        <w:t xml:space="preserve"> a range of </w:t>
      </w:r>
      <w:r w:rsidRPr="00331E5E">
        <w:rPr>
          <w:rFonts w:cs="Arial"/>
          <w:szCs w:val="20"/>
        </w:rPr>
        <w:t>management actions that could address the stressors</w:t>
      </w:r>
      <w:r>
        <w:rPr>
          <w:rFonts w:cs="Arial"/>
          <w:szCs w:val="20"/>
        </w:rPr>
        <w:t>. The management actions to be investigated will depend on the infrastructure and landscape relevant to the site.</w:t>
      </w:r>
    </w:p>
    <w:p w14:paraId="12FEFE93" w14:textId="4EA3485A" w:rsidR="008439C2" w:rsidRDefault="008439C2" w:rsidP="00331E5E">
      <w:pPr>
        <w:pStyle w:val="Para0"/>
        <w:rPr>
          <w:rFonts w:cs="Arial"/>
          <w:szCs w:val="20"/>
        </w:rPr>
      </w:pPr>
      <w:r>
        <w:rPr>
          <w:rFonts w:cs="Arial"/>
          <w:szCs w:val="20"/>
        </w:rPr>
        <w:t>The output of the site investigation feeds into an assessment of feasibility and prioritisation of management options, which is required to develop a site management Plan (Part B).</w:t>
      </w:r>
      <w:r w:rsidR="00B9658F">
        <w:rPr>
          <w:rFonts w:cs="Arial"/>
          <w:szCs w:val="20"/>
        </w:rPr>
        <w:t xml:space="preserve"> </w:t>
      </w:r>
    </w:p>
    <w:p w14:paraId="7F31CB65" w14:textId="3F73C269" w:rsidR="0011094D" w:rsidRDefault="0011094D" w:rsidP="00331E5E">
      <w:pPr>
        <w:pStyle w:val="Para0"/>
        <w:rPr>
          <w:rFonts w:cs="Arial"/>
          <w:szCs w:val="20"/>
        </w:rPr>
      </w:pPr>
      <w:r>
        <w:rPr>
          <w:rFonts w:cs="Arial"/>
          <w:szCs w:val="20"/>
        </w:rPr>
        <w:t xml:space="preserve">Refer </w:t>
      </w:r>
      <w:r w:rsidR="00287C4C">
        <w:rPr>
          <w:rFonts w:cs="Arial"/>
          <w:szCs w:val="20"/>
        </w:rPr>
        <w:t xml:space="preserve">to </w:t>
      </w:r>
      <w:r>
        <w:rPr>
          <w:rFonts w:cs="Arial"/>
          <w:szCs w:val="20"/>
        </w:rPr>
        <w:t xml:space="preserve">Chapter </w:t>
      </w:r>
      <w:r w:rsidR="00331E5E">
        <w:rPr>
          <w:rFonts w:cs="Arial"/>
          <w:szCs w:val="20"/>
        </w:rPr>
        <w:fldChar w:fldCharType="begin"/>
      </w:r>
      <w:r w:rsidR="00331E5E">
        <w:rPr>
          <w:rFonts w:cs="Arial"/>
          <w:szCs w:val="20"/>
        </w:rPr>
        <w:instrText xml:space="preserve"> REF _Ref504548164 \r \h </w:instrText>
      </w:r>
      <w:r w:rsidR="00331E5E">
        <w:rPr>
          <w:rFonts w:cs="Arial"/>
          <w:szCs w:val="20"/>
        </w:rPr>
      </w:r>
      <w:r w:rsidR="00331E5E">
        <w:rPr>
          <w:rFonts w:cs="Arial"/>
          <w:szCs w:val="20"/>
        </w:rPr>
        <w:fldChar w:fldCharType="separate"/>
      </w:r>
      <w:r w:rsidR="00BF015B">
        <w:rPr>
          <w:rFonts w:cs="Arial"/>
          <w:szCs w:val="20"/>
        </w:rPr>
        <w:t>3</w:t>
      </w:r>
      <w:r w:rsidR="00331E5E">
        <w:rPr>
          <w:rFonts w:cs="Arial"/>
          <w:szCs w:val="20"/>
        </w:rPr>
        <w:fldChar w:fldCharType="end"/>
      </w:r>
      <w:r>
        <w:rPr>
          <w:rFonts w:cs="Arial"/>
          <w:szCs w:val="20"/>
        </w:rPr>
        <w:t xml:space="preserve"> for complete details for Part A: Site Investigation. </w:t>
      </w:r>
    </w:p>
    <w:p w14:paraId="50B1C77D" w14:textId="167536CF" w:rsidR="00D66025" w:rsidRPr="00AA066E" w:rsidRDefault="00147081" w:rsidP="00331E5E">
      <w:pPr>
        <w:pStyle w:val="Heading2"/>
        <w:rPr>
          <w:color w:val="65876D" w:themeColor="accent4" w:themeShade="BF"/>
        </w:rPr>
      </w:pPr>
      <w:bookmarkStart w:id="32" w:name="_Toc514017989"/>
      <w:r w:rsidRPr="00AA066E">
        <w:rPr>
          <w:color w:val="65876D" w:themeColor="accent4" w:themeShade="BF"/>
        </w:rPr>
        <w:t xml:space="preserve">Part B: </w:t>
      </w:r>
      <w:r w:rsidR="00FD4364" w:rsidRPr="00AA066E">
        <w:rPr>
          <w:color w:val="65876D" w:themeColor="accent4" w:themeShade="BF"/>
        </w:rPr>
        <w:t>Site Management P</w:t>
      </w:r>
      <w:r w:rsidRPr="00AA066E">
        <w:rPr>
          <w:color w:val="65876D" w:themeColor="accent4" w:themeShade="BF"/>
        </w:rPr>
        <w:t>lan</w:t>
      </w:r>
      <w:bookmarkEnd w:id="32"/>
      <w:r w:rsidRPr="00AA066E">
        <w:rPr>
          <w:color w:val="65876D" w:themeColor="accent4" w:themeShade="BF"/>
        </w:rPr>
        <w:t xml:space="preserve"> </w:t>
      </w:r>
    </w:p>
    <w:p w14:paraId="637E85E1" w14:textId="7B500BAC" w:rsidR="00787046" w:rsidRDefault="00787046" w:rsidP="00E160A4">
      <w:pPr>
        <w:pStyle w:val="Para0"/>
        <w:spacing w:before="120"/>
      </w:pPr>
      <w:r>
        <w:t xml:space="preserve">The purpose of </w:t>
      </w:r>
      <w:r w:rsidRPr="00331E5E">
        <w:rPr>
          <w:i/>
        </w:rPr>
        <w:t>Part B: Site Management Plan</w:t>
      </w:r>
      <w:r>
        <w:t xml:space="preserve"> is to use the information and analysis completed in Part A to prioritise the available management options and develop a plan of action. The prioritisation process considers: </w:t>
      </w:r>
    </w:p>
    <w:p w14:paraId="6A158D19" w14:textId="20C0BBD6" w:rsidR="00787046" w:rsidRDefault="00787046" w:rsidP="00F22225">
      <w:pPr>
        <w:pStyle w:val="Para0"/>
        <w:numPr>
          <w:ilvl w:val="0"/>
          <w:numId w:val="55"/>
        </w:numPr>
        <w:spacing w:before="120"/>
      </w:pPr>
      <w:r>
        <w:t>The feasibility of various management actions to successfully meet the site objectives</w:t>
      </w:r>
    </w:p>
    <w:p w14:paraId="0DC1D7D1" w14:textId="2333B2EE" w:rsidR="00787046" w:rsidRDefault="00787046" w:rsidP="00F22225">
      <w:pPr>
        <w:pStyle w:val="Para0"/>
        <w:numPr>
          <w:ilvl w:val="0"/>
          <w:numId w:val="55"/>
        </w:numPr>
        <w:spacing w:before="120"/>
      </w:pPr>
      <w:r>
        <w:t>Available resources that would be required for various management actions, including water, finance, energy, labour</w:t>
      </w:r>
    </w:p>
    <w:p w14:paraId="69A89C15" w14:textId="5C9C9DD9" w:rsidR="00787046" w:rsidRDefault="00957B85" w:rsidP="00F22225">
      <w:pPr>
        <w:pStyle w:val="Para0"/>
        <w:numPr>
          <w:ilvl w:val="0"/>
          <w:numId w:val="55"/>
        </w:numPr>
        <w:spacing w:before="120"/>
      </w:pPr>
      <w:r>
        <w:t xml:space="preserve">Assessment of impacts, both positive and negative, </w:t>
      </w:r>
      <w:r w:rsidR="00BF45BB">
        <w:t xml:space="preserve">and </w:t>
      </w:r>
      <w:r>
        <w:t xml:space="preserve">risks </w:t>
      </w:r>
    </w:p>
    <w:p w14:paraId="34DD9853" w14:textId="59FDA608" w:rsidR="00957B85" w:rsidRDefault="00957B85" w:rsidP="00F22225">
      <w:pPr>
        <w:pStyle w:val="Para0"/>
        <w:numPr>
          <w:ilvl w:val="0"/>
          <w:numId w:val="55"/>
        </w:numPr>
        <w:spacing w:before="120"/>
      </w:pPr>
      <w:r>
        <w:t xml:space="preserve">Alignment with </w:t>
      </w:r>
      <w:r w:rsidR="00706796">
        <w:t>b</w:t>
      </w:r>
      <w:r>
        <w:t xml:space="preserve">asin </w:t>
      </w:r>
      <w:r w:rsidR="00706796">
        <w:t>o</w:t>
      </w:r>
      <w:r>
        <w:t>bjectives</w:t>
      </w:r>
      <w:r w:rsidR="005A5D37">
        <w:t>.</w:t>
      </w:r>
    </w:p>
    <w:p w14:paraId="4D39492C" w14:textId="5EE12BF9" w:rsidR="00787046" w:rsidRDefault="00787046" w:rsidP="00F14224">
      <w:pPr>
        <w:pStyle w:val="Para0"/>
        <w:rPr>
          <w:rFonts w:cs="Arial"/>
          <w:szCs w:val="20"/>
        </w:rPr>
      </w:pPr>
      <w:r>
        <w:rPr>
          <w:rFonts w:cs="Arial"/>
          <w:szCs w:val="20"/>
        </w:rPr>
        <w:t>Following the prioritisation, a plan of action can be developed</w:t>
      </w:r>
      <w:r w:rsidR="00957B85">
        <w:rPr>
          <w:rFonts w:cs="Arial"/>
          <w:szCs w:val="20"/>
        </w:rPr>
        <w:t xml:space="preserve"> for the site</w:t>
      </w:r>
      <w:r>
        <w:rPr>
          <w:rFonts w:cs="Arial"/>
          <w:szCs w:val="20"/>
        </w:rPr>
        <w:t>, including</w:t>
      </w:r>
      <w:r w:rsidR="00331E5E">
        <w:rPr>
          <w:rFonts w:cs="Arial"/>
          <w:szCs w:val="20"/>
        </w:rPr>
        <w:t xml:space="preserve"> the development of</w:t>
      </w:r>
      <w:r>
        <w:rPr>
          <w:rFonts w:cs="Arial"/>
          <w:szCs w:val="20"/>
        </w:rPr>
        <w:t xml:space="preserve"> any proposals for investment.</w:t>
      </w:r>
      <w:r w:rsidR="00957B85">
        <w:rPr>
          <w:rFonts w:cs="Arial"/>
          <w:szCs w:val="20"/>
        </w:rPr>
        <w:t xml:space="preserve"> The site management plan is likely to consider management for a range of outcomes, not solely focused on Black Box. This Framework provides guidance on feasibility and prioritisation for Black Box outcomes only, consideration of other outcomes is outsi</w:t>
      </w:r>
      <w:r w:rsidR="004739B3">
        <w:rPr>
          <w:rFonts w:cs="Arial"/>
          <w:szCs w:val="20"/>
        </w:rPr>
        <w:t xml:space="preserve">de the scope of the Framework. </w:t>
      </w:r>
    </w:p>
    <w:p w14:paraId="5129CA36" w14:textId="36466573" w:rsidR="00331E5E" w:rsidRDefault="00331E5E" w:rsidP="00F14224">
      <w:pPr>
        <w:pStyle w:val="Para0"/>
        <w:rPr>
          <w:rFonts w:cs="Arial"/>
          <w:szCs w:val="20"/>
        </w:rPr>
      </w:pPr>
      <w:r>
        <w:rPr>
          <w:rFonts w:cs="Arial"/>
          <w:szCs w:val="20"/>
        </w:rPr>
        <w:t xml:space="preserve">Refer Chapter </w:t>
      </w:r>
      <w:r w:rsidR="004739B3">
        <w:rPr>
          <w:rFonts w:cs="Arial"/>
          <w:szCs w:val="20"/>
        </w:rPr>
        <w:fldChar w:fldCharType="begin"/>
      </w:r>
      <w:r w:rsidR="004739B3">
        <w:rPr>
          <w:rFonts w:cs="Arial"/>
          <w:szCs w:val="20"/>
        </w:rPr>
        <w:instrText xml:space="preserve"> REF _Ref506322778 \r \h </w:instrText>
      </w:r>
      <w:r w:rsidR="004739B3">
        <w:rPr>
          <w:rFonts w:cs="Arial"/>
          <w:szCs w:val="20"/>
        </w:rPr>
      </w:r>
      <w:r w:rsidR="004739B3">
        <w:rPr>
          <w:rFonts w:cs="Arial"/>
          <w:szCs w:val="20"/>
        </w:rPr>
        <w:fldChar w:fldCharType="separate"/>
      </w:r>
      <w:r w:rsidR="00BF015B">
        <w:rPr>
          <w:rFonts w:cs="Arial"/>
          <w:szCs w:val="20"/>
        </w:rPr>
        <w:t>4</w:t>
      </w:r>
      <w:r w:rsidR="004739B3">
        <w:rPr>
          <w:rFonts w:cs="Arial"/>
          <w:szCs w:val="20"/>
        </w:rPr>
        <w:fldChar w:fldCharType="end"/>
      </w:r>
      <w:r>
        <w:rPr>
          <w:rFonts w:cs="Arial"/>
          <w:szCs w:val="20"/>
        </w:rPr>
        <w:t xml:space="preserve"> for complete details for Part B: </w:t>
      </w:r>
      <w:r w:rsidR="002B7990">
        <w:rPr>
          <w:rFonts w:cs="Arial"/>
          <w:szCs w:val="20"/>
        </w:rPr>
        <w:t>Site Management Plan</w:t>
      </w:r>
      <w:r>
        <w:rPr>
          <w:rFonts w:cs="Arial"/>
          <w:szCs w:val="20"/>
        </w:rPr>
        <w:t>.</w:t>
      </w:r>
    </w:p>
    <w:p w14:paraId="429D4B3E" w14:textId="0CB39FE5" w:rsidR="006F3B3C" w:rsidRPr="00AA066E" w:rsidRDefault="00E32C7D" w:rsidP="00331E5E">
      <w:pPr>
        <w:pStyle w:val="Heading2"/>
        <w:rPr>
          <w:color w:val="65876D" w:themeColor="accent4" w:themeShade="BF"/>
        </w:rPr>
      </w:pPr>
      <w:bookmarkStart w:id="33" w:name="_Toc514017990"/>
      <w:r w:rsidRPr="00AA066E">
        <w:rPr>
          <w:color w:val="65876D" w:themeColor="accent4" w:themeShade="BF"/>
        </w:rPr>
        <w:t xml:space="preserve">Part C: </w:t>
      </w:r>
      <w:r w:rsidR="00287C4C">
        <w:rPr>
          <w:color w:val="65876D" w:themeColor="accent4" w:themeShade="BF"/>
        </w:rPr>
        <w:t>Managing for Basin Scale Improvement</w:t>
      </w:r>
      <w:bookmarkEnd w:id="33"/>
    </w:p>
    <w:p w14:paraId="2F5C13B4" w14:textId="6C81D874" w:rsidR="00C96848" w:rsidRDefault="00957B85" w:rsidP="00C96848">
      <w:pPr>
        <w:pStyle w:val="Para0number"/>
        <w:numPr>
          <w:ilvl w:val="0"/>
          <w:numId w:val="0"/>
        </w:numPr>
      </w:pPr>
      <w:r>
        <w:rPr>
          <w:rFonts w:cs="Arial"/>
          <w:szCs w:val="20"/>
        </w:rPr>
        <w:t xml:space="preserve">Part C </w:t>
      </w:r>
      <w:r w:rsidR="00C96848">
        <w:t>applies the steps of the Framework to a regional and a basin scale. These analyses are intended as case studies to investigate the Framework’s ap</w:t>
      </w:r>
      <w:r w:rsidR="0079667F">
        <w:t xml:space="preserve">plicability at different scales. They also </w:t>
      </w:r>
      <w:r w:rsidR="00C96848">
        <w:t>demonstrate h</w:t>
      </w:r>
      <w:r w:rsidR="00C96848" w:rsidRPr="004A2419">
        <w:t xml:space="preserve">ow the Framework can be used to inform decision making on Black Box management and on prioritising </w:t>
      </w:r>
      <w:r w:rsidR="00C96848">
        <w:t>management at varied scales</w:t>
      </w:r>
      <w:r w:rsidR="00C96848" w:rsidRPr="004A2419">
        <w:t>.</w:t>
      </w:r>
      <w:r w:rsidR="00C96848">
        <w:t xml:space="preserve"> </w:t>
      </w:r>
    </w:p>
    <w:p w14:paraId="1E2EF45E" w14:textId="46F59548" w:rsidR="00C96848" w:rsidRDefault="00C96848" w:rsidP="00C96848">
      <w:pPr>
        <w:pStyle w:val="Para0number"/>
        <w:numPr>
          <w:ilvl w:val="0"/>
          <w:numId w:val="0"/>
        </w:numPr>
      </w:pPr>
      <w:r>
        <w:t xml:space="preserve">The regional and basin scale analyses provide </w:t>
      </w:r>
      <w:r w:rsidRPr="00AC08CE">
        <w:t xml:space="preserve">results </w:t>
      </w:r>
      <w:r w:rsidRPr="00B12E91">
        <w:t>of Black Box location, condition, influence of stressors and vulnerability</w:t>
      </w:r>
      <w:r>
        <w:t>, based on currently available spatial datasets</w:t>
      </w:r>
      <w:r w:rsidRPr="00B12E91">
        <w:t>.</w:t>
      </w:r>
      <w:r>
        <w:rPr>
          <w:rFonts w:asciiTheme="minorHAnsi" w:hAnsiTheme="minorHAnsi" w:cstheme="minorHAnsi"/>
          <w:sz w:val="22"/>
          <w:szCs w:val="22"/>
        </w:rPr>
        <w:t xml:space="preserve"> </w:t>
      </w:r>
      <w:r>
        <w:t>These results</w:t>
      </w:r>
      <w:r w:rsidRPr="00B12E91">
        <w:t xml:space="preserve"> provide a basis for assessing basin wide strategies for Black Box management.</w:t>
      </w:r>
      <w:r>
        <w:t xml:space="preserve"> </w:t>
      </w:r>
    </w:p>
    <w:p w14:paraId="499A0FFC" w14:textId="58CD9DB2" w:rsidR="00331E5E" w:rsidRDefault="00331E5E" w:rsidP="00331E5E">
      <w:pPr>
        <w:pStyle w:val="Para0"/>
        <w:rPr>
          <w:rFonts w:cs="Arial"/>
          <w:szCs w:val="20"/>
        </w:rPr>
      </w:pPr>
      <w:r>
        <w:rPr>
          <w:rFonts w:cs="Arial"/>
          <w:szCs w:val="20"/>
        </w:rPr>
        <w:t xml:space="preserve">Refer Chapter </w:t>
      </w:r>
      <w:r w:rsidR="004739B3">
        <w:rPr>
          <w:rFonts w:cs="Arial"/>
          <w:szCs w:val="20"/>
        </w:rPr>
        <w:fldChar w:fldCharType="begin"/>
      </w:r>
      <w:r w:rsidR="004739B3">
        <w:rPr>
          <w:rFonts w:cs="Arial"/>
          <w:szCs w:val="20"/>
        </w:rPr>
        <w:instrText xml:space="preserve"> REF _Ref506322803 \r \h </w:instrText>
      </w:r>
      <w:r w:rsidR="004739B3">
        <w:rPr>
          <w:rFonts w:cs="Arial"/>
          <w:szCs w:val="20"/>
        </w:rPr>
      </w:r>
      <w:r w:rsidR="004739B3">
        <w:rPr>
          <w:rFonts w:cs="Arial"/>
          <w:szCs w:val="20"/>
        </w:rPr>
        <w:fldChar w:fldCharType="separate"/>
      </w:r>
      <w:r w:rsidR="00BF015B">
        <w:rPr>
          <w:rFonts w:cs="Arial"/>
          <w:szCs w:val="20"/>
        </w:rPr>
        <w:t>5</w:t>
      </w:r>
      <w:r w:rsidR="004739B3">
        <w:rPr>
          <w:rFonts w:cs="Arial"/>
          <w:szCs w:val="20"/>
        </w:rPr>
        <w:fldChar w:fldCharType="end"/>
      </w:r>
      <w:r>
        <w:rPr>
          <w:rFonts w:cs="Arial"/>
          <w:szCs w:val="20"/>
        </w:rPr>
        <w:t xml:space="preserve"> for complete details for Part C: </w:t>
      </w:r>
      <w:r w:rsidR="00A448AF">
        <w:rPr>
          <w:rFonts w:cs="Arial"/>
          <w:szCs w:val="20"/>
        </w:rPr>
        <w:t>Managing for Basin Scale Improvement</w:t>
      </w:r>
      <w:r>
        <w:rPr>
          <w:rFonts w:cs="Arial"/>
          <w:szCs w:val="20"/>
        </w:rPr>
        <w:t>.</w:t>
      </w:r>
    </w:p>
    <w:p w14:paraId="1EE69B48" w14:textId="5B165E90" w:rsidR="005C2DE7" w:rsidRPr="00CF7B7F" w:rsidRDefault="005C2DE7" w:rsidP="00CF7B7F">
      <w:pPr>
        <w:pStyle w:val="Heading2"/>
        <w:rPr>
          <w:color w:val="65876D" w:themeColor="accent4" w:themeShade="BF"/>
        </w:rPr>
      </w:pPr>
      <w:bookmarkStart w:id="34" w:name="_Toc514017991"/>
      <w:r w:rsidRPr="00CF7B7F">
        <w:rPr>
          <w:color w:val="65876D" w:themeColor="accent4" w:themeShade="BF"/>
        </w:rPr>
        <w:t>Part D: Resources</w:t>
      </w:r>
      <w:bookmarkEnd w:id="34"/>
    </w:p>
    <w:p w14:paraId="50ABAC2B" w14:textId="3F8DC713" w:rsidR="005C2DE7" w:rsidRDefault="005C2DE7" w:rsidP="00331E5E">
      <w:pPr>
        <w:pStyle w:val="Para0"/>
      </w:pPr>
      <w:r>
        <w:t xml:space="preserve">Part D provides </w:t>
      </w:r>
      <w:r w:rsidR="00012F8D">
        <w:t xml:space="preserve">additional </w:t>
      </w:r>
      <w:r>
        <w:t>resources for implementing the Black Box Management Framework. It includes:</w:t>
      </w:r>
    </w:p>
    <w:p w14:paraId="0EA8DF94" w14:textId="77777777" w:rsidR="005C2DE7" w:rsidRDefault="005C2DE7" w:rsidP="00F22225">
      <w:pPr>
        <w:pStyle w:val="Para0"/>
        <w:numPr>
          <w:ilvl w:val="0"/>
          <w:numId w:val="80"/>
        </w:numPr>
      </w:pPr>
      <w:r>
        <w:t>Literature sources</w:t>
      </w:r>
    </w:p>
    <w:p w14:paraId="487A2F6C" w14:textId="2705E56C" w:rsidR="00012F8D" w:rsidRDefault="00012F8D" w:rsidP="00F22225">
      <w:pPr>
        <w:pStyle w:val="Para0"/>
        <w:numPr>
          <w:ilvl w:val="0"/>
          <w:numId w:val="80"/>
        </w:numPr>
      </w:pPr>
      <w:r>
        <w:t>A summary of Black Box needs, stressors and indicators</w:t>
      </w:r>
    </w:p>
    <w:p w14:paraId="173DEF96" w14:textId="5C83D473" w:rsidR="005C2DE7" w:rsidRDefault="005C2DE7" w:rsidP="00F22225">
      <w:pPr>
        <w:pStyle w:val="Para0"/>
        <w:numPr>
          <w:ilvl w:val="0"/>
          <w:numId w:val="80"/>
        </w:numPr>
      </w:pPr>
      <w:r>
        <w:t>Condition assessment methods</w:t>
      </w:r>
    </w:p>
    <w:p w14:paraId="0BD80F5A" w14:textId="3E7D8D6F" w:rsidR="00012F8D" w:rsidRDefault="00012F8D" w:rsidP="00F22225">
      <w:pPr>
        <w:pStyle w:val="Para0"/>
        <w:numPr>
          <w:ilvl w:val="0"/>
          <w:numId w:val="80"/>
        </w:numPr>
      </w:pPr>
      <w:r>
        <w:t>Description of option</w:t>
      </w:r>
      <w:r w:rsidR="00244DEA">
        <w:t>s</w:t>
      </w:r>
      <w:r>
        <w:t xml:space="preserve"> for management of Black Box vegetation</w:t>
      </w:r>
    </w:p>
    <w:p w14:paraId="0AB19DC1" w14:textId="004F03EE" w:rsidR="00012F8D" w:rsidRDefault="00012F8D" w:rsidP="00F22225">
      <w:pPr>
        <w:pStyle w:val="Para0"/>
        <w:numPr>
          <w:ilvl w:val="0"/>
          <w:numId w:val="80"/>
        </w:numPr>
      </w:pPr>
      <w:r>
        <w:t xml:space="preserve">Prioritisation methods and example criteria for prioritisation </w:t>
      </w:r>
    </w:p>
    <w:p w14:paraId="72566007" w14:textId="4DE87D31" w:rsidR="00012F8D" w:rsidRDefault="00012F8D" w:rsidP="00F22225">
      <w:pPr>
        <w:pStyle w:val="Para0"/>
        <w:numPr>
          <w:ilvl w:val="0"/>
          <w:numId w:val="80"/>
        </w:numPr>
      </w:pPr>
      <w:r>
        <w:t>Discussion of managing salinity from environmental watering</w:t>
      </w:r>
    </w:p>
    <w:p w14:paraId="062DAF74" w14:textId="751906EC" w:rsidR="0034564B" w:rsidRDefault="00012F8D" w:rsidP="00F22225">
      <w:pPr>
        <w:pStyle w:val="Para0"/>
        <w:numPr>
          <w:ilvl w:val="0"/>
          <w:numId w:val="80"/>
        </w:numPr>
      </w:pPr>
      <w:r>
        <w:t>Risk assessment process</w:t>
      </w:r>
    </w:p>
    <w:p w14:paraId="5C2B7F46" w14:textId="23C933ED" w:rsidR="00244DEA" w:rsidRDefault="00244DEA" w:rsidP="00F22225">
      <w:pPr>
        <w:pStyle w:val="Para0"/>
        <w:numPr>
          <w:ilvl w:val="0"/>
          <w:numId w:val="80"/>
        </w:numPr>
      </w:pPr>
      <w:r>
        <w:t>Additional maps for the basin scale analysis</w:t>
      </w:r>
      <w:r w:rsidR="005A5D37">
        <w:t>.</w:t>
      </w:r>
    </w:p>
    <w:p w14:paraId="3489CAD0" w14:textId="73F4C12A" w:rsidR="00331E5E" w:rsidRDefault="005C2DE7" w:rsidP="00957B85">
      <w:pPr>
        <w:pStyle w:val="Para0"/>
        <w:rPr>
          <w:rFonts w:cs="Arial"/>
          <w:szCs w:val="20"/>
        </w:rPr>
      </w:pPr>
      <w:r w:rsidRPr="00E230DF">
        <w:rPr>
          <w:rFonts w:cs="Arial"/>
          <w:szCs w:val="20"/>
        </w:rPr>
        <w:t xml:space="preserve">Appendices A to </w:t>
      </w:r>
      <w:r w:rsidR="0034564B">
        <w:rPr>
          <w:rFonts w:cs="Arial"/>
          <w:szCs w:val="20"/>
        </w:rPr>
        <w:t>M</w:t>
      </w:r>
      <w:r w:rsidRPr="00E230DF">
        <w:rPr>
          <w:rFonts w:cs="Arial"/>
          <w:szCs w:val="20"/>
        </w:rPr>
        <w:t xml:space="preserve"> provide</w:t>
      </w:r>
      <w:r>
        <w:rPr>
          <w:rFonts w:cs="Arial"/>
          <w:szCs w:val="20"/>
        </w:rPr>
        <w:t xml:space="preserve"> the </w:t>
      </w:r>
      <w:r w:rsidR="00225D29">
        <w:rPr>
          <w:rFonts w:cs="Arial"/>
          <w:szCs w:val="20"/>
        </w:rPr>
        <w:t>Framework</w:t>
      </w:r>
      <w:r>
        <w:rPr>
          <w:rFonts w:cs="Arial"/>
          <w:szCs w:val="20"/>
        </w:rPr>
        <w:t xml:space="preserve"> resources.</w:t>
      </w:r>
    </w:p>
    <w:p w14:paraId="7FB3ADC9" w14:textId="5C9F6FE3" w:rsidR="00633580" w:rsidRDefault="00633580" w:rsidP="00331E5E">
      <w:pPr>
        <w:pStyle w:val="Para0"/>
        <w:rPr>
          <w:rFonts w:cs="Arial"/>
          <w:noProof/>
          <w:lang w:eastAsia="en-AU"/>
        </w:rPr>
      </w:pPr>
    </w:p>
    <w:p w14:paraId="0F832BFC" w14:textId="78BDEE9D" w:rsidR="00F925FC" w:rsidRPr="006B1DBB" w:rsidRDefault="005C2DE7" w:rsidP="00F925FC">
      <w:pPr>
        <w:pStyle w:val="Para0bold"/>
        <w:sectPr w:rsidR="00F925FC" w:rsidRPr="006B1DBB" w:rsidSect="00DF4A1A">
          <w:headerReference w:type="even" r:id="rId25"/>
          <w:headerReference w:type="default" r:id="rId26"/>
          <w:footerReference w:type="default" r:id="rId27"/>
          <w:headerReference w:type="first" r:id="rId28"/>
          <w:pgSz w:w="11906" w:h="16838" w:code="9"/>
          <w:pgMar w:top="567" w:right="851" w:bottom="851" w:left="1134" w:header="567" w:footer="370" w:gutter="0"/>
          <w:cols w:space="0"/>
          <w:formProt w:val="0"/>
          <w:docGrid w:linePitch="360"/>
        </w:sectPr>
      </w:pPr>
      <w:bookmarkStart w:id="35" w:name="_Toc503443923"/>
      <w:bookmarkStart w:id="36" w:name="_Toc503445262"/>
      <w:bookmarkStart w:id="37" w:name="_Toc503445529"/>
      <w:bookmarkStart w:id="38" w:name="_Toc503445778"/>
      <w:bookmarkEnd w:id="35"/>
      <w:bookmarkEnd w:id="36"/>
      <w:bookmarkEnd w:id="37"/>
      <w:bookmarkEnd w:id="38"/>
      <w:r>
        <w:rPr>
          <w:noProof/>
          <w:lang w:eastAsia="en-AU"/>
        </w:rPr>
        <w:drawing>
          <wp:inline distT="0" distB="0" distL="0" distR="0" wp14:anchorId="162CB6F0" wp14:editId="2186D00E">
            <wp:extent cx="8581155" cy="6235700"/>
            <wp:effectExtent l="0" t="8572" r="2222" b="2223"/>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DSC_7552.JPG"/>
                    <pic:cNvPicPr/>
                  </pic:nvPicPr>
                  <pic:blipFill rotWithShape="1">
                    <a:blip r:embed="rId29" cstate="email">
                      <a:extLst>
                        <a:ext uri="{28A0092B-C50C-407E-A947-70E740481C1C}">
                          <a14:useLocalDpi xmlns:a14="http://schemas.microsoft.com/office/drawing/2010/main"/>
                        </a:ext>
                      </a:extLst>
                    </a:blip>
                    <a:srcRect/>
                    <a:stretch/>
                  </pic:blipFill>
                  <pic:spPr bwMode="auto">
                    <a:xfrm rot="16200000">
                      <a:off x="0" y="0"/>
                      <a:ext cx="8591752" cy="6243401"/>
                    </a:xfrm>
                    <a:prstGeom prst="rect">
                      <a:avLst/>
                    </a:prstGeom>
                    <a:ln>
                      <a:noFill/>
                    </a:ln>
                    <a:extLst>
                      <a:ext uri="{53640926-AAD7-44D8-BBD7-CCE9431645EC}">
                        <a14:shadowObscured xmlns:a14="http://schemas.microsoft.com/office/drawing/2010/main"/>
                      </a:ext>
                    </a:extLst>
                  </pic:spPr>
                </pic:pic>
              </a:graphicData>
            </a:graphic>
          </wp:inline>
        </w:drawing>
      </w:r>
      <w:r w:rsidR="003E058B">
        <w:rPr>
          <w:noProof/>
          <w:lang w:eastAsia="en-AU"/>
        </w:rPr>
        <mc:AlternateContent>
          <mc:Choice Requires="wps">
            <w:drawing>
              <wp:anchor distT="45720" distB="45720" distL="114300" distR="114300" simplePos="0" relativeHeight="251670528" behindDoc="0" locked="0" layoutInCell="1" allowOverlap="1" wp14:anchorId="78F3ED1A" wp14:editId="7409B816">
                <wp:simplePos x="0" y="0"/>
                <wp:positionH relativeFrom="column">
                  <wp:posOffset>467360</wp:posOffset>
                </wp:positionH>
                <wp:positionV relativeFrom="paragraph">
                  <wp:posOffset>396240</wp:posOffset>
                </wp:positionV>
                <wp:extent cx="3472815"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2815" cy="1404620"/>
                        </a:xfrm>
                        <a:prstGeom prst="rect">
                          <a:avLst/>
                        </a:prstGeom>
                        <a:noFill/>
                        <a:ln w="9525">
                          <a:noFill/>
                          <a:miter lim="800000"/>
                          <a:headEnd/>
                          <a:tailEnd/>
                        </a:ln>
                      </wps:spPr>
                      <wps:txbx>
                        <w:txbxContent>
                          <w:p w14:paraId="2BD3658F" w14:textId="260EEE5B" w:rsidR="00CF0933" w:rsidRPr="00CF7B7F" w:rsidRDefault="00CF0933">
                            <w:pPr>
                              <w:rPr>
                                <w:b/>
                                <w:color w:val="FFFFFF" w:themeColor="background1"/>
                                <w:sz w:val="56"/>
                                <w:szCs w:val="56"/>
                                <w14:shadow w14:blurRad="50800" w14:dist="38100" w14:dir="2700000" w14:sx="100000" w14:sy="100000" w14:kx="0" w14:ky="0" w14:algn="tl">
                                  <w14:srgbClr w14:val="000000">
                                    <w14:alpha w14:val="60000"/>
                                  </w14:srgbClr>
                                </w14:shadow>
                              </w:rPr>
                            </w:pPr>
                            <w:r w:rsidRPr="00CF7B7F">
                              <w:rPr>
                                <w:b/>
                                <w:color w:val="FFFFFF" w:themeColor="background1"/>
                                <w:sz w:val="56"/>
                                <w:szCs w:val="56"/>
                                <w14:shadow w14:blurRad="50800" w14:dist="38100" w14:dir="2700000" w14:sx="100000" w14:sy="100000" w14:kx="0" w14:ky="0" w14:algn="tl">
                                  <w14:srgbClr w14:val="000000">
                                    <w14:alpha w14:val="60000"/>
                                  </w14:srgbClr>
                                </w14:shadow>
                              </w:rPr>
                              <w:t>PART A: SITE INVESTIGATION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8F3ED1A" id="_x0000_t202" coordsize="21600,21600" o:spt="202" path="m,l,21600r21600,l21600,xe">
                <v:stroke joinstyle="miter"/>
                <v:path gradientshapeok="t" o:connecttype="rect"/>
              </v:shapetype>
              <v:shape id="Text Box 2" o:spid="_x0000_s1026" type="#_x0000_t202" style="position:absolute;margin-left:36.8pt;margin-top:31.2pt;width:273.45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" filled="f" stroked="f">
                <v:textbox style="mso-fit-shape-to-text:t">
                  <w:txbxContent>
                    <w:p w14:paraId="2BD3658F" w14:textId="260EEE5B" w:rsidR="00CF0933" w:rsidRPr="00CF7B7F" w:rsidRDefault="00CF0933">
                      <w:pPr>
                        <w:rPr>
                          <w:b/>
                          <w:color w:val="FFFFFF" w:themeColor="background1"/>
                          <w:sz w:val="56"/>
                          <w:szCs w:val="56"/>
                          <w14:shadow w14:blurRad="50800" w14:dist="38100" w14:dir="2700000" w14:sx="100000" w14:sy="100000" w14:kx="0" w14:ky="0" w14:algn="tl">
                            <w14:srgbClr w14:val="000000">
                              <w14:alpha w14:val="60000"/>
                            </w14:srgbClr>
                          </w14:shadow>
                        </w:rPr>
                      </w:pPr>
                      <w:r w:rsidRPr="00CF7B7F">
                        <w:rPr>
                          <w:b/>
                          <w:color w:val="FFFFFF" w:themeColor="background1"/>
                          <w:sz w:val="56"/>
                          <w:szCs w:val="56"/>
                          <w14:shadow w14:blurRad="50800" w14:dist="38100" w14:dir="2700000" w14:sx="100000" w14:sy="100000" w14:kx="0" w14:ky="0" w14:algn="tl">
                            <w14:srgbClr w14:val="000000">
                              <w14:alpha w14:val="60000"/>
                            </w14:srgbClr>
                          </w14:shadow>
                        </w:rPr>
                        <w:t>PART A: SITE INVESTIGATION</w:t>
                      </w:r>
                    </w:p>
                  </w:txbxContent>
                </v:textbox>
              </v:shape>
            </w:pict>
          </mc:Fallback>
        </mc:AlternateContent>
      </w:r>
    </w:p>
    <w:p w14:paraId="5024B5A0" w14:textId="6EFCA8F4" w:rsidR="00694EAE" w:rsidRDefault="0011094D" w:rsidP="00EF3609">
      <w:pPr>
        <w:pStyle w:val="Heading1"/>
        <w:rPr>
          <w:color w:val="65876D" w:themeColor="accent4" w:themeShade="BF"/>
        </w:rPr>
      </w:pPr>
      <w:bookmarkStart w:id="39" w:name="_Ref504548164"/>
      <w:bookmarkStart w:id="40" w:name="_Toc514017992"/>
      <w:r>
        <w:rPr>
          <w:color w:val="65876D" w:themeColor="accent4" w:themeShade="BF"/>
        </w:rPr>
        <w:t>Part A: Site Investigation</w:t>
      </w:r>
      <w:bookmarkEnd w:id="39"/>
      <w:bookmarkEnd w:id="40"/>
    </w:p>
    <w:p w14:paraId="05B4531A" w14:textId="6BD9D6EF" w:rsidR="00B11FA5" w:rsidRPr="00E63DBD" w:rsidRDefault="00B11FA5" w:rsidP="00F71E20">
      <w:pPr>
        <w:pStyle w:val="Heading2"/>
        <w:rPr>
          <w:color w:val="65876D" w:themeColor="accent4" w:themeShade="BF"/>
        </w:rPr>
      </w:pPr>
      <w:bookmarkStart w:id="41" w:name="_Toc514017993"/>
      <w:r w:rsidRPr="00F71E20">
        <w:rPr>
          <w:color w:val="65876D" w:themeColor="accent4" w:themeShade="BF"/>
        </w:rPr>
        <w:t xml:space="preserve">Introduction to </w:t>
      </w:r>
      <w:r w:rsidR="009959DB">
        <w:rPr>
          <w:color w:val="65876D" w:themeColor="accent4" w:themeShade="BF"/>
        </w:rPr>
        <w:t xml:space="preserve">the </w:t>
      </w:r>
      <w:r w:rsidR="0054034A">
        <w:rPr>
          <w:color w:val="65876D" w:themeColor="accent4" w:themeShade="BF"/>
        </w:rPr>
        <w:t>S</w:t>
      </w:r>
      <w:r w:rsidRPr="00F71E20">
        <w:rPr>
          <w:color w:val="65876D" w:themeColor="accent4" w:themeShade="BF"/>
        </w:rPr>
        <w:t xml:space="preserve">ite </w:t>
      </w:r>
      <w:r w:rsidR="0054034A">
        <w:rPr>
          <w:color w:val="65876D" w:themeColor="accent4" w:themeShade="BF"/>
        </w:rPr>
        <w:t>I</w:t>
      </w:r>
      <w:r w:rsidRPr="00F71E20">
        <w:rPr>
          <w:color w:val="65876D" w:themeColor="accent4" w:themeShade="BF"/>
        </w:rPr>
        <w:t>nvestigation</w:t>
      </w:r>
      <w:bookmarkEnd w:id="41"/>
    </w:p>
    <w:p w14:paraId="39BBE47B" w14:textId="55CB1A19" w:rsidR="00C900CC" w:rsidRDefault="00F62BE0" w:rsidP="005972ED">
      <w:pPr>
        <w:pStyle w:val="Para0"/>
        <w:rPr>
          <w:rFonts w:cs="Arial"/>
          <w:szCs w:val="20"/>
        </w:rPr>
      </w:pPr>
      <w:r>
        <w:t>This chapter</w:t>
      </w:r>
      <w:r w:rsidR="005972ED" w:rsidRPr="00F87434">
        <w:t xml:space="preserve"> outlines the process for </w:t>
      </w:r>
      <w:r w:rsidR="00C900CC">
        <w:rPr>
          <w:rFonts w:cs="Arial"/>
          <w:szCs w:val="20"/>
        </w:rPr>
        <w:t>understanding the condition of Black Box, stressors affecting Black Box, objectives, and the range of management options available at a site.</w:t>
      </w:r>
      <w:r w:rsidR="00247ED6">
        <w:rPr>
          <w:rFonts w:cs="Arial"/>
          <w:szCs w:val="20"/>
        </w:rPr>
        <w:t xml:space="preserve"> </w:t>
      </w:r>
      <w:r w:rsidR="00247ED6">
        <w:rPr>
          <w:rFonts w:cs="Arial"/>
          <w:szCs w:val="20"/>
        </w:rPr>
        <w:fldChar w:fldCharType="begin"/>
      </w:r>
      <w:r w:rsidR="00247ED6">
        <w:rPr>
          <w:rFonts w:cs="Arial"/>
          <w:szCs w:val="20"/>
        </w:rPr>
        <w:instrText xml:space="preserve"> REF _Ref506554237 \h </w:instrText>
      </w:r>
      <w:r w:rsidR="00247ED6">
        <w:rPr>
          <w:rFonts w:cs="Arial"/>
          <w:szCs w:val="20"/>
        </w:rPr>
      </w:r>
      <w:r w:rsidR="00247ED6">
        <w:rPr>
          <w:rFonts w:cs="Arial"/>
          <w:szCs w:val="20"/>
        </w:rPr>
        <w:fldChar w:fldCharType="separate"/>
      </w:r>
      <w:r w:rsidR="00BF015B" w:rsidRPr="00890425">
        <w:t xml:space="preserve">Figure </w:t>
      </w:r>
      <w:r w:rsidR="00BF015B">
        <w:rPr>
          <w:noProof/>
        </w:rPr>
        <w:t>3</w:t>
      </w:r>
      <w:r w:rsidR="00BF015B">
        <w:noBreakHyphen/>
      </w:r>
      <w:r w:rsidR="00BF015B">
        <w:rPr>
          <w:noProof/>
        </w:rPr>
        <w:t>1</w:t>
      </w:r>
      <w:r w:rsidR="00247ED6">
        <w:rPr>
          <w:rFonts w:cs="Arial"/>
          <w:szCs w:val="20"/>
        </w:rPr>
        <w:fldChar w:fldCharType="end"/>
      </w:r>
      <w:r w:rsidR="00C900CC">
        <w:rPr>
          <w:rFonts w:cs="Arial"/>
          <w:szCs w:val="20"/>
        </w:rPr>
        <w:t xml:space="preserve"> outlines the approach for undertaking</w:t>
      </w:r>
      <w:r w:rsidR="00FC0395">
        <w:rPr>
          <w:rFonts w:cs="Arial"/>
          <w:szCs w:val="20"/>
        </w:rPr>
        <w:t xml:space="preserve"> a Black Box Site Investigation. </w:t>
      </w:r>
    </w:p>
    <w:p w14:paraId="5EE3EFC4" w14:textId="580CC2B9" w:rsidR="00956B17" w:rsidRDefault="0034564B" w:rsidP="0034564B">
      <w:pPr>
        <w:pStyle w:val="Para0"/>
        <w:jc w:val="center"/>
      </w:pPr>
      <w:r>
        <w:rPr>
          <w:noProof/>
          <w:lang w:eastAsia="en-AU"/>
        </w:rPr>
        <w:drawing>
          <wp:inline distT="0" distB="0" distL="0" distR="0" wp14:anchorId="75CC71AC" wp14:editId="1E4B1EFD">
            <wp:extent cx="5443870" cy="2104913"/>
            <wp:effectExtent l="0" t="0" r="444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470062" cy="2115041"/>
                    </a:xfrm>
                    <a:prstGeom prst="rect">
                      <a:avLst/>
                    </a:prstGeom>
                    <a:noFill/>
                  </pic:spPr>
                </pic:pic>
              </a:graphicData>
            </a:graphic>
          </wp:inline>
        </w:drawing>
      </w:r>
    </w:p>
    <w:p w14:paraId="5EEE3261" w14:textId="4FAFB47A" w:rsidR="00956B17" w:rsidRPr="00890425" w:rsidRDefault="00956B17" w:rsidP="00A40029">
      <w:pPr>
        <w:pStyle w:val="Caption"/>
        <w:jc w:val="center"/>
      </w:pPr>
      <w:bookmarkStart w:id="42" w:name="_Ref506554237"/>
      <w:bookmarkStart w:id="43" w:name="_Toc514018073"/>
      <w:r w:rsidRPr="00890425">
        <w:t xml:space="preserve">Figure </w:t>
      </w:r>
      <w:r w:rsidR="004F42DD">
        <w:fldChar w:fldCharType="begin"/>
      </w:r>
      <w:r w:rsidR="004F42DD">
        <w:instrText xml:space="preserve"> STYLEREF 1 \s </w:instrText>
      </w:r>
      <w:r w:rsidR="004F42DD">
        <w:fldChar w:fldCharType="separate"/>
      </w:r>
      <w:r w:rsidR="00BF015B">
        <w:rPr>
          <w:noProof/>
        </w:rPr>
        <w:t>3</w:t>
      </w:r>
      <w:r w:rsidR="004F42DD">
        <w:fldChar w:fldCharType="end"/>
      </w:r>
      <w:r w:rsidR="004F42DD">
        <w:noBreakHyphen/>
      </w:r>
      <w:r w:rsidR="004F42DD">
        <w:fldChar w:fldCharType="begin"/>
      </w:r>
      <w:r w:rsidR="004F42DD">
        <w:instrText xml:space="preserve"> SEQ Figure \* ARABIC \s 1 </w:instrText>
      </w:r>
      <w:r w:rsidR="004F42DD">
        <w:fldChar w:fldCharType="separate"/>
      </w:r>
      <w:r w:rsidR="00BF015B">
        <w:rPr>
          <w:noProof/>
        </w:rPr>
        <w:t>1</w:t>
      </w:r>
      <w:r w:rsidR="004F42DD">
        <w:fldChar w:fldCharType="end"/>
      </w:r>
      <w:bookmarkEnd w:id="42"/>
      <w:r w:rsidRPr="00890425">
        <w:t>: Overview of Part A of the Black Box Management Framework</w:t>
      </w:r>
      <w:bookmarkEnd w:id="43"/>
    </w:p>
    <w:p w14:paraId="6CF3D7D8" w14:textId="64A1DCA7" w:rsidR="00FC0395" w:rsidRDefault="00C900CC" w:rsidP="00B9658F">
      <w:pPr>
        <w:pStyle w:val="Para0"/>
        <w:rPr>
          <w:rFonts w:cs="Arial"/>
          <w:szCs w:val="20"/>
        </w:rPr>
      </w:pPr>
      <w:r>
        <w:t>While these sections are presented in a sequential order, the key elements are interrelated</w:t>
      </w:r>
      <w:r w:rsidR="00FC0395">
        <w:t xml:space="preserve"> (as shown in </w:t>
      </w:r>
      <w:r w:rsidR="00FC0395">
        <w:rPr>
          <w:rFonts w:cs="Arial"/>
          <w:szCs w:val="20"/>
        </w:rPr>
        <w:fldChar w:fldCharType="begin"/>
      </w:r>
      <w:r w:rsidR="00FC0395">
        <w:rPr>
          <w:rFonts w:cs="Arial"/>
          <w:szCs w:val="20"/>
        </w:rPr>
        <w:instrText xml:space="preserve"> REF _Ref505341319 \h </w:instrText>
      </w:r>
      <w:r w:rsidR="00FC0395">
        <w:rPr>
          <w:rFonts w:cs="Arial"/>
          <w:szCs w:val="20"/>
        </w:rPr>
      </w:r>
      <w:r w:rsidR="00FC0395">
        <w:rPr>
          <w:rFonts w:cs="Arial"/>
          <w:szCs w:val="20"/>
        </w:rPr>
        <w:fldChar w:fldCharType="separate"/>
      </w:r>
      <w:r w:rsidR="00BF015B" w:rsidRPr="00890425">
        <w:rPr>
          <w:rStyle w:val="Emphasis"/>
          <w:i w:val="0"/>
          <w:iCs w:val="0"/>
        </w:rPr>
        <w:t xml:space="preserve">Figure </w:t>
      </w:r>
      <w:r w:rsidR="00BF015B">
        <w:rPr>
          <w:rStyle w:val="Emphasis"/>
          <w:i w:val="0"/>
          <w:iCs w:val="0"/>
          <w:noProof/>
        </w:rPr>
        <w:t>3</w:t>
      </w:r>
      <w:r w:rsidR="00BF015B">
        <w:rPr>
          <w:rStyle w:val="Emphasis"/>
          <w:i w:val="0"/>
          <w:iCs w:val="0"/>
        </w:rPr>
        <w:noBreakHyphen/>
      </w:r>
      <w:r w:rsidR="00BF015B">
        <w:rPr>
          <w:rStyle w:val="Emphasis"/>
          <w:i w:val="0"/>
          <w:iCs w:val="0"/>
          <w:noProof/>
        </w:rPr>
        <w:t>2</w:t>
      </w:r>
      <w:r w:rsidR="00FC0395">
        <w:rPr>
          <w:rFonts w:cs="Arial"/>
          <w:szCs w:val="20"/>
        </w:rPr>
        <w:fldChar w:fldCharType="end"/>
      </w:r>
      <w:r w:rsidR="00FC0395">
        <w:rPr>
          <w:rFonts w:cs="Arial"/>
          <w:szCs w:val="20"/>
        </w:rPr>
        <w:t xml:space="preserve">), </w:t>
      </w:r>
      <w:r w:rsidR="0034564B">
        <w:rPr>
          <w:rFonts w:cs="Arial"/>
          <w:szCs w:val="20"/>
        </w:rPr>
        <w:t xml:space="preserve">and </w:t>
      </w:r>
      <w:r>
        <w:t>t</w:t>
      </w:r>
      <w:r w:rsidRPr="00331E5E">
        <w:rPr>
          <w:rFonts w:cs="Arial"/>
          <w:szCs w:val="20"/>
        </w:rPr>
        <w:t>he most logical starting point</w:t>
      </w:r>
      <w:r w:rsidR="004D2076">
        <w:rPr>
          <w:rFonts w:cs="Arial"/>
          <w:szCs w:val="20"/>
        </w:rPr>
        <w:t>. How these</w:t>
      </w:r>
      <w:r w:rsidRPr="00331E5E">
        <w:rPr>
          <w:rFonts w:cs="Arial"/>
          <w:szCs w:val="20"/>
        </w:rPr>
        <w:t xml:space="preserve"> elements </w:t>
      </w:r>
      <w:r w:rsidR="004D2076">
        <w:rPr>
          <w:rFonts w:cs="Arial"/>
          <w:szCs w:val="20"/>
        </w:rPr>
        <w:t xml:space="preserve">of the process </w:t>
      </w:r>
      <w:r w:rsidRPr="00331E5E">
        <w:rPr>
          <w:rFonts w:cs="Arial"/>
          <w:szCs w:val="20"/>
        </w:rPr>
        <w:t>relate to each other is lik</w:t>
      </w:r>
      <w:r w:rsidR="00FC0395">
        <w:rPr>
          <w:rFonts w:cs="Arial"/>
          <w:szCs w:val="20"/>
        </w:rPr>
        <w:t xml:space="preserve">ely to differ from site to site. </w:t>
      </w:r>
    </w:p>
    <w:p w14:paraId="21411A76" w14:textId="451C53B0" w:rsidR="00B9658F" w:rsidRPr="002C2F92" w:rsidRDefault="00B9658F" w:rsidP="00B9658F">
      <w:pPr>
        <w:pStyle w:val="Para0"/>
        <w:spacing w:before="0" w:after="0"/>
        <w:jc w:val="center"/>
        <w:rPr>
          <w:rFonts w:asciiTheme="minorHAnsi" w:hAnsiTheme="minorHAnsi" w:cstheme="minorHAnsi"/>
        </w:rPr>
      </w:pPr>
      <w:r>
        <w:rPr>
          <w:rFonts w:asciiTheme="minorHAnsi" w:hAnsiTheme="minorHAnsi" w:cstheme="minorHAnsi"/>
          <w:noProof/>
          <w:lang w:eastAsia="en-AU"/>
        </w:rPr>
        <w:drawing>
          <wp:inline distT="0" distB="0" distL="0" distR="0" wp14:anchorId="476F2906" wp14:editId="5570ABBA">
            <wp:extent cx="4811700" cy="3636335"/>
            <wp:effectExtent l="0" t="0" r="8255" b="254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4905576" cy="3707279"/>
                    </a:xfrm>
                    <a:prstGeom prst="rect">
                      <a:avLst/>
                    </a:prstGeom>
                    <a:noFill/>
                  </pic:spPr>
                </pic:pic>
              </a:graphicData>
            </a:graphic>
          </wp:inline>
        </w:drawing>
      </w:r>
    </w:p>
    <w:p w14:paraId="61AC619E" w14:textId="5E12E9C0" w:rsidR="00FC0395" w:rsidRDefault="00FC0395" w:rsidP="00A40029">
      <w:pPr>
        <w:pStyle w:val="Caption"/>
        <w:jc w:val="center"/>
        <w:rPr>
          <w:rStyle w:val="Emphasis"/>
          <w:rFonts w:ascii="Arial" w:hAnsi="Arial"/>
          <w:b w:val="0"/>
          <w:i w:val="0"/>
          <w:iCs w:val="0"/>
        </w:rPr>
      </w:pPr>
      <w:bookmarkStart w:id="44" w:name="_Ref505341319"/>
      <w:bookmarkStart w:id="45" w:name="_Toc514018074"/>
      <w:r w:rsidRPr="00890425">
        <w:rPr>
          <w:rStyle w:val="Emphasis"/>
          <w:i w:val="0"/>
          <w:iCs w:val="0"/>
        </w:rPr>
        <w:t xml:space="preserve">Figure </w:t>
      </w:r>
      <w:r w:rsidR="004F42DD">
        <w:rPr>
          <w:rStyle w:val="Emphasis"/>
          <w:i w:val="0"/>
          <w:iCs w:val="0"/>
        </w:rPr>
        <w:fldChar w:fldCharType="begin"/>
      </w:r>
      <w:r w:rsidR="004F42DD">
        <w:rPr>
          <w:rStyle w:val="Emphasis"/>
          <w:i w:val="0"/>
          <w:iCs w:val="0"/>
        </w:rPr>
        <w:instrText xml:space="preserve"> STYLEREF 1 \s </w:instrText>
      </w:r>
      <w:r w:rsidR="004F42DD">
        <w:rPr>
          <w:rStyle w:val="Emphasis"/>
          <w:i w:val="0"/>
          <w:iCs w:val="0"/>
        </w:rPr>
        <w:fldChar w:fldCharType="separate"/>
      </w:r>
      <w:r w:rsidR="00BF015B">
        <w:rPr>
          <w:rStyle w:val="Emphasis"/>
          <w:i w:val="0"/>
          <w:iCs w:val="0"/>
          <w:noProof/>
        </w:rPr>
        <w:t>3</w:t>
      </w:r>
      <w:r w:rsidR="004F42DD">
        <w:rPr>
          <w:rStyle w:val="Emphasis"/>
          <w:i w:val="0"/>
          <w:iCs w:val="0"/>
        </w:rPr>
        <w:fldChar w:fldCharType="end"/>
      </w:r>
      <w:r w:rsidR="004F42DD">
        <w:rPr>
          <w:rStyle w:val="Emphasis"/>
          <w:i w:val="0"/>
          <w:iCs w:val="0"/>
        </w:rPr>
        <w:noBreakHyphen/>
      </w:r>
      <w:r w:rsidR="004F42DD">
        <w:rPr>
          <w:rStyle w:val="Emphasis"/>
          <w:i w:val="0"/>
          <w:iCs w:val="0"/>
        </w:rPr>
        <w:fldChar w:fldCharType="begin"/>
      </w:r>
      <w:r w:rsidR="004F42DD">
        <w:rPr>
          <w:rStyle w:val="Emphasis"/>
          <w:i w:val="0"/>
          <w:iCs w:val="0"/>
        </w:rPr>
        <w:instrText xml:space="preserve"> SEQ Figure \* ARABIC \s 1 </w:instrText>
      </w:r>
      <w:r w:rsidR="004F42DD">
        <w:rPr>
          <w:rStyle w:val="Emphasis"/>
          <w:i w:val="0"/>
          <w:iCs w:val="0"/>
        </w:rPr>
        <w:fldChar w:fldCharType="separate"/>
      </w:r>
      <w:r w:rsidR="00BF015B">
        <w:rPr>
          <w:rStyle w:val="Emphasis"/>
          <w:i w:val="0"/>
          <w:iCs w:val="0"/>
          <w:noProof/>
        </w:rPr>
        <w:t>2</w:t>
      </w:r>
      <w:r w:rsidR="004F42DD">
        <w:rPr>
          <w:rStyle w:val="Emphasis"/>
          <w:i w:val="0"/>
          <w:iCs w:val="0"/>
        </w:rPr>
        <w:fldChar w:fldCharType="end"/>
      </w:r>
      <w:bookmarkEnd w:id="44"/>
      <w:r w:rsidRPr="00890425">
        <w:rPr>
          <w:rStyle w:val="Emphasis"/>
          <w:i w:val="0"/>
          <w:iCs w:val="0"/>
        </w:rPr>
        <w:t>: Part A: Approa</w:t>
      </w:r>
      <w:r w:rsidR="004D2076">
        <w:rPr>
          <w:rStyle w:val="Emphasis"/>
          <w:i w:val="0"/>
          <w:iCs w:val="0"/>
        </w:rPr>
        <w:t>ch for undertaking a Black Box s</w:t>
      </w:r>
      <w:r w:rsidRPr="00890425">
        <w:rPr>
          <w:rStyle w:val="Emphasis"/>
          <w:i w:val="0"/>
          <w:iCs w:val="0"/>
        </w:rPr>
        <w:t xml:space="preserve">ite </w:t>
      </w:r>
      <w:r w:rsidR="004D2076">
        <w:rPr>
          <w:rStyle w:val="Emphasis"/>
          <w:i w:val="0"/>
          <w:iCs w:val="0"/>
        </w:rPr>
        <w:t>i</w:t>
      </w:r>
      <w:r w:rsidRPr="00890425">
        <w:rPr>
          <w:rStyle w:val="Emphasis"/>
          <w:i w:val="0"/>
          <w:iCs w:val="0"/>
        </w:rPr>
        <w:t>nvestigation</w:t>
      </w:r>
      <w:bookmarkEnd w:id="45"/>
    </w:p>
    <w:p w14:paraId="72352C96" w14:textId="77777777" w:rsidR="0034564B" w:rsidRPr="00A40029" w:rsidRDefault="0034564B" w:rsidP="00A40029">
      <w:pPr>
        <w:pStyle w:val="Para0"/>
      </w:pPr>
    </w:p>
    <w:p w14:paraId="5A88B343" w14:textId="624188EE" w:rsidR="00B11FA5" w:rsidRPr="00A83D10" w:rsidRDefault="00B11FA5" w:rsidP="00A83D10">
      <w:pPr>
        <w:pStyle w:val="Heading2"/>
        <w:rPr>
          <w:color w:val="65876D" w:themeColor="accent4" w:themeShade="BF"/>
        </w:rPr>
      </w:pPr>
      <w:bookmarkStart w:id="46" w:name="_Toc506817948"/>
      <w:bookmarkStart w:id="47" w:name="_Ref505673858"/>
      <w:bookmarkStart w:id="48" w:name="_Toc514017994"/>
      <w:bookmarkEnd w:id="46"/>
      <w:r w:rsidRPr="00A83D10">
        <w:rPr>
          <w:color w:val="65876D" w:themeColor="accent4" w:themeShade="BF"/>
        </w:rPr>
        <w:t xml:space="preserve">Working with </w:t>
      </w:r>
      <w:r w:rsidR="0054034A">
        <w:rPr>
          <w:color w:val="65876D" w:themeColor="accent4" w:themeShade="BF"/>
        </w:rPr>
        <w:t>U</w:t>
      </w:r>
      <w:r w:rsidRPr="00A83D10">
        <w:rPr>
          <w:color w:val="65876D" w:themeColor="accent4" w:themeShade="BF"/>
        </w:rPr>
        <w:t>ncertainty</w:t>
      </w:r>
      <w:bookmarkEnd w:id="47"/>
      <w:bookmarkEnd w:id="48"/>
    </w:p>
    <w:p w14:paraId="5EF7A220" w14:textId="19ABFCF5" w:rsidR="00B11FA5" w:rsidRPr="00AD4297" w:rsidRDefault="00B11FA5" w:rsidP="00B11FA5">
      <w:pPr>
        <w:pStyle w:val="Para0"/>
        <w:keepLines/>
      </w:pPr>
      <w:r w:rsidRPr="00AD4297">
        <w:t>The assessment of key processes and site management requirements will always occur in the presence of incomplete knowledge</w:t>
      </w:r>
      <w:r w:rsidR="0034564B">
        <w:t>,</w:t>
      </w:r>
      <w:r w:rsidRPr="00AD4297">
        <w:t xml:space="preserve"> creating a level of uncertainty in the expected outcome. Uncertainty is inherent when working within complex eco-hydrological environments. It arises through </w:t>
      </w:r>
      <w:r w:rsidR="000D6C24">
        <w:t>most</w:t>
      </w:r>
      <w:r w:rsidRPr="00AD4297">
        <w:t xml:space="preserve"> of the key aspects when completing a Black Box site investigation, including: </w:t>
      </w:r>
    </w:p>
    <w:p w14:paraId="5D138B9A" w14:textId="77777777" w:rsidR="00B11FA5" w:rsidRPr="00AD4297" w:rsidRDefault="00B11FA5" w:rsidP="00F22225">
      <w:pPr>
        <w:pStyle w:val="Para0"/>
        <w:numPr>
          <w:ilvl w:val="0"/>
          <w:numId w:val="60"/>
        </w:numPr>
        <w:spacing w:before="0"/>
        <w:ind w:left="714" w:hanging="357"/>
      </w:pPr>
      <w:r w:rsidRPr="00AD4297">
        <w:t>Condition assessment</w:t>
      </w:r>
    </w:p>
    <w:p w14:paraId="51DF74F3" w14:textId="0DA92907" w:rsidR="00B11FA5" w:rsidRPr="00AD4297" w:rsidRDefault="00B11FA5" w:rsidP="00F22225">
      <w:pPr>
        <w:pStyle w:val="Para0"/>
        <w:numPr>
          <w:ilvl w:val="0"/>
          <w:numId w:val="60"/>
        </w:numPr>
        <w:spacing w:before="0"/>
        <w:ind w:left="714" w:hanging="357"/>
      </w:pPr>
      <w:r w:rsidRPr="00AD4297">
        <w:t>Identification of stressors</w:t>
      </w:r>
      <w:r w:rsidR="00B064D7">
        <w:t xml:space="preserve"> and an understanding of how the system works</w:t>
      </w:r>
    </w:p>
    <w:p w14:paraId="04967E99" w14:textId="77777777" w:rsidR="00B11FA5" w:rsidRPr="00AD4297" w:rsidRDefault="00B11FA5" w:rsidP="00F22225">
      <w:pPr>
        <w:pStyle w:val="Para0"/>
        <w:numPr>
          <w:ilvl w:val="0"/>
          <w:numId w:val="60"/>
        </w:numPr>
        <w:spacing w:before="0"/>
        <w:ind w:left="714" w:hanging="357"/>
      </w:pPr>
      <w:r w:rsidRPr="00AD4297">
        <w:t>Vulnerability assessment</w:t>
      </w:r>
    </w:p>
    <w:p w14:paraId="1C8371C6" w14:textId="58363E76" w:rsidR="00B11FA5" w:rsidRPr="00AD4297" w:rsidRDefault="00B11FA5" w:rsidP="00F22225">
      <w:pPr>
        <w:pStyle w:val="Para0"/>
        <w:numPr>
          <w:ilvl w:val="0"/>
          <w:numId w:val="60"/>
        </w:numPr>
        <w:spacing w:before="0"/>
        <w:ind w:left="714" w:hanging="357"/>
      </w:pPr>
      <w:r w:rsidRPr="00AD4297">
        <w:t>Developing management options</w:t>
      </w:r>
      <w:r w:rsidR="005A5D37">
        <w:t>.</w:t>
      </w:r>
      <w:r w:rsidRPr="00AD4297">
        <w:t xml:space="preserve"> </w:t>
      </w:r>
    </w:p>
    <w:p w14:paraId="4A8A756E" w14:textId="79911A79" w:rsidR="00DE7158" w:rsidRDefault="0053193C" w:rsidP="00B11FA5">
      <w:pPr>
        <w:pStyle w:val="Para0"/>
        <w:rPr>
          <w:color w:val="000000" w:themeColor="text1"/>
        </w:rPr>
      </w:pPr>
      <w:r>
        <w:rPr>
          <w:color w:val="000000" w:themeColor="text1"/>
        </w:rPr>
        <w:t xml:space="preserve">For each of these elements, </w:t>
      </w:r>
      <w:r w:rsidR="00B11FA5">
        <w:rPr>
          <w:color w:val="000000" w:themeColor="text1"/>
        </w:rPr>
        <w:t xml:space="preserve">a range of data sources and types can be used, ranging from anecdotal information to measured </w:t>
      </w:r>
      <w:r w:rsidR="00461578">
        <w:rPr>
          <w:color w:val="000000" w:themeColor="text1"/>
        </w:rPr>
        <w:t xml:space="preserve">scientific </w:t>
      </w:r>
      <w:r w:rsidR="00B11FA5">
        <w:rPr>
          <w:color w:val="000000" w:themeColor="text1"/>
        </w:rPr>
        <w:t xml:space="preserve">data. Depending on what investigations have taken place at a </w:t>
      </w:r>
      <w:r w:rsidR="00AD6010">
        <w:rPr>
          <w:color w:val="000000" w:themeColor="text1"/>
        </w:rPr>
        <w:t>site</w:t>
      </w:r>
      <w:r w:rsidR="00B11FA5">
        <w:rPr>
          <w:color w:val="000000" w:themeColor="text1"/>
        </w:rPr>
        <w:t xml:space="preserve"> in the past, a range of different data sources may be available</w:t>
      </w:r>
      <w:r w:rsidR="00A334BE">
        <w:rPr>
          <w:color w:val="000000" w:themeColor="text1"/>
        </w:rPr>
        <w:t xml:space="preserve">. This </w:t>
      </w:r>
      <w:r w:rsidR="00610204">
        <w:rPr>
          <w:color w:val="000000" w:themeColor="text1"/>
        </w:rPr>
        <w:t>will influence</w:t>
      </w:r>
      <w:r w:rsidR="00B11FA5">
        <w:rPr>
          <w:color w:val="000000" w:themeColor="text1"/>
        </w:rPr>
        <w:t xml:space="preserve"> the level of confidence, or uncertainty, in understanding the information relevant to </w:t>
      </w:r>
      <w:r w:rsidR="00076E28">
        <w:rPr>
          <w:color w:val="000000" w:themeColor="text1"/>
        </w:rPr>
        <w:t xml:space="preserve">the </w:t>
      </w:r>
      <w:r w:rsidR="00B11FA5">
        <w:rPr>
          <w:color w:val="000000" w:themeColor="text1"/>
        </w:rPr>
        <w:t>management of Black Box. As the level of understanding</w:t>
      </w:r>
      <w:r w:rsidR="00DE7158">
        <w:rPr>
          <w:color w:val="000000" w:themeColor="text1"/>
        </w:rPr>
        <w:t xml:space="preserve"> about the site</w:t>
      </w:r>
      <w:r w:rsidR="00B11FA5">
        <w:rPr>
          <w:color w:val="000000" w:themeColor="text1"/>
        </w:rPr>
        <w:t xml:space="preserve"> increases, so does the level of confidence. </w:t>
      </w:r>
    </w:p>
    <w:p w14:paraId="049CB105" w14:textId="3EA07FA5" w:rsidR="00B11FA5" w:rsidRDefault="00B11FA5" w:rsidP="00B11FA5">
      <w:pPr>
        <w:pStyle w:val="Para0"/>
        <w:rPr>
          <w:color w:val="000000" w:themeColor="text1"/>
        </w:rPr>
      </w:pPr>
      <w:r>
        <w:rPr>
          <w:color w:val="000000" w:themeColor="text1"/>
        </w:rPr>
        <w:t xml:space="preserve">Throughout Chapter 3 a series of </w:t>
      </w:r>
      <w:r w:rsidR="000D6C24">
        <w:rPr>
          <w:color w:val="000000" w:themeColor="text1"/>
        </w:rPr>
        <w:t xml:space="preserve">confidence </w:t>
      </w:r>
      <w:r>
        <w:rPr>
          <w:color w:val="000000" w:themeColor="text1"/>
        </w:rPr>
        <w:t xml:space="preserve">assessment tables are provided which are intended to provide land managers with a quick reference guide of what they need to understand </w:t>
      </w:r>
      <w:r w:rsidR="00D756FF">
        <w:rPr>
          <w:color w:val="000000" w:themeColor="text1"/>
        </w:rPr>
        <w:t>about their</w:t>
      </w:r>
      <w:r>
        <w:rPr>
          <w:color w:val="000000" w:themeColor="text1"/>
        </w:rPr>
        <w:t xml:space="preserve"> site and the level of effort and technical understanding that might be required for each step. This section describes the confidence assessment colour coding and additional information to complement the tables presented</w:t>
      </w:r>
      <w:r w:rsidR="000D6C24">
        <w:rPr>
          <w:color w:val="000000" w:themeColor="text1"/>
        </w:rPr>
        <w:t xml:space="preserve"> throughout this Chapter.</w:t>
      </w:r>
      <w:r>
        <w:rPr>
          <w:color w:val="000000" w:themeColor="text1"/>
        </w:rPr>
        <w:t xml:space="preserve"> </w:t>
      </w:r>
    </w:p>
    <w:p w14:paraId="0A3FC3E4" w14:textId="35D758F5" w:rsidR="00B11FA5" w:rsidRDefault="00DE7158" w:rsidP="00B11FA5">
      <w:pPr>
        <w:pStyle w:val="Para0"/>
        <w:rPr>
          <w:color w:val="000000" w:themeColor="text1"/>
        </w:rPr>
      </w:pPr>
      <w:r>
        <w:fldChar w:fldCharType="begin"/>
      </w:r>
      <w:r>
        <w:instrText xml:space="preserve"> REF _Ref506554180 \h </w:instrText>
      </w:r>
      <w:r>
        <w:fldChar w:fldCharType="separate"/>
      </w:r>
      <w:r w:rsidR="00BF015B" w:rsidRPr="00F71E20">
        <w:t xml:space="preserve">Table </w:t>
      </w:r>
      <w:r w:rsidR="00BF015B">
        <w:rPr>
          <w:noProof/>
        </w:rPr>
        <w:t>3</w:t>
      </w:r>
      <w:r w:rsidR="00BF015B">
        <w:noBreakHyphen/>
      </w:r>
      <w:r w:rsidR="00BF015B">
        <w:rPr>
          <w:noProof/>
        </w:rPr>
        <w:t>1</w:t>
      </w:r>
      <w:r>
        <w:fldChar w:fldCharType="end"/>
      </w:r>
      <w:r>
        <w:t xml:space="preserve"> provides a guide to what confidence levels may be appropriate for different types of sites. </w:t>
      </w:r>
      <w:r w:rsidR="00B11FA5">
        <w:rPr>
          <w:color w:val="000000" w:themeColor="text1"/>
        </w:rPr>
        <w:t xml:space="preserve">The level of confidence that is required for a site investigation should relate directly to the scale of the site, the proposed level of investment in management options and the scale of benefits sought from management. For example: </w:t>
      </w:r>
    </w:p>
    <w:p w14:paraId="4B4AC8B6" w14:textId="77777777" w:rsidR="00B11FA5" w:rsidRDefault="00B11FA5" w:rsidP="00F22225">
      <w:pPr>
        <w:pStyle w:val="Para0"/>
        <w:numPr>
          <w:ilvl w:val="0"/>
          <w:numId w:val="57"/>
        </w:numPr>
        <w:rPr>
          <w:color w:val="000000" w:themeColor="text1"/>
        </w:rPr>
      </w:pPr>
      <w:r>
        <w:rPr>
          <w:color w:val="000000" w:themeColor="text1"/>
        </w:rPr>
        <w:t xml:space="preserve">Low, or Low/Moderate confidence may be appropriate for a small site, where simple, low cost management options are likely to be proposed. The level of investment required to obtain Moderate/High, or High level of confidence may not be achievable, or appropriate, for these sites. </w:t>
      </w:r>
    </w:p>
    <w:p w14:paraId="0F02C184" w14:textId="7A1A34B8" w:rsidR="00B11FA5" w:rsidRPr="00476D43" w:rsidRDefault="00B11FA5" w:rsidP="00F22225">
      <w:pPr>
        <w:pStyle w:val="Para0"/>
        <w:numPr>
          <w:ilvl w:val="0"/>
          <w:numId w:val="57"/>
        </w:numPr>
        <w:rPr>
          <w:color w:val="000000" w:themeColor="text1"/>
        </w:rPr>
      </w:pPr>
      <w:r w:rsidRPr="00476D43">
        <w:rPr>
          <w:color w:val="000000" w:themeColor="text1"/>
        </w:rPr>
        <w:t xml:space="preserve">Moderate/High or High confidence may be required for larger sites, or where more water or investment is likely to be proposed for </w:t>
      </w:r>
      <w:r w:rsidR="00461578">
        <w:rPr>
          <w:color w:val="000000" w:themeColor="text1"/>
        </w:rPr>
        <w:t xml:space="preserve">the </w:t>
      </w:r>
      <w:r w:rsidRPr="00476D43">
        <w:rPr>
          <w:color w:val="000000" w:themeColor="text1"/>
        </w:rPr>
        <w:t>management of Black Box</w:t>
      </w:r>
      <w:r w:rsidR="0051297B">
        <w:rPr>
          <w:color w:val="000000" w:themeColor="text1"/>
        </w:rPr>
        <w:t xml:space="preserve"> and therefore certainty in the outcome must be greater</w:t>
      </w:r>
      <w:r w:rsidRPr="00476D43">
        <w:rPr>
          <w:color w:val="000000" w:themeColor="text1"/>
        </w:rPr>
        <w:t>. Investing in increased confidence at this early stage could provide benefits and efficiency in achieving the desired outcomes.</w:t>
      </w:r>
    </w:p>
    <w:p w14:paraId="19C6DAA5" w14:textId="44A1B54F" w:rsidR="00B11FA5" w:rsidRDefault="00B11FA5" w:rsidP="00B11FA5">
      <w:pPr>
        <w:pStyle w:val="Para0"/>
      </w:pPr>
      <w:r w:rsidRPr="00AD4297">
        <w:t xml:space="preserve">The outputs from a confidence assessment provide a useful hold point and check against each of the key steps outlined in Chapter 3. </w:t>
      </w:r>
      <w:r>
        <w:t>At each step, a decision will need to be made as to whether currently available data will provide an appropriate level of confidence, or whether investment is required to obt</w:t>
      </w:r>
      <w:r w:rsidRPr="00476D43">
        <w:t xml:space="preserve">ain additional data. </w:t>
      </w:r>
      <w:r>
        <w:t xml:space="preserve">Since the site investigation includes a range of data types for each element, there is likely to be a range of confidence levels achieved for different data sources. A key criterion for determining whether greater confidence is needed for a specific data type is the extent to which the increased confidence in that data type would improve the confidence in </w:t>
      </w:r>
      <w:r w:rsidR="006551BC">
        <w:t xml:space="preserve">expected </w:t>
      </w:r>
      <w:r>
        <w:t>benefits being achieved through management decisions</w:t>
      </w:r>
      <w:r w:rsidR="006551BC">
        <w:t xml:space="preserve"> and assessment of unintended impacts</w:t>
      </w:r>
      <w:r>
        <w:t xml:space="preserve">.  </w:t>
      </w:r>
      <w:r w:rsidR="00B7710F">
        <w:t xml:space="preserve">It is not the intention for the confidence assessment to be prescriptive, rather for it to provide guidance on appropriate levels of information. </w:t>
      </w:r>
      <w:r w:rsidR="00E51CFE">
        <w:t>Trialling management options in situations of uncertainty provides the best knowledge to reduce the uncertainty and adapt management actions.</w:t>
      </w:r>
    </w:p>
    <w:p w14:paraId="1AE1C1CF" w14:textId="3E47BE6C" w:rsidR="00EE16BC" w:rsidRDefault="00EE16BC" w:rsidP="00EE16BC">
      <w:pPr>
        <w:pStyle w:val="Para0"/>
        <w:rPr>
          <w:color w:val="000000" w:themeColor="text1"/>
        </w:rPr>
        <w:sectPr w:rsidR="00EE16BC" w:rsidSect="00681FFA">
          <w:headerReference w:type="default" r:id="rId32"/>
          <w:footerReference w:type="default" r:id="rId33"/>
          <w:pgSz w:w="11906" w:h="16838" w:code="9"/>
          <w:pgMar w:top="567" w:right="851" w:bottom="851" w:left="1134" w:header="567" w:footer="370" w:gutter="0"/>
          <w:cols w:space="0"/>
          <w:formProt w:val="0"/>
          <w:docGrid w:linePitch="360"/>
        </w:sectPr>
      </w:pPr>
      <w:r>
        <w:rPr>
          <w:color w:val="000000" w:themeColor="text1"/>
        </w:rPr>
        <w:t xml:space="preserve">When all steps of </w:t>
      </w:r>
      <w:r w:rsidR="000D6C24">
        <w:rPr>
          <w:color w:val="000000" w:themeColor="text1"/>
        </w:rPr>
        <w:t>the site investigation are</w:t>
      </w:r>
      <w:r>
        <w:rPr>
          <w:color w:val="000000" w:themeColor="text1"/>
        </w:rPr>
        <w:t xml:space="preserve"> completed, an overall confidence level for the site investigation can be determined through averaging the confidence scores for each of the steps of the assessment. Refer </w:t>
      </w:r>
      <w:r w:rsidR="00781E5F">
        <w:rPr>
          <w:color w:val="000000" w:themeColor="text1"/>
        </w:rPr>
        <w:t xml:space="preserve">Chapter </w:t>
      </w:r>
      <w:r>
        <w:rPr>
          <w:color w:val="000000" w:themeColor="text1"/>
        </w:rPr>
        <w:fldChar w:fldCharType="begin"/>
      </w:r>
      <w:r>
        <w:rPr>
          <w:color w:val="000000" w:themeColor="text1"/>
        </w:rPr>
        <w:instrText xml:space="preserve"> REF _Ref506814989 \r \h </w:instrText>
      </w:r>
      <w:r>
        <w:rPr>
          <w:color w:val="000000" w:themeColor="text1"/>
        </w:rPr>
      </w:r>
      <w:r>
        <w:rPr>
          <w:color w:val="000000" w:themeColor="text1"/>
        </w:rPr>
        <w:fldChar w:fldCharType="separate"/>
      </w:r>
      <w:r w:rsidR="00BF015B">
        <w:rPr>
          <w:color w:val="000000" w:themeColor="text1"/>
        </w:rPr>
        <w:t>3.9</w:t>
      </w:r>
      <w:r>
        <w:rPr>
          <w:color w:val="000000" w:themeColor="text1"/>
        </w:rPr>
        <w:fldChar w:fldCharType="end"/>
      </w:r>
      <w:r>
        <w:rPr>
          <w:color w:val="000000" w:themeColor="text1"/>
        </w:rPr>
        <w:t xml:space="preserve"> for a description of the overall confidence assessment process. </w:t>
      </w:r>
    </w:p>
    <w:p w14:paraId="3686EE33" w14:textId="77777777" w:rsidR="00EE16BC" w:rsidRDefault="00EE16BC" w:rsidP="00B11FA5">
      <w:pPr>
        <w:pStyle w:val="Para0"/>
      </w:pPr>
    </w:p>
    <w:p w14:paraId="3727A6DB" w14:textId="6A624D7F" w:rsidR="00B11FA5" w:rsidRPr="00F71E20" w:rsidRDefault="00B11FA5" w:rsidP="00890425">
      <w:pPr>
        <w:pStyle w:val="Caption"/>
      </w:pPr>
      <w:bookmarkStart w:id="49" w:name="_Ref506554180"/>
      <w:bookmarkStart w:id="50" w:name="_Toc514068768"/>
      <w:r w:rsidRPr="00F71E20">
        <w:t xml:space="preserve">Table </w:t>
      </w:r>
      <w:r w:rsidR="002D4BCF">
        <w:fldChar w:fldCharType="begin"/>
      </w:r>
      <w:r w:rsidR="002D4BCF">
        <w:instrText xml:space="preserve"> STYLEREF 1 \s </w:instrText>
      </w:r>
      <w:r w:rsidR="002D4BCF">
        <w:fldChar w:fldCharType="separate"/>
      </w:r>
      <w:r w:rsidR="00BF015B">
        <w:rPr>
          <w:noProof/>
        </w:rPr>
        <w:t>3</w:t>
      </w:r>
      <w:r w:rsidR="002D4BCF">
        <w:fldChar w:fldCharType="end"/>
      </w:r>
      <w:r w:rsidR="002D4BCF">
        <w:noBreakHyphen/>
      </w:r>
      <w:r w:rsidR="002D4BCF">
        <w:fldChar w:fldCharType="begin"/>
      </w:r>
      <w:r w:rsidR="002D4BCF">
        <w:instrText xml:space="preserve"> SEQ Table \* ARABIC \s 1 </w:instrText>
      </w:r>
      <w:r w:rsidR="002D4BCF">
        <w:fldChar w:fldCharType="separate"/>
      </w:r>
      <w:r w:rsidR="00BF015B">
        <w:rPr>
          <w:noProof/>
        </w:rPr>
        <w:t>1</w:t>
      </w:r>
      <w:r w:rsidR="002D4BCF">
        <w:fldChar w:fldCharType="end"/>
      </w:r>
      <w:bookmarkEnd w:id="49"/>
      <w:r w:rsidRPr="00F71E20">
        <w:t>: A guide to the confidence ratings and their meanings.</w:t>
      </w:r>
      <w:bookmarkEnd w:id="50"/>
    </w:p>
    <w:tbl>
      <w:tblPr>
        <w:tblStyle w:val="TableGrid"/>
        <w:tblW w:w="4355"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535"/>
        <w:gridCol w:w="1158"/>
        <w:gridCol w:w="4939"/>
      </w:tblGrid>
      <w:tr w:rsidR="00256E74" w14:paraId="0677EE35" w14:textId="77777777" w:rsidTr="00256E74">
        <w:trPr>
          <w:tblHeader/>
        </w:trPr>
        <w:tc>
          <w:tcPr>
            <w:tcW w:w="1468" w:type="pct"/>
            <w:tcBorders>
              <w:right w:val="single" w:sz="4" w:space="0" w:color="FFFFFF" w:themeColor="background1"/>
            </w:tcBorders>
            <w:shd w:val="clear" w:color="auto" w:fill="00338D"/>
            <w:vAlign w:val="center"/>
          </w:tcPr>
          <w:p w14:paraId="2E3221D5" w14:textId="77777777" w:rsidR="00256E74" w:rsidRDefault="00256E74" w:rsidP="00956B17">
            <w:pPr>
              <w:pStyle w:val="Tableheading"/>
              <w:jc w:val="center"/>
            </w:pPr>
            <w:r>
              <w:t>Confidence level</w:t>
            </w:r>
          </w:p>
        </w:tc>
        <w:tc>
          <w:tcPr>
            <w:tcW w:w="671" w:type="pct"/>
            <w:shd w:val="clear" w:color="auto" w:fill="00338D"/>
          </w:tcPr>
          <w:p w14:paraId="6AA92D78" w14:textId="63DA87C0" w:rsidR="00256E74" w:rsidRDefault="00256E74" w:rsidP="00956B17">
            <w:pPr>
              <w:pStyle w:val="Tableheading"/>
              <w:jc w:val="center"/>
            </w:pPr>
            <w:r>
              <w:t>Confidence Score</w:t>
            </w:r>
          </w:p>
        </w:tc>
        <w:tc>
          <w:tcPr>
            <w:tcW w:w="2861" w:type="pct"/>
            <w:tcBorders>
              <w:right w:val="single" w:sz="4" w:space="0" w:color="FFFFFF" w:themeColor="background1"/>
            </w:tcBorders>
            <w:shd w:val="clear" w:color="auto" w:fill="00338D"/>
          </w:tcPr>
          <w:p w14:paraId="5448C344" w14:textId="2F2CF469" w:rsidR="00256E74" w:rsidRDefault="00256E74" w:rsidP="00956B17">
            <w:pPr>
              <w:pStyle w:val="Tableheading"/>
              <w:jc w:val="center"/>
            </w:pPr>
            <w:r>
              <w:t>Appropriate for</w:t>
            </w:r>
          </w:p>
        </w:tc>
      </w:tr>
      <w:tr w:rsidR="00256E74" w14:paraId="66B2D8EC" w14:textId="77777777" w:rsidTr="00256E74">
        <w:tc>
          <w:tcPr>
            <w:tcW w:w="1468" w:type="pct"/>
            <w:shd w:val="clear" w:color="auto" w:fill="FFFF00"/>
            <w:vAlign w:val="center"/>
          </w:tcPr>
          <w:p w14:paraId="35A92989" w14:textId="49F41782" w:rsidR="00256E74" w:rsidRDefault="00256E74" w:rsidP="00D1378C">
            <w:pPr>
              <w:pStyle w:val="Tabletext"/>
              <w:keepNext/>
            </w:pPr>
            <w:r>
              <w:t>Low: Anecdotal or regional level information, providing a rough estimate of site conditions. No conceptual model of stressors</w:t>
            </w:r>
            <w:r w:rsidR="004D2076">
              <w:t>.</w:t>
            </w:r>
          </w:p>
        </w:tc>
        <w:tc>
          <w:tcPr>
            <w:tcW w:w="671" w:type="pct"/>
            <w:shd w:val="clear" w:color="auto" w:fill="FFFF00"/>
            <w:vAlign w:val="center"/>
          </w:tcPr>
          <w:p w14:paraId="43970BFE" w14:textId="09EAD108" w:rsidR="00256E74" w:rsidRDefault="00256E74" w:rsidP="00E230DF">
            <w:pPr>
              <w:pStyle w:val="Tabletext"/>
              <w:keepNext/>
              <w:jc w:val="center"/>
            </w:pPr>
            <w:r>
              <w:t>1</w:t>
            </w:r>
          </w:p>
        </w:tc>
        <w:tc>
          <w:tcPr>
            <w:tcW w:w="2861" w:type="pct"/>
            <w:shd w:val="clear" w:color="auto" w:fill="FFFF00"/>
          </w:tcPr>
          <w:p w14:paraId="35AB2D95" w14:textId="357DB0D9" w:rsidR="00256E74" w:rsidRDefault="00256E74" w:rsidP="00956B17">
            <w:pPr>
              <w:pStyle w:val="Tabletext"/>
              <w:keepNext/>
            </w:pPr>
            <w:r>
              <w:t>Small manageable area of Black Box on site, &lt;10 ha</w:t>
            </w:r>
          </w:p>
          <w:p w14:paraId="03008B8B" w14:textId="1D5CD7AA" w:rsidR="00256E74" w:rsidRDefault="00256E74" w:rsidP="00956B17">
            <w:pPr>
              <w:pStyle w:val="Tabletext"/>
              <w:keepNext/>
            </w:pPr>
            <w:r>
              <w:t>Low level of investment in management of the site</w:t>
            </w:r>
          </w:p>
          <w:p w14:paraId="46F601E0" w14:textId="4BEFD430" w:rsidR="00256E74" w:rsidRDefault="00256E74" w:rsidP="00956B17">
            <w:pPr>
              <w:pStyle w:val="Tabletext"/>
              <w:keepNext/>
            </w:pPr>
            <w:r>
              <w:t>The costs of completing further investigations are proportionately high compared with the benefits expected</w:t>
            </w:r>
          </w:p>
        </w:tc>
      </w:tr>
      <w:tr w:rsidR="00256E74" w14:paraId="49D09E95" w14:textId="77777777" w:rsidTr="00256E74">
        <w:tc>
          <w:tcPr>
            <w:tcW w:w="1468" w:type="pct"/>
            <w:shd w:val="clear" w:color="auto" w:fill="FFC000"/>
            <w:vAlign w:val="center"/>
          </w:tcPr>
          <w:p w14:paraId="7CD610F8" w14:textId="0DE26CD6" w:rsidR="00256E74" w:rsidRDefault="00256E74" w:rsidP="00E63DBD">
            <w:pPr>
              <w:pStyle w:val="Tabletext"/>
            </w:pPr>
            <w:r>
              <w:t>Low/Moderate: Measured data from local sources, providing a better estimate of site conditions</w:t>
            </w:r>
            <w:r w:rsidR="004D2076">
              <w:t>.</w:t>
            </w:r>
          </w:p>
        </w:tc>
        <w:tc>
          <w:tcPr>
            <w:tcW w:w="671" w:type="pct"/>
            <w:shd w:val="clear" w:color="auto" w:fill="FFC000"/>
            <w:vAlign w:val="center"/>
          </w:tcPr>
          <w:p w14:paraId="556A4A8D" w14:textId="6D76E2BD" w:rsidR="00256E74" w:rsidRDefault="00256E74" w:rsidP="00E230DF">
            <w:pPr>
              <w:pStyle w:val="Tabletext"/>
              <w:jc w:val="center"/>
            </w:pPr>
            <w:r>
              <w:t>2</w:t>
            </w:r>
          </w:p>
        </w:tc>
        <w:tc>
          <w:tcPr>
            <w:tcW w:w="2861" w:type="pct"/>
            <w:shd w:val="clear" w:color="auto" w:fill="FFC000"/>
          </w:tcPr>
          <w:p w14:paraId="3B55F667" w14:textId="651CA802" w:rsidR="00256E74" w:rsidRDefault="00256E74" w:rsidP="00E63DBD">
            <w:pPr>
              <w:pStyle w:val="Tabletext"/>
            </w:pPr>
            <w:r>
              <w:t>Small/moderate manageable area of Black Box on site, 10ha-100ha</w:t>
            </w:r>
          </w:p>
          <w:p w14:paraId="6BDA8E14" w14:textId="0DCA5CC4" w:rsidR="00256E74" w:rsidRDefault="00256E74" w:rsidP="00E63DBD">
            <w:pPr>
              <w:pStyle w:val="Tabletext"/>
            </w:pPr>
            <w:r>
              <w:t>Low/moderate level of investment being sought in management of the site</w:t>
            </w:r>
          </w:p>
          <w:p w14:paraId="3A898C1A" w14:textId="77777777" w:rsidR="00256E74" w:rsidRDefault="00256E74" w:rsidP="00E63DBD">
            <w:pPr>
              <w:pStyle w:val="Tabletext"/>
            </w:pPr>
            <w:r>
              <w:t>The costs of completing further investigations are proportionately high compared with the benefits expected</w:t>
            </w:r>
          </w:p>
        </w:tc>
      </w:tr>
      <w:tr w:rsidR="00256E74" w14:paraId="5FDB892B" w14:textId="77777777" w:rsidTr="00256E74">
        <w:tc>
          <w:tcPr>
            <w:tcW w:w="1468" w:type="pct"/>
            <w:shd w:val="clear" w:color="auto" w:fill="99FF99"/>
            <w:vAlign w:val="center"/>
          </w:tcPr>
          <w:p w14:paraId="09D49162" w14:textId="2F69F905" w:rsidR="00256E74" w:rsidRDefault="00256E74" w:rsidP="00E63DBD">
            <w:pPr>
              <w:pStyle w:val="Tabletext"/>
            </w:pPr>
            <w:r>
              <w:t>Moderate: Data measured at the site, but over a short timeframe, or with a high level of uncertainty. Reasonable conceptual model of stressors.</w:t>
            </w:r>
          </w:p>
        </w:tc>
        <w:tc>
          <w:tcPr>
            <w:tcW w:w="671" w:type="pct"/>
            <w:shd w:val="clear" w:color="auto" w:fill="99FF99"/>
            <w:vAlign w:val="center"/>
          </w:tcPr>
          <w:p w14:paraId="4171B877" w14:textId="1D7E2B69" w:rsidR="00256E74" w:rsidRDefault="00256E74" w:rsidP="00E230DF">
            <w:pPr>
              <w:pStyle w:val="Tabletext"/>
              <w:jc w:val="center"/>
            </w:pPr>
            <w:r>
              <w:t>3</w:t>
            </w:r>
          </w:p>
        </w:tc>
        <w:tc>
          <w:tcPr>
            <w:tcW w:w="2861" w:type="pct"/>
            <w:shd w:val="clear" w:color="auto" w:fill="99FF99"/>
          </w:tcPr>
          <w:p w14:paraId="3ADA14F3" w14:textId="5CCFB320" w:rsidR="00256E74" w:rsidRDefault="00256E74" w:rsidP="00E63DBD">
            <w:pPr>
              <w:pStyle w:val="Tabletext"/>
            </w:pPr>
            <w:r>
              <w:t>Moderate manageable area of Black Box on site, 100-1,000 ha</w:t>
            </w:r>
          </w:p>
          <w:p w14:paraId="5B627888" w14:textId="27559409" w:rsidR="00256E74" w:rsidRDefault="00256E74" w:rsidP="00E63DBD">
            <w:pPr>
              <w:pStyle w:val="Tabletext"/>
            </w:pPr>
            <w:r>
              <w:t xml:space="preserve">Moderate level of investment being sought for management of the site </w:t>
            </w:r>
          </w:p>
          <w:p w14:paraId="6BB6D378" w14:textId="77777777" w:rsidR="00256E74" w:rsidRDefault="00256E74" w:rsidP="00E63DBD">
            <w:pPr>
              <w:pStyle w:val="Tabletext"/>
            </w:pPr>
            <w:r>
              <w:t>Moderate confidence required to justify investment in site management</w:t>
            </w:r>
          </w:p>
        </w:tc>
      </w:tr>
      <w:tr w:rsidR="00256E74" w14:paraId="7B353C3F" w14:textId="77777777" w:rsidTr="00256E74">
        <w:tc>
          <w:tcPr>
            <w:tcW w:w="1468" w:type="pct"/>
            <w:shd w:val="clear" w:color="auto" w:fill="92D050"/>
            <w:vAlign w:val="center"/>
          </w:tcPr>
          <w:p w14:paraId="609D644F" w14:textId="42761526" w:rsidR="00256E74" w:rsidRDefault="00256E74" w:rsidP="00E63DBD">
            <w:pPr>
              <w:pStyle w:val="Tabletext"/>
            </w:pPr>
            <w:r>
              <w:t>Moderate/High: Data measured at the site, over a longer timeframe, with a moderate level of uncertainty</w:t>
            </w:r>
            <w:r w:rsidR="004D2076">
              <w:t>.</w:t>
            </w:r>
          </w:p>
        </w:tc>
        <w:tc>
          <w:tcPr>
            <w:tcW w:w="671" w:type="pct"/>
            <w:shd w:val="clear" w:color="auto" w:fill="92D050"/>
            <w:vAlign w:val="center"/>
          </w:tcPr>
          <w:p w14:paraId="2433797C" w14:textId="0793E41D" w:rsidR="00256E74" w:rsidRDefault="00256E74" w:rsidP="00E230DF">
            <w:pPr>
              <w:pStyle w:val="Tabletext"/>
              <w:jc w:val="center"/>
            </w:pPr>
            <w:r>
              <w:t>4</w:t>
            </w:r>
          </w:p>
        </w:tc>
        <w:tc>
          <w:tcPr>
            <w:tcW w:w="2861" w:type="pct"/>
            <w:shd w:val="clear" w:color="auto" w:fill="92D050"/>
          </w:tcPr>
          <w:p w14:paraId="111E0E22" w14:textId="503CE524" w:rsidR="00256E74" w:rsidRDefault="00256E74" w:rsidP="00E63DBD">
            <w:pPr>
              <w:pStyle w:val="Tabletext"/>
            </w:pPr>
            <w:r>
              <w:t>Moderate/large manageable area of Black Box on site, 1,000-10,000 ha</w:t>
            </w:r>
          </w:p>
          <w:p w14:paraId="4910E340" w14:textId="191CE607" w:rsidR="00256E74" w:rsidRDefault="00256E74" w:rsidP="00E63DBD">
            <w:pPr>
              <w:pStyle w:val="Tabletext"/>
            </w:pPr>
            <w:r>
              <w:t xml:space="preserve">Moderate/high level of investment being sought for management of the site </w:t>
            </w:r>
          </w:p>
          <w:p w14:paraId="27EAF13B" w14:textId="77777777" w:rsidR="00256E74" w:rsidRDefault="00256E74" w:rsidP="00E63DBD">
            <w:pPr>
              <w:pStyle w:val="Tabletext"/>
            </w:pPr>
            <w:r>
              <w:t>Greater confidence required to justify investment in site management</w:t>
            </w:r>
          </w:p>
        </w:tc>
      </w:tr>
      <w:tr w:rsidR="00256E74" w14:paraId="246D9048" w14:textId="77777777" w:rsidTr="00256E74">
        <w:tc>
          <w:tcPr>
            <w:tcW w:w="1468" w:type="pct"/>
            <w:shd w:val="clear" w:color="auto" w:fill="00B050"/>
            <w:vAlign w:val="center"/>
          </w:tcPr>
          <w:p w14:paraId="1468F4DD" w14:textId="1D4FBB89" w:rsidR="00256E74" w:rsidRDefault="00256E74" w:rsidP="00E63DBD">
            <w:pPr>
              <w:pStyle w:val="Tabletext"/>
            </w:pPr>
            <w:r>
              <w:t>High: Data measured at the site, over long timeframes and with low level of uncertainty. Good conceptual model or detailed site specific relationships for stressors.</w:t>
            </w:r>
          </w:p>
        </w:tc>
        <w:tc>
          <w:tcPr>
            <w:tcW w:w="671" w:type="pct"/>
            <w:shd w:val="clear" w:color="auto" w:fill="00B050"/>
            <w:vAlign w:val="center"/>
          </w:tcPr>
          <w:p w14:paraId="53569104" w14:textId="72E2F6A8" w:rsidR="00256E74" w:rsidRDefault="00256E74" w:rsidP="00E230DF">
            <w:pPr>
              <w:pStyle w:val="Tabletext"/>
              <w:jc w:val="center"/>
            </w:pPr>
            <w:r>
              <w:t>5</w:t>
            </w:r>
          </w:p>
        </w:tc>
        <w:tc>
          <w:tcPr>
            <w:tcW w:w="2861" w:type="pct"/>
            <w:shd w:val="clear" w:color="auto" w:fill="00B050"/>
          </w:tcPr>
          <w:p w14:paraId="19868D5E" w14:textId="2EC65BB2" w:rsidR="00256E74" w:rsidRDefault="00256E74" w:rsidP="00E63DBD">
            <w:pPr>
              <w:pStyle w:val="Tabletext"/>
            </w:pPr>
            <w:r>
              <w:t>Large manageable area of Black Box on site, &gt;10,000ha</w:t>
            </w:r>
          </w:p>
          <w:p w14:paraId="59EA02C6" w14:textId="04B15C55" w:rsidR="00256E74" w:rsidRDefault="00256E74" w:rsidP="00E63DBD">
            <w:pPr>
              <w:pStyle w:val="Tabletext"/>
            </w:pPr>
            <w:r>
              <w:t xml:space="preserve">Significant level of investment being sought for management of the site </w:t>
            </w:r>
          </w:p>
          <w:p w14:paraId="0179458B" w14:textId="77777777" w:rsidR="00256E74" w:rsidRDefault="00256E74" w:rsidP="00E63DBD">
            <w:pPr>
              <w:pStyle w:val="Tabletext"/>
            </w:pPr>
            <w:r>
              <w:t>Greater confidence required to justify investment in site management</w:t>
            </w:r>
          </w:p>
        </w:tc>
      </w:tr>
    </w:tbl>
    <w:p w14:paraId="625B330E" w14:textId="0556A8F6" w:rsidR="00A362EB" w:rsidRDefault="00A362EB" w:rsidP="00A83D10">
      <w:pPr>
        <w:pStyle w:val="Heading2"/>
        <w:numPr>
          <w:ilvl w:val="0"/>
          <w:numId w:val="0"/>
        </w:numPr>
        <w:ind w:left="851"/>
        <w:rPr>
          <w:color w:val="65876D" w:themeColor="accent4" w:themeShade="BF"/>
        </w:rPr>
      </w:pPr>
      <w:bookmarkStart w:id="51" w:name="_Toc505674041"/>
      <w:bookmarkStart w:id="52" w:name="_Toc505674154"/>
      <w:bookmarkEnd w:id="51"/>
      <w:bookmarkEnd w:id="52"/>
    </w:p>
    <w:p w14:paraId="689C9266" w14:textId="77777777" w:rsidR="00A362EB" w:rsidRDefault="00A362EB">
      <w:pPr>
        <w:spacing w:after="0" w:line="240" w:lineRule="auto"/>
        <w:rPr>
          <w:rFonts w:eastAsiaTheme="majorEastAsia" w:cstheme="majorBidi"/>
          <w:b/>
          <w:bCs/>
          <w:color w:val="65876D" w:themeColor="accent4" w:themeShade="BF"/>
          <w:sz w:val="24"/>
          <w:szCs w:val="26"/>
        </w:rPr>
      </w:pPr>
      <w:r>
        <w:rPr>
          <w:color w:val="65876D" w:themeColor="accent4" w:themeShade="BF"/>
        </w:rPr>
        <w:br w:type="page"/>
      </w:r>
    </w:p>
    <w:p w14:paraId="607346AB" w14:textId="185079DF" w:rsidR="00D6645C" w:rsidRPr="00A83D10" w:rsidRDefault="00D6645C" w:rsidP="00A83D10">
      <w:pPr>
        <w:pStyle w:val="Heading2"/>
        <w:rPr>
          <w:color w:val="65876D" w:themeColor="accent4" w:themeShade="BF"/>
        </w:rPr>
      </w:pPr>
      <w:bookmarkStart w:id="53" w:name="_Toc506817950"/>
      <w:bookmarkStart w:id="54" w:name="_Toc514017995"/>
      <w:bookmarkEnd w:id="53"/>
      <w:r w:rsidRPr="00A83D10">
        <w:rPr>
          <w:color w:val="65876D" w:themeColor="accent4" w:themeShade="BF"/>
        </w:rPr>
        <w:t xml:space="preserve">Case </w:t>
      </w:r>
      <w:r w:rsidR="0054034A">
        <w:rPr>
          <w:color w:val="65876D" w:themeColor="accent4" w:themeShade="BF"/>
        </w:rPr>
        <w:t>S</w:t>
      </w:r>
      <w:r w:rsidRPr="00A83D10">
        <w:rPr>
          <w:color w:val="65876D" w:themeColor="accent4" w:themeShade="BF"/>
        </w:rPr>
        <w:t>tudy: Calperum Station</w:t>
      </w:r>
      <w:bookmarkEnd w:id="54"/>
    </w:p>
    <w:p w14:paraId="7A7D19FD" w14:textId="3B7ED24E" w:rsidR="009959DB" w:rsidRPr="009959DB" w:rsidRDefault="009959DB" w:rsidP="00A83D10">
      <w:pPr>
        <w:pStyle w:val="Para0"/>
      </w:pPr>
      <w:r>
        <w:t xml:space="preserve">Throughout the document a series of case study boxes have been provided </w:t>
      </w:r>
      <w:r w:rsidR="00DE7158">
        <w:t>as</w:t>
      </w:r>
      <w:r w:rsidR="001A2048">
        <w:t xml:space="preserve"> a</w:t>
      </w:r>
      <w:r>
        <w:t xml:space="preserve"> real-world example of the Framework</w:t>
      </w:r>
      <w:r w:rsidR="00C265E6">
        <w:t>’s application</w:t>
      </w:r>
      <w:r>
        <w:t>. The case study</w:t>
      </w:r>
      <w:r w:rsidR="00DE7158">
        <w:t xml:space="preserve"> was</w:t>
      </w:r>
      <w:r>
        <w:t xml:space="preserve"> undertaken </w:t>
      </w:r>
      <w:r w:rsidR="00DE7158">
        <w:t>at</w:t>
      </w:r>
      <w:r>
        <w:t xml:space="preserve"> Calperum Station in South Australia.</w:t>
      </w:r>
    </w:p>
    <w:p w14:paraId="064D521D" w14:textId="77777777" w:rsidR="00B44C29" w:rsidRDefault="007E33A2" w:rsidP="00BB5D93">
      <w:pPr>
        <w:pStyle w:val="Para0"/>
        <w:sectPr w:rsidR="00B44C29" w:rsidSect="00681FFA">
          <w:headerReference w:type="default" r:id="rId34"/>
          <w:footerReference w:type="default" r:id="rId35"/>
          <w:pgSz w:w="11906" w:h="16838" w:code="9"/>
          <w:pgMar w:top="567" w:right="851" w:bottom="851" w:left="1134" w:header="567" w:footer="370" w:gutter="0"/>
          <w:cols w:space="0"/>
          <w:formProt w:val="0"/>
          <w:docGrid w:linePitch="360"/>
        </w:sectPr>
      </w:pPr>
      <w:r w:rsidRPr="00F71E20">
        <w:rPr>
          <w:noProof/>
          <w:lang w:eastAsia="en-AU"/>
        </w:rPr>
        <mc:AlternateContent>
          <mc:Choice Requires="wps">
            <w:drawing>
              <wp:inline distT="0" distB="0" distL="0" distR="0" wp14:anchorId="76152AA2" wp14:editId="76D045B8">
                <wp:extent cx="6320790" cy="6400800"/>
                <wp:effectExtent l="57150" t="38100" r="80010" b="95250"/>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0790" cy="6400800"/>
                        </a:xfrm>
                        <a:prstGeom prst="rect">
                          <a:avLst/>
                        </a:prstGeom>
                        <a:solidFill>
                          <a:schemeClr val="accent4">
                            <a:lumMod val="60000"/>
                            <a:lumOff val="40000"/>
                          </a:schemeClr>
                        </a:solidFill>
                        <a:ln w="9525" cap="flat" cmpd="sng" algn="ctr">
                          <a:solidFill>
                            <a:srgbClr val="90AC97">
                              <a:shade val="95000"/>
                              <a:satMod val="105000"/>
                            </a:srgbClr>
                          </a:solidFill>
                          <a:prstDash val="solid"/>
                        </a:ln>
                        <a:effectLst>
                          <a:outerShdw blurRad="40000" dist="20000" dir="5400000" rotWithShape="0">
                            <a:srgbClr val="000000">
                              <a:alpha val="38000"/>
                            </a:srgbClr>
                          </a:outerShdw>
                        </a:effectLst>
                      </wps:spPr>
                      <wps:txbx>
                        <w:txbxContent>
                          <w:p w14:paraId="426B7A77" w14:textId="77777777" w:rsidR="00CF0933" w:rsidRPr="008C0BF4" w:rsidRDefault="00CF0933" w:rsidP="007E33A2">
                            <w:pPr>
                              <w:spacing w:before="240" w:after="120"/>
                              <w:rPr>
                                <w:b/>
                              </w:rPr>
                            </w:pPr>
                            <w:r w:rsidRPr="008C0BF4">
                              <w:rPr>
                                <w:b/>
                              </w:rPr>
                              <w:t>Case Study: Background</w:t>
                            </w:r>
                          </w:p>
                          <w:p w14:paraId="55ACBE6A" w14:textId="0C319D6B" w:rsidR="00CF0933" w:rsidRPr="00F71E20" w:rsidRDefault="00CF0933" w:rsidP="007E33A2">
                            <w:pPr>
                              <w:spacing w:before="240" w:after="120"/>
                              <w:rPr>
                                <w:rFonts w:cs="Arial"/>
                                <w:szCs w:val="20"/>
                              </w:rPr>
                            </w:pPr>
                            <w:r w:rsidRPr="00F71E20">
                              <w:rPr>
                                <w:rFonts w:cs="Arial"/>
                                <w:szCs w:val="20"/>
                              </w:rPr>
                              <w:t xml:space="preserve">A </w:t>
                            </w:r>
                            <w:r>
                              <w:rPr>
                                <w:rFonts w:cs="Arial"/>
                                <w:szCs w:val="20"/>
                              </w:rPr>
                              <w:t xml:space="preserve">case study </w:t>
                            </w:r>
                            <w:r w:rsidRPr="00F71E20">
                              <w:rPr>
                                <w:rFonts w:cs="Arial"/>
                                <w:szCs w:val="20"/>
                              </w:rPr>
                              <w:t xml:space="preserve">site investigation at Calperum Station in South Australia was completed in 2017, with the following objectives: </w:t>
                            </w:r>
                          </w:p>
                          <w:p w14:paraId="228711AB" w14:textId="76E27839" w:rsidR="00CF0933" w:rsidRPr="00F71E20" w:rsidRDefault="00CF0933" w:rsidP="00F22225">
                            <w:pPr>
                              <w:pStyle w:val="ListParagraph"/>
                              <w:numPr>
                                <w:ilvl w:val="0"/>
                                <w:numId w:val="62"/>
                              </w:numPr>
                              <w:autoSpaceDE w:val="0"/>
                              <w:autoSpaceDN w:val="0"/>
                              <w:adjustRightInd w:val="0"/>
                              <w:spacing w:after="96"/>
                              <w:rPr>
                                <w:rFonts w:cs="Arial"/>
                                <w:color w:val="000000"/>
                                <w:szCs w:val="20"/>
                              </w:rPr>
                            </w:pPr>
                            <w:r w:rsidRPr="00F71E20">
                              <w:rPr>
                                <w:rFonts w:ascii="Arial" w:hAnsi="Arial" w:cs="Arial"/>
                                <w:color w:val="000000"/>
                                <w:sz w:val="20"/>
                                <w:szCs w:val="20"/>
                              </w:rPr>
                              <w:t xml:space="preserve">Improve management of Black Box at Calperum Station </w:t>
                            </w:r>
                            <w:r>
                              <w:rPr>
                                <w:rFonts w:ascii="Arial" w:hAnsi="Arial" w:cs="Arial"/>
                                <w:color w:val="000000"/>
                                <w:sz w:val="20"/>
                                <w:szCs w:val="20"/>
                              </w:rPr>
                              <w:t>by</w:t>
                            </w:r>
                            <w:r w:rsidRPr="00F71E20">
                              <w:rPr>
                                <w:rFonts w:ascii="Arial" w:hAnsi="Arial" w:cs="Arial"/>
                                <w:color w:val="000000"/>
                                <w:sz w:val="20"/>
                                <w:szCs w:val="20"/>
                              </w:rPr>
                              <w:t xml:space="preserve"> undertaking a site investigation that is based on science and a structured framewor</w:t>
                            </w:r>
                            <w:r>
                              <w:rPr>
                                <w:rFonts w:ascii="Arial" w:hAnsi="Arial" w:cs="Arial"/>
                                <w:color w:val="000000"/>
                                <w:sz w:val="20"/>
                                <w:szCs w:val="20"/>
                              </w:rPr>
                              <w:t>k</w:t>
                            </w:r>
                          </w:p>
                          <w:p w14:paraId="32BD8505" w14:textId="61E257A1" w:rsidR="00CF0933" w:rsidRPr="00F71E20" w:rsidRDefault="00CF0933" w:rsidP="00F22225">
                            <w:pPr>
                              <w:pStyle w:val="ListParagraph"/>
                              <w:numPr>
                                <w:ilvl w:val="0"/>
                                <w:numId w:val="62"/>
                              </w:numPr>
                              <w:autoSpaceDE w:val="0"/>
                              <w:autoSpaceDN w:val="0"/>
                              <w:adjustRightInd w:val="0"/>
                              <w:rPr>
                                <w:rFonts w:cs="Arial"/>
                                <w:color w:val="000000"/>
                                <w:szCs w:val="20"/>
                              </w:rPr>
                            </w:pPr>
                            <w:r w:rsidRPr="00F71E20">
                              <w:rPr>
                                <w:rFonts w:ascii="Arial" w:hAnsi="Arial" w:cs="Arial"/>
                                <w:color w:val="000000"/>
                                <w:sz w:val="20"/>
                                <w:szCs w:val="20"/>
                              </w:rPr>
                              <w:t xml:space="preserve">Test the draft </w:t>
                            </w:r>
                            <w:r>
                              <w:rPr>
                                <w:rFonts w:ascii="Arial" w:hAnsi="Arial" w:cs="Arial"/>
                                <w:color w:val="000000"/>
                                <w:sz w:val="20"/>
                                <w:szCs w:val="20"/>
                              </w:rPr>
                              <w:t>Framework</w:t>
                            </w:r>
                            <w:r w:rsidRPr="00F71E20">
                              <w:rPr>
                                <w:rFonts w:ascii="Arial" w:hAnsi="Arial" w:cs="Arial"/>
                                <w:color w:val="000000"/>
                                <w:sz w:val="20"/>
                                <w:szCs w:val="20"/>
                              </w:rPr>
                              <w:t xml:space="preserve">, and </w:t>
                            </w:r>
                            <w:r>
                              <w:rPr>
                                <w:rFonts w:ascii="Arial" w:hAnsi="Arial" w:cs="Arial"/>
                                <w:color w:val="000000"/>
                                <w:sz w:val="20"/>
                                <w:szCs w:val="20"/>
                              </w:rPr>
                              <w:t>refine the Framework based on the outcomes of the testing</w:t>
                            </w:r>
                            <w:r w:rsidRPr="00F71E20">
                              <w:rPr>
                                <w:rFonts w:ascii="Arial" w:hAnsi="Arial" w:cs="Arial"/>
                                <w:color w:val="000000"/>
                                <w:sz w:val="20"/>
                                <w:szCs w:val="20"/>
                              </w:rPr>
                              <w:t xml:space="preserve">. </w:t>
                            </w:r>
                          </w:p>
                          <w:p w14:paraId="6F95C33B" w14:textId="690C84A4" w:rsidR="00CF0933" w:rsidRPr="00E30A23" w:rsidRDefault="00CF0933" w:rsidP="007E33A2">
                            <w:pPr>
                              <w:spacing w:before="240" w:after="120"/>
                              <w:rPr>
                                <w:rFonts w:cs="Arial"/>
                                <w:szCs w:val="20"/>
                              </w:rPr>
                            </w:pPr>
                            <w:r w:rsidRPr="00E30A23">
                              <w:rPr>
                                <w:rFonts w:cs="Arial"/>
                                <w:szCs w:val="20"/>
                              </w:rPr>
                              <w:t xml:space="preserve">As a result of the case study, a range of recommendations were developed for finalisation of the </w:t>
                            </w:r>
                            <w:r>
                              <w:rPr>
                                <w:rFonts w:cs="Arial"/>
                                <w:szCs w:val="20"/>
                              </w:rPr>
                              <w:t>Framework</w:t>
                            </w:r>
                            <w:r w:rsidRPr="00E30A23">
                              <w:rPr>
                                <w:rFonts w:cs="Arial"/>
                                <w:szCs w:val="20"/>
                              </w:rPr>
                              <w:t>.</w:t>
                            </w:r>
                            <w:r>
                              <w:rPr>
                                <w:rFonts w:cs="Arial"/>
                                <w:szCs w:val="20"/>
                              </w:rPr>
                              <w:t xml:space="preserve"> While a range of management measures and pre-existing investigations have been completed at Calperum Station in the past, the case study focuses on investigations completed as part of the trial site investigation, for relevance to the Framework process. Refer “</w:t>
                            </w:r>
                            <w:r w:rsidRPr="00F71E20">
                              <w:rPr>
                                <w:rFonts w:cs="Arial"/>
                                <w:i/>
                                <w:szCs w:val="20"/>
                              </w:rPr>
                              <w:t>Site Investigation for Black Box at Calperum Station”</w:t>
                            </w:r>
                            <w:r>
                              <w:rPr>
                                <w:rFonts w:cs="Arial"/>
                                <w:szCs w:val="20"/>
                              </w:rPr>
                              <w:t xml:space="preserve"> (Overton, Boyd and Coff, 2017), for full documentation of the case study.  </w:t>
                            </w:r>
                          </w:p>
                          <w:p w14:paraId="096A384B" w14:textId="214A285E" w:rsidR="00CF0933" w:rsidRPr="0049520C" w:rsidRDefault="00CF0933" w:rsidP="007E33A2">
                            <w:pPr>
                              <w:spacing w:before="240" w:after="120"/>
                              <w:rPr>
                                <w:rFonts w:cs="Arial"/>
                                <w:szCs w:val="20"/>
                              </w:rPr>
                            </w:pPr>
                            <w:r w:rsidRPr="00F71E20">
                              <w:rPr>
                                <w:rFonts w:cs="Arial"/>
                                <w:szCs w:val="20"/>
                              </w:rPr>
                              <w:t xml:space="preserve">Calperum Station is located on the northern side of the River Murray in South Australia, approximately 20 km north of Renmark and immediately downstream of Chowilla </w:t>
                            </w:r>
                            <w:r>
                              <w:rPr>
                                <w:rFonts w:cs="Arial"/>
                                <w:szCs w:val="20"/>
                              </w:rPr>
                              <w:t xml:space="preserve">floodplain </w:t>
                            </w:r>
                            <w:r w:rsidRPr="00F71E20">
                              <w:rPr>
                                <w:rFonts w:cs="Arial"/>
                                <w:szCs w:val="20"/>
                              </w:rPr>
                              <w:t>(</w:t>
                            </w:r>
                            <w:r>
                              <w:rPr>
                                <w:rFonts w:cs="Arial"/>
                                <w:szCs w:val="20"/>
                              </w:rPr>
                              <w:fldChar w:fldCharType="begin"/>
                            </w:r>
                            <w:r>
                              <w:rPr>
                                <w:rFonts w:cs="Arial"/>
                                <w:szCs w:val="20"/>
                              </w:rPr>
                              <w:instrText xml:space="preserve"> REF _Ref506818232 \h </w:instrText>
                            </w:r>
                            <w:r>
                              <w:rPr>
                                <w:rFonts w:cs="Arial"/>
                                <w:szCs w:val="20"/>
                              </w:rPr>
                            </w:r>
                            <w:r>
                              <w:rPr>
                                <w:rFonts w:cs="Arial"/>
                                <w:szCs w:val="20"/>
                              </w:rPr>
                              <w:fldChar w:fldCharType="separate"/>
                            </w:r>
                            <w:r w:rsidRPr="00DF4A1A">
                              <w:t xml:space="preserve">Figure </w:t>
                            </w:r>
                            <w:r>
                              <w:rPr>
                                <w:noProof/>
                              </w:rPr>
                              <w:t>3</w:t>
                            </w:r>
                            <w:r>
                              <w:noBreakHyphen/>
                            </w:r>
                            <w:r>
                              <w:rPr>
                                <w:noProof/>
                              </w:rPr>
                              <w:t>3</w:t>
                            </w:r>
                            <w:r>
                              <w:rPr>
                                <w:rFonts w:cs="Arial"/>
                                <w:szCs w:val="20"/>
                              </w:rPr>
                              <w:fldChar w:fldCharType="end"/>
                            </w:r>
                            <w:r>
                              <w:rPr>
                                <w:rFonts w:cs="Arial"/>
                                <w:szCs w:val="20"/>
                              </w:rPr>
                              <w:t xml:space="preserve">). </w:t>
                            </w:r>
                            <w:r w:rsidRPr="00E30A23">
                              <w:rPr>
                                <w:rFonts w:cs="Arial"/>
                                <w:szCs w:val="20"/>
                              </w:rPr>
                              <w:t xml:space="preserve">Managed by the Australian Landscape </w:t>
                            </w:r>
                            <w:r w:rsidRPr="0049520C">
                              <w:rPr>
                                <w:rFonts w:cs="Arial"/>
                                <w:szCs w:val="20"/>
                              </w:rPr>
                              <w:t>Trust, Calperum Station is part of the Riverland Ramsar wetland and is characterised by:</w:t>
                            </w:r>
                          </w:p>
                          <w:p w14:paraId="1EEF5045" w14:textId="692B1558" w:rsidR="00CF0933" w:rsidRPr="007E33A2" w:rsidRDefault="00CF0933" w:rsidP="00F22225">
                            <w:pPr>
                              <w:pStyle w:val="Para0bullet"/>
                              <w:numPr>
                                <w:ilvl w:val="0"/>
                                <w:numId w:val="63"/>
                              </w:numPr>
                              <w:tabs>
                                <w:tab w:val="clear" w:pos="851"/>
                              </w:tabs>
                              <w:spacing w:after="0" w:line="300" w:lineRule="auto"/>
                              <w:rPr>
                                <w:rFonts w:cs="Arial"/>
                                <w:szCs w:val="20"/>
                              </w:rPr>
                            </w:pPr>
                            <w:r w:rsidRPr="00C260AB">
                              <w:rPr>
                                <w:rFonts w:cs="Arial"/>
                                <w:szCs w:val="20"/>
                              </w:rPr>
                              <w:t>9,200 ha floodplain</w:t>
                            </w:r>
                          </w:p>
                          <w:p w14:paraId="5DE729E7" w14:textId="34DECDE0" w:rsidR="00CF0933" w:rsidRPr="007E33A2" w:rsidRDefault="00CF0933" w:rsidP="00F22225">
                            <w:pPr>
                              <w:pStyle w:val="Para0bullet"/>
                              <w:numPr>
                                <w:ilvl w:val="0"/>
                                <w:numId w:val="63"/>
                              </w:numPr>
                              <w:tabs>
                                <w:tab w:val="clear" w:pos="851"/>
                              </w:tabs>
                              <w:spacing w:after="0" w:line="300" w:lineRule="auto"/>
                              <w:rPr>
                                <w:rFonts w:cs="Arial"/>
                                <w:szCs w:val="20"/>
                              </w:rPr>
                            </w:pPr>
                            <w:r w:rsidRPr="007E33A2">
                              <w:rPr>
                                <w:rFonts w:cs="Arial"/>
                                <w:szCs w:val="20"/>
                              </w:rPr>
                              <w:t>2,700 ha Black Box and 1,000 ha Black Box / Red Gum woodland (total 3,700 ha)</w:t>
                            </w:r>
                          </w:p>
                          <w:p w14:paraId="083F5DA9" w14:textId="628CDC58" w:rsidR="00CF0933" w:rsidRPr="007E33A2" w:rsidRDefault="00CF0933" w:rsidP="00F22225">
                            <w:pPr>
                              <w:pStyle w:val="Para0bullet"/>
                              <w:numPr>
                                <w:ilvl w:val="0"/>
                                <w:numId w:val="63"/>
                              </w:numPr>
                              <w:tabs>
                                <w:tab w:val="clear" w:pos="851"/>
                              </w:tabs>
                              <w:spacing w:after="0" w:line="300" w:lineRule="auto"/>
                              <w:rPr>
                                <w:rFonts w:cs="Arial"/>
                                <w:szCs w:val="20"/>
                              </w:rPr>
                            </w:pPr>
                            <w:r w:rsidRPr="007E33A2">
                              <w:rPr>
                                <w:rFonts w:cs="Arial"/>
                                <w:szCs w:val="20"/>
                              </w:rPr>
                              <w:t>~1,000 ha can be influenced by managed surface water inundation</w:t>
                            </w:r>
                          </w:p>
                          <w:p w14:paraId="01F8CE9A" w14:textId="50EE113B" w:rsidR="00CF0933" w:rsidRPr="007E33A2" w:rsidRDefault="00CF0933" w:rsidP="00F22225">
                            <w:pPr>
                              <w:pStyle w:val="Para0bullet"/>
                              <w:numPr>
                                <w:ilvl w:val="0"/>
                                <w:numId w:val="63"/>
                              </w:numPr>
                              <w:tabs>
                                <w:tab w:val="clear" w:pos="851"/>
                              </w:tabs>
                              <w:spacing w:after="0" w:line="300" w:lineRule="auto"/>
                              <w:rPr>
                                <w:rFonts w:cs="Arial"/>
                                <w:szCs w:val="20"/>
                              </w:rPr>
                            </w:pPr>
                            <w:r w:rsidRPr="007E33A2">
                              <w:rPr>
                                <w:rFonts w:cs="Arial"/>
                                <w:szCs w:val="20"/>
                              </w:rPr>
                              <w:t>Lake Woolpolool, Woolpolool Swamp, Lake Merreti, Reny Lagoon and Rotten Lake, of which Lake Woolpolool and Lake Merreti are managed using flow-controlled regulators</w:t>
                            </w:r>
                          </w:p>
                          <w:p w14:paraId="411A91E2" w14:textId="5817E889" w:rsidR="00CF0933" w:rsidRPr="007E33A2" w:rsidRDefault="00CF0933" w:rsidP="00F22225">
                            <w:pPr>
                              <w:pStyle w:val="Para0bullet"/>
                              <w:numPr>
                                <w:ilvl w:val="0"/>
                                <w:numId w:val="63"/>
                              </w:numPr>
                              <w:tabs>
                                <w:tab w:val="clear" w:pos="851"/>
                              </w:tabs>
                              <w:spacing w:after="0" w:line="300" w:lineRule="auto"/>
                              <w:rPr>
                                <w:rFonts w:cs="Arial"/>
                                <w:szCs w:val="20"/>
                              </w:rPr>
                            </w:pPr>
                            <w:r>
                              <w:rPr>
                                <w:rFonts w:cs="Arial"/>
                                <w:szCs w:val="20"/>
                              </w:rPr>
                              <w:t>A</w:t>
                            </w:r>
                            <w:r w:rsidRPr="007E33A2">
                              <w:rPr>
                                <w:rFonts w:cs="Arial"/>
                                <w:szCs w:val="20"/>
                              </w:rPr>
                              <w:t xml:space="preserve"> long, adaptive management history including surface watering, weed / pest control, and conservation management, which is guided by conceptual models and ongoing monitoring and evaluation</w:t>
                            </w:r>
                          </w:p>
                          <w:p w14:paraId="335B5DD3" w14:textId="2840C363" w:rsidR="00CF0933" w:rsidRPr="007E33A2" w:rsidRDefault="00CF0933" w:rsidP="00F22225">
                            <w:pPr>
                              <w:pStyle w:val="Para0bullet"/>
                              <w:numPr>
                                <w:ilvl w:val="0"/>
                                <w:numId w:val="63"/>
                              </w:numPr>
                              <w:tabs>
                                <w:tab w:val="clear" w:pos="851"/>
                              </w:tabs>
                              <w:spacing w:after="0" w:line="300" w:lineRule="auto"/>
                              <w:rPr>
                                <w:rFonts w:cs="Arial"/>
                                <w:szCs w:val="20"/>
                              </w:rPr>
                            </w:pPr>
                            <w:r>
                              <w:rPr>
                                <w:rFonts w:cs="Arial"/>
                                <w:szCs w:val="20"/>
                              </w:rPr>
                              <w:t>M</w:t>
                            </w:r>
                            <w:r w:rsidRPr="007E33A2">
                              <w:rPr>
                                <w:rFonts w:cs="Arial"/>
                                <w:szCs w:val="20"/>
                              </w:rPr>
                              <w:t>anagement options that are shaped by available resources (money, people, technical skills available) and the influence of other external stakeholde</w:t>
                            </w:r>
                            <w:r>
                              <w:rPr>
                                <w:rFonts w:cs="Arial"/>
                                <w:szCs w:val="20"/>
                              </w:rPr>
                              <w:t>rs</w:t>
                            </w:r>
                          </w:p>
                          <w:p w14:paraId="532B4683" w14:textId="5B32449C" w:rsidR="00CF0933" w:rsidRDefault="00CF0933" w:rsidP="00F22225">
                            <w:pPr>
                              <w:pStyle w:val="Para0bullet"/>
                              <w:numPr>
                                <w:ilvl w:val="0"/>
                                <w:numId w:val="63"/>
                              </w:numPr>
                              <w:tabs>
                                <w:tab w:val="clear" w:pos="851"/>
                              </w:tabs>
                              <w:spacing w:after="0" w:line="300" w:lineRule="auto"/>
                              <w:rPr>
                                <w:rFonts w:cs="Arial"/>
                                <w:szCs w:val="20"/>
                              </w:rPr>
                            </w:pPr>
                            <w:r>
                              <w:rPr>
                                <w:rFonts w:cs="Arial"/>
                                <w:szCs w:val="20"/>
                              </w:rPr>
                              <w:t>A</w:t>
                            </w:r>
                            <w:r w:rsidRPr="007E33A2">
                              <w:rPr>
                                <w:rFonts w:cs="Arial"/>
                                <w:szCs w:val="20"/>
                              </w:rPr>
                              <w:t>reas of Black Box that are affected by water stress and areas that are thought to be affected by both water and salinity stress</w:t>
                            </w:r>
                            <w:r w:rsidRPr="00F71E20">
                              <w:rPr>
                                <w:rFonts w:cs="Arial"/>
                                <w:szCs w:val="20"/>
                              </w:rPr>
                              <w:t>.</w:t>
                            </w:r>
                          </w:p>
                          <w:p w14:paraId="327EF8C7" w14:textId="77777777" w:rsidR="00CF0933" w:rsidRDefault="00CF0933" w:rsidP="00A40029">
                            <w:pPr>
                              <w:pStyle w:val="Para0bullet"/>
                              <w:numPr>
                                <w:ilvl w:val="0"/>
                                <w:numId w:val="0"/>
                              </w:numPr>
                              <w:tabs>
                                <w:tab w:val="clear" w:pos="851"/>
                              </w:tabs>
                              <w:spacing w:after="0" w:line="300" w:lineRule="auto"/>
                              <w:ind w:left="720"/>
                              <w:rPr>
                                <w:rFonts w:cs="Arial"/>
                                <w:szCs w:val="20"/>
                              </w:rPr>
                            </w:pPr>
                          </w:p>
                          <w:p w14:paraId="66848A5E" w14:textId="4A483C8B" w:rsidR="00CF0933" w:rsidRPr="00F71E20" w:rsidRDefault="00CF0933" w:rsidP="00A40029">
                            <w:pPr>
                              <w:pStyle w:val="Para0bullet"/>
                              <w:numPr>
                                <w:ilvl w:val="0"/>
                                <w:numId w:val="0"/>
                              </w:numPr>
                              <w:tabs>
                                <w:tab w:val="clear" w:pos="851"/>
                              </w:tabs>
                              <w:spacing w:after="0" w:line="300" w:lineRule="auto"/>
                              <w:rPr>
                                <w:rFonts w:cs="Arial"/>
                                <w:szCs w:val="20"/>
                              </w:rPr>
                            </w:pPr>
                            <w:r>
                              <w:rPr>
                                <w:rFonts w:cs="Arial"/>
                                <w:szCs w:val="20"/>
                              </w:rPr>
                              <w:t>The site investigation was undertaken to achieve a moderate (3) level of confidence level, as per Table 3-1. A conceptual model was already developed for the site that related the key stressors to Black Box condition.</w:t>
                            </w:r>
                          </w:p>
                          <w:p w14:paraId="693393E4" w14:textId="1A69240E" w:rsidR="00CF0933" w:rsidRDefault="00CF0933" w:rsidP="00A40029">
                            <w:pPr>
                              <w:pStyle w:val="Para0bullet"/>
                              <w:numPr>
                                <w:ilvl w:val="0"/>
                                <w:numId w:val="0"/>
                              </w:numPr>
                              <w:spacing w:after="0"/>
                            </w:pPr>
                          </w:p>
                          <w:p w14:paraId="77531505" w14:textId="77777777" w:rsidR="00CF0933" w:rsidRDefault="00CF0933" w:rsidP="00F71E20">
                            <w:pPr>
                              <w:pStyle w:val="Para0bullet"/>
                              <w:numPr>
                                <w:ilvl w:val="0"/>
                                <w:numId w:val="0"/>
                              </w:numPr>
                              <w:spacing w:after="0"/>
                              <w:ind w:left="425" w:hanging="425"/>
                            </w:pPr>
                          </w:p>
                          <w:p w14:paraId="0C9A21BD" w14:textId="77777777" w:rsidR="00CF0933" w:rsidRPr="005C1DA3" w:rsidRDefault="00CF0933" w:rsidP="00F71E20">
                            <w:pPr>
                              <w:pStyle w:val="Para0bullet"/>
                              <w:numPr>
                                <w:ilvl w:val="0"/>
                                <w:numId w:val="0"/>
                              </w:numPr>
                              <w:spacing w:after="0"/>
                              <w:ind w:left="425" w:hanging="425"/>
                            </w:pPr>
                          </w:p>
                          <w:p w14:paraId="794490CB" w14:textId="77777777" w:rsidR="00CF0933" w:rsidRDefault="00CF0933" w:rsidP="007E33A2">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6152AA2" id="Text Box 27" o:spid="_x0000_s1027" type="#_x0000_t202" style="width:497.7pt;height:7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" fillcolor="#bccdc0 [1943]" strokecolor="#8ca993">
                <v:shadow on="t" color="black" opacity="24903f" origin=",.5" offset="0,.55556mm"/>
                <v:path arrowok="t"/>
                <v:textbox>
                  <w:txbxContent>
                    <w:p w14:paraId="426B7A77" w14:textId="77777777" w:rsidR="00CF0933" w:rsidRPr="008C0BF4" w:rsidRDefault="00CF0933" w:rsidP="007E33A2">
                      <w:pPr>
                        <w:spacing w:before="240" w:after="120"/>
                        <w:rPr>
                          <w:b/>
                        </w:rPr>
                      </w:pPr>
                      <w:r w:rsidRPr="008C0BF4">
                        <w:rPr>
                          <w:b/>
                        </w:rPr>
                        <w:t>Case Study: Background</w:t>
                      </w:r>
                    </w:p>
                    <w:p w14:paraId="55ACBE6A" w14:textId="0C319D6B" w:rsidR="00CF0933" w:rsidRPr="00F71E20" w:rsidRDefault="00CF0933" w:rsidP="007E33A2">
                      <w:pPr>
                        <w:spacing w:before="240" w:after="120"/>
                        <w:rPr>
                          <w:rFonts w:cs="Arial"/>
                          <w:szCs w:val="20"/>
                        </w:rPr>
                      </w:pPr>
                      <w:r w:rsidRPr="00F71E20">
                        <w:rPr>
                          <w:rFonts w:cs="Arial"/>
                          <w:szCs w:val="20"/>
                        </w:rPr>
                        <w:t xml:space="preserve">A </w:t>
                      </w:r>
                      <w:r>
                        <w:rPr>
                          <w:rFonts w:cs="Arial"/>
                          <w:szCs w:val="20"/>
                        </w:rPr>
                        <w:t xml:space="preserve">case study </w:t>
                      </w:r>
                      <w:r w:rsidRPr="00F71E20">
                        <w:rPr>
                          <w:rFonts w:cs="Arial"/>
                          <w:szCs w:val="20"/>
                        </w:rPr>
                        <w:t xml:space="preserve">site investigation at Calperum Station in South Australia was completed in 2017, with the following objectives: </w:t>
                      </w:r>
                    </w:p>
                    <w:p w14:paraId="228711AB" w14:textId="76E27839" w:rsidR="00CF0933" w:rsidRPr="00F71E20" w:rsidRDefault="00CF0933" w:rsidP="00F22225">
                      <w:pPr>
                        <w:pStyle w:val="ListParagraph"/>
                        <w:numPr>
                          <w:ilvl w:val="0"/>
                          <w:numId w:val="62"/>
                        </w:numPr>
                        <w:autoSpaceDE w:val="0"/>
                        <w:autoSpaceDN w:val="0"/>
                        <w:adjustRightInd w:val="0"/>
                        <w:spacing w:after="96"/>
                        <w:rPr>
                          <w:rFonts w:cs="Arial"/>
                          <w:color w:val="000000"/>
                          <w:szCs w:val="20"/>
                        </w:rPr>
                      </w:pPr>
                      <w:r w:rsidRPr="00F71E20">
                        <w:rPr>
                          <w:rFonts w:ascii="Arial" w:hAnsi="Arial" w:cs="Arial"/>
                          <w:color w:val="000000"/>
                          <w:sz w:val="20"/>
                          <w:szCs w:val="20"/>
                        </w:rPr>
                        <w:t xml:space="preserve">Improve management of Black Box at Calperum Station </w:t>
                      </w:r>
                      <w:r>
                        <w:rPr>
                          <w:rFonts w:ascii="Arial" w:hAnsi="Arial" w:cs="Arial"/>
                          <w:color w:val="000000"/>
                          <w:sz w:val="20"/>
                          <w:szCs w:val="20"/>
                        </w:rPr>
                        <w:t>by</w:t>
                      </w:r>
                      <w:r w:rsidRPr="00F71E20">
                        <w:rPr>
                          <w:rFonts w:ascii="Arial" w:hAnsi="Arial" w:cs="Arial"/>
                          <w:color w:val="000000"/>
                          <w:sz w:val="20"/>
                          <w:szCs w:val="20"/>
                        </w:rPr>
                        <w:t xml:space="preserve"> undertaking a site investigation that is based on science and a structured framewor</w:t>
                      </w:r>
                      <w:r>
                        <w:rPr>
                          <w:rFonts w:ascii="Arial" w:hAnsi="Arial" w:cs="Arial"/>
                          <w:color w:val="000000"/>
                          <w:sz w:val="20"/>
                          <w:szCs w:val="20"/>
                        </w:rPr>
                        <w:t>k</w:t>
                      </w:r>
                    </w:p>
                    <w:p w14:paraId="32BD8505" w14:textId="61E257A1" w:rsidR="00CF0933" w:rsidRPr="00F71E20" w:rsidRDefault="00CF0933" w:rsidP="00F22225">
                      <w:pPr>
                        <w:pStyle w:val="ListParagraph"/>
                        <w:numPr>
                          <w:ilvl w:val="0"/>
                          <w:numId w:val="62"/>
                        </w:numPr>
                        <w:autoSpaceDE w:val="0"/>
                        <w:autoSpaceDN w:val="0"/>
                        <w:adjustRightInd w:val="0"/>
                        <w:rPr>
                          <w:rFonts w:cs="Arial"/>
                          <w:color w:val="000000"/>
                          <w:szCs w:val="20"/>
                        </w:rPr>
                      </w:pPr>
                      <w:r w:rsidRPr="00F71E20">
                        <w:rPr>
                          <w:rFonts w:ascii="Arial" w:hAnsi="Arial" w:cs="Arial"/>
                          <w:color w:val="000000"/>
                          <w:sz w:val="20"/>
                          <w:szCs w:val="20"/>
                        </w:rPr>
                        <w:t xml:space="preserve">Test the draft </w:t>
                      </w:r>
                      <w:r>
                        <w:rPr>
                          <w:rFonts w:ascii="Arial" w:hAnsi="Arial" w:cs="Arial"/>
                          <w:color w:val="000000"/>
                          <w:sz w:val="20"/>
                          <w:szCs w:val="20"/>
                        </w:rPr>
                        <w:t>Framework</w:t>
                      </w:r>
                      <w:r w:rsidRPr="00F71E20">
                        <w:rPr>
                          <w:rFonts w:ascii="Arial" w:hAnsi="Arial" w:cs="Arial"/>
                          <w:color w:val="000000"/>
                          <w:sz w:val="20"/>
                          <w:szCs w:val="20"/>
                        </w:rPr>
                        <w:t xml:space="preserve">, and </w:t>
                      </w:r>
                      <w:r>
                        <w:rPr>
                          <w:rFonts w:ascii="Arial" w:hAnsi="Arial" w:cs="Arial"/>
                          <w:color w:val="000000"/>
                          <w:sz w:val="20"/>
                          <w:szCs w:val="20"/>
                        </w:rPr>
                        <w:t>refine the Framework based on the outcomes of the testing</w:t>
                      </w:r>
                      <w:r w:rsidRPr="00F71E20">
                        <w:rPr>
                          <w:rFonts w:ascii="Arial" w:hAnsi="Arial" w:cs="Arial"/>
                          <w:color w:val="000000"/>
                          <w:sz w:val="20"/>
                          <w:szCs w:val="20"/>
                        </w:rPr>
                        <w:t xml:space="preserve">. </w:t>
                      </w:r>
                    </w:p>
                    <w:p w14:paraId="6F95C33B" w14:textId="690C84A4" w:rsidR="00CF0933" w:rsidRPr="00E30A23" w:rsidRDefault="00CF0933" w:rsidP="007E33A2">
                      <w:pPr>
                        <w:spacing w:before="240" w:after="120"/>
                        <w:rPr>
                          <w:rFonts w:cs="Arial"/>
                          <w:szCs w:val="20"/>
                        </w:rPr>
                      </w:pPr>
                      <w:r w:rsidRPr="00E30A23">
                        <w:rPr>
                          <w:rFonts w:cs="Arial"/>
                          <w:szCs w:val="20"/>
                        </w:rPr>
                        <w:t xml:space="preserve">As a result of the case study, a range of recommendations were developed for finalisation of the </w:t>
                      </w:r>
                      <w:r>
                        <w:rPr>
                          <w:rFonts w:cs="Arial"/>
                          <w:szCs w:val="20"/>
                        </w:rPr>
                        <w:t>Framework</w:t>
                      </w:r>
                      <w:r w:rsidRPr="00E30A23">
                        <w:rPr>
                          <w:rFonts w:cs="Arial"/>
                          <w:szCs w:val="20"/>
                        </w:rPr>
                        <w:t>.</w:t>
                      </w:r>
                      <w:r>
                        <w:rPr>
                          <w:rFonts w:cs="Arial"/>
                          <w:szCs w:val="20"/>
                        </w:rPr>
                        <w:t xml:space="preserve"> While a range of management measures and pre-existing investigations have been completed at Calperum Station in the past, the case study focuses on investigations completed as part of the trial site investigation, for relevance to the Framework process. Refer “</w:t>
                      </w:r>
                      <w:r w:rsidRPr="00F71E20">
                        <w:rPr>
                          <w:rFonts w:cs="Arial"/>
                          <w:i/>
                          <w:szCs w:val="20"/>
                        </w:rPr>
                        <w:t>Site Investigation for Black Box at Calperum Station”</w:t>
                      </w:r>
                      <w:r>
                        <w:rPr>
                          <w:rFonts w:cs="Arial"/>
                          <w:szCs w:val="20"/>
                        </w:rPr>
                        <w:t xml:space="preserve"> (Overton, Boyd and Coff, 2017), for full documentation of the case study.  </w:t>
                      </w:r>
                    </w:p>
                    <w:p w14:paraId="096A384B" w14:textId="214A285E" w:rsidR="00CF0933" w:rsidRPr="0049520C" w:rsidRDefault="00CF0933" w:rsidP="007E33A2">
                      <w:pPr>
                        <w:spacing w:before="240" w:after="120"/>
                        <w:rPr>
                          <w:rFonts w:cs="Arial"/>
                          <w:szCs w:val="20"/>
                        </w:rPr>
                      </w:pPr>
                      <w:r w:rsidRPr="00F71E20">
                        <w:rPr>
                          <w:rFonts w:cs="Arial"/>
                          <w:szCs w:val="20"/>
                        </w:rPr>
                        <w:t xml:space="preserve">Calperum Station is located on the northern side of the River Murray in South Australia, approximately 20 km north of Renmark and immediately downstream of Chowilla </w:t>
                      </w:r>
                      <w:r>
                        <w:rPr>
                          <w:rFonts w:cs="Arial"/>
                          <w:szCs w:val="20"/>
                        </w:rPr>
                        <w:t xml:space="preserve">floodplain </w:t>
                      </w:r>
                      <w:r w:rsidRPr="00F71E20">
                        <w:rPr>
                          <w:rFonts w:cs="Arial"/>
                          <w:szCs w:val="20"/>
                        </w:rPr>
                        <w:t>(</w:t>
                      </w:r>
                      <w:r>
                        <w:rPr>
                          <w:rFonts w:cs="Arial"/>
                          <w:szCs w:val="20"/>
                        </w:rPr>
                        <w:fldChar w:fldCharType="begin"/>
                      </w:r>
                      <w:r>
                        <w:rPr>
                          <w:rFonts w:cs="Arial"/>
                          <w:szCs w:val="20"/>
                        </w:rPr>
                        <w:instrText xml:space="preserve"> REF _Ref506818232 \h </w:instrText>
                      </w:r>
                      <w:r>
                        <w:rPr>
                          <w:rFonts w:cs="Arial"/>
                          <w:szCs w:val="20"/>
                        </w:rPr>
                      </w:r>
                      <w:r>
                        <w:rPr>
                          <w:rFonts w:cs="Arial"/>
                          <w:szCs w:val="20"/>
                        </w:rPr>
                        <w:fldChar w:fldCharType="separate"/>
                      </w:r>
                      <w:r w:rsidRPr="00DF4A1A">
                        <w:t xml:space="preserve">Figure </w:t>
                      </w:r>
                      <w:r>
                        <w:rPr>
                          <w:noProof/>
                        </w:rPr>
                        <w:t>3</w:t>
                      </w:r>
                      <w:r>
                        <w:noBreakHyphen/>
                      </w:r>
                      <w:r>
                        <w:rPr>
                          <w:noProof/>
                        </w:rPr>
                        <w:t>3</w:t>
                      </w:r>
                      <w:r>
                        <w:rPr>
                          <w:rFonts w:cs="Arial"/>
                          <w:szCs w:val="20"/>
                        </w:rPr>
                        <w:fldChar w:fldCharType="end"/>
                      </w:r>
                      <w:r>
                        <w:rPr>
                          <w:rFonts w:cs="Arial"/>
                          <w:szCs w:val="20"/>
                        </w:rPr>
                        <w:t xml:space="preserve">). </w:t>
                      </w:r>
                      <w:r w:rsidRPr="00E30A23">
                        <w:rPr>
                          <w:rFonts w:cs="Arial"/>
                          <w:szCs w:val="20"/>
                        </w:rPr>
                        <w:t xml:space="preserve">Managed by the Australian Landscape </w:t>
                      </w:r>
                      <w:r w:rsidRPr="0049520C">
                        <w:rPr>
                          <w:rFonts w:cs="Arial"/>
                          <w:szCs w:val="20"/>
                        </w:rPr>
                        <w:t>Trust, Calperum Station is part of the Riverland Ramsar wetland and is characterised by:</w:t>
                      </w:r>
                    </w:p>
                    <w:p w14:paraId="1EEF5045" w14:textId="692B1558" w:rsidR="00CF0933" w:rsidRPr="007E33A2" w:rsidRDefault="00CF0933" w:rsidP="00F22225">
                      <w:pPr>
                        <w:pStyle w:val="Para0bullet"/>
                        <w:numPr>
                          <w:ilvl w:val="0"/>
                          <w:numId w:val="63"/>
                        </w:numPr>
                        <w:tabs>
                          <w:tab w:val="clear" w:pos="851"/>
                        </w:tabs>
                        <w:spacing w:after="0" w:line="300" w:lineRule="auto"/>
                        <w:rPr>
                          <w:rFonts w:cs="Arial"/>
                          <w:szCs w:val="20"/>
                        </w:rPr>
                      </w:pPr>
                      <w:r w:rsidRPr="00C260AB">
                        <w:rPr>
                          <w:rFonts w:cs="Arial"/>
                          <w:szCs w:val="20"/>
                        </w:rPr>
                        <w:t>9,200 ha floodplain</w:t>
                      </w:r>
                    </w:p>
                    <w:p w14:paraId="5DE729E7" w14:textId="34DECDE0" w:rsidR="00CF0933" w:rsidRPr="007E33A2" w:rsidRDefault="00CF0933" w:rsidP="00F22225">
                      <w:pPr>
                        <w:pStyle w:val="Para0bullet"/>
                        <w:numPr>
                          <w:ilvl w:val="0"/>
                          <w:numId w:val="63"/>
                        </w:numPr>
                        <w:tabs>
                          <w:tab w:val="clear" w:pos="851"/>
                        </w:tabs>
                        <w:spacing w:after="0" w:line="300" w:lineRule="auto"/>
                        <w:rPr>
                          <w:rFonts w:cs="Arial"/>
                          <w:szCs w:val="20"/>
                        </w:rPr>
                      </w:pPr>
                      <w:r w:rsidRPr="007E33A2">
                        <w:rPr>
                          <w:rFonts w:cs="Arial"/>
                          <w:szCs w:val="20"/>
                        </w:rPr>
                        <w:t>2,700 ha Black Box and 1,000 ha Black Box / Red Gum woodland (total 3,700 ha)</w:t>
                      </w:r>
                    </w:p>
                    <w:p w14:paraId="083F5DA9" w14:textId="628CDC58" w:rsidR="00CF0933" w:rsidRPr="007E33A2" w:rsidRDefault="00CF0933" w:rsidP="00F22225">
                      <w:pPr>
                        <w:pStyle w:val="Para0bullet"/>
                        <w:numPr>
                          <w:ilvl w:val="0"/>
                          <w:numId w:val="63"/>
                        </w:numPr>
                        <w:tabs>
                          <w:tab w:val="clear" w:pos="851"/>
                        </w:tabs>
                        <w:spacing w:after="0" w:line="300" w:lineRule="auto"/>
                        <w:rPr>
                          <w:rFonts w:cs="Arial"/>
                          <w:szCs w:val="20"/>
                        </w:rPr>
                      </w:pPr>
                      <w:r w:rsidRPr="007E33A2">
                        <w:rPr>
                          <w:rFonts w:cs="Arial"/>
                          <w:szCs w:val="20"/>
                        </w:rPr>
                        <w:t>~1,000 ha can be influenced by managed surface water inundation</w:t>
                      </w:r>
                    </w:p>
                    <w:p w14:paraId="01F8CE9A" w14:textId="50EE113B" w:rsidR="00CF0933" w:rsidRPr="007E33A2" w:rsidRDefault="00CF0933" w:rsidP="00F22225">
                      <w:pPr>
                        <w:pStyle w:val="Para0bullet"/>
                        <w:numPr>
                          <w:ilvl w:val="0"/>
                          <w:numId w:val="63"/>
                        </w:numPr>
                        <w:tabs>
                          <w:tab w:val="clear" w:pos="851"/>
                        </w:tabs>
                        <w:spacing w:after="0" w:line="300" w:lineRule="auto"/>
                        <w:rPr>
                          <w:rFonts w:cs="Arial"/>
                          <w:szCs w:val="20"/>
                        </w:rPr>
                      </w:pPr>
                      <w:r w:rsidRPr="007E33A2">
                        <w:rPr>
                          <w:rFonts w:cs="Arial"/>
                          <w:szCs w:val="20"/>
                        </w:rPr>
                        <w:t>Lake Woolpolool, Woolpolool Swamp, Lake Merreti, Reny Lagoon and Rotten Lake, of which Lake Woolpolool and Lake Merreti are managed using flow-controlled regulators</w:t>
                      </w:r>
                    </w:p>
                    <w:p w14:paraId="411A91E2" w14:textId="5817E889" w:rsidR="00CF0933" w:rsidRPr="007E33A2" w:rsidRDefault="00CF0933" w:rsidP="00F22225">
                      <w:pPr>
                        <w:pStyle w:val="Para0bullet"/>
                        <w:numPr>
                          <w:ilvl w:val="0"/>
                          <w:numId w:val="63"/>
                        </w:numPr>
                        <w:tabs>
                          <w:tab w:val="clear" w:pos="851"/>
                        </w:tabs>
                        <w:spacing w:after="0" w:line="300" w:lineRule="auto"/>
                        <w:rPr>
                          <w:rFonts w:cs="Arial"/>
                          <w:szCs w:val="20"/>
                        </w:rPr>
                      </w:pPr>
                      <w:r>
                        <w:rPr>
                          <w:rFonts w:cs="Arial"/>
                          <w:szCs w:val="20"/>
                        </w:rPr>
                        <w:t>A</w:t>
                      </w:r>
                      <w:r w:rsidRPr="007E33A2">
                        <w:rPr>
                          <w:rFonts w:cs="Arial"/>
                          <w:szCs w:val="20"/>
                        </w:rPr>
                        <w:t xml:space="preserve"> long, adaptive management history including surface watering, weed / pest control, and conservation management, which is guided by conceptual models and ongoing monitoring and evaluation</w:t>
                      </w:r>
                    </w:p>
                    <w:p w14:paraId="335B5DD3" w14:textId="2840C363" w:rsidR="00CF0933" w:rsidRPr="007E33A2" w:rsidRDefault="00CF0933" w:rsidP="00F22225">
                      <w:pPr>
                        <w:pStyle w:val="Para0bullet"/>
                        <w:numPr>
                          <w:ilvl w:val="0"/>
                          <w:numId w:val="63"/>
                        </w:numPr>
                        <w:tabs>
                          <w:tab w:val="clear" w:pos="851"/>
                        </w:tabs>
                        <w:spacing w:after="0" w:line="300" w:lineRule="auto"/>
                        <w:rPr>
                          <w:rFonts w:cs="Arial"/>
                          <w:szCs w:val="20"/>
                        </w:rPr>
                      </w:pPr>
                      <w:r>
                        <w:rPr>
                          <w:rFonts w:cs="Arial"/>
                          <w:szCs w:val="20"/>
                        </w:rPr>
                        <w:t>M</w:t>
                      </w:r>
                      <w:r w:rsidRPr="007E33A2">
                        <w:rPr>
                          <w:rFonts w:cs="Arial"/>
                          <w:szCs w:val="20"/>
                        </w:rPr>
                        <w:t>anagement options that are shaped by available resources (money, people, technical skills available) and the influence of other external stakeholde</w:t>
                      </w:r>
                      <w:r>
                        <w:rPr>
                          <w:rFonts w:cs="Arial"/>
                          <w:szCs w:val="20"/>
                        </w:rPr>
                        <w:t>rs</w:t>
                      </w:r>
                    </w:p>
                    <w:p w14:paraId="532B4683" w14:textId="5B32449C" w:rsidR="00CF0933" w:rsidRDefault="00CF0933" w:rsidP="00F22225">
                      <w:pPr>
                        <w:pStyle w:val="Para0bullet"/>
                        <w:numPr>
                          <w:ilvl w:val="0"/>
                          <w:numId w:val="63"/>
                        </w:numPr>
                        <w:tabs>
                          <w:tab w:val="clear" w:pos="851"/>
                        </w:tabs>
                        <w:spacing w:after="0" w:line="300" w:lineRule="auto"/>
                        <w:rPr>
                          <w:rFonts w:cs="Arial"/>
                          <w:szCs w:val="20"/>
                        </w:rPr>
                      </w:pPr>
                      <w:r>
                        <w:rPr>
                          <w:rFonts w:cs="Arial"/>
                          <w:szCs w:val="20"/>
                        </w:rPr>
                        <w:t>A</w:t>
                      </w:r>
                      <w:r w:rsidRPr="007E33A2">
                        <w:rPr>
                          <w:rFonts w:cs="Arial"/>
                          <w:szCs w:val="20"/>
                        </w:rPr>
                        <w:t>reas of Black Box that are affected by water stress and areas that are thought to be affected by both water and salinity stress</w:t>
                      </w:r>
                      <w:r w:rsidRPr="00F71E20">
                        <w:rPr>
                          <w:rFonts w:cs="Arial"/>
                          <w:szCs w:val="20"/>
                        </w:rPr>
                        <w:t>.</w:t>
                      </w:r>
                    </w:p>
                    <w:p w14:paraId="327EF8C7" w14:textId="77777777" w:rsidR="00CF0933" w:rsidRDefault="00CF0933" w:rsidP="00A40029">
                      <w:pPr>
                        <w:pStyle w:val="Para0bullet"/>
                        <w:numPr>
                          <w:ilvl w:val="0"/>
                          <w:numId w:val="0"/>
                        </w:numPr>
                        <w:tabs>
                          <w:tab w:val="clear" w:pos="851"/>
                        </w:tabs>
                        <w:spacing w:after="0" w:line="300" w:lineRule="auto"/>
                        <w:ind w:left="720"/>
                        <w:rPr>
                          <w:rFonts w:cs="Arial"/>
                          <w:szCs w:val="20"/>
                        </w:rPr>
                      </w:pPr>
                    </w:p>
                    <w:p w14:paraId="66848A5E" w14:textId="4A483C8B" w:rsidR="00CF0933" w:rsidRPr="00F71E20" w:rsidRDefault="00CF0933" w:rsidP="00A40029">
                      <w:pPr>
                        <w:pStyle w:val="Para0bullet"/>
                        <w:numPr>
                          <w:ilvl w:val="0"/>
                          <w:numId w:val="0"/>
                        </w:numPr>
                        <w:tabs>
                          <w:tab w:val="clear" w:pos="851"/>
                        </w:tabs>
                        <w:spacing w:after="0" w:line="300" w:lineRule="auto"/>
                        <w:rPr>
                          <w:rFonts w:cs="Arial"/>
                          <w:szCs w:val="20"/>
                        </w:rPr>
                      </w:pPr>
                      <w:r>
                        <w:rPr>
                          <w:rFonts w:cs="Arial"/>
                          <w:szCs w:val="20"/>
                        </w:rPr>
                        <w:t>The site investigation was undertaken to achieve a moderate (3) level of confidence level, as per Table 3-1. A conceptual model was already developed for the site that related the key stressors to Black Box condition.</w:t>
                      </w:r>
                    </w:p>
                    <w:p w14:paraId="693393E4" w14:textId="1A69240E" w:rsidR="00CF0933" w:rsidRDefault="00CF0933" w:rsidP="00A40029">
                      <w:pPr>
                        <w:pStyle w:val="Para0bullet"/>
                        <w:numPr>
                          <w:ilvl w:val="0"/>
                          <w:numId w:val="0"/>
                        </w:numPr>
                        <w:spacing w:after="0"/>
                      </w:pPr>
                    </w:p>
                    <w:p w14:paraId="77531505" w14:textId="77777777" w:rsidR="00CF0933" w:rsidRDefault="00CF0933" w:rsidP="00F71E20">
                      <w:pPr>
                        <w:pStyle w:val="Para0bullet"/>
                        <w:numPr>
                          <w:ilvl w:val="0"/>
                          <w:numId w:val="0"/>
                        </w:numPr>
                        <w:spacing w:after="0"/>
                        <w:ind w:left="425" w:hanging="425"/>
                      </w:pPr>
                    </w:p>
                    <w:p w14:paraId="0C9A21BD" w14:textId="77777777" w:rsidR="00CF0933" w:rsidRPr="005C1DA3" w:rsidRDefault="00CF0933" w:rsidP="00F71E20">
                      <w:pPr>
                        <w:pStyle w:val="Para0bullet"/>
                        <w:numPr>
                          <w:ilvl w:val="0"/>
                          <w:numId w:val="0"/>
                        </w:numPr>
                        <w:spacing w:after="0"/>
                        <w:ind w:left="425" w:hanging="425"/>
                      </w:pPr>
                    </w:p>
                    <w:p w14:paraId="794490CB" w14:textId="77777777" w:rsidR="00CF0933" w:rsidRDefault="00CF0933" w:rsidP="007E33A2">
                      <w:pPr>
                        <w:rPr>
                          <w:b/>
                        </w:rPr>
                      </w:pPr>
                    </w:p>
                  </w:txbxContent>
                </v:textbox>
                <w10:anchorlock/>
              </v:shape>
            </w:pict>
          </mc:Fallback>
        </mc:AlternateContent>
      </w:r>
    </w:p>
    <w:p w14:paraId="40271975" w14:textId="75FB9097" w:rsidR="00B44C29" w:rsidRDefault="00461488" w:rsidP="00934F72">
      <w:pPr>
        <w:spacing w:before="240" w:after="120"/>
        <w:jc w:val="center"/>
        <w:rPr>
          <w:highlight w:val="yellow"/>
        </w:rPr>
      </w:pPr>
      <w:r>
        <w:rPr>
          <w:noProof/>
          <w:lang w:eastAsia="en-AU"/>
        </w:rPr>
        <mc:AlternateContent>
          <mc:Choice Requires="wps">
            <w:drawing>
              <wp:anchor distT="0" distB="0" distL="114300" distR="114300" simplePos="0" relativeHeight="251589631" behindDoc="1" locked="0" layoutInCell="1" allowOverlap="1" wp14:anchorId="4EE6F182" wp14:editId="50BFF1D9">
                <wp:simplePos x="0" y="0"/>
                <wp:positionH relativeFrom="page">
                  <wp:align>center</wp:align>
                </wp:positionH>
                <wp:positionV relativeFrom="paragraph">
                  <wp:posOffset>-107840</wp:posOffset>
                </wp:positionV>
                <wp:extent cx="9159766" cy="5549462"/>
                <wp:effectExtent l="0" t="0" r="22860" b="13335"/>
                <wp:wrapNone/>
                <wp:docPr id="25" name="Rectangle 25"/>
                <wp:cNvGraphicFramePr/>
                <a:graphic xmlns:a="http://schemas.openxmlformats.org/drawingml/2006/main">
                  <a:graphicData uri="http://schemas.microsoft.com/office/word/2010/wordprocessingShape">
                    <wps:wsp>
                      <wps:cNvSpPr/>
                      <wps:spPr>
                        <a:xfrm>
                          <a:off x="0" y="0"/>
                          <a:ext cx="9159766" cy="5549462"/>
                        </a:xfrm>
                        <a:prstGeom prst="rect">
                          <a:avLst/>
                        </a:prstGeom>
                        <a:solidFill>
                          <a:schemeClr val="accent4">
                            <a:lumMod val="60000"/>
                            <a:lumOff val="40000"/>
                          </a:schemeClr>
                        </a:solidFill>
                        <a:ln w="12700"/>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545B38" id="Rectangle 25" o:spid="_x0000_s1026" style="position:absolute;margin-left:0;margin-top:-8.5pt;width:721.25pt;height:436.95pt;z-index:-251726849;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" fillcolor="#bccdc0 [1943]" strokecolor="#435949 [1607]" strokeweight="1pt">
                <w10:wrap anchorx="page"/>
              </v:rect>
            </w:pict>
          </mc:Fallback>
        </mc:AlternateContent>
      </w:r>
      <w:r>
        <w:rPr>
          <w:noProof/>
          <w:lang w:eastAsia="en-AU"/>
        </w:rPr>
        <w:drawing>
          <wp:inline distT="0" distB="0" distL="0" distR="0" wp14:anchorId="3D7F4D2E" wp14:editId="57C09FDF">
            <wp:extent cx="8308194" cy="4890977"/>
            <wp:effectExtent l="0" t="0" r="0" b="508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g3.3 Calp station showing major features.png"/>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8321259" cy="4898668"/>
                    </a:xfrm>
                    <a:prstGeom prst="rect">
                      <a:avLst/>
                    </a:prstGeom>
                    <a:ln>
                      <a:noFill/>
                    </a:ln>
                    <a:extLst>
                      <a:ext uri="{53640926-AAD7-44D8-BBD7-CCE9431645EC}">
                        <a14:shadowObscured xmlns:a14="http://schemas.microsoft.com/office/drawing/2010/main"/>
                      </a:ext>
                    </a:extLst>
                  </pic:spPr>
                </pic:pic>
              </a:graphicData>
            </a:graphic>
          </wp:inline>
        </w:drawing>
      </w:r>
    </w:p>
    <w:p w14:paraId="584B8C2A" w14:textId="2DA051D2" w:rsidR="00461488" w:rsidRPr="00AD7783" w:rsidRDefault="00461488" w:rsidP="00461488">
      <w:pPr>
        <w:pStyle w:val="Caption"/>
        <w:jc w:val="center"/>
        <w:rPr>
          <w:highlight w:val="yellow"/>
        </w:rPr>
      </w:pPr>
      <w:bookmarkStart w:id="55" w:name="_Ref506818232"/>
      <w:bookmarkStart w:id="56" w:name="_Toc514018075"/>
      <w:r w:rsidRPr="00DF4A1A">
        <w:t xml:space="preserve">Figure </w:t>
      </w:r>
      <w:r>
        <w:rPr>
          <w:b w:val="0"/>
        </w:rPr>
        <w:fldChar w:fldCharType="begin"/>
      </w:r>
      <w:r>
        <w:instrText xml:space="preserve"> STYLEREF 1 \s </w:instrText>
      </w:r>
      <w:r>
        <w:rPr>
          <w:b w:val="0"/>
        </w:rPr>
        <w:fldChar w:fldCharType="separate"/>
      </w:r>
      <w:r w:rsidR="00BF015B">
        <w:rPr>
          <w:noProof/>
        </w:rPr>
        <w:t>3</w:t>
      </w:r>
      <w:r>
        <w:rPr>
          <w:b w:val="0"/>
        </w:rPr>
        <w:fldChar w:fldCharType="end"/>
      </w:r>
      <w:r>
        <w:noBreakHyphen/>
      </w:r>
      <w:r>
        <w:rPr>
          <w:b w:val="0"/>
        </w:rPr>
        <w:fldChar w:fldCharType="begin"/>
      </w:r>
      <w:r>
        <w:instrText xml:space="preserve"> SEQ Figure \* ARABIC \s 1 </w:instrText>
      </w:r>
      <w:r>
        <w:rPr>
          <w:b w:val="0"/>
        </w:rPr>
        <w:fldChar w:fldCharType="separate"/>
      </w:r>
      <w:r w:rsidR="00BF015B">
        <w:rPr>
          <w:noProof/>
        </w:rPr>
        <w:t>3</w:t>
      </w:r>
      <w:r>
        <w:rPr>
          <w:b w:val="0"/>
        </w:rPr>
        <w:fldChar w:fldCharType="end"/>
      </w:r>
      <w:bookmarkEnd w:id="55"/>
      <w:r w:rsidRPr="00DF4A1A">
        <w:t xml:space="preserve">: </w:t>
      </w:r>
      <w:r w:rsidR="00DD2CEB">
        <w:t xml:space="preserve">Map of </w:t>
      </w:r>
      <w:r w:rsidRPr="00DF4A1A">
        <w:t xml:space="preserve">Calperum Station </w:t>
      </w:r>
      <w:r>
        <w:t>showing major features</w:t>
      </w:r>
      <w:bookmarkEnd w:id="56"/>
    </w:p>
    <w:p w14:paraId="2329FB25" w14:textId="51EE7E2F" w:rsidR="00461488" w:rsidRDefault="00461488" w:rsidP="00934F72">
      <w:pPr>
        <w:spacing w:before="240" w:after="120"/>
        <w:jc w:val="center"/>
        <w:rPr>
          <w:highlight w:val="yellow"/>
        </w:rPr>
      </w:pPr>
    </w:p>
    <w:p w14:paraId="456BAD89" w14:textId="77777777" w:rsidR="00461488" w:rsidRDefault="00461488" w:rsidP="00934F72">
      <w:pPr>
        <w:spacing w:before="240" w:after="120"/>
        <w:jc w:val="center"/>
        <w:rPr>
          <w:highlight w:val="yellow"/>
        </w:rPr>
        <w:sectPr w:rsidR="00461488" w:rsidSect="00B44C29">
          <w:pgSz w:w="16838" w:h="11906" w:orient="landscape" w:code="9"/>
          <w:pgMar w:top="1134" w:right="567" w:bottom="851" w:left="851" w:header="567" w:footer="370" w:gutter="0"/>
          <w:cols w:space="0"/>
          <w:formProt w:val="0"/>
          <w:docGrid w:linePitch="360"/>
        </w:sectPr>
      </w:pPr>
    </w:p>
    <w:p w14:paraId="161D364B" w14:textId="17E9A212" w:rsidR="002D3134" w:rsidRPr="00F87434" w:rsidRDefault="008B122B" w:rsidP="002D3134">
      <w:pPr>
        <w:pStyle w:val="Heading2"/>
        <w:rPr>
          <w:color w:val="65876D" w:themeColor="accent4" w:themeShade="BF"/>
        </w:rPr>
      </w:pPr>
      <w:bookmarkStart w:id="57" w:name="_Toc505674042"/>
      <w:bookmarkStart w:id="58" w:name="_Toc505674155"/>
      <w:bookmarkStart w:id="59" w:name="_Ref504549058"/>
      <w:bookmarkStart w:id="60" w:name="_Toc514017996"/>
      <w:bookmarkEnd w:id="57"/>
      <w:bookmarkEnd w:id="58"/>
      <w:r>
        <w:rPr>
          <w:color w:val="65876D" w:themeColor="accent4" w:themeShade="BF"/>
        </w:rPr>
        <w:t>STEP 1: BLACK BOX CONDITION ASSESSMENT</w:t>
      </w:r>
      <w:bookmarkEnd w:id="59"/>
      <w:bookmarkEnd w:id="60"/>
    </w:p>
    <w:p w14:paraId="6D02FF9D" w14:textId="17A5CA1E" w:rsidR="00F23EFE" w:rsidRDefault="00864F08">
      <w:pPr>
        <w:pStyle w:val="Para0"/>
      </w:pPr>
      <w:r w:rsidRPr="007142CF">
        <w:rPr>
          <w:color w:val="000000" w:themeColor="text1"/>
        </w:rPr>
        <w:t xml:space="preserve">This </w:t>
      </w:r>
      <w:r w:rsidR="00781E5F">
        <w:rPr>
          <w:color w:val="000000" w:themeColor="text1"/>
        </w:rPr>
        <w:t>chapter</w:t>
      </w:r>
      <w:r w:rsidR="00781E5F" w:rsidRPr="007142CF">
        <w:rPr>
          <w:color w:val="000000" w:themeColor="text1"/>
        </w:rPr>
        <w:t xml:space="preserve"> </w:t>
      </w:r>
      <w:r w:rsidRPr="007142CF">
        <w:rPr>
          <w:color w:val="000000" w:themeColor="text1"/>
        </w:rPr>
        <w:t>outlines a range of methods and tools that can be used to determine the condition of Black Box vegetation at a site.</w:t>
      </w:r>
      <w:r>
        <w:rPr>
          <w:color w:val="000000" w:themeColor="text1"/>
        </w:rPr>
        <w:t xml:space="preserve"> </w:t>
      </w:r>
    </w:p>
    <w:p w14:paraId="3D4AFD0D" w14:textId="1E0E2560" w:rsidR="00F23EFE" w:rsidRPr="002D6043" w:rsidRDefault="00F23EFE" w:rsidP="00F23EFE">
      <w:pPr>
        <w:pStyle w:val="Para0"/>
      </w:pPr>
      <w:r w:rsidRPr="00B72391">
        <w:t xml:space="preserve">Black Box condition is </w:t>
      </w:r>
      <w:r w:rsidR="00866CBB">
        <w:t>influenced</w:t>
      </w:r>
      <w:r w:rsidR="00866CBB" w:rsidRPr="00B72391">
        <w:t xml:space="preserve"> </w:t>
      </w:r>
      <w:r w:rsidRPr="00B72391">
        <w:t>predominantly by the availability of soil water</w:t>
      </w:r>
      <w:r w:rsidR="00A334BE">
        <w:t xml:space="preserve">. </w:t>
      </w:r>
      <w:r w:rsidR="0053193C">
        <w:t>Th</w:t>
      </w:r>
      <w:r w:rsidR="0053193C" w:rsidRPr="00B72391">
        <w:t>erefore,</w:t>
      </w:r>
      <w:r w:rsidRPr="00B72391">
        <w:t xml:space="preserve"> developin</w:t>
      </w:r>
      <w:r w:rsidR="0053193C">
        <w:t>g an understanding of the hydro</w:t>
      </w:r>
      <w:r w:rsidRPr="00B72391">
        <w:t xml:space="preserve">geological processes influencing water availability is critical to improving population condition. The potential timeframes for achieving the desired ecological outcomes and the sustainability of actively managing </w:t>
      </w:r>
      <w:r w:rsidR="00623D49">
        <w:t>a</w:t>
      </w:r>
      <w:r w:rsidRPr="00B72391">
        <w:t xml:space="preserve"> site over those timeframes will be determined by current tree health and the extent to which these hydro</w:t>
      </w:r>
      <w:r w:rsidR="00623D49">
        <w:t>g</w:t>
      </w:r>
      <w:r w:rsidRPr="00B72391">
        <w:t>eological processes may be influenced. The heterogeneity of the soils (e.g. clays versus sands) and geomorphic variability across the floodplain mean that Black Box condition can vary significantly over a short distance. This landscape heterogeneity is likely to require the application of a range of different management approaches across a floodplain to achieve the desired ecological outcome.</w:t>
      </w:r>
    </w:p>
    <w:p w14:paraId="2756C50A" w14:textId="6C8D7238" w:rsidR="00BA54A2" w:rsidRDefault="000C47B9">
      <w:pPr>
        <w:pStyle w:val="Para0"/>
      </w:pPr>
      <w:r w:rsidRPr="0060030D">
        <w:t xml:space="preserve">Black Box, like other floodplain eucalypts, </w:t>
      </w:r>
      <w:r w:rsidR="00704F9A" w:rsidRPr="0060030D">
        <w:t>are</w:t>
      </w:r>
      <w:r w:rsidRPr="00B72391">
        <w:t xml:space="preserve"> opportunistic in the sources of water that they use</w:t>
      </w:r>
      <w:r w:rsidR="00704F9A" w:rsidRPr="00B72391">
        <w:t xml:space="preserve"> and</w:t>
      </w:r>
      <w:r w:rsidR="00756FD8" w:rsidRPr="00B72391">
        <w:t xml:space="preserve"> </w:t>
      </w:r>
      <w:r w:rsidRPr="00B72391">
        <w:t xml:space="preserve">will switch between different sources depending on soil water availability </w:t>
      </w:r>
      <w:r w:rsidR="00704F9A" w:rsidRPr="00B72391">
        <w:t>within</w:t>
      </w:r>
      <w:r w:rsidRPr="00B72391">
        <w:t xml:space="preserve"> the soil </w:t>
      </w:r>
      <w:r w:rsidR="00756FD8" w:rsidRPr="00B72391">
        <w:t>profile</w:t>
      </w:r>
      <w:r w:rsidR="00704F9A" w:rsidRPr="00B72391">
        <w:t xml:space="preserve">. Soil water availability is </w:t>
      </w:r>
      <w:r w:rsidRPr="00B72391">
        <w:t>influenced by a range of factors including soil type</w:t>
      </w:r>
      <w:r w:rsidR="00BA54A2" w:rsidRPr="00B72391">
        <w:t xml:space="preserve">, soil and groundwater </w:t>
      </w:r>
      <w:r w:rsidRPr="00B72391">
        <w:t xml:space="preserve">salinity, </w:t>
      </w:r>
      <w:r w:rsidR="00BA54A2" w:rsidRPr="00B72391">
        <w:t xml:space="preserve">depth to </w:t>
      </w:r>
      <w:r w:rsidRPr="00B72391">
        <w:t>groundwater, rainfall events, antecedent flood interval (duration since last inundation)</w:t>
      </w:r>
      <w:r w:rsidR="006E75CB">
        <w:t xml:space="preserve"> and duration,</w:t>
      </w:r>
      <w:r w:rsidRPr="00B72391">
        <w:t xml:space="preserve"> and evapotranspiration (</w:t>
      </w:r>
      <w:r w:rsidR="00F23EFE">
        <w:t xml:space="preserve">Walker </w:t>
      </w:r>
      <w:r w:rsidR="00F23EFE" w:rsidRPr="00A40029">
        <w:rPr>
          <w:i/>
        </w:rPr>
        <w:t>et al.</w:t>
      </w:r>
      <w:r w:rsidR="00F23EFE">
        <w:t>, 1996</w:t>
      </w:r>
      <w:r w:rsidRPr="00B72391">
        <w:t xml:space="preserve">). </w:t>
      </w:r>
      <w:r w:rsidR="001E303D" w:rsidRPr="00B72391">
        <w:t>D</w:t>
      </w:r>
      <w:r w:rsidR="00E2242E" w:rsidRPr="00B72391" w:rsidDel="00E873F6">
        <w:t xml:space="preserve">iscussion </w:t>
      </w:r>
      <w:r w:rsidR="00E2242E" w:rsidRPr="00B72391">
        <w:t>on the life phases of Black Box and</w:t>
      </w:r>
      <w:r w:rsidR="00E2242E" w:rsidRPr="00B72391" w:rsidDel="00E873F6">
        <w:t xml:space="preserve"> their water requirements (e.g. mature trees versus seedlings), stressors and indicators</w:t>
      </w:r>
      <w:r w:rsidR="00E2242E" w:rsidRPr="00B72391">
        <w:t xml:space="preserve"> </w:t>
      </w:r>
      <w:r w:rsidR="00AE3891">
        <w:t>are</w:t>
      </w:r>
      <w:r w:rsidR="00E2242E" w:rsidRPr="00B72391">
        <w:t xml:space="preserve"> provided in </w:t>
      </w:r>
      <w:r w:rsidR="002D3134" w:rsidRPr="0060030D">
        <w:fldChar w:fldCharType="begin"/>
      </w:r>
      <w:r w:rsidR="002D3134" w:rsidRPr="00B72391">
        <w:instrText xml:space="preserve"> REF _Ref463597305 \r \h </w:instrText>
      </w:r>
      <w:r w:rsidR="00851602" w:rsidRPr="00B72391">
        <w:instrText xml:space="preserve"> \* MERGEFORMAT </w:instrText>
      </w:r>
      <w:r w:rsidR="002D3134" w:rsidRPr="0060030D">
        <w:fldChar w:fldCharType="separate"/>
      </w:r>
      <w:r w:rsidR="00BF015B">
        <w:t>Appendix B</w:t>
      </w:r>
      <w:r w:rsidR="002D3134" w:rsidRPr="0060030D">
        <w:fldChar w:fldCharType="end"/>
      </w:r>
      <w:r w:rsidR="002D3134" w:rsidRPr="0060030D">
        <w:t>.</w:t>
      </w:r>
      <w:r w:rsidR="00BA54A2" w:rsidRPr="00B72391">
        <w:t xml:space="preserve"> The ability of large eucalypts to switch between water sources as they become available, or to selectively vary the use of each available source, is an important strategy that provides a higher level of tolerance to saline floodplain conditions. </w:t>
      </w:r>
    </w:p>
    <w:p w14:paraId="7ECF6CAD" w14:textId="5A2EB8D0" w:rsidR="00864F08" w:rsidRDefault="00045F30" w:rsidP="00BB5D93">
      <w:pPr>
        <w:pStyle w:val="Para0"/>
        <w:rPr>
          <w:color w:val="000000" w:themeColor="text1"/>
        </w:rPr>
      </w:pPr>
      <w:r>
        <w:rPr>
          <w:color w:val="000000" w:themeColor="text1"/>
        </w:rPr>
        <w:t>A</w:t>
      </w:r>
      <w:r w:rsidR="00A85110" w:rsidRPr="007142CF">
        <w:rPr>
          <w:color w:val="000000" w:themeColor="text1"/>
        </w:rPr>
        <w:t xml:space="preserve">ssessing the condition </w:t>
      </w:r>
      <w:r w:rsidR="00866CBB">
        <w:rPr>
          <w:color w:val="000000" w:themeColor="text1"/>
        </w:rPr>
        <w:t xml:space="preserve">of Black Box vegetation </w:t>
      </w:r>
      <w:r w:rsidR="00A85110" w:rsidRPr="007142CF">
        <w:rPr>
          <w:color w:val="000000" w:themeColor="text1"/>
        </w:rPr>
        <w:t xml:space="preserve">for the purposes of developing management strategies, </w:t>
      </w:r>
      <w:r w:rsidR="00A334BE">
        <w:rPr>
          <w:color w:val="000000" w:themeColor="text1"/>
        </w:rPr>
        <w:t xml:space="preserve">requires assessment of </w:t>
      </w:r>
      <w:r w:rsidR="00A85110" w:rsidRPr="007142CF">
        <w:rPr>
          <w:color w:val="000000" w:themeColor="text1"/>
        </w:rPr>
        <w:t xml:space="preserve">a “stand” or “patch” of Black Box woodland, rather than assessing individual trees. </w:t>
      </w:r>
      <w:r w:rsidR="009F6E85">
        <w:rPr>
          <w:color w:val="000000" w:themeColor="text1"/>
        </w:rPr>
        <w:t xml:space="preserve">The Framework describes these areas as management units as they are likely to respond in a similar way to broad management actions such as groundwater changes and flooding frequencies. </w:t>
      </w:r>
      <w:r w:rsidR="00A85110" w:rsidRPr="007142CF">
        <w:rPr>
          <w:color w:val="000000" w:themeColor="text1"/>
        </w:rPr>
        <w:t xml:space="preserve">The reason for providing a condition assessment of a </w:t>
      </w:r>
      <w:r w:rsidR="009F6E85">
        <w:rPr>
          <w:color w:val="000000" w:themeColor="text1"/>
        </w:rPr>
        <w:t>unit</w:t>
      </w:r>
      <w:r w:rsidR="00A85110" w:rsidRPr="007142CF">
        <w:rPr>
          <w:color w:val="000000" w:themeColor="text1"/>
        </w:rPr>
        <w:t xml:space="preserve"> rather than individual trees is that within a </w:t>
      </w:r>
      <w:r w:rsidR="009F6E85">
        <w:rPr>
          <w:color w:val="000000" w:themeColor="text1"/>
        </w:rPr>
        <w:t>unit</w:t>
      </w:r>
      <w:r w:rsidR="009F6E85" w:rsidRPr="007142CF">
        <w:rPr>
          <w:color w:val="000000" w:themeColor="text1"/>
        </w:rPr>
        <w:t xml:space="preserve"> </w:t>
      </w:r>
      <w:r w:rsidR="00A85110" w:rsidRPr="007142CF">
        <w:rPr>
          <w:color w:val="000000" w:themeColor="text1"/>
        </w:rPr>
        <w:t>of Black Box individual trees can vary from dead to very healthy due to spatial variability of soil types and individual characteristics of the trees</w:t>
      </w:r>
      <w:r w:rsidR="00F23EFE">
        <w:rPr>
          <w:color w:val="000000" w:themeColor="text1"/>
        </w:rPr>
        <w:t xml:space="preserve"> (</w:t>
      </w:r>
      <w:r w:rsidR="00864F08">
        <w:rPr>
          <w:color w:val="000000" w:themeColor="text1"/>
        </w:rPr>
        <w:fldChar w:fldCharType="begin"/>
      </w:r>
      <w:r w:rsidR="00864F08">
        <w:rPr>
          <w:color w:val="000000" w:themeColor="text1"/>
        </w:rPr>
        <w:instrText xml:space="preserve"> REF _Ref506213580 \h </w:instrText>
      </w:r>
      <w:r w:rsidR="00864F08">
        <w:rPr>
          <w:color w:val="000000" w:themeColor="text1"/>
        </w:rPr>
      </w:r>
      <w:r w:rsidR="00864F08">
        <w:rPr>
          <w:color w:val="000000" w:themeColor="text1"/>
        </w:rPr>
        <w:fldChar w:fldCharType="separate"/>
      </w:r>
      <w:r w:rsidR="00BF015B">
        <w:t xml:space="preserve">Figure </w:t>
      </w:r>
      <w:r w:rsidR="00BF015B">
        <w:rPr>
          <w:noProof/>
        </w:rPr>
        <w:t>3</w:t>
      </w:r>
      <w:r w:rsidR="00BF015B">
        <w:noBreakHyphen/>
      </w:r>
      <w:r w:rsidR="00BF015B">
        <w:rPr>
          <w:noProof/>
        </w:rPr>
        <w:t>4</w:t>
      </w:r>
      <w:r w:rsidR="00864F08">
        <w:rPr>
          <w:color w:val="000000" w:themeColor="text1"/>
        </w:rPr>
        <w:fldChar w:fldCharType="end"/>
      </w:r>
      <w:r w:rsidR="00F23EFE">
        <w:rPr>
          <w:color w:val="000000" w:themeColor="text1"/>
        </w:rPr>
        <w:t>)</w:t>
      </w:r>
      <w:r w:rsidR="00A85110" w:rsidRPr="007142CF">
        <w:rPr>
          <w:color w:val="000000" w:themeColor="text1"/>
        </w:rPr>
        <w:t xml:space="preserve">. Additionally, the management options available for influencing Black Box stressors address large areas, rather than individual trees. Although assessing condition of individual trees is necessary for monitoring changes over time, it is </w:t>
      </w:r>
      <w:r w:rsidR="006E75CB">
        <w:rPr>
          <w:color w:val="000000" w:themeColor="text1"/>
        </w:rPr>
        <w:t>less</w:t>
      </w:r>
      <w:r w:rsidR="00A85110" w:rsidRPr="007142CF">
        <w:rPr>
          <w:color w:val="000000" w:themeColor="text1"/>
        </w:rPr>
        <w:t xml:space="preserve"> useful in prioritising management actions across a floodplain when actions are likely to </w:t>
      </w:r>
      <w:r w:rsidR="001F63A8">
        <w:rPr>
          <w:color w:val="000000" w:themeColor="text1"/>
        </w:rPr>
        <w:t>target larger areas</w:t>
      </w:r>
      <w:r w:rsidR="00A85110" w:rsidRPr="007142CF">
        <w:rPr>
          <w:color w:val="000000" w:themeColor="text1"/>
        </w:rPr>
        <w:t>.</w:t>
      </w:r>
    </w:p>
    <w:p w14:paraId="5E4D6D64" w14:textId="4F55CEB6" w:rsidR="00A85110" w:rsidRDefault="006E75CB" w:rsidP="00EA581E">
      <w:pPr>
        <w:pStyle w:val="Para0"/>
        <w:jc w:val="center"/>
        <w:rPr>
          <w:color w:val="000000" w:themeColor="text1"/>
        </w:rPr>
      </w:pPr>
      <w:r>
        <w:rPr>
          <w:noProof/>
          <w:color w:val="000000" w:themeColor="text1"/>
          <w:lang w:eastAsia="en-AU"/>
        </w:rPr>
        <w:drawing>
          <wp:inline distT="0" distB="0" distL="0" distR="0" wp14:anchorId="536255B0" wp14:editId="227E4E91">
            <wp:extent cx="4210493" cy="2794771"/>
            <wp:effectExtent l="0" t="0" r="0"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SC_7657.JPG"/>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4218021" cy="2799768"/>
                    </a:xfrm>
                    <a:prstGeom prst="rect">
                      <a:avLst/>
                    </a:prstGeom>
                    <a:ln>
                      <a:noFill/>
                    </a:ln>
                    <a:extLst>
                      <a:ext uri="{53640926-AAD7-44D8-BBD7-CCE9431645EC}">
                        <a14:shadowObscured xmlns:a14="http://schemas.microsoft.com/office/drawing/2010/main"/>
                      </a:ext>
                    </a:extLst>
                  </pic:spPr>
                </pic:pic>
              </a:graphicData>
            </a:graphic>
          </wp:inline>
        </w:drawing>
      </w:r>
    </w:p>
    <w:p w14:paraId="3F601799" w14:textId="0D36FA8C" w:rsidR="00A85110" w:rsidRDefault="00864F08" w:rsidP="00EA581E">
      <w:pPr>
        <w:pStyle w:val="Caption"/>
        <w:spacing w:before="0" w:after="0"/>
        <w:jc w:val="center"/>
        <w:rPr>
          <w:color w:val="000000" w:themeColor="text1"/>
        </w:rPr>
      </w:pPr>
      <w:bookmarkStart w:id="61" w:name="_Ref506213580"/>
      <w:bookmarkStart w:id="62" w:name="_Toc514018076"/>
      <w:r>
        <w:t xml:space="preserve">Figure </w:t>
      </w:r>
      <w:r w:rsidR="004F42DD">
        <w:fldChar w:fldCharType="begin"/>
      </w:r>
      <w:r w:rsidR="004F42DD">
        <w:instrText xml:space="preserve"> STYLEREF 1 \s </w:instrText>
      </w:r>
      <w:r w:rsidR="004F42DD">
        <w:fldChar w:fldCharType="separate"/>
      </w:r>
      <w:r w:rsidR="00BF015B">
        <w:rPr>
          <w:noProof/>
        </w:rPr>
        <w:t>3</w:t>
      </w:r>
      <w:r w:rsidR="004F42DD">
        <w:fldChar w:fldCharType="end"/>
      </w:r>
      <w:r w:rsidR="004F42DD">
        <w:noBreakHyphen/>
      </w:r>
      <w:r w:rsidR="004F42DD">
        <w:fldChar w:fldCharType="begin"/>
      </w:r>
      <w:r w:rsidR="004F42DD">
        <w:instrText xml:space="preserve"> SEQ Figure \* ARABIC \s 1 </w:instrText>
      </w:r>
      <w:r w:rsidR="004F42DD">
        <w:fldChar w:fldCharType="separate"/>
      </w:r>
      <w:r w:rsidR="00BF015B">
        <w:rPr>
          <w:noProof/>
        </w:rPr>
        <w:t>4</w:t>
      </w:r>
      <w:r w:rsidR="004F42DD">
        <w:fldChar w:fldCharType="end"/>
      </w:r>
      <w:bookmarkEnd w:id="61"/>
      <w:r>
        <w:t xml:space="preserve">: </w:t>
      </w:r>
      <w:r w:rsidR="00F23EFE">
        <w:rPr>
          <w:color w:val="000000" w:themeColor="text1"/>
        </w:rPr>
        <w:t xml:space="preserve"> A small </w:t>
      </w:r>
      <w:r w:rsidR="009F6E85">
        <w:rPr>
          <w:color w:val="000000" w:themeColor="text1"/>
        </w:rPr>
        <w:t>management unit</w:t>
      </w:r>
      <w:r w:rsidR="00F23EFE">
        <w:rPr>
          <w:color w:val="000000" w:themeColor="text1"/>
        </w:rPr>
        <w:t xml:space="preserve"> of Black Box trees that have a range of conditions from Good to Dead</w:t>
      </w:r>
      <w:bookmarkEnd w:id="62"/>
    </w:p>
    <w:p w14:paraId="57B3F817" w14:textId="77777777" w:rsidR="00F618F7" w:rsidRDefault="00F618F7">
      <w:pPr>
        <w:spacing w:after="0" w:line="240" w:lineRule="auto"/>
      </w:pPr>
      <w:r>
        <w:br w:type="page"/>
      </w:r>
    </w:p>
    <w:p w14:paraId="7504120F" w14:textId="17C86DE6" w:rsidR="00D46838" w:rsidRDefault="00D46838" w:rsidP="00D46838">
      <w:pPr>
        <w:pStyle w:val="Para0"/>
      </w:pPr>
      <w:r>
        <w:t>When undertaking a</w:t>
      </w:r>
      <w:r w:rsidRPr="00DA7313">
        <w:t xml:space="preserve"> </w:t>
      </w:r>
      <w:r>
        <w:t xml:space="preserve">Black Box </w:t>
      </w:r>
      <w:r w:rsidRPr="00DA7313">
        <w:t>condition</w:t>
      </w:r>
      <w:r>
        <w:t xml:space="preserve"> </w:t>
      </w:r>
      <w:r w:rsidRPr="00DA7313">
        <w:t>assessment</w:t>
      </w:r>
      <w:r>
        <w:t>,</w:t>
      </w:r>
      <w:r w:rsidRPr="00DA7313">
        <w:t xml:space="preserve"> </w:t>
      </w:r>
      <w:r>
        <w:t xml:space="preserve">the emphasis is generally on </w:t>
      </w:r>
      <w:r w:rsidRPr="00DA7313">
        <w:t xml:space="preserve">determining </w:t>
      </w:r>
      <w:r>
        <w:t>crown extent and density</w:t>
      </w:r>
      <w:r w:rsidR="00D46DAE">
        <w:t>. The condition of the canopy crown is a strong indicator of the overall tree condition. Trees respond to water stress by dropping leaves and eventually branches. Other indicators such as epicormic and leaf tip growth are commonly used in the assessment of crown condition. Trees recovering from water stress are likely to put on epicormic growth rather than new leaves on the outer canopy</w:t>
      </w:r>
      <w:r w:rsidR="003F2755">
        <w:t>. Refer to the intermediate stage in the Black Box State and Transition model (Section 3.5.1.4)</w:t>
      </w:r>
      <w:r w:rsidR="00D46DAE">
        <w:t>.</w:t>
      </w:r>
      <w:r w:rsidR="00520BBE">
        <w:t xml:space="preserve"> </w:t>
      </w:r>
      <w:r>
        <w:t xml:space="preserve">The presence of tree recruitment, dead leaves, mistletoe and insect damage may also be used to develop an indication of the trajectory of population condition. </w:t>
      </w:r>
      <w:r w:rsidR="00D46DAE">
        <w:t>Mistletoe wi</w:t>
      </w:r>
      <w:r w:rsidR="00DF5216">
        <w:t>l</w:t>
      </w:r>
      <w:r w:rsidR="00D46DAE">
        <w:t>l invade a stressed tree and generate further stress on that tree.</w:t>
      </w:r>
    </w:p>
    <w:p w14:paraId="0B2FD520" w14:textId="14EE8347" w:rsidR="00D46838" w:rsidRDefault="00D46838" w:rsidP="002D45FD">
      <w:pPr>
        <w:rPr>
          <w:color w:val="000000" w:themeColor="text1"/>
        </w:rPr>
      </w:pPr>
      <w:r>
        <w:rPr>
          <w:rFonts w:cs="Arial"/>
          <w:szCs w:val="20"/>
        </w:rPr>
        <w:t xml:space="preserve">Various methods and tools can be used </w:t>
      </w:r>
      <w:r w:rsidR="00A334BE">
        <w:rPr>
          <w:rFonts w:cs="Arial"/>
          <w:szCs w:val="20"/>
        </w:rPr>
        <w:t xml:space="preserve">to determine the condition of </w:t>
      </w:r>
      <w:r>
        <w:rPr>
          <w:rFonts w:cs="Arial"/>
          <w:szCs w:val="20"/>
        </w:rPr>
        <w:t xml:space="preserve">Black Box </w:t>
      </w:r>
      <w:r w:rsidR="00A334BE">
        <w:rPr>
          <w:rFonts w:cs="Arial"/>
          <w:szCs w:val="20"/>
        </w:rPr>
        <w:t xml:space="preserve">vegetation </w:t>
      </w:r>
      <w:r>
        <w:rPr>
          <w:rFonts w:cs="Arial"/>
          <w:szCs w:val="20"/>
        </w:rPr>
        <w:t xml:space="preserve">at a site. The selection of an appropriate method will be determined by the available time, budget, resources, desired monitoring and evaluation program outputs, and/or any historic data and </w:t>
      </w:r>
      <w:r w:rsidRPr="00BF7CB1">
        <w:rPr>
          <w:rFonts w:cs="Arial"/>
          <w:color w:val="000000" w:themeColor="text1"/>
          <w:szCs w:val="20"/>
        </w:rPr>
        <w:t>approaches to assessment.</w:t>
      </w:r>
      <w:r>
        <w:rPr>
          <w:rFonts w:cs="Arial"/>
          <w:color w:val="000000" w:themeColor="text1"/>
          <w:szCs w:val="20"/>
        </w:rPr>
        <w:t xml:space="preserve"> </w:t>
      </w:r>
      <w:r>
        <w:t xml:space="preserve">The following subchapters describe two condition assessment techniques that </w:t>
      </w:r>
      <w:r w:rsidR="009714EF">
        <w:t>are available</w:t>
      </w:r>
      <w:r>
        <w:t xml:space="preserve">. </w:t>
      </w:r>
      <w:r w:rsidRPr="00BF7CB1">
        <w:rPr>
          <w:color w:val="000000" w:themeColor="text1"/>
        </w:rPr>
        <w:t xml:space="preserve">Where </w:t>
      </w:r>
      <w:r>
        <w:rPr>
          <w:color w:val="000000" w:themeColor="text1"/>
        </w:rPr>
        <w:t>appropriate</w:t>
      </w:r>
      <w:r w:rsidRPr="00BF7CB1">
        <w:rPr>
          <w:color w:val="000000" w:themeColor="text1"/>
        </w:rPr>
        <w:t xml:space="preserve"> the method used should be consistent with that previously used on site and able to be reliably repeated to track responses to management </w:t>
      </w:r>
      <w:r>
        <w:rPr>
          <w:color w:val="000000" w:themeColor="text1"/>
        </w:rPr>
        <w:t xml:space="preserve">intervention </w:t>
      </w:r>
      <w:r w:rsidRPr="00BF7CB1">
        <w:rPr>
          <w:color w:val="000000" w:themeColor="text1"/>
        </w:rPr>
        <w:t xml:space="preserve">over extended time periods. </w:t>
      </w:r>
    </w:p>
    <w:p w14:paraId="5D640AD1" w14:textId="0B27E605" w:rsidR="00A83D10" w:rsidRDefault="00866CBB" w:rsidP="005B2F1B">
      <w:pPr>
        <w:pStyle w:val="Heading3"/>
      </w:pPr>
      <w:r>
        <w:t>Rapid Condition Assessment</w:t>
      </w:r>
      <w:r w:rsidR="002D45FD">
        <w:t xml:space="preserve"> Methodology</w:t>
      </w:r>
    </w:p>
    <w:p w14:paraId="0CD68C1F" w14:textId="760648C0" w:rsidR="002D45FD" w:rsidRPr="00CE0821" w:rsidRDefault="002D45FD" w:rsidP="005B2F1B">
      <w:pPr>
        <w:pStyle w:val="Para0"/>
        <w:spacing w:line="240" w:lineRule="auto"/>
        <w:rPr>
          <w:rFonts w:cs="Arial"/>
          <w:szCs w:val="20"/>
        </w:rPr>
      </w:pPr>
      <w:r>
        <w:rPr>
          <w:rFonts w:cs="Arial"/>
          <w:szCs w:val="20"/>
        </w:rPr>
        <w:t xml:space="preserve">The Rapid Condition Assessment Methodology can </w:t>
      </w:r>
      <w:r w:rsidRPr="006864B8">
        <w:rPr>
          <w:rFonts w:cs="Arial"/>
          <w:szCs w:val="20"/>
        </w:rPr>
        <w:t>be used when there is little previous knowledge about the condition of Black Box at a site. This methodology was developed as part of the Calperum Station Case Study, sp</w:t>
      </w:r>
      <w:r w:rsidRPr="00ED6DB2">
        <w:rPr>
          <w:rFonts w:cs="Arial"/>
          <w:szCs w:val="20"/>
        </w:rPr>
        <w:t>ecifically with the purposes of the F</w:t>
      </w:r>
      <w:r>
        <w:rPr>
          <w:rFonts w:cs="Arial"/>
          <w:szCs w:val="20"/>
        </w:rPr>
        <w:t>ramework</w:t>
      </w:r>
      <w:r w:rsidRPr="00ED6DB2">
        <w:rPr>
          <w:rFonts w:cs="Arial"/>
          <w:szCs w:val="20"/>
        </w:rPr>
        <w:t xml:space="preserve"> in mind. </w:t>
      </w:r>
      <w:r w:rsidRPr="00DF4A1A">
        <w:rPr>
          <w:rFonts w:cs="Arial"/>
          <w:szCs w:val="20"/>
        </w:rPr>
        <w:t xml:space="preserve">This </w:t>
      </w:r>
      <w:r w:rsidRPr="006864B8">
        <w:rPr>
          <w:rFonts w:cs="Arial"/>
          <w:szCs w:val="20"/>
        </w:rPr>
        <w:t xml:space="preserve">condition assessment methodology was </w:t>
      </w:r>
      <w:r w:rsidRPr="00DF4A1A">
        <w:rPr>
          <w:rFonts w:cs="Arial"/>
          <w:szCs w:val="20"/>
        </w:rPr>
        <w:t>designed to support managem</w:t>
      </w:r>
      <w:r w:rsidR="009714EF">
        <w:rPr>
          <w:rFonts w:cs="Arial"/>
          <w:szCs w:val="20"/>
        </w:rPr>
        <w:t xml:space="preserve">ent </w:t>
      </w:r>
      <w:r w:rsidR="00AD6010">
        <w:rPr>
          <w:rFonts w:cs="Arial"/>
          <w:szCs w:val="20"/>
        </w:rPr>
        <w:t>planning and</w:t>
      </w:r>
      <w:r w:rsidR="009714EF">
        <w:rPr>
          <w:rFonts w:cs="Arial"/>
          <w:szCs w:val="20"/>
        </w:rPr>
        <w:t xml:space="preserve"> was driven by </w:t>
      </w:r>
      <w:r w:rsidRPr="00DF4A1A">
        <w:rPr>
          <w:rFonts w:cs="Arial"/>
          <w:szCs w:val="20"/>
        </w:rPr>
        <w:t>management actions affecting large areas</w:t>
      </w:r>
      <w:r w:rsidRPr="006864B8">
        <w:rPr>
          <w:rFonts w:cs="Arial"/>
          <w:szCs w:val="20"/>
        </w:rPr>
        <w:t>. The methodology was also developed to be easy and quick</w:t>
      </w:r>
      <w:r w:rsidRPr="00ED6DB2">
        <w:rPr>
          <w:rFonts w:cs="Arial"/>
          <w:szCs w:val="20"/>
        </w:rPr>
        <w:t xml:space="preserve"> to apply, allowing landholders to conduct surveys over large areas within reasonable timeframes.</w:t>
      </w:r>
    </w:p>
    <w:p w14:paraId="1DCA3B7C" w14:textId="07B89C49" w:rsidR="002D45FD" w:rsidRPr="00DF4A1A" w:rsidRDefault="002D45FD" w:rsidP="005B2F1B">
      <w:pPr>
        <w:pStyle w:val="Para0"/>
        <w:spacing w:line="240" w:lineRule="auto"/>
        <w:rPr>
          <w:rFonts w:cs="Arial"/>
          <w:szCs w:val="20"/>
        </w:rPr>
      </w:pPr>
      <w:r w:rsidRPr="00DF4A1A">
        <w:rPr>
          <w:rFonts w:cs="Arial"/>
          <w:szCs w:val="20"/>
        </w:rPr>
        <w:t>The condition assessment methodology has been designed to allow landholders to identify and prioritise areas of Black Box which require immediate or long-term management</w:t>
      </w:r>
      <w:r>
        <w:rPr>
          <w:rFonts w:cs="Arial"/>
          <w:szCs w:val="20"/>
        </w:rPr>
        <w:t xml:space="preserve">. Although it can provide a simple method of monitoring, the classes are </w:t>
      </w:r>
      <w:r w:rsidR="00AD6010">
        <w:rPr>
          <w:rFonts w:cs="Arial"/>
          <w:szCs w:val="20"/>
        </w:rPr>
        <w:t>broad</w:t>
      </w:r>
      <w:r>
        <w:rPr>
          <w:rFonts w:cs="Arial"/>
          <w:szCs w:val="20"/>
        </w:rPr>
        <w:t xml:space="preserve"> and are unlikely to detect short term and small changes in condition from </w:t>
      </w:r>
      <w:r w:rsidR="009714EF">
        <w:rPr>
          <w:rFonts w:cs="Arial"/>
          <w:szCs w:val="20"/>
        </w:rPr>
        <w:t>management actions</w:t>
      </w:r>
      <w:r w:rsidRPr="00DF4A1A">
        <w:rPr>
          <w:rFonts w:cs="Arial"/>
          <w:szCs w:val="20"/>
        </w:rPr>
        <w:t>. The method supports the identification of Black Box management units and possible management actions.</w:t>
      </w:r>
    </w:p>
    <w:p w14:paraId="7258BCB1" w14:textId="77777777" w:rsidR="002D45FD" w:rsidRPr="002D45FD" w:rsidRDefault="002D45FD" w:rsidP="005B2F1B">
      <w:pPr>
        <w:pStyle w:val="Para0"/>
        <w:spacing w:line="240" w:lineRule="auto"/>
        <w:rPr>
          <w:rFonts w:cs="Arial"/>
          <w:szCs w:val="20"/>
        </w:rPr>
      </w:pPr>
      <w:r w:rsidRPr="009F6E85">
        <w:rPr>
          <w:rFonts w:cs="Arial"/>
          <w:szCs w:val="20"/>
        </w:rPr>
        <w:t xml:space="preserve">The rapid condition assessment methodology is comprised of the following elements: </w:t>
      </w:r>
    </w:p>
    <w:p w14:paraId="514BB86D" w14:textId="5CA4491D" w:rsidR="002D45FD" w:rsidRPr="009F6E85" w:rsidRDefault="002D45FD" w:rsidP="00F22225">
      <w:pPr>
        <w:pStyle w:val="Para0"/>
        <w:numPr>
          <w:ilvl w:val="0"/>
          <w:numId w:val="81"/>
        </w:numPr>
        <w:spacing w:before="120" w:line="240" w:lineRule="auto"/>
        <w:ind w:left="714" w:hanging="357"/>
        <w:rPr>
          <w:rFonts w:cs="Arial"/>
        </w:rPr>
      </w:pPr>
      <w:r w:rsidRPr="009F6E85">
        <w:rPr>
          <w:rFonts w:cs="Arial"/>
          <w:szCs w:val="20"/>
        </w:rPr>
        <w:t>Condition class based on canopy cover</w:t>
      </w:r>
      <w:r>
        <w:rPr>
          <w:rFonts w:cs="Arial"/>
          <w:szCs w:val="20"/>
        </w:rPr>
        <w:t xml:space="preserve"> and</w:t>
      </w:r>
      <w:r w:rsidRPr="009F6E85">
        <w:rPr>
          <w:rFonts w:cs="Arial"/>
          <w:szCs w:val="20"/>
        </w:rPr>
        <w:t xml:space="preserve"> epicormic growth</w:t>
      </w:r>
      <w:r>
        <w:rPr>
          <w:rFonts w:cs="Arial"/>
          <w:szCs w:val="20"/>
        </w:rPr>
        <w:t xml:space="preserve"> (growth of leaves on the tree trunks rather than on outer branches which is a response to water stress)</w:t>
      </w:r>
    </w:p>
    <w:p w14:paraId="60EF1D9D" w14:textId="2595BD85" w:rsidR="002D45FD" w:rsidRPr="009F6E85" w:rsidRDefault="002D45FD" w:rsidP="00F22225">
      <w:pPr>
        <w:pStyle w:val="Para0"/>
        <w:numPr>
          <w:ilvl w:val="0"/>
          <w:numId w:val="81"/>
        </w:numPr>
        <w:spacing w:before="120" w:line="240" w:lineRule="auto"/>
        <w:ind w:left="714" w:hanging="357"/>
        <w:rPr>
          <w:rFonts w:cs="Arial"/>
        </w:rPr>
      </w:pPr>
      <w:r w:rsidRPr="009F6E85">
        <w:rPr>
          <w:rFonts w:cs="Arial"/>
          <w:szCs w:val="20"/>
        </w:rPr>
        <w:t>Growth form based on height and trunk diameter</w:t>
      </w:r>
    </w:p>
    <w:p w14:paraId="504FFF14" w14:textId="77777777" w:rsidR="002D45FD" w:rsidRPr="009F6E85" w:rsidRDefault="002D45FD" w:rsidP="00F22225">
      <w:pPr>
        <w:pStyle w:val="Para0"/>
        <w:numPr>
          <w:ilvl w:val="0"/>
          <w:numId w:val="81"/>
        </w:numPr>
        <w:spacing w:before="120" w:line="240" w:lineRule="auto"/>
        <w:ind w:left="714" w:hanging="357"/>
        <w:rPr>
          <w:rFonts w:cs="Arial"/>
        </w:rPr>
      </w:pPr>
      <w:r w:rsidRPr="009F6E85">
        <w:rPr>
          <w:rFonts w:cs="Arial"/>
          <w:szCs w:val="20"/>
        </w:rPr>
        <w:t xml:space="preserve">Density, the number of trees per hectare in the </w:t>
      </w:r>
      <w:r>
        <w:rPr>
          <w:rFonts w:cs="Arial"/>
          <w:szCs w:val="20"/>
        </w:rPr>
        <w:t>management unit</w:t>
      </w:r>
      <w:r w:rsidRPr="009F6E85">
        <w:rPr>
          <w:rFonts w:cs="Arial"/>
          <w:szCs w:val="20"/>
        </w:rPr>
        <w:t>.</w:t>
      </w:r>
    </w:p>
    <w:p w14:paraId="2A349CCF" w14:textId="1D2EE953" w:rsidR="002D45FD" w:rsidRPr="009F6E85" w:rsidRDefault="002D45FD" w:rsidP="00A40029">
      <w:pPr>
        <w:pStyle w:val="Para0"/>
        <w:spacing w:line="240" w:lineRule="auto"/>
        <w:rPr>
          <w:rFonts w:cs="Arial"/>
        </w:rPr>
      </w:pPr>
      <w:r w:rsidRPr="009F6E85">
        <w:rPr>
          <w:rFonts w:cs="Arial"/>
          <w:szCs w:val="20"/>
        </w:rPr>
        <w:t>Further validation could be unde</w:t>
      </w:r>
      <w:r w:rsidR="00BC3DAE">
        <w:rPr>
          <w:rFonts w:cs="Arial"/>
          <w:szCs w:val="20"/>
        </w:rPr>
        <w:t xml:space="preserve">rtaken using </w:t>
      </w:r>
      <w:r w:rsidRPr="009F6E85">
        <w:rPr>
          <w:rFonts w:cs="Arial"/>
          <w:szCs w:val="20"/>
        </w:rPr>
        <w:t>satellite image analysis, to support the field assessments of Black Box condition</w:t>
      </w:r>
      <w:r w:rsidR="00D46DAE">
        <w:rPr>
          <w:rFonts w:cs="Arial"/>
          <w:szCs w:val="20"/>
        </w:rPr>
        <w:t xml:space="preserve"> and provide historic assessments to detect trends in condition and link condition changes with known events or management actions</w:t>
      </w:r>
      <w:r w:rsidRPr="009F6E85">
        <w:rPr>
          <w:rFonts w:cs="Arial"/>
          <w:szCs w:val="20"/>
        </w:rPr>
        <w:t>.</w:t>
      </w:r>
    </w:p>
    <w:p w14:paraId="3F70765C" w14:textId="7AF648CB" w:rsidR="002D45FD" w:rsidRDefault="00BC3DAE" w:rsidP="005B2F1B">
      <w:pPr>
        <w:pStyle w:val="Para0"/>
        <w:spacing w:line="240" w:lineRule="auto"/>
        <w:rPr>
          <w:rFonts w:cs="Arial"/>
          <w:szCs w:val="20"/>
        </w:rPr>
      </w:pPr>
      <w:r>
        <w:rPr>
          <w:rFonts w:cs="Arial"/>
          <w:szCs w:val="20"/>
        </w:rPr>
        <w:t>C</w:t>
      </w:r>
      <w:r w:rsidR="002D45FD" w:rsidRPr="009F6E85">
        <w:rPr>
          <w:rFonts w:cs="Arial"/>
          <w:szCs w:val="20"/>
        </w:rPr>
        <w:t>ontiguous areas of Black Box that would all be affected in a similar way by broad management actions</w:t>
      </w:r>
      <w:r w:rsidR="00573ECD">
        <w:rPr>
          <w:rFonts w:cs="Arial"/>
          <w:szCs w:val="20"/>
        </w:rPr>
        <w:t xml:space="preserve"> are mapped</w:t>
      </w:r>
      <w:r w:rsidR="002D45FD" w:rsidRPr="009F6E85">
        <w:rPr>
          <w:rFonts w:cs="Arial"/>
          <w:szCs w:val="20"/>
        </w:rPr>
        <w:t>. These are designated as management units as they are areas that can be treated as a single unit for the purposes of condition assessment and management options.</w:t>
      </w:r>
    </w:p>
    <w:p w14:paraId="48202926" w14:textId="2520AF8F" w:rsidR="002D45FD" w:rsidRDefault="002D45FD" w:rsidP="005B2F1B">
      <w:pPr>
        <w:pStyle w:val="Para0"/>
        <w:spacing w:line="240" w:lineRule="auto"/>
      </w:pPr>
      <w:r>
        <w:rPr>
          <w:rFonts w:cs="Arial"/>
          <w:szCs w:val="20"/>
        </w:rPr>
        <w:fldChar w:fldCharType="begin"/>
      </w:r>
      <w:r>
        <w:rPr>
          <w:rFonts w:cs="Arial"/>
          <w:szCs w:val="20"/>
        </w:rPr>
        <w:instrText xml:space="preserve"> REF _Ref507685361 \h </w:instrText>
      </w:r>
      <w:r>
        <w:rPr>
          <w:rFonts w:cs="Arial"/>
          <w:szCs w:val="20"/>
        </w:rPr>
      </w:r>
      <w:r>
        <w:rPr>
          <w:rFonts w:cs="Arial"/>
          <w:szCs w:val="20"/>
        </w:rPr>
        <w:fldChar w:fldCharType="separate"/>
      </w:r>
      <w:r w:rsidR="00BF015B" w:rsidRPr="007A45D5">
        <w:t xml:space="preserve">Table </w:t>
      </w:r>
      <w:r w:rsidR="00BF015B">
        <w:rPr>
          <w:noProof/>
        </w:rPr>
        <w:t>3</w:t>
      </w:r>
      <w:r w:rsidR="00BF015B" w:rsidRPr="007A45D5">
        <w:noBreakHyphen/>
      </w:r>
      <w:r w:rsidR="00BF015B">
        <w:rPr>
          <w:noProof/>
        </w:rPr>
        <w:t>2</w:t>
      </w:r>
      <w:r>
        <w:rPr>
          <w:rFonts w:cs="Arial"/>
          <w:szCs w:val="20"/>
        </w:rPr>
        <w:fldChar w:fldCharType="end"/>
      </w:r>
      <w:r>
        <w:rPr>
          <w:rFonts w:cs="Arial"/>
          <w:szCs w:val="20"/>
        </w:rPr>
        <w:t xml:space="preserve"> and </w:t>
      </w:r>
      <w:r w:rsidR="00520BBE">
        <w:rPr>
          <w:rFonts w:cs="Arial"/>
          <w:szCs w:val="20"/>
        </w:rPr>
        <w:fldChar w:fldCharType="begin"/>
      </w:r>
      <w:r w:rsidR="00520BBE">
        <w:rPr>
          <w:rFonts w:cs="Arial"/>
          <w:szCs w:val="20"/>
        </w:rPr>
        <w:instrText xml:space="preserve"> REF _Ref508978916 \h </w:instrText>
      </w:r>
      <w:r w:rsidR="00520BBE">
        <w:rPr>
          <w:rFonts w:cs="Arial"/>
          <w:szCs w:val="20"/>
        </w:rPr>
      </w:r>
      <w:r w:rsidR="00520BBE">
        <w:rPr>
          <w:rFonts w:cs="Arial"/>
          <w:szCs w:val="20"/>
        </w:rPr>
        <w:fldChar w:fldCharType="separate"/>
      </w:r>
      <w:r w:rsidR="00BF015B">
        <w:t xml:space="preserve">Figure </w:t>
      </w:r>
      <w:r w:rsidR="00BF015B">
        <w:rPr>
          <w:noProof/>
        </w:rPr>
        <w:t>3</w:t>
      </w:r>
      <w:r w:rsidR="00BF015B">
        <w:noBreakHyphen/>
      </w:r>
      <w:r w:rsidR="00BF015B">
        <w:rPr>
          <w:noProof/>
        </w:rPr>
        <w:t>5</w:t>
      </w:r>
      <w:r w:rsidR="00520BBE">
        <w:rPr>
          <w:rFonts w:cs="Arial"/>
          <w:szCs w:val="20"/>
        </w:rPr>
        <w:fldChar w:fldCharType="end"/>
      </w:r>
      <w:r w:rsidR="00520BBE">
        <w:rPr>
          <w:rFonts w:cs="Arial"/>
          <w:szCs w:val="20"/>
        </w:rPr>
        <w:t xml:space="preserve"> </w:t>
      </w:r>
      <w:r>
        <w:rPr>
          <w:rFonts w:cs="Arial"/>
          <w:szCs w:val="20"/>
        </w:rPr>
        <w:t xml:space="preserve">provide details of the Black Box condition class assessment. </w:t>
      </w:r>
      <w:r>
        <w:t xml:space="preserve">The methodology, including the details used for the assessment of growth form and density is fully described in </w:t>
      </w:r>
      <w:r>
        <w:fldChar w:fldCharType="begin"/>
      </w:r>
      <w:r>
        <w:instrText xml:space="preserve"> REF _Ref506214152 \r \h </w:instrText>
      </w:r>
      <w:r>
        <w:fldChar w:fldCharType="separate"/>
      </w:r>
      <w:r w:rsidR="00BF015B">
        <w:t>Appendix C</w:t>
      </w:r>
      <w:r>
        <w:fldChar w:fldCharType="end"/>
      </w:r>
      <w:r>
        <w:t>.</w:t>
      </w:r>
    </w:p>
    <w:p w14:paraId="7376CF3E" w14:textId="329893A1" w:rsidR="002D45FD" w:rsidRPr="007A45D5" w:rsidRDefault="002D45FD" w:rsidP="00610204">
      <w:pPr>
        <w:pStyle w:val="Caption"/>
      </w:pPr>
      <w:bookmarkStart w:id="63" w:name="_Ref507685361"/>
      <w:bookmarkStart w:id="64" w:name="_Toc514068769"/>
      <w:r w:rsidRPr="007A45D5">
        <w:t xml:space="preserve">Table </w:t>
      </w:r>
      <w:r w:rsidRPr="007A45D5">
        <w:fldChar w:fldCharType="begin"/>
      </w:r>
      <w:r w:rsidRPr="007A45D5">
        <w:instrText xml:space="preserve"> STYLEREF 1 \s </w:instrText>
      </w:r>
      <w:r w:rsidRPr="007A45D5">
        <w:fldChar w:fldCharType="separate"/>
      </w:r>
      <w:r w:rsidR="00BF015B">
        <w:rPr>
          <w:noProof/>
        </w:rPr>
        <w:t>3</w:t>
      </w:r>
      <w:r w:rsidRPr="007A45D5">
        <w:fldChar w:fldCharType="end"/>
      </w:r>
      <w:r w:rsidRPr="007A45D5">
        <w:noBreakHyphen/>
      </w:r>
      <w:r w:rsidRPr="007A45D5">
        <w:fldChar w:fldCharType="begin"/>
      </w:r>
      <w:r w:rsidRPr="007A45D5">
        <w:instrText xml:space="preserve"> SEQ Table \* ARABIC \s 1 </w:instrText>
      </w:r>
      <w:r w:rsidRPr="007A45D5">
        <w:fldChar w:fldCharType="separate"/>
      </w:r>
      <w:r w:rsidR="00BF015B">
        <w:rPr>
          <w:noProof/>
        </w:rPr>
        <w:t>2</w:t>
      </w:r>
      <w:r w:rsidRPr="007A45D5">
        <w:fldChar w:fldCharType="end"/>
      </w:r>
      <w:bookmarkEnd w:id="63"/>
      <w:r w:rsidR="00DD2CEB">
        <w:t xml:space="preserve">: </w:t>
      </w:r>
      <w:r w:rsidRPr="007A45D5">
        <w:t xml:space="preserve">Black Box </w:t>
      </w:r>
      <w:r w:rsidR="00DD2CEB">
        <w:t>c</w:t>
      </w:r>
      <w:r w:rsidRPr="007A45D5">
        <w:t xml:space="preserve">ondition </w:t>
      </w:r>
      <w:r w:rsidR="00DD2CEB">
        <w:t>c</w:t>
      </w:r>
      <w:r w:rsidRPr="007A45D5">
        <w:t>lassification</w:t>
      </w:r>
      <w:bookmarkEnd w:id="64"/>
    </w:p>
    <w:tbl>
      <w:tblPr>
        <w:tblStyle w:val="Table1"/>
        <w:tblW w:w="0" w:type="auto"/>
        <w:jc w:val="center"/>
        <w:tblInd w:w="0" w:type="dxa"/>
        <w:tblLook w:val="04A0" w:firstRow="1" w:lastRow="0" w:firstColumn="1" w:lastColumn="0" w:noHBand="0" w:noVBand="1"/>
      </w:tblPr>
      <w:tblGrid>
        <w:gridCol w:w="1413"/>
        <w:gridCol w:w="3742"/>
        <w:gridCol w:w="4756"/>
      </w:tblGrid>
      <w:tr w:rsidR="002D45FD" w:rsidRPr="002C2F92" w14:paraId="0C3F9735" w14:textId="77777777" w:rsidTr="008D673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1D3641" w:themeFill="text2"/>
          </w:tcPr>
          <w:p w14:paraId="2FF96D2B" w14:textId="77777777" w:rsidR="002D45FD" w:rsidRPr="002D45FD" w:rsidRDefault="002D45FD" w:rsidP="00610204">
            <w:pPr>
              <w:pStyle w:val="Tableheading"/>
              <w:jc w:val="center"/>
              <w:rPr>
                <w:color w:val="FFFFFF" w:themeColor="background1"/>
              </w:rPr>
            </w:pPr>
            <w:r w:rsidRPr="002D45FD">
              <w:rPr>
                <w:color w:val="FFFFFF" w:themeColor="background1"/>
              </w:rPr>
              <w:t>Class</w:t>
            </w:r>
          </w:p>
        </w:tc>
        <w:tc>
          <w:tcPr>
            <w:tcW w:w="3742" w:type="dxa"/>
            <w:shd w:val="clear" w:color="auto" w:fill="1D3641" w:themeFill="text2"/>
          </w:tcPr>
          <w:p w14:paraId="0EDDD6FA" w14:textId="77777777" w:rsidR="002D45FD" w:rsidRPr="002D45FD" w:rsidRDefault="002D45FD" w:rsidP="00610204">
            <w:pPr>
              <w:pStyle w:val="Tableheading"/>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2D45FD">
              <w:rPr>
                <w:color w:val="FFFFFF" w:themeColor="background1"/>
              </w:rPr>
              <w:t>Description - Observed elements</w:t>
            </w:r>
          </w:p>
        </w:tc>
        <w:tc>
          <w:tcPr>
            <w:tcW w:w="0" w:type="auto"/>
            <w:shd w:val="clear" w:color="auto" w:fill="1D3641" w:themeFill="text2"/>
          </w:tcPr>
          <w:p w14:paraId="6F8CEBD1" w14:textId="77777777" w:rsidR="002D45FD" w:rsidRPr="002D45FD" w:rsidRDefault="002D45FD" w:rsidP="00610204">
            <w:pPr>
              <w:pStyle w:val="Tableheading"/>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2D45FD">
              <w:rPr>
                <w:color w:val="FFFFFF" w:themeColor="background1"/>
              </w:rPr>
              <w:t>Possible/recommended actions, considerations, management strategy</w:t>
            </w:r>
          </w:p>
        </w:tc>
      </w:tr>
      <w:tr w:rsidR="002D45FD" w:rsidRPr="002C2F92" w14:paraId="1B216C2C" w14:textId="77777777" w:rsidTr="008D6734">
        <w:trPr>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7E987D7A" w14:textId="77777777" w:rsidR="002D45FD" w:rsidRPr="002D45FD" w:rsidRDefault="002D45FD" w:rsidP="00610204">
            <w:pPr>
              <w:pStyle w:val="Tablesmalltext"/>
              <w:keepNext/>
            </w:pPr>
            <w:r w:rsidRPr="002D45FD">
              <w:t>C1 – Good</w:t>
            </w:r>
          </w:p>
        </w:tc>
        <w:tc>
          <w:tcPr>
            <w:tcW w:w="3742" w:type="dxa"/>
          </w:tcPr>
          <w:p w14:paraId="3B12BE7C" w14:textId="15EA4545" w:rsidR="002D45FD" w:rsidRPr="002D45FD" w:rsidRDefault="002D45FD" w:rsidP="00610204">
            <w:pPr>
              <w:pStyle w:val="Tablesmalltext"/>
              <w:keepNext/>
              <w:cnfStyle w:val="000000000000" w:firstRow="0" w:lastRow="0" w:firstColumn="0" w:lastColumn="0" w:oddVBand="0" w:evenVBand="0" w:oddHBand="0" w:evenHBand="0" w:firstRowFirstColumn="0" w:firstRowLastColumn="0" w:lastRowFirstColumn="0" w:lastRowLastColumn="0"/>
            </w:pPr>
            <w:r w:rsidRPr="002D45FD">
              <w:t xml:space="preserve">&gt;75% Canopy Cover, relatively non-stressed when compared to other </w:t>
            </w:r>
            <w:r w:rsidR="00D46DAE">
              <w:t>B</w:t>
            </w:r>
            <w:r w:rsidRPr="002D45FD">
              <w:t xml:space="preserve">lack </w:t>
            </w:r>
            <w:r w:rsidR="00D46DAE">
              <w:t>B</w:t>
            </w:r>
            <w:r w:rsidRPr="002D45FD">
              <w:t>ox</w:t>
            </w:r>
          </w:p>
        </w:tc>
        <w:tc>
          <w:tcPr>
            <w:tcW w:w="0" w:type="auto"/>
          </w:tcPr>
          <w:p w14:paraId="59227CFA" w14:textId="032B11AE" w:rsidR="002D45FD" w:rsidRPr="002D45FD" w:rsidRDefault="002D45FD" w:rsidP="00610204">
            <w:pPr>
              <w:pStyle w:val="Tablesmalltext"/>
              <w:keepNext/>
              <w:cnfStyle w:val="000000000000" w:firstRow="0" w:lastRow="0" w:firstColumn="0" w:lastColumn="0" w:oddVBand="0" w:evenVBand="0" w:oddHBand="0" w:evenHBand="0" w:firstRowFirstColumn="0" w:firstRowLastColumn="0" w:lastRowFirstColumn="0" w:lastRowLastColumn="0"/>
            </w:pPr>
            <w:r w:rsidRPr="002D45FD">
              <w:t xml:space="preserve">No action required, </w:t>
            </w:r>
            <w:r w:rsidR="00D46DAE">
              <w:t>B</w:t>
            </w:r>
            <w:r w:rsidRPr="002D45FD">
              <w:t xml:space="preserve">lack </w:t>
            </w:r>
            <w:r w:rsidR="00D46DAE">
              <w:t>B</w:t>
            </w:r>
            <w:r w:rsidRPr="002D45FD">
              <w:t>ox may be stressed but not in need of immediate attention</w:t>
            </w:r>
          </w:p>
        </w:tc>
      </w:tr>
      <w:tr w:rsidR="002D45FD" w:rsidRPr="002C2F92" w14:paraId="5087190D" w14:textId="77777777" w:rsidTr="008D6734">
        <w:trPr>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6C3F964B" w14:textId="77777777" w:rsidR="002D45FD" w:rsidRPr="002D45FD" w:rsidRDefault="002D45FD" w:rsidP="00610204">
            <w:pPr>
              <w:pStyle w:val="Tablesmalltext"/>
              <w:keepNext/>
            </w:pPr>
            <w:r w:rsidRPr="002D45FD">
              <w:t>C2 – Medium</w:t>
            </w:r>
          </w:p>
        </w:tc>
        <w:tc>
          <w:tcPr>
            <w:tcW w:w="3742" w:type="dxa"/>
          </w:tcPr>
          <w:p w14:paraId="5E75B1EE" w14:textId="77777777" w:rsidR="002D45FD" w:rsidRPr="002D45FD" w:rsidRDefault="002D45FD" w:rsidP="00610204">
            <w:pPr>
              <w:pStyle w:val="Tablesmalltext"/>
              <w:keepNext/>
              <w:cnfStyle w:val="000000000000" w:firstRow="0" w:lastRow="0" w:firstColumn="0" w:lastColumn="0" w:oddVBand="0" w:evenVBand="0" w:oddHBand="0" w:evenHBand="0" w:firstRowFirstColumn="0" w:firstRowLastColumn="0" w:lastRowFirstColumn="0" w:lastRowLastColumn="0"/>
            </w:pPr>
            <w:r w:rsidRPr="002D45FD">
              <w:t>75-40% Canopy Cover, made up of original canopy and/or epicormic growth</w:t>
            </w:r>
          </w:p>
        </w:tc>
        <w:tc>
          <w:tcPr>
            <w:tcW w:w="0" w:type="auto"/>
          </w:tcPr>
          <w:p w14:paraId="6437ECDF" w14:textId="317FD2CB" w:rsidR="002D45FD" w:rsidRPr="002D45FD" w:rsidRDefault="002D45FD" w:rsidP="00610204">
            <w:pPr>
              <w:pStyle w:val="Tablesmalltext"/>
              <w:keepNext/>
              <w:cnfStyle w:val="000000000000" w:firstRow="0" w:lastRow="0" w:firstColumn="0" w:lastColumn="0" w:oddVBand="0" w:evenVBand="0" w:oddHBand="0" w:evenHBand="0" w:firstRowFirstColumn="0" w:firstRowLastColumn="0" w:lastRowFirstColumn="0" w:lastRowLastColumn="0"/>
            </w:pPr>
            <w:r w:rsidRPr="002D45FD">
              <w:t xml:space="preserve">Stressed </w:t>
            </w:r>
            <w:r w:rsidR="00D46DAE">
              <w:t>B</w:t>
            </w:r>
            <w:r w:rsidRPr="002D45FD">
              <w:t xml:space="preserve">lack </w:t>
            </w:r>
            <w:r w:rsidR="00D46DAE">
              <w:t>B</w:t>
            </w:r>
            <w:r w:rsidRPr="002D45FD">
              <w:t>ox - Monitoring recommended to determine condition trajectory (improve or decline), experimental watering to determine response to watering</w:t>
            </w:r>
          </w:p>
        </w:tc>
      </w:tr>
      <w:tr w:rsidR="002D45FD" w:rsidRPr="002C2F92" w14:paraId="051372DD" w14:textId="77777777" w:rsidTr="008D6734">
        <w:trPr>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69D8F318" w14:textId="77777777" w:rsidR="002D45FD" w:rsidRPr="002D45FD" w:rsidRDefault="002D45FD" w:rsidP="00610204">
            <w:pPr>
              <w:pStyle w:val="Tablesmalltext"/>
              <w:keepNext/>
            </w:pPr>
            <w:r w:rsidRPr="002D45FD">
              <w:t>C3 – Poor</w:t>
            </w:r>
          </w:p>
        </w:tc>
        <w:tc>
          <w:tcPr>
            <w:tcW w:w="3742" w:type="dxa"/>
          </w:tcPr>
          <w:p w14:paraId="42F2C4B9" w14:textId="77777777" w:rsidR="002D45FD" w:rsidRPr="002D45FD" w:rsidRDefault="002D45FD" w:rsidP="00610204">
            <w:pPr>
              <w:pStyle w:val="Tablesmalltext"/>
              <w:keepNext/>
              <w:cnfStyle w:val="000000000000" w:firstRow="0" w:lastRow="0" w:firstColumn="0" w:lastColumn="0" w:oddVBand="0" w:evenVBand="0" w:oddHBand="0" w:evenHBand="0" w:firstRowFirstColumn="0" w:firstRowLastColumn="0" w:lastRowFirstColumn="0" w:lastRowLastColumn="0"/>
            </w:pPr>
            <w:r w:rsidRPr="002D45FD">
              <w:t xml:space="preserve">&lt;40% Canopy Cover, made up of original canopy and/or epicormic growth </w:t>
            </w:r>
          </w:p>
        </w:tc>
        <w:tc>
          <w:tcPr>
            <w:tcW w:w="0" w:type="auto"/>
          </w:tcPr>
          <w:p w14:paraId="7671C159" w14:textId="4E150F75" w:rsidR="002D45FD" w:rsidRPr="002D45FD" w:rsidRDefault="002D45FD" w:rsidP="00610204">
            <w:pPr>
              <w:pStyle w:val="Tablesmalltext"/>
              <w:keepNext/>
              <w:cnfStyle w:val="000000000000" w:firstRow="0" w:lastRow="0" w:firstColumn="0" w:lastColumn="0" w:oddVBand="0" w:evenVBand="0" w:oddHBand="0" w:evenHBand="0" w:firstRowFirstColumn="0" w:firstRowLastColumn="0" w:lastRowFirstColumn="0" w:lastRowLastColumn="0"/>
            </w:pPr>
            <w:r w:rsidRPr="002D45FD">
              <w:t xml:space="preserve">Stressed </w:t>
            </w:r>
            <w:r w:rsidR="00D46DAE">
              <w:t>B</w:t>
            </w:r>
            <w:r w:rsidRPr="002D45FD">
              <w:t xml:space="preserve">lack </w:t>
            </w:r>
            <w:r w:rsidR="00D46DAE">
              <w:t>B</w:t>
            </w:r>
            <w:r w:rsidRPr="002D45FD">
              <w:t>ox in poor or critical condition, immediate action recommended</w:t>
            </w:r>
          </w:p>
        </w:tc>
      </w:tr>
      <w:tr w:rsidR="002D45FD" w:rsidRPr="002C2F92" w14:paraId="7142CEA1" w14:textId="77777777" w:rsidTr="008D6734">
        <w:trPr>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562A41C1" w14:textId="77777777" w:rsidR="002D45FD" w:rsidRPr="002D45FD" w:rsidRDefault="002D45FD" w:rsidP="00610204">
            <w:pPr>
              <w:pStyle w:val="Tablesmalltext"/>
              <w:keepNext/>
            </w:pPr>
            <w:r w:rsidRPr="002D45FD">
              <w:t>C4 – Dead</w:t>
            </w:r>
          </w:p>
        </w:tc>
        <w:tc>
          <w:tcPr>
            <w:tcW w:w="3742" w:type="dxa"/>
          </w:tcPr>
          <w:p w14:paraId="2E296F2B" w14:textId="77777777" w:rsidR="002D45FD" w:rsidRPr="002D45FD" w:rsidRDefault="002D45FD" w:rsidP="00610204">
            <w:pPr>
              <w:pStyle w:val="Tablesmalltext"/>
              <w:keepNext/>
              <w:cnfStyle w:val="000000000000" w:firstRow="0" w:lastRow="0" w:firstColumn="0" w:lastColumn="0" w:oddVBand="0" w:evenVBand="0" w:oddHBand="0" w:evenHBand="0" w:firstRowFirstColumn="0" w:firstRowLastColumn="0" w:lastRowFirstColumn="0" w:lastRowLastColumn="0"/>
            </w:pPr>
            <w:r w:rsidRPr="002D45FD">
              <w:t>0% Canopy, tree is dead and will not recover</w:t>
            </w:r>
          </w:p>
        </w:tc>
        <w:tc>
          <w:tcPr>
            <w:tcW w:w="0" w:type="auto"/>
          </w:tcPr>
          <w:p w14:paraId="069A873C" w14:textId="77777777" w:rsidR="002D45FD" w:rsidRPr="002D45FD" w:rsidRDefault="002D45FD" w:rsidP="00610204">
            <w:pPr>
              <w:pStyle w:val="Tablesmalltext"/>
              <w:keepNext/>
              <w:cnfStyle w:val="000000000000" w:firstRow="0" w:lastRow="0" w:firstColumn="0" w:lastColumn="0" w:oddVBand="0" w:evenVBand="0" w:oddHBand="0" w:evenHBand="0" w:firstRowFirstColumn="0" w:firstRowLastColumn="0" w:lastRowFirstColumn="0" w:lastRowLastColumn="0"/>
            </w:pPr>
            <w:r w:rsidRPr="002D45FD">
              <w:t>No watering action required, consider replanting action taking current stressors into consideration</w:t>
            </w:r>
          </w:p>
        </w:tc>
      </w:tr>
    </w:tbl>
    <w:p w14:paraId="2AFDDB6B" w14:textId="77777777" w:rsidR="002D45FD" w:rsidRPr="002C2F92" w:rsidRDefault="002D45FD" w:rsidP="00610204">
      <w:pPr>
        <w:keepNext/>
        <w:spacing w:after="0" w:line="240" w:lineRule="auto"/>
        <w:rPr>
          <w:rFonts w:asciiTheme="minorHAnsi" w:hAnsiTheme="minorHAnsi" w:cstheme="minorHAnsi"/>
          <w:szCs w:val="20"/>
        </w:rPr>
      </w:pPr>
    </w:p>
    <w:p w14:paraId="4D4F3A84" w14:textId="77777777" w:rsidR="002D45FD" w:rsidRPr="002D45FD" w:rsidRDefault="002D45FD" w:rsidP="002D45FD">
      <w:pPr>
        <w:pStyle w:val="NoSpacing"/>
        <w:keepNext/>
        <w:jc w:val="center"/>
        <w:rPr>
          <w:rFonts w:ascii="Arial" w:eastAsiaTheme="minorEastAsia" w:hAnsi="Arial" w:cs="Arial"/>
          <w:sz w:val="20"/>
          <w:szCs w:val="20"/>
          <w:lang w:val="en-GB"/>
        </w:rPr>
      </w:pPr>
      <w:r w:rsidRPr="002D45FD">
        <w:rPr>
          <w:rFonts w:ascii="Arial" w:eastAsiaTheme="minorEastAsia" w:hAnsi="Arial" w:cs="Arial"/>
          <w:sz w:val="20"/>
          <w:szCs w:val="20"/>
          <w:lang w:val="en-GB"/>
        </w:rPr>
        <w:t>C1 – Good                                             C2 - Medium</w:t>
      </w:r>
    </w:p>
    <w:p w14:paraId="7384B523" w14:textId="77777777" w:rsidR="002D45FD" w:rsidRPr="002C2F92" w:rsidRDefault="002D45FD" w:rsidP="002D45FD">
      <w:pPr>
        <w:pStyle w:val="NoSpacing"/>
        <w:keepNext/>
        <w:jc w:val="center"/>
        <w:rPr>
          <w:rFonts w:cstheme="minorHAnsi"/>
          <w:b/>
        </w:rPr>
      </w:pPr>
      <w:r w:rsidRPr="002C2F92">
        <w:rPr>
          <w:rFonts w:cstheme="minorHAnsi"/>
          <w:noProof/>
          <w:lang w:eastAsia="en-AU"/>
        </w:rPr>
        <w:drawing>
          <wp:inline distT="0" distB="0" distL="0" distR="0" wp14:anchorId="3230E912" wp14:editId="196A3042">
            <wp:extent cx="6280150" cy="1896542"/>
            <wp:effectExtent l="0" t="0" r="635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6335926" cy="1913386"/>
                    </a:xfrm>
                    <a:prstGeom prst="rect">
                      <a:avLst/>
                    </a:prstGeom>
                    <a:ln>
                      <a:noFill/>
                    </a:ln>
                    <a:extLst>
                      <a:ext uri="{53640926-AAD7-44D8-BBD7-CCE9431645EC}">
                        <a14:shadowObscured xmlns:a14="http://schemas.microsoft.com/office/drawing/2010/main"/>
                      </a:ext>
                    </a:extLst>
                  </pic:spPr>
                </pic:pic>
              </a:graphicData>
            </a:graphic>
          </wp:inline>
        </w:drawing>
      </w:r>
    </w:p>
    <w:p w14:paraId="45260217" w14:textId="77777777" w:rsidR="002D45FD" w:rsidRPr="002D45FD" w:rsidRDefault="002D45FD" w:rsidP="002D45FD">
      <w:pPr>
        <w:pStyle w:val="NoSpacing"/>
        <w:keepNext/>
        <w:jc w:val="center"/>
        <w:rPr>
          <w:rFonts w:ascii="Arial" w:eastAsiaTheme="minorEastAsia" w:hAnsi="Arial" w:cs="Arial"/>
          <w:sz w:val="20"/>
          <w:szCs w:val="20"/>
          <w:lang w:val="en-GB"/>
        </w:rPr>
      </w:pPr>
      <w:r w:rsidRPr="002D45FD">
        <w:rPr>
          <w:rFonts w:ascii="Arial" w:eastAsiaTheme="minorEastAsia" w:hAnsi="Arial" w:cs="Arial"/>
          <w:sz w:val="20"/>
          <w:szCs w:val="20"/>
          <w:lang w:val="en-GB"/>
        </w:rPr>
        <w:t>C3 – Poor                                             C4 - Dead</w:t>
      </w:r>
    </w:p>
    <w:p w14:paraId="5E2B084A" w14:textId="77777777" w:rsidR="002D45FD" w:rsidRPr="002C2F92" w:rsidRDefault="002D45FD" w:rsidP="002D45FD">
      <w:pPr>
        <w:pStyle w:val="NoSpacing"/>
        <w:keepNext/>
        <w:jc w:val="center"/>
        <w:rPr>
          <w:rFonts w:cstheme="minorHAnsi"/>
          <w:b/>
        </w:rPr>
      </w:pPr>
      <w:r w:rsidRPr="002C2F92">
        <w:rPr>
          <w:rFonts w:cstheme="minorHAnsi"/>
          <w:noProof/>
          <w:lang w:eastAsia="en-AU"/>
        </w:rPr>
        <w:drawing>
          <wp:inline distT="0" distB="0" distL="0" distR="0" wp14:anchorId="19CA09DA" wp14:editId="76E8BAAC">
            <wp:extent cx="6280150" cy="1850579"/>
            <wp:effectExtent l="0" t="0" r="635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6337342" cy="1867432"/>
                    </a:xfrm>
                    <a:prstGeom prst="rect">
                      <a:avLst/>
                    </a:prstGeom>
                    <a:ln>
                      <a:noFill/>
                    </a:ln>
                    <a:extLst>
                      <a:ext uri="{53640926-AAD7-44D8-BBD7-CCE9431645EC}">
                        <a14:shadowObscured xmlns:a14="http://schemas.microsoft.com/office/drawing/2010/main"/>
                      </a:ext>
                    </a:extLst>
                  </pic:spPr>
                </pic:pic>
              </a:graphicData>
            </a:graphic>
          </wp:inline>
        </w:drawing>
      </w:r>
    </w:p>
    <w:p w14:paraId="33E9FA37" w14:textId="3EE4322A" w:rsidR="00520BBE" w:rsidRDefault="002D45FD" w:rsidP="002D45FD">
      <w:pPr>
        <w:pStyle w:val="Caption"/>
      </w:pPr>
      <w:bookmarkStart w:id="65" w:name="_Ref508978916"/>
      <w:bookmarkStart w:id="66" w:name="_Toc514018077"/>
      <w:r>
        <w:t xml:space="preserve">Figure </w:t>
      </w:r>
      <w:r>
        <w:fldChar w:fldCharType="begin"/>
      </w:r>
      <w:r>
        <w:instrText xml:space="preserve"> STYLEREF 1 \s </w:instrText>
      </w:r>
      <w:r>
        <w:fldChar w:fldCharType="separate"/>
      </w:r>
      <w:r w:rsidR="00BF015B">
        <w:rPr>
          <w:noProof/>
        </w:rPr>
        <w:t>3</w:t>
      </w:r>
      <w:r>
        <w:fldChar w:fldCharType="end"/>
      </w:r>
      <w:r>
        <w:noBreakHyphen/>
      </w:r>
      <w:r>
        <w:fldChar w:fldCharType="begin"/>
      </w:r>
      <w:r>
        <w:instrText xml:space="preserve"> SEQ Figure \* ARABIC \s 1 </w:instrText>
      </w:r>
      <w:r>
        <w:fldChar w:fldCharType="separate"/>
      </w:r>
      <w:r w:rsidR="00BF015B">
        <w:rPr>
          <w:noProof/>
        </w:rPr>
        <w:t>5</w:t>
      </w:r>
      <w:r>
        <w:fldChar w:fldCharType="end"/>
      </w:r>
      <w:bookmarkEnd w:id="65"/>
      <w:r>
        <w:t xml:space="preserve">: </w:t>
      </w:r>
      <w:r w:rsidRPr="00DF4A1A">
        <w:t xml:space="preserve">Black Box </w:t>
      </w:r>
      <w:r w:rsidR="00DD2CEB">
        <w:t>c</w:t>
      </w:r>
      <w:r w:rsidRPr="00DF4A1A">
        <w:t xml:space="preserve">ondition </w:t>
      </w:r>
      <w:r w:rsidR="00DD2CEB">
        <w:t>a</w:t>
      </w:r>
      <w:r w:rsidRPr="00DF4A1A">
        <w:t>ssessment. Top left: C1 Good - &gt;75% original canopy; Top right: C2 Medium – 75-40% original canopy and/or strong epicormic growth; Bottom left: C3 Poor - &lt;40% original canopy and/or small amount of epicormic growth; Bottom right: C4 Dead.</w:t>
      </w:r>
      <w:bookmarkEnd w:id="66"/>
    </w:p>
    <w:p w14:paraId="52E5BA48" w14:textId="77777777" w:rsidR="00520BBE" w:rsidRDefault="00520BBE">
      <w:pPr>
        <w:spacing w:after="0" w:line="240" w:lineRule="auto"/>
        <w:rPr>
          <w:rFonts w:ascii="Arial Narrow" w:hAnsi="Arial Narrow"/>
          <w:b/>
        </w:rPr>
      </w:pPr>
      <w:r>
        <w:br w:type="page"/>
      </w:r>
    </w:p>
    <w:p w14:paraId="5E0E41F9" w14:textId="77777777" w:rsidR="00CF2974" w:rsidRDefault="00866CBB" w:rsidP="002D45FD">
      <w:pPr>
        <w:pStyle w:val="Heading3"/>
      </w:pPr>
      <w:r>
        <w:t>The Living Murray Condition Assessment Method</w:t>
      </w:r>
    </w:p>
    <w:p w14:paraId="7352B971" w14:textId="16BE07AE" w:rsidR="00320FE2" w:rsidRPr="00CF2974" w:rsidRDefault="00D46838" w:rsidP="002D45FD">
      <w:pPr>
        <w:pStyle w:val="Para0"/>
        <w:rPr>
          <w:rFonts w:cstheme="majorBidi"/>
        </w:rPr>
      </w:pPr>
      <w:r w:rsidRPr="00CF2974">
        <w:t>The Living Murray (TLM) initiative</w:t>
      </w:r>
      <w:r w:rsidR="009714EF">
        <w:t xml:space="preserve"> condition assessment</w:t>
      </w:r>
      <w:r w:rsidRPr="00CF2974">
        <w:t xml:space="preserve"> method is widely employed across TLM icon sites in the southern basin (Souter </w:t>
      </w:r>
      <w:r w:rsidRPr="00A40029">
        <w:rPr>
          <w:i/>
        </w:rPr>
        <w:t>et al.</w:t>
      </w:r>
      <w:r w:rsidR="00D46DAE">
        <w:t>,</w:t>
      </w:r>
      <w:r w:rsidRPr="00CF2974">
        <w:t xml:space="preserve"> 2010). </w:t>
      </w:r>
      <w:r w:rsidR="00CF2974">
        <w:t>T</w:t>
      </w:r>
      <w:r w:rsidR="00CF2974" w:rsidRPr="00EA2DC6">
        <w:rPr>
          <w:rFonts w:cs="Arial"/>
          <w:color w:val="000000" w:themeColor="text1"/>
        </w:rPr>
        <w:t>he TLM method is a detailed approach, which can be adopted in part or in full to provide indicators tailored to the objectives and targets of a project.</w:t>
      </w:r>
    </w:p>
    <w:p w14:paraId="49B50D74" w14:textId="0F3DF1BF" w:rsidR="00CF2974" w:rsidRPr="002D45FD" w:rsidRDefault="00CF2974" w:rsidP="00CF2974">
      <w:pPr>
        <w:spacing w:before="60" w:after="60" w:line="240" w:lineRule="auto"/>
        <w:rPr>
          <w:rFonts w:cs="Arial"/>
          <w:szCs w:val="20"/>
        </w:rPr>
      </w:pPr>
      <w:r w:rsidRPr="002D45FD">
        <w:rPr>
          <w:rFonts w:cs="Arial"/>
          <w:szCs w:val="20"/>
        </w:rPr>
        <w:t>Direct ecological indicators of Black Box stand condition</w:t>
      </w:r>
      <w:r>
        <w:rPr>
          <w:rFonts w:cs="Arial"/>
          <w:szCs w:val="20"/>
        </w:rPr>
        <w:t xml:space="preserve"> included in the TLM method include</w:t>
      </w:r>
      <w:r w:rsidRPr="002D45FD">
        <w:rPr>
          <w:rFonts w:cs="Arial"/>
          <w:szCs w:val="20"/>
        </w:rPr>
        <w:t>:</w:t>
      </w:r>
    </w:p>
    <w:p w14:paraId="41D20145" w14:textId="77777777" w:rsidR="00CF2974" w:rsidRPr="002D45FD" w:rsidRDefault="00CF2974" w:rsidP="00CF2974">
      <w:pPr>
        <w:pStyle w:val="Para0bullet"/>
        <w:spacing w:before="60" w:after="60" w:line="240" w:lineRule="auto"/>
        <w:ind w:left="850"/>
        <w:rPr>
          <w:rFonts w:cs="Arial"/>
          <w:szCs w:val="20"/>
        </w:rPr>
      </w:pPr>
      <w:r w:rsidRPr="002D45FD">
        <w:rPr>
          <w:rFonts w:cs="Arial"/>
          <w:szCs w:val="20"/>
        </w:rPr>
        <w:t xml:space="preserve">Average crown extent (percentage of the assessable crown in which there are live leaves) </w:t>
      </w:r>
    </w:p>
    <w:p w14:paraId="30877DA6" w14:textId="77777777" w:rsidR="00CF2974" w:rsidRPr="002D45FD" w:rsidRDefault="00CF2974" w:rsidP="00CF2974">
      <w:pPr>
        <w:pStyle w:val="Para0bullet"/>
        <w:spacing w:before="60" w:after="60" w:line="240" w:lineRule="auto"/>
        <w:ind w:left="850"/>
        <w:rPr>
          <w:rFonts w:cs="Arial"/>
          <w:szCs w:val="20"/>
        </w:rPr>
      </w:pPr>
      <w:r w:rsidRPr="002D45FD">
        <w:rPr>
          <w:rFonts w:cs="Arial"/>
          <w:szCs w:val="20"/>
        </w:rPr>
        <w:t>Crown density (amount of skylight blocked by the foliated portions of the crown)</w:t>
      </w:r>
    </w:p>
    <w:p w14:paraId="58EC0B04" w14:textId="77777777" w:rsidR="00CF2974" w:rsidRPr="002D45FD" w:rsidRDefault="00CF2974" w:rsidP="00CF2974">
      <w:pPr>
        <w:pStyle w:val="Para0bullet"/>
        <w:spacing w:before="60" w:after="60" w:line="240" w:lineRule="auto"/>
        <w:ind w:left="850"/>
        <w:rPr>
          <w:rFonts w:cs="Arial"/>
          <w:szCs w:val="20"/>
        </w:rPr>
      </w:pPr>
      <w:r w:rsidRPr="002D45FD">
        <w:rPr>
          <w:rFonts w:cs="Arial"/>
          <w:szCs w:val="20"/>
        </w:rPr>
        <w:t xml:space="preserve">Diversity and distribution of age class (i.e. seedlings through to senescent trees). </w:t>
      </w:r>
    </w:p>
    <w:p w14:paraId="726F7DC1" w14:textId="77777777" w:rsidR="00CF2974" w:rsidRPr="002D45FD" w:rsidRDefault="00CF2974" w:rsidP="00F22225">
      <w:pPr>
        <w:numPr>
          <w:ilvl w:val="0"/>
          <w:numId w:val="33"/>
        </w:numPr>
        <w:spacing w:before="60" w:after="60" w:line="240" w:lineRule="auto"/>
        <w:rPr>
          <w:rFonts w:cs="Arial"/>
          <w:szCs w:val="20"/>
        </w:rPr>
      </w:pPr>
      <w:r w:rsidRPr="002D45FD">
        <w:rPr>
          <w:rFonts w:cs="Arial"/>
          <w:szCs w:val="20"/>
        </w:rPr>
        <w:t xml:space="preserve">Ratio of live to dead Black Box on site </w:t>
      </w:r>
    </w:p>
    <w:p w14:paraId="3A384522" w14:textId="77777777" w:rsidR="00CF2974" w:rsidRPr="002D45FD" w:rsidRDefault="00CF2974" w:rsidP="00F22225">
      <w:pPr>
        <w:numPr>
          <w:ilvl w:val="0"/>
          <w:numId w:val="33"/>
        </w:numPr>
        <w:spacing w:before="60" w:after="60" w:line="240" w:lineRule="auto"/>
        <w:rPr>
          <w:rFonts w:cs="Arial"/>
          <w:szCs w:val="20"/>
        </w:rPr>
      </w:pPr>
      <w:r w:rsidRPr="002D45FD">
        <w:rPr>
          <w:rFonts w:cs="Arial"/>
          <w:szCs w:val="20"/>
        </w:rPr>
        <w:t>Distribution of Diameter at Breast Height (DBH)</w:t>
      </w:r>
    </w:p>
    <w:p w14:paraId="1BC0F21C" w14:textId="77777777" w:rsidR="00CF2974" w:rsidRPr="002D45FD" w:rsidRDefault="00CF2974" w:rsidP="00F22225">
      <w:pPr>
        <w:numPr>
          <w:ilvl w:val="0"/>
          <w:numId w:val="33"/>
        </w:numPr>
        <w:spacing w:before="60" w:after="60" w:line="240" w:lineRule="auto"/>
        <w:rPr>
          <w:rFonts w:cs="Arial"/>
          <w:szCs w:val="20"/>
        </w:rPr>
      </w:pPr>
      <w:r w:rsidRPr="002D45FD">
        <w:rPr>
          <w:rFonts w:cs="Arial"/>
          <w:szCs w:val="20"/>
        </w:rPr>
        <w:t>Seedling counts</w:t>
      </w:r>
    </w:p>
    <w:p w14:paraId="5414DDF5" w14:textId="77777777" w:rsidR="00CF2974" w:rsidRPr="002D45FD" w:rsidRDefault="00CF2974" w:rsidP="00CF2974">
      <w:pPr>
        <w:pStyle w:val="Para0bullet"/>
        <w:spacing w:before="60" w:after="60" w:line="240" w:lineRule="auto"/>
        <w:ind w:left="850"/>
        <w:rPr>
          <w:rFonts w:cs="Arial"/>
          <w:szCs w:val="20"/>
        </w:rPr>
      </w:pPr>
      <w:r w:rsidRPr="002D45FD">
        <w:rPr>
          <w:rFonts w:cs="Arial"/>
          <w:szCs w:val="20"/>
        </w:rPr>
        <w:t>Leaf condition:</w:t>
      </w:r>
    </w:p>
    <w:p w14:paraId="3F93EC47" w14:textId="77777777" w:rsidR="00CF2974" w:rsidRPr="002D45FD" w:rsidRDefault="00CF2974" w:rsidP="00F22225">
      <w:pPr>
        <w:numPr>
          <w:ilvl w:val="0"/>
          <w:numId w:val="34"/>
        </w:numPr>
        <w:spacing w:before="60" w:after="60" w:line="240" w:lineRule="auto"/>
        <w:rPr>
          <w:rFonts w:cs="Arial"/>
          <w:szCs w:val="20"/>
        </w:rPr>
      </w:pPr>
      <w:r w:rsidRPr="002D45FD">
        <w:rPr>
          <w:rFonts w:cs="Arial"/>
          <w:szCs w:val="20"/>
        </w:rPr>
        <w:t>New tip growth</w:t>
      </w:r>
    </w:p>
    <w:p w14:paraId="28DC2554" w14:textId="77777777" w:rsidR="00CF2974" w:rsidRPr="002D45FD" w:rsidRDefault="00CF2974" w:rsidP="00F22225">
      <w:pPr>
        <w:numPr>
          <w:ilvl w:val="0"/>
          <w:numId w:val="34"/>
        </w:numPr>
        <w:spacing w:before="60" w:after="60" w:line="240" w:lineRule="auto"/>
        <w:rPr>
          <w:rFonts w:cs="Arial"/>
          <w:szCs w:val="20"/>
        </w:rPr>
      </w:pPr>
      <w:r w:rsidRPr="002D45FD">
        <w:rPr>
          <w:rFonts w:cs="Arial"/>
          <w:szCs w:val="20"/>
        </w:rPr>
        <w:t xml:space="preserve">Leaf-die off </w:t>
      </w:r>
    </w:p>
    <w:p w14:paraId="2090D093" w14:textId="77777777" w:rsidR="00CF2974" w:rsidRPr="002D45FD" w:rsidRDefault="00CF2974" w:rsidP="00F22225">
      <w:pPr>
        <w:numPr>
          <w:ilvl w:val="0"/>
          <w:numId w:val="34"/>
        </w:numPr>
        <w:spacing w:before="60" w:after="60" w:line="240" w:lineRule="auto"/>
        <w:rPr>
          <w:rFonts w:cs="Arial"/>
          <w:szCs w:val="20"/>
        </w:rPr>
      </w:pPr>
      <w:r w:rsidRPr="002D45FD">
        <w:rPr>
          <w:rFonts w:cs="Arial"/>
          <w:szCs w:val="20"/>
        </w:rPr>
        <w:t>Dominance of epicormic growth</w:t>
      </w:r>
    </w:p>
    <w:p w14:paraId="6E9E4EB2" w14:textId="77777777" w:rsidR="00CF2974" w:rsidRPr="002D45FD" w:rsidRDefault="00CF2974" w:rsidP="00CF2974">
      <w:pPr>
        <w:pStyle w:val="Para0bullet"/>
        <w:spacing w:before="60" w:after="60" w:line="240" w:lineRule="auto"/>
        <w:ind w:left="850"/>
        <w:rPr>
          <w:rFonts w:cs="Arial"/>
          <w:szCs w:val="20"/>
        </w:rPr>
      </w:pPr>
      <w:r w:rsidRPr="002D45FD">
        <w:rPr>
          <w:rFonts w:cs="Arial"/>
          <w:szCs w:val="20"/>
        </w:rPr>
        <w:t>Mistletoe dominance</w:t>
      </w:r>
    </w:p>
    <w:p w14:paraId="4A3E04D0" w14:textId="77777777" w:rsidR="00CF2974" w:rsidRPr="002D45FD" w:rsidRDefault="00CF2974" w:rsidP="00CF2974">
      <w:pPr>
        <w:pStyle w:val="Para0bullet"/>
        <w:spacing w:before="60" w:after="60" w:line="240" w:lineRule="auto"/>
        <w:ind w:left="850"/>
        <w:rPr>
          <w:rFonts w:cs="Arial"/>
          <w:szCs w:val="20"/>
        </w:rPr>
      </w:pPr>
      <w:r w:rsidRPr="002D45FD">
        <w:rPr>
          <w:rFonts w:cs="Arial"/>
          <w:szCs w:val="20"/>
        </w:rPr>
        <w:t>Insect damage (leaf and bark / trunk)</w:t>
      </w:r>
    </w:p>
    <w:p w14:paraId="484B8D08" w14:textId="66C370D5" w:rsidR="00CF2974" w:rsidRDefault="00CF2974" w:rsidP="00CF2974">
      <w:pPr>
        <w:pStyle w:val="Para0bullet"/>
        <w:spacing w:before="60" w:after="60" w:line="240" w:lineRule="auto"/>
        <w:ind w:left="850"/>
        <w:rPr>
          <w:rFonts w:cs="Arial"/>
          <w:szCs w:val="20"/>
        </w:rPr>
      </w:pPr>
      <w:r w:rsidRPr="002D45FD">
        <w:rPr>
          <w:rFonts w:cs="Arial"/>
          <w:szCs w:val="20"/>
        </w:rPr>
        <w:t>Live Basal Area % for trees</w:t>
      </w:r>
      <w:r w:rsidR="005A5D37">
        <w:rPr>
          <w:rFonts w:cs="Arial"/>
          <w:szCs w:val="20"/>
        </w:rPr>
        <w:t>.</w:t>
      </w:r>
      <w:r w:rsidRPr="002D45FD">
        <w:rPr>
          <w:rFonts w:cs="Arial"/>
          <w:szCs w:val="20"/>
        </w:rPr>
        <w:t xml:space="preserve"> </w:t>
      </w:r>
    </w:p>
    <w:p w14:paraId="252C966C" w14:textId="77777777" w:rsidR="00CF2974" w:rsidRDefault="00CF2974" w:rsidP="002D45FD">
      <w:pPr>
        <w:pStyle w:val="Para0bullet"/>
        <w:numPr>
          <w:ilvl w:val="0"/>
          <w:numId w:val="0"/>
        </w:numPr>
        <w:spacing w:before="60" w:after="60" w:line="240" w:lineRule="auto"/>
        <w:ind w:left="850"/>
        <w:rPr>
          <w:rFonts w:cs="Arial"/>
          <w:szCs w:val="20"/>
        </w:rPr>
      </w:pPr>
    </w:p>
    <w:p w14:paraId="34B9C8BB" w14:textId="6F6D6ECA" w:rsidR="00CF2974" w:rsidRPr="002D45FD" w:rsidRDefault="00CF2974" w:rsidP="002D45FD">
      <w:pPr>
        <w:pStyle w:val="Para0bullet"/>
        <w:numPr>
          <w:ilvl w:val="0"/>
          <w:numId w:val="0"/>
        </w:numPr>
        <w:spacing w:before="60" w:after="60" w:line="240" w:lineRule="auto"/>
        <w:rPr>
          <w:rFonts w:cs="Arial"/>
          <w:b/>
          <w:szCs w:val="20"/>
        </w:rPr>
      </w:pPr>
      <w:r>
        <w:rPr>
          <w:rFonts w:cs="Arial"/>
          <w:szCs w:val="20"/>
        </w:rPr>
        <w:t xml:space="preserve">Determining the condition score using the TLM assessment requires a specific method of calculation </w:t>
      </w:r>
      <w:r w:rsidRPr="0035021A">
        <w:rPr>
          <w:rFonts w:cs="Arial"/>
          <w:szCs w:val="20"/>
        </w:rPr>
        <w:t>(</w:t>
      </w:r>
      <w:r w:rsidRPr="006E42E5">
        <w:rPr>
          <w:rFonts w:cs="Arial"/>
          <w:szCs w:val="20"/>
        </w:rPr>
        <w:t xml:space="preserve">Souter </w:t>
      </w:r>
      <w:r w:rsidRPr="00192E59">
        <w:rPr>
          <w:rFonts w:cs="Arial"/>
          <w:i/>
          <w:szCs w:val="20"/>
        </w:rPr>
        <w:t>et al</w:t>
      </w:r>
      <w:r w:rsidRPr="0035021A">
        <w:rPr>
          <w:rFonts w:cs="Arial"/>
          <w:i/>
          <w:szCs w:val="20"/>
        </w:rPr>
        <w:t>.</w:t>
      </w:r>
      <w:r w:rsidR="00D46DAE">
        <w:rPr>
          <w:rFonts w:cs="Arial"/>
          <w:i/>
          <w:szCs w:val="20"/>
        </w:rPr>
        <w:t>,</w:t>
      </w:r>
      <w:r w:rsidRPr="006E42E5">
        <w:rPr>
          <w:rFonts w:cs="Arial"/>
          <w:szCs w:val="20"/>
        </w:rPr>
        <w:t xml:space="preserve"> 2010),</w:t>
      </w:r>
      <w:r>
        <w:rPr>
          <w:rFonts w:cs="Arial"/>
          <w:szCs w:val="20"/>
        </w:rPr>
        <w:t xml:space="preserve"> which has been reinterpreted, processed and presented in different ways across the scientific literature. Key sources to review include Backstrom </w:t>
      </w:r>
      <w:r w:rsidRPr="00192E59">
        <w:rPr>
          <w:rFonts w:cs="Arial"/>
          <w:i/>
          <w:szCs w:val="20"/>
        </w:rPr>
        <w:t>et</w:t>
      </w:r>
      <w:r>
        <w:rPr>
          <w:rFonts w:cs="Arial"/>
          <w:i/>
          <w:szCs w:val="20"/>
        </w:rPr>
        <w:t> </w:t>
      </w:r>
      <w:r w:rsidRPr="00192E59">
        <w:rPr>
          <w:rFonts w:cs="Arial"/>
          <w:i/>
          <w:szCs w:val="20"/>
        </w:rPr>
        <w:t>al.</w:t>
      </w:r>
      <w:r>
        <w:rPr>
          <w:rFonts w:cs="Arial"/>
          <w:i/>
          <w:szCs w:val="20"/>
        </w:rPr>
        <w:t xml:space="preserve"> </w:t>
      </w:r>
      <w:r>
        <w:rPr>
          <w:rFonts w:cs="Arial"/>
          <w:szCs w:val="20"/>
        </w:rPr>
        <w:t xml:space="preserve">(2010), Gehrig and Frahn (2015), Henderson </w:t>
      </w:r>
      <w:r w:rsidRPr="00192E59">
        <w:rPr>
          <w:rFonts w:cs="Arial"/>
          <w:i/>
          <w:szCs w:val="20"/>
        </w:rPr>
        <w:t>et al.</w:t>
      </w:r>
      <w:r>
        <w:rPr>
          <w:rFonts w:cs="Arial"/>
          <w:szCs w:val="20"/>
        </w:rPr>
        <w:t xml:space="preserve"> (2013), Bogenhuber </w:t>
      </w:r>
      <w:r w:rsidRPr="00192E59">
        <w:rPr>
          <w:rFonts w:cs="Arial"/>
          <w:i/>
          <w:szCs w:val="20"/>
        </w:rPr>
        <w:t>et al</w:t>
      </w:r>
      <w:r>
        <w:rPr>
          <w:rFonts w:cs="Arial"/>
          <w:szCs w:val="20"/>
        </w:rPr>
        <w:t xml:space="preserve">. (2014), and Wallace (2015).  </w:t>
      </w:r>
    </w:p>
    <w:p w14:paraId="1535997A" w14:textId="2B550B06" w:rsidR="00D46838" w:rsidRPr="006D4EE1" w:rsidRDefault="00D46838" w:rsidP="002D45FD">
      <w:pPr>
        <w:pStyle w:val="Para0"/>
      </w:pPr>
      <w:r w:rsidRPr="00AE1F00">
        <w:fldChar w:fldCharType="begin"/>
      </w:r>
      <w:r w:rsidRPr="00AE1F00">
        <w:instrText xml:space="preserve"> REF _Ref462662359 \h  \* MERGEFORMAT </w:instrText>
      </w:r>
      <w:r w:rsidRPr="00AE1F00">
        <w:fldChar w:fldCharType="separate"/>
      </w:r>
      <w:r w:rsidR="00BF015B" w:rsidRPr="00CF2974">
        <w:t xml:space="preserve">Table </w:t>
      </w:r>
      <w:r w:rsidR="00BF015B">
        <w:t>3</w:t>
      </w:r>
      <w:r w:rsidR="00BF015B" w:rsidRPr="00CF2974">
        <w:t>.</w:t>
      </w:r>
      <w:r w:rsidR="00BF015B">
        <w:t>3</w:t>
      </w:r>
      <w:r w:rsidRPr="00AE1F00">
        <w:fldChar w:fldCharType="end"/>
      </w:r>
      <w:r w:rsidRPr="006D4EE1">
        <w:t xml:space="preserve"> provides a summary of the TLM Black Box crown condition </w:t>
      </w:r>
      <w:r>
        <w:t xml:space="preserve">ratings and </w:t>
      </w:r>
      <w:r w:rsidRPr="006D4EE1">
        <w:t xml:space="preserve">scores </w:t>
      </w:r>
      <w:r>
        <w:t>plus</w:t>
      </w:r>
      <w:r w:rsidRPr="006D4EE1">
        <w:t xml:space="preserve"> </w:t>
      </w:r>
      <w:r>
        <w:t xml:space="preserve">a description of the </w:t>
      </w:r>
      <w:r w:rsidRPr="006D4EE1">
        <w:t xml:space="preserve">corresponding </w:t>
      </w:r>
      <w:r>
        <w:t xml:space="preserve">condition of the </w:t>
      </w:r>
      <w:r w:rsidRPr="006D4EE1">
        <w:t>trees.</w:t>
      </w:r>
    </w:p>
    <w:p w14:paraId="444DA95F" w14:textId="75050290" w:rsidR="00D46838" w:rsidRPr="00CF2974" w:rsidRDefault="00D46838" w:rsidP="00D46838">
      <w:pPr>
        <w:pStyle w:val="Caption"/>
      </w:pPr>
      <w:bookmarkStart w:id="67" w:name="_Ref462662359"/>
      <w:bookmarkStart w:id="68" w:name="_Toc464486027"/>
      <w:bookmarkStart w:id="69" w:name="_Toc476682892"/>
      <w:bookmarkStart w:id="70" w:name="_Toc514068770"/>
      <w:r w:rsidRPr="00CF2974">
        <w:t xml:space="preserve">Table </w:t>
      </w:r>
      <w:r w:rsidRPr="00CF2974">
        <w:fldChar w:fldCharType="begin"/>
      </w:r>
      <w:r w:rsidRPr="002D45FD">
        <w:instrText xml:space="preserve"> STYLEREF 1 \s </w:instrText>
      </w:r>
      <w:r w:rsidRPr="00CF2974">
        <w:fldChar w:fldCharType="separate"/>
      </w:r>
      <w:r w:rsidR="00BF015B">
        <w:rPr>
          <w:noProof/>
        </w:rPr>
        <w:t>3</w:t>
      </w:r>
      <w:r w:rsidRPr="00CF2974">
        <w:fldChar w:fldCharType="end"/>
      </w:r>
      <w:r w:rsidRPr="00CF2974">
        <w:t>.</w:t>
      </w:r>
      <w:r w:rsidRPr="00CF2974">
        <w:fldChar w:fldCharType="begin"/>
      </w:r>
      <w:r w:rsidRPr="002D45FD">
        <w:instrText xml:space="preserve"> SEQ Table \* ARABIC \s 1 </w:instrText>
      </w:r>
      <w:r w:rsidRPr="00CF2974">
        <w:fldChar w:fldCharType="separate"/>
      </w:r>
      <w:r w:rsidR="00BF015B">
        <w:rPr>
          <w:noProof/>
        </w:rPr>
        <w:t>3</w:t>
      </w:r>
      <w:r w:rsidRPr="00CF2974">
        <w:fldChar w:fldCharType="end"/>
      </w:r>
      <w:bookmarkEnd w:id="67"/>
      <w:r w:rsidRPr="00CF2974">
        <w:t xml:space="preserve">: Black Box condition, crown condition scores and ecological state (Overton </w:t>
      </w:r>
      <w:r w:rsidRPr="00A40029">
        <w:rPr>
          <w:i/>
        </w:rPr>
        <w:t>et al.</w:t>
      </w:r>
      <w:r w:rsidR="003F2755">
        <w:t>,</w:t>
      </w:r>
      <w:r w:rsidRPr="00CF2974">
        <w:t xml:space="preserve"> 2014, with TLM scores applied).</w:t>
      </w:r>
      <w:bookmarkEnd w:id="68"/>
      <w:bookmarkEnd w:id="69"/>
      <w:bookmarkEnd w:id="70"/>
    </w:p>
    <w:tbl>
      <w:tblPr>
        <w:tblStyle w:val="TableGrid"/>
        <w:tblW w:w="5032" w:type="pct"/>
        <w:tblInd w:w="-1"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059"/>
        <w:gridCol w:w="1672"/>
        <w:gridCol w:w="7243"/>
      </w:tblGrid>
      <w:tr w:rsidR="00D46838" w:rsidRPr="00F87434" w14:paraId="36806A26" w14:textId="77777777" w:rsidTr="008D6734">
        <w:trPr>
          <w:tblHeader/>
        </w:trPr>
        <w:tc>
          <w:tcPr>
            <w:tcW w:w="531" w:type="pct"/>
            <w:tcBorders>
              <w:right w:val="single" w:sz="4" w:space="0" w:color="FFFFFF" w:themeColor="background1"/>
            </w:tcBorders>
            <w:shd w:val="clear" w:color="auto" w:fill="65876D" w:themeFill="accent4" w:themeFillShade="BF"/>
          </w:tcPr>
          <w:p w14:paraId="7267895C" w14:textId="77777777" w:rsidR="00D46838" w:rsidRPr="00F87434" w:rsidRDefault="00D46838" w:rsidP="008D6734">
            <w:pPr>
              <w:pStyle w:val="Tableheading"/>
              <w:rPr>
                <w:color w:val="FFFFFF" w:themeColor="background1"/>
              </w:rPr>
            </w:pPr>
            <w:r w:rsidRPr="00F87434">
              <w:rPr>
                <w:color w:val="FFFFFF" w:themeColor="background1"/>
              </w:rPr>
              <w:t>Condition</w:t>
            </w:r>
          </w:p>
        </w:tc>
        <w:tc>
          <w:tcPr>
            <w:tcW w:w="838" w:type="pct"/>
            <w:tcBorders>
              <w:left w:val="single" w:sz="4" w:space="0" w:color="FFFFFF" w:themeColor="background1"/>
              <w:right w:val="single" w:sz="4" w:space="0" w:color="FFFFFF" w:themeColor="background1"/>
            </w:tcBorders>
            <w:shd w:val="clear" w:color="auto" w:fill="65876D" w:themeFill="accent4" w:themeFillShade="BF"/>
          </w:tcPr>
          <w:p w14:paraId="090D8530" w14:textId="77777777" w:rsidR="00D46838" w:rsidRPr="00F87434" w:rsidRDefault="00D46838" w:rsidP="008D6734">
            <w:pPr>
              <w:pStyle w:val="Tableheading"/>
              <w:jc w:val="center"/>
              <w:rPr>
                <w:color w:val="FFFFFF" w:themeColor="background1"/>
              </w:rPr>
            </w:pPr>
            <w:r>
              <w:rPr>
                <w:color w:val="FFFFFF" w:themeColor="background1"/>
              </w:rPr>
              <w:t>TLM crown condition score</w:t>
            </w:r>
          </w:p>
        </w:tc>
        <w:tc>
          <w:tcPr>
            <w:tcW w:w="3631" w:type="pct"/>
            <w:tcBorders>
              <w:left w:val="single" w:sz="4" w:space="0" w:color="FFFFFF" w:themeColor="background1"/>
              <w:right w:val="single" w:sz="4" w:space="0" w:color="FFFFFF" w:themeColor="background1"/>
            </w:tcBorders>
            <w:shd w:val="clear" w:color="auto" w:fill="65876D" w:themeFill="accent4" w:themeFillShade="BF"/>
          </w:tcPr>
          <w:p w14:paraId="66BB322A" w14:textId="77777777" w:rsidR="00D46838" w:rsidRPr="00F87434" w:rsidRDefault="00D46838" w:rsidP="008D6734">
            <w:pPr>
              <w:pStyle w:val="Tableheading"/>
              <w:jc w:val="center"/>
              <w:rPr>
                <w:color w:val="FFFFFF" w:themeColor="background1"/>
              </w:rPr>
            </w:pPr>
            <w:r w:rsidRPr="00F87434">
              <w:rPr>
                <w:color w:val="FFFFFF" w:themeColor="background1"/>
              </w:rPr>
              <w:t>Definition of Condition (Ecological State)</w:t>
            </w:r>
          </w:p>
        </w:tc>
      </w:tr>
      <w:tr w:rsidR="00D46838" w:rsidRPr="00F87434" w14:paraId="5F5D650E" w14:textId="77777777" w:rsidTr="008D6734">
        <w:tc>
          <w:tcPr>
            <w:tcW w:w="531" w:type="pct"/>
          </w:tcPr>
          <w:p w14:paraId="7774F510" w14:textId="77777777" w:rsidR="00D46838" w:rsidRPr="00F87434" w:rsidRDefault="00D46838" w:rsidP="008D6734">
            <w:pPr>
              <w:pStyle w:val="Tablesmalltext"/>
            </w:pPr>
            <w:r w:rsidRPr="00F87434">
              <w:t>Good</w:t>
            </w:r>
          </w:p>
        </w:tc>
        <w:tc>
          <w:tcPr>
            <w:tcW w:w="838" w:type="pct"/>
          </w:tcPr>
          <w:p w14:paraId="5CEA6F08" w14:textId="77777777" w:rsidR="00D46838" w:rsidRPr="009807B4" w:rsidRDefault="00D46838" w:rsidP="008D6734">
            <w:pPr>
              <w:pStyle w:val="Tablesmalltext"/>
              <w:jc w:val="center"/>
            </w:pPr>
            <w:r w:rsidRPr="009807B4">
              <w:t>70-100</w:t>
            </w:r>
          </w:p>
        </w:tc>
        <w:tc>
          <w:tcPr>
            <w:tcW w:w="3631" w:type="pct"/>
          </w:tcPr>
          <w:p w14:paraId="28B26870" w14:textId="77777777" w:rsidR="00D46838" w:rsidRPr="008D16D5" w:rsidRDefault="00D46838" w:rsidP="008D6734">
            <w:pPr>
              <w:pStyle w:val="Tablesmalltext"/>
            </w:pPr>
            <w:r w:rsidRPr="00F87434">
              <w:t>Appearance is vigorous</w:t>
            </w:r>
            <w:r>
              <w:t xml:space="preserve"> and </w:t>
            </w:r>
            <w:r w:rsidRPr="00F87434">
              <w:t>healthy. Crown shape is defined by major branches and few if any of these are dead. Little t</w:t>
            </w:r>
            <w:r>
              <w:t xml:space="preserve">o no epicormic growth evident. </w:t>
            </w:r>
          </w:p>
        </w:tc>
      </w:tr>
      <w:tr w:rsidR="00D46838" w:rsidRPr="00F87434" w14:paraId="69F72DF9" w14:textId="77777777" w:rsidTr="008D6734">
        <w:tc>
          <w:tcPr>
            <w:tcW w:w="531" w:type="pct"/>
          </w:tcPr>
          <w:p w14:paraId="1CFAB828" w14:textId="77777777" w:rsidR="00D46838" w:rsidRPr="00F87434" w:rsidRDefault="00D46838" w:rsidP="008D6734">
            <w:pPr>
              <w:pStyle w:val="Tablesmalltext"/>
            </w:pPr>
            <w:r w:rsidRPr="00F87434">
              <w:t>Medium</w:t>
            </w:r>
          </w:p>
        </w:tc>
        <w:tc>
          <w:tcPr>
            <w:tcW w:w="838" w:type="pct"/>
          </w:tcPr>
          <w:p w14:paraId="5977A9DA" w14:textId="77777777" w:rsidR="00D46838" w:rsidRPr="009807B4" w:rsidRDefault="00D46838" w:rsidP="008D6734">
            <w:pPr>
              <w:pStyle w:val="Tablesmalltext"/>
              <w:jc w:val="center"/>
            </w:pPr>
            <w:r w:rsidRPr="009807B4">
              <w:t>40-70</w:t>
            </w:r>
          </w:p>
        </w:tc>
        <w:tc>
          <w:tcPr>
            <w:tcW w:w="3631" w:type="pct"/>
          </w:tcPr>
          <w:p w14:paraId="5EBBE96F" w14:textId="77777777" w:rsidR="00D46838" w:rsidRPr="008D16D5" w:rsidRDefault="00D46838" w:rsidP="008D6734">
            <w:pPr>
              <w:pStyle w:val="Tablesmalltext"/>
            </w:pPr>
            <w:r w:rsidRPr="00F87434">
              <w:t>Appearance is moderate but not vigorous. Canopy extent and crown shape are as for Good, but branches much more evident because foliage density is les</w:t>
            </w:r>
            <w:r>
              <w:t>s, now being medium to sparse.</w:t>
            </w:r>
          </w:p>
        </w:tc>
      </w:tr>
      <w:tr w:rsidR="00D46838" w:rsidRPr="00F87434" w14:paraId="291E2416" w14:textId="77777777" w:rsidTr="008D6734">
        <w:tc>
          <w:tcPr>
            <w:tcW w:w="531" w:type="pct"/>
          </w:tcPr>
          <w:p w14:paraId="4AABA3D1" w14:textId="77777777" w:rsidR="00D46838" w:rsidRPr="00F87434" w:rsidRDefault="00D46838" w:rsidP="008D6734">
            <w:pPr>
              <w:pStyle w:val="Tablesmalltext"/>
            </w:pPr>
            <w:r w:rsidRPr="00F87434">
              <w:t>Poor</w:t>
            </w:r>
          </w:p>
        </w:tc>
        <w:tc>
          <w:tcPr>
            <w:tcW w:w="838" w:type="pct"/>
          </w:tcPr>
          <w:p w14:paraId="35B85428" w14:textId="77777777" w:rsidR="00D46838" w:rsidRPr="009807B4" w:rsidRDefault="00D46838" w:rsidP="008D6734">
            <w:pPr>
              <w:pStyle w:val="Tablesmalltext"/>
              <w:jc w:val="center"/>
            </w:pPr>
            <w:r w:rsidRPr="009807B4">
              <w:t>20-40</w:t>
            </w:r>
          </w:p>
        </w:tc>
        <w:tc>
          <w:tcPr>
            <w:tcW w:w="3631" w:type="pct"/>
          </w:tcPr>
          <w:p w14:paraId="7B814417" w14:textId="77777777" w:rsidR="00D46838" w:rsidRPr="00E9067C" w:rsidRDefault="00D46838" w:rsidP="008D6734">
            <w:pPr>
              <w:pStyle w:val="Tablesmalltext"/>
            </w:pPr>
            <w:r w:rsidRPr="00F87434">
              <w:t>Appearance is not healthy. Crown shape may be same or less than Medium but more likely a few branches are dead or even l</w:t>
            </w:r>
            <w:r>
              <w:t xml:space="preserve">ost (shed). Foliage is sparse. </w:t>
            </w:r>
          </w:p>
        </w:tc>
      </w:tr>
      <w:tr w:rsidR="00D46838" w:rsidRPr="00F87434" w14:paraId="00B22FAD" w14:textId="77777777" w:rsidTr="008D6734">
        <w:tc>
          <w:tcPr>
            <w:tcW w:w="531" w:type="pct"/>
          </w:tcPr>
          <w:p w14:paraId="045B320B" w14:textId="77777777" w:rsidR="00D46838" w:rsidRPr="00F87434" w:rsidRDefault="00D46838" w:rsidP="008D6734">
            <w:pPr>
              <w:pStyle w:val="Tablesmalltext"/>
            </w:pPr>
            <w:r w:rsidRPr="00F87434">
              <w:t>Critical</w:t>
            </w:r>
          </w:p>
        </w:tc>
        <w:tc>
          <w:tcPr>
            <w:tcW w:w="838" w:type="pct"/>
          </w:tcPr>
          <w:p w14:paraId="399B7F80" w14:textId="77777777" w:rsidR="00D46838" w:rsidRPr="009807B4" w:rsidRDefault="00D46838" w:rsidP="008D6734">
            <w:pPr>
              <w:pStyle w:val="Tablesmalltext"/>
              <w:jc w:val="center"/>
            </w:pPr>
            <w:r w:rsidRPr="009807B4">
              <w:t>0-20</w:t>
            </w:r>
          </w:p>
        </w:tc>
        <w:tc>
          <w:tcPr>
            <w:tcW w:w="3631" w:type="pct"/>
          </w:tcPr>
          <w:p w14:paraId="1D77317C" w14:textId="77777777" w:rsidR="00D46838" w:rsidRPr="00E9067C" w:rsidRDefault="00D46838" w:rsidP="008D6734">
            <w:pPr>
              <w:pStyle w:val="Tablesmalltext"/>
            </w:pPr>
            <w:r w:rsidRPr="00F87434">
              <w:t>Appearance is not healthy and not vigorous. Tree appears leafless or nearly so, or may have small tufts of epicormic growth, live or dead. Canopy Extent may be still as for Medium but more likely is reduced due to lo</w:t>
            </w:r>
            <w:r>
              <w:t xml:space="preserve">ss of dead twigs and branches. </w:t>
            </w:r>
          </w:p>
        </w:tc>
      </w:tr>
    </w:tbl>
    <w:p w14:paraId="54BCFBCB" w14:textId="4705521F" w:rsidR="00866CBB" w:rsidRPr="00866CBB" w:rsidRDefault="00866CBB" w:rsidP="00866CBB">
      <w:pPr>
        <w:pStyle w:val="Para0"/>
      </w:pPr>
      <w:r w:rsidRPr="005C2C5A">
        <w:t xml:space="preserve">Refer </w:t>
      </w:r>
      <w:r w:rsidRPr="00E230DF">
        <w:rPr>
          <w:highlight w:val="yellow"/>
        </w:rPr>
        <w:fldChar w:fldCharType="begin"/>
      </w:r>
      <w:r w:rsidRPr="00E230DF">
        <w:instrText xml:space="preserve"> REF _Ref506214160 \r \h </w:instrText>
      </w:r>
      <w:r w:rsidRPr="00E230DF">
        <w:rPr>
          <w:highlight w:val="yellow"/>
        </w:rPr>
        <w:instrText xml:space="preserve"> \* MERGEFORMAT </w:instrText>
      </w:r>
      <w:r w:rsidRPr="00E230DF">
        <w:rPr>
          <w:highlight w:val="yellow"/>
        </w:rPr>
      </w:r>
      <w:r w:rsidRPr="00E230DF">
        <w:rPr>
          <w:highlight w:val="yellow"/>
        </w:rPr>
        <w:fldChar w:fldCharType="separate"/>
      </w:r>
      <w:r w:rsidR="00BF015B">
        <w:t>Appendix D</w:t>
      </w:r>
      <w:r w:rsidRPr="00E230DF">
        <w:rPr>
          <w:highlight w:val="yellow"/>
        </w:rPr>
        <w:fldChar w:fldCharType="end"/>
      </w:r>
      <w:r w:rsidRPr="00E230DF">
        <w:t xml:space="preserve"> for </w:t>
      </w:r>
      <w:r w:rsidR="00CF2974">
        <w:t>further details of</w:t>
      </w:r>
      <w:r w:rsidRPr="00E230DF">
        <w:t xml:space="preserve"> the TLM tree and stand condition assessment tools.</w:t>
      </w:r>
    </w:p>
    <w:p w14:paraId="2A838778" w14:textId="65ABE072" w:rsidR="00A85110" w:rsidRDefault="00A85110">
      <w:pPr>
        <w:pStyle w:val="Heading3"/>
      </w:pPr>
      <w:r>
        <w:t>Black Box Condition Assessment and Confidence Levels</w:t>
      </w:r>
    </w:p>
    <w:p w14:paraId="04C4DE62" w14:textId="10F165B7" w:rsidR="00681FFA" w:rsidRDefault="00666340" w:rsidP="00681FFA">
      <w:pPr>
        <w:pStyle w:val="Para0"/>
        <w:rPr>
          <w:color w:val="000000" w:themeColor="text1"/>
        </w:rPr>
      </w:pPr>
      <w:r>
        <w:rPr>
          <w:color w:val="000000" w:themeColor="text1"/>
        </w:rPr>
        <w:t xml:space="preserve">A confidence assessment </w:t>
      </w:r>
      <w:r w:rsidR="00681FFA">
        <w:rPr>
          <w:color w:val="000000" w:themeColor="text1"/>
        </w:rPr>
        <w:t xml:space="preserve">is required to </w:t>
      </w:r>
      <w:r w:rsidR="006E38BF">
        <w:rPr>
          <w:color w:val="000000" w:themeColor="text1"/>
        </w:rPr>
        <w:t xml:space="preserve">determine </w:t>
      </w:r>
      <w:r w:rsidR="00681FFA">
        <w:rPr>
          <w:color w:val="000000" w:themeColor="text1"/>
        </w:rPr>
        <w:t>the</w:t>
      </w:r>
      <w:r w:rsidR="006E38BF">
        <w:rPr>
          <w:color w:val="000000" w:themeColor="text1"/>
        </w:rPr>
        <w:t xml:space="preserve"> </w:t>
      </w:r>
      <w:r w:rsidR="00681FFA">
        <w:rPr>
          <w:color w:val="000000" w:themeColor="text1"/>
        </w:rPr>
        <w:t>level of understanding of Black Box condition at the site, and whether currently available data is sufficient for management decisions</w:t>
      </w:r>
      <w:r w:rsidR="00045F30">
        <w:rPr>
          <w:color w:val="000000" w:themeColor="text1"/>
        </w:rPr>
        <w:t>.</w:t>
      </w:r>
      <w:r w:rsidR="00681FFA">
        <w:rPr>
          <w:color w:val="000000" w:themeColor="text1"/>
        </w:rPr>
        <w:t xml:space="preserve"> </w:t>
      </w:r>
      <w:r w:rsidR="00605DBF">
        <w:rPr>
          <w:color w:val="000000" w:themeColor="text1"/>
        </w:rPr>
        <w:t>I</w:t>
      </w:r>
      <w:r w:rsidR="00681FFA">
        <w:rPr>
          <w:color w:val="000000" w:themeColor="text1"/>
        </w:rPr>
        <w:t>nvestment in additional information</w:t>
      </w:r>
      <w:r w:rsidR="00605DBF">
        <w:rPr>
          <w:color w:val="000000" w:themeColor="text1"/>
        </w:rPr>
        <w:t xml:space="preserve"> that</w:t>
      </w:r>
      <w:r w:rsidR="00681FFA">
        <w:rPr>
          <w:color w:val="000000" w:themeColor="text1"/>
        </w:rPr>
        <w:t xml:space="preserve"> may be required</w:t>
      </w:r>
      <w:r w:rsidR="00045F30">
        <w:rPr>
          <w:color w:val="000000" w:themeColor="text1"/>
        </w:rPr>
        <w:t xml:space="preserve"> is determined at this stage</w:t>
      </w:r>
      <w:r w:rsidR="00681FFA">
        <w:rPr>
          <w:color w:val="000000" w:themeColor="text1"/>
        </w:rPr>
        <w:t>.</w:t>
      </w:r>
    </w:p>
    <w:p w14:paraId="7DC651DF" w14:textId="4678A5C5" w:rsidR="00A85110" w:rsidRDefault="00681FFA" w:rsidP="00BB5D93">
      <w:r>
        <w:rPr>
          <w:color w:val="000000" w:themeColor="text1"/>
        </w:rPr>
        <w:fldChar w:fldCharType="begin"/>
      </w:r>
      <w:r>
        <w:rPr>
          <w:color w:val="000000" w:themeColor="text1"/>
        </w:rPr>
        <w:instrText xml:space="preserve"> REF _Ref504649294 \h </w:instrText>
      </w:r>
      <w:r>
        <w:rPr>
          <w:color w:val="000000" w:themeColor="text1"/>
        </w:rPr>
      </w:r>
      <w:r>
        <w:rPr>
          <w:color w:val="000000" w:themeColor="text1"/>
        </w:rPr>
        <w:fldChar w:fldCharType="separate"/>
      </w:r>
      <w:r w:rsidR="00BF015B">
        <w:t xml:space="preserve">Table </w:t>
      </w:r>
      <w:r w:rsidR="00BF015B">
        <w:rPr>
          <w:noProof/>
        </w:rPr>
        <w:t>3</w:t>
      </w:r>
      <w:r w:rsidR="00BF015B">
        <w:noBreakHyphen/>
      </w:r>
      <w:r w:rsidR="00BF015B">
        <w:rPr>
          <w:noProof/>
        </w:rPr>
        <w:t>4</w:t>
      </w:r>
      <w:r>
        <w:rPr>
          <w:color w:val="000000" w:themeColor="text1"/>
        </w:rPr>
        <w:fldChar w:fldCharType="end"/>
      </w:r>
      <w:r>
        <w:rPr>
          <w:color w:val="000000" w:themeColor="text1"/>
        </w:rPr>
        <w:t xml:space="preserve"> provides a guide to a hierarchy of condition assessment methods for providing increasing levels of understanding about the condition of </w:t>
      </w:r>
      <w:r w:rsidR="009F6E85">
        <w:rPr>
          <w:color w:val="000000" w:themeColor="text1"/>
        </w:rPr>
        <w:t>units</w:t>
      </w:r>
      <w:r>
        <w:rPr>
          <w:color w:val="000000" w:themeColor="text1"/>
        </w:rPr>
        <w:t xml:space="preserve"> of Black Box vegetation. As the level of understanding increases, so does the level of confidence. This table is intended to provide land managers with a quick reference guide </w:t>
      </w:r>
      <w:r w:rsidR="005B2F1B">
        <w:rPr>
          <w:color w:val="000000" w:themeColor="text1"/>
        </w:rPr>
        <w:t>to assist them in understanding what condition assessment methods may be suitable for their site</w:t>
      </w:r>
      <w:r>
        <w:rPr>
          <w:color w:val="000000" w:themeColor="text1"/>
        </w:rPr>
        <w:t xml:space="preserve">. </w:t>
      </w:r>
      <w:r w:rsidR="00A85110">
        <w:t>Refer</w:t>
      </w:r>
      <w:r w:rsidR="006771A2">
        <w:t xml:space="preserve"> </w:t>
      </w:r>
      <w:r w:rsidR="00781E5F">
        <w:t>chapter</w:t>
      </w:r>
      <w:r w:rsidR="00A85110">
        <w:t xml:space="preserve"> </w:t>
      </w:r>
      <w:r w:rsidR="006771A2">
        <w:rPr>
          <w:highlight w:val="yellow"/>
        </w:rPr>
        <w:fldChar w:fldCharType="begin"/>
      </w:r>
      <w:r w:rsidR="006771A2">
        <w:instrText xml:space="preserve"> REF _Ref505673858 \r \h </w:instrText>
      </w:r>
      <w:r w:rsidR="006771A2">
        <w:rPr>
          <w:highlight w:val="yellow"/>
        </w:rPr>
      </w:r>
      <w:r w:rsidR="006771A2">
        <w:rPr>
          <w:highlight w:val="yellow"/>
        </w:rPr>
        <w:fldChar w:fldCharType="separate"/>
      </w:r>
      <w:r w:rsidR="00BF015B">
        <w:t>3.2</w:t>
      </w:r>
      <w:r w:rsidR="006771A2">
        <w:rPr>
          <w:highlight w:val="yellow"/>
        </w:rPr>
        <w:fldChar w:fldCharType="end"/>
      </w:r>
      <w:r w:rsidR="006771A2">
        <w:t xml:space="preserve"> </w:t>
      </w:r>
      <w:r w:rsidR="00A85110">
        <w:t xml:space="preserve">for an explanation of the confidence assessment colour coding and explanation of what confidence levels are appropriate for different types of sites. </w:t>
      </w:r>
    </w:p>
    <w:p w14:paraId="794CCF08" w14:textId="13593A3A" w:rsidR="00BE169A" w:rsidRDefault="001650C6" w:rsidP="00BB5D93">
      <w:r>
        <w:t>An important aspect of confidence is the temporal coverage of the data. If a single snap-shot of condition has been taken, it should be considered to have a lower confidence than if several assessments have been completed over time.</w:t>
      </w:r>
      <w:r w:rsidR="00E51CFE">
        <w:t xml:space="preserve"> More detailed methods will provide greater confidence for the trees being measured. However</w:t>
      </w:r>
      <w:r w:rsidR="00C76F3D">
        <w:t>,</w:t>
      </w:r>
      <w:r w:rsidR="00E51CFE">
        <w:t xml:space="preserve"> in determining condition over a large area, </w:t>
      </w:r>
      <w:r w:rsidR="00D1378C">
        <w:t>increased</w:t>
      </w:r>
      <w:r w:rsidR="00E51CFE">
        <w:t xml:space="preserve"> confidence c</w:t>
      </w:r>
      <w:r w:rsidR="00BF0A88">
        <w:t>ould</w:t>
      </w:r>
      <w:r w:rsidR="00E51CFE">
        <w:t xml:space="preserve"> be obtained using less detailed measurements (for example the rapid assessment method) </w:t>
      </w:r>
      <w:r w:rsidR="00BF0A88">
        <w:t>if it</w:t>
      </w:r>
      <w:r w:rsidR="00E51CFE">
        <w:t xml:space="preserve"> can be applied over a greater area and </w:t>
      </w:r>
      <w:r w:rsidR="00BF0A88">
        <w:t>with multiple measurements over time</w:t>
      </w:r>
      <w:r w:rsidR="00E51CFE">
        <w:t>.</w:t>
      </w:r>
    </w:p>
    <w:p w14:paraId="5701F76C" w14:textId="611B8681" w:rsidR="00D56C44" w:rsidRDefault="00D56C44" w:rsidP="00300586">
      <w:pPr>
        <w:pStyle w:val="Para0"/>
      </w:pPr>
      <w:bookmarkStart w:id="71" w:name="_Toc505263083"/>
      <w:bookmarkStart w:id="72" w:name="_Toc505263262"/>
      <w:bookmarkEnd w:id="71"/>
      <w:bookmarkEnd w:id="72"/>
      <w:r>
        <w:t xml:space="preserve">In determining which condition assessment is appropriate, it is necessary to consider the ongoing monitoring that would be required as part of any management action at the site. For </w:t>
      </w:r>
      <w:r w:rsidR="00AD2AAC">
        <w:t xml:space="preserve">a </w:t>
      </w:r>
      <w:r>
        <w:t xml:space="preserve">site where </w:t>
      </w:r>
      <w:r w:rsidR="00605DBF">
        <w:t xml:space="preserve">on-going </w:t>
      </w:r>
      <w:r>
        <w:t xml:space="preserve">management </w:t>
      </w:r>
      <w:r w:rsidR="00605DBF">
        <w:t>is likely to</w:t>
      </w:r>
      <w:r>
        <w:t xml:space="preserve"> take place, the condition assessment becomes the baseline </w:t>
      </w:r>
      <w:r w:rsidR="00CD513E">
        <w:t>to which subsequent condition monitoring is compared</w:t>
      </w:r>
      <w:r w:rsidR="00D1378C">
        <w:t>,</w:t>
      </w:r>
      <w:r w:rsidR="00CD513E">
        <w:t xml:space="preserve"> to understand the changes to Black Box condition over time. It is beneficial to undertake ongoing monitoring using a consistent methodology as the initial condition assessment. Monitoring of management actions is </w:t>
      </w:r>
      <w:r>
        <w:t>described</w:t>
      </w:r>
      <w:r w:rsidR="00CD513E">
        <w:t xml:space="preserve"> further</w:t>
      </w:r>
      <w:r>
        <w:t xml:space="preserve"> in </w:t>
      </w:r>
      <w:r w:rsidR="00781E5F">
        <w:t>chapter</w:t>
      </w:r>
      <w:r>
        <w:t xml:space="preserve"> </w:t>
      </w:r>
      <w:r w:rsidR="00AD2AAC">
        <w:fldChar w:fldCharType="begin"/>
      </w:r>
      <w:r w:rsidR="00AD2AAC">
        <w:instrText xml:space="preserve"> REF _Ref506825828 \r \h </w:instrText>
      </w:r>
      <w:r w:rsidR="00AD2AAC">
        <w:fldChar w:fldCharType="separate"/>
      </w:r>
      <w:r w:rsidR="00BF015B">
        <w:t>4.3</w:t>
      </w:r>
      <w:r w:rsidR="00AD2AAC">
        <w:fldChar w:fldCharType="end"/>
      </w:r>
      <w:r w:rsidR="00510222">
        <w:t>.</w:t>
      </w:r>
    </w:p>
    <w:p w14:paraId="16FEE0F9" w14:textId="26A59D74" w:rsidR="00343119" w:rsidRDefault="00343119" w:rsidP="00C87406">
      <w:pPr>
        <w:pStyle w:val="Caption"/>
        <w:rPr>
          <w:color w:val="000000" w:themeColor="text1"/>
        </w:rPr>
      </w:pPr>
      <w:bookmarkStart w:id="73" w:name="_Ref504649294"/>
      <w:bookmarkStart w:id="74" w:name="_Toc514068771"/>
      <w:r>
        <w:t xml:space="preserve">Table </w:t>
      </w:r>
      <w:r w:rsidR="002D4BCF">
        <w:fldChar w:fldCharType="begin"/>
      </w:r>
      <w:r w:rsidR="002D4BCF">
        <w:instrText xml:space="preserve"> STYLEREF 1 \s </w:instrText>
      </w:r>
      <w:r w:rsidR="002D4BCF">
        <w:fldChar w:fldCharType="separate"/>
      </w:r>
      <w:r w:rsidR="00BF015B">
        <w:rPr>
          <w:noProof/>
        </w:rPr>
        <w:t>3</w:t>
      </w:r>
      <w:r w:rsidR="002D4BCF">
        <w:fldChar w:fldCharType="end"/>
      </w:r>
      <w:r w:rsidR="002D4BCF">
        <w:noBreakHyphen/>
      </w:r>
      <w:r w:rsidR="002D4BCF">
        <w:fldChar w:fldCharType="begin"/>
      </w:r>
      <w:r w:rsidR="002D4BCF">
        <w:instrText xml:space="preserve"> SEQ Table \* ARABIC \s 1 </w:instrText>
      </w:r>
      <w:r w:rsidR="002D4BCF">
        <w:fldChar w:fldCharType="separate"/>
      </w:r>
      <w:r w:rsidR="00BF015B">
        <w:rPr>
          <w:noProof/>
        </w:rPr>
        <w:t>4</w:t>
      </w:r>
      <w:r w:rsidR="002D4BCF">
        <w:fldChar w:fldCharType="end"/>
      </w:r>
      <w:bookmarkEnd w:id="73"/>
      <w:r>
        <w:t>: Guide to a hierarchy of</w:t>
      </w:r>
      <w:r w:rsidR="00847652">
        <w:t xml:space="preserve"> methods for undertaking a</w:t>
      </w:r>
      <w:r>
        <w:t xml:space="preserve"> Black Box </w:t>
      </w:r>
      <w:r w:rsidR="009F6E85">
        <w:t>unit</w:t>
      </w:r>
      <w:r>
        <w:t xml:space="preserve"> condition assessment</w:t>
      </w:r>
      <w:bookmarkEnd w:id="74"/>
      <w:r>
        <w:t xml:space="preserve"> </w:t>
      </w:r>
    </w:p>
    <w:tbl>
      <w:tblPr>
        <w:tblStyle w:val="TableGrid"/>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214"/>
        <w:gridCol w:w="1467"/>
        <w:gridCol w:w="6230"/>
      </w:tblGrid>
      <w:tr w:rsidR="00C87406" w14:paraId="3E0CBCF8" w14:textId="77777777" w:rsidTr="002F5186">
        <w:trPr>
          <w:tblHeader/>
        </w:trPr>
        <w:tc>
          <w:tcPr>
            <w:tcW w:w="1117" w:type="pct"/>
            <w:tcBorders>
              <w:right w:val="single" w:sz="4" w:space="0" w:color="FFFFFF" w:themeColor="background1"/>
            </w:tcBorders>
            <w:shd w:val="clear" w:color="auto" w:fill="00338D"/>
            <w:vAlign w:val="center"/>
          </w:tcPr>
          <w:p w14:paraId="378E3C82" w14:textId="6CE259D2" w:rsidR="002F5186" w:rsidRDefault="002F5186">
            <w:pPr>
              <w:pStyle w:val="Tableheading"/>
              <w:jc w:val="center"/>
            </w:pPr>
            <w:r>
              <w:t>Confidence level</w:t>
            </w:r>
          </w:p>
        </w:tc>
        <w:tc>
          <w:tcPr>
            <w:tcW w:w="740" w:type="pct"/>
            <w:tcBorders>
              <w:right w:val="single" w:sz="4" w:space="0" w:color="FFFFFF" w:themeColor="background1"/>
            </w:tcBorders>
            <w:shd w:val="clear" w:color="auto" w:fill="00338D"/>
            <w:vAlign w:val="center"/>
          </w:tcPr>
          <w:p w14:paraId="678E2039" w14:textId="0ADEEC2A" w:rsidR="002F5186" w:rsidRDefault="002F5186">
            <w:pPr>
              <w:pStyle w:val="Tableheading"/>
              <w:jc w:val="center"/>
            </w:pPr>
            <w:r>
              <w:t>Confidence Score</w:t>
            </w:r>
          </w:p>
        </w:tc>
        <w:tc>
          <w:tcPr>
            <w:tcW w:w="3143" w:type="pct"/>
            <w:tcBorders>
              <w:left w:val="single" w:sz="4" w:space="0" w:color="FFFFFF" w:themeColor="background1"/>
              <w:bottom w:val="single" w:sz="4" w:space="0" w:color="auto"/>
              <w:right w:val="single" w:sz="4" w:space="0" w:color="FFFFFF" w:themeColor="background1"/>
            </w:tcBorders>
            <w:shd w:val="clear" w:color="auto" w:fill="00338D"/>
            <w:vAlign w:val="center"/>
          </w:tcPr>
          <w:p w14:paraId="52771927" w14:textId="46DDE3D5" w:rsidR="002F5186" w:rsidRDefault="002F5186">
            <w:pPr>
              <w:pStyle w:val="Tableheading"/>
              <w:jc w:val="center"/>
            </w:pPr>
            <w:r>
              <w:t>Black Box Management Unit Condition</w:t>
            </w:r>
          </w:p>
        </w:tc>
      </w:tr>
      <w:tr w:rsidR="00C87406" w:rsidRPr="008619DA" w14:paraId="6C9AB377" w14:textId="77777777" w:rsidTr="002F5186">
        <w:tc>
          <w:tcPr>
            <w:tcW w:w="1117" w:type="pct"/>
            <w:tcBorders>
              <w:right w:val="single" w:sz="4" w:space="0" w:color="auto"/>
            </w:tcBorders>
            <w:shd w:val="clear" w:color="auto" w:fill="FFFF00"/>
            <w:vAlign w:val="center"/>
          </w:tcPr>
          <w:p w14:paraId="28E68985" w14:textId="3436A7AD" w:rsidR="002F5186" w:rsidRDefault="002F5186" w:rsidP="00D1378C">
            <w:pPr>
              <w:pStyle w:val="Tabletext"/>
              <w:keepNext/>
            </w:pPr>
            <w:r>
              <w:t>Low: Anecdotal or regional level information, providing a rough estimate of site conditions</w:t>
            </w:r>
            <w:r w:rsidR="00D1378C">
              <w:t>.</w:t>
            </w:r>
          </w:p>
        </w:tc>
        <w:tc>
          <w:tcPr>
            <w:tcW w:w="740" w:type="pct"/>
            <w:tcBorders>
              <w:right w:val="single" w:sz="4" w:space="0" w:color="auto"/>
            </w:tcBorders>
            <w:shd w:val="clear" w:color="auto" w:fill="FFFF00"/>
            <w:vAlign w:val="center"/>
          </w:tcPr>
          <w:p w14:paraId="09BA3ABB" w14:textId="07CFE9B7" w:rsidR="002F5186" w:rsidRDefault="002F5186" w:rsidP="00E230DF">
            <w:pPr>
              <w:pStyle w:val="Tabletext"/>
              <w:keepNext/>
              <w:jc w:val="center"/>
            </w:pPr>
            <w:r>
              <w:t>1</w:t>
            </w:r>
          </w:p>
        </w:tc>
        <w:tc>
          <w:tcPr>
            <w:tcW w:w="3143" w:type="pct"/>
            <w:tcBorders>
              <w:top w:val="single" w:sz="4" w:space="0" w:color="auto"/>
              <w:left w:val="single" w:sz="4" w:space="0" w:color="auto"/>
              <w:bottom w:val="single" w:sz="4" w:space="0" w:color="auto"/>
              <w:right w:val="single" w:sz="4" w:space="0" w:color="auto"/>
            </w:tcBorders>
            <w:shd w:val="clear" w:color="auto" w:fill="auto"/>
            <w:vAlign w:val="center"/>
          </w:tcPr>
          <w:p w14:paraId="53A56627" w14:textId="77777777" w:rsidR="000E4633" w:rsidRDefault="002F5186" w:rsidP="00D00AA7">
            <w:pPr>
              <w:pStyle w:val="Para0bullet"/>
              <w:keepNext/>
              <w:numPr>
                <w:ilvl w:val="0"/>
                <w:numId w:val="0"/>
              </w:numPr>
            </w:pPr>
            <w:r w:rsidRPr="00DF4A1A">
              <w:t>Anecdotal information from visual or photographic assessments (aerial or site based)</w:t>
            </w:r>
            <w:r w:rsidR="00D1378C">
              <w:t xml:space="preserve">. </w:t>
            </w:r>
          </w:p>
          <w:p w14:paraId="486BDA18" w14:textId="0B4CB991" w:rsidR="002F5186" w:rsidRPr="0060030D" w:rsidRDefault="00D1378C" w:rsidP="00D00AA7">
            <w:pPr>
              <w:pStyle w:val="Para0bullet"/>
              <w:keepNext/>
              <w:numPr>
                <w:ilvl w:val="0"/>
                <w:numId w:val="0"/>
              </w:numPr>
            </w:pPr>
            <w:r>
              <w:t>Single ‘snap shot’ of condition, no temporal assessment.</w:t>
            </w:r>
          </w:p>
        </w:tc>
      </w:tr>
      <w:tr w:rsidR="00C87406" w:rsidRPr="008619DA" w14:paraId="2BF4629E" w14:textId="77777777" w:rsidTr="002F5186">
        <w:tc>
          <w:tcPr>
            <w:tcW w:w="1117" w:type="pct"/>
            <w:tcBorders>
              <w:right w:val="single" w:sz="4" w:space="0" w:color="auto"/>
            </w:tcBorders>
            <w:shd w:val="clear" w:color="auto" w:fill="FFC000"/>
            <w:vAlign w:val="center"/>
          </w:tcPr>
          <w:p w14:paraId="587C241A" w14:textId="2FCB5C55" w:rsidR="002F5186" w:rsidRDefault="002F5186" w:rsidP="00E230DF">
            <w:pPr>
              <w:pStyle w:val="Tabletext"/>
              <w:keepNext/>
            </w:pPr>
            <w:r>
              <w:t>Low/Moderate: Measured data from local sources, providing a better estimate of site conditions</w:t>
            </w:r>
            <w:r w:rsidR="00D1378C">
              <w:t>.</w:t>
            </w:r>
          </w:p>
        </w:tc>
        <w:tc>
          <w:tcPr>
            <w:tcW w:w="740" w:type="pct"/>
            <w:tcBorders>
              <w:right w:val="single" w:sz="4" w:space="0" w:color="auto"/>
            </w:tcBorders>
            <w:shd w:val="clear" w:color="auto" w:fill="FFC000"/>
            <w:vAlign w:val="center"/>
          </w:tcPr>
          <w:p w14:paraId="05E3D9E4" w14:textId="55B7DABD" w:rsidR="002F5186" w:rsidRDefault="002F5186" w:rsidP="00E230DF">
            <w:pPr>
              <w:pStyle w:val="Tabletext"/>
              <w:keepNext/>
              <w:jc w:val="center"/>
            </w:pPr>
            <w:r>
              <w:t>2</w:t>
            </w:r>
          </w:p>
        </w:tc>
        <w:tc>
          <w:tcPr>
            <w:tcW w:w="3143" w:type="pct"/>
            <w:tcBorders>
              <w:top w:val="single" w:sz="4" w:space="0" w:color="auto"/>
              <w:left w:val="single" w:sz="4" w:space="0" w:color="auto"/>
              <w:bottom w:val="single" w:sz="4" w:space="0" w:color="auto"/>
              <w:right w:val="single" w:sz="4" w:space="0" w:color="auto"/>
            </w:tcBorders>
            <w:shd w:val="clear" w:color="auto" w:fill="auto"/>
            <w:vAlign w:val="center"/>
          </w:tcPr>
          <w:p w14:paraId="112AA479" w14:textId="6F7A5B1A" w:rsidR="002F5186" w:rsidRPr="0060030D" w:rsidRDefault="002F5186" w:rsidP="00D00AA7">
            <w:pPr>
              <w:pStyle w:val="Para0bullet"/>
              <w:keepNext/>
              <w:numPr>
                <w:ilvl w:val="0"/>
                <w:numId w:val="0"/>
              </w:numPr>
            </w:pPr>
            <w:r>
              <w:t xml:space="preserve">Review of </w:t>
            </w:r>
            <w:r w:rsidR="00DD2CEB">
              <w:t>s</w:t>
            </w:r>
            <w:r w:rsidR="00DD2CEB" w:rsidRPr="00DF4A1A">
              <w:t>atellite-based</w:t>
            </w:r>
            <w:r w:rsidRPr="00DF4A1A">
              <w:t xml:space="preserve"> images of greenness as measured by the Normalised Difference Vegetation Index (NDVI) score.</w:t>
            </w:r>
            <w:r w:rsidR="00D1378C">
              <w:t xml:space="preserve"> </w:t>
            </w:r>
          </w:p>
        </w:tc>
      </w:tr>
      <w:tr w:rsidR="002F5186" w:rsidRPr="008619DA" w14:paraId="12AE8052" w14:textId="77777777" w:rsidTr="00AD2AAC">
        <w:tc>
          <w:tcPr>
            <w:tcW w:w="1117" w:type="pct"/>
            <w:tcBorders>
              <w:right w:val="single" w:sz="4" w:space="0" w:color="auto"/>
            </w:tcBorders>
            <w:shd w:val="clear" w:color="auto" w:fill="99FF99"/>
            <w:vAlign w:val="center"/>
          </w:tcPr>
          <w:p w14:paraId="6A7C1334" w14:textId="27A20378" w:rsidR="002F5186" w:rsidRDefault="002F5186" w:rsidP="002F5186">
            <w:pPr>
              <w:pStyle w:val="Tabletext"/>
            </w:pPr>
            <w:r>
              <w:t>Moderate: Data measured at the site, but with high level of uncertainty</w:t>
            </w:r>
            <w:r w:rsidR="00D1378C">
              <w:t>.</w:t>
            </w:r>
          </w:p>
        </w:tc>
        <w:tc>
          <w:tcPr>
            <w:tcW w:w="740" w:type="pct"/>
            <w:tcBorders>
              <w:right w:val="single" w:sz="4" w:space="0" w:color="auto"/>
            </w:tcBorders>
            <w:shd w:val="clear" w:color="auto" w:fill="99FF99"/>
            <w:vAlign w:val="center"/>
          </w:tcPr>
          <w:p w14:paraId="597804C3" w14:textId="42D490AF" w:rsidR="002F5186" w:rsidRDefault="002F5186" w:rsidP="00E230DF">
            <w:pPr>
              <w:pStyle w:val="Tabletext"/>
              <w:jc w:val="center"/>
            </w:pPr>
            <w:r>
              <w:t>3</w:t>
            </w:r>
          </w:p>
        </w:tc>
        <w:tc>
          <w:tcPr>
            <w:tcW w:w="3143" w:type="pct"/>
            <w:tcBorders>
              <w:top w:val="single" w:sz="4" w:space="0" w:color="auto"/>
              <w:left w:val="single" w:sz="4" w:space="0" w:color="auto"/>
              <w:bottom w:val="single" w:sz="4" w:space="0" w:color="auto"/>
              <w:right w:val="single" w:sz="4" w:space="0" w:color="auto"/>
            </w:tcBorders>
            <w:shd w:val="clear" w:color="auto" w:fill="auto"/>
            <w:vAlign w:val="center"/>
          </w:tcPr>
          <w:p w14:paraId="6C5BA3F9" w14:textId="62A635A8" w:rsidR="002F5186" w:rsidRPr="008619DA" w:rsidRDefault="002F5186" w:rsidP="007B61D3">
            <w:pPr>
              <w:pStyle w:val="Tabletext"/>
            </w:pPr>
            <w:r>
              <w:t>Rapid Black Box Condition Assessment methodology</w:t>
            </w:r>
            <w:r w:rsidR="00510222">
              <w:t>. R</w:t>
            </w:r>
            <w:r>
              <w:t xml:space="preserve">efer </w:t>
            </w:r>
            <w:r>
              <w:rPr>
                <w:highlight w:val="yellow"/>
              </w:rPr>
              <w:fldChar w:fldCharType="begin"/>
            </w:r>
            <w:r>
              <w:instrText xml:space="preserve"> REF _Ref506214152 \r \h </w:instrText>
            </w:r>
            <w:r>
              <w:rPr>
                <w:highlight w:val="yellow"/>
              </w:rPr>
              <w:instrText xml:space="preserve"> \* MERGEFORMAT </w:instrText>
            </w:r>
            <w:r>
              <w:rPr>
                <w:highlight w:val="yellow"/>
              </w:rPr>
            </w:r>
            <w:r>
              <w:rPr>
                <w:highlight w:val="yellow"/>
              </w:rPr>
              <w:fldChar w:fldCharType="separate"/>
            </w:r>
            <w:r w:rsidR="00BF015B">
              <w:t>Appendix C</w:t>
            </w:r>
            <w:r>
              <w:rPr>
                <w:highlight w:val="yellow"/>
              </w:rPr>
              <w:fldChar w:fldCharType="end"/>
            </w:r>
            <w:r>
              <w:t xml:space="preserve"> for a complete description of this method. </w:t>
            </w:r>
          </w:p>
        </w:tc>
      </w:tr>
      <w:tr w:rsidR="002F5186" w:rsidRPr="008619DA" w14:paraId="74EC9FEB" w14:textId="77777777" w:rsidTr="00AD2AAC">
        <w:tc>
          <w:tcPr>
            <w:tcW w:w="1117" w:type="pct"/>
            <w:tcBorders>
              <w:right w:val="single" w:sz="4" w:space="0" w:color="auto"/>
            </w:tcBorders>
            <w:shd w:val="clear" w:color="auto" w:fill="92D050"/>
            <w:vAlign w:val="center"/>
          </w:tcPr>
          <w:p w14:paraId="689FA67E" w14:textId="0D6BDD3A" w:rsidR="002F5186" w:rsidRDefault="002F5186" w:rsidP="002F5186">
            <w:pPr>
              <w:pStyle w:val="Tabletext"/>
            </w:pPr>
            <w:r>
              <w:t>Moderate/High: measured data at the site, with moderate level of uncertainty</w:t>
            </w:r>
            <w:r w:rsidR="00D1378C">
              <w:t>.</w:t>
            </w:r>
          </w:p>
        </w:tc>
        <w:tc>
          <w:tcPr>
            <w:tcW w:w="740" w:type="pct"/>
            <w:tcBorders>
              <w:right w:val="single" w:sz="4" w:space="0" w:color="auto"/>
            </w:tcBorders>
            <w:shd w:val="clear" w:color="auto" w:fill="92D050"/>
            <w:vAlign w:val="center"/>
          </w:tcPr>
          <w:p w14:paraId="4B7D7CD1" w14:textId="6F3BB3F6" w:rsidR="002F5186" w:rsidRDefault="002F5186" w:rsidP="00E230DF">
            <w:pPr>
              <w:pStyle w:val="Tabletext"/>
              <w:jc w:val="center"/>
            </w:pPr>
            <w:r>
              <w:t>4</w:t>
            </w:r>
          </w:p>
        </w:tc>
        <w:tc>
          <w:tcPr>
            <w:tcW w:w="3143" w:type="pct"/>
            <w:tcBorders>
              <w:top w:val="single" w:sz="4" w:space="0" w:color="auto"/>
              <w:left w:val="single" w:sz="4" w:space="0" w:color="auto"/>
              <w:bottom w:val="single" w:sz="4" w:space="0" w:color="auto"/>
              <w:right w:val="single" w:sz="4" w:space="0" w:color="auto"/>
            </w:tcBorders>
            <w:vAlign w:val="center"/>
          </w:tcPr>
          <w:p w14:paraId="282A2C27" w14:textId="559398DE" w:rsidR="002F5186" w:rsidRPr="00F10460" w:rsidRDefault="002F5186" w:rsidP="00866CBB">
            <w:r w:rsidRPr="005C2C5A">
              <w:t xml:space="preserve">The Living Murray (TLM) initiative stand condition assessment. Refer </w:t>
            </w:r>
            <w:r w:rsidRPr="00E230DF">
              <w:rPr>
                <w:highlight w:val="yellow"/>
              </w:rPr>
              <w:fldChar w:fldCharType="begin"/>
            </w:r>
            <w:r w:rsidRPr="00E230DF">
              <w:instrText xml:space="preserve"> REF _Ref506214160 \r \h </w:instrText>
            </w:r>
            <w:r w:rsidRPr="00E230DF">
              <w:rPr>
                <w:highlight w:val="yellow"/>
              </w:rPr>
              <w:instrText xml:space="preserve"> \* MERGEFORMAT </w:instrText>
            </w:r>
            <w:r w:rsidRPr="00E230DF">
              <w:rPr>
                <w:highlight w:val="yellow"/>
              </w:rPr>
            </w:r>
            <w:r w:rsidRPr="00E230DF">
              <w:rPr>
                <w:highlight w:val="yellow"/>
              </w:rPr>
              <w:fldChar w:fldCharType="separate"/>
            </w:r>
            <w:r w:rsidR="00BF015B">
              <w:t>Appendix D</w:t>
            </w:r>
            <w:r w:rsidRPr="00E230DF">
              <w:rPr>
                <w:highlight w:val="yellow"/>
              </w:rPr>
              <w:fldChar w:fldCharType="end"/>
            </w:r>
            <w:r w:rsidRPr="00E230DF">
              <w:t xml:space="preserve"> for a summary of the TLM tree and stand condition assessment tools. </w:t>
            </w:r>
          </w:p>
        </w:tc>
      </w:tr>
      <w:tr w:rsidR="002F5186" w:rsidRPr="008619DA" w14:paraId="1E5F0B43" w14:textId="77777777" w:rsidTr="00E230DF">
        <w:tc>
          <w:tcPr>
            <w:tcW w:w="1117" w:type="pct"/>
            <w:tcBorders>
              <w:right w:val="single" w:sz="4" w:space="0" w:color="auto"/>
            </w:tcBorders>
            <w:shd w:val="clear" w:color="auto" w:fill="00B050"/>
            <w:vAlign w:val="center"/>
          </w:tcPr>
          <w:p w14:paraId="0E3C99AF" w14:textId="7E12AA3F" w:rsidR="002F5186" w:rsidRDefault="002F5186" w:rsidP="002F5186">
            <w:pPr>
              <w:pStyle w:val="Tabletext"/>
            </w:pPr>
            <w:r>
              <w:t>High: Measured data at the site, with low level of uncertainty</w:t>
            </w:r>
            <w:r w:rsidR="00D1378C">
              <w:t>.</w:t>
            </w:r>
          </w:p>
        </w:tc>
        <w:tc>
          <w:tcPr>
            <w:tcW w:w="740" w:type="pct"/>
            <w:tcBorders>
              <w:right w:val="single" w:sz="4" w:space="0" w:color="auto"/>
            </w:tcBorders>
            <w:shd w:val="clear" w:color="auto" w:fill="00B050"/>
            <w:vAlign w:val="center"/>
          </w:tcPr>
          <w:p w14:paraId="34BFECB6" w14:textId="1AFE59CA" w:rsidR="002F5186" w:rsidRDefault="002F5186" w:rsidP="00E230DF">
            <w:pPr>
              <w:pStyle w:val="Tabletext"/>
              <w:jc w:val="center"/>
            </w:pPr>
            <w:r>
              <w:t>5</w:t>
            </w:r>
          </w:p>
        </w:tc>
        <w:tc>
          <w:tcPr>
            <w:tcW w:w="3143" w:type="pct"/>
            <w:tcBorders>
              <w:top w:val="single" w:sz="4" w:space="0" w:color="auto"/>
              <w:left w:val="single" w:sz="4" w:space="0" w:color="auto"/>
              <w:bottom w:val="single" w:sz="4" w:space="0" w:color="auto"/>
              <w:right w:val="single" w:sz="4" w:space="0" w:color="auto"/>
            </w:tcBorders>
            <w:vAlign w:val="center"/>
          </w:tcPr>
          <w:p w14:paraId="41E8E326" w14:textId="12E53775" w:rsidR="002F5186" w:rsidRPr="008619DA" w:rsidRDefault="002F5186" w:rsidP="00D00AA7">
            <w:pPr>
              <w:pStyle w:val="Tabletext"/>
            </w:pPr>
            <w:r>
              <w:t xml:space="preserve">Measurement of sapwood area ratio throughout the management unit of Black Box vegetation to determine an overall rating for the health of the unit. </w:t>
            </w:r>
            <w:r w:rsidRPr="00DF4A1A">
              <w:t>Based on the ratio of stem sapwood cross-sectional area to stem basal area (Doody and Overton</w:t>
            </w:r>
            <w:r>
              <w:t>,</w:t>
            </w:r>
            <w:r w:rsidRPr="00DF4A1A">
              <w:t xml:space="preserve"> 2009).</w:t>
            </w:r>
            <w:r>
              <w:t xml:space="preserve"> </w:t>
            </w:r>
            <w:r w:rsidRPr="00DF4A1A">
              <w:t>The</w:t>
            </w:r>
            <w:r>
              <w:t xml:space="preserve"> </w:t>
            </w:r>
            <w:r w:rsidRPr="00DF4A1A">
              <w:t>sapwood ratio can provide an indication of long term tree health, and ability to respond to management, rather than condition at a specific point in time.</w:t>
            </w:r>
            <w:r w:rsidR="00C31BA6">
              <w:t xml:space="preserve"> </w:t>
            </w:r>
          </w:p>
        </w:tc>
      </w:tr>
    </w:tbl>
    <w:p w14:paraId="74EE86F4" w14:textId="0BB0DC45" w:rsidR="00633167" w:rsidRDefault="00633167" w:rsidP="005972ED">
      <w:pPr>
        <w:spacing w:after="120"/>
      </w:pPr>
    </w:p>
    <w:p w14:paraId="517D3876" w14:textId="77777777" w:rsidR="00174561" w:rsidRDefault="00174561" w:rsidP="002D3134">
      <w:pPr>
        <w:pStyle w:val="Para0"/>
        <w:sectPr w:rsidR="00174561" w:rsidSect="00681FFA">
          <w:pgSz w:w="11906" w:h="16838" w:code="9"/>
          <w:pgMar w:top="567" w:right="851" w:bottom="851" w:left="1134" w:header="567" w:footer="370" w:gutter="0"/>
          <w:cols w:space="0"/>
          <w:formProt w:val="0"/>
          <w:docGrid w:linePitch="360"/>
        </w:sectPr>
      </w:pPr>
    </w:p>
    <w:p w14:paraId="535C5BA5" w14:textId="5D071E68" w:rsidR="009E5DA0" w:rsidRDefault="009E5DA0" w:rsidP="009E5DA0">
      <w:pPr>
        <w:rPr>
          <w:b/>
        </w:rPr>
      </w:pPr>
      <w:r>
        <w:rPr>
          <w:b/>
          <w:noProof/>
          <w:lang w:eastAsia="en-AU"/>
        </w:rPr>
        <mc:AlternateContent>
          <mc:Choice Requires="wps">
            <w:drawing>
              <wp:anchor distT="0" distB="0" distL="114300" distR="114300" simplePos="0" relativeHeight="251679744" behindDoc="1" locked="0" layoutInCell="1" allowOverlap="1" wp14:anchorId="75266667" wp14:editId="3758A62C">
                <wp:simplePos x="0" y="0"/>
                <wp:positionH relativeFrom="column">
                  <wp:posOffset>-73704</wp:posOffset>
                </wp:positionH>
                <wp:positionV relativeFrom="paragraph">
                  <wp:posOffset>-60632</wp:posOffset>
                </wp:positionV>
                <wp:extent cx="6416566" cy="8040414"/>
                <wp:effectExtent l="0" t="0" r="22860" b="17780"/>
                <wp:wrapNone/>
                <wp:docPr id="28" name="Rectangle 28"/>
                <wp:cNvGraphicFramePr/>
                <a:graphic xmlns:a="http://schemas.openxmlformats.org/drawingml/2006/main">
                  <a:graphicData uri="http://schemas.microsoft.com/office/word/2010/wordprocessingShape">
                    <wps:wsp>
                      <wps:cNvSpPr/>
                      <wps:spPr>
                        <a:xfrm>
                          <a:off x="0" y="0"/>
                          <a:ext cx="6416566" cy="8040414"/>
                        </a:xfrm>
                        <a:prstGeom prst="rect">
                          <a:avLst/>
                        </a:prstGeom>
                        <a:solidFill>
                          <a:schemeClr val="accent4">
                            <a:lumMod val="60000"/>
                            <a:lumOff val="40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DE7629" id="Rectangle 28" o:spid="_x0000_s1026" style="position:absolute;margin-left:-5.8pt;margin-top:-4.75pt;width:505.25pt;height:633.1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" fillcolor="#bccdc0 [1943]" strokecolor="#374e54 [1604]" strokeweight="1pt"/>
            </w:pict>
          </mc:Fallback>
        </mc:AlternateContent>
      </w:r>
      <w:r>
        <w:rPr>
          <w:b/>
        </w:rPr>
        <w:t xml:space="preserve">Case Study </w:t>
      </w:r>
      <w:r w:rsidRPr="00391D89">
        <w:rPr>
          <w:b/>
        </w:rPr>
        <w:t xml:space="preserve">Box </w:t>
      </w:r>
      <w:r>
        <w:rPr>
          <w:b/>
        </w:rPr>
        <w:t>1</w:t>
      </w:r>
      <w:r w:rsidRPr="00391D89">
        <w:rPr>
          <w:b/>
        </w:rPr>
        <w:t xml:space="preserve">: </w:t>
      </w:r>
      <w:r>
        <w:rPr>
          <w:b/>
        </w:rPr>
        <w:t>Rapid Condition Assessment at Calperum Station</w:t>
      </w:r>
    </w:p>
    <w:p w14:paraId="1934A302" w14:textId="6DFD5D1C" w:rsidR="009E5DA0" w:rsidRDefault="009E5DA0" w:rsidP="009E5DA0">
      <w:pPr>
        <w:rPr>
          <w:rFonts w:cs="Arial"/>
          <w:szCs w:val="20"/>
        </w:rPr>
      </w:pPr>
      <w:r w:rsidRPr="008F287D">
        <w:rPr>
          <w:rFonts w:cs="Arial"/>
          <w:szCs w:val="20"/>
        </w:rPr>
        <w:t xml:space="preserve">The rapid condition assessment </w:t>
      </w:r>
      <w:r>
        <w:rPr>
          <w:rFonts w:cs="Arial"/>
          <w:szCs w:val="20"/>
        </w:rPr>
        <w:t xml:space="preserve">methodology </w:t>
      </w:r>
      <w:r w:rsidRPr="008F287D">
        <w:rPr>
          <w:rFonts w:cs="Arial"/>
          <w:szCs w:val="20"/>
        </w:rPr>
        <w:t xml:space="preserve">was developed through an iterative process over the course of three field surveys, following feedback and discussions with </w:t>
      </w:r>
      <w:r w:rsidR="00BF0A88">
        <w:rPr>
          <w:rFonts w:cs="Arial"/>
          <w:szCs w:val="20"/>
        </w:rPr>
        <w:t xml:space="preserve">the </w:t>
      </w:r>
      <w:r w:rsidRPr="008F287D">
        <w:rPr>
          <w:rFonts w:cs="Arial"/>
          <w:szCs w:val="20"/>
        </w:rPr>
        <w:t>land manager.</w:t>
      </w:r>
      <w:r>
        <w:rPr>
          <w:rFonts w:cs="Arial"/>
          <w:szCs w:val="20"/>
        </w:rPr>
        <w:t xml:space="preserve"> As shown in </w:t>
      </w:r>
      <w:r>
        <w:rPr>
          <w:rFonts w:cs="Arial"/>
          <w:szCs w:val="20"/>
        </w:rPr>
        <w:fldChar w:fldCharType="begin"/>
      </w:r>
      <w:r>
        <w:rPr>
          <w:rFonts w:cs="Arial"/>
          <w:szCs w:val="20"/>
        </w:rPr>
        <w:instrText xml:space="preserve"> REF _Ref504649294 \h </w:instrText>
      </w:r>
      <w:r>
        <w:rPr>
          <w:rFonts w:cs="Arial"/>
          <w:szCs w:val="20"/>
        </w:rPr>
      </w:r>
      <w:r>
        <w:rPr>
          <w:rFonts w:cs="Arial"/>
          <w:szCs w:val="20"/>
        </w:rPr>
        <w:fldChar w:fldCharType="separate"/>
      </w:r>
      <w:r w:rsidR="00BF015B">
        <w:t xml:space="preserve">Table </w:t>
      </w:r>
      <w:r w:rsidR="00BF015B">
        <w:rPr>
          <w:noProof/>
        </w:rPr>
        <w:t>3</w:t>
      </w:r>
      <w:r w:rsidR="00BF015B">
        <w:noBreakHyphen/>
      </w:r>
      <w:r w:rsidR="00BF015B">
        <w:rPr>
          <w:noProof/>
        </w:rPr>
        <w:t>4</w:t>
      </w:r>
      <w:r>
        <w:rPr>
          <w:rFonts w:cs="Arial"/>
          <w:szCs w:val="20"/>
        </w:rPr>
        <w:fldChar w:fldCharType="end"/>
      </w:r>
      <w:r>
        <w:rPr>
          <w:rFonts w:cs="Arial"/>
          <w:szCs w:val="20"/>
        </w:rPr>
        <w:t>, this method has an associated confidence level of “Moderate”, which was considered appropriate based on the time and resources available</w:t>
      </w:r>
      <w:r w:rsidR="001F63A8">
        <w:rPr>
          <w:rFonts w:cs="Arial"/>
          <w:szCs w:val="20"/>
        </w:rPr>
        <w:t>, the purpose</w:t>
      </w:r>
      <w:r w:rsidR="00FC45AD">
        <w:rPr>
          <w:rFonts w:cs="Arial"/>
          <w:szCs w:val="20"/>
        </w:rPr>
        <w:t xml:space="preserve"> of the investigation and comple</w:t>
      </w:r>
      <w:r w:rsidR="001F63A8">
        <w:rPr>
          <w:rFonts w:cs="Arial"/>
          <w:szCs w:val="20"/>
        </w:rPr>
        <w:t xml:space="preserve">mentary data sets. </w:t>
      </w:r>
    </w:p>
    <w:p w14:paraId="135E43F1" w14:textId="4694AF48" w:rsidR="009E5DA0" w:rsidRPr="008F287D" w:rsidRDefault="009E5DA0" w:rsidP="009E5DA0">
      <w:pPr>
        <w:rPr>
          <w:rFonts w:cs="Arial"/>
          <w:szCs w:val="20"/>
        </w:rPr>
      </w:pPr>
      <w:r>
        <w:rPr>
          <w:rFonts w:cs="Arial"/>
          <w:szCs w:val="20"/>
        </w:rPr>
        <w:t xml:space="preserve">A range of vegetation studies have </w:t>
      </w:r>
      <w:r w:rsidR="00FC45AD">
        <w:rPr>
          <w:rFonts w:cs="Arial"/>
          <w:szCs w:val="20"/>
        </w:rPr>
        <w:t>previously been under</w:t>
      </w:r>
      <w:r>
        <w:rPr>
          <w:rFonts w:cs="Arial"/>
          <w:szCs w:val="20"/>
        </w:rPr>
        <w:t xml:space="preserve">taken place at Calperum Station. </w:t>
      </w:r>
      <w:r w:rsidR="00303036">
        <w:rPr>
          <w:rFonts w:cs="Arial"/>
          <w:szCs w:val="20"/>
        </w:rPr>
        <w:t xml:space="preserve">The land manager </w:t>
      </w:r>
      <w:r>
        <w:rPr>
          <w:rFonts w:cs="Arial"/>
          <w:szCs w:val="20"/>
        </w:rPr>
        <w:t xml:space="preserve">provided vegetation mapping GIS layers, which described the locations of Black Box throughout the site. This was used as a starting point for defining Black Box patch units and as a basis for field investigations. </w:t>
      </w:r>
    </w:p>
    <w:p w14:paraId="22614194" w14:textId="77777777" w:rsidR="009E5DA0" w:rsidRPr="008F287D" w:rsidRDefault="009E5DA0" w:rsidP="009E5DA0">
      <w:pPr>
        <w:spacing w:after="120"/>
        <w:rPr>
          <w:rFonts w:cs="Arial"/>
          <w:szCs w:val="20"/>
        </w:rPr>
      </w:pPr>
      <w:r w:rsidRPr="008F287D">
        <w:rPr>
          <w:rFonts w:cs="Arial"/>
          <w:szCs w:val="20"/>
        </w:rPr>
        <w:t xml:space="preserve">The elements which were completed as part of the condition </w:t>
      </w:r>
      <w:r>
        <w:rPr>
          <w:rFonts w:cs="Arial"/>
          <w:szCs w:val="20"/>
        </w:rPr>
        <w:t>assessment are described below:</w:t>
      </w:r>
    </w:p>
    <w:p w14:paraId="081D9A1E" w14:textId="77777777" w:rsidR="009E5DA0" w:rsidRPr="008F287D" w:rsidRDefault="009E5DA0" w:rsidP="00F22225">
      <w:pPr>
        <w:pStyle w:val="CommentText"/>
        <w:numPr>
          <w:ilvl w:val="0"/>
          <w:numId w:val="64"/>
        </w:numPr>
        <w:spacing w:after="120"/>
        <w:rPr>
          <w:rFonts w:cs="Arial"/>
        </w:rPr>
      </w:pPr>
      <w:r>
        <w:rPr>
          <w:rFonts w:cs="Arial"/>
        </w:rPr>
        <w:t>Condition C</w:t>
      </w:r>
      <w:r w:rsidRPr="008F287D">
        <w:rPr>
          <w:rFonts w:cs="Arial"/>
        </w:rPr>
        <w:t xml:space="preserve">lass: Condition was assessed using a qualitative approach considering a combination of dieback, crown cover, and epicormic growth. Visual inspection was at a patch scale, with the estimation of condition taking into consideration the overall condition within a patch, rather than that of individual trees. </w:t>
      </w:r>
    </w:p>
    <w:p w14:paraId="72AE3215" w14:textId="77777777" w:rsidR="009E5DA0" w:rsidRPr="008F287D" w:rsidRDefault="009E5DA0" w:rsidP="00F22225">
      <w:pPr>
        <w:pStyle w:val="CommentText"/>
        <w:numPr>
          <w:ilvl w:val="0"/>
          <w:numId w:val="64"/>
        </w:numPr>
        <w:spacing w:after="120"/>
        <w:rPr>
          <w:rFonts w:cs="Arial"/>
        </w:rPr>
      </w:pPr>
      <w:r w:rsidRPr="008F287D">
        <w:rPr>
          <w:rFonts w:cs="Arial"/>
        </w:rPr>
        <w:t>Gro</w:t>
      </w:r>
      <w:r>
        <w:rPr>
          <w:rFonts w:cs="Arial"/>
        </w:rPr>
        <w:t>wth F</w:t>
      </w:r>
      <w:r w:rsidRPr="008F287D">
        <w:rPr>
          <w:rFonts w:cs="Arial"/>
        </w:rPr>
        <w:t>orm: Growth form within patches was recorded to capture observed patterns between growth forms; for example, some patches contained small “good” to “medium” condition trees alongside tall “poor” or “dead” trees. These patterns may have implications for management planning</w:t>
      </w:r>
      <w:r>
        <w:rPr>
          <w:rFonts w:cs="Arial"/>
        </w:rPr>
        <w:t xml:space="preserve"> and likely indicate different age cohorts and different water sources</w:t>
      </w:r>
      <w:r w:rsidRPr="008F287D">
        <w:rPr>
          <w:rFonts w:cs="Arial"/>
        </w:rPr>
        <w:t>.</w:t>
      </w:r>
    </w:p>
    <w:p w14:paraId="1FC450E2" w14:textId="77777777" w:rsidR="009E5DA0" w:rsidRPr="008F287D" w:rsidRDefault="009E5DA0" w:rsidP="00F22225">
      <w:pPr>
        <w:pStyle w:val="CommentText"/>
        <w:numPr>
          <w:ilvl w:val="0"/>
          <w:numId w:val="64"/>
        </w:numPr>
        <w:spacing w:after="120"/>
        <w:rPr>
          <w:rFonts w:cs="Arial"/>
        </w:rPr>
      </w:pPr>
      <w:r w:rsidRPr="008F287D">
        <w:rPr>
          <w:rFonts w:cs="Arial"/>
        </w:rPr>
        <w:t xml:space="preserve">Density: Density classes were assigned to Black Box units </w:t>
      </w:r>
      <w:r>
        <w:rPr>
          <w:rFonts w:cs="Arial"/>
        </w:rPr>
        <w:t xml:space="preserve">on the ground and </w:t>
      </w:r>
      <w:r w:rsidRPr="008F287D">
        <w:rPr>
          <w:rFonts w:cs="Arial"/>
        </w:rPr>
        <w:t xml:space="preserve">using aerial imagery as part of post-field survey digitisation of patches. </w:t>
      </w:r>
    </w:p>
    <w:p w14:paraId="495FAE51" w14:textId="77777777" w:rsidR="009E5DA0" w:rsidRDefault="009E5DA0" w:rsidP="00F22225">
      <w:pPr>
        <w:pStyle w:val="CommentText"/>
        <w:numPr>
          <w:ilvl w:val="0"/>
          <w:numId w:val="64"/>
        </w:numPr>
        <w:spacing w:after="120"/>
      </w:pPr>
      <w:r w:rsidRPr="008F287D">
        <w:rPr>
          <w:rFonts w:cs="Arial"/>
        </w:rPr>
        <w:t>Condition verification via satellite image analysis: To support the field assessments of Black Box condition, satellite imagery was used to create a series of normalized difference vegetation index (NDVI) layers for the years 1988, 2005, 2012, and 2017. NDVI Change Detection was then performed using image differencing between the years 1988</w:t>
      </w:r>
      <w:r w:rsidRPr="001E689A">
        <w:t>-2005, and 2005-2017</w:t>
      </w:r>
      <w:r>
        <w:t xml:space="preserve">. </w:t>
      </w:r>
    </w:p>
    <w:p w14:paraId="76AF2673" w14:textId="77777777" w:rsidR="009E5DA0" w:rsidRPr="00F71E20" w:rsidRDefault="009E5DA0" w:rsidP="009E5DA0">
      <w:pPr>
        <w:pStyle w:val="CommentText"/>
        <w:spacing w:after="0"/>
        <w:rPr>
          <w:rFonts w:cs="Arial"/>
          <w:b/>
        </w:rPr>
      </w:pPr>
      <w:r w:rsidRPr="00C260AB">
        <w:rPr>
          <w:rFonts w:cs="Arial"/>
          <w:b/>
        </w:rPr>
        <w:t>Field surveys and mapping</w:t>
      </w:r>
    </w:p>
    <w:p w14:paraId="3862FF7E" w14:textId="335963ED" w:rsidR="009E5DA0" w:rsidRDefault="009E5DA0" w:rsidP="009E5DA0">
      <w:pPr>
        <w:pStyle w:val="NoSpacing"/>
        <w:spacing w:line="276" w:lineRule="auto"/>
        <w:rPr>
          <w:rFonts w:ascii="Arial" w:hAnsi="Arial" w:cs="Arial"/>
          <w:sz w:val="20"/>
          <w:szCs w:val="20"/>
        </w:rPr>
      </w:pPr>
      <w:r w:rsidRPr="00F71E20">
        <w:rPr>
          <w:rFonts w:ascii="Arial" w:hAnsi="Arial" w:cs="Arial"/>
          <w:sz w:val="20"/>
          <w:szCs w:val="20"/>
        </w:rPr>
        <w:t>Field surveys were conducted to map the presence and condition of Black Box vegetation patches. Existing Black Box unit boundaries at the site</w:t>
      </w:r>
      <w:r>
        <w:rPr>
          <w:rFonts w:ascii="Arial" w:hAnsi="Arial" w:cs="Arial"/>
          <w:sz w:val="20"/>
          <w:szCs w:val="20"/>
        </w:rPr>
        <w:t xml:space="preserve"> </w:t>
      </w:r>
      <w:r w:rsidRPr="00F71E20">
        <w:rPr>
          <w:rFonts w:ascii="Arial" w:hAnsi="Arial" w:cs="Arial"/>
          <w:sz w:val="20"/>
          <w:szCs w:val="20"/>
        </w:rPr>
        <w:t xml:space="preserve">were redefined or verified, and sub-divided into specific units based on a visual assessment of condition. During the field surveys, a great deal of spatial variability of condition was observed within patches, some of which may be explained by individual variation and may not necessarily be due to stressors. As individual variability would not influence management planning, assessment of the most common condition was made at the patch scale. After each field survey was conducted Black Box attributes of condition and growth form that had been recorded on paper maps were digitised using </w:t>
      </w:r>
      <w:r>
        <w:rPr>
          <w:rFonts w:ascii="Arial" w:hAnsi="Arial" w:cs="Arial"/>
          <w:sz w:val="20"/>
          <w:szCs w:val="20"/>
        </w:rPr>
        <w:t>spatial analysis software</w:t>
      </w:r>
      <w:r w:rsidRPr="00F71E20">
        <w:rPr>
          <w:rFonts w:ascii="Arial" w:hAnsi="Arial" w:cs="Arial"/>
          <w:sz w:val="20"/>
          <w:szCs w:val="20"/>
        </w:rPr>
        <w:t>. Pre-existing vegetation polygons were modified, sub-divided, removed, or created to match the data recorded during the site visit.</w:t>
      </w:r>
      <w:r>
        <w:rPr>
          <w:rFonts w:ascii="Arial" w:hAnsi="Arial" w:cs="Arial"/>
          <w:sz w:val="20"/>
          <w:szCs w:val="20"/>
        </w:rPr>
        <w:t xml:space="preserve"> </w:t>
      </w:r>
    </w:p>
    <w:p w14:paraId="48F04609" w14:textId="77777777" w:rsidR="009E5DA0" w:rsidRPr="00F71E20" w:rsidRDefault="009E5DA0" w:rsidP="009E5DA0">
      <w:pPr>
        <w:pStyle w:val="NoSpacing"/>
        <w:spacing w:line="276" w:lineRule="auto"/>
        <w:rPr>
          <w:rFonts w:ascii="Arial" w:hAnsi="Arial" w:cs="Arial"/>
          <w:sz w:val="20"/>
          <w:szCs w:val="20"/>
        </w:rPr>
      </w:pPr>
    </w:p>
    <w:p w14:paraId="44BBA920" w14:textId="77777777" w:rsidR="009E5DA0" w:rsidRPr="00B41D41" w:rsidRDefault="009E5DA0" w:rsidP="009E5DA0">
      <w:pPr>
        <w:pStyle w:val="NoSpacing"/>
        <w:rPr>
          <w:b/>
        </w:rPr>
      </w:pPr>
      <w:r w:rsidRPr="00B41D41">
        <w:rPr>
          <w:b/>
        </w:rPr>
        <w:t>Results</w:t>
      </w:r>
    </w:p>
    <w:p w14:paraId="6E541301" w14:textId="0CCC964D" w:rsidR="009E5DA0" w:rsidRDefault="009E5DA0" w:rsidP="009E5DA0">
      <w:pPr>
        <w:pStyle w:val="CommentText"/>
        <w:rPr>
          <w:rFonts w:cs="Arial"/>
        </w:rPr>
      </w:pPr>
      <w:r>
        <w:t>Following an assessment of the condition class, growth form, density, uncertainty and verification via satellite imagery, a final condition class was determined for each Black Box management unit</w:t>
      </w:r>
      <w:r w:rsidR="00FC45AD">
        <w:t xml:space="preserve"> by</w:t>
      </w:r>
      <w:r>
        <w:t xml:space="preserve"> combin</w:t>
      </w:r>
      <w:r w:rsidR="00FC45AD">
        <w:t>ing</w:t>
      </w:r>
      <w:r>
        <w:t xml:space="preserve"> each of the</w:t>
      </w:r>
      <w:r w:rsidR="00FC45AD">
        <w:t>se</w:t>
      </w:r>
      <w:r>
        <w:t xml:space="preserve"> assessed </w:t>
      </w:r>
      <w:r w:rsidR="00FC45AD">
        <w:t>elements</w:t>
      </w:r>
      <w:r>
        <w:t>. The Table and Figure below show the</w:t>
      </w:r>
      <w:r w:rsidRPr="00093FF8">
        <w:rPr>
          <w:rFonts w:cs="Arial"/>
          <w:color w:val="000000"/>
        </w:rPr>
        <w:t xml:space="preserve"> number of Black Box management units for each condition cla</w:t>
      </w:r>
      <w:r>
        <w:rPr>
          <w:rFonts w:cs="Arial"/>
          <w:color w:val="000000"/>
        </w:rPr>
        <w:t>ss,</w:t>
      </w:r>
      <w:r w:rsidRPr="00093FF8">
        <w:rPr>
          <w:rFonts w:cs="Arial"/>
          <w:color w:val="000000"/>
        </w:rPr>
        <w:t xml:space="preserve"> the total area of Black Box</w:t>
      </w:r>
      <w:r>
        <w:rPr>
          <w:rFonts w:cs="Arial"/>
          <w:color w:val="000000"/>
        </w:rPr>
        <w:t>, and the spatial distribution of Black Box condition</w:t>
      </w:r>
      <w:r>
        <w:rPr>
          <w:rFonts w:cs="Arial"/>
        </w:rPr>
        <w:t>.</w:t>
      </w:r>
    </w:p>
    <w:tbl>
      <w:tblPr>
        <w:tblStyle w:val="Table1"/>
        <w:tblW w:w="0" w:type="auto"/>
        <w:jc w:val="center"/>
        <w:tblInd w:w="0" w:type="dxa"/>
        <w:tblBorders>
          <w:top w:val="single" w:sz="4" w:space="0" w:color="auto"/>
          <w:left w:val="none" w:sz="0"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485"/>
        <w:gridCol w:w="1225"/>
        <w:gridCol w:w="1458"/>
      </w:tblGrid>
      <w:tr w:rsidR="009E5DA0" w:rsidRPr="009C0B20" w14:paraId="2926A2EB" w14:textId="77777777" w:rsidTr="009E5DA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2A69FA29" w14:textId="77777777" w:rsidR="009E5DA0" w:rsidRPr="00666340" w:rsidRDefault="009E5DA0" w:rsidP="009671D7">
            <w:pPr>
              <w:autoSpaceDE w:val="0"/>
              <w:autoSpaceDN w:val="0"/>
              <w:adjustRightInd w:val="0"/>
              <w:spacing w:after="0" w:line="240" w:lineRule="auto"/>
              <w:rPr>
                <w:rFonts w:ascii="Calibri" w:eastAsia="Times New Roman" w:hAnsi="Calibri" w:cs="Calibri"/>
                <w:color w:val="auto"/>
              </w:rPr>
            </w:pPr>
            <w:r w:rsidRPr="00666340">
              <w:rPr>
                <w:rFonts w:ascii="Calibri" w:eastAsia="Times New Roman" w:hAnsi="Calibri" w:cs="Calibri"/>
                <w:color w:val="auto"/>
              </w:rPr>
              <w:t>Condition Class</w:t>
            </w:r>
          </w:p>
        </w:tc>
        <w:tc>
          <w:tcPr>
            <w:tcW w:w="0" w:type="auto"/>
            <w:shd w:val="clear" w:color="auto" w:fill="FFFFFF" w:themeFill="background1"/>
          </w:tcPr>
          <w:p w14:paraId="3EAEC6D8" w14:textId="77777777" w:rsidR="009E5DA0" w:rsidRPr="00666340" w:rsidRDefault="009E5DA0" w:rsidP="009671D7">
            <w:pPr>
              <w:autoSpaceDE w:val="0"/>
              <w:autoSpaceDN w:val="0"/>
              <w:adjustRightInd w:val="0"/>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auto"/>
              </w:rPr>
            </w:pPr>
            <w:r w:rsidRPr="00666340">
              <w:rPr>
                <w:rFonts w:ascii="Calibri" w:eastAsia="Times New Roman" w:hAnsi="Calibri" w:cs="Calibri"/>
                <w:color w:val="auto"/>
              </w:rPr>
              <w:t>Patch Count</w:t>
            </w:r>
          </w:p>
        </w:tc>
        <w:tc>
          <w:tcPr>
            <w:tcW w:w="0" w:type="auto"/>
            <w:shd w:val="clear" w:color="auto" w:fill="FFFFFF" w:themeFill="background1"/>
          </w:tcPr>
          <w:p w14:paraId="520F1F0A" w14:textId="77777777" w:rsidR="009E5DA0" w:rsidRPr="00666340" w:rsidRDefault="009E5DA0" w:rsidP="009671D7">
            <w:pPr>
              <w:autoSpaceDE w:val="0"/>
              <w:autoSpaceDN w:val="0"/>
              <w:adjustRightInd w:val="0"/>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auto"/>
              </w:rPr>
            </w:pPr>
            <w:r w:rsidRPr="00666340">
              <w:rPr>
                <w:rFonts w:ascii="Calibri" w:eastAsia="Times New Roman" w:hAnsi="Calibri" w:cs="Calibri"/>
                <w:color w:val="auto"/>
              </w:rPr>
              <w:t>Total Area [ha]</w:t>
            </w:r>
          </w:p>
        </w:tc>
      </w:tr>
      <w:tr w:rsidR="009E5DA0" w:rsidRPr="009C0B20" w14:paraId="1F771638" w14:textId="77777777" w:rsidTr="009E5DA0">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4A44D482" w14:textId="77777777" w:rsidR="009E5DA0" w:rsidRPr="009C0B20" w:rsidRDefault="009E5DA0" w:rsidP="009671D7">
            <w:pPr>
              <w:autoSpaceDE w:val="0"/>
              <w:autoSpaceDN w:val="0"/>
              <w:adjustRightInd w:val="0"/>
              <w:spacing w:after="0" w:line="240" w:lineRule="auto"/>
              <w:rPr>
                <w:rFonts w:ascii="Calibri" w:eastAsia="Times New Roman" w:hAnsi="Calibri" w:cs="Calibri"/>
                <w:color w:val="000000"/>
              </w:rPr>
            </w:pPr>
            <w:r w:rsidRPr="009C0B20">
              <w:rPr>
                <w:rFonts w:ascii="Calibri" w:eastAsia="Times New Roman" w:hAnsi="Calibri" w:cs="Calibri"/>
                <w:color w:val="000000"/>
              </w:rPr>
              <w:t>1 – Good</w:t>
            </w:r>
          </w:p>
        </w:tc>
        <w:tc>
          <w:tcPr>
            <w:tcW w:w="0" w:type="auto"/>
            <w:shd w:val="clear" w:color="auto" w:fill="FFFFFF" w:themeFill="background1"/>
          </w:tcPr>
          <w:p w14:paraId="4D994F79" w14:textId="77777777" w:rsidR="009E5DA0" w:rsidRPr="009C0B20" w:rsidRDefault="009E5DA0" w:rsidP="009671D7">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9C0B20">
              <w:rPr>
                <w:rFonts w:ascii="Calibri" w:eastAsia="Times New Roman" w:hAnsi="Calibri" w:cs="Calibri"/>
                <w:color w:val="000000"/>
              </w:rPr>
              <w:t>58</w:t>
            </w:r>
          </w:p>
        </w:tc>
        <w:tc>
          <w:tcPr>
            <w:tcW w:w="0" w:type="auto"/>
            <w:shd w:val="clear" w:color="auto" w:fill="FFFFFF" w:themeFill="background1"/>
          </w:tcPr>
          <w:p w14:paraId="0D8AC368" w14:textId="77777777" w:rsidR="009E5DA0" w:rsidRPr="009C0B20" w:rsidRDefault="009E5DA0" w:rsidP="009671D7">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9C0B20">
              <w:rPr>
                <w:rFonts w:ascii="Calibri" w:eastAsia="Times New Roman" w:hAnsi="Calibri" w:cs="Calibri"/>
                <w:color w:val="000000"/>
              </w:rPr>
              <w:t>1282</w:t>
            </w:r>
          </w:p>
        </w:tc>
      </w:tr>
      <w:tr w:rsidR="009E5DA0" w:rsidRPr="009C0B20" w14:paraId="1F9F7723" w14:textId="77777777" w:rsidTr="009E5DA0">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369C26FB" w14:textId="77777777" w:rsidR="009E5DA0" w:rsidRPr="009C0B20" w:rsidRDefault="009E5DA0" w:rsidP="009671D7">
            <w:pPr>
              <w:autoSpaceDE w:val="0"/>
              <w:autoSpaceDN w:val="0"/>
              <w:adjustRightInd w:val="0"/>
              <w:spacing w:after="0" w:line="240" w:lineRule="auto"/>
              <w:rPr>
                <w:rFonts w:ascii="Calibri" w:eastAsia="Times New Roman" w:hAnsi="Calibri" w:cs="Calibri"/>
                <w:color w:val="000000"/>
              </w:rPr>
            </w:pPr>
            <w:r w:rsidRPr="009C0B20">
              <w:rPr>
                <w:rFonts w:ascii="Calibri" w:eastAsia="Times New Roman" w:hAnsi="Calibri" w:cs="Calibri"/>
                <w:color w:val="000000"/>
              </w:rPr>
              <w:t>2 – Medium</w:t>
            </w:r>
          </w:p>
        </w:tc>
        <w:tc>
          <w:tcPr>
            <w:tcW w:w="0" w:type="auto"/>
            <w:shd w:val="clear" w:color="auto" w:fill="FFFFFF" w:themeFill="background1"/>
          </w:tcPr>
          <w:p w14:paraId="1F902D59" w14:textId="77777777" w:rsidR="009E5DA0" w:rsidRPr="009C0B20" w:rsidRDefault="009E5DA0" w:rsidP="009671D7">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9C0B20">
              <w:rPr>
                <w:rFonts w:ascii="Calibri" w:eastAsia="Times New Roman" w:hAnsi="Calibri" w:cs="Calibri"/>
                <w:color w:val="000000"/>
              </w:rPr>
              <w:t>123</w:t>
            </w:r>
          </w:p>
        </w:tc>
        <w:tc>
          <w:tcPr>
            <w:tcW w:w="0" w:type="auto"/>
            <w:shd w:val="clear" w:color="auto" w:fill="FFFFFF" w:themeFill="background1"/>
          </w:tcPr>
          <w:p w14:paraId="792871B7" w14:textId="77777777" w:rsidR="009E5DA0" w:rsidRPr="009C0B20" w:rsidRDefault="009E5DA0" w:rsidP="009671D7">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9C0B20">
              <w:rPr>
                <w:rFonts w:ascii="Calibri" w:eastAsia="Times New Roman" w:hAnsi="Calibri" w:cs="Calibri"/>
                <w:color w:val="000000"/>
              </w:rPr>
              <w:t>1852</w:t>
            </w:r>
          </w:p>
        </w:tc>
      </w:tr>
      <w:tr w:rsidR="009E5DA0" w:rsidRPr="009C0B20" w14:paraId="32CBC54D" w14:textId="77777777" w:rsidTr="009E5DA0">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43AA44B8" w14:textId="77777777" w:rsidR="009E5DA0" w:rsidRPr="009C0B20" w:rsidRDefault="009E5DA0" w:rsidP="009671D7">
            <w:pPr>
              <w:autoSpaceDE w:val="0"/>
              <w:autoSpaceDN w:val="0"/>
              <w:adjustRightInd w:val="0"/>
              <w:spacing w:after="0" w:line="240" w:lineRule="auto"/>
              <w:rPr>
                <w:rFonts w:ascii="Calibri" w:eastAsia="Times New Roman" w:hAnsi="Calibri" w:cs="Calibri"/>
                <w:color w:val="000000"/>
              </w:rPr>
            </w:pPr>
            <w:r w:rsidRPr="009C0B20">
              <w:rPr>
                <w:rFonts w:ascii="Calibri" w:eastAsia="Times New Roman" w:hAnsi="Calibri" w:cs="Calibri"/>
                <w:color w:val="000000"/>
              </w:rPr>
              <w:t>3 – Poor</w:t>
            </w:r>
          </w:p>
        </w:tc>
        <w:tc>
          <w:tcPr>
            <w:tcW w:w="0" w:type="auto"/>
            <w:shd w:val="clear" w:color="auto" w:fill="FFFFFF" w:themeFill="background1"/>
          </w:tcPr>
          <w:p w14:paraId="761B19DC" w14:textId="77777777" w:rsidR="009E5DA0" w:rsidRPr="009C0B20" w:rsidRDefault="009E5DA0" w:rsidP="009671D7">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9C0B20">
              <w:rPr>
                <w:rFonts w:ascii="Calibri" w:eastAsia="Times New Roman" w:hAnsi="Calibri" w:cs="Calibri"/>
                <w:color w:val="000000"/>
              </w:rPr>
              <w:t>10</w:t>
            </w:r>
          </w:p>
        </w:tc>
        <w:tc>
          <w:tcPr>
            <w:tcW w:w="0" w:type="auto"/>
            <w:shd w:val="clear" w:color="auto" w:fill="FFFFFF" w:themeFill="background1"/>
          </w:tcPr>
          <w:p w14:paraId="08BC1705" w14:textId="77777777" w:rsidR="009E5DA0" w:rsidRPr="009C0B20" w:rsidRDefault="009E5DA0" w:rsidP="009671D7">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9C0B20">
              <w:rPr>
                <w:rFonts w:ascii="Calibri" w:eastAsia="Times New Roman" w:hAnsi="Calibri" w:cs="Calibri"/>
                <w:color w:val="000000"/>
              </w:rPr>
              <w:t>297</w:t>
            </w:r>
          </w:p>
        </w:tc>
      </w:tr>
      <w:tr w:rsidR="009E5DA0" w:rsidRPr="009C0B20" w14:paraId="7432F2A5" w14:textId="77777777" w:rsidTr="009E5DA0">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4E5CF470" w14:textId="77777777" w:rsidR="009E5DA0" w:rsidRPr="009C0B20" w:rsidRDefault="009E5DA0" w:rsidP="009671D7">
            <w:pPr>
              <w:autoSpaceDE w:val="0"/>
              <w:autoSpaceDN w:val="0"/>
              <w:adjustRightInd w:val="0"/>
              <w:spacing w:after="0" w:line="240" w:lineRule="auto"/>
              <w:rPr>
                <w:rFonts w:ascii="Calibri" w:eastAsia="Times New Roman" w:hAnsi="Calibri" w:cs="Calibri"/>
                <w:color w:val="000000"/>
              </w:rPr>
            </w:pPr>
            <w:r w:rsidRPr="009C0B20">
              <w:rPr>
                <w:rFonts w:ascii="Calibri" w:eastAsia="Times New Roman" w:hAnsi="Calibri" w:cs="Calibri"/>
                <w:color w:val="000000"/>
              </w:rPr>
              <w:t>4 - Dead</w:t>
            </w:r>
          </w:p>
        </w:tc>
        <w:tc>
          <w:tcPr>
            <w:tcW w:w="0" w:type="auto"/>
            <w:shd w:val="clear" w:color="auto" w:fill="FFFFFF" w:themeFill="background1"/>
          </w:tcPr>
          <w:p w14:paraId="5F1A41E1" w14:textId="77777777" w:rsidR="009E5DA0" w:rsidRPr="009C0B20" w:rsidRDefault="009E5DA0" w:rsidP="009671D7">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9C0B20">
              <w:rPr>
                <w:rFonts w:ascii="Calibri" w:eastAsia="Times New Roman" w:hAnsi="Calibri" w:cs="Calibri"/>
                <w:color w:val="000000"/>
              </w:rPr>
              <w:t>31</w:t>
            </w:r>
          </w:p>
        </w:tc>
        <w:tc>
          <w:tcPr>
            <w:tcW w:w="0" w:type="auto"/>
            <w:shd w:val="clear" w:color="auto" w:fill="FFFFFF" w:themeFill="background1"/>
          </w:tcPr>
          <w:p w14:paraId="0D5E42BD" w14:textId="77777777" w:rsidR="009E5DA0" w:rsidRPr="009C0B20" w:rsidRDefault="009E5DA0" w:rsidP="009671D7">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9C0B20">
              <w:rPr>
                <w:rFonts w:ascii="Calibri" w:eastAsia="Times New Roman" w:hAnsi="Calibri" w:cs="Calibri"/>
                <w:color w:val="000000"/>
              </w:rPr>
              <w:t>212</w:t>
            </w:r>
          </w:p>
        </w:tc>
      </w:tr>
    </w:tbl>
    <w:p w14:paraId="67278DA5" w14:textId="022CFEAB" w:rsidR="00174561" w:rsidRDefault="00174561" w:rsidP="002D3134">
      <w:pPr>
        <w:pStyle w:val="Para0"/>
      </w:pPr>
    </w:p>
    <w:p w14:paraId="2E6F363A" w14:textId="77777777" w:rsidR="00174561" w:rsidRDefault="00174561" w:rsidP="002D3134">
      <w:pPr>
        <w:pStyle w:val="Para0"/>
        <w:sectPr w:rsidR="00174561" w:rsidSect="00681FFA">
          <w:pgSz w:w="11906" w:h="16838" w:code="9"/>
          <w:pgMar w:top="567" w:right="851" w:bottom="851" w:left="1134" w:header="567" w:footer="370" w:gutter="0"/>
          <w:cols w:space="0"/>
          <w:formProt w:val="0"/>
          <w:docGrid w:linePitch="360"/>
        </w:sectPr>
      </w:pPr>
    </w:p>
    <w:p w14:paraId="52B49723" w14:textId="60905FFB" w:rsidR="009E5DA0" w:rsidRDefault="009E5DA0" w:rsidP="009E5DA0">
      <w:pPr>
        <w:jc w:val="center"/>
        <w:rPr>
          <w:b/>
        </w:rPr>
      </w:pPr>
      <w:bookmarkStart w:id="75" w:name="_Ref504549142"/>
      <w:r>
        <w:rPr>
          <w:b/>
          <w:noProof/>
          <w:lang w:eastAsia="en-AU"/>
        </w:rPr>
        <mc:AlternateContent>
          <mc:Choice Requires="wps">
            <w:drawing>
              <wp:anchor distT="0" distB="0" distL="114300" distR="114300" simplePos="0" relativeHeight="251588606" behindDoc="1" locked="0" layoutInCell="1" allowOverlap="1" wp14:anchorId="1DBF10A7" wp14:editId="264FA893">
                <wp:simplePos x="0" y="0"/>
                <wp:positionH relativeFrom="column">
                  <wp:posOffset>295187</wp:posOffset>
                </wp:positionH>
                <wp:positionV relativeFrom="paragraph">
                  <wp:posOffset>-139459</wp:posOffset>
                </wp:positionV>
                <wp:extent cx="8765628" cy="5674973"/>
                <wp:effectExtent l="0" t="0" r="16510" b="21590"/>
                <wp:wrapNone/>
                <wp:docPr id="30" name="Rectangle 30"/>
                <wp:cNvGraphicFramePr/>
                <a:graphic xmlns:a="http://schemas.openxmlformats.org/drawingml/2006/main">
                  <a:graphicData uri="http://schemas.microsoft.com/office/word/2010/wordprocessingShape">
                    <wps:wsp>
                      <wps:cNvSpPr/>
                      <wps:spPr>
                        <a:xfrm>
                          <a:off x="0" y="0"/>
                          <a:ext cx="8765628" cy="5674973"/>
                        </a:xfrm>
                        <a:prstGeom prst="rect">
                          <a:avLst/>
                        </a:prstGeom>
                        <a:solidFill>
                          <a:schemeClr val="accent4">
                            <a:lumMod val="60000"/>
                            <a:lumOff val="40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646AE4" id="Rectangle 30" o:spid="_x0000_s1026" style="position:absolute;margin-left:23.25pt;margin-top:-11pt;width:690.2pt;height:446.85pt;z-index:-2517278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" fillcolor="#bccdc0 [1943]" strokecolor="#374e54 [1604]" strokeweight="1pt"/>
            </w:pict>
          </mc:Fallback>
        </mc:AlternateContent>
      </w:r>
      <w:r>
        <w:rPr>
          <w:b/>
        </w:rPr>
        <w:t xml:space="preserve">Case Study </w:t>
      </w:r>
      <w:r w:rsidRPr="00391D89">
        <w:rPr>
          <w:b/>
        </w:rPr>
        <w:t xml:space="preserve">Box </w:t>
      </w:r>
      <w:r>
        <w:rPr>
          <w:b/>
        </w:rPr>
        <w:t>1</w:t>
      </w:r>
      <w:r w:rsidRPr="00391D89">
        <w:rPr>
          <w:b/>
        </w:rPr>
        <w:t xml:space="preserve">: </w:t>
      </w:r>
      <w:r>
        <w:rPr>
          <w:b/>
        </w:rPr>
        <w:t>Rapid Condition Assessment at Calperum Station</w:t>
      </w:r>
    </w:p>
    <w:p w14:paraId="7517029D" w14:textId="77777777" w:rsidR="009E5DA0" w:rsidRDefault="009E5DA0" w:rsidP="009E5DA0">
      <w:pPr>
        <w:jc w:val="center"/>
        <w:rPr>
          <w:b/>
        </w:rPr>
      </w:pPr>
      <w:r>
        <w:rPr>
          <w:b/>
          <w:noProof/>
          <w:lang w:eastAsia="en-AU"/>
        </w:rPr>
        <w:drawing>
          <wp:inline distT="0" distB="0" distL="0" distR="0" wp14:anchorId="48E4C177" wp14:editId="0ADEC601">
            <wp:extent cx="4690406" cy="7073534"/>
            <wp:effectExtent l="8572" t="0" r="4763" b="4762"/>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rot="5400000">
                      <a:off x="0" y="0"/>
                      <a:ext cx="4701779" cy="7090685"/>
                    </a:xfrm>
                    <a:prstGeom prst="rect">
                      <a:avLst/>
                    </a:prstGeom>
                    <a:noFill/>
                  </pic:spPr>
                </pic:pic>
              </a:graphicData>
            </a:graphic>
          </wp:inline>
        </w:drawing>
      </w:r>
    </w:p>
    <w:p w14:paraId="6C32D1E6" w14:textId="7C83CABE" w:rsidR="0049520C" w:rsidRPr="00DD2CEB" w:rsidRDefault="009E5DA0" w:rsidP="009E5DA0">
      <w:pPr>
        <w:pStyle w:val="Para0"/>
        <w:jc w:val="center"/>
        <w:rPr>
          <w:b/>
          <w:color w:val="65876D" w:themeColor="accent4" w:themeShade="BF"/>
        </w:rPr>
      </w:pPr>
      <w:bookmarkStart w:id="76" w:name="_Ref497919126"/>
      <w:bookmarkStart w:id="77" w:name="_Toc514018078"/>
      <w:r w:rsidRPr="00DD2CEB">
        <w:rPr>
          <w:b/>
        </w:rPr>
        <w:t xml:space="preserve">Figure </w:t>
      </w:r>
      <w:r w:rsidRPr="00DD2CEB">
        <w:rPr>
          <w:b/>
        </w:rPr>
        <w:fldChar w:fldCharType="begin"/>
      </w:r>
      <w:r w:rsidRPr="00DD2CEB">
        <w:rPr>
          <w:b/>
        </w:rPr>
        <w:instrText xml:space="preserve"> STYLEREF 1 \s </w:instrText>
      </w:r>
      <w:r w:rsidRPr="00DD2CEB">
        <w:rPr>
          <w:b/>
        </w:rPr>
        <w:fldChar w:fldCharType="separate"/>
      </w:r>
      <w:r w:rsidR="00BF015B" w:rsidRPr="00DD2CEB">
        <w:rPr>
          <w:b/>
          <w:noProof/>
        </w:rPr>
        <w:t>3</w:t>
      </w:r>
      <w:r w:rsidRPr="00DD2CEB">
        <w:rPr>
          <w:b/>
        </w:rPr>
        <w:fldChar w:fldCharType="end"/>
      </w:r>
      <w:r w:rsidRPr="00DD2CEB">
        <w:rPr>
          <w:b/>
        </w:rPr>
        <w:noBreakHyphen/>
      </w:r>
      <w:r w:rsidRPr="00DD2CEB">
        <w:rPr>
          <w:b/>
        </w:rPr>
        <w:fldChar w:fldCharType="begin"/>
      </w:r>
      <w:r w:rsidRPr="00DD2CEB">
        <w:rPr>
          <w:b/>
        </w:rPr>
        <w:instrText xml:space="preserve"> SEQ Figure \* ARABIC \s 1 </w:instrText>
      </w:r>
      <w:r w:rsidRPr="00DD2CEB">
        <w:rPr>
          <w:b/>
        </w:rPr>
        <w:fldChar w:fldCharType="separate"/>
      </w:r>
      <w:r w:rsidR="00BF015B" w:rsidRPr="00DD2CEB">
        <w:rPr>
          <w:b/>
          <w:noProof/>
        </w:rPr>
        <w:t>6</w:t>
      </w:r>
      <w:r w:rsidRPr="00DD2CEB">
        <w:rPr>
          <w:b/>
        </w:rPr>
        <w:fldChar w:fldCharType="end"/>
      </w:r>
      <w:bookmarkEnd w:id="76"/>
      <w:r w:rsidRPr="00DD2CEB">
        <w:rPr>
          <w:b/>
        </w:rPr>
        <w:t>: Calperum Station Black Box Condition</w:t>
      </w:r>
      <w:bookmarkEnd w:id="77"/>
    </w:p>
    <w:p w14:paraId="54C75366" w14:textId="0AF71E22" w:rsidR="00174561" w:rsidRDefault="00174561" w:rsidP="006B1DBB">
      <w:pPr>
        <w:pStyle w:val="Para0"/>
        <w:rPr>
          <w:color w:val="65876D" w:themeColor="accent4" w:themeShade="BF"/>
        </w:rPr>
        <w:sectPr w:rsidR="00174561" w:rsidSect="00A40029">
          <w:pgSz w:w="16838" w:h="11906" w:orient="landscape" w:code="9"/>
          <w:pgMar w:top="1134" w:right="567" w:bottom="851" w:left="851" w:header="567" w:footer="370" w:gutter="0"/>
          <w:cols w:space="0"/>
          <w:formProt w:val="0"/>
          <w:docGrid w:linePitch="360"/>
        </w:sectPr>
      </w:pPr>
    </w:p>
    <w:p w14:paraId="2BC172A5" w14:textId="0E047E1A" w:rsidR="003A2B40" w:rsidRPr="007B61D3" w:rsidRDefault="003A2B40" w:rsidP="00A40029">
      <w:pPr>
        <w:pStyle w:val="Heading2"/>
        <w:rPr>
          <w:color w:val="65876D" w:themeColor="accent4" w:themeShade="BF"/>
        </w:rPr>
      </w:pPr>
      <w:bookmarkStart w:id="78" w:name="_Toc514017997"/>
      <w:r w:rsidRPr="00A40029">
        <w:rPr>
          <w:color w:val="65876D" w:themeColor="accent4" w:themeShade="BF"/>
        </w:rPr>
        <w:t xml:space="preserve">STEP 2: IDENTIFICATION OF </w:t>
      </w:r>
      <w:r w:rsidR="00787A20">
        <w:rPr>
          <w:color w:val="65876D" w:themeColor="accent4" w:themeShade="BF"/>
        </w:rPr>
        <w:t>STRESSORS</w:t>
      </w:r>
      <w:bookmarkEnd w:id="78"/>
    </w:p>
    <w:bookmarkEnd w:id="75"/>
    <w:p w14:paraId="0C6FA1AC" w14:textId="4A5F53FE" w:rsidR="000E6792" w:rsidRDefault="000E6792" w:rsidP="007B61D3">
      <w:pPr>
        <w:pStyle w:val="Para0"/>
      </w:pPr>
      <w:r>
        <w:t>Identifying and understanding the stressors that are affecting Black Box condition is a key part of the site investigation process. This involves:</w:t>
      </w:r>
    </w:p>
    <w:p w14:paraId="17180692" w14:textId="03A1B27C" w:rsidR="000E6792" w:rsidRPr="000E6792" w:rsidRDefault="00A22862" w:rsidP="00F22225">
      <w:pPr>
        <w:pStyle w:val="NoSpacing"/>
        <w:numPr>
          <w:ilvl w:val="0"/>
          <w:numId w:val="56"/>
        </w:numPr>
        <w:autoSpaceDE w:val="0"/>
        <w:autoSpaceDN w:val="0"/>
        <w:adjustRightInd w:val="0"/>
        <w:spacing w:before="120" w:line="300" w:lineRule="auto"/>
        <w:rPr>
          <w:rFonts w:ascii="Arial" w:eastAsiaTheme="minorEastAsia" w:hAnsi="Arial"/>
          <w:sz w:val="20"/>
          <w:szCs w:val="24"/>
          <w:lang w:val="en-GB"/>
        </w:rPr>
      </w:pPr>
      <w:r>
        <w:rPr>
          <w:rFonts w:ascii="Arial" w:eastAsiaTheme="minorEastAsia" w:hAnsi="Arial"/>
          <w:sz w:val="20"/>
          <w:szCs w:val="24"/>
          <w:lang w:val="en-GB"/>
        </w:rPr>
        <w:t>Review of</w:t>
      </w:r>
      <w:r w:rsidR="009714EF">
        <w:rPr>
          <w:rFonts w:ascii="Arial" w:eastAsiaTheme="minorEastAsia" w:hAnsi="Arial"/>
          <w:sz w:val="20"/>
          <w:szCs w:val="24"/>
          <w:lang w:val="en-GB"/>
        </w:rPr>
        <w:t xml:space="preserve"> general</w:t>
      </w:r>
      <w:r>
        <w:rPr>
          <w:rFonts w:ascii="Arial" w:eastAsiaTheme="minorEastAsia" w:hAnsi="Arial"/>
          <w:sz w:val="20"/>
          <w:szCs w:val="24"/>
          <w:lang w:val="en-GB"/>
        </w:rPr>
        <w:t xml:space="preserve"> Black Box</w:t>
      </w:r>
      <w:r w:rsidR="000E6792" w:rsidRPr="000E6792">
        <w:rPr>
          <w:rFonts w:ascii="Arial" w:eastAsiaTheme="minorEastAsia" w:hAnsi="Arial"/>
          <w:sz w:val="20"/>
          <w:szCs w:val="24"/>
          <w:lang w:val="en-GB"/>
        </w:rPr>
        <w:t xml:space="preserve"> conceptual models </w:t>
      </w:r>
      <w:r>
        <w:rPr>
          <w:rFonts w:ascii="Arial" w:eastAsiaTheme="minorEastAsia" w:hAnsi="Arial"/>
          <w:sz w:val="20"/>
          <w:szCs w:val="24"/>
          <w:lang w:val="en-GB"/>
        </w:rPr>
        <w:t xml:space="preserve">and development </w:t>
      </w:r>
      <w:r w:rsidR="003A2B40">
        <w:rPr>
          <w:rFonts w:ascii="Arial" w:eastAsiaTheme="minorEastAsia" w:hAnsi="Arial"/>
          <w:sz w:val="20"/>
          <w:szCs w:val="24"/>
          <w:lang w:val="en-GB"/>
        </w:rPr>
        <w:t>of site</w:t>
      </w:r>
      <w:r>
        <w:rPr>
          <w:rFonts w:ascii="Arial" w:eastAsiaTheme="minorEastAsia" w:hAnsi="Arial"/>
          <w:sz w:val="20"/>
          <w:szCs w:val="24"/>
          <w:lang w:val="en-GB"/>
        </w:rPr>
        <w:t xml:space="preserve"> specific conceptual model</w:t>
      </w:r>
      <w:r w:rsidR="009714EF">
        <w:rPr>
          <w:rFonts w:ascii="Arial" w:eastAsiaTheme="minorEastAsia" w:hAnsi="Arial"/>
          <w:sz w:val="20"/>
          <w:szCs w:val="24"/>
          <w:lang w:val="en-GB"/>
        </w:rPr>
        <w:t>s</w:t>
      </w:r>
    </w:p>
    <w:p w14:paraId="0FC0BED9" w14:textId="6D48F9F0" w:rsidR="000E6792" w:rsidRPr="000E6792" w:rsidRDefault="000E6792" w:rsidP="00F22225">
      <w:pPr>
        <w:pStyle w:val="NoSpacing"/>
        <w:numPr>
          <w:ilvl w:val="0"/>
          <w:numId w:val="56"/>
        </w:numPr>
        <w:autoSpaceDE w:val="0"/>
        <w:autoSpaceDN w:val="0"/>
        <w:adjustRightInd w:val="0"/>
        <w:spacing w:before="120" w:line="300" w:lineRule="auto"/>
        <w:rPr>
          <w:rFonts w:ascii="Arial" w:eastAsiaTheme="minorEastAsia" w:hAnsi="Arial"/>
          <w:sz w:val="20"/>
          <w:szCs w:val="24"/>
          <w:lang w:val="en-GB"/>
        </w:rPr>
      </w:pPr>
      <w:r w:rsidRPr="000E6792">
        <w:rPr>
          <w:rFonts w:ascii="Arial" w:eastAsiaTheme="minorEastAsia" w:hAnsi="Arial"/>
          <w:sz w:val="20"/>
          <w:szCs w:val="24"/>
          <w:lang w:val="en-GB"/>
        </w:rPr>
        <w:t xml:space="preserve">Collection of information </w:t>
      </w:r>
      <w:r w:rsidR="00007A73">
        <w:rPr>
          <w:rFonts w:ascii="Arial" w:eastAsiaTheme="minorEastAsia" w:hAnsi="Arial"/>
          <w:sz w:val="20"/>
          <w:szCs w:val="24"/>
          <w:lang w:val="en-GB"/>
        </w:rPr>
        <w:t>relating to</w:t>
      </w:r>
      <w:r w:rsidRPr="000E6792">
        <w:rPr>
          <w:rFonts w:ascii="Arial" w:eastAsiaTheme="minorEastAsia" w:hAnsi="Arial"/>
          <w:sz w:val="20"/>
          <w:szCs w:val="24"/>
          <w:lang w:val="en-GB"/>
        </w:rPr>
        <w:t xml:space="preserve"> the stressors throughout the site</w:t>
      </w:r>
    </w:p>
    <w:p w14:paraId="79E0E13A" w14:textId="54AFEB84" w:rsidR="000E6792" w:rsidRPr="00AD2AAC" w:rsidRDefault="000E6792" w:rsidP="00F22225">
      <w:pPr>
        <w:pStyle w:val="NoSpacing"/>
        <w:numPr>
          <w:ilvl w:val="0"/>
          <w:numId w:val="56"/>
        </w:numPr>
        <w:autoSpaceDE w:val="0"/>
        <w:autoSpaceDN w:val="0"/>
        <w:adjustRightInd w:val="0"/>
        <w:spacing w:before="120" w:line="300" w:lineRule="auto"/>
        <w:rPr>
          <w:rFonts w:ascii="Arial" w:eastAsiaTheme="minorEastAsia" w:hAnsi="Arial"/>
          <w:sz w:val="20"/>
          <w:szCs w:val="24"/>
          <w:lang w:val="en-GB"/>
        </w:rPr>
      </w:pPr>
      <w:r w:rsidRPr="00AD2AAC">
        <w:rPr>
          <w:rFonts w:ascii="Arial" w:eastAsiaTheme="minorEastAsia" w:hAnsi="Arial"/>
          <w:sz w:val="20"/>
          <w:szCs w:val="24"/>
          <w:lang w:val="en-GB"/>
        </w:rPr>
        <w:t xml:space="preserve">Analysis </w:t>
      </w:r>
      <w:r w:rsidR="00007A73">
        <w:rPr>
          <w:rFonts w:ascii="Arial" w:eastAsiaTheme="minorEastAsia" w:hAnsi="Arial"/>
          <w:sz w:val="20"/>
          <w:szCs w:val="24"/>
          <w:lang w:val="en-GB"/>
        </w:rPr>
        <w:t xml:space="preserve">and mapping </w:t>
      </w:r>
      <w:r w:rsidRPr="00AD2AAC">
        <w:rPr>
          <w:rFonts w:ascii="Arial" w:eastAsiaTheme="minorEastAsia" w:hAnsi="Arial"/>
          <w:sz w:val="20"/>
          <w:szCs w:val="24"/>
          <w:lang w:val="en-GB"/>
        </w:rPr>
        <w:t>of the stressor</w:t>
      </w:r>
      <w:r w:rsidR="003A2B40">
        <w:rPr>
          <w:rFonts w:ascii="Arial" w:eastAsiaTheme="minorEastAsia" w:hAnsi="Arial"/>
          <w:sz w:val="20"/>
          <w:szCs w:val="24"/>
          <w:lang w:val="en-GB"/>
        </w:rPr>
        <w:t>s</w:t>
      </w:r>
      <w:r w:rsidR="00007A73">
        <w:rPr>
          <w:rFonts w:ascii="Arial" w:eastAsiaTheme="minorEastAsia" w:hAnsi="Arial"/>
          <w:sz w:val="20"/>
          <w:szCs w:val="24"/>
          <w:lang w:val="en-GB"/>
        </w:rPr>
        <w:t xml:space="preserve"> </w:t>
      </w:r>
      <w:r w:rsidRPr="00AD2AAC">
        <w:rPr>
          <w:rFonts w:ascii="Arial" w:eastAsiaTheme="minorEastAsia" w:hAnsi="Arial"/>
          <w:sz w:val="20"/>
          <w:szCs w:val="24"/>
          <w:lang w:val="en-GB"/>
        </w:rPr>
        <w:t xml:space="preserve">to </w:t>
      </w:r>
      <w:r w:rsidR="00A22862">
        <w:rPr>
          <w:rFonts w:ascii="Arial" w:eastAsiaTheme="minorEastAsia" w:hAnsi="Arial"/>
          <w:sz w:val="20"/>
          <w:szCs w:val="24"/>
          <w:lang w:val="en-GB"/>
        </w:rPr>
        <w:t xml:space="preserve">validate the conceptual model and </w:t>
      </w:r>
      <w:r w:rsidRPr="00AD2AAC">
        <w:rPr>
          <w:rFonts w:ascii="Arial" w:eastAsiaTheme="minorEastAsia" w:hAnsi="Arial"/>
          <w:sz w:val="20"/>
          <w:szCs w:val="24"/>
          <w:lang w:val="en-GB"/>
        </w:rPr>
        <w:t xml:space="preserve">determine the degree to which </w:t>
      </w:r>
      <w:r w:rsidR="005B2F1B">
        <w:rPr>
          <w:rFonts w:ascii="Arial" w:eastAsiaTheme="minorEastAsia" w:hAnsi="Arial"/>
          <w:sz w:val="20"/>
          <w:szCs w:val="24"/>
          <w:lang w:val="en-GB"/>
        </w:rPr>
        <w:t>the stressors</w:t>
      </w:r>
      <w:r w:rsidRPr="00AD2AAC">
        <w:rPr>
          <w:rFonts w:ascii="Arial" w:eastAsiaTheme="minorEastAsia" w:hAnsi="Arial"/>
          <w:sz w:val="20"/>
          <w:szCs w:val="24"/>
          <w:lang w:val="en-GB"/>
        </w:rPr>
        <w:t xml:space="preserve"> are impacting</w:t>
      </w:r>
      <w:r w:rsidR="00A22862">
        <w:rPr>
          <w:rFonts w:ascii="Arial" w:eastAsiaTheme="minorEastAsia" w:hAnsi="Arial"/>
          <w:sz w:val="20"/>
          <w:szCs w:val="24"/>
          <w:lang w:val="en-GB"/>
        </w:rPr>
        <w:t>,</w:t>
      </w:r>
      <w:r w:rsidRPr="00AD2AAC">
        <w:rPr>
          <w:rFonts w:ascii="Arial" w:eastAsiaTheme="minorEastAsia" w:hAnsi="Arial"/>
          <w:sz w:val="20"/>
          <w:szCs w:val="24"/>
          <w:lang w:val="en-GB"/>
        </w:rPr>
        <w:t xml:space="preserve"> and therefore the potential to mitigate the stressors with management options</w:t>
      </w:r>
      <w:r w:rsidR="00AD2AAC">
        <w:rPr>
          <w:rFonts w:ascii="Arial" w:eastAsiaTheme="minorEastAsia" w:hAnsi="Arial"/>
          <w:sz w:val="20"/>
          <w:szCs w:val="24"/>
          <w:lang w:val="en-GB"/>
        </w:rPr>
        <w:t>.</w:t>
      </w:r>
    </w:p>
    <w:p w14:paraId="2FFBC61E" w14:textId="3DE91119" w:rsidR="000E6792" w:rsidRPr="000E6792" w:rsidRDefault="000E6792" w:rsidP="000E6792">
      <w:pPr>
        <w:pStyle w:val="NoSpacing"/>
        <w:autoSpaceDE w:val="0"/>
        <w:autoSpaceDN w:val="0"/>
        <w:adjustRightInd w:val="0"/>
        <w:spacing w:before="120" w:line="300" w:lineRule="auto"/>
        <w:rPr>
          <w:rFonts w:ascii="Arial" w:eastAsiaTheme="minorEastAsia" w:hAnsi="Arial"/>
          <w:sz w:val="20"/>
          <w:szCs w:val="24"/>
          <w:lang w:val="en-GB"/>
        </w:rPr>
      </w:pPr>
      <w:r>
        <w:rPr>
          <w:rFonts w:ascii="Arial" w:eastAsiaTheme="minorEastAsia" w:hAnsi="Arial"/>
          <w:sz w:val="20"/>
          <w:szCs w:val="24"/>
          <w:lang w:val="en-GB"/>
        </w:rPr>
        <w:t xml:space="preserve">Details </w:t>
      </w:r>
      <w:r w:rsidR="001F63A8">
        <w:rPr>
          <w:rFonts w:ascii="Arial" w:eastAsiaTheme="minorEastAsia" w:hAnsi="Arial"/>
          <w:sz w:val="20"/>
          <w:szCs w:val="24"/>
          <w:lang w:val="en-GB"/>
        </w:rPr>
        <w:t>for</w:t>
      </w:r>
      <w:r>
        <w:rPr>
          <w:rFonts w:ascii="Arial" w:eastAsiaTheme="minorEastAsia" w:hAnsi="Arial"/>
          <w:sz w:val="20"/>
          <w:szCs w:val="24"/>
          <w:lang w:val="en-GB"/>
        </w:rPr>
        <w:t xml:space="preserve"> each </w:t>
      </w:r>
      <w:r w:rsidR="001F63A8">
        <w:rPr>
          <w:rFonts w:ascii="Arial" w:eastAsiaTheme="minorEastAsia" w:hAnsi="Arial"/>
          <w:sz w:val="20"/>
          <w:szCs w:val="24"/>
          <w:lang w:val="en-GB"/>
        </w:rPr>
        <w:t>part of this process</w:t>
      </w:r>
      <w:r>
        <w:rPr>
          <w:rFonts w:ascii="Arial" w:eastAsiaTheme="minorEastAsia" w:hAnsi="Arial"/>
          <w:sz w:val="20"/>
          <w:szCs w:val="24"/>
          <w:lang w:val="en-GB"/>
        </w:rPr>
        <w:t xml:space="preserve"> </w:t>
      </w:r>
      <w:r w:rsidR="001F63A8">
        <w:rPr>
          <w:rFonts w:ascii="Arial" w:eastAsiaTheme="minorEastAsia" w:hAnsi="Arial"/>
          <w:sz w:val="20"/>
          <w:szCs w:val="24"/>
          <w:lang w:val="en-GB"/>
        </w:rPr>
        <w:t>are</w:t>
      </w:r>
      <w:r>
        <w:rPr>
          <w:rFonts w:ascii="Arial" w:eastAsiaTheme="minorEastAsia" w:hAnsi="Arial"/>
          <w:sz w:val="20"/>
          <w:szCs w:val="24"/>
          <w:lang w:val="en-GB"/>
        </w:rPr>
        <w:t xml:space="preserve"> provided in the sub</w:t>
      </w:r>
      <w:r w:rsidR="005A4E06">
        <w:rPr>
          <w:rFonts w:ascii="Arial" w:eastAsiaTheme="minorEastAsia" w:hAnsi="Arial"/>
          <w:sz w:val="20"/>
          <w:szCs w:val="24"/>
          <w:lang w:val="en-GB"/>
        </w:rPr>
        <w:t>chapters</w:t>
      </w:r>
      <w:r>
        <w:rPr>
          <w:rFonts w:ascii="Arial" w:eastAsiaTheme="minorEastAsia" w:hAnsi="Arial"/>
          <w:sz w:val="20"/>
          <w:szCs w:val="24"/>
          <w:lang w:val="en-GB"/>
        </w:rPr>
        <w:t xml:space="preserve"> below. The</w:t>
      </w:r>
      <w:r w:rsidRPr="005C0E60">
        <w:rPr>
          <w:rFonts w:ascii="Arial" w:eastAsiaTheme="minorEastAsia" w:hAnsi="Arial"/>
          <w:sz w:val="20"/>
          <w:szCs w:val="24"/>
          <w:lang w:val="en-GB"/>
        </w:rPr>
        <w:t xml:space="preserve"> Calperum Station case study has been included below to demonstrate an application of this process.</w:t>
      </w:r>
      <w:r w:rsidR="001A2C38">
        <w:rPr>
          <w:rFonts w:ascii="Arial" w:eastAsiaTheme="minorEastAsia" w:hAnsi="Arial"/>
          <w:sz w:val="20"/>
          <w:szCs w:val="24"/>
          <w:lang w:val="en-GB"/>
        </w:rPr>
        <w:t xml:space="preserve"> </w:t>
      </w:r>
    </w:p>
    <w:p w14:paraId="276BBEFE" w14:textId="0DD15C3A" w:rsidR="0018607E" w:rsidRPr="00FB5135" w:rsidRDefault="00F14224" w:rsidP="00FB5135">
      <w:pPr>
        <w:pStyle w:val="Heading3"/>
      </w:pPr>
      <w:r>
        <w:t>Conceptual Models</w:t>
      </w:r>
    </w:p>
    <w:p w14:paraId="739A4390" w14:textId="7BD89767" w:rsidR="006D695A" w:rsidRDefault="00136436" w:rsidP="006D695A">
      <w:pPr>
        <w:spacing w:before="240" w:after="120"/>
      </w:pPr>
      <w:r>
        <w:t>Conceptual models are used as a guide to inform site characterisation, identify stressors and associated ecological risks and benefits. M</w:t>
      </w:r>
      <w:r w:rsidR="006D695A" w:rsidRPr="00DE4EF3">
        <w:t>odel</w:t>
      </w:r>
      <w:r w:rsidR="000C7A62">
        <w:t>s</w:t>
      </w:r>
      <w:r w:rsidR="006D695A" w:rsidRPr="00DE4EF3">
        <w:t xml:space="preserve"> </w:t>
      </w:r>
      <w:r w:rsidR="00EE41AB">
        <w:t xml:space="preserve">are developed to </w:t>
      </w:r>
      <w:r w:rsidR="000C7A62">
        <w:t xml:space="preserve">represent the </w:t>
      </w:r>
      <w:r w:rsidR="006D695A" w:rsidRPr="00DE4EF3">
        <w:t xml:space="preserve">understanding of the </w:t>
      </w:r>
      <w:r w:rsidR="00AD0F04">
        <w:t>relationship</w:t>
      </w:r>
      <w:r w:rsidR="000C7A62">
        <w:t xml:space="preserve"> between </w:t>
      </w:r>
      <w:r>
        <w:t xml:space="preserve">the </w:t>
      </w:r>
      <w:r w:rsidR="006D695A" w:rsidRPr="00DE4EF3">
        <w:t xml:space="preserve">key physical processes </w:t>
      </w:r>
      <w:r w:rsidR="000C7A62">
        <w:t xml:space="preserve">and </w:t>
      </w:r>
      <w:r w:rsidR="006D695A" w:rsidRPr="00DE4EF3">
        <w:t xml:space="preserve">ecosystem functions. </w:t>
      </w:r>
      <w:r w:rsidR="006D695A">
        <w:t>A good conceptual model helps</w:t>
      </w:r>
      <w:r w:rsidR="006D695A" w:rsidRPr="00DE4EF3">
        <w:t xml:space="preserve"> identify the bounds and scope of the </w:t>
      </w:r>
      <w:r w:rsidR="000C7A62">
        <w:t>eco</w:t>
      </w:r>
      <w:r w:rsidR="006D695A" w:rsidRPr="00DE4EF3">
        <w:t xml:space="preserve">system of interest and provides a scientific framework for </w:t>
      </w:r>
      <w:r w:rsidR="00AD0F04">
        <w:t xml:space="preserve">developing a targeted program of </w:t>
      </w:r>
      <w:r w:rsidR="006D695A" w:rsidRPr="00DE4EF3">
        <w:t>management</w:t>
      </w:r>
      <w:r w:rsidR="006D695A">
        <w:t xml:space="preserve">. </w:t>
      </w:r>
      <w:r w:rsidR="00EE41AB">
        <w:t>A conceptual model also help</w:t>
      </w:r>
      <w:r w:rsidR="00DF5216">
        <w:t>s</w:t>
      </w:r>
      <w:r w:rsidR="00EE41AB">
        <w:t xml:space="preserve"> in communicating the main factors impacting condition and how to address these. </w:t>
      </w:r>
    </w:p>
    <w:p w14:paraId="001ED9E9" w14:textId="7A3D4A5A" w:rsidR="006D695A" w:rsidRPr="00DF4A80" w:rsidRDefault="005C0E60" w:rsidP="006D695A">
      <w:pPr>
        <w:spacing w:before="240" w:after="120"/>
      </w:pPr>
      <w:r>
        <w:t>Four</w:t>
      </w:r>
      <w:r w:rsidR="006D695A" w:rsidRPr="00DF4A80">
        <w:t xml:space="preserve"> conceptual models are presented </w:t>
      </w:r>
      <w:r w:rsidR="008E363D">
        <w:t xml:space="preserve">in </w:t>
      </w:r>
      <w:r w:rsidR="00C675C9">
        <w:t xml:space="preserve">this chapter </w:t>
      </w:r>
      <w:r w:rsidR="006D695A" w:rsidRPr="00DF4A80">
        <w:t xml:space="preserve">to </w:t>
      </w:r>
      <w:r w:rsidR="0096044E">
        <w:t>assist</w:t>
      </w:r>
      <w:r w:rsidR="0096044E" w:rsidRPr="00DF4A80">
        <w:t xml:space="preserve"> </w:t>
      </w:r>
      <w:r w:rsidR="006D695A" w:rsidRPr="00DF4A80">
        <w:t xml:space="preserve">identify </w:t>
      </w:r>
      <w:r w:rsidR="00AD0F04">
        <w:t xml:space="preserve">the </w:t>
      </w:r>
      <w:r w:rsidR="006D695A" w:rsidRPr="00DF4A80">
        <w:t>key bio-physical processes that may be affecting Black Box condition</w:t>
      </w:r>
      <w:r w:rsidR="00AD0F04">
        <w:t xml:space="preserve"> at multiple scales.</w:t>
      </w:r>
      <w:r w:rsidR="006D695A">
        <w:t xml:space="preserve"> </w:t>
      </w:r>
      <w:r w:rsidR="008E363D">
        <w:t xml:space="preserve">These can be used by practitioners to understand the processes that influence Black Box condition and trajectory for change, as a first step in identifying relevant stressors at a site. </w:t>
      </w:r>
      <w:r w:rsidR="006D695A">
        <w:t>The models included are:</w:t>
      </w:r>
    </w:p>
    <w:p w14:paraId="3A9A7704" w14:textId="49418835" w:rsidR="006D695A" w:rsidRPr="00C3274A" w:rsidRDefault="006D695A" w:rsidP="00F22225">
      <w:pPr>
        <w:pStyle w:val="Para0bullet"/>
        <w:numPr>
          <w:ilvl w:val="0"/>
          <w:numId w:val="40"/>
        </w:numPr>
        <w:tabs>
          <w:tab w:val="clear" w:pos="851"/>
        </w:tabs>
        <w:ind w:left="864" w:hanging="432"/>
      </w:pPr>
      <w:r w:rsidRPr="00DC6E0C">
        <w:rPr>
          <w:i/>
        </w:rPr>
        <w:t>Regional Hydrogeological Conceptual Model</w:t>
      </w:r>
      <w:r w:rsidRPr="00C3274A">
        <w:t xml:space="preserve"> (</w:t>
      </w:r>
      <w:r>
        <w:t xml:space="preserve">Holland </w:t>
      </w:r>
      <w:r w:rsidRPr="00DC6E0C">
        <w:rPr>
          <w:i/>
        </w:rPr>
        <w:t>et al.</w:t>
      </w:r>
      <w:r w:rsidR="003F2755">
        <w:t>,</w:t>
      </w:r>
      <w:r>
        <w:t xml:space="preserve"> 2005), relating the influence of regional hydrogeological processes on the soil and groundwater salinity of the local floodplain</w:t>
      </w:r>
    </w:p>
    <w:p w14:paraId="52D4B736" w14:textId="5DFB281B" w:rsidR="006D695A" w:rsidRPr="00DF4A80" w:rsidRDefault="006D695A" w:rsidP="00F22225">
      <w:pPr>
        <w:pStyle w:val="Para0bullet"/>
        <w:numPr>
          <w:ilvl w:val="0"/>
          <w:numId w:val="40"/>
        </w:numPr>
        <w:tabs>
          <w:tab w:val="clear" w:pos="851"/>
        </w:tabs>
        <w:ind w:left="864" w:hanging="432"/>
      </w:pPr>
      <w:r w:rsidRPr="00DC6E0C">
        <w:rPr>
          <w:i/>
        </w:rPr>
        <w:t>Floodplain Response Model</w:t>
      </w:r>
      <w:r w:rsidRPr="00DC6E0C">
        <w:t xml:space="preserve"> </w:t>
      </w:r>
      <w:r w:rsidRPr="00DF4A80">
        <w:t>(</w:t>
      </w:r>
      <w:r w:rsidR="00DD52EC">
        <w:t xml:space="preserve">Walker </w:t>
      </w:r>
      <w:r w:rsidR="00DD52EC" w:rsidRPr="00E230DF">
        <w:rPr>
          <w:i/>
        </w:rPr>
        <w:t>et al.,</w:t>
      </w:r>
      <w:r w:rsidR="00DD52EC">
        <w:t xml:space="preserve"> 1996</w:t>
      </w:r>
      <w:r w:rsidR="005F105C">
        <w:t>; Overton and Doody, 2008a; AWE, 2015</w:t>
      </w:r>
      <w:r w:rsidR="00DD52EC">
        <w:t>)</w:t>
      </w:r>
      <w:r w:rsidRPr="00DF4A80">
        <w:t xml:space="preserve">, </w:t>
      </w:r>
      <w:r w:rsidR="00AD0F04">
        <w:t>illustrating the key relationships between water management (</w:t>
      </w:r>
      <w:r w:rsidRPr="00DF4A80">
        <w:t>ground</w:t>
      </w:r>
      <w:r w:rsidR="00AD0F04">
        <w:t>w</w:t>
      </w:r>
      <w:r w:rsidRPr="00DF4A80">
        <w:t xml:space="preserve">ater </w:t>
      </w:r>
      <w:r w:rsidR="00AD0F04">
        <w:t xml:space="preserve">and </w:t>
      </w:r>
      <w:r w:rsidRPr="00DF4A80">
        <w:t xml:space="preserve">surface water </w:t>
      </w:r>
      <w:r w:rsidR="00AD0F04">
        <w:t>management)</w:t>
      </w:r>
      <w:r w:rsidR="00963B29">
        <w:t xml:space="preserve">, </w:t>
      </w:r>
      <w:r w:rsidRPr="00DF4A80">
        <w:t xml:space="preserve">soil and groundwater salinity and </w:t>
      </w:r>
      <w:r w:rsidR="00963B29">
        <w:t>tree health response</w:t>
      </w:r>
    </w:p>
    <w:p w14:paraId="368FA09C" w14:textId="58194EA3" w:rsidR="004755EC" w:rsidRPr="005C0E60" w:rsidRDefault="004755EC" w:rsidP="00F22225">
      <w:pPr>
        <w:pStyle w:val="Para0bullet"/>
        <w:numPr>
          <w:ilvl w:val="0"/>
          <w:numId w:val="40"/>
        </w:numPr>
        <w:tabs>
          <w:tab w:val="clear" w:pos="851"/>
        </w:tabs>
        <w:spacing w:after="200"/>
      </w:pPr>
      <w:r w:rsidRPr="005C0E60">
        <w:rPr>
          <w:i/>
        </w:rPr>
        <w:t>Soil Salinisation Model</w:t>
      </w:r>
      <w:r>
        <w:t xml:space="preserve"> (</w:t>
      </w:r>
      <w:r w:rsidR="00511C7E">
        <w:t xml:space="preserve">Jolly and </w:t>
      </w:r>
      <w:r w:rsidR="001E6F1F">
        <w:t>Walker</w:t>
      </w:r>
      <w:r w:rsidR="00511C7E">
        <w:t xml:space="preserve">, </w:t>
      </w:r>
      <w:r w:rsidR="001E6F1F">
        <w:t>199</w:t>
      </w:r>
      <w:r w:rsidR="00511C7E">
        <w:t>5</w:t>
      </w:r>
      <w:r w:rsidR="00AD4499">
        <w:t>; Overton, 2011</w:t>
      </w:r>
      <w:r>
        <w:t>)</w:t>
      </w:r>
      <w:r w:rsidR="001E6F1F">
        <w:t xml:space="preserve"> identifies the balance between groundwater depth and flooding frequency in determining soil salinity</w:t>
      </w:r>
    </w:p>
    <w:p w14:paraId="458563EA" w14:textId="46007FA7" w:rsidR="006D695A" w:rsidRPr="00DC6E0C" w:rsidRDefault="006D695A" w:rsidP="00F22225">
      <w:pPr>
        <w:pStyle w:val="Para0bullet"/>
        <w:numPr>
          <w:ilvl w:val="0"/>
          <w:numId w:val="40"/>
        </w:numPr>
        <w:tabs>
          <w:tab w:val="clear" w:pos="851"/>
        </w:tabs>
        <w:spacing w:after="200"/>
      </w:pPr>
      <w:r w:rsidRPr="00DC6E0C">
        <w:rPr>
          <w:i/>
        </w:rPr>
        <w:t xml:space="preserve">Black Box </w:t>
      </w:r>
      <w:r>
        <w:rPr>
          <w:i/>
        </w:rPr>
        <w:t>Conceptual Model for Condition States and their Transitions</w:t>
      </w:r>
      <w:r w:rsidRPr="00DC6E0C">
        <w:t xml:space="preserve"> </w:t>
      </w:r>
      <w:r w:rsidR="00963B29" w:rsidRPr="001D4491">
        <w:rPr>
          <w:i/>
        </w:rPr>
        <w:t>(</w:t>
      </w:r>
      <w:r w:rsidR="003F3226" w:rsidRPr="003F3226">
        <w:t>Transition Model</w:t>
      </w:r>
      <w:r w:rsidR="00963B29">
        <w:rPr>
          <w:i/>
        </w:rPr>
        <w:t>)</w:t>
      </w:r>
      <w:r w:rsidR="00963B29" w:rsidRPr="00DF4A80">
        <w:t xml:space="preserve"> </w:t>
      </w:r>
      <w:r w:rsidRPr="00DF4A80">
        <w:t xml:space="preserve">(Overton </w:t>
      </w:r>
      <w:r w:rsidRPr="00DC6E0C">
        <w:rPr>
          <w:i/>
        </w:rPr>
        <w:t>et al.</w:t>
      </w:r>
      <w:r w:rsidR="00153C88">
        <w:rPr>
          <w:i/>
        </w:rPr>
        <w:t>,</w:t>
      </w:r>
      <w:r w:rsidRPr="00DF4A80">
        <w:t xml:space="preserve"> 2014)</w:t>
      </w:r>
      <w:r w:rsidR="00963B29">
        <w:t>,</w:t>
      </w:r>
      <w:r w:rsidRPr="00DF4A80">
        <w:t xml:space="preserve"> </w:t>
      </w:r>
      <w:r w:rsidR="00963B29">
        <w:t>modelling the</w:t>
      </w:r>
      <w:r w:rsidRPr="00DF4A80">
        <w:t xml:space="preserve"> decline and restoration pathways</w:t>
      </w:r>
      <w:r>
        <w:t xml:space="preserve"> for mature Black Box </w:t>
      </w:r>
      <w:r w:rsidR="00963B29">
        <w:t>related to water management</w:t>
      </w:r>
      <w:r>
        <w:t>.</w:t>
      </w:r>
    </w:p>
    <w:p w14:paraId="2956E4EC" w14:textId="2AC5555C" w:rsidR="006D695A" w:rsidRDefault="006D695A" w:rsidP="006D695A">
      <w:pPr>
        <w:pStyle w:val="Para0bullet"/>
        <w:numPr>
          <w:ilvl w:val="0"/>
          <w:numId w:val="0"/>
        </w:numPr>
      </w:pPr>
      <w:r>
        <w:t xml:space="preserve">The first </w:t>
      </w:r>
      <w:r w:rsidR="004755EC">
        <w:t>three</w:t>
      </w:r>
      <w:r w:rsidR="007E435F">
        <w:t xml:space="preserve"> </w:t>
      </w:r>
      <w:r>
        <w:t>conceptual model</w:t>
      </w:r>
      <w:r w:rsidR="007E435F">
        <w:t>s</w:t>
      </w:r>
      <w:r>
        <w:t xml:space="preserve"> </w:t>
      </w:r>
      <w:r w:rsidR="007E435F">
        <w:t>present the relationship between</w:t>
      </w:r>
      <w:r>
        <w:t xml:space="preserve"> hydrogeological processes and </w:t>
      </w:r>
      <w:r w:rsidR="007E435F">
        <w:t xml:space="preserve">floodplain </w:t>
      </w:r>
      <w:r>
        <w:t xml:space="preserve">soil salinisation. </w:t>
      </w:r>
      <w:r w:rsidR="007E435F">
        <w:t>U</w:t>
      </w:r>
      <w:r>
        <w:t xml:space="preserve">nderstanding </w:t>
      </w:r>
      <w:r w:rsidR="007E435F">
        <w:t>these</w:t>
      </w:r>
      <w:r>
        <w:t xml:space="preserve"> regional </w:t>
      </w:r>
      <w:r w:rsidR="003F7A3D">
        <w:t xml:space="preserve">and local </w:t>
      </w:r>
      <w:r>
        <w:t xml:space="preserve">processes </w:t>
      </w:r>
      <w:r w:rsidR="007E435F">
        <w:t>is</w:t>
      </w:r>
      <w:r>
        <w:t xml:space="preserve"> useful </w:t>
      </w:r>
      <w:r w:rsidR="007E435F">
        <w:t>to</w:t>
      </w:r>
      <w:r>
        <w:t xml:space="preserve"> predict floodplain soil and groundwater conditions where physical data and other information (groundwater models, maps etc.) are limited. The conceptual model shown </w:t>
      </w:r>
      <w:r w:rsidR="008E363D">
        <w:t>in</w:t>
      </w:r>
      <w:r w:rsidR="003F7A3D">
        <w:t xml:space="preserve"> the</w:t>
      </w:r>
      <w:r w:rsidR="008E363D">
        <w:t xml:space="preserve"> </w:t>
      </w:r>
      <w:r w:rsidR="003D4BAE">
        <w:t>Floodplain Response Model</w:t>
      </w:r>
      <w:r w:rsidR="007E435F">
        <w:t xml:space="preserve"> </w:t>
      </w:r>
      <w:r>
        <w:t>was developed for the lower River Murray</w:t>
      </w:r>
      <w:r w:rsidR="00136436">
        <w:t xml:space="preserve"> however</w:t>
      </w:r>
      <w:r>
        <w:t xml:space="preserve"> the underlying principles used in </w:t>
      </w:r>
      <w:r w:rsidR="003F7A3D">
        <w:t>its</w:t>
      </w:r>
      <w:r>
        <w:t xml:space="preserve"> development are applicable across the Basin. </w:t>
      </w:r>
    </w:p>
    <w:p w14:paraId="5E650526" w14:textId="5DE22B91" w:rsidR="006D695A" w:rsidRDefault="00DC60ED" w:rsidP="006D695A">
      <w:pPr>
        <w:pStyle w:val="Para0bullet"/>
        <w:numPr>
          <w:ilvl w:val="0"/>
          <w:numId w:val="0"/>
        </w:numPr>
      </w:pPr>
      <w:r>
        <w:t>Spatial</w:t>
      </w:r>
      <w:r w:rsidR="006D695A">
        <w:t xml:space="preserve"> analysis can be used (where data is available) to determine the coincidence and </w:t>
      </w:r>
      <w:r w:rsidR="00136436">
        <w:t xml:space="preserve">relative </w:t>
      </w:r>
      <w:r w:rsidR="006D695A">
        <w:t>importance of stressors</w:t>
      </w:r>
      <w:r>
        <w:t xml:space="preserve"> to Black Box condition</w:t>
      </w:r>
      <w:r w:rsidR="006D695A">
        <w:t xml:space="preserve">. </w:t>
      </w:r>
      <w:r w:rsidR="009B3015">
        <w:t>This approach has been used for the Calperum Station case study (boxes presented throughout this chapter) and at the River Murray reaches</w:t>
      </w:r>
      <w:r w:rsidR="006D695A">
        <w:t xml:space="preserve"> scale (presented in Chapter 5).</w:t>
      </w:r>
    </w:p>
    <w:p w14:paraId="64837DFC" w14:textId="6DDB98FA" w:rsidR="006D695A" w:rsidRDefault="006D695A" w:rsidP="006D695A">
      <w:pPr>
        <w:pStyle w:val="Para0"/>
      </w:pPr>
      <w:r>
        <w:t xml:space="preserve">It is important to acknowledge that </w:t>
      </w:r>
      <w:r w:rsidR="00136436">
        <w:t>the</w:t>
      </w:r>
      <w:r>
        <w:t xml:space="preserve"> models </w:t>
      </w:r>
      <w:r w:rsidR="00136436">
        <w:t xml:space="preserve">presented within this Framework </w:t>
      </w:r>
      <w:r>
        <w:t>are intended to be a broad representation and are limited to the degree that they can represent heterogeneity across the site. Practitioners are encouraged to dissect model elements presented and to use these elements selectively (or build in their own elements as appropriate) to develop site specific models representing the factors influencing Black Box at their site.</w:t>
      </w:r>
      <w:r w:rsidRPr="00672115">
        <w:t xml:space="preserve"> </w:t>
      </w:r>
    </w:p>
    <w:p w14:paraId="01DF0D59" w14:textId="77777777" w:rsidR="00C675C9" w:rsidRPr="004D3070" w:rsidRDefault="00C675C9" w:rsidP="00C675C9">
      <w:pPr>
        <w:pStyle w:val="Heading4"/>
      </w:pPr>
      <w:r w:rsidRPr="004D3070">
        <w:t xml:space="preserve">Regional </w:t>
      </w:r>
      <w:r>
        <w:t>H</w:t>
      </w:r>
      <w:r w:rsidRPr="004D3070">
        <w:t xml:space="preserve">ydrogeological </w:t>
      </w:r>
      <w:r>
        <w:t>C</w:t>
      </w:r>
      <w:r w:rsidRPr="004D3070">
        <w:t xml:space="preserve">onceptual </w:t>
      </w:r>
      <w:r>
        <w:t>M</w:t>
      </w:r>
      <w:r w:rsidRPr="004D3070">
        <w:t>odel</w:t>
      </w:r>
    </w:p>
    <w:p w14:paraId="650FB552" w14:textId="4915C0E4" w:rsidR="00C675C9" w:rsidRDefault="00C675C9" w:rsidP="00C675C9">
      <w:pPr>
        <w:pStyle w:val="Para0"/>
      </w:pPr>
      <w:r>
        <w:t xml:space="preserve">The poor condition of Black Box populations throughout the lower River Murray is correlated with the salinity of the </w:t>
      </w:r>
      <w:r w:rsidR="003F7A3D">
        <w:t xml:space="preserve">soil profile where trees have their roots above the water table (the </w:t>
      </w:r>
      <w:r>
        <w:t>unsaturated zone</w:t>
      </w:r>
      <w:r w:rsidR="003F7A3D">
        <w:t>)</w:t>
      </w:r>
      <w:r>
        <w:t xml:space="preserve"> and a reduced incidence of flooding. </w:t>
      </w:r>
      <w:r w:rsidRPr="00F87434">
        <w:t xml:space="preserve">The </w:t>
      </w:r>
      <w:r>
        <w:t xml:space="preserve">construction of </w:t>
      </w:r>
      <w:r w:rsidRPr="00F87434">
        <w:t>lock</w:t>
      </w:r>
      <w:r>
        <w:t>s</w:t>
      </w:r>
      <w:r w:rsidRPr="00F87434">
        <w:t xml:space="preserve"> and weir</w:t>
      </w:r>
      <w:r>
        <w:t>s</w:t>
      </w:r>
      <w:r w:rsidRPr="00F87434">
        <w:t xml:space="preserve"> </w:t>
      </w:r>
      <w:r>
        <w:t>along</w:t>
      </w:r>
      <w:r w:rsidRPr="00F87434">
        <w:t xml:space="preserve"> the </w:t>
      </w:r>
      <w:r>
        <w:t xml:space="preserve">lower River </w:t>
      </w:r>
      <w:r w:rsidRPr="00F87434">
        <w:t>Murray</w:t>
      </w:r>
      <w:r>
        <w:t>, water storage development at Lake Victoria</w:t>
      </w:r>
      <w:r w:rsidRPr="00F87434">
        <w:t xml:space="preserve"> </w:t>
      </w:r>
      <w:r>
        <w:t>and historic agricultural/irrigation development have collectively contributed to a</w:t>
      </w:r>
      <w:r w:rsidRPr="00F87434">
        <w:t xml:space="preserve"> </w:t>
      </w:r>
      <w:r>
        <w:t xml:space="preserve">rise in </w:t>
      </w:r>
      <w:r w:rsidRPr="00F87434">
        <w:t xml:space="preserve">groundwater </w:t>
      </w:r>
      <w:r>
        <w:t xml:space="preserve">levels, and consequently floodplain salinisation (Holland </w:t>
      </w:r>
      <w:r w:rsidRPr="003F3226">
        <w:rPr>
          <w:i/>
        </w:rPr>
        <w:t>et al</w:t>
      </w:r>
      <w:r>
        <w:t>.</w:t>
      </w:r>
      <w:r w:rsidR="003F2755">
        <w:t>,</w:t>
      </w:r>
      <w:r>
        <w:t xml:space="preserve"> 2005;</w:t>
      </w:r>
      <w:r w:rsidRPr="00D36D6F">
        <w:t xml:space="preserve"> </w:t>
      </w:r>
      <w:r>
        <w:t xml:space="preserve">Woods </w:t>
      </w:r>
      <w:r w:rsidRPr="00A40029">
        <w:rPr>
          <w:i/>
        </w:rPr>
        <w:t>et al.</w:t>
      </w:r>
      <w:r>
        <w:t xml:space="preserve">, 2016). The regional hydrogeological processes driving floodplain salinisation and groundwater rise are illustrated in </w:t>
      </w:r>
      <w:r w:rsidR="001B1376">
        <w:fldChar w:fldCharType="begin"/>
      </w:r>
      <w:r w:rsidR="001B1376">
        <w:instrText xml:space="preserve"> REF _Ref507747491 \h </w:instrText>
      </w:r>
      <w:r w:rsidR="001B1376">
        <w:fldChar w:fldCharType="separate"/>
      </w:r>
      <w:r w:rsidR="00BF015B" w:rsidRPr="00890425">
        <w:t xml:space="preserve">Figure </w:t>
      </w:r>
      <w:r w:rsidR="00BF015B">
        <w:rPr>
          <w:noProof/>
        </w:rPr>
        <w:t>3</w:t>
      </w:r>
      <w:r w:rsidR="00BF015B">
        <w:noBreakHyphen/>
      </w:r>
      <w:r w:rsidR="00BF015B">
        <w:rPr>
          <w:noProof/>
        </w:rPr>
        <w:t>7</w:t>
      </w:r>
      <w:r w:rsidR="001B1376">
        <w:fldChar w:fldCharType="end"/>
      </w:r>
      <w:r w:rsidR="001B1376">
        <w:t xml:space="preserve">. </w:t>
      </w:r>
      <w:r>
        <w:t xml:space="preserve">The underlying geology influences these processes of groundwater recharge and rise, evapotranspiration and salt mobility (Woods 2015). The resulting effect of increased soil salinity is a reduction in available soil water of a quality that is accessible by Black Box vegetation. </w:t>
      </w:r>
    </w:p>
    <w:p w14:paraId="26ABE827" w14:textId="77777777" w:rsidR="00C675C9" w:rsidRDefault="00C675C9" w:rsidP="00C675C9">
      <w:pPr>
        <w:pStyle w:val="Para0"/>
      </w:pPr>
      <w:r>
        <w:t xml:space="preserve">The regional hydrogeological processes are influenced by factors at a spatial scale transcending the managed floodplain. Defining the hydrogeological setting provides an assessment of floodplain salinisation risk and context for devising sustainable management strategies. </w:t>
      </w:r>
    </w:p>
    <w:p w14:paraId="2BF5F716" w14:textId="77777777" w:rsidR="00C675C9" w:rsidRPr="00F87434" w:rsidRDefault="00C675C9" w:rsidP="00C675C9">
      <w:pPr>
        <w:pStyle w:val="Para0"/>
      </w:pPr>
      <w:r>
        <w:t>A</w:t>
      </w:r>
      <w:r w:rsidRPr="00F87434">
        <w:t xml:space="preserve"> regional hydrogeological </w:t>
      </w:r>
      <w:r>
        <w:t>model</w:t>
      </w:r>
      <w:r w:rsidRPr="00F87434">
        <w:t xml:space="preserve"> </w:t>
      </w:r>
      <w:r>
        <w:t>should define</w:t>
      </w:r>
      <w:r w:rsidRPr="00F87434">
        <w:t>:</w:t>
      </w:r>
    </w:p>
    <w:p w14:paraId="1614D572" w14:textId="77777777" w:rsidR="00C675C9" w:rsidRPr="00F87434" w:rsidRDefault="00C675C9" w:rsidP="00C675C9">
      <w:pPr>
        <w:pStyle w:val="Para0bullet"/>
        <w:tabs>
          <w:tab w:val="clear" w:pos="851"/>
        </w:tabs>
        <w:spacing w:after="0"/>
        <w:ind w:left="850"/>
      </w:pPr>
      <w:r>
        <w:t>r</w:t>
      </w:r>
      <w:r w:rsidRPr="00F87434">
        <w:t>egional groundwater inputs to the floodplain</w:t>
      </w:r>
    </w:p>
    <w:p w14:paraId="384D30B6" w14:textId="77777777" w:rsidR="00C675C9" w:rsidRPr="00F87434" w:rsidRDefault="00C675C9" w:rsidP="00C675C9">
      <w:pPr>
        <w:pStyle w:val="Para0bullet"/>
        <w:tabs>
          <w:tab w:val="clear" w:pos="851"/>
        </w:tabs>
        <w:spacing w:after="0"/>
        <w:ind w:left="850"/>
      </w:pPr>
      <w:r>
        <w:t>t</w:t>
      </w:r>
      <w:r w:rsidRPr="00F87434">
        <w:t>he interaction between the rivers and streams and the floodplain</w:t>
      </w:r>
    </w:p>
    <w:p w14:paraId="045275BC" w14:textId="77777777" w:rsidR="00C675C9" w:rsidRPr="00F87434" w:rsidRDefault="00C675C9" w:rsidP="00C675C9">
      <w:pPr>
        <w:pStyle w:val="Para0bullet"/>
        <w:tabs>
          <w:tab w:val="clear" w:pos="851"/>
        </w:tabs>
        <w:spacing w:after="0"/>
        <w:ind w:left="850"/>
      </w:pPr>
      <w:r>
        <w:t>l</w:t>
      </w:r>
      <w:r w:rsidRPr="00F87434">
        <w:t xml:space="preserve">ikely occurrence </w:t>
      </w:r>
      <w:r>
        <w:t xml:space="preserve">or absence </w:t>
      </w:r>
      <w:r w:rsidRPr="00F87434">
        <w:t>of freshwater lenses</w:t>
      </w:r>
    </w:p>
    <w:p w14:paraId="6A7B68F0" w14:textId="77777777" w:rsidR="00C675C9" w:rsidRDefault="00C675C9" w:rsidP="00C675C9">
      <w:pPr>
        <w:pStyle w:val="Para0bullet"/>
        <w:tabs>
          <w:tab w:val="clear" w:pos="851"/>
        </w:tabs>
        <w:spacing w:after="0"/>
        <w:ind w:left="850"/>
      </w:pPr>
      <w:r>
        <w:t>r</w:t>
      </w:r>
      <w:r w:rsidRPr="00F87434">
        <w:t>elative groundwater</w:t>
      </w:r>
      <w:r>
        <w:t xml:space="preserve"> elevations and</w:t>
      </w:r>
      <w:r w:rsidRPr="00F87434">
        <w:t xml:space="preserve"> salinities and the risk of floodplain salinisation where</w:t>
      </w:r>
      <w:r>
        <w:t xml:space="preserve"> specific</w:t>
      </w:r>
      <w:r w:rsidRPr="00F87434">
        <w:t xml:space="preserve"> monitoring data is limited.</w:t>
      </w:r>
      <w:r w:rsidRPr="00523E5B">
        <w:t xml:space="preserve"> </w:t>
      </w:r>
    </w:p>
    <w:p w14:paraId="1B75AF82" w14:textId="59B8C1E3" w:rsidR="00C675C9" w:rsidRDefault="00C675C9" w:rsidP="00C675C9">
      <w:pPr>
        <w:pStyle w:val="Para0"/>
      </w:pPr>
      <w:r>
        <w:t xml:space="preserve">The conceptual model presented in </w:t>
      </w:r>
      <w:r w:rsidR="00FD6E0A">
        <w:fldChar w:fldCharType="begin"/>
      </w:r>
      <w:r w:rsidR="00FD6E0A">
        <w:instrText xml:space="preserve"> REF _Ref507747491 \h </w:instrText>
      </w:r>
      <w:r w:rsidR="00FD6E0A">
        <w:fldChar w:fldCharType="separate"/>
      </w:r>
      <w:r w:rsidR="00BF015B" w:rsidRPr="00890425">
        <w:t xml:space="preserve">Figure </w:t>
      </w:r>
      <w:r w:rsidR="00BF015B">
        <w:rPr>
          <w:noProof/>
        </w:rPr>
        <w:t>3</w:t>
      </w:r>
      <w:r w:rsidR="00BF015B">
        <w:noBreakHyphen/>
      </w:r>
      <w:r w:rsidR="00BF015B">
        <w:rPr>
          <w:noProof/>
        </w:rPr>
        <w:t>7</w:t>
      </w:r>
      <w:r w:rsidR="00FD6E0A">
        <w:fldChar w:fldCharType="end"/>
      </w:r>
      <w:r w:rsidR="00FD6E0A">
        <w:t xml:space="preserve"> </w:t>
      </w:r>
      <w:r>
        <w:t xml:space="preserve">illustrates the hydrogeology typical of the lower River Murray floodplain. In this instance, the model represents </w:t>
      </w:r>
      <w:r w:rsidRPr="001F7B5F">
        <w:t xml:space="preserve">a </w:t>
      </w:r>
      <w:r w:rsidRPr="001F7B5F">
        <w:rPr>
          <w:i/>
        </w:rPr>
        <w:t>gaining floodplain reach</w:t>
      </w:r>
      <w:r>
        <w:t xml:space="preserve"> where </w:t>
      </w:r>
      <w:r w:rsidRPr="00F87434">
        <w:t>the regional groundwater discharges int</w:t>
      </w:r>
      <w:r>
        <w:t>o the floodplain. Specifically, the model displays:</w:t>
      </w:r>
    </w:p>
    <w:p w14:paraId="0CDACC6C" w14:textId="77777777" w:rsidR="00C675C9" w:rsidRPr="00DC6E0C" w:rsidRDefault="00C675C9" w:rsidP="00C675C9">
      <w:pPr>
        <w:pStyle w:val="Para0bullet"/>
        <w:tabs>
          <w:tab w:val="clear" w:pos="851"/>
        </w:tabs>
        <w:spacing w:after="0"/>
        <w:ind w:left="850"/>
      </w:pPr>
      <w:r>
        <w:t>r</w:t>
      </w:r>
      <w:r w:rsidRPr="00DC6E0C">
        <w:t>egional groundwater discharging to the river and evaporating from the floodplain</w:t>
      </w:r>
    </w:p>
    <w:p w14:paraId="40E0F592" w14:textId="77777777" w:rsidR="00C675C9" w:rsidRDefault="00C675C9" w:rsidP="00C675C9">
      <w:pPr>
        <w:pStyle w:val="Para0bullet"/>
        <w:tabs>
          <w:tab w:val="clear" w:pos="851"/>
        </w:tabs>
        <w:spacing w:after="0"/>
        <w:ind w:left="850"/>
      </w:pPr>
      <w:r>
        <w:t>where t</w:t>
      </w:r>
      <w:r w:rsidRPr="00DC6E0C">
        <w:t>he groundwater</w:t>
      </w:r>
      <w:r>
        <w:t xml:space="preserve"> level</w:t>
      </w:r>
      <w:r w:rsidRPr="00DC6E0C">
        <w:t xml:space="preserve"> </w:t>
      </w:r>
      <w:r>
        <w:t xml:space="preserve">intersects </w:t>
      </w:r>
      <w:r w:rsidRPr="00DC6E0C">
        <w:t>the clay layer</w:t>
      </w:r>
      <w:r>
        <w:t xml:space="preserve">, an increased rate of </w:t>
      </w:r>
      <w:r w:rsidRPr="00DC6E0C">
        <w:t>capillary rise</w:t>
      </w:r>
      <w:r>
        <w:t>,</w:t>
      </w:r>
      <w:r w:rsidRPr="00DC6E0C">
        <w:t xml:space="preserve"> evaporation and soil salinisation</w:t>
      </w:r>
      <w:r>
        <w:t xml:space="preserve"> is likely to occur</w:t>
      </w:r>
    </w:p>
    <w:p w14:paraId="1139AD92" w14:textId="2DB61DB1" w:rsidR="00C675C9" w:rsidRPr="00DC6E0C" w:rsidRDefault="00C675C9" w:rsidP="00C675C9">
      <w:pPr>
        <w:pStyle w:val="Para0bullet"/>
        <w:tabs>
          <w:tab w:val="clear" w:pos="851"/>
        </w:tabs>
        <w:spacing w:after="0"/>
        <w:ind w:left="850"/>
      </w:pPr>
      <w:r>
        <w:t>the influence of soil type on both capillary rise and infiltration of surface water i.e. clay (low infiltration, high capillary rise) compared with sands (high infiltration and low capillary rise</w:t>
      </w:r>
      <w:r w:rsidR="001F63A8">
        <w:t>)</w:t>
      </w:r>
    </w:p>
    <w:p w14:paraId="6CC4711C" w14:textId="77777777" w:rsidR="00C675C9" w:rsidRPr="00DC6E0C" w:rsidRDefault="00C675C9" w:rsidP="00C675C9">
      <w:pPr>
        <w:pStyle w:val="Para0bullet"/>
        <w:tabs>
          <w:tab w:val="clear" w:pos="851"/>
        </w:tabs>
        <w:spacing w:after="0"/>
        <w:ind w:left="850"/>
      </w:pPr>
      <w:r>
        <w:t>r</w:t>
      </w:r>
      <w:r w:rsidRPr="00DC6E0C">
        <w:t xml:space="preserve">echarge from highland irrigation </w:t>
      </w:r>
      <w:r>
        <w:t>districts (</w:t>
      </w:r>
      <w:r w:rsidRPr="00DC6E0C">
        <w:t xml:space="preserve">also associated </w:t>
      </w:r>
      <w:r>
        <w:t>broad acre tree</w:t>
      </w:r>
      <w:r w:rsidRPr="00DC6E0C">
        <w:t xml:space="preserve"> clear</w:t>
      </w:r>
      <w:r>
        <w:t>ing</w:t>
      </w:r>
      <w:r w:rsidRPr="00DC6E0C">
        <w:t>) enhanc</w:t>
      </w:r>
      <w:r>
        <w:t>es</w:t>
      </w:r>
      <w:r w:rsidRPr="00DC6E0C">
        <w:t xml:space="preserve"> the rate at which groundwater discharges to the river/floodplain </w:t>
      </w:r>
      <w:r>
        <w:t>through s</w:t>
      </w:r>
      <w:r w:rsidRPr="00DC6E0C">
        <w:t>ee</w:t>
      </w:r>
      <w:r>
        <w:t>page at the break of slope</w:t>
      </w:r>
    </w:p>
    <w:p w14:paraId="47342C6B" w14:textId="77777777" w:rsidR="00C675C9" w:rsidRDefault="00C675C9" w:rsidP="00C675C9">
      <w:pPr>
        <w:pStyle w:val="Para0bullet"/>
        <w:tabs>
          <w:tab w:val="clear" w:pos="851"/>
        </w:tabs>
        <w:spacing w:after="0"/>
        <w:ind w:left="850"/>
      </w:pPr>
      <w:r w:rsidRPr="00DC6E0C">
        <w:t>wetland</w:t>
      </w:r>
      <w:r>
        <w:t>s</w:t>
      </w:r>
      <w:r w:rsidRPr="00DC6E0C">
        <w:t xml:space="preserve"> on the floodplain </w:t>
      </w:r>
      <w:r>
        <w:t>may provide either</w:t>
      </w:r>
      <w:r w:rsidRPr="00DC6E0C">
        <w:t xml:space="preserve"> a groundwater discharge or recharge zone dependent on the </w:t>
      </w:r>
      <w:r>
        <w:t xml:space="preserve">groundwater </w:t>
      </w:r>
      <w:r w:rsidRPr="00DC6E0C">
        <w:t>water level.</w:t>
      </w:r>
    </w:p>
    <w:p w14:paraId="3798D86B" w14:textId="34654834" w:rsidR="00C675C9" w:rsidRDefault="00C675C9" w:rsidP="00C675C9">
      <w:pPr>
        <w:pStyle w:val="Para0"/>
      </w:pPr>
      <w:r>
        <w:t xml:space="preserve">A floodplain and river classification matrix is presented in AWE </w:t>
      </w:r>
      <w:r w:rsidR="002D0AA0">
        <w:t>(</w:t>
      </w:r>
      <w:r>
        <w:t>2015</w:t>
      </w:r>
      <w:r w:rsidR="002D0AA0">
        <w:t>)</w:t>
      </w:r>
      <w:r>
        <w:t xml:space="preserve"> describing the characteristics of gaining and losing floodplain systems that may be used to define the regional setting appropriate to a specific locality. In summary, g</w:t>
      </w:r>
      <w:r w:rsidRPr="00F87434">
        <w:t>aining floodplains are more likely to be associated with high groundwater salinity, and therefore high unsaturated zone salinity due to the discharge of saline regional groundwater</w:t>
      </w:r>
      <w:r>
        <w:t xml:space="preserve"> </w:t>
      </w:r>
      <w:r w:rsidRPr="00F87434">
        <w:t xml:space="preserve">to the floodplain. </w:t>
      </w:r>
      <w:r>
        <w:t xml:space="preserve">This </w:t>
      </w:r>
      <w:r w:rsidR="00DD2CEB">
        <w:t>contrasts with</w:t>
      </w:r>
      <w:r>
        <w:t xml:space="preserve"> </w:t>
      </w:r>
      <w:r w:rsidRPr="00FD0DAF">
        <w:rPr>
          <w:i/>
        </w:rPr>
        <w:t>losing floodplain reaches</w:t>
      </w:r>
      <w:r>
        <w:t xml:space="preserve"> </w:t>
      </w:r>
      <w:r w:rsidRPr="00F87434">
        <w:t>where groundwater flow</w:t>
      </w:r>
      <w:r>
        <w:t>s</w:t>
      </w:r>
      <w:r w:rsidRPr="00F87434">
        <w:t xml:space="preserve"> </w:t>
      </w:r>
      <w:r>
        <w:t xml:space="preserve">away </w:t>
      </w:r>
      <w:r w:rsidRPr="00F87434">
        <w:t>from floodplain sediments to the regional groundwater system</w:t>
      </w:r>
      <w:r>
        <w:t xml:space="preserve"> or </w:t>
      </w:r>
      <w:r w:rsidRPr="00FD0DAF">
        <w:rPr>
          <w:i/>
        </w:rPr>
        <w:t>through-flow systems</w:t>
      </w:r>
      <w:r>
        <w:t xml:space="preserve"> </w:t>
      </w:r>
      <w:r w:rsidRPr="00F87434">
        <w:t xml:space="preserve">where regional groundwater flows beneath or through </w:t>
      </w:r>
      <w:r>
        <w:t xml:space="preserve">more highly permeable </w:t>
      </w:r>
      <w:r w:rsidRPr="00F87434">
        <w:t>floodplain</w:t>
      </w:r>
      <w:r>
        <w:t xml:space="preserve"> soils. </w:t>
      </w:r>
      <w:r w:rsidRPr="00F87434">
        <w:t xml:space="preserve">The risk of </w:t>
      </w:r>
      <w:r>
        <w:t xml:space="preserve">soil </w:t>
      </w:r>
      <w:r w:rsidRPr="00F87434">
        <w:t xml:space="preserve">salinisation declines </w:t>
      </w:r>
      <w:r>
        <w:t xml:space="preserve">significantly </w:t>
      </w:r>
      <w:r w:rsidRPr="00F87434">
        <w:t>for flow</w:t>
      </w:r>
      <w:r w:rsidR="009F738E">
        <w:t>-through</w:t>
      </w:r>
      <w:r w:rsidRPr="00F87434">
        <w:t xml:space="preserve"> </w:t>
      </w:r>
      <w:r>
        <w:t>systems a</w:t>
      </w:r>
      <w:r w:rsidRPr="00F87434">
        <w:t xml:space="preserve">nd </w:t>
      </w:r>
      <w:r>
        <w:t xml:space="preserve">for </w:t>
      </w:r>
      <w:r w:rsidRPr="00F87434">
        <w:t xml:space="preserve">losing </w:t>
      </w:r>
      <w:r>
        <w:t>river/</w:t>
      </w:r>
      <w:r w:rsidRPr="00F87434">
        <w:t>floodplain</w:t>
      </w:r>
      <w:r>
        <w:t xml:space="preserve"> reaches</w:t>
      </w:r>
      <w:r w:rsidRPr="00F87434">
        <w:t>.</w:t>
      </w:r>
    </w:p>
    <w:p w14:paraId="7DB348A6" w14:textId="77777777" w:rsidR="00C675C9" w:rsidRDefault="00C675C9" w:rsidP="00C675C9">
      <w:pPr>
        <w:pStyle w:val="Para0"/>
        <w:spacing w:before="0"/>
        <w:jc w:val="center"/>
        <w:rPr>
          <w:rFonts w:cs="Arial"/>
          <w:noProof/>
          <w:lang w:eastAsia="en-AU"/>
        </w:rPr>
      </w:pPr>
    </w:p>
    <w:p w14:paraId="61F708F4" w14:textId="77777777" w:rsidR="00C675C9" w:rsidRPr="00F87434" w:rsidRDefault="00C675C9" w:rsidP="00C675C9">
      <w:pPr>
        <w:pStyle w:val="Para0"/>
        <w:spacing w:before="0"/>
        <w:jc w:val="center"/>
        <w:rPr>
          <w:rFonts w:cs="Arial"/>
        </w:rPr>
      </w:pPr>
      <w:r w:rsidRPr="00F165B5">
        <w:rPr>
          <w:rFonts w:cs="Arial"/>
          <w:noProof/>
          <w:lang w:eastAsia="en-AU"/>
        </w:rPr>
        <w:drawing>
          <wp:inline distT="0" distB="0" distL="0" distR="0" wp14:anchorId="631AAA1D" wp14:editId="10FD0550">
            <wp:extent cx="6086475" cy="3702376"/>
            <wp:effectExtent l="0" t="0" r="0" b="0"/>
            <wp:docPr id="11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6129016" cy="3728253"/>
                    </a:xfrm>
                    <a:prstGeom prst="rect">
                      <a:avLst/>
                    </a:prstGeom>
                    <a:noFill/>
                    <a:ln>
                      <a:noFill/>
                    </a:ln>
                    <a:extLst>
                      <a:ext uri="{53640926-AAD7-44D8-BBD7-CCE9431645EC}">
                        <a14:shadowObscured xmlns:a14="http://schemas.microsoft.com/office/drawing/2010/main"/>
                      </a:ext>
                    </a:extLst>
                  </pic:spPr>
                </pic:pic>
              </a:graphicData>
            </a:graphic>
          </wp:inline>
        </w:drawing>
      </w:r>
    </w:p>
    <w:p w14:paraId="5D1F7432" w14:textId="177DF8F3" w:rsidR="00C675C9" w:rsidRPr="00890425" w:rsidRDefault="00C675C9" w:rsidP="00EA581E">
      <w:pPr>
        <w:pStyle w:val="Caption"/>
        <w:jc w:val="center"/>
      </w:pPr>
      <w:bookmarkStart w:id="79" w:name="_Ref507747491"/>
      <w:bookmarkStart w:id="80" w:name="_Toc514018079"/>
      <w:r w:rsidRPr="00890425">
        <w:t xml:space="preserve">Figure </w:t>
      </w:r>
      <w:r>
        <w:fldChar w:fldCharType="begin"/>
      </w:r>
      <w:r>
        <w:instrText xml:space="preserve"> STYLEREF 1 \s </w:instrText>
      </w:r>
      <w:r>
        <w:fldChar w:fldCharType="separate"/>
      </w:r>
      <w:r w:rsidR="00BF015B">
        <w:rPr>
          <w:noProof/>
        </w:rPr>
        <w:t>3</w:t>
      </w:r>
      <w:r>
        <w:fldChar w:fldCharType="end"/>
      </w:r>
      <w:r>
        <w:noBreakHyphen/>
      </w:r>
      <w:r>
        <w:fldChar w:fldCharType="begin"/>
      </w:r>
      <w:r>
        <w:instrText xml:space="preserve"> SEQ Figure \* ARABIC \s 1 </w:instrText>
      </w:r>
      <w:r>
        <w:fldChar w:fldCharType="separate"/>
      </w:r>
      <w:r w:rsidR="00BF015B">
        <w:rPr>
          <w:noProof/>
        </w:rPr>
        <w:t>7</w:t>
      </w:r>
      <w:r>
        <w:fldChar w:fldCharType="end"/>
      </w:r>
      <w:bookmarkEnd w:id="79"/>
      <w:r w:rsidRPr="00890425">
        <w:t>: Conceptual mo</w:t>
      </w:r>
      <w:r w:rsidR="004375F9">
        <w:t>del of the hydrogeology of the l</w:t>
      </w:r>
      <w:r w:rsidRPr="00890425">
        <w:t xml:space="preserve">ower </w:t>
      </w:r>
      <w:r w:rsidR="004375F9">
        <w:t xml:space="preserve">River </w:t>
      </w:r>
      <w:r w:rsidRPr="00890425">
        <w:t xml:space="preserve">Murray floodplain (Holland </w:t>
      </w:r>
      <w:r w:rsidRPr="00A40029">
        <w:rPr>
          <w:i/>
        </w:rPr>
        <w:t>et al.</w:t>
      </w:r>
      <w:r w:rsidR="003F2755">
        <w:t>,</w:t>
      </w:r>
      <w:r w:rsidRPr="00890425">
        <w:t xml:space="preserve"> 2005)</w:t>
      </w:r>
      <w:bookmarkEnd w:id="80"/>
    </w:p>
    <w:p w14:paraId="1AB99029" w14:textId="77777777" w:rsidR="00C675C9" w:rsidRDefault="00C675C9" w:rsidP="00C675C9">
      <w:pPr>
        <w:pStyle w:val="Para0bullet"/>
        <w:numPr>
          <w:ilvl w:val="0"/>
          <w:numId w:val="0"/>
        </w:numPr>
      </w:pPr>
      <w:r w:rsidRPr="00195206">
        <w:t xml:space="preserve">Hydrogeological </w:t>
      </w:r>
      <w:r>
        <w:t xml:space="preserve">(groundwater) </w:t>
      </w:r>
      <w:r w:rsidRPr="00195206">
        <w:t xml:space="preserve">models and maps exist for many </w:t>
      </w:r>
      <w:r>
        <w:t>regions</w:t>
      </w:r>
      <w:r w:rsidRPr="00195206">
        <w:t xml:space="preserve"> along the River Murray and the other rivers within the Basin (e.g. risk maps have been developed for South Australia</w:t>
      </w:r>
      <w:r>
        <w:t>) that may be used as a basis for establishing the regional context</w:t>
      </w:r>
      <w:r w:rsidRPr="00E0195F">
        <w:t xml:space="preserve"> influenc</w:t>
      </w:r>
      <w:r>
        <w:t>ing</w:t>
      </w:r>
      <w:r w:rsidRPr="00E0195F">
        <w:t xml:space="preserve"> vegetation condition</w:t>
      </w:r>
      <w:r>
        <w:t>.</w:t>
      </w:r>
    </w:p>
    <w:p w14:paraId="2BBFEB40" w14:textId="77777777" w:rsidR="00C675C9" w:rsidRPr="004D3070" w:rsidRDefault="00C675C9" w:rsidP="00C675C9">
      <w:pPr>
        <w:pStyle w:val="Heading4"/>
      </w:pPr>
      <w:bookmarkStart w:id="81" w:name="_Ref507748948"/>
      <w:r w:rsidRPr="004D3070">
        <w:t>Floodplain Response Model</w:t>
      </w:r>
      <w:bookmarkEnd w:id="81"/>
    </w:p>
    <w:p w14:paraId="7CB0B629" w14:textId="1C429A5C" w:rsidR="00C675C9" w:rsidRDefault="00C675C9" w:rsidP="00C675C9">
      <w:pPr>
        <w:pStyle w:val="Para0"/>
      </w:pPr>
      <w:r>
        <w:t xml:space="preserve">The Floodplain Response Model </w:t>
      </w:r>
      <w:r w:rsidRPr="005477E0">
        <w:t>(</w:t>
      </w:r>
      <w:r w:rsidR="001B1376">
        <w:fldChar w:fldCharType="begin"/>
      </w:r>
      <w:r w:rsidR="001B1376">
        <w:instrText xml:space="preserve"> REF _Ref507747527 \h </w:instrText>
      </w:r>
      <w:r w:rsidR="001B1376">
        <w:fldChar w:fldCharType="separate"/>
      </w:r>
      <w:r w:rsidR="00BF015B" w:rsidRPr="00890425">
        <w:t xml:space="preserve">Figure </w:t>
      </w:r>
      <w:r w:rsidR="00BF015B">
        <w:rPr>
          <w:noProof/>
        </w:rPr>
        <w:t>3</w:t>
      </w:r>
      <w:r w:rsidR="00BF015B">
        <w:noBreakHyphen/>
      </w:r>
      <w:r w:rsidR="00BF015B">
        <w:rPr>
          <w:noProof/>
        </w:rPr>
        <w:t>8</w:t>
      </w:r>
      <w:r w:rsidR="001B1376">
        <w:fldChar w:fldCharType="end"/>
      </w:r>
      <w:r w:rsidRPr="005477E0">
        <w:t xml:space="preserve">) </w:t>
      </w:r>
      <w:r>
        <w:t xml:space="preserve">was developed to support the characterisation of localised hydrogeological processes acting upon floodplains in the lower River Murray region (Walker </w:t>
      </w:r>
      <w:r w:rsidRPr="00A40029">
        <w:rPr>
          <w:i/>
        </w:rPr>
        <w:t>et al.</w:t>
      </w:r>
      <w:r>
        <w:t xml:space="preserve">, 1996; Overton and Jolly, 2004; Richardson </w:t>
      </w:r>
      <w:r w:rsidRPr="00A40029">
        <w:rPr>
          <w:i/>
        </w:rPr>
        <w:t>et al.</w:t>
      </w:r>
      <w:r>
        <w:t>, 2007; Overton and Doody, 2008</w:t>
      </w:r>
      <w:r w:rsidR="00CE6C4A">
        <w:t>a</w:t>
      </w:r>
      <w:r>
        <w:t xml:space="preserve">). </w:t>
      </w:r>
      <w:r w:rsidR="00C727BE">
        <w:t xml:space="preserve">An alternate representation of the model is provided in </w:t>
      </w:r>
      <w:r w:rsidR="001933C4">
        <w:fldChar w:fldCharType="begin"/>
      </w:r>
      <w:r w:rsidR="001933C4">
        <w:instrText xml:space="preserve"> REF _Ref510604160 \h </w:instrText>
      </w:r>
      <w:r w:rsidR="001933C4">
        <w:fldChar w:fldCharType="separate"/>
      </w:r>
      <w:r w:rsidR="00BF015B" w:rsidRPr="00890425">
        <w:t xml:space="preserve">Figure </w:t>
      </w:r>
      <w:r w:rsidR="00BF015B">
        <w:rPr>
          <w:noProof/>
        </w:rPr>
        <w:t>3</w:t>
      </w:r>
      <w:r w:rsidR="00BF015B">
        <w:noBreakHyphen/>
      </w:r>
      <w:r w:rsidR="00BF015B">
        <w:rPr>
          <w:noProof/>
        </w:rPr>
        <w:t>9</w:t>
      </w:r>
      <w:r w:rsidR="001933C4">
        <w:fldChar w:fldCharType="end"/>
      </w:r>
      <w:r w:rsidR="001933C4">
        <w:t xml:space="preserve"> </w:t>
      </w:r>
      <w:r w:rsidR="00C727BE">
        <w:t xml:space="preserve">(AWE, 2015). </w:t>
      </w:r>
      <w:r>
        <w:t>The model</w:t>
      </w:r>
      <w:r w:rsidR="00C727BE">
        <w:t>s</w:t>
      </w:r>
      <w:r>
        <w:t xml:space="preserve"> provide diagrammatic representation of the key relationships between water management (groundwater and surface water management), groundwater processes, the movement of salt between the saturated zone (below the water table) and the unsaturated zone (zone above the water table), and tree health response. Unsaturated zone soil salinity is a function of groundwater depth, groundwater salinity, soil type and surface water management. </w:t>
      </w:r>
    </w:p>
    <w:p w14:paraId="224940C7" w14:textId="1D78E304" w:rsidR="00C675C9" w:rsidRDefault="00C675C9" w:rsidP="00C675C9">
      <w:pPr>
        <w:pStyle w:val="Para0"/>
      </w:pPr>
      <w:r>
        <w:t>The key premise behind th</w:t>
      </w:r>
      <w:r w:rsidR="004375F9">
        <w:t>ese</w:t>
      </w:r>
      <w:r>
        <w:t xml:space="preserve"> model</w:t>
      </w:r>
      <w:r w:rsidR="004375F9">
        <w:t>s</w:t>
      </w:r>
      <w:r>
        <w:t xml:space="preserve"> is that to deliver long term improvements in the condition of Black Box</w:t>
      </w:r>
      <w:r w:rsidR="009F738E">
        <w:t>,</w:t>
      </w:r>
      <w:r>
        <w:t xml:space="preserve"> populations require interventions that influence groundwater salinity, and consequently increase the availability of soil water of an appropriate quality that can be accessed by floodplain vegetation. This model is therefore useful in guiding the assessment of management actions that may present a benefit or a risk to Black Box condition.</w:t>
      </w:r>
    </w:p>
    <w:p w14:paraId="6F46CBC3" w14:textId="103BD8BA" w:rsidR="00C675C9" w:rsidRPr="00F87434" w:rsidRDefault="00C675C9" w:rsidP="00C675C9">
      <w:pPr>
        <w:pStyle w:val="Para0"/>
      </w:pPr>
      <w:r w:rsidRPr="00F87434">
        <w:t xml:space="preserve">The </w:t>
      </w:r>
      <w:r>
        <w:t>labels</w:t>
      </w:r>
      <w:r w:rsidRPr="00F87434">
        <w:t xml:space="preserve"> in </w:t>
      </w:r>
      <w:r w:rsidR="001B1376">
        <w:fldChar w:fldCharType="begin"/>
      </w:r>
      <w:r w:rsidR="001B1376">
        <w:instrText xml:space="preserve"> REF _Ref507747527 \h </w:instrText>
      </w:r>
      <w:r w:rsidR="001B1376">
        <w:fldChar w:fldCharType="separate"/>
      </w:r>
      <w:r w:rsidR="00BF015B" w:rsidRPr="00890425">
        <w:t xml:space="preserve">Figure </w:t>
      </w:r>
      <w:r w:rsidR="00BF015B">
        <w:rPr>
          <w:noProof/>
        </w:rPr>
        <w:t>3</w:t>
      </w:r>
      <w:r w:rsidR="00BF015B">
        <w:noBreakHyphen/>
      </w:r>
      <w:r w:rsidR="00BF015B">
        <w:rPr>
          <w:noProof/>
        </w:rPr>
        <w:t>8</w:t>
      </w:r>
      <w:r w:rsidR="001B1376">
        <w:fldChar w:fldCharType="end"/>
      </w:r>
      <w:r>
        <w:t xml:space="preserve"> </w:t>
      </w:r>
      <w:r w:rsidRPr="00F87434">
        <w:t>reflect the key processes in the Floodplain Response Model</w:t>
      </w:r>
      <w:r>
        <w:t xml:space="preserve"> (described in detail in </w:t>
      </w:r>
      <w:r w:rsidR="001F5399">
        <w:t xml:space="preserve">Richardson </w:t>
      </w:r>
      <w:r w:rsidR="001F5399" w:rsidRPr="000943BE">
        <w:rPr>
          <w:i/>
        </w:rPr>
        <w:t>et al.</w:t>
      </w:r>
      <w:r w:rsidR="001F5399">
        <w:t xml:space="preserve">, 2007; </w:t>
      </w:r>
      <w:r>
        <w:t>AWE</w:t>
      </w:r>
      <w:r w:rsidR="001F5399">
        <w:t>,</w:t>
      </w:r>
      <w:r>
        <w:t xml:space="preserve"> 2015)</w:t>
      </w:r>
      <w:r w:rsidRPr="00F87434">
        <w:t>:</w:t>
      </w:r>
    </w:p>
    <w:p w14:paraId="0A03DDE5" w14:textId="05A169DA" w:rsidR="00C675C9" w:rsidRDefault="001F5399" w:rsidP="00C675C9">
      <w:pPr>
        <w:pStyle w:val="Para0bullet"/>
        <w:tabs>
          <w:tab w:val="clear" w:pos="851"/>
        </w:tabs>
        <w:spacing w:after="0"/>
        <w:ind w:left="850"/>
      </w:pPr>
      <w:r>
        <w:t>Evaporation and t</w:t>
      </w:r>
      <w:r w:rsidR="00C675C9" w:rsidRPr="00F87434">
        <w:t>ranspiration</w:t>
      </w:r>
    </w:p>
    <w:p w14:paraId="7222585B" w14:textId="205B15B7" w:rsidR="001F5399" w:rsidRDefault="001F5399" w:rsidP="00C675C9">
      <w:pPr>
        <w:pStyle w:val="Para0bullet"/>
        <w:tabs>
          <w:tab w:val="clear" w:pos="851"/>
        </w:tabs>
        <w:spacing w:after="0"/>
        <w:ind w:left="850"/>
      </w:pPr>
      <w:r>
        <w:t>Precipitation and infiltration</w:t>
      </w:r>
    </w:p>
    <w:p w14:paraId="615CD6AF" w14:textId="6986CE69" w:rsidR="001F5399" w:rsidRDefault="001F5399" w:rsidP="00C675C9">
      <w:pPr>
        <w:pStyle w:val="Para0bullet"/>
        <w:tabs>
          <w:tab w:val="clear" w:pos="851"/>
        </w:tabs>
        <w:spacing w:after="0"/>
        <w:ind w:left="850"/>
      </w:pPr>
      <w:r>
        <w:t>Salt accumulation and leaching</w:t>
      </w:r>
    </w:p>
    <w:p w14:paraId="73A97AF7" w14:textId="1C668D6A" w:rsidR="009B0C89" w:rsidRPr="00F87434" w:rsidRDefault="009B0C89" w:rsidP="00C675C9">
      <w:pPr>
        <w:pStyle w:val="Para0bullet"/>
        <w:tabs>
          <w:tab w:val="clear" w:pos="851"/>
        </w:tabs>
        <w:spacing w:after="0"/>
        <w:ind w:left="850"/>
      </w:pPr>
      <w:r>
        <w:t xml:space="preserve">Seepage and groundwater </w:t>
      </w:r>
      <w:r w:rsidR="0096044E">
        <w:t>discharge</w:t>
      </w:r>
    </w:p>
    <w:p w14:paraId="749E28D4" w14:textId="41A9C534" w:rsidR="00C675C9" w:rsidRPr="00F87434" w:rsidRDefault="009F738E" w:rsidP="00C675C9">
      <w:pPr>
        <w:pStyle w:val="Para0bullet"/>
        <w:tabs>
          <w:tab w:val="clear" w:pos="851"/>
        </w:tabs>
        <w:spacing w:after="0"/>
        <w:ind w:left="850"/>
      </w:pPr>
      <w:r>
        <w:t>L</w:t>
      </w:r>
      <w:r w:rsidR="00C675C9" w:rsidRPr="00F87434">
        <w:t>ow salinity lenses</w:t>
      </w:r>
      <w:r>
        <w:t xml:space="preserve"> (freshwater lenses)</w:t>
      </w:r>
      <w:r w:rsidR="00C675C9" w:rsidRPr="00F87434">
        <w:t xml:space="preserve"> reduc</w:t>
      </w:r>
      <w:r w:rsidR="00C675C9">
        <w:t>ing</w:t>
      </w:r>
      <w:r w:rsidR="00C675C9" w:rsidRPr="00F87434">
        <w:t xml:space="preserve"> the salinity of the overlying unsaturated zone</w:t>
      </w:r>
    </w:p>
    <w:p w14:paraId="07730224" w14:textId="64F6D9C2" w:rsidR="002D0AA0" w:rsidRDefault="009F738E" w:rsidP="00C675C9">
      <w:pPr>
        <w:pStyle w:val="Para0bullet"/>
        <w:tabs>
          <w:tab w:val="clear" w:pos="851"/>
        </w:tabs>
        <w:spacing w:after="0"/>
        <w:ind w:left="850"/>
      </w:pPr>
      <w:r>
        <w:t>Gaining and losing streams that can change during and after flood events</w:t>
      </w:r>
    </w:p>
    <w:p w14:paraId="4C837C1B" w14:textId="77777777" w:rsidR="002D0AA0" w:rsidRDefault="009F738E" w:rsidP="00A40029">
      <w:pPr>
        <w:pStyle w:val="Para0bullet"/>
        <w:tabs>
          <w:tab w:val="clear" w:pos="851"/>
        </w:tabs>
        <w:spacing w:after="0"/>
        <w:ind w:left="850"/>
      </w:pPr>
      <w:r>
        <w:t>The development of a flush zone upstream of a lock where the river is kept higher than the surrounding groundwater level</w:t>
      </w:r>
      <w:r w:rsidR="002D0AA0">
        <w:t>.</w:t>
      </w:r>
    </w:p>
    <w:p w14:paraId="4513ABCF" w14:textId="77777777" w:rsidR="002D0AA0" w:rsidRDefault="002D0AA0" w:rsidP="00A40029">
      <w:pPr>
        <w:pStyle w:val="Para0bullet"/>
        <w:numPr>
          <w:ilvl w:val="0"/>
          <w:numId w:val="0"/>
        </w:numPr>
        <w:tabs>
          <w:tab w:val="clear" w:pos="851"/>
        </w:tabs>
        <w:spacing w:after="0"/>
      </w:pPr>
    </w:p>
    <w:p w14:paraId="68C9FA31" w14:textId="239F4D1E" w:rsidR="009B0C89" w:rsidRDefault="009B0C89" w:rsidP="00A40029">
      <w:pPr>
        <w:pStyle w:val="Para0bullet"/>
        <w:numPr>
          <w:ilvl w:val="0"/>
          <w:numId w:val="0"/>
        </w:numPr>
        <w:tabs>
          <w:tab w:val="clear" w:pos="851"/>
        </w:tabs>
        <w:spacing w:after="0"/>
      </w:pPr>
      <w:r>
        <w:t xml:space="preserve">The conceptual model </w:t>
      </w:r>
      <w:r w:rsidR="004375F9">
        <w:t xml:space="preserve">at Figure 3-8 </w:t>
      </w:r>
      <w:r>
        <w:t>provides two cross-sections that show the difference between pre-flooding and flooding. Streams can either be losing or gaining depending on the relationship between the river height and the surrounding groundwater height. The flush zone represents an area of lateral recharge where freshwater from the river moves into the fringing soil profile and provides a good source of water to the trees.</w:t>
      </w:r>
    </w:p>
    <w:p w14:paraId="46F8C14D" w14:textId="05090FAC" w:rsidR="00C675C9" w:rsidRPr="00F87434" w:rsidRDefault="00C675C9" w:rsidP="00C675C9">
      <w:pPr>
        <w:pStyle w:val="Para0"/>
      </w:pPr>
      <w:r>
        <w:t xml:space="preserve">In applying </w:t>
      </w:r>
      <w:r w:rsidR="004375F9">
        <w:t>a</w:t>
      </w:r>
      <w:r>
        <w:t xml:space="preserve"> Floodplain Response Model, t</w:t>
      </w:r>
      <w:r w:rsidRPr="00F87434">
        <w:t>he following factors need to be assess</w:t>
      </w:r>
      <w:r>
        <w:t>ed</w:t>
      </w:r>
      <w:r w:rsidRPr="00F87434">
        <w:t xml:space="preserve"> </w:t>
      </w:r>
      <w:r>
        <w:t xml:space="preserve">when determining </w:t>
      </w:r>
      <w:r w:rsidRPr="00F87434">
        <w:t xml:space="preserve">the likelihood of </w:t>
      </w:r>
      <w:r>
        <w:t xml:space="preserve">a </w:t>
      </w:r>
      <w:r w:rsidRPr="00F87434">
        <w:t xml:space="preserve">positive </w:t>
      </w:r>
      <w:r>
        <w:t xml:space="preserve">change in </w:t>
      </w:r>
      <w:r w:rsidRPr="00F87434">
        <w:t xml:space="preserve">Black Box </w:t>
      </w:r>
      <w:r>
        <w:t>condition resulting from</w:t>
      </w:r>
      <w:r w:rsidRPr="00F87434">
        <w:t xml:space="preserve"> management </w:t>
      </w:r>
      <w:r>
        <w:t>interventions with</w:t>
      </w:r>
      <w:r w:rsidRPr="00F87434">
        <w:t xml:space="preserve">in a </w:t>
      </w:r>
      <w:r w:rsidRPr="00DD2CEB">
        <w:t>salinised</w:t>
      </w:r>
      <w:r w:rsidRPr="00F87434">
        <w:t xml:space="preserve"> </w:t>
      </w:r>
      <w:r>
        <w:t>environment. These are presented in an indicative order of importance</w:t>
      </w:r>
      <w:r w:rsidRPr="00F87434">
        <w:t>:</w:t>
      </w:r>
    </w:p>
    <w:p w14:paraId="65BCAA03" w14:textId="14015DCF" w:rsidR="009B0C89" w:rsidRDefault="009B0C89" w:rsidP="00F22225">
      <w:pPr>
        <w:pStyle w:val="Para0bullet"/>
        <w:numPr>
          <w:ilvl w:val="0"/>
          <w:numId w:val="41"/>
        </w:numPr>
        <w:tabs>
          <w:tab w:val="clear" w:pos="851"/>
        </w:tabs>
        <w:spacing w:after="0"/>
      </w:pPr>
      <w:r>
        <w:t xml:space="preserve">vegetation condition and trajectory of change (refer to chapter </w:t>
      </w:r>
      <w:r w:rsidR="002D0AA0">
        <w:fldChar w:fldCharType="begin"/>
      </w:r>
      <w:r w:rsidR="002D0AA0">
        <w:instrText xml:space="preserve"> REF _Ref508021470 \r \h </w:instrText>
      </w:r>
      <w:r w:rsidR="002D0AA0">
        <w:fldChar w:fldCharType="separate"/>
      </w:r>
      <w:r w:rsidR="00BF015B">
        <w:t>3.5.1.4</w:t>
      </w:r>
      <w:r w:rsidR="002D0AA0">
        <w:fldChar w:fldCharType="end"/>
      </w:r>
      <w:r>
        <w:t>)</w:t>
      </w:r>
    </w:p>
    <w:p w14:paraId="501C8D53" w14:textId="4CA5104F" w:rsidR="00C675C9" w:rsidRPr="00F87434" w:rsidRDefault="00C675C9" w:rsidP="00F22225">
      <w:pPr>
        <w:pStyle w:val="Para0bullet"/>
        <w:numPr>
          <w:ilvl w:val="0"/>
          <w:numId w:val="41"/>
        </w:numPr>
        <w:tabs>
          <w:tab w:val="clear" w:pos="851"/>
        </w:tabs>
        <w:spacing w:after="0"/>
      </w:pPr>
      <w:r>
        <w:t>u</w:t>
      </w:r>
      <w:r w:rsidRPr="00F87434">
        <w:t xml:space="preserve">nsaturated zone </w:t>
      </w:r>
      <w:r>
        <w:t xml:space="preserve">(soil) </w:t>
      </w:r>
      <w:r w:rsidRPr="00F87434">
        <w:t>salinity</w:t>
      </w:r>
    </w:p>
    <w:p w14:paraId="626E53ED" w14:textId="77777777" w:rsidR="00C675C9" w:rsidRPr="00F87434" w:rsidRDefault="00C675C9" w:rsidP="00F22225">
      <w:pPr>
        <w:pStyle w:val="Para0bullet"/>
        <w:numPr>
          <w:ilvl w:val="0"/>
          <w:numId w:val="41"/>
        </w:numPr>
        <w:tabs>
          <w:tab w:val="clear" w:pos="851"/>
        </w:tabs>
        <w:spacing w:after="0"/>
      </w:pPr>
      <w:r>
        <w:t>s</w:t>
      </w:r>
      <w:r w:rsidRPr="00F87434">
        <w:t xml:space="preserve">aturated zone </w:t>
      </w:r>
      <w:r>
        <w:t xml:space="preserve">(groundwater) </w:t>
      </w:r>
      <w:r w:rsidRPr="00F87434">
        <w:t>salinity (</w:t>
      </w:r>
      <w:r>
        <w:t>i.e</w:t>
      </w:r>
      <w:r w:rsidRPr="00F87434">
        <w:t xml:space="preserve">. </w:t>
      </w:r>
      <w:r>
        <w:t>from</w:t>
      </w:r>
      <w:r w:rsidRPr="00F87434">
        <w:t xml:space="preserve"> </w:t>
      </w:r>
      <w:r>
        <w:t xml:space="preserve">below </w:t>
      </w:r>
      <w:r w:rsidRPr="00F87434">
        <w:t>the water table)</w:t>
      </w:r>
    </w:p>
    <w:p w14:paraId="3D969186" w14:textId="77777777" w:rsidR="00C675C9" w:rsidRPr="00F87434" w:rsidRDefault="00C675C9" w:rsidP="00F22225">
      <w:pPr>
        <w:pStyle w:val="Para0bullet"/>
        <w:numPr>
          <w:ilvl w:val="0"/>
          <w:numId w:val="41"/>
        </w:numPr>
        <w:tabs>
          <w:tab w:val="clear" w:pos="851"/>
        </w:tabs>
        <w:spacing w:after="0"/>
      </w:pPr>
      <w:r>
        <w:t>d</w:t>
      </w:r>
      <w:r w:rsidRPr="00F87434">
        <w:t xml:space="preserve">epth to </w:t>
      </w:r>
      <w:r>
        <w:t>water table and/or evapotranspiration (ET) r</w:t>
      </w:r>
      <w:r w:rsidRPr="00F87434">
        <w:t>ates</w:t>
      </w:r>
    </w:p>
    <w:p w14:paraId="5459A722" w14:textId="77777777" w:rsidR="00C675C9" w:rsidRPr="00F87434" w:rsidRDefault="00C675C9" w:rsidP="00F22225">
      <w:pPr>
        <w:pStyle w:val="Para0bullet"/>
        <w:numPr>
          <w:ilvl w:val="0"/>
          <w:numId w:val="41"/>
        </w:numPr>
        <w:tabs>
          <w:tab w:val="clear" w:pos="851"/>
        </w:tabs>
        <w:spacing w:after="0"/>
      </w:pPr>
      <w:r>
        <w:t>u</w:t>
      </w:r>
      <w:r w:rsidRPr="00F87434">
        <w:t xml:space="preserve">nsaturated </w:t>
      </w:r>
      <w:r>
        <w:t>z</w:t>
      </w:r>
      <w:r w:rsidRPr="00F87434">
        <w:t xml:space="preserve">one </w:t>
      </w:r>
      <w:r>
        <w:t>soil m</w:t>
      </w:r>
      <w:r w:rsidRPr="00F87434">
        <w:t>aterials</w:t>
      </w:r>
    </w:p>
    <w:p w14:paraId="0E6D9AF2" w14:textId="52D0F2AC" w:rsidR="00C675C9" w:rsidRDefault="00C675C9" w:rsidP="00F22225">
      <w:pPr>
        <w:pStyle w:val="Para0bullet"/>
        <w:numPr>
          <w:ilvl w:val="0"/>
          <w:numId w:val="41"/>
        </w:numPr>
        <w:tabs>
          <w:tab w:val="clear" w:pos="851"/>
        </w:tabs>
        <w:spacing w:after="0"/>
      </w:pPr>
      <w:r>
        <w:t>access to sources of surface water – e.g. f</w:t>
      </w:r>
      <w:r w:rsidRPr="00F87434">
        <w:t xml:space="preserve">lood </w:t>
      </w:r>
      <w:r>
        <w:t>frequency, r</w:t>
      </w:r>
      <w:r w:rsidRPr="00F87434">
        <w:t>ainfall</w:t>
      </w:r>
      <w:r w:rsidR="009B0C89">
        <w:t>, freshwater lenses</w:t>
      </w:r>
    </w:p>
    <w:p w14:paraId="1DDDF65B" w14:textId="77777777" w:rsidR="00C675C9" w:rsidRDefault="00C675C9" w:rsidP="00F22225">
      <w:pPr>
        <w:pStyle w:val="Para0bullet"/>
        <w:numPr>
          <w:ilvl w:val="0"/>
          <w:numId w:val="41"/>
        </w:numPr>
        <w:tabs>
          <w:tab w:val="clear" w:pos="851"/>
        </w:tabs>
        <w:spacing w:after="0"/>
      </w:pPr>
      <w:r>
        <w:t xml:space="preserve">responsiveness of groundwater to management intervention (i.e. recharge potential) </w:t>
      </w:r>
    </w:p>
    <w:p w14:paraId="6740BCA0" w14:textId="77777777" w:rsidR="00C675C9" w:rsidRDefault="00C675C9" w:rsidP="00C675C9">
      <w:pPr>
        <w:pStyle w:val="Para0bullet"/>
        <w:numPr>
          <w:ilvl w:val="0"/>
          <w:numId w:val="0"/>
        </w:numPr>
        <w:tabs>
          <w:tab w:val="clear" w:pos="851"/>
        </w:tabs>
        <w:spacing w:after="0" w:line="120" w:lineRule="atLeast"/>
      </w:pPr>
    </w:p>
    <w:p w14:paraId="39912F7A" w14:textId="37CDC413" w:rsidR="00C675C9" w:rsidRPr="00485D7C" w:rsidRDefault="00C675C9" w:rsidP="00C675C9">
      <w:pPr>
        <w:pStyle w:val="Para0bullet"/>
        <w:numPr>
          <w:ilvl w:val="0"/>
          <w:numId w:val="0"/>
        </w:numPr>
        <w:rPr>
          <w:highlight w:val="yellow"/>
        </w:rPr>
      </w:pPr>
      <w:r>
        <w:t>As a g</w:t>
      </w:r>
      <w:r w:rsidRPr="00485D7C">
        <w:t xml:space="preserve">uide to </w:t>
      </w:r>
      <w:r>
        <w:t xml:space="preserve">assessing the likelihood of </w:t>
      </w:r>
      <w:r w:rsidRPr="00485D7C">
        <w:t xml:space="preserve">soil and groundwater conditions </w:t>
      </w:r>
      <w:r>
        <w:t xml:space="preserve">(average salinity) </w:t>
      </w:r>
      <w:r w:rsidRPr="00485D7C">
        <w:t>support</w:t>
      </w:r>
      <w:r>
        <w:t>ing</w:t>
      </w:r>
      <w:r w:rsidRPr="00485D7C">
        <w:t xml:space="preserve"> healthy Black Box</w:t>
      </w:r>
      <w:r>
        <w:t>, salinity thresholds are provided below</w:t>
      </w:r>
      <w:r w:rsidRPr="00485D7C">
        <w:t xml:space="preserve">. </w:t>
      </w:r>
      <w:r w:rsidRPr="00391AD9">
        <w:t xml:space="preserve">These values have been </w:t>
      </w:r>
      <w:r>
        <w:t>derived</w:t>
      </w:r>
      <w:r w:rsidRPr="00391AD9">
        <w:t xml:space="preserve"> </w:t>
      </w:r>
      <w:r w:rsidR="00DD2CEB" w:rsidRPr="00391AD9">
        <w:t>based on</w:t>
      </w:r>
      <w:r w:rsidRPr="00391AD9">
        <w:t xml:space="preserve"> literature review and </w:t>
      </w:r>
      <w:r>
        <w:t>data</w:t>
      </w:r>
      <w:r w:rsidRPr="00391AD9">
        <w:t xml:space="preserve"> analys</w:t>
      </w:r>
      <w:r>
        <w:t>e</w:t>
      </w:r>
      <w:r w:rsidRPr="00391AD9">
        <w:t xml:space="preserve">s that </w:t>
      </w:r>
      <w:r>
        <w:t>associated</w:t>
      </w:r>
      <w:r w:rsidRPr="00391AD9">
        <w:t xml:space="preserve"> 75</w:t>
      </w:r>
      <w:r>
        <w:t xml:space="preserve"> per cent</w:t>
      </w:r>
      <w:r w:rsidRPr="00391AD9">
        <w:t xml:space="preserve"> of </w:t>
      </w:r>
      <w:r>
        <w:t>healthy Black Box</w:t>
      </w:r>
      <w:r w:rsidRPr="00391AD9">
        <w:t xml:space="preserve"> trees </w:t>
      </w:r>
      <w:r>
        <w:t>with</w:t>
      </w:r>
      <w:r w:rsidRPr="00391AD9">
        <w:t xml:space="preserve"> soil and groundwater salinities below the</w:t>
      </w:r>
      <w:r>
        <w:t xml:space="preserve"> suggested</w:t>
      </w:r>
      <w:r w:rsidRPr="00391AD9">
        <w:t xml:space="preserve"> threshold limits</w:t>
      </w:r>
      <w:r>
        <w:t xml:space="preserve"> (AWE</w:t>
      </w:r>
      <w:r w:rsidR="004375F9">
        <w:t xml:space="preserve">, </w:t>
      </w:r>
      <w:r>
        <w:t>2015)</w:t>
      </w:r>
      <w:r w:rsidRPr="00391AD9">
        <w:t>.</w:t>
      </w:r>
      <w:r>
        <w:t xml:space="preserve"> </w:t>
      </w:r>
      <w:r w:rsidRPr="00EB3F79">
        <w:t xml:space="preserve">These simplified thresholds can be used for rapid </w:t>
      </w:r>
      <w:r w:rsidR="00DD2CEB" w:rsidRPr="00EB3F79">
        <w:t>assessment;</w:t>
      </w:r>
      <w:r w:rsidRPr="00EB3F79">
        <w:t xml:space="preserve"> </w:t>
      </w:r>
      <w:r w:rsidR="00AD6010" w:rsidRPr="00EB3F79">
        <w:t>however,</w:t>
      </w:r>
      <w:r w:rsidRPr="00EB3F79">
        <w:t xml:space="preserve"> the use of these thresholds should be considered in the context of soil texture, regional groundwater processes</w:t>
      </w:r>
      <w:r>
        <w:t xml:space="preserve"> (including pressure gradients)</w:t>
      </w:r>
      <w:r w:rsidRPr="00EB3F79">
        <w:t xml:space="preserve"> and genetic variations that may confound the observed tree condition. </w:t>
      </w:r>
    </w:p>
    <w:p w14:paraId="11D71DA3" w14:textId="77777777" w:rsidR="00C675C9" w:rsidRPr="00F87434" w:rsidRDefault="00C675C9" w:rsidP="00C675C9">
      <w:pPr>
        <w:pStyle w:val="Para0"/>
      </w:pPr>
      <w:r w:rsidRPr="00485D7C">
        <w:t xml:space="preserve">The </w:t>
      </w:r>
      <w:r>
        <w:t>salinity</w:t>
      </w:r>
      <w:r w:rsidRPr="00485D7C">
        <w:t xml:space="preserve"> thresholds are:</w:t>
      </w:r>
    </w:p>
    <w:p w14:paraId="0498A02E" w14:textId="77777777" w:rsidR="00C675C9" w:rsidRDefault="00C675C9" w:rsidP="00C675C9">
      <w:pPr>
        <w:pStyle w:val="Para0bullet"/>
        <w:spacing w:after="0"/>
        <w:ind w:left="850"/>
      </w:pPr>
      <w:r>
        <w:t xml:space="preserve">soil salinity of 39,000 mg/L (equivalent to 60,000 EC or 60,000 </w:t>
      </w:r>
      <w:r w:rsidRPr="007B2D65">
        <w:rPr>
          <w:rFonts w:ascii="Symbol" w:hAnsi="Symbol"/>
        </w:rPr>
        <w:t></w:t>
      </w:r>
      <w:r>
        <w:t>S/cm)</w:t>
      </w:r>
    </w:p>
    <w:p w14:paraId="6E45AD65" w14:textId="77777777" w:rsidR="00C675C9" w:rsidRDefault="00C675C9" w:rsidP="00C675C9">
      <w:pPr>
        <w:pStyle w:val="Para0bullet"/>
        <w:spacing w:after="0"/>
        <w:ind w:left="850"/>
      </w:pPr>
      <w:r>
        <w:t>groundwater salinity of 22,000 mg/L (equivalent to 33,850 EC).</w:t>
      </w:r>
    </w:p>
    <w:p w14:paraId="0219EDBD" w14:textId="77777777" w:rsidR="00C675C9" w:rsidRDefault="00C675C9" w:rsidP="00C675C9">
      <w:pPr>
        <w:pStyle w:val="Para0bullet"/>
        <w:numPr>
          <w:ilvl w:val="0"/>
          <w:numId w:val="0"/>
        </w:numPr>
        <w:spacing w:after="0"/>
        <w:ind w:left="425" w:hanging="425"/>
      </w:pPr>
    </w:p>
    <w:p w14:paraId="37C20A75" w14:textId="10A07414" w:rsidR="00C675C9" w:rsidRDefault="00C675C9" w:rsidP="00C675C9">
      <w:pPr>
        <w:pStyle w:val="Para0bullet"/>
        <w:numPr>
          <w:ilvl w:val="0"/>
          <w:numId w:val="0"/>
        </w:numPr>
        <w:spacing w:after="0"/>
      </w:pPr>
      <w:r>
        <w:t xml:space="preserve">Management strategies are likely to be more effective for sustainable improvement in Black Box condition where soil and groundwater salinities are below the </w:t>
      </w:r>
      <w:r w:rsidR="004375F9">
        <w:t xml:space="preserve">above </w:t>
      </w:r>
      <w:r>
        <w:t xml:space="preserve">threshold values; a correlation between salinity and tree health is presented in Chapter </w:t>
      </w:r>
      <w:r>
        <w:fldChar w:fldCharType="begin"/>
      </w:r>
      <w:r>
        <w:instrText xml:space="preserve"> REF _Ref506215027 \r \h </w:instrText>
      </w:r>
      <w:r>
        <w:fldChar w:fldCharType="separate"/>
      </w:r>
      <w:r w:rsidR="00BF015B">
        <w:t>5</w:t>
      </w:r>
      <w:r>
        <w:fldChar w:fldCharType="end"/>
      </w:r>
      <w:r>
        <w:t xml:space="preserve">. </w:t>
      </w:r>
    </w:p>
    <w:p w14:paraId="2A17F716" w14:textId="77777777" w:rsidR="00C675C9" w:rsidRDefault="00C675C9" w:rsidP="00C675C9">
      <w:pPr>
        <w:pStyle w:val="Para0bullet"/>
        <w:numPr>
          <w:ilvl w:val="0"/>
          <w:numId w:val="0"/>
        </w:numPr>
        <w:spacing w:after="0"/>
      </w:pPr>
    </w:p>
    <w:p w14:paraId="746EC388" w14:textId="77777777" w:rsidR="00C675C9" w:rsidRDefault="00C675C9" w:rsidP="00C675C9">
      <w:pPr>
        <w:pStyle w:val="Para0bullet"/>
        <w:numPr>
          <w:ilvl w:val="0"/>
          <w:numId w:val="0"/>
        </w:numPr>
        <w:spacing w:after="0"/>
      </w:pPr>
    </w:p>
    <w:p w14:paraId="58502F9E" w14:textId="77777777" w:rsidR="00C675C9" w:rsidRDefault="00C675C9" w:rsidP="00C675C9">
      <w:pPr>
        <w:pStyle w:val="Para0bullet"/>
        <w:numPr>
          <w:ilvl w:val="0"/>
          <w:numId w:val="0"/>
        </w:numPr>
        <w:spacing w:after="0"/>
      </w:pPr>
      <w:r>
        <w:rPr>
          <w:noProof/>
          <w:lang w:eastAsia="en-AU"/>
        </w:rPr>
        <w:drawing>
          <wp:inline distT="0" distB="0" distL="0" distR="0" wp14:anchorId="55C17B51" wp14:editId="7AA4C789">
            <wp:extent cx="6299239" cy="2831123"/>
            <wp:effectExtent l="0" t="0" r="6350" b="762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Slide1.JPG"/>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6299835" cy="2831391"/>
                    </a:xfrm>
                    <a:prstGeom prst="rect">
                      <a:avLst/>
                    </a:prstGeom>
                    <a:ln>
                      <a:noFill/>
                    </a:ln>
                    <a:extLst>
                      <a:ext uri="{53640926-AAD7-44D8-BBD7-CCE9431645EC}">
                        <a14:shadowObscured xmlns:a14="http://schemas.microsoft.com/office/drawing/2010/main"/>
                      </a:ext>
                    </a:extLst>
                  </pic:spPr>
                </pic:pic>
              </a:graphicData>
            </a:graphic>
          </wp:inline>
        </w:drawing>
      </w:r>
    </w:p>
    <w:p w14:paraId="173F99F1" w14:textId="77777777" w:rsidR="00C675C9" w:rsidRDefault="00C675C9" w:rsidP="00C675C9">
      <w:pPr>
        <w:pStyle w:val="Para0bullet"/>
        <w:numPr>
          <w:ilvl w:val="0"/>
          <w:numId w:val="0"/>
        </w:numPr>
        <w:spacing w:after="0"/>
      </w:pPr>
      <w:r>
        <w:rPr>
          <w:noProof/>
          <w:lang w:eastAsia="en-AU"/>
        </w:rPr>
        <w:drawing>
          <wp:inline distT="0" distB="0" distL="0" distR="0" wp14:anchorId="1E87CF4D" wp14:editId="5B28929D">
            <wp:extent cx="6298674" cy="2734407"/>
            <wp:effectExtent l="0" t="0" r="6985" b="889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Slide2.JPG"/>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6299835" cy="2734911"/>
                    </a:xfrm>
                    <a:prstGeom prst="rect">
                      <a:avLst/>
                    </a:prstGeom>
                    <a:ln>
                      <a:noFill/>
                    </a:ln>
                    <a:extLst>
                      <a:ext uri="{53640926-AAD7-44D8-BBD7-CCE9431645EC}">
                        <a14:shadowObscured xmlns:a14="http://schemas.microsoft.com/office/drawing/2010/main"/>
                      </a:ext>
                    </a:extLst>
                  </pic:spPr>
                </pic:pic>
              </a:graphicData>
            </a:graphic>
          </wp:inline>
        </w:drawing>
      </w:r>
    </w:p>
    <w:p w14:paraId="7E016859" w14:textId="4B6715AA" w:rsidR="00C675C9" w:rsidRDefault="00C675C9" w:rsidP="00EA581E">
      <w:pPr>
        <w:pStyle w:val="Caption"/>
        <w:jc w:val="center"/>
      </w:pPr>
      <w:bookmarkStart w:id="82" w:name="_Ref507747527"/>
      <w:bookmarkStart w:id="83" w:name="_Toc514018080"/>
      <w:r w:rsidRPr="00890425">
        <w:t xml:space="preserve">Figure </w:t>
      </w:r>
      <w:r>
        <w:fldChar w:fldCharType="begin"/>
      </w:r>
      <w:r>
        <w:instrText xml:space="preserve"> STYLEREF 1 \s </w:instrText>
      </w:r>
      <w:r>
        <w:fldChar w:fldCharType="separate"/>
      </w:r>
      <w:r w:rsidR="00BF015B">
        <w:rPr>
          <w:noProof/>
        </w:rPr>
        <w:t>3</w:t>
      </w:r>
      <w:r>
        <w:fldChar w:fldCharType="end"/>
      </w:r>
      <w:r>
        <w:noBreakHyphen/>
      </w:r>
      <w:r>
        <w:fldChar w:fldCharType="begin"/>
      </w:r>
      <w:r>
        <w:instrText xml:space="preserve"> SEQ Figure \* ARABIC \s 1 </w:instrText>
      </w:r>
      <w:r>
        <w:fldChar w:fldCharType="separate"/>
      </w:r>
      <w:r w:rsidR="00BF015B">
        <w:rPr>
          <w:noProof/>
        </w:rPr>
        <w:t>8</w:t>
      </w:r>
      <w:r>
        <w:fldChar w:fldCharType="end"/>
      </w:r>
      <w:bookmarkEnd w:id="82"/>
      <w:r w:rsidR="00DD2CEB">
        <w:t>:</w:t>
      </w:r>
      <w:r w:rsidRPr="00890425">
        <w:t xml:space="preserve"> Hydrogeological and ecohydrological processes on the River Murray floodplain (Overton and Doody, 2008</w:t>
      </w:r>
      <w:r w:rsidR="00CE6C4A">
        <w:t>a</w:t>
      </w:r>
      <w:r w:rsidRPr="00890425">
        <w:t>)</w:t>
      </w:r>
      <w:bookmarkEnd w:id="83"/>
    </w:p>
    <w:p w14:paraId="4CB6E78F" w14:textId="77777777" w:rsidR="00E55155" w:rsidRPr="00E55155" w:rsidRDefault="00E55155" w:rsidP="00E55155">
      <w:pPr>
        <w:pStyle w:val="Para0"/>
      </w:pPr>
    </w:p>
    <w:p w14:paraId="170D0835" w14:textId="47A931AA" w:rsidR="00C675C9" w:rsidRDefault="00E55155" w:rsidP="00C675C9">
      <w:pPr>
        <w:pStyle w:val="Para0bullet"/>
        <w:numPr>
          <w:ilvl w:val="0"/>
          <w:numId w:val="0"/>
        </w:numPr>
        <w:spacing w:after="0"/>
      </w:pPr>
      <w:r>
        <w:rPr>
          <w:noProof/>
          <w:lang w:eastAsia="en-AU"/>
        </w:rPr>
        <w:drawing>
          <wp:anchor distT="0" distB="0" distL="114300" distR="114300" simplePos="0" relativeHeight="251688960" behindDoc="0" locked="0" layoutInCell="1" allowOverlap="1" wp14:anchorId="56B2F7D4" wp14:editId="589F4802">
            <wp:simplePos x="0" y="0"/>
            <wp:positionH relativeFrom="column">
              <wp:posOffset>2080260</wp:posOffset>
            </wp:positionH>
            <wp:positionV relativeFrom="paragraph">
              <wp:posOffset>148591</wp:posOffset>
            </wp:positionV>
            <wp:extent cx="4313862" cy="2324100"/>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4319545" cy="23271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86D662" w14:textId="3FFF7E9D" w:rsidR="00C727BE" w:rsidRDefault="00C727BE" w:rsidP="00C675C9">
      <w:pPr>
        <w:pStyle w:val="Para0bullet"/>
        <w:numPr>
          <w:ilvl w:val="0"/>
          <w:numId w:val="0"/>
        </w:numPr>
        <w:spacing w:after="0"/>
      </w:pPr>
    </w:p>
    <w:p w14:paraId="5E620901" w14:textId="625B4354" w:rsidR="001933C4" w:rsidRDefault="00E55155" w:rsidP="00C675C9">
      <w:pPr>
        <w:pStyle w:val="Para0bullet"/>
        <w:numPr>
          <w:ilvl w:val="0"/>
          <w:numId w:val="0"/>
        </w:numPr>
        <w:spacing w:after="0"/>
      </w:pPr>
      <w:r>
        <w:rPr>
          <w:noProof/>
          <w:lang w:eastAsia="en-AU"/>
        </w:rPr>
        <w:drawing>
          <wp:inline distT="0" distB="0" distL="0" distR="0" wp14:anchorId="7201A9CF" wp14:editId="481093B0">
            <wp:extent cx="2123179" cy="19621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2131038" cy="1969413"/>
                    </a:xfrm>
                    <a:prstGeom prst="rect">
                      <a:avLst/>
                    </a:prstGeom>
                    <a:ln>
                      <a:noFill/>
                    </a:ln>
                    <a:extLst>
                      <a:ext uri="{53640926-AAD7-44D8-BBD7-CCE9431645EC}">
                        <a14:shadowObscured xmlns:a14="http://schemas.microsoft.com/office/drawing/2010/main"/>
                      </a:ext>
                    </a:extLst>
                  </pic:spPr>
                </pic:pic>
              </a:graphicData>
            </a:graphic>
          </wp:inline>
        </w:drawing>
      </w:r>
    </w:p>
    <w:p w14:paraId="4522B949" w14:textId="53619094" w:rsidR="00E55155" w:rsidRDefault="00E55155" w:rsidP="00C675C9">
      <w:pPr>
        <w:pStyle w:val="Para0bullet"/>
        <w:numPr>
          <w:ilvl w:val="0"/>
          <w:numId w:val="0"/>
        </w:numPr>
        <w:spacing w:after="0"/>
      </w:pPr>
    </w:p>
    <w:p w14:paraId="15997452" w14:textId="61827D7B" w:rsidR="001933C4" w:rsidRPr="00890425" w:rsidRDefault="001933C4" w:rsidP="001933C4">
      <w:pPr>
        <w:pStyle w:val="Caption"/>
        <w:jc w:val="center"/>
      </w:pPr>
      <w:bookmarkStart w:id="84" w:name="_Ref510604160"/>
      <w:bookmarkStart w:id="85" w:name="_Toc514018081"/>
      <w:r w:rsidRPr="00890425">
        <w:t xml:space="preserve">Figure </w:t>
      </w:r>
      <w:r>
        <w:fldChar w:fldCharType="begin"/>
      </w:r>
      <w:r>
        <w:instrText xml:space="preserve"> STYLEREF 1 \s </w:instrText>
      </w:r>
      <w:r>
        <w:fldChar w:fldCharType="separate"/>
      </w:r>
      <w:r w:rsidR="00BF015B">
        <w:rPr>
          <w:noProof/>
        </w:rPr>
        <w:t>3</w:t>
      </w:r>
      <w:r>
        <w:fldChar w:fldCharType="end"/>
      </w:r>
      <w:r>
        <w:noBreakHyphen/>
      </w:r>
      <w:r>
        <w:fldChar w:fldCharType="begin"/>
      </w:r>
      <w:r>
        <w:instrText xml:space="preserve"> SEQ Figure \* ARABIC \s 1 </w:instrText>
      </w:r>
      <w:r>
        <w:fldChar w:fldCharType="separate"/>
      </w:r>
      <w:r w:rsidR="00BF015B">
        <w:rPr>
          <w:noProof/>
        </w:rPr>
        <w:t>9</w:t>
      </w:r>
      <w:r>
        <w:fldChar w:fldCharType="end"/>
      </w:r>
      <w:bookmarkEnd w:id="84"/>
      <w:r w:rsidR="00DD2CEB">
        <w:t>:</w:t>
      </w:r>
      <w:r w:rsidRPr="00890425">
        <w:t xml:space="preserve"> </w:t>
      </w:r>
      <w:r>
        <w:t>Floodplain response to water management</w:t>
      </w:r>
      <w:r w:rsidRPr="00890425">
        <w:t xml:space="preserve"> (</w:t>
      </w:r>
      <w:r>
        <w:t>AWE,</w:t>
      </w:r>
      <w:r w:rsidR="004375F9">
        <w:t xml:space="preserve"> </w:t>
      </w:r>
      <w:r>
        <w:t>2015</w:t>
      </w:r>
      <w:r w:rsidRPr="00890425">
        <w:t>)</w:t>
      </w:r>
      <w:bookmarkEnd w:id="85"/>
    </w:p>
    <w:p w14:paraId="5B206557" w14:textId="77777777" w:rsidR="00C727BE" w:rsidRDefault="00C727BE" w:rsidP="00C675C9">
      <w:pPr>
        <w:pStyle w:val="Para0bullet"/>
        <w:numPr>
          <w:ilvl w:val="0"/>
          <w:numId w:val="0"/>
        </w:numPr>
        <w:spacing w:after="0"/>
      </w:pPr>
    </w:p>
    <w:p w14:paraId="6A00A60E" w14:textId="4E9C307E" w:rsidR="00D53906" w:rsidRDefault="00C675C9" w:rsidP="00C675C9">
      <w:pPr>
        <w:pStyle w:val="Para1bullet"/>
        <w:spacing w:before="120"/>
      </w:pPr>
      <w:r w:rsidRPr="00736C77">
        <w:t>If soil salini</w:t>
      </w:r>
      <w:r>
        <w:t>sation</w:t>
      </w:r>
      <w:r w:rsidRPr="00736C77">
        <w:t xml:space="preserve"> is </w:t>
      </w:r>
      <w:r>
        <w:t xml:space="preserve">regarded as having a role in limiting </w:t>
      </w:r>
      <w:r w:rsidRPr="00736C77">
        <w:t xml:space="preserve">soil water availability at </w:t>
      </w:r>
      <w:r>
        <w:t>a</w:t>
      </w:r>
      <w:r w:rsidRPr="00736C77">
        <w:t xml:space="preserve"> site it is recommended that additional data</w:t>
      </w:r>
      <w:r>
        <w:t xml:space="preserve"> is</w:t>
      </w:r>
      <w:r w:rsidRPr="00736C77">
        <w:t xml:space="preserve"> collected and analysed to </w:t>
      </w:r>
      <w:r>
        <w:t>provide an empirical basis for defining the interrelationship between</w:t>
      </w:r>
      <w:r w:rsidRPr="00736C77">
        <w:t xml:space="preserve"> </w:t>
      </w:r>
      <w:r>
        <w:t>these</w:t>
      </w:r>
      <w:r w:rsidRPr="00736C77">
        <w:t xml:space="preserve"> factors.</w:t>
      </w:r>
    </w:p>
    <w:p w14:paraId="58FD2A1D" w14:textId="77777777" w:rsidR="00D53906" w:rsidRDefault="00D53906">
      <w:pPr>
        <w:spacing w:after="0" w:line="240" w:lineRule="auto"/>
      </w:pPr>
      <w:r>
        <w:br w:type="page"/>
      </w:r>
    </w:p>
    <w:p w14:paraId="7304F7C9" w14:textId="77777777" w:rsidR="00C675C9" w:rsidRDefault="00C675C9" w:rsidP="00C675C9">
      <w:pPr>
        <w:pStyle w:val="Heading4"/>
      </w:pPr>
      <w:r>
        <w:t>Soil Salinisation Model</w:t>
      </w:r>
    </w:p>
    <w:p w14:paraId="54878897" w14:textId="41A701B5" w:rsidR="00324983" w:rsidRDefault="00324983" w:rsidP="00C675C9">
      <w:pPr>
        <w:pStyle w:val="Para0"/>
      </w:pPr>
      <w:r>
        <w:t>The soil salinisation conceptual model depicts a balance between the freshwater going down from flooding and rainfall and the salt water coming up due to evapotranspiration. The balance between these two determines th</w:t>
      </w:r>
      <w:r w:rsidR="002D0AA0">
        <w:t>e</w:t>
      </w:r>
      <w:r>
        <w:t xml:space="preserve"> amount of soil moisture available to the plants. When salt accumulates in the soil profile the amount of water available to the Black Box roots is reduced. Plants uptake water through their roots via a process of osmosis that is driven by salt concentration differences across the plant membranes. When the salt concentration outside the plant exceeds that inside the plant the water in the soil is not available to the plant.</w:t>
      </w:r>
      <w:r w:rsidR="00390BAF">
        <w:t xml:space="preserve"> The osmotic potential is too great for the plant. Different plant species have different osmotic potentials.</w:t>
      </w:r>
      <w:r>
        <w:t xml:space="preserve"> This process is </w:t>
      </w:r>
      <w:r w:rsidR="00390BAF">
        <w:t>similar</w:t>
      </w:r>
      <w:r>
        <w:t xml:space="preserve"> when there is little actual water in the soi</w:t>
      </w:r>
      <w:r w:rsidR="00390BAF">
        <w:t>l</w:t>
      </w:r>
      <w:r>
        <w:t>.</w:t>
      </w:r>
      <w:r w:rsidR="00390BAF">
        <w:t xml:space="preserve"> Extracting water from a dry soil requires matric potential and when the matric potential is too great the plant will wilt.</w:t>
      </w:r>
      <w:r>
        <w:t xml:space="preserve"> Soil salinisation and hence increased lack of available water has been attributed as a major cause of floodplain vegetation decline in the lower River Murray.</w:t>
      </w:r>
    </w:p>
    <w:p w14:paraId="20A2CB17" w14:textId="0083C6D8" w:rsidR="00C675C9" w:rsidRDefault="00C675C9" w:rsidP="00C675C9">
      <w:pPr>
        <w:pStyle w:val="Para0"/>
      </w:pPr>
      <w:r>
        <w:t xml:space="preserve">Black Box relies on groundwater for survival when </w:t>
      </w:r>
      <w:r w:rsidR="00AD4499">
        <w:t>other forms of surface</w:t>
      </w:r>
      <w:r>
        <w:t xml:space="preserve"> water is not available, provided groundwater is not too saline. Where the salinity of the groundwater is too high for the Black Box to extract sufficient water, the trees must draw their water from the upper soil profile and become affected by salt accumulation in this capillary fringe zone. </w:t>
      </w:r>
    </w:p>
    <w:p w14:paraId="2055E894" w14:textId="35ABD085" w:rsidR="00C675C9" w:rsidRDefault="00C675C9" w:rsidP="00C675C9">
      <w:pPr>
        <w:pStyle w:val="Para0"/>
      </w:pPr>
      <w:r>
        <w:t>A critical depth to groundwater exists and</w:t>
      </w:r>
      <w:r w:rsidR="00D1158D">
        <w:t xml:space="preserve"> it</w:t>
      </w:r>
      <w:r>
        <w:t xml:space="preserve"> is dependent upon flood frequency. This was shown to be consistent with soil salinisation processes in that there is a critical depth to groundwater at which there is no vertical movement of salt through the soil profile. As flooding frequency increase</w:t>
      </w:r>
      <w:r w:rsidR="00AD4499">
        <w:t>s</w:t>
      </w:r>
      <w:r>
        <w:t xml:space="preserve">, the critical depth to groundwater </w:t>
      </w:r>
      <w:r w:rsidR="002D0AA0">
        <w:t xml:space="preserve">is </w:t>
      </w:r>
      <w:r>
        <w:t>decrease</w:t>
      </w:r>
      <w:r w:rsidR="00AD4499">
        <w:t>s</w:t>
      </w:r>
      <w:r>
        <w:t xml:space="preserve">. </w:t>
      </w:r>
      <w:r w:rsidR="00BF0A88">
        <w:t xml:space="preserve">The critical depth is also dependent on the groundwater salinity. </w:t>
      </w:r>
      <w:r w:rsidR="001B777E">
        <w:t xml:space="preserve">Below about </w:t>
      </w:r>
      <w:r w:rsidR="001A2C38">
        <w:t>3</w:t>
      </w:r>
      <w:r w:rsidR="00AD4499">
        <w:t> </w:t>
      </w:r>
      <w:r w:rsidR="001B777E">
        <w:t xml:space="preserve">metres from the surface the pressure of capillary rise of groundwater to the surface is reduced to the point of no </w:t>
      </w:r>
      <w:r w:rsidR="00D1158D">
        <w:t xml:space="preserve">salt </w:t>
      </w:r>
      <w:r w:rsidR="001B777E">
        <w:t>accumulation. Vegetation, through transpiration</w:t>
      </w:r>
      <w:r w:rsidR="00AD4499">
        <w:t>,</w:t>
      </w:r>
      <w:r w:rsidR="001B777E">
        <w:t xml:space="preserve"> can increase the rate of salt accumulation. </w:t>
      </w:r>
      <w:r>
        <w:t xml:space="preserve">The critical depth of groundwater is deeper for clay than for the coarser sands, hence trees situated on the sands would have more available fresh water in the soil profile (Jolly </w:t>
      </w:r>
      <w:r>
        <w:rPr>
          <w:i/>
        </w:rPr>
        <w:t>et al</w:t>
      </w:r>
      <w:r>
        <w:t xml:space="preserve">., 1993). This change in the balance between shallower groundwater, increased salt accumulation and less flooding has shifted from pre-regulation to current </w:t>
      </w:r>
      <w:r w:rsidRPr="004D3070">
        <w:t xml:space="preserve">conditions </w:t>
      </w:r>
      <w:r w:rsidRPr="008C06C0">
        <w:t>(</w:t>
      </w:r>
      <w:r w:rsidR="001B45CF">
        <w:fldChar w:fldCharType="begin"/>
      </w:r>
      <w:r w:rsidR="001B45CF">
        <w:instrText xml:space="preserve"> REF _Ref507747566 \h </w:instrText>
      </w:r>
      <w:r w:rsidR="001B45CF">
        <w:fldChar w:fldCharType="separate"/>
      </w:r>
      <w:r w:rsidR="00BF015B" w:rsidRPr="004D3070">
        <w:t xml:space="preserve">Figure </w:t>
      </w:r>
      <w:r w:rsidR="00BF015B">
        <w:rPr>
          <w:noProof/>
        </w:rPr>
        <w:t>3</w:t>
      </w:r>
      <w:r w:rsidR="00BF015B">
        <w:noBreakHyphen/>
      </w:r>
      <w:r w:rsidR="00BF015B">
        <w:rPr>
          <w:noProof/>
        </w:rPr>
        <w:t>10</w:t>
      </w:r>
      <w:r w:rsidR="001B45CF">
        <w:fldChar w:fldCharType="end"/>
      </w:r>
      <w:r w:rsidRPr="008C06C0">
        <w:t>).</w:t>
      </w:r>
      <w:r>
        <w:t xml:space="preserve"> This has combined to create reduced water availability in the soil profile (Jolly and Walker, 1995).</w:t>
      </w:r>
    </w:p>
    <w:p w14:paraId="227C4744" w14:textId="7CC64EDE" w:rsidR="001A2C38" w:rsidRDefault="001A2C38" w:rsidP="00C675C9">
      <w:pPr>
        <w:pStyle w:val="Para0"/>
      </w:pPr>
      <w:r>
        <w:t xml:space="preserve">The critical flooding frequency or groundwater depth will differ from site to site. Black Box trees established in an area have grown to adapt to the local conditions. Rather than focussing on universal critical threshold levels it is more important to consider the change in conditions from when the trees </w:t>
      </w:r>
      <w:r w:rsidR="00AD4499">
        <w:t xml:space="preserve">originally became </w:t>
      </w:r>
      <w:r>
        <w:t>established.</w:t>
      </w:r>
    </w:p>
    <w:p w14:paraId="1AC84A96" w14:textId="5FC175FE" w:rsidR="00C675C9" w:rsidRDefault="00C675C9" w:rsidP="00C675C9">
      <w:pPr>
        <w:pStyle w:val="Para0"/>
      </w:pPr>
      <w:r>
        <w:t>In areas of shallow groundwater and high groundwater salinity, soil salinisation can be higher than Black Box tolerance. High flooding frequency must occur to combat this soil salinisation and will be dependent on the soil type.</w:t>
      </w:r>
      <w:r w:rsidR="001B777E">
        <w:t xml:space="preserve"> Management needs to address this balance by increasing recharge through flooding or decreasing discharge through lowering groundwater levels or lowering groundwater salinity. Providing an alternative water source is also an option through lateral rec</w:t>
      </w:r>
      <w:r w:rsidR="00610204">
        <w:t>harge</w:t>
      </w:r>
      <w:r w:rsidR="00AD4499">
        <w:t xml:space="preserve">, for example </w:t>
      </w:r>
      <w:r w:rsidR="00610204">
        <w:t>from a nearby creek</w:t>
      </w:r>
      <w:r w:rsidR="00AD4499">
        <w:t>,</w:t>
      </w:r>
      <w:r w:rsidR="00610204">
        <w:t xml:space="preserve"> up to</w:t>
      </w:r>
      <w:r w:rsidR="001B777E">
        <w:t xml:space="preserve"> approximately 150</w:t>
      </w:r>
      <w:r w:rsidR="00AD4499">
        <w:t> </w:t>
      </w:r>
      <w:r w:rsidR="001B777E">
        <w:t>metres</w:t>
      </w:r>
      <w:r w:rsidR="00610204">
        <w:t>, however this varies significantly for different sites (AWE, 2015)</w:t>
      </w:r>
      <w:r w:rsidR="001B777E">
        <w:t>.</w:t>
      </w:r>
      <w:r>
        <w:t xml:space="preserve">  </w:t>
      </w:r>
    </w:p>
    <w:p w14:paraId="10E227A6" w14:textId="77777777" w:rsidR="00C675C9" w:rsidRDefault="00C675C9" w:rsidP="00C675C9">
      <w:pPr>
        <w:pStyle w:val="Para0"/>
        <w:jc w:val="center"/>
      </w:pPr>
      <w:r>
        <w:rPr>
          <w:noProof/>
          <w:lang w:eastAsia="en-AU"/>
        </w:rPr>
        <w:drawing>
          <wp:inline distT="0" distB="0" distL="0" distR="0" wp14:anchorId="3E8D827A" wp14:editId="55D35C4F">
            <wp:extent cx="5934075" cy="4139017"/>
            <wp:effectExtent l="0" t="0" r="0" b="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5965580" cy="4160991"/>
                    </a:xfrm>
                    <a:prstGeom prst="rect">
                      <a:avLst/>
                    </a:prstGeom>
                    <a:ln>
                      <a:noFill/>
                    </a:ln>
                    <a:extLst>
                      <a:ext uri="{53640926-AAD7-44D8-BBD7-CCE9431645EC}">
                        <a14:shadowObscured xmlns:a14="http://schemas.microsoft.com/office/drawing/2010/main"/>
                      </a:ext>
                    </a:extLst>
                  </pic:spPr>
                </pic:pic>
              </a:graphicData>
            </a:graphic>
          </wp:inline>
        </w:drawing>
      </w:r>
    </w:p>
    <w:p w14:paraId="4F17C5E6" w14:textId="58E0C1D3" w:rsidR="00C675C9" w:rsidRDefault="00C675C9" w:rsidP="00EA581E">
      <w:pPr>
        <w:pStyle w:val="Caption"/>
        <w:jc w:val="center"/>
      </w:pPr>
      <w:bookmarkStart w:id="86" w:name="_Ref507747566"/>
      <w:bookmarkStart w:id="87" w:name="_Toc514018082"/>
      <w:r w:rsidRPr="004D3070">
        <w:t xml:space="preserve">Figure </w:t>
      </w:r>
      <w:r>
        <w:fldChar w:fldCharType="begin"/>
      </w:r>
      <w:r>
        <w:instrText xml:space="preserve"> STYLEREF 1 \s </w:instrText>
      </w:r>
      <w:r>
        <w:fldChar w:fldCharType="separate"/>
      </w:r>
      <w:r w:rsidR="00BF015B">
        <w:rPr>
          <w:noProof/>
        </w:rPr>
        <w:t>3</w:t>
      </w:r>
      <w:r>
        <w:fldChar w:fldCharType="end"/>
      </w:r>
      <w:r>
        <w:noBreakHyphen/>
      </w:r>
      <w:r>
        <w:fldChar w:fldCharType="begin"/>
      </w:r>
      <w:r>
        <w:instrText xml:space="preserve"> SEQ Figure \* ARABIC \s 1 </w:instrText>
      </w:r>
      <w:r>
        <w:fldChar w:fldCharType="separate"/>
      </w:r>
      <w:r w:rsidR="00BF015B">
        <w:rPr>
          <w:noProof/>
        </w:rPr>
        <w:t>10</w:t>
      </w:r>
      <w:r>
        <w:fldChar w:fldCharType="end"/>
      </w:r>
      <w:bookmarkEnd w:id="86"/>
      <w:r w:rsidRPr="004D3070">
        <w:t>: Conceptual</w:t>
      </w:r>
      <w:r>
        <w:t xml:space="preserve"> diagram of the salt accumulation mechanisms in floodplain soils (Overton, 2011).</w:t>
      </w:r>
      <w:bookmarkEnd w:id="87"/>
    </w:p>
    <w:p w14:paraId="22AC4B85" w14:textId="77777777" w:rsidR="00C675C9" w:rsidRPr="004D3070" w:rsidRDefault="00C675C9" w:rsidP="00C675C9">
      <w:pPr>
        <w:pStyle w:val="Heading4"/>
      </w:pPr>
      <w:bookmarkStart w:id="88" w:name="_Ref508021470"/>
      <w:r w:rsidRPr="004D3070">
        <w:t xml:space="preserve">Black Box </w:t>
      </w:r>
      <w:r>
        <w:t xml:space="preserve">State and Transition </w:t>
      </w:r>
      <w:r w:rsidRPr="004D3070">
        <w:t>Model</w:t>
      </w:r>
      <w:bookmarkEnd w:id="88"/>
    </w:p>
    <w:p w14:paraId="46D9F8C5" w14:textId="258AB070" w:rsidR="00C675C9" w:rsidRDefault="00C675C9" w:rsidP="00C675C9">
      <w:pPr>
        <w:pStyle w:val="Para0"/>
      </w:pPr>
      <w:r w:rsidRPr="00EF1381">
        <w:rPr>
          <w:i/>
        </w:rPr>
        <w:t xml:space="preserve">The Black Box Conceptual Model for condition states and their transitions </w:t>
      </w:r>
      <w:r w:rsidRPr="00EF1381">
        <w:t>(Transition Model) (Overton</w:t>
      </w:r>
      <w:r>
        <w:t> </w:t>
      </w:r>
      <w:r w:rsidRPr="00EF1381">
        <w:rPr>
          <w:i/>
        </w:rPr>
        <w:t>et</w:t>
      </w:r>
      <w:r>
        <w:rPr>
          <w:i/>
        </w:rPr>
        <w:t> </w:t>
      </w:r>
      <w:r w:rsidRPr="00EF1381">
        <w:rPr>
          <w:i/>
        </w:rPr>
        <w:t>al</w:t>
      </w:r>
      <w:r w:rsidRPr="00EF1381">
        <w:t>.</w:t>
      </w:r>
      <w:r w:rsidR="00A21D82">
        <w:t>,</w:t>
      </w:r>
      <w:r>
        <w:t xml:space="preserve"> </w:t>
      </w:r>
      <w:r w:rsidRPr="00EF1381">
        <w:t>2014) has been developed to predict the rate of decline and recovery of mature trees as a result of changes to watering availability (</w:t>
      </w:r>
      <w:r w:rsidR="001B45CF">
        <w:fldChar w:fldCharType="begin"/>
      </w:r>
      <w:r w:rsidR="001B45CF">
        <w:instrText xml:space="preserve"> REF _Ref507747886 \h </w:instrText>
      </w:r>
      <w:r w:rsidR="001B45CF">
        <w:fldChar w:fldCharType="separate"/>
      </w:r>
      <w:r w:rsidR="00BF015B" w:rsidRPr="00890425">
        <w:t xml:space="preserve">Figure </w:t>
      </w:r>
      <w:r w:rsidR="00BF015B">
        <w:rPr>
          <w:noProof/>
        </w:rPr>
        <w:t>3</w:t>
      </w:r>
      <w:r w:rsidR="00BF015B">
        <w:noBreakHyphen/>
      </w:r>
      <w:r w:rsidR="00BF015B">
        <w:rPr>
          <w:noProof/>
        </w:rPr>
        <w:t>11</w:t>
      </w:r>
      <w:r w:rsidR="001B45CF">
        <w:fldChar w:fldCharType="end"/>
      </w:r>
      <w:r w:rsidRPr="00FA5659">
        <w:t xml:space="preserve"> and</w:t>
      </w:r>
      <w:r w:rsidR="001B45CF">
        <w:t xml:space="preserve"> </w:t>
      </w:r>
      <w:r w:rsidR="001B45CF">
        <w:rPr>
          <w:rFonts w:cs="Arial"/>
        </w:rPr>
        <w:fldChar w:fldCharType="begin"/>
      </w:r>
      <w:r w:rsidR="001B45CF">
        <w:rPr>
          <w:rFonts w:cs="Arial"/>
        </w:rPr>
        <w:instrText xml:space="preserve"> REF _Ref507747921 \h </w:instrText>
      </w:r>
      <w:r w:rsidR="001B45CF">
        <w:rPr>
          <w:rFonts w:cs="Arial"/>
        </w:rPr>
      </w:r>
      <w:r w:rsidR="001B45CF">
        <w:rPr>
          <w:rFonts w:cs="Arial"/>
        </w:rPr>
        <w:fldChar w:fldCharType="separate"/>
      </w:r>
      <w:r w:rsidR="00BF015B" w:rsidRPr="001D32F6">
        <w:t xml:space="preserve">Table </w:t>
      </w:r>
      <w:r w:rsidR="00BF015B">
        <w:rPr>
          <w:noProof/>
        </w:rPr>
        <w:t>3</w:t>
      </w:r>
      <w:r w:rsidR="00BF015B">
        <w:noBreakHyphen/>
      </w:r>
      <w:r w:rsidR="00BF015B">
        <w:rPr>
          <w:noProof/>
        </w:rPr>
        <w:t>5</w:t>
      </w:r>
      <w:r w:rsidR="001B45CF">
        <w:rPr>
          <w:rFonts w:cs="Arial"/>
        </w:rPr>
        <w:fldChar w:fldCharType="end"/>
      </w:r>
      <w:r>
        <w:t>)</w:t>
      </w:r>
      <w:r w:rsidRPr="00F87434">
        <w:t xml:space="preserve">. </w:t>
      </w:r>
      <w:r>
        <w:t xml:space="preserve">As a long-lived and slow-growing tree, mature Black Box takes several years to transition between different condition states in response to water availability. </w:t>
      </w:r>
    </w:p>
    <w:p w14:paraId="33297409" w14:textId="3C4E0BBA" w:rsidR="00C675C9" w:rsidRDefault="00C675C9" w:rsidP="00C675C9">
      <w:pPr>
        <w:pStyle w:val="Para0"/>
      </w:pPr>
      <w:r w:rsidRPr="005249FE">
        <w:t xml:space="preserve">This conceptual model is based on </w:t>
      </w:r>
      <w:r>
        <w:t>surface</w:t>
      </w:r>
      <w:r w:rsidRPr="005249FE">
        <w:t xml:space="preserve"> watering requirements (frequency and duration of surface watering events) for mature Black Box and a function of the time in years since the last effective watering event. </w:t>
      </w:r>
      <w:r>
        <w:t>The model is u</w:t>
      </w:r>
      <w:r w:rsidRPr="005249FE">
        <w:t xml:space="preserve">seful for considering likely timeframes for recording either decline or improvements in </w:t>
      </w:r>
      <w:r>
        <w:t xml:space="preserve">Black Box </w:t>
      </w:r>
      <w:r w:rsidRPr="005249FE">
        <w:t xml:space="preserve">condition </w:t>
      </w:r>
      <w:r>
        <w:t xml:space="preserve">however </w:t>
      </w:r>
      <w:r w:rsidRPr="005249FE">
        <w:t xml:space="preserve">Overton </w:t>
      </w:r>
      <w:r w:rsidRPr="005249FE">
        <w:rPr>
          <w:i/>
        </w:rPr>
        <w:t>et al</w:t>
      </w:r>
      <w:r w:rsidRPr="005249FE">
        <w:t>. (2014) note</w:t>
      </w:r>
      <w:r>
        <w:t xml:space="preserve"> that these changes may not correlate specifically to flood history rather to changes in soil salinity and/or changes in groundwater. </w:t>
      </w:r>
    </w:p>
    <w:p w14:paraId="58554846" w14:textId="77777777" w:rsidR="00C675C9" w:rsidRDefault="00C675C9" w:rsidP="00C675C9">
      <w:pPr>
        <w:pStyle w:val="Para0"/>
      </w:pPr>
      <w:r>
        <w:t>The model predicts that the decline in Black Box condition from “Good” to “Critical” is predicted to occur over 19 years since the last watering although Black Box is known to be able to survive for longer than this. T</w:t>
      </w:r>
      <w:r w:rsidRPr="00F87434">
        <w:t xml:space="preserve">he pathway to recovery is </w:t>
      </w:r>
      <w:r>
        <w:t xml:space="preserve">represented as being </w:t>
      </w:r>
      <w:r w:rsidRPr="00F87434">
        <w:t xml:space="preserve">staged, slower and </w:t>
      </w:r>
      <w:r>
        <w:t xml:space="preserve">occurs </w:t>
      </w:r>
      <w:r w:rsidRPr="00F87434">
        <w:t>across multiple ye</w:t>
      </w:r>
      <w:r>
        <w:t>ars of management intervention. Improvement from “Critical” to “Good” is estimated to take up to 25 years. It is important to note that these transition pathways do not factor the impact of salinity on Black Box condition that may result in either a more rapid decline or prolonged recovery.</w:t>
      </w:r>
    </w:p>
    <w:p w14:paraId="5AC27873" w14:textId="1924BDA8" w:rsidR="00C675C9" w:rsidRPr="003F47B6" w:rsidRDefault="00C675C9" w:rsidP="00C675C9">
      <w:pPr>
        <w:pStyle w:val="Para0"/>
      </w:pPr>
      <w:r>
        <w:t>The longer recovery pathway occurs via an “I</w:t>
      </w:r>
      <w:r w:rsidRPr="00F87434">
        <w:t>ntermediate</w:t>
      </w:r>
      <w:r>
        <w:t>”</w:t>
      </w:r>
      <w:r w:rsidRPr="00F87434">
        <w:t xml:space="preserve"> condition</w:t>
      </w:r>
      <w:r>
        <w:t>.</w:t>
      </w:r>
      <w:r w:rsidRPr="00F87434">
        <w:t xml:space="preserve"> </w:t>
      </w:r>
      <w:r>
        <w:t>Trees may be observed responding rapidly to a single rainfall or floodplain watering event e.g. epicormic growth, however the sustained improvement to convert this vigorous growth into new woody structures is more energy-</w:t>
      </w:r>
      <w:r w:rsidRPr="003F47B6">
        <w:t>demanding</w:t>
      </w:r>
      <w:r>
        <w:t xml:space="preserve"> and occurs over multiple years. Restoration of a watering regime or soil water availability in a single season does not restore the vegetation to good condition if Black Box trees have experienced severe decline (Overton </w:t>
      </w:r>
      <w:r w:rsidRPr="00ED7B15">
        <w:rPr>
          <w:i/>
        </w:rPr>
        <w:t>et al.</w:t>
      </w:r>
      <w:r w:rsidR="003F2755" w:rsidRPr="003F2755">
        <w:t>,</w:t>
      </w:r>
      <w:r>
        <w:t xml:space="preserve"> 2014). The </w:t>
      </w:r>
      <w:r w:rsidRPr="003F47B6">
        <w:t xml:space="preserve">expected response to a watering event at each stage </w:t>
      </w:r>
      <w:r>
        <w:t>in the conceptual model is described as follows</w:t>
      </w:r>
      <w:r w:rsidRPr="003F47B6">
        <w:t>:</w:t>
      </w:r>
    </w:p>
    <w:p w14:paraId="7193B781" w14:textId="77777777" w:rsidR="00C675C9" w:rsidRPr="003F47B6" w:rsidRDefault="00C675C9" w:rsidP="00C675C9">
      <w:pPr>
        <w:pStyle w:val="Para0number"/>
        <w:spacing w:after="0"/>
      </w:pPr>
      <w:r w:rsidRPr="003F47B6">
        <w:rPr>
          <w:b/>
        </w:rPr>
        <w:t>Good condition</w:t>
      </w:r>
      <w:r w:rsidRPr="003F47B6">
        <w:t xml:space="preserve"> - Responds to watering by maintaining its vigorous condition, increasing in size (bole diameter, canopy extent) whilst maintaining foliage density as high.</w:t>
      </w:r>
    </w:p>
    <w:p w14:paraId="4AF3C700" w14:textId="77777777" w:rsidR="00C675C9" w:rsidRPr="003F47B6" w:rsidRDefault="00C675C9" w:rsidP="00C675C9">
      <w:pPr>
        <w:pStyle w:val="Para0number"/>
        <w:spacing w:after="0"/>
      </w:pPr>
      <w:r w:rsidRPr="00067438">
        <w:rPr>
          <w:b/>
        </w:rPr>
        <w:t>Medium condition</w:t>
      </w:r>
      <w:r w:rsidRPr="003F47B6">
        <w:t xml:space="preserve"> - Responds to watering by producing new leaves from existing twigs and branches, so assessed as returning to </w:t>
      </w:r>
      <w:r>
        <w:t>“</w:t>
      </w:r>
      <w:r w:rsidRPr="003F47B6">
        <w:t>Good</w:t>
      </w:r>
      <w:r>
        <w:t>”</w:t>
      </w:r>
      <w:r w:rsidRPr="003F47B6">
        <w:t xml:space="preserve"> after </w:t>
      </w:r>
      <w:r>
        <w:t>1</w:t>
      </w:r>
      <w:r w:rsidRPr="003F47B6">
        <w:t xml:space="preserve"> year.</w:t>
      </w:r>
    </w:p>
    <w:p w14:paraId="05261DA6" w14:textId="77777777" w:rsidR="00C675C9" w:rsidRPr="003F47B6" w:rsidRDefault="00C675C9" w:rsidP="00C675C9">
      <w:pPr>
        <w:pStyle w:val="Para0number"/>
        <w:numPr>
          <w:ilvl w:val="0"/>
          <w:numId w:val="17"/>
        </w:numPr>
        <w:spacing w:after="0"/>
      </w:pPr>
      <w:r w:rsidRPr="00354ADE">
        <w:rPr>
          <w:b/>
        </w:rPr>
        <w:t>Intermediate condition</w:t>
      </w:r>
      <w:r w:rsidRPr="003F47B6">
        <w:t xml:space="preserve"> </w:t>
      </w:r>
      <w:r>
        <w:t>–</w:t>
      </w:r>
      <w:r w:rsidRPr="003F47B6">
        <w:t xml:space="preserve"> Responds to watering by developing new leaves on branch tips. Capable of abundant flowering and high reproductive effort once this stage</w:t>
      </w:r>
      <w:r>
        <w:t xml:space="preserve"> is reached</w:t>
      </w:r>
      <w:r w:rsidRPr="003F47B6">
        <w:t xml:space="preserve">. Assessed as taking </w:t>
      </w:r>
      <w:r>
        <w:t>7</w:t>
      </w:r>
      <w:r w:rsidRPr="003F47B6">
        <w:t xml:space="preserve"> years to reach </w:t>
      </w:r>
      <w:r>
        <w:t>“</w:t>
      </w:r>
      <w:r w:rsidRPr="003F47B6">
        <w:t>Good</w:t>
      </w:r>
      <w:r>
        <w:t>” with ongoing maintenance of conditions that are conducive to recovery</w:t>
      </w:r>
      <w:r w:rsidRPr="003F47B6">
        <w:t>.</w:t>
      </w:r>
    </w:p>
    <w:p w14:paraId="224C2A32" w14:textId="77777777" w:rsidR="00C675C9" w:rsidRPr="003F47B6" w:rsidRDefault="00C675C9" w:rsidP="00C675C9">
      <w:pPr>
        <w:pStyle w:val="Para0number"/>
        <w:spacing w:after="0"/>
      </w:pPr>
      <w:r w:rsidRPr="00354ADE">
        <w:rPr>
          <w:b/>
        </w:rPr>
        <w:t>Poor condition</w:t>
      </w:r>
      <w:r w:rsidRPr="003F47B6">
        <w:t xml:space="preserve"> - Responds to watering by epicormic growth on bole and branches. Assessed as taking </w:t>
      </w:r>
      <w:r>
        <w:t>ten </w:t>
      </w:r>
      <w:r w:rsidRPr="003F47B6">
        <w:t xml:space="preserve">years of favourable growing conditions (wet years with short dry intervals) to reach </w:t>
      </w:r>
      <w:r>
        <w:t>“</w:t>
      </w:r>
      <w:r w:rsidRPr="003F47B6">
        <w:t>Intermediate</w:t>
      </w:r>
      <w:r>
        <w:t>” condition</w:t>
      </w:r>
      <w:r w:rsidRPr="003F47B6">
        <w:t xml:space="preserve"> and then </w:t>
      </w:r>
      <w:r>
        <w:t>7</w:t>
      </w:r>
      <w:r w:rsidRPr="003F47B6">
        <w:t xml:space="preserve"> years after that to return to </w:t>
      </w:r>
      <w:r>
        <w:t>“</w:t>
      </w:r>
      <w:r w:rsidRPr="003F47B6">
        <w:t>Good</w:t>
      </w:r>
      <w:r>
        <w:t>”</w:t>
      </w:r>
      <w:r w:rsidRPr="003F47B6">
        <w:t>.</w:t>
      </w:r>
    </w:p>
    <w:p w14:paraId="5EFB7F2D" w14:textId="77777777" w:rsidR="00C675C9" w:rsidRDefault="00C675C9" w:rsidP="00C675C9">
      <w:pPr>
        <w:pStyle w:val="Para0number"/>
        <w:spacing w:after="240"/>
      </w:pPr>
      <w:r w:rsidRPr="003F47B6">
        <w:rPr>
          <w:b/>
        </w:rPr>
        <w:t>Critical condition</w:t>
      </w:r>
      <w:r w:rsidRPr="003F47B6">
        <w:t xml:space="preserve"> - Responds to watering by epicormic growth, but due to slow growth rate needs repeated favourable growing conditions (optimal frequency and no long dry to cause stress) to re-establish most of the crown. Assessed as taking </w:t>
      </w:r>
      <w:r>
        <w:t>approximately 18</w:t>
      </w:r>
      <w:r w:rsidRPr="003F47B6">
        <w:t xml:space="preserve"> years to reach </w:t>
      </w:r>
      <w:r>
        <w:t>“</w:t>
      </w:r>
      <w:r w:rsidRPr="003F47B6">
        <w:t>Intermediate</w:t>
      </w:r>
      <w:r>
        <w:t>” condition</w:t>
      </w:r>
      <w:r w:rsidRPr="003F47B6">
        <w:t>. If the tree is not re-watered w</w:t>
      </w:r>
      <w:r>
        <w:t>ithin a year or two of first watering</w:t>
      </w:r>
      <w:r w:rsidRPr="003F47B6">
        <w:t xml:space="preserve">, this new epicormic growth dies, and the tree remains in </w:t>
      </w:r>
      <w:r>
        <w:t>“</w:t>
      </w:r>
      <w:r w:rsidRPr="003F47B6">
        <w:t>Critical</w:t>
      </w:r>
      <w:r>
        <w:t>” condition</w:t>
      </w:r>
      <w:r w:rsidRPr="003F47B6">
        <w:t>.</w:t>
      </w:r>
    </w:p>
    <w:p w14:paraId="714AD855" w14:textId="51661578" w:rsidR="00C675C9" w:rsidRPr="001D32F6" w:rsidRDefault="00C675C9" w:rsidP="00C675C9">
      <w:pPr>
        <w:pStyle w:val="Caption"/>
      </w:pPr>
      <w:bookmarkStart w:id="89" w:name="_Ref507747921"/>
      <w:bookmarkStart w:id="90" w:name="_Toc514068772"/>
      <w:r w:rsidRPr="001D32F6">
        <w:t xml:space="preserve">Table </w:t>
      </w:r>
      <w:r>
        <w:fldChar w:fldCharType="begin"/>
      </w:r>
      <w:r>
        <w:instrText xml:space="preserve"> STYLEREF 1 \s </w:instrText>
      </w:r>
      <w:r>
        <w:fldChar w:fldCharType="separate"/>
      </w:r>
      <w:r w:rsidR="00BF015B">
        <w:rPr>
          <w:noProof/>
        </w:rPr>
        <w:t>3</w:t>
      </w:r>
      <w:r>
        <w:fldChar w:fldCharType="end"/>
      </w:r>
      <w:r>
        <w:noBreakHyphen/>
      </w:r>
      <w:r>
        <w:fldChar w:fldCharType="begin"/>
      </w:r>
      <w:r>
        <w:instrText xml:space="preserve"> SEQ Table \* ARABIC \s 1 </w:instrText>
      </w:r>
      <w:r>
        <w:fldChar w:fldCharType="separate"/>
      </w:r>
      <w:r w:rsidR="00BF015B">
        <w:rPr>
          <w:noProof/>
        </w:rPr>
        <w:t>5</w:t>
      </w:r>
      <w:r>
        <w:fldChar w:fldCharType="end"/>
      </w:r>
      <w:bookmarkEnd w:id="89"/>
      <w:r w:rsidRPr="001D32F6">
        <w:t>: Stress and recovery pathway transition descriptors (Overton</w:t>
      </w:r>
      <w:r>
        <w:t xml:space="preserve"> </w:t>
      </w:r>
      <w:r w:rsidRPr="008C34D6">
        <w:rPr>
          <w:i/>
        </w:rPr>
        <w:t>et al.</w:t>
      </w:r>
      <w:r w:rsidRPr="001D32F6">
        <w:t>, 2014.)</w:t>
      </w:r>
      <w:bookmarkEnd w:id="90"/>
    </w:p>
    <w:tbl>
      <w:tblPr>
        <w:tblStyle w:val="TableGrid"/>
        <w:tblW w:w="4964" w:type="pct"/>
        <w:tblInd w:w="-6" w:type="dxa"/>
        <w:tblCellMar>
          <w:left w:w="85" w:type="dxa"/>
          <w:right w:w="85" w:type="dxa"/>
        </w:tblCellMar>
        <w:tblLook w:val="04A0" w:firstRow="1" w:lastRow="0" w:firstColumn="1" w:lastColumn="0" w:noHBand="0" w:noVBand="1"/>
      </w:tblPr>
      <w:tblGrid>
        <w:gridCol w:w="2039"/>
        <w:gridCol w:w="2371"/>
        <w:gridCol w:w="2368"/>
        <w:gridCol w:w="3062"/>
      </w:tblGrid>
      <w:tr w:rsidR="00C675C9" w:rsidRPr="001D32F6" w14:paraId="12527B54" w14:textId="77777777" w:rsidTr="008D6734">
        <w:trPr>
          <w:tblHeader/>
        </w:trPr>
        <w:tc>
          <w:tcPr>
            <w:tcW w:w="1036" w:type="pct"/>
            <w:shd w:val="clear" w:color="auto" w:fill="65876D" w:themeFill="accent4" w:themeFillShade="BF"/>
          </w:tcPr>
          <w:p w14:paraId="5F5A1FCD" w14:textId="77777777" w:rsidR="00C675C9" w:rsidRPr="001D32F6" w:rsidRDefault="00C675C9" w:rsidP="008D6734">
            <w:pPr>
              <w:keepNext/>
              <w:spacing w:before="100" w:after="100"/>
              <w:rPr>
                <w:rFonts w:ascii="Arial Black" w:hAnsi="Arial Black"/>
                <w:color w:val="FFFFFF" w:themeColor="background1"/>
                <w:sz w:val="16"/>
              </w:rPr>
            </w:pPr>
            <w:r w:rsidRPr="001D32F6">
              <w:rPr>
                <w:rFonts w:ascii="Arial Black" w:hAnsi="Arial Black"/>
                <w:color w:val="FFFFFF" w:themeColor="background1"/>
                <w:sz w:val="16"/>
              </w:rPr>
              <w:t>Stress transitions</w:t>
            </w:r>
          </w:p>
        </w:tc>
        <w:tc>
          <w:tcPr>
            <w:tcW w:w="1205" w:type="pct"/>
            <w:shd w:val="clear" w:color="auto" w:fill="65876D" w:themeFill="accent4" w:themeFillShade="BF"/>
          </w:tcPr>
          <w:p w14:paraId="1F82DD1B" w14:textId="77777777" w:rsidR="00C675C9" w:rsidRPr="001D32F6" w:rsidRDefault="00C675C9" w:rsidP="008D6734">
            <w:pPr>
              <w:keepNext/>
              <w:spacing w:before="100" w:after="100"/>
              <w:rPr>
                <w:rFonts w:ascii="Arial Black" w:hAnsi="Arial Black"/>
                <w:color w:val="FFFFFF" w:themeColor="background1"/>
                <w:sz w:val="16"/>
              </w:rPr>
            </w:pPr>
            <w:r w:rsidRPr="001D32F6">
              <w:rPr>
                <w:rFonts w:ascii="Arial Black" w:hAnsi="Arial Black"/>
                <w:color w:val="FFFFFF" w:themeColor="background1"/>
                <w:sz w:val="16"/>
              </w:rPr>
              <w:t>Years since last watering</w:t>
            </w:r>
          </w:p>
        </w:tc>
        <w:tc>
          <w:tcPr>
            <w:tcW w:w="1203" w:type="pct"/>
            <w:shd w:val="clear" w:color="auto" w:fill="65876D" w:themeFill="accent4" w:themeFillShade="BF"/>
          </w:tcPr>
          <w:p w14:paraId="7A692248" w14:textId="77777777" w:rsidR="00C675C9" w:rsidRPr="001D32F6" w:rsidRDefault="00C675C9" w:rsidP="008D6734">
            <w:pPr>
              <w:keepNext/>
              <w:spacing w:before="100" w:after="100"/>
              <w:rPr>
                <w:rFonts w:ascii="Arial Black" w:hAnsi="Arial Black"/>
                <w:color w:val="FFFFFF" w:themeColor="background1"/>
                <w:sz w:val="16"/>
              </w:rPr>
            </w:pPr>
            <w:r w:rsidRPr="001D32F6">
              <w:rPr>
                <w:rFonts w:ascii="Arial Black" w:hAnsi="Arial Black"/>
                <w:color w:val="FFFFFF" w:themeColor="background1"/>
                <w:sz w:val="16"/>
              </w:rPr>
              <w:t>Recovery transitions</w:t>
            </w:r>
          </w:p>
        </w:tc>
        <w:tc>
          <w:tcPr>
            <w:tcW w:w="1556" w:type="pct"/>
            <w:shd w:val="clear" w:color="auto" w:fill="65876D" w:themeFill="accent4" w:themeFillShade="BF"/>
          </w:tcPr>
          <w:p w14:paraId="2E551D51" w14:textId="77777777" w:rsidR="00C675C9" w:rsidRPr="001D32F6" w:rsidRDefault="00C675C9" w:rsidP="008D6734">
            <w:pPr>
              <w:keepNext/>
              <w:spacing w:before="100" w:after="100"/>
              <w:rPr>
                <w:rFonts w:ascii="Arial Black" w:hAnsi="Arial Black"/>
                <w:color w:val="FFFFFF" w:themeColor="background1"/>
                <w:sz w:val="16"/>
              </w:rPr>
            </w:pPr>
            <w:r w:rsidRPr="001D32F6">
              <w:rPr>
                <w:rFonts w:ascii="Arial Black" w:hAnsi="Arial Black"/>
                <w:color w:val="FFFFFF" w:themeColor="background1"/>
                <w:sz w:val="16"/>
              </w:rPr>
              <w:t>Water requirements</w:t>
            </w:r>
          </w:p>
        </w:tc>
      </w:tr>
      <w:tr w:rsidR="00C675C9" w:rsidRPr="001D32F6" w14:paraId="2BF9D5D5" w14:textId="77777777" w:rsidTr="008D6734">
        <w:tc>
          <w:tcPr>
            <w:tcW w:w="1036" w:type="pct"/>
          </w:tcPr>
          <w:p w14:paraId="01520343" w14:textId="77777777" w:rsidR="00C675C9" w:rsidRPr="001D32F6" w:rsidRDefault="00C675C9" w:rsidP="008D6734">
            <w:pPr>
              <w:spacing w:after="100"/>
              <w:rPr>
                <w:sz w:val="16"/>
                <w:szCs w:val="16"/>
              </w:rPr>
            </w:pPr>
            <w:r w:rsidRPr="001D32F6">
              <w:rPr>
                <w:sz w:val="16"/>
                <w:szCs w:val="16"/>
              </w:rPr>
              <w:t>(a) Good to Medium</w:t>
            </w:r>
          </w:p>
        </w:tc>
        <w:tc>
          <w:tcPr>
            <w:tcW w:w="1205" w:type="pct"/>
          </w:tcPr>
          <w:p w14:paraId="4253C83A" w14:textId="77777777" w:rsidR="00C675C9" w:rsidRPr="001D32F6" w:rsidRDefault="00C675C9" w:rsidP="008D6734">
            <w:pPr>
              <w:spacing w:after="100"/>
              <w:rPr>
                <w:sz w:val="16"/>
                <w:szCs w:val="16"/>
              </w:rPr>
            </w:pPr>
            <w:r w:rsidRPr="001D32F6">
              <w:rPr>
                <w:sz w:val="16"/>
                <w:szCs w:val="16"/>
              </w:rPr>
              <w:t>5 consecutive years</w:t>
            </w:r>
          </w:p>
        </w:tc>
        <w:tc>
          <w:tcPr>
            <w:tcW w:w="1203" w:type="pct"/>
            <w:shd w:val="clear" w:color="auto" w:fill="auto"/>
          </w:tcPr>
          <w:p w14:paraId="23353D54" w14:textId="77777777" w:rsidR="00C675C9" w:rsidRPr="001D32F6" w:rsidRDefault="00C675C9" w:rsidP="008D6734">
            <w:pPr>
              <w:spacing w:after="100"/>
              <w:rPr>
                <w:sz w:val="16"/>
                <w:szCs w:val="16"/>
              </w:rPr>
            </w:pPr>
            <w:r w:rsidRPr="001D32F6">
              <w:rPr>
                <w:sz w:val="16"/>
                <w:szCs w:val="16"/>
              </w:rPr>
              <w:t>(d) Medium to Good</w:t>
            </w:r>
          </w:p>
        </w:tc>
        <w:tc>
          <w:tcPr>
            <w:tcW w:w="1556" w:type="pct"/>
            <w:shd w:val="clear" w:color="auto" w:fill="auto"/>
          </w:tcPr>
          <w:p w14:paraId="4C7E7FCE" w14:textId="77777777" w:rsidR="00C675C9" w:rsidRPr="001D32F6" w:rsidRDefault="00C675C9" w:rsidP="008D6734">
            <w:pPr>
              <w:spacing w:after="100"/>
              <w:rPr>
                <w:sz w:val="16"/>
                <w:szCs w:val="16"/>
              </w:rPr>
            </w:pPr>
            <w:r w:rsidRPr="001D32F6">
              <w:rPr>
                <w:sz w:val="16"/>
                <w:szCs w:val="16"/>
              </w:rPr>
              <w:t>1 year with single watering event</w:t>
            </w:r>
          </w:p>
        </w:tc>
      </w:tr>
      <w:tr w:rsidR="00C675C9" w:rsidRPr="001D32F6" w14:paraId="3E6D1477" w14:textId="77777777" w:rsidTr="008D6734">
        <w:tc>
          <w:tcPr>
            <w:tcW w:w="1036" w:type="pct"/>
          </w:tcPr>
          <w:p w14:paraId="2A8D179C" w14:textId="77777777" w:rsidR="00C675C9" w:rsidRPr="001D32F6" w:rsidRDefault="00C675C9" w:rsidP="008D6734">
            <w:pPr>
              <w:spacing w:after="100"/>
              <w:rPr>
                <w:sz w:val="16"/>
                <w:szCs w:val="16"/>
              </w:rPr>
            </w:pPr>
            <w:r w:rsidRPr="001D32F6">
              <w:rPr>
                <w:sz w:val="16"/>
                <w:szCs w:val="16"/>
              </w:rPr>
              <w:t>(b) Medium to Poor</w:t>
            </w:r>
          </w:p>
        </w:tc>
        <w:tc>
          <w:tcPr>
            <w:tcW w:w="1205" w:type="pct"/>
          </w:tcPr>
          <w:p w14:paraId="01CF7D3D" w14:textId="77777777" w:rsidR="00C675C9" w:rsidRPr="001D32F6" w:rsidRDefault="00C675C9" w:rsidP="008D6734">
            <w:pPr>
              <w:spacing w:after="100"/>
              <w:rPr>
                <w:sz w:val="16"/>
                <w:szCs w:val="16"/>
              </w:rPr>
            </w:pPr>
            <w:r w:rsidRPr="001D32F6">
              <w:rPr>
                <w:sz w:val="16"/>
                <w:szCs w:val="16"/>
              </w:rPr>
              <w:t>5 consecutive years</w:t>
            </w:r>
          </w:p>
        </w:tc>
        <w:tc>
          <w:tcPr>
            <w:tcW w:w="1203" w:type="pct"/>
            <w:shd w:val="clear" w:color="auto" w:fill="auto"/>
          </w:tcPr>
          <w:p w14:paraId="10043E2B" w14:textId="77777777" w:rsidR="00C675C9" w:rsidRPr="001D32F6" w:rsidRDefault="00C675C9" w:rsidP="008D6734">
            <w:pPr>
              <w:spacing w:after="100"/>
              <w:rPr>
                <w:sz w:val="16"/>
                <w:szCs w:val="16"/>
              </w:rPr>
            </w:pPr>
            <w:r w:rsidRPr="001D32F6">
              <w:rPr>
                <w:sz w:val="16"/>
                <w:szCs w:val="16"/>
              </w:rPr>
              <w:t>(e) Poor to Intermediate</w:t>
            </w:r>
          </w:p>
        </w:tc>
        <w:tc>
          <w:tcPr>
            <w:tcW w:w="1556" w:type="pct"/>
            <w:shd w:val="clear" w:color="auto" w:fill="auto"/>
          </w:tcPr>
          <w:p w14:paraId="0DD1A329" w14:textId="77777777" w:rsidR="00C675C9" w:rsidRPr="001D32F6" w:rsidRDefault="00C675C9" w:rsidP="008D6734">
            <w:pPr>
              <w:spacing w:after="100"/>
              <w:rPr>
                <w:sz w:val="16"/>
                <w:szCs w:val="16"/>
              </w:rPr>
            </w:pPr>
            <w:r w:rsidRPr="001D32F6">
              <w:rPr>
                <w:sz w:val="16"/>
                <w:szCs w:val="16"/>
              </w:rPr>
              <w:t>Three or more events in 10 years</w:t>
            </w:r>
          </w:p>
        </w:tc>
      </w:tr>
      <w:tr w:rsidR="00C675C9" w:rsidRPr="001D32F6" w14:paraId="7AA2035A" w14:textId="77777777" w:rsidTr="008D6734">
        <w:tc>
          <w:tcPr>
            <w:tcW w:w="1036" w:type="pct"/>
          </w:tcPr>
          <w:p w14:paraId="79B6F863" w14:textId="77777777" w:rsidR="00C675C9" w:rsidRPr="001D32F6" w:rsidRDefault="00C675C9" w:rsidP="008D6734">
            <w:pPr>
              <w:spacing w:after="100"/>
              <w:rPr>
                <w:sz w:val="16"/>
                <w:szCs w:val="16"/>
              </w:rPr>
            </w:pPr>
            <w:r w:rsidRPr="001D32F6">
              <w:rPr>
                <w:sz w:val="16"/>
                <w:szCs w:val="16"/>
              </w:rPr>
              <w:t>(c) Poor to Critical</w:t>
            </w:r>
          </w:p>
        </w:tc>
        <w:tc>
          <w:tcPr>
            <w:tcW w:w="1205" w:type="pct"/>
          </w:tcPr>
          <w:p w14:paraId="7B63E207" w14:textId="77777777" w:rsidR="00C675C9" w:rsidRPr="001D32F6" w:rsidRDefault="00C675C9" w:rsidP="008D6734">
            <w:pPr>
              <w:spacing w:after="100"/>
              <w:rPr>
                <w:sz w:val="16"/>
                <w:szCs w:val="16"/>
              </w:rPr>
            </w:pPr>
            <w:r w:rsidRPr="001D32F6">
              <w:rPr>
                <w:sz w:val="16"/>
                <w:szCs w:val="16"/>
              </w:rPr>
              <w:t>5 consecutive years</w:t>
            </w:r>
          </w:p>
        </w:tc>
        <w:tc>
          <w:tcPr>
            <w:tcW w:w="1203" w:type="pct"/>
            <w:shd w:val="clear" w:color="auto" w:fill="auto"/>
          </w:tcPr>
          <w:p w14:paraId="41E30E52" w14:textId="77777777" w:rsidR="00C675C9" w:rsidRPr="001D32F6" w:rsidRDefault="00C675C9" w:rsidP="008D6734">
            <w:pPr>
              <w:spacing w:after="100"/>
              <w:rPr>
                <w:sz w:val="16"/>
                <w:szCs w:val="16"/>
              </w:rPr>
            </w:pPr>
            <w:r w:rsidRPr="001D32F6">
              <w:rPr>
                <w:sz w:val="16"/>
                <w:szCs w:val="16"/>
              </w:rPr>
              <w:t>(f) Critical to Intermediate</w:t>
            </w:r>
          </w:p>
        </w:tc>
        <w:tc>
          <w:tcPr>
            <w:tcW w:w="1556" w:type="pct"/>
            <w:shd w:val="clear" w:color="auto" w:fill="auto"/>
          </w:tcPr>
          <w:p w14:paraId="3EA9294B" w14:textId="77777777" w:rsidR="00C675C9" w:rsidRPr="001D32F6" w:rsidRDefault="00C675C9" w:rsidP="008D6734">
            <w:pPr>
              <w:spacing w:after="100"/>
              <w:rPr>
                <w:sz w:val="16"/>
                <w:szCs w:val="16"/>
              </w:rPr>
            </w:pPr>
            <w:r w:rsidRPr="001D32F6">
              <w:rPr>
                <w:sz w:val="16"/>
                <w:szCs w:val="16"/>
              </w:rPr>
              <w:t>Five or more events in 18 years</w:t>
            </w:r>
          </w:p>
        </w:tc>
      </w:tr>
      <w:tr w:rsidR="00C675C9" w:rsidRPr="001D32F6" w14:paraId="397232F7" w14:textId="77777777" w:rsidTr="008D6734">
        <w:tc>
          <w:tcPr>
            <w:tcW w:w="1036" w:type="pct"/>
          </w:tcPr>
          <w:p w14:paraId="34677D1F" w14:textId="77777777" w:rsidR="00C675C9" w:rsidRPr="001D32F6" w:rsidRDefault="00C675C9" w:rsidP="008D6734">
            <w:pPr>
              <w:spacing w:after="100"/>
              <w:rPr>
                <w:sz w:val="16"/>
                <w:szCs w:val="16"/>
              </w:rPr>
            </w:pPr>
            <w:r w:rsidRPr="001D32F6">
              <w:rPr>
                <w:sz w:val="16"/>
                <w:szCs w:val="16"/>
              </w:rPr>
              <w:t>(h) Intermediate to Poor</w:t>
            </w:r>
          </w:p>
        </w:tc>
        <w:tc>
          <w:tcPr>
            <w:tcW w:w="1205" w:type="pct"/>
          </w:tcPr>
          <w:p w14:paraId="0137D79F" w14:textId="77777777" w:rsidR="00C675C9" w:rsidRPr="001D32F6" w:rsidRDefault="00C675C9" w:rsidP="008D6734">
            <w:pPr>
              <w:spacing w:after="100"/>
              <w:rPr>
                <w:sz w:val="16"/>
                <w:szCs w:val="16"/>
              </w:rPr>
            </w:pPr>
            <w:r w:rsidRPr="001D32F6">
              <w:rPr>
                <w:sz w:val="16"/>
                <w:szCs w:val="16"/>
              </w:rPr>
              <w:t>4 consecutive years</w:t>
            </w:r>
          </w:p>
        </w:tc>
        <w:tc>
          <w:tcPr>
            <w:tcW w:w="1203" w:type="pct"/>
            <w:shd w:val="clear" w:color="auto" w:fill="auto"/>
          </w:tcPr>
          <w:p w14:paraId="56579B91" w14:textId="77777777" w:rsidR="00C675C9" w:rsidRPr="001D32F6" w:rsidRDefault="00C675C9" w:rsidP="008D6734">
            <w:pPr>
              <w:spacing w:after="100"/>
              <w:rPr>
                <w:sz w:val="16"/>
                <w:szCs w:val="16"/>
              </w:rPr>
            </w:pPr>
            <w:r w:rsidRPr="001D32F6">
              <w:rPr>
                <w:sz w:val="16"/>
                <w:szCs w:val="16"/>
              </w:rPr>
              <w:t>(g) Intermediate to Good</w:t>
            </w:r>
          </w:p>
        </w:tc>
        <w:tc>
          <w:tcPr>
            <w:tcW w:w="1556" w:type="pct"/>
            <w:shd w:val="clear" w:color="auto" w:fill="auto"/>
          </w:tcPr>
          <w:p w14:paraId="79F7FB57" w14:textId="77777777" w:rsidR="00C675C9" w:rsidRPr="001D32F6" w:rsidRDefault="00C675C9" w:rsidP="008D6734">
            <w:pPr>
              <w:spacing w:after="100"/>
              <w:rPr>
                <w:sz w:val="16"/>
                <w:szCs w:val="16"/>
              </w:rPr>
            </w:pPr>
            <w:r w:rsidRPr="001D32F6">
              <w:rPr>
                <w:sz w:val="16"/>
                <w:szCs w:val="16"/>
              </w:rPr>
              <w:t>Two or more events in 7 years</w:t>
            </w:r>
          </w:p>
        </w:tc>
      </w:tr>
    </w:tbl>
    <w:p w14:paraId="6D19F908" w14:textId="77777777" w:rsidR="00C675C9" w:rsidRDefault="00C675C9" w:rsidP="00C675C9">
      <w:pPr>
        <w:pStyle w:val="Para0number"/>
        <w:numPr>
          <w:ilvl w:val="0"/>
          <w:numId w:val="0"/>
        </w:numPr>
        <w:ind w:left="425" w:hanging="425"/>
      </w:pPr>
    </w:p>
    <w:p w14:paraId="187396CE" w14:textId="77777777" w:rsidR="00C675C9" w:rsidRDefault="00C675C9" w:rsidP="00C675C9">
      <w:pPr>
        <w:pStyle w:val="Para0number"/>
        <w:numPr>
          <w:ilvl w:val="0"/>
          <w:numId w:val="0"/>
        </w:numPr>
        <w:ind w:left="425" w:hanging="425"/>
        <w:jc w:val="center"/>
      </w:pPr>
      <w:r>
        <w:rPr>
          <w:noProof/>
          <w:lang w:eastAsia="en-AU"/>
        </w:rPr>
        <w:drawing>
          <wp:inline distT="0" distB="0" distL="0" distR="0" wp14:anchorId="2889224F" wp14:editId="4CF2387E">
            <wp:extent cx="3197482" cy="2402958"/>
            <wp:effectExtent l="0" t="0" r="3175" b="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3212249" cy="2414056"/>
                    </a:xfrm>
                    <a:prstGeom prst="rect">
                      <a:avLst/>
                    </a:prstGeom>
                    <a:noFill/>
                  </pic:spPr>
                </pic:pic>
              </a:graphicData>
            </a:graphic>
          </wp:inline>
        </w:drawing>
      </w:r>
    </w:p>
    <w:p w14:paraId="256D09B8" w14:textId="52AEFA62" w:rsidR="00C675C9" w:rsidRDefault="00C675C9" w:rsidP="00EA581E">
      <w:pPr>
        <w:pStyle w:val="Caption"/>
        <w:jc w:val="center"/>
      </w:pPr>
      <w:bookmarkStart w:id="91" w:name="_Ref507747886"/>
      <w:bookmarkStart w:id="92" w:name="_Toc514018083"/>
      <w:r w:rsidRPr="00890425">
        <w:t xml:space="preserve">Figure </w:t>
      </w:r>
      <w:r>
        <w:fldChar w:fldCharType="begin"/>
      </w:r>
      <w:r>
        <w:instrText xml:space="preserve"> STYLEREF 1 \s </w:instrText>
      </w:r>
      <w:r>
        <w:fldChar w:fldCharType="separate"/>
      </w:r>
      <w:r w:rsidR="00BF015B">
        <w:rPr>
          <w:noProof/>
        </w:rPr>
        <w:t>3</w:t>
      </w:r>
      <w:r>
        <w:fldChar w:fldCharType="end"/>
      </w:r>
      <w:r>
        <w:noBreakHyphen/>
      </w:r>
      <w:r>
        <w:fldChar w:fldCharType="begin"/>
      </w:r>
      <w:r>
        <w:instrText xml:space="preserve"> SEQ Figure \* ARABIC \s 1 </w:instrText>
      </w:r>
      <w:r>
        <w:fldChar w:fldCharType="separate"/>
      </w:r>
      <w:r w:rsidR="00BF015B">
        <w:rPr>
          <w:noProof/>
        </w:rPr>
        <w:t>11</w:t>
      </w:r>
      <w:r>
        <w:fldChar w:fldCharType="end"/>
      </w:r>
      <w:bookmarkEnd w:id="91"/>
      <w:r w:rsidRPr="00890425">
        <w:t xml:space="preserve">: Transition between various condition states for Black Box trees (Overton </w:t>
      </w:r>
      <w:r w:rsidRPr="00A40029">
        <w:rPr>
          <w:i/>
        </w:rPr>
        <w:t>et al.</w:t>
      </w:r>
      <w:r w:rsidR="003F2755">
        <w:t>,</w:t>
      </w:r>
      <w:r w:rsidRPr="00890425">
        <w:t xml:space="preserve"> 2014).</w:t>
      </w:r>
      <w:bookmarkEnd w:id="92"/>
    </w:p>
    <w:p w14:paraId="7BA77DB0" w14:textId="357197B0" w:rsidR="0098681E" w:rsidRPr="00007A73" w:rsidRDefault="0098681E">
      <w:pPr>
        <w:spacing w:after="0" w:line="240" w:lineRule="auto"/>
        <w:rPr>
          <w:b/>
        </w:rPr>
      </w:pPr>
      <w:bookmarkStart w:id="93" w:name="_Ref459812420"/>
      <w:bookmarkStart w:id="94" w:name="_Ref458434845"/>
      <w:bookmarkStart w:id="95" w:name="_Ref458610284"/>
    </w:p>
    <w:p w14:paraId="61D4FB39" w14:textId="1E4B5763" w:rsidR="00A22862" w:rsidRDefault="00A22862">
      <w:pPr>
        <w:spacing w:after="0" w:line="240" w:lineRule="auto"/>
        <w:rPr>
          <w:b/>
        </w:rPr>
      </w:pPr>
    </w:p>
    <w:p w14:paraId="1921217B" w14:textId="02DD6380" w:rsidR="00A22862" w:rsidRDefault="00A22862">
      <w:pPr>
        <w:spacing w:after="0" w:line="240" w:lineRule="auto"/>
        <w:rPr>
          <w:b/>
        </w:rPr>
      </w:pPr>
    </w:p>
    <w:p w14:paraId="6E0BE343" w14:textId="60109D1F" w:rsidR="006303FD" w:rsidRDefault="000C689A">
      <w:pPr>
        <w:spacing w:after="0" w:line="240" w:lineRule="auto"/>
        <w:rPr>
          <w:b/>
        </w:rPr>
        <w:sectPr w:rsidR="006303FD" w:rsidSect="00681FFA">
          <w:pgSz w:w="11906" w:h="16838" w:code="9"/>
          <w:pgMar w:top="567" w:right="851" w:bottom="851" w:left="1134" w:header="567" w:footer="370" w:gutter="0"/>
          <w:cols w:space="0"/>
          <w:formProt w:val="0"/>
          <w:docGrid w:linePitch="360"/>
        </w:sectPr>
      </w:pPr>
      <w:r w:rsidRPr="00F66C80">
        <w:rPr>
          <w:noProof/>
          <w:color w:val="65876D" w:themeColor="accent4" w:themeShade="BF"/>
          <w:highlight w:val="yellow"/>
          <w:lang w:eastAsia="en-AU"/>
        </w:rPr>
        <mc:AlternateContent>
          <mc:Choice Requires="wps">
            <w:drawing>
              <wp:anchor distT="0" distB="0" distL="114300" distR="114300" simplePos="0" relativeHeight="251678720" behindDoc="1" locked="0" layoutInCell="1" allowOverlap="1" wp14:anchorId="1BFF411B" wp14:editId="54354BAF">
                <wp:simplePos x="0" y="0"/>
                <wp:positionH relativeFrom="margin">
                  <wp:align>right</wp:align>
                </wp:positionH>
                <wp:positionV relativeFrom="paragraph">
                  <wp:posOffset>187325</wp:posOffset>
                </wp:positionV>
                <wp:extent cx="6222365" cy="6896100"/>
                <wp:effectExtent l="57150" t="38100" r="83185" b="95250"/>
                <wp:wrapTight wrapText="bothSides">
                  <wp:wrapPolygon edited="0">
                    <wp:start x="-198" y="-119"/>
                    <wp:lineTo x="-132" y="21839"/>
                    <wp:lineTo x="21757" y="21839"/>
                    <wp:lineTo x="21823" y="-119"/>
                    <wp:lineTo x="-198" y="-119"/>
                  </wp:wrapPolygon>
                </wp:wrapTight>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2365" cy="6896100"/>
                        </a:xfrm>
                        <a:prstGeom prst="rect">
                          <a:avLst/>
                        </a:prstGeom>
                        <a:solidFill>
                          <a:schemeClr val="accent4">
                            <a:lumMod val="60000"/>
                            <a:lumOff val="40000"/>
                          </a:schemeClr>
                        </a:solidFill>
                        <a:ln w="9525" cap="flat" cmpd="sng" algn="ctr">
                          <a:solidFill>
                            <a:srgbClr val="90AC97">
                              <a:shade val="95000"/>
                              <a:satMod val="105000"/>
                            </a:srgbClr>
                          </a:solidFill>
                          <a:prstDash val="solid"/>
                        </a:ln>
                        <a:effectLst>
                          <a:outerShdw blurRad="40000" dist="20000" dir="5400000" rotWithShape="0">
                            <a:srgbClr val="000000">
                              <a:alpha val="38000"/>
                            </a:srgbClr>
                          </a:outerShdw>
                        </a:effectLst>
                      </wps:spPr>
                      <wps:txbx>
                        <w:txbxContent>
                          <w:p w14:paraId="079B5ACF" w14:textId="0B70417B" w:rsidR="00CF0933" w:rsidRDefault="00CF0933" w:rsidP="000C689A">
                            <w:pPr>
                              <w:rPr>
                                <w:b/>
                              </w:rPr>
                            </w:pPr>
                            <w:r w:rsidRPr="00A40029">
                              <w:rPr>
                                <w:b/>
                              </w:rPr>
                              <w:t xml:space="preserve">Case Study Box </w:t>
                            </w:r>
                            <w:r w:rsidRPr="007B61D3">
                              <w:rPr>
                                <w:b/>
                              </w:rPr>
                              <w:t xml:space="preserve">2: </w:t>
                            </w:r>
                            <w:r w:rsidRPr="002D0AA0">
                              <w:rPr>
                                <w:b/>
                              </w:rPr>
                              <w:t>Developing</w:t>
                            </w:r>
                            <w:r>
                              <w:rPr>
                                <w:b/>
                              </w:rPr>
                              <w:t xml:space="preserve"> and Verifying a Conceptual model for Calperum Station</w:t>
                            </w:r>
                          </w:p>
                          <w:p w14:paraId="6DF762CE" w14:textId="6C8CC1EE" w:rsidR="00CF0933" w:rsidRPr="00460C97" w:rsidRDefault="00CF0933" w:rsidP="000C689A">
                            <w:r w:rsidRPr="00460C97">
                              <w:t xml:space="preserve">Calperum Station has developed a site specific conceptual model that tracks salinity through the floodplain, including three smaller sub-models (for surface hydrology, soil water and vegetation). The models convey the current understanding of site conditions and range from simple box and line diagrams to pictorials. </w:t>
                            </w:r>
                          </w:p>
                          <w:p w14:paraId="46966E19" w14:textId="77777777" w:rsidR="00CF0933" w:rsidRPr="00460C97" w:rsidRDefault="00CF0933" w:rsidP="000C689A">
                            <w:pPr>
                              <w:spacing w:after="120"/>
                            </w:pPr>
                            <w:r w:rsidRPr="00460C97">
                              <w:t>The motivation to develop site specific models came from:</w:t>
                            </w:r>
                          </w:p>
                          <w:p w14:paraId="140A9944" w14:textId="77777777" w:rsidR="00CF0933" w:rsidRPr="00460C97" w:rsidRDefault="00CF0933" w:rsidP="00F22225">
                            <w:pPr>
                              <w:pStyle w:val="ListParagraph"/>
                              <w:numPr>
                                <w:ilvl w:val="0"/>
                                <w:numId w:val="35"/>
                              </w:numPr>
                              <w:rPr>
                                <w:rFonts w:ascii="Arial" w:eastAsiaTheme="minorEastAsia" w:hAnsi="Arial" w:cstheme="minorBidi"/>
                                <w:sz w:val="20"/>
                                <w:szCs w:val="24"/>
                                <w:lang w:val="en-GB"/>
                              </w:rPr>
                            </w:pPr>
                            <w:r w:rsidRPr="00460C97">
                              <w:rPr>
                                <w:rFonts w:ascii="Arial" w:eastAsiaTheme="minorEastAsia" w:hAnsi="Arial" w:cstheme="minorBidi"/>
                                <w:sz w:val="20"/>
                                <w:szCs w:val="24"/>
                                <w:lang w:val="en-GB"/>
                              </w:rPr>
                              <w:t>an observed heterogeneous response of Black Box to environmental-watering (i.e. unexpected responses to surface watering events)</w:t>
                            </w:r>
                          </w:p>
                          <w:p w14:paraId="75A6738E" w14:textId="6EF8B4C7" w:rsidR="00CF0933" w:rsidRPr="00460C97" w:rsidRDefault="00CF0933" w:rsidP="00F22225">
                            <w:pPr>
                              <w:pStyle w:val="ListParagraph"/>
                              <w:numPr>
                                <w:ilvl w:val="0"/>
                                <w:numId w:val="35"/>
                              </w:numPr>
                              <w:rPr>
                                <w:rFonts w:ascii="Arial" w:eastAsiaTheme="minorEastAsia" w:hAnsi="Arial" w:cstheme="minorBidi"/>
                                <w:sz w:val="20"/>
                                <w:szCs w:val="24"/>
                                <w:lang w:val="en-GB"/>
                              </w:rPr>
                            </w:pPr>
                            <w:r w:rsidRPr="00460C97">
                              <w:rPr>
                                <w:rFonts w:ascii="Arial" w:eastAsiaTheme="minorEastAsia" w:hAnsi="Arial" w:cstheme="minorBidi"/>
                                <w:sz w:val="20"/>
                                <w:szCs w:val="24"/>
                                <w:lang w:val="en-GB"/>
                              </w:rPr>
                              <w:t xml:space="preserve">the need to manage Black Box growing on shallow sand dunes </w:t>
                            </w:r>
                            <w:r>
                              <w:rPr>
                                <w:rFonts w:ascii="Arial" w:eastAsiaTheme="minorEastAsia" w:hAnsi="Arial" w:cstheme="minorBidi"/>
                                <w:sz w:val="20"/>
                                <w:szCs w:val="24"/>
                                <w:lang w:val="en-GB"/>
                              </w:rPr>
                              <w:t>and</w:t>
                            </w:r>
                            <w:r w:rsidRPr="00460C97">
                              <w:rPr>
                                <w:rFonts w:ascii="Arial" w:eastAsiaTheme="minorEastAsia" w:hAnsi="Arial" w:cstheme="minorBidi"/>
                                <w:sz w:val="20"/>
                                <w:szCs w:val="24"/>
                                <w:lang w:val="en-GB"/>
                              </w:rPr>
                              <w:t xml:space="preserve"> clay soils (e.g. differences in the rates of water infiltration and soil water availability)</w:t>
                            </w:r>
                          </w:p>
                          <w:p w14:paraId="0DAC1516" w14:textId="77777777" w:rsidR="00CF0933" w:rsidRPr="00460C97" w:rsidRDefault="00CF0933" w:rsidP="00F22225">
                            <w:pPr>
                              <w:pStyle w:val="ListParagraph"/>
                              <w:numPr>
                                <w:ilvl w:val="0"/>
                                <w:numId w:val="35"/>
                              </w:numPr>
                              <w:rPr>
                                <w:rFonts w:ascii="Arial" w:eastAsiaTheme="minorEastAsia" w:hAnsi="Arial" w:cstheme="minorBidi"/>
                                <w:sz w:val="20"/>
                                <w:szCs w:val="24"/>
                                <w:lang w:val="en-GB"/>
                              </w:rPr>
                            </w:pPr>
                            <w:r w:rsidRPr="00460C97">
                              <w:rPr>
                                <w:rFonts w:ascii="Arial" w:eastAsiaTheme="minorEastAsia" w:hAnsi="Arial" w:cstheme="minorBidi"/>
                                <w:sz w:val="20"/>
                                <w:szCs w:val="24"/>
                                <w:lang w:val="en-GB"/>
                              </w:rPr>
                              <w:t>an observation that a significant proportion of Black Box occurring on shallow dunes are in stable, moderate to good condition (i.e. inundation frequency does not appear to be driving tree condition)</w:t>
                            </w:r>
                          </w:p>
                          <w:p w14:paraId="1DB1A245" w14:textId="77777777" w:rsidR="00CF0933" w:rsidRPr="00460C97" w:rsidRDefault="00CF0933" w:rsidP="00F22225">
                            <w:pPr>
                              <w:pStyle w:val="ListParagraph"/>
                              <w:numPr>
                                <w:ilvl w:val="0"/>
                                <w:numId w:val="35"/>
                              </w:numPr>
                              <w:rPr>
                                <w:rFonts w:ascii="Arial" w:eastAsiaTheme="minorEastAsia" w:hAnsi="Arial" w:cstheme="minorBidi"/>
                                <w:sz w:val="20"/>
                                <w:szCs w:val="24"/>
                                <w:lang w:val="en-GB"/>
                              </w:rPr>
                            </w:pPr>
                            <w:r w:rsidRPr="00460C97">
                              <w:rPr>
                                <w:rFonts w:ascii="Arial" w:eastAsiaTheme="minorEastAsia" w:hAnsi="Arial" w:cstheme="minorBidi"/>
                                <w:sz w:val="20"/>
                                <w:szCs w:val="24"/>
                                <w:lang w:val="en-GB"/>
                              </w:rPr>
                              <w:t>Black Box in poor / dead condition are observed in clay swales immediately adjacent to the inundated lakes (knowledge gap on the stressors effecting tree health).</w:t>
                            </w:r>
                          </w:p>
                          <w:p w14:paraId="42AAEA29" w14:textId="243AD922" w:rsidR="00CF0933" w:rsidRPr="00460C97" w:rsidRDefault="00CF0933" w:rsidP="000C689A">
                            <w:r w:rsidRPr="00460C97">
                              <w:br/>
                              <w:t xml:space="preserve">The site manager took physical elements, stressors and relationships of a generic floodplain rainfall pulse model and adapted these to </w:t>
                            </w:r>
                            <w:r>
                              <w:t>reflect</w:t>
                            </w:r>
                            <w:r w:rsidRPr="00460C97">
                              <w:t xml:space="preserve"> </w:t>
                            </w:r>
                            <w:r>
                              <w:t>s</w:t>
                            </w:r>
                            <w:r w:rsidRPr="00460C97">
                              <w:t xml:space="preserve">ite observations and data analysis. The resulting Calperum conceptual models are working versions; still being verified via investigation, testing management options, monitoring and evaluation. The elements of each model and the relationship between models are documented (technical report) so that scientific understanding of key relationships can continue to grow. </w:t>
                            </w:r>
                          </w:p>
                          <w:p w14:paraId="31E61078" w14:textId="77777777" w:rsidR="00CF0933" w:rsidRPr="00460C97" w:rsidRDefault="00CF0933" w:rsidP="000C689A">
                            <w:r w:rsidRPr="00460C97">
                              <w:t>The relationships and assumptions in the models are tested through various discrete trial projects where there is relatively low risk. The design and delivery of associated monitoring and evaluation</w:t>
                            </w:r>
                            <w:r w:rsidRPr="00460C97" w:rsidDel="00C147E4">
                              <w:t xml:space="preserve"> </w:t>
                            </w:r>
                            <w:r w:rsidRPr="00460C97">
                              <w:t>is a key component, providing the manager with an indication of success and thereby informing the validity of relationships in the models and the related management approaches.</w:t>
                            </w:r>
                          </w:p>
                          <w:p w14:paraId="6212A2CF" w14:textId="67129B3B" w:rsidR="00CF0933" w:rsidRPr="00460C97" w:rsidRDefault="00CF0933" w:rsidP="000C689A">
                            <w:pPr>
                              <w:spacing w:after="120"/>
                            </w:pPr>
                            <w:r w:rsidRPr="00460C97">
                              <w:t>For example, the Soil Water Sub-Model (</w:t>
                            </w:r>
                            <w:r w:rsidRPr="00460C97">
                              <w:fldChar w:fldCharType="begin"/>
                            </w:r>
                            <w:r w:rsidRPr="00460C97">
                              <w:instrText xml:space="preserve"> REF _Ref468910956 \h  \* MERGEFORMAT </w:instrText>
                            </w:r>
                            <w:r w:rsidRPr="00460C97">
                              <w:fldChar w:fldCharType="separate"/>
                            </w:r>
                            <w:r w:rsidRPr="001B3FEE">
                              <w:t xml:space="preserve">Figure </w:t>
                            </w:r>
                            <w:r>
                              <w:t>3</w:t>
                            </w:r>
                            <w:r w:rsidRPr="00A40029">
                              <w:t>.</w:t>
                            </w:r>
                            <w:r>
                              <w:t>12</w:t>
                            </w:r>
                            <w:r w:rsidRPr="00460C97">
                              <w:fldChar w:fldCharType="end"/>
                            </w:r>
                            <w:r w:rsidRPr="00460C97">
                              <w:t>) describes the following key relationships and stressors for the Calperum Station floodplain:</w:t>
                            </w:r>
                          </w:p>
                          <w:p w14:paraId="7FFCC985" w14:textId="77777777" w:rsidR="00CF0933" w:rsidRPr="00460C97" w:rsidRDefault="00CF0933" w:rsidP="00F22225">
                            <w:pPr>
                              <w:pStyle w:val="ListParagraph"/>
                              <w:numPr>
                                <w:ilvl w:val="0"/>
                                <w:numId w:val="35"/>
                              </w:numPr>
                              <w:rPr>
                                <w:rFonts w:ascii="Arial" w:eastAsiaTheme="minorEastAsia" w:hAnsi="Arial" w:cstheme="minorBidi"/>
                                <w:sz w:val="20"/>
                                <w:szCs w:val="24"/>
                                <w:lang w:val="en-GB"/>
                              </w:rPr>
                            </w:pPr>
                            <w:r w:rsidRPr="00460C97">
                              <w:rPr>
                                <w:rFonts w:ascii="Arial" w:eastAsiaTheme="minorEastAsia" w:hAnsi="Arial" w:cstheme="minorBidi"/>
                                <w:sz w:val="20"/>
                                <w:szCs w:val="24"/>
                                <w:lang w:val="en-GB"/>
                              </w:rPr>
                              <w:t>most groundwater is from regional groundwater systems and is saline</w:t>
                            </w:r>
                          </w:p>
                          <w:p w14:paraId="1FCBE9DB" w14:textId="77777777" w:rsidR="00CF0933" w:rsidRPr="00460C97" w:rsidRDefault="00CF0933" w:rsidP="00F22225">
                            <w:pPr>
                              <w:pStyle w:val="ListParagraph"/>
                              <w:numPr>
                                <w:ilvl w:val="0"/>
                                <w:numId w:val="35"/>
                              </w:numPr>
                              <w:rPr>
                                <w:rFonts w:ascii="Arial" w:eastAsiaTheme="minorEastAsia" w:hAnsi="Arial" w:cstheme="minorBidi"/>
                                <w:sz w:val="20"/>
                                <w:szCs w:val="24"/>
                                <w:lang w:val="en-GB"/>
                              </w:rPr>
                            </w:pPr>
                            <w:r w:rsidRPr="00460C97">
                              <w:rPr>
                                <w:rFonts w:ascii="Arial" w:eastAsiaTheme="minorEastAsia" w:hAnsi="Arial" w:cstheme="minorBidi"/>
                                <w:sz w:val="20"/>
                                <w:szCs w:val="24"/>
                                <w:lang w:val="en-GB"/>
                              </w:rPr>
                              <w:t xml:space="preserve">depth to groundwater (and associated depth of the unsaturated soil zone) is variable in response to seasonal influences, physical soil characteristics, and flows in adjacent river systems </w:t>
                            </w:r>
                          </w:p>
                          <w:p w14:paraId="6CD737D2" w14:textId="77777777" w:rsidR="00CF0933" w:rsidRPr="00460C97" w:rsidRDefault="00CF0933" w:rsidP="00F22225">
                            <w:pPr>
                              <w:pStyle w:val="ListParagraph"/>
                              <w:numPr>
                                <w:ilvl w:val="0"/>
                                <w:numId w:val="35"/>
                              </w:numPr>
                              <w:rPr>
                                <w:rFonts w:ascii="Arial" w:eastAsiaTheme="minorEastAsia" w:hAnsi="Arial" w:cstheme="minorBidi"/>
                                <w:sz w:val="20"/>
                                <w:szCs w:val="24"/>
                                <w:lang w:val="en-GB"/>
                              </w:rPr>
                            </w:pPr>
                            <w:r w:rsidRPr="00460C97">
                              <w:rPr>
                                <w:rFonts w:ascii="Arial" w:eastAsiaTheme="minorEastAsia" w:hAnsi="Arial" w:cstheme="minorBidi"/>
                                <w:sz w:val="20"/>
                                <w:szCs w:val="24"/>
                                <w:lang w:val="en-GB"/>
                              </w:rPr>
                              <w:t>soil water is derived from vertical infiltration of surface water or the lateral movement of water through the soil from water bodies (i.e. lakes, river)</w:t>
                            </w:r>
                          </w:p>
                          <w:p w14:paraId="17855526" w14:textId="77777777" w:rsidR="00CF0933" w:rsidRPr="00460C97" w:rsidRDefault="00CF0933" w:rsidP="00F22225">
                            <w:pPr>
                              <w:pStyle w:val="ListParagraph"/>
                              <w:numPr>
                                <w:ilvl w:val="0"/>
                                <w:numId w:val="35"/>
                              </w:numPr>
                              <w:rPr>
                                <w:rFonts w:ascii="Arial" w:eastAsiaTheme="minorEastAsia" w:hAnsi="Arial" w:cstheme="minorBidi"/>
                                <w:sz w:val="20"/>
                                <w:szCs w:val="24"/>
                                <w:lang w:val="en-GB"/>
                              </w:rPr>
                            </w:pPr>
                            <w:r w:rsidRPr="00460C97">
                              <w:rPr>
                                <w:rFonts w:ascii="Arial" w:eastAsiaTheme="minorEastAsia" w:hAnsi="Arial" w:cstheme="minorBidi"/>
                                <w:sz w:val="20"/>
                                <w:szCs w:val="24"/>
                                <w:lang w:val="en-GB"/>
                              </w:rPr>
                              <w:t xml:space="preserve">the infiltration of surface water is significantly influenced by soil type (clay / sand) </w:t>
                            </w:r>
                          </w:p>
                          <w:p w14:paraId="71204EF8" w14:textId="77777777" w:rsidR="00CF0933" w:rsidRPr="00460C97" w:rsidRDefault="00CF0933" w:rsidP="00F22225">
                            <w:pPr>
                              <w:pStyle w:val="ListParagraph"/>
                              <w:numPr>
                                <w:ilvl w:val="0"/>
                                <w:numId w:val="35"/>
                              </w:numPr>
                              <w:rPr>
                                <w:rFonts w:ascii="Arial" w:eastAsiaTheme="minorEastAsia" w:hAnsi="Arial" w:cstheme="minorBidi"/>
                                <w:sz w:val="20"/>
                                <w:szCs w:val="24"/>
                                <w:lang w:val="en-GB"/>
                              </w:rPr>
                            </w:pPr>
                            <w:r w:rsidRPr="00460C97">
                              <w:rPr>
                                <w:rFonts w:ascii="Arial" w:eastAsiaTheme="minorEastAsia" w:hAnsi="Arial" w:cstheme="minorBidi"/>
                                <w:sz w:val="20"/>
                                <w:szCs w:val="24"/>
                                <w:lang w:val="en-GB"/>
                              </w:rPr>
                              <w:t>for clay soils, water infiltration is enhanced through cracks in the soil matrix but this relationship is dynamic and affected by variances in clay structure (some Calperum clays crack more readily than others), and the duration/frequency of wetting and drying events.</w:t>
                            </w:r>
                          </w:p>
                          <w:p w14:paraId="7F827AD3" w14:textId="77777777" w:rsidR="00CF0933" w:rsidRPr="00460C97" w:rsidRDefault="00CF0933" w:rsidP="000C689A">
                            <w:r w:rsidRPr="00460C97">
                              <w:br/>
                              <w:t>The variance and influence of soil type on watering, and the duration of successive wetting and drying events produces a heterogeneous response to floodplain inundation and Black Box condition at Calperum Station.</w:t>
                            </w:r>
                          </w:p>
                          <w:p w14:paraId="4BAEDEDF" w14:textId="77777777" w:rsidR="00CF0933" w:rsidRDefault="00CF0933" w:rsidP="000C689A">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BFF411B" id="Text Box 5" o:spid="_x0000_s1028" type="#_x0000_t202" style="position:absolute;margin-left:438.75pt;margin-top:14.75pt;width:489.95pt;height:543pt;z-index:-251637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" fillcolor="#bccdc0 [1943]" strokecolor="#8ca993">
                <v:shadow on="t" color="black" opacity="24903f" origin=",.5" offset="0,.55556mm"/>
                <v:path arrowok="t"/>
                <v:textbox>
                  <w:txbxContent>
                    <w:p w14:paraId="079B5ACF" w14:textId="0B70417B" w:rsidR="00CF0933" w:rsidRDefault="00CF0933" w:rsidP="000C689A">
                      <w:pPr>
                        <w:rPr>
                          <w:b/>
                        </w:rPr>
                      </w:pPr>
                      <w:r w:rsidRPr="00A40029">
                        <w:rPr>
                          <w:b/>
                        </w:rPr>
                        <w:t xml:space="preserve">Case Study Box </w:t>
                      </w:r>
                      <w:r w:rsidRPr="007B61D3">
                        <w:rPr>
                          <w:b/>
                        </w:rPr>
                        <w:t xml:space="preserve">2: </w:t>
                      </w:r>
                      <w:r w:rsidRPr="002D0AA0">
                        <w:rPr>
                          <w:b/>
                        </w:rPr>
                        <w:t>Developing</w:t>
                      </w:r>
                      <w:r>
                        <w:rPr>
                          <w:b/>
                        </w:rPr>
                        <w:t xml:space="preserve"> and Verifying a Conceptual model for Calperum Station</w:t>
                      </w:r>
                    </w:p>
                    <w:p w14:paraId="6DF762CE" w14:textId="6C8CC1EE" w:rsidR="00CF0933" w:rsidRPr="00460C97" w:rsidRDefault="00CF0933" w:rsidP="000C689A">
                      <w:r w:rsidRPr="00460C97">
                        <w:t xml:space="preserve">Calperum Station has developed a site specific conceptual model that tracks salinity through the floodplain, including three smaller sub-models (for surface hydrology, soil water and vegetation). The models convey the current understanding of site conditions and range from simple box and line diagrams to pictorials. </w:t>
                      </w:r>
                    </w:p>
                    <w:p w14:paraId="46966E19" w14:textId="77777777" w:rsidR="00CF0933" w:rsidRPr="00460C97" w:rsidRDefault="00CF0933" w:rsidP="000C689A">
                      <w:pPr>
                        <w:spacing w:after="120"/>
                      </w:pPr>
                      <w:r w:rsidRPr="00460C97">
                        <w:t>The motivation to develop site specific models came from:</w:t>
                      </w:r>
                    </w:p>
                    <w:p w14:paraId="140A9944" w14:textId="77777777" w:rsidR="00CF0933" w:rsidRPr="00460C97" w:rsidRDefault="00CF0933" w:rsidP="00F22225">
                      <w:pPr>
                        <w:pStyle w:val="ListParagraph"/>
                        <w:numPr>
                          <w:ilvl w:val="0"/>
                          <w:numId w:val="35"/>
                        </w:numPr>
                        <w:rPr>
                          <w:rFonts w:ascii="Arial" w:eastAsiaTheme="minorEastAsia" w:hAnsi="Arial" w:cstheme="minorBidi"/>
                          <w:sz w:val="20"/>
                          <w:szCs w:val="24"/>
                          <w:lang w:val="en-GB"/>
                        </w:rPr>
                      </w:pPr>
                      <w:r w:rsidRPr="00460C97">
                        <w:rPr>
                          <w:rFonts w:ascii="Arial" w:eastAsiaTheme="minorEastAsia" w:hAnsi="Arial" w:cstheme="minorBidi"/>
                          <w:sz w:val="20"/>
                          <w:szCs w:val="24"/>
                          <w:lang w:val="en-GB"/>
                        </w:rPr>
                        <w:t>an observed heterogeneous response of Black Box to environmental-watering (i.e. unexpected responses to surface watering events)</w:t>
                      </w:r>
                    </w:p>
                    <w:p w14:paraId="75A6738E" w14:textId="6EF8B4C7" w:rsidR="00CF0933" w:rsidRPr="00460C97" w:rsidRDefault="00CF0933" w:rsidP="00F22225">
                      <w:pPr>
                        <w:pStyle w:val="ListParagraph"/>
                        <w:numPr>
                          <w:ilvl w:val="0"/>
                          <w:numId w:val="35"/>
                        </w:numPr>
                        <w:rPr>
                          <w:rFonts w:ascii="Arial" w:eastAsiaTheme="minorEastAsia" w:hAnsi="Arial" w:cstheme="minorBidi"/>
                          <w:sz w:val="20"/>
                          <w:szCs w:val="24"/>
                          <w:lang w:val="en-GB"/>
                        </w:rPr>
                      </w:pPr>
                      <w:r w:rsidRPr="00460C97">
                        <w:rPr>
                          <w:rFonts w:ascii="Arial" w:eastAsiaTheme="minorEastAsia" w:hAnsi="Arial" w:cstheme="minorBidi"/>
                          <w:sz w:val="20"/>
                          <w:szCs w:val="24"/>
                          <w:lang w:val="en-GB"/>
                        </w:rPr>
                        <w:t xml:space="preserve">the need to manage Black Box growing on shallow sand dunes </w:t>
                      </w:r>
                      <w:r>
                        <w:rPr>
                          <w:rFonts w:ascii="Arial" w:eastAsiaTheme="minorEastAsia" w:hAnsi="Arial" w:cstheme="minorBidi"/>
                          <w:sz w:val="20"/>
                          <w:szCs w:val="24"/>
                          <w:lang w:val="en-GB"/>
                        </w:rPr>
                        <w:t>and</w:t>
                      </w:r>
                      <w:r w:rsidRPr="00460C97">
                        <w:rPr>
                          <w:rFonts w:ascii="Arial" w:eastAsiaTheme="minorEastAsia" w:hAnsi="Arial" w:cstheme="minorBidi"/>
                          <w:sz w:val="20"/>
                          <w:szCs w:val="24"/>
                          <w:lang w:val="en-GB"/>
                        </w:rPr>
                        <w:t xml:space="preserve"> clay soils (e.g. differences in the rates of water infiltration and soil water availability)</w:t>
                      </w:r>
                    </w:p>
                    <w:p w14:paraId="0DAC1516" w14:textId="77777777" w:rsidR="00CF0933" w:rsidRPr="00460C97" w:rsidRDefault="00CF0933" w:rsidP="00F22225">
                      <w:pPr>
                        <w:pStyle w:val="ListParagraph"/>
                        <w:numPr>
                          <w:ilvl w:val="0"/>
                          <w:numId w:val="35"/>
                        </w:numPr>
                        <w:rPr>
                          <w:rFonts w:ascii="Arial" w:eastAsiaTheme="minorEastAsia" w:hAnsi="Arial" w:cstheme="minorBidi"/>
                          <w:sz w:val="20"/>
                          <w:szCs w:val="24"/>
                          <w:lang w:val="en-GB"/>
                        </w:rPr>
                      </w:pPr>
                      <w:r w:rsidRPr="00460C97">
                        <w:rPr>
                          <w:rFonts w:ascii="Arial" w:eastAsiaTheme="minorEastAsia" w:hAnsi="Arial" w:cstheme="minorBidi"/>
                          <w:sz w:val="20"/>
                          <w:szCs w:val="24"/>
                          <w:lang w:val="en-GB"/>
                        </w:rPr>
                        <w:t>an observation that a significant proportion of Black Box occurring on shallow dunes are in stable, moderate to good condition (i.e. inundation frequency does not appear to be driving tree condition)</w:t>
                      </w:r>
                    </w:p>
                    <w:p w14:paraId="1DB1A245" w14:textId="77777777" w:rsidR="00CF0933" w:rsidRPr="00460C97" w:rsidRDefault="00CF0933" w:rsidP="00F22225">
                      <w:pPr>
                        <w:pStyle w:val="ListParagraph"/>
                        <w:numPr>
                          <w:ilvl w:val="0"/>
                          <w:numId w:val="35"/>
                        </w:numPr>
                        <w:rPr>
                          <w:rFonts w:ascii="Arial" w:eastAsiaTheme="minorEastAsia" w:hAnsi="Arial" w:cstheme="minorBidi"/>
                          <w:sz w:val="20"/>
                          <w:szCs w:val="24"/>
                          <w:lang w:val="en-GB"/>
                        </w:rPr>
                      </w:pPr>
                      <w:r w:rsidRPr="00460C97">
                        <w:rPr>
                          <w:rFonts w:ascii="Arial" w:eastAsiaTheme="minorEastAsia" w:hAnsi="Arial" w:cstheme="minorBidi"/>
                          <w:sz w:val="20"/>
                          <w:szCs w:val="24"/>
                          <w:lang w:val="en-GB"/>
                        </w:rPr>
                        <w:t>Black Box in poor / dead condition are observed in clay swales immediately adjacent to the inundated lakes (knowledge gap on the stressors effecting tree health).</w:t>
                      </w:r>
                    </w:p>
                    <w:p w14:paraId="42AAEA29" w14:textId="243AD922" w:rsidR="00CF0933" w:rsidRPr="00460C97" w:rsidRDefault="00CF0933" w:rsidP="000C689A">
                      <w:r w:rsidRPr="00460C97">
                        <w:br/>
                        <w:t xml:space="preserve">The site manager took physical elements, stressors and relationships of a generic floodplain rainfall pulse model and adapted these to </w:t>
                      </w:r>
                      <w:r>
                        <w:t>reflect</w:t>
                      </w:r>
                      <w:r w:rsidRPr="00460C97">
                        <w:t xml:space="preserve"> </w:t>
                      </w:r>
                      <w:r>
                        <w:t>s</w:t>
                      </w:r>
                      <w:r w:rsidRPr="00460C97">
                        <w:t xml:space="preserve">ite observations and data analysis. The resulting Calperum conceptual models are working versions; still being verified via investigation, testing management options, monitoring and evaluation. The elements of each model and the relationship between models are documented (technical report) so that scientific understanding of key relationships can continue to grow. </w:t>
                      </w:r>
                    </w:p>
                    <w:p w14:paraId="31E61078" w14:textId="77777777" w:rsidR="00CF0933" w:rsidRPr="00460C97" w:rsidRDefault="00CF0933" w:rsidP="000C689A">
                      <w:r w:rsidRPr="00460C97">
                        <w:t>The relationships and assumptions in the models are tested through various discrete trial projects where there is relatively low risk. The design and delivery of associated monitoring and evaluation</w:t>
                      </w:r>
                      <w:r w:rsidRPr="00460C97" w:rsidDel="00C147E4">
                        <w:t xml:space="preserve"> </w:t>
                      </w:r>
                      <w:r w:rsidRPr="00460C97">
                        <w:t>is a key component, providing the manager with an indication of success and thereby informing the validity of relationships in the models and the related management approaches.</w:t>
                      </w:r>
                    </w:p>
                    <w:p w14:paraId="6212A2CF" w14:textId="67129B3B" w:rsidR="00CF0933" w:rsidRPr="00460C97" w:rsidRDefault="00CF0933" w:rsidP="000C689A">
                      <w:pPr>
                        <w:spacing w:after="120"/>
                      </w:pPr>
                      <w:r w:rsidRPr="00460C97">
                        <w:t>For example, the Soil Water Sub-Model (</w:t>
                      </w:r>
                      <w:r w:rsidRPr="00460C97">
                        <w:fldChar w:fldCharType="begin"/>
                      </w:r>
                      <w:r w:rsidRPr="00460C97">
                        <w:instrText xml:space="preserve"> REF _Ref468910956 \h  \* MERGEFORMAT </w:instrText>
                      </w:r>
                      <w:r w:rsidRPr="00460C97">
                        <w:fldChar w:fldCharType="separate"/>
                      </w:r>
                      <w:r w:rsidRPr="001B3FEE">
                        <w:t xml:space="preserve">Figure </w:t>
                      </w:r>
                      <w:r>
                        <w:t>3</w:t>
                      </w:r>
                      <w:r w:rsidRPr="00A40029">
                        <w:t>.</w:t>
                      </w:r>
                      <w:r>
                        <w:t>12</w:t>
                      </w:r>
                      <w:r w:rsidRPr="00460C97">
                        <w:fldChar w:fldCharType="end"/>
                      </w:r>
                      <w:r w:rsidRPr="00460C97">
                        <w:t>) describes the following key relationships and stressors for the Calperum Station floodplain:</w:t>
                      </w:r>
                    </w:p>
                    <w:p w14:paraId="7FFCC985" w14:textId="77777777" w:rsidR="00CF0933" w:rsidRPr="00460C97" w:rsidRDefault="00CF0933" w:rsidP="00F22225">
                      <w:pPr>
                        <w:pStyle w:val="ListParagraph"/>
                        <w:numPr>
                          <w:ilvl w:val="0"/>
                          <w:numId w:val="35"/>
                        </w:numPr>
                        <w:rPr>
                          <w:rFonts w:ascii="Arial" w:eastAsiaTheme="minorEastAsia" w:hAnsi="Arial" w:cstheme="minorBidi"/>
                          <w:sz w:val="20"/>
                          <w:szCs w:val="24"/>
                          <w:lang w:val="en-GB"/>
                        </w:rPr>
                      </w:pPr>
                      <w:r w:rsidRPr="00460C97">
                        <w:rPr>
                          <w:rFonts w:ascii="Arial" w:eastAsiaTheme="minorEastAsia" w:hAnsi="Arial" w:cstheme="minorBidi"/>
                          <w:sz w:val="20"/>
                          <w:szCs w:val="24"/>
                          <w:lang w:val="en-GB"/>
                        </w:rPr>
                        <w:t>most groundwater is from regional groundwater systems and is saline</w:t>
                      </w:r>
                    </w:p>
                    <w:p w14:paraId="1FCBE9DB" w14:textId="77777777" w:rsidR="00CF0933" w:rsidRPr="00460C97" w:rsidRDefault="00CF0933" w:rsidP="00F22225">
                      <w:pPr>
                        <w:pStyle w:val="ListParagraph"/>
                        <w:numPr>
                          <w:ilvl w:val="0"/>
                          <w:numId w:val="35"/>
                        </w:numPr>
                        <w:rPr>
                          <w:rFonts w:ascii="Arial" w:eastAsiaTheme="minorEastAsia" w:hAnsi="Arial" w:cstheme="minorBidi"/>
                          <w:sz w:val="20"/>
                          <w:szCs w:val="24"/>
                          <w:lang w:val="en-GB"/>
                        </w:rPr>
                      </w:pPr>
                      <w:r w:rsidRPr="00460C97">
                        <w:rPr>
                          <w:rFonts w:ascii="Arial" w:eastAsiaTheme="minorEastAsia" w:hAnsi="Arial" w:cstheme="minorBidi"/>
                          <w:sz w:val="20"/>
                          <w:szCs w:val="24"/>
                          <w:lang w:val="en-GB"/>
                        </w:rPr>
                        <w:t xml:space="preserve">depth to groundwater (and associated depth of the unsaturated soil zone) is variable in response to seasonal influences, physical soil characteristics, and flows in adjacent river systems </w:t>
                      </w:r>
                    </w:p>
                    <w:p w14:paraId="6CD737D2" w14:textId="77777777" w:rsidR="00CF0933" w:rsidRPr="00460C97" w:rsidRDefault="00CF0933" w:rsidP="00F22225">
                      <w:pPr>
                        <w:pStyle w:val="ListParagraph"/>
                        <w:numPr>
                          <w:ilvl w:val="0"/>
                          <w:numId w:val="35"/>
                        </w:numPr>
                        <w:rPr>
                          <w:rFonts w:ascii="Arial" w:eastAsiaTheme="minorEastAsia" w:hAnsi="Arial" w:cstheme="minorBidi"/>
                          <w:sz w:val="20"/>
                          <w:szCs w:val="24"/>
                          <w:lang w:val="en-GB"/>
                        </w:rPr>
                      </w:pPr>
                      <w:r w:rsidRPr="00460C97">
                        <w:rPr>
                          <w:rFonts w:ascii="Arial" w:eastAsiaTheme="minorEastAsia" w:hAnsi="Arial" w:cstheme="minorBidi"/>
                          <w:sz w:val="20"/>
                          <w:szCs w:val="24"/>
                          <w:lang w:val="en-GB"/>
                        </w:rPr>
                        <w:t>soil water is derived from vertical infiltration of surface water or the lateral movement of water through the soil from water bodies (i.e. lakes, river)</w:t>
                      </w:r>
                    </w:p>
                    <w:p w14:paraId="17855526" w14:textId="77777777" w:rsidR="00CF0933" w:rsidRPr="00460C97" w:rsidRDefault="00CF0933" w:rsidP="00F22225">
                      <w:pPr>
                        <w:pStyle w:val="ListParagraph"/>
                        <w:numPr>
                          <w:ilvl w:val="0"/>
                          <w:numId w:val="35"/>
                        </w:numPr>
                        <w:rPr>
                          <w:rFonts w:ascii="Arial" w:eastAsiaTheme="minorEastAsia" w:hAnsi="Arial" w:cstheme="minorBidi"/>
                          <w:sz w:val="20"/>
                          <w:szCs w:val="24"/>
                          <w:lang w:val="en-GB"/>
                        </w:rPr>
                      </w:pPr>
                      <w:r w:rsidRPr="00460C97">
                        <w:rPr>
                          <w:rFonts w:ascii="Arial" w:eastAsiaTheme="minorEastAsia" w:hAnsi="Arial" w:cstheme="minorBidi"/>
                          <w:sz w:val="20"/>
                          <w:szCs w:val="24"/>
                          <w:lang w:val="en-GB"/>
                        </w:rPr>
                        <w:t xml:space="preserve">the infiltration of surface water is significantly influenced by soil type (clay / sand) </w:t>
                      </w:r>
                    </w:p>
                    <w:p w14:paraId="71204EF8" w14:textId="77777777" w:rsidR="00CF0933" w:rsidRPr="00460C97" w:rsidRDefault="00CF0933" w:rsidP="00F22225">
                      <w:pPr>
                        <w:pStyle w:val="ListParagraph"/>
                        <w:numPr>
                          <w:ilvl w:val="0"/>
                          <w:numId w:val="35"/>
                        </w:numPr>
                        <w:rPr>
                          <w:rFonts w:ascii="Arial" w:eastAsiaTheme="minorEastAsia" w:hAnsi="Arial" w:cstheme="minorBidi"/>
                          <w:sz w:val="20"/>
                          <w:szCs w:val="24"/>
                          <w:lang w:val="en-GB"/>
                        </w:rPr>
                      </w:pPr>
                      <w:r w:rsidRPr="00460C97">
                        <w:rPr>
                          <w:rFonts w:ascii="Arial" w:eastAsiaTheme="minorEastAsia" w:hAnsi="Arial" w:cstheme="minorBidi"/>
                          <w:sz w:val="20"/>
                          <w:szCs w:val="24"/>
                          <w:lang w:val="en-GB"/>
                        </w:rPr>
                        <w:t>for clay soils, water infiltration is enhanced through cracks in the soil matrix but this relationship is dynamic and affected by variances in clay structure (some Calperum clays crack more readily than others), and the duration/frequency of wetting and drying events.</w:t>
                      </w:r>
                    </w:p>
                    <w:p w14:paraId="7F827AD3" w14:textId="77777777" w:rsidR="00CF0933" w:rsidRPr="00460C97" w:rsidRDefault="00CF0933" w:rsidP="000C689A">
                      <w:r w:rsidRPr="00460C97">
                        <w:br/>
                        <w:t>The variance and influence of soil type on watering, and the duration of successive wetting and drying events produces a heterogeneous response to floodplain inundation and Black Box condition at Calperum Station.</w:t>
                      </w:r>
                    </w:p>
                    <w:p w14:paraId="4BAEDEDF" w14:textId="77777777" w:rsidR="00CF0933" w:rsidRDefault="00CF0933" w:rsidP="000C689A">
                      <w:pPr>
                        <w:rPr>
                          <w:b/>
                        </w:rPr>
                      </w:pPr>
                    </w:p>
                  </w:txbxContent>
                </v:textbox>
                <w10:wrap type="tight" anchorx="margin"/>
              </v:shape>
            </w:pict>
          </mc:Fallback>
        </mc:AlternateContent>
      </w:r>
    </w:p>
    <w:p w14:paraId="6DBF77EB" w14:textId="7BE781B9" w:rsidR="008D4E14" w:rsidRDefault="008D4E14" w:rsidP="008D4E14">
      <w:pPr>
        <w:jc w:val="center"/>
        <w:rPr>
          <w:b/>
        </w:rPr>
      </w:pPr>
      <w:r>
        <w:rPr>
          <w:noProof/>
          <w:lang w:eastAsia="en-AU"/>
        </w:rPr>
        <mc:AlternateContent>
          <mc:Choice Requires="wps">
            <w:drawing>
              <wp:anchor distT="0" distB="0" distL="114300" distR="114300" simplePos="0" relativeHeight="251680768" behindDoc="1" locked="0" layoutInCell="1" allowOverlap="1" wp14:anchorId="0417B771" wp14:editId="413385FA">
                <wp:simplePos x="0" y="0"/>
                <wp:positionH relativeFrom="margin">
                  <wp:align>left</wp:align>
                </wp:positionH>
                <wp:positionV relativeFrom="paragraph">
                  <wp:posOffset>-218287</wp:posOffset>
                </wp:positionV>
                <wp:extent cx="9222828" cy="5549462"/>
                <wp:effectExtent l="0" t="0" r="16510" b="13335"/>
                <wp:wrapNone/>
                <wp:docPr id="1120" name="Rectangle 1120"/>
                <wp:cNvGraphicFramePr/>
                <a:graphic xmlns:a="http://schemas.openxmlformats.org/drawingml/2006/main">
                  <a:graphicData uri="http://schemas.microsoft.com/office/word/2010/wordprocessingShape">
                    <wps:wsp>
                      <wps:cNvSpPr/>
                      <wps:spPr>
                        <a:xfrm>
                          <a:off x="0" y="0"/>
                          <a:ext cx="9222828" cy="5549462"/>
                        </a:xfrm>
                        <a:prstGeom prst="rect">
                          <a:avLst/>
                        </a:prstGeom>
                        <a:solidFill>
                          <a:schemeClr val="accent4">
                            <a:lumMod val="60000"/>
                            <a:lumOff val="40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ECE605" id="Rectangle 1120" o:spid="_x0000_s1026" style="position:absolute;margin-left:0;margin-top:-17.2pt;width:726.2pt;height:436.95pt;z-index:-2516357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" fillcolor="#bccdc0 [1943]" strokecolor="#374e54 [1604]" strokeweight="1pt">
                <w10:wrap anchorx="margin"/>
              </v:rect>
            </w:pict>
          </mc:Fallback>
        </mc:AlternateContent>
      </w:r>
      <w:r w:rsidRPr="00BC1A13">
        <w:rPr>
          <w:noProof/>
          <w:lang w:eastAsia="en-AU"/>
        </w:rPr>
        <w:drawing>
          <wp:inline distT="0" distB="0" distL="0" distR="0" wp14:anchorId="6F0C70AB" wp14:editId="4B4B4FA6">
            <wp:extent cx="7147097" cy="4762500"/>
            <wp:effectExtent l="19050" t="19050" r="15875" b="1905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7155676" cy="4768217"/>
                    </a:xfrm>
                    <a:prstGeom prst="rect">
                      <a:avLst/>
                    </a:prstGeom>
                    <a:noFill/>
                    <a:ln>
                      <a:solidFill>
                        <a:schemeClr val="tx1"/>
                      </a:solidFill>
                    </a:ln>
                    <a:effectLst/>
                    <a:extLst/>
                  </pic:spPr>
                </pic:pic>
              </a:graphicData>
            </a:graphic>
          </wp:inline>
        </w:drawing>
      </w:r>
    </w:p>
    <w:p w14:paraId="65685832" w14:textId="1BC1095A" w:rsidR="008D4E14" w:rsidRPr="000D10D6" w:rsidRDefault="008D4E14" w:rsidP="008D4E14">
      <w:pPr>
        <w:pStyle w:val="Caption"/>
        <w:jc w:val="center"/>
      </w:pPr>
      <w:bookmarkStart w:id="96" w:name="_Ref468910956"/>
      <w:bookmarkStart w:id="97" w:name="_Toc470108618"/>
      <w:bookmarkStart w:id="98" w:name="_Toc514018084"/>
      <w:r w:rsidRPr="001B3FEE">
        <w:t xml:space="preserve">Figure </w:t>
      </w:r>
      <w:r w:rsidRPr="00A40029">
        <w:fldChar w:fldCharType="begin"/>
      </w:r>
      <w:r w:rsidRPr="00A40029">
        <w:instrText xml:space="preserve"> STYLEREF 1 \s </w:instrText>
      </w:r>
      <w:r w:rsidRPr="00A40029">
        <w:fldChar w:fldCharType="separate"/>
      </w:r>
      <w:r w:rsidR="00BF015B">
        <w:rPr>
          <w:noProof/>
        </w:rPr>
        <w:t>3</w:t>
      </w:r>
      <w:r w:rsidRPr="00A40029">
        <w:fldChar w:fldCharType="end"/>
      </w:r>
      <w:r w:rsidRPr="00A40029">
        <w:t>.</w:t>
      </w:r>
      <w:r w:rsidRPr="00A40029">
        <w:fldChar w:fldCharType="begin"/>
      </w:r>
      <w:r w:rsidRPr="00A40029">
        <w:instrText xml:space="preserve"> SEQ Figure \* ARABIC \s 1 </w:instrText>
      </w:r>
      <w:r w:rsidRPr="00A40029">
        <w:fldChar w:fldCharType="separate"/>
      </w:r>
      <w:r w:rsidR="00BF015B">
        <w:rPr>
          <w:noProof/>
        </w:rPr>
        <w:t>12</w:t>
      </w:r>
      <w:r w:rsidRPr="00A40029">
        <w:fldChar w:fldCharType="end"/>
      </w:r>
      <w:bookmarkEnd w:id="96"/>
      <w:r w:rsidRPr="00A40029">
        <w:t>: Calperum Station soil water conceptual model (Cale and Cale 2011)</w:t>
      </w:r>
      <w:bookmarkEnd w:id="97"/>
      <w:bookmarkEnd w:id="98"/>
    </w:p>
    <w:p w14:paraId="7F3BCC17" w14:textId="0845E179" w:rsidR="006303FD" w:rsidRDefault="006303FD" w:rsidP="00A40029">
      <w:pPr>
        <w:spacing w:before="240" w:after="120"/>
        <w:jc w:val="center"/>
        <w:rPr>
          <w:highlight w:val="yellow"/>
        </w:rPr>
        <w:sectPr w:rsidR="006303FD" w:rsidSect="00B44C29">
          <w:pgSz w:w="16838" w:h="11906" w:orient="landscape" w:code="9"/>
          <w:pgMar w:top="1134" w:right="567" w:bottom="851" w:left="851" w:header="567" w:footer="370" w:gutter="0"/>
          <w:cols w:space="0"/>
          <w:formProt w:val="0"/>
          <w:docGrid w:linePitch="360"/>
        </w:sectPr>
      </w:pPr>
    </w:p>
    <w:p w14:paraId="0337F658" w14:textId="25C8019F" w:rsidR="005972ED" w:rsidRPr="00F66C80" w:rsidRDefault="00D3646D" w:rsidP="00640D64">
      <w:pPr>
        <w:pStyle w:val="Heading3"/>
      </w:pPr>
      <w:r>
        <w:t xml:space="preserve">Using Conceptual Models to Identify </w:t>
      </w:r>
      <w:r w:rsidR="00F14224">
        <w:t>Relevant Stressors at a Site</w:t>
      </w:r>
    </w:p>
    <w:p w14:paraId="238DB727" w14:textId="546BCFAB" w:rsidR="00007A73" w:rsidRDefault="00E26E32" w:rsidP="005972ED">
      <w:pPr>
        <w:pStyle w:val="Para0"/>
        <w:keepNext/>
      </w:pPr>
      <w:r>
        <w:t xml:space="preserve">While the conceptual models are useful in identifying and understanding key stressors to Black Box, they do not provide guidance on </w:t>
      </w:r>
      <w:r w:rsidR="00460C97">
        <w:t>the</w:t>
      </w:r>
      <w:r>
        <w:t xml:space="preserve"> degree </w:t>
      </w:r>
      <w:r w:rsidR="00460C97">
        <w:t>to which different</w:t>
      </w:r>
      <w:r>
        <w:t xml:space="preserve"> stressor</w:t>
      </w:r>
      <w:r w:rsidR="00460C97">
        <w:t>s</w:t>
      </w:r>
      <w:r>
        <w:t xml:space="preserve"> </w:t>
      </w:r>
      <w:r w:rsidR="00460C97">
        <w:t>are</w:t>
      </w:r>
      <w:r>
        <w:t xml:space="preserve"> impacting on Black Box. </w:t>
      </w:r>
      <w:r w:rsidR="005972ED">
        <w:t xml:space="preserve">This </w:t>
      </w:r>
      <w:r w:rsidR="005A4E06">
        <w:t>chapter</w:t>
      </w:r>
      <w:r w:rsidR="005972ED">
        <w:t xml:space="preserve"> provides guidance on how observed site conditions </w:t>
      </w:r>
      <w:r w:rsidR="00460C97">
        <w:t xml:space="preserve">can be used to </w:t>
      </w:r>
      <w:r w:rsidR="00007A73">
        <w:t>validate</w:t>
      </w:r>
      <w:r w:rsidR="00D3646D">
        <w:t xml:space="preserve"> a site specific conceptual model</w:t>
      </w:r>
      <w:r w:rsidR="009523E0">
        <w:t>s</w:t>
      </w:r>
      <w:r w:rsidR="00460C97">
        <w:t xml:space="preserve"> and provide additional detail on the influence of stressors and how they might be managed. </w:t>
      </w:r>
    </w:p>
    <w:p w14:paraId="3967BA18" w14:textId="27CF184C" w:rsidR="005972ED" w:rsidRPr="00F87434" w:rsidRDefault="005972ED" w:rsidP="005972ED">
      <w:pPr>
        <w:pStyle w:val="Para0"/>
        <w:rPr>
          <w:color w:val="000000" w:themeColor="text1"/>
        </w:rPr>
      </w:pPr>
      <w:r w:rsidRPr="00F87434">
        <w:rPr>
          <w:color w:val="000000" w:themeColor="text1"/>
        </w:rPr>
        <w:t xml:space="preserve">Potential stressors of Black Box </w:t>
      </w:r>
      <w:r w:rsidR="0056756C">
        <w:rPr>
          <w:color w:val="000000" w:themeColor="text1"/>
        </w:rPr>
        <w:t xml:space="preserve">are listed below. All relevant thresholds relating to these stressors are summarised in chapter </w:t>
      </w:r>
      <w:r w:rsidR="0056756C">
        <w:rPr>
          <w:color w:val="000000" w:themeColor="text1"/>
        </w:rPr>
        <w:fldChar w:fldCharType="begin"/>
      </w:r>
      <w:r w:rsidR="0056756C">
        <w:rPr>
          <w:color w:val="000000" w:themeColor="text1"/>
        </w:rPr>
        <w:instrText xml:space="preserve"> REF _Ref508782548 \r \h </w:instrText>
      </w:r>
      <w:r w:rsidR="0056756C">
        <w:rPr>
          <w:color w:val="000000" w:themeColor="text1"/>
        </w:rPr>
      </w:r>
      <w:r w:rsidR="0056756C">
        <w:rPr>
          <w:color w:val="000000" w:themeColor="text1"/>
        </w:rPr>
        <w:fldChar w:fldCharType="separate"/>
      </w:r>
      <w:r w:rsidR="00BF015B">
        <w:rPr>
          <w:color w:val="000000" w:themeColor="text1"/>
        </w:rPr>
        <w:t>3.5.3</w:t>
      </w:r>
      <w:r w:rsidR="0056756C">
        <w:rPr>
          <w:color w:val="000000" w:themeColor="text1"/>
        </w:rPr>
        <w:fldChar w:fldCharType="end"/>
      </w:r>
      <w:r w:rsidRPr="00F87434">
        <w:rPr>
          <w:color w:val="000000" w:themeColor="text1"/>
        </w:rPr>
        <w:t>:</w:t>
      </w:r>
    </w:p>
    <w:p w14:paraId="2EF3C751" w14:textId="6C7BDCB9" w:rsidR="0036060D" w:rsidRPr="0036060D" w:rsidRDefault="001A2C38" w:rsidP="00F22225">
      <w:pPr>
        <w:pStyle w:val="Para1narrowarrow"/>
        <w:numPr>
          <w:ilvl w:val="0"/>
          <w:numId w:val="85"/>
        </w:numPr>
        <w:ind w:left="709"/>
      </w:pPr>
      <w:r>
        <w:rPr>
          <w:b/>
        </w:rPr>
        <w:t>Shallow</w:t>
      </w:r>
      <w:r w:rsidR="00153C88">
        <w:rPr>
          <w:b/>
        </w:rPr>
        <w:t xml:space="preserve"> saline g</w:t>
      </w:r>
      <w:r w:rsidR="0036060D" w:rsidRPr="00DF4A1A">
        <w:rPr>
          <w:b/>
        </w:rPr>
        <w:t>roundwater:</w:t>
      </w:r>
      <w:r w:rsidR="0036060D">
        <w:t xml:space="preserve"> </w:t>
      </w:r>
      <w:r w:rsidR="0036060D" w:rsidRPr="0036060D">
        <w:t xml:space="preserve">Shallow groundwater </w:t>
      </w:r>
      <w:r w:rsidR="00923CF5">
        <w:t>decrease</w:t>
      </w:r>
      <w:r w:rsidR="00BF0A88">
        <w:t>s</w:t>
      </w:r>
      <w:r w:rsidR="00923CF5">
        <w:t xml:space="preserve"> the amount of soil in the unsaturated zone, which can lead to waterlogging of </w:t>
      </w:r>
      <w:r w:rsidR="00932424">
        <w:t>tree</w:t>
      </w:r>
      <w:r w:rsidR="00923CF5">
        <w:t xml:space="preserve"> roots, reducing the oxygen available and affecting nutrient uptake. </w:t>
      </w:r>
      <w:r w:rsidR="0036060D" w:rsidRPr="0036060D">
        <w:t xml:space="preserve"> Shallow groundwater levels can also drive soil salini</w:t>
      </w:r>
      <w:r w:rsidR="00153C88">
        <w:t>s</w:t>
      </w:r>
      <w:r w:rsidR="0036060D" w:rsidRPr="0036060D">
        <w:t xml:space="preserve">ation through capillary rise of water from the aquifer, </w:t>
      </w:r>
      <w:r w:rsidR="00D3646D">
        <w:t xml:space="preserve">resulting in accumulation </w:t>
      </w:r>
      <w:r w:rsidR="00923CF5">
        <w:t xml:space="preserve">of salts </w:t>
      </w:r>
      <w:r w:rsidR="00D3646D">
        <w:t>at the soil surface/rootzon</w:t>
      </w:r>
      <w:r w:rsidR="00923CF5">
        <w:t>e, and hence the moisture in the rootzone being too saline to be suitable for plant uptake</w:t>
      </w:r>
      <w:r w:rsidR="0056756C">
        <w:t>.</w:t>
      </w:r>
    </w:p>
    <w:p w14:paraId="76A3259F" w14:textId="22BDFEB0" w:rsidR="00153C88" w:rsidRPr="00E230DF" w:rsidRDefault="001A2C38" w:rsidP="00F22225">
      <w:pPr>
        <w:pStyle w:val="Para1narrowarrow"/>
        <w:numPr>
          <w:ilvl w:val="0"/>
          <w:numId w:val="85"/>
        </w:numPr>
        <w:ind w:left="709"/>
      </w:pPr>
      <w:r>
        <w:rPr>
          <w:b/>
        </w:rPr>
        <w:t>Deep</w:t>
      </w:r>
      <w:r w:rsidR="00153C88" w:rsidRPr="00A40029">
        <w:rPr>
          <w:b/>
        </w:rPr>
        <w:t xml:space="preserve"> fresh groundwater:</w:t>
      </w:r>
      <w:r w:rsidR="00153C88">
        <w:t xml:space="preserve"> In the </w:t>
      </w:r>
      <w:r w:rsidR="00E725CB">
        <w:t>u</w:t>
      </w:r>
      <w:r w:rsidR="00153C88">
        <w:t xml:space="preserve">pper River Murray and in the </w:t>
      </w:r>
      <w:r w:rsidR="00E725CB">
        <w:t>n</w:t>
      </w:r>
      <w:r w:rsidR="00153C88">
        <w:t>orthern parts of the basin</w:t>
      </w:r>
      <w:r w:rsidR="00932424">
        <w:t>,</w:t>
      </w:r>
      <w:r w:rsidR="00153C88">
        <w:t xml:space="preserve"> fresh groundwater is a constant supply of water to Black Box trees</w:t>
      </w:r>
      <w:r w:rsidR="00153C88" w:rsidRPr="0056756C">
        <w:t xml:space="preserve">. With increased </w:t>
      </w:r>
      <w:r w:rsidR="00932424">
        <w:t>groundwater extraction</w:t>
      </w:r>
      <w:r w:rsidR="00153C88" w:rsidRPr="0056756C">
        <w:t xml:space="preserve"> and reduced recharge groundwater levels are falling</w:t>
      </w:r>
      <w:r w:rsidR="0056756C" w:rsidRPr="00A40029">
        <w:t>, reducing soil water availability</w:t>
      </w:r>
      <w:r w:rsidR="00153C88" w:rsidRPr="0056756C">
        <w:t>.</w:t>
      </w:r>
    </w:p>
    <w:p w14:paraId="21E96177" w14:textId="1552A7BE" w:rsidR="0036060D" w:rsidRDefault="001A2C38" w:rsidP="00F22225">
      <w:pPr>
        <w:pStyle w:val="Para1narrowarrow"/>
        <w:numPr>
          <w:ilvl w:val="0"/>
          <w:numId w:val="85"/>
        </w:numPr>
        <w:ind w:left="709"/>
      </w:pPr>
      <w:r>
        <w:rPr>
          <w:b/>
        </w:rPr>
        <w:t>High g</w:t>
      </w:r>
      <w:r w:rsidR="0036060D" w:rsidRPr="00DF4A1A">
        <w:rPr>
          <w:b/>
        </w:rPr>
        <w:t>roundwater salinity:</w:t>
      </w:r>
      <w:r w:rsidR="00580E3B">
        <w:t xml:space="preserve"> </w:t>
      </w:r>
      <w:r w:rsidR="00496B8C">
        <w:t>I</w:t>
      </w:r>
      <w:r w:rsidR="00496B8C">
        <w:rPr>
          <w:rFonts w:cs="Arial"/>
        </w:rPr>
        <w:t xml:space="preserve">f groundwater salinity </w:t>
      </w:r>
      <w:r w:rsidR="0056756C">
        <w:rPr>
          <w:rFonts w:cs="Arial"/>
        </w:rPr>
        <w:t>is saline</w:t>
      </w:r>
      <w:r w:rsidR="00496B8C">
        <w:t xml:space="preserve"> (refer floodplain response conceptual model </w:t>
      </w:r>
      <w:r w:rsidR="007B61D3">
        <w:t xml:space="preserve">in chapter </w:t>
      </w:r>
      <w:r w:rsidR="00D3646D">
        <w:fldChar w:fldCharType="begin"/>
      </w:r>
      <w:r w:rsidR="00D3646D">
        <w:instrText xml:space="preserve"> REF _Ref507748948 \r \h </w:instrText>
      </w:r>
      <w:r w:rsidR="00D3646D">
        <w:fldChar w:fldCharType="separate"/>
      </w:r>
      <w:r w:rsidR="00BF015B">
        <w:t>3.5.1.2</w:t>
      </w:r>
      <w:r w:rsidR="00D3646D">
        <w:fldChar w:fldCharType="end"/>
      </w:r>
      <w:r w:rsidR="00496B8C">
        <w:t xml:space="preserve">), </w:t>
      </w:r>
      <w:r w:rsidR="00D3646D">
        <w:t xml:space="preserve">there will be a lack of available soil water of acceptable quality for Black Box to access.  </w:t>
      </w:r>
    </w:p>
    <w:p w14:paraId="46CF8580" w14:textId="751D1505" w:rsidR="0036060D" w:rsidRDefault="001A2C38" w:rsidP="00F22225">
      <w:pPr>
        <w:pStyle w:val="Para1narrowarrow"/>
        <w:numPr>
          <w:ilvl w:val="0"/>
          <w:numId w:val="85"/>
        </w:numPr>
        <w:ind w:left="709"/>
      </w:pPr>
      <w:r>
        <w:rPr>
          <w:b/>
        </w:rPr>
        <w:t>High s</w:t>
      </w:r>
      <w:r w:rsidR="0036060D" w:rsidRPr="00DF4A1A">
        <w:rPr>
          <w:b/>
        </w:rPr>
        <w:t xml:space="preserve">oil </w:t>
      </w:r>
      <w:r w:rsidR="00264C34" w:rsidRPr="00DF4A1A">
        <w:rPr>
          <w:b/>
        </w:rPr>
        <w:t>salinity:</w:t>
      </w:r>
      <w:r w:rsidR="00264C34">
        <w:t xml:space="preserve"> If soil salinity in the upper soil layers </w:t>
      </w:r>
      <w:r w:rsidR="0056756C">
        <w:t>is high</w:t>
      </w:r>
      <w:r w:rsidR="00264C34">
        <w:t xml:space="preserve"> (refer floodplain response conceptual model </w:t>
      </w:r>
      <w:r w:rsidR="007B61D3">
        <w:t xml:space="preserve">in chapter </w:t>
      </w:r>
      <w:r w:rsidR="00D3646D">
        <w:fldChar w:fldCharType="begin"/>
      </w:r>
      <w:r w:rsidR="00D3646D">
        <w:instrText xml:space="preserve"> REF _Ref507748948 \r \h </w:instrText>
      </w:r>
      <w:r w:rsidR="00D3646D">
        <w:fldChar w:fldCharType="separate"/>
      </w:r>
      <w:r w:rsidR="00BF015B">
        <w:t>3.5.1.2</w:t>
      </w:r>
      <w:r w:rsidR="00D3646D">
        <w:fldChar w:fldCharType="end"/>
      </w:r>
      <w:r w:rsidR="00264C34">
        <w:t>), there will be a lack of</w:t>
      </w:r>
      <w:r w:rsidR="00264C34">
        <w:rPr>
          <w:rFonts w:cs="Arial"/>
        </w:rPr>
        <w:t xml:space="preserve"> available soil water of acceptable quality for Black Box to access</w:t>
      </w:r>
      <w:r w:rsidR="00D1158D">
        <w:rPr>
          <w:rFonts w:cs="Arial"/>
        </w:rPr>
        <w:t>, related to changes in osmotic potential.</w:t>
      </w:r>
    </w:p>
    <w:p w14:paraId="46AC2203" w14:textId="61C8EABE" w:rsidR="0036060D" w:rsidRDefault="001A2C38" w:rsidP="00F22225">
      <w:pPr>
        <w:pStyle w:val="Para1narrowarrow"/>
        <w:numPr>
          <w:ilvl w:val="0"/>
          <w:numId w:val="85"/>
        </w:numPr>
        <w:ind w:left="709"/>
      </w:pPr>
      <w:r>
        <w:rPr>
          <w:b/>
        </w:rPr>
        <w:t>Lack of s</w:t>
      </w:r>
      <w:r w:rsidR="0036060D" w:rsidRPr="00DF4A1A">
        <w:rPr>
          <w:b/>
        </w:rPr>
        <w:t xml:space="preserve">oil moisture in the </w:t>
      </w:r>
      <w:r w:rsidR="00D3646D">
        <w:rPr>
          <w:b/>
        </w:rPr>
        <w:t>unsaturated zone</w:t>
      </w:r>
      <w:r w:rsidR="0036060D" w:rsidRPr="00DF4A1A">
        <w:rPr>
          <w:b/>
        </w:rPr>
        <w:t>:</w:t>
      </w:r>
      <w:r w:rsidR="00264C34">
        <w:t xml:space="preserve"> A lack of soil moisture leads to water stress in Black Box vegetation</w:t>
      </w:r>
      <w:r w:rsidR="009523E0">
        <w:t xml:space="preserve">, due to </w:t>
      </w:r>
      <w:r w:rsidR="0020414D">
        <w:t xml:space="preserve">changes in </w:t>
      </w:r>
      <w:r w:rsidR="00390BAF">
        <w:t>matric</w:t>
      </w:r>
      <w:r w:rsidR="009523E0">
        <w:t xml:space="preserve"> potential.</w:t>
      </w:r>
    </w:p>
    <w:p w14:paraId="142DFD64" w14:textId="0C181D59" w:rsidR="0036060D" w:rsidRDefault="001A2C38" w:rsidP="00F22225">
      <w:pPr>
        <w:pStyle w:val="Para1narrowarrow"/>
        <w:numPr>
          <w:ilvl w:val="0"/>
          <w:numId w:val="85"/>
        </w:numPr>
        <w:ind w:left="709"/>
      </w:pPr>
      <w:r>
        <w:rPr>
          <w:b/>
        </w:rPr>
        <w:t>Reduced f</w:t>
      </w:r>
      <w:r w:rsidR="0036060D" w:rsidRPr="00DF4A1A">
        <w:rPr>
          <w:b/>
        </w:rPr>
        <w:t>looding frequency</w:t>
      </w:r>
      <w:r w:rsidR="00496B8C" w:rsidRPr="00DF4A1A">
        <w:rPr>
          <w:b/>
        </w:rPr>
        <w:t>:</w:t>
      </w:r>
      <w:r w:rsidR="006E07A7">
        <w:t xml:space="preserve"> Flooding increases the soil moisture availability </w:t>
      </w:r>
      <w:r w:rsidR="00240283">
        <w:t xml:space="preserve">to Black Box for the period of inundation </w:t>
      </w:r>
      <w:r w:rsidR="00932424">
        <w:t>and</w:t>
      </w:r>
      <w:r w:rsidR="006E07A7">
        <w:t xml:space="preserve"> cause</w:t>
      </w:r>
      <w:r w:rsidR="00240283">
        <w:t>s</w:t>
      </w:r>
      <w:r w:rsidR="006E07A7">
        <w:t xml:space="preserve"> freshening of groundwater and soils in the areas inundated through recharge</w:t>
      </w:r>
      <w:r w:rsidR="00240283">
        <w:t xml:space="preserve">, reducing salinity stress. </w:t>
      </w:r>
      <w:r w:rsidR="00D3646D">
        <w:t xml:space="preserve">A low frequency of flooding results in stress to Black Box vegetation through lack of soil moisture availability and accumulating salinity in groundwater and soils. </w:t>
      </w:r>
    </w:p>
    <w:p w14:paraId="6D28A9F0" w14:textId="77777777" w:rsidR="009523E0" w:rsidRPr="00FD6E0A" w:rsidRDefault="009523E0" w:rsidP="00A40029">
      <w:pPr>
        <w:pStyle w:val="Para1narrowarrow"/>
        <w:numPr>
          <w:ilvl w:val="0"/>
          <w:numId w:val="0"/>
        </w:numPr>
      </w:pPr>
      <w:r w:rsidRPr="00FD6E0A">
        <w:t xml:space="preserve">Other key features that influence Black Box condition: </w:t>
      </w:r>
    </w:p>
    <w:p w14:paraId="1789E30D" w14:textId="77777777" w:rsidR="001A2C38" w:rsidRDefault="001A2C38" w:rsidP="00F22225">
      <w:pPr>
        <w:pStyle w:val="Para1narrowarrow"/>
        <w:numPr>
          <w:ilvl w:val="0"/>
          <w:numId w:val="85"/>
        </w:numPr>
        <w:ind w:left="709"/>
      </w:pPr>
      <w:r w:rsidRPr="00DF4A1A">
        <w:rPr>
          <w:b/>
        </w:rPr>
        <w:t>Soil structure (related to salt leaching and movement of groundwater (aquitards)):</w:t>
      </w:r>
      <w:r>
        <w:t xml:space="preserve"> The soil profile at a site can be used to infer how groundwater recharge and soil leaching processes are likely to occur. </w:t>
      </w:r>
    </w:p>
    <w:p w14:paraId="4BFCFD8F" w14:textId="45E0561A" w:rsidR="00264C34" w:rsidRDefault="00314F80" w:rsidP="00F22225">
      <w:pPr>
        <w:pStyle w:val="Para1narrowarrow"/>
        <w:numPr>
          <w:ilvl w:val="0"/>
          <w:numId w:val="85"/>
        </w:numPr>
        <w:ind w:left="709"/>
        <w:rPr>
          <w:b/>
        </w:rPr>
      </w:pPr>
      <w:r w:rsidRPr="00DF4A1A">
        <w:rPr>
          <w:b/>
        </w:rPr>
        <w:t>Grazing/land disturbance:</w:t>
      </w:r>
      <w:r w:rsidR="00DC4534">
        <w:rPr>
          <w:b/>
        </w:rPr>
        <w:t xml:space="preserve"> </w:t>
      </w:r>
      <w:r w:rsidR="002D4BCF">
        <w:t>P</w:t>
      </w:r>
      <w:r w:rsidR="00DC4534" w:rsidRPr="00DF4A1A">
        <w:t>hysical disturbance of Black Box vegetation, and soil degradation, due to grazing, pests, or other land affecting activities.</w:t>
      </w:r>
      <w:r w:rsidR="00DC4534">
        <w:rPr>
          <w:b/>
        </w:rPr>
        <w:t xml:space="preserve"> </w:t>
      </w:r>
    </w:p>
    <w:p w14:paraId="1B397D48" w14:textId="5DE5F78F" w:rsidR="00D3646D" w:rsidRDefault="00D3646D" w:rsidP="00F22225">
      <w:pPr>
        <w:pStyle w:val="Para1narrowarrow"/>
        <w:numPr>
          <w:ilvl w:val="0"/>
          <w:numId w:val="85"/>
        </w:numPr>
        <w:ind w:left="709"/>
      </w:pPr>
      <w:r w:rsidRPr="00DF4A1A">
        <w:rPr>
          <w:b/>
        </w:rPr>
        <w:t>Potential f</w:t>
      </w:r>
      <w:r w:rsidR="001A2C38">
        <w:rPr>
          <w:b/>
        </w:rPr>
        <w:t>or</w:t>
      </w:r>
      <w:r w:rsidRPr="00DF4A1A">
        <w:rPr>
          <w:b/>
        </w:rPr>
        <w:t xml:space="preserve"> lateral recharge:</w:t>
      </w:r>
      <w:r>
        <w:t xml:space="preserve"> Lateral recharge causes groundwater freshening to occur horizontally, to a zone outside areas that are inundated, when the surface water level exceeds the head at the groundwater interface. The potential for lateral recharge influences how far away from the river certain management options may influence Black Box vegetation. </w:t>
      </w:r>
      <w:r w:rsidR="001A2C38">
        <w:t>Typical maximum extents of lateral recharge have been noted at 150 metres</w:t>
      </w:r>
      <w:r w:rsidR="00F012F1">
        <w:t>, however this is dependent on soil types</w:t>
      </w:r>
      <w:r w:rsidR="001A2C38">
        <w:t>.</w:t>
      </w:r>
    </w:p>
    <w:p w14:paraId="28E88A24" w14:textId="77777777" w:rsidR="00D3646D" w:rsidRDefault="00D3646D" w:rsidP="00F22225">
      <w:pPr>
        <w:pStyle w:val="Para1narrowarrow"/>
        <w:numPr>
          <w:ilvl w:val="0"/>
          <w:numId w:val="85"/>
        </w:numPr>
        <w:ind w:left="709"/>
      </w:pPr>
      <w:r w:rsidRPr="00DF4A1A">
        <w:rPr>
          <w:b/>
        </w:rPr>
        <w:t>Presence of paleo channels:</w:t>
      </w:r>
      <w:r>
        <w:t xml:space="preserve"> Paleo channels are areas where it is likely that groundwater movement will occur, hence they provide opportunities for groundwater freshening to the areas surrounding them. </w:t>
      </w:r>
    </w:p>
    <w:p w14:paraId="706748DE" w14:textId="2942AB76" w:rsidR="00D3646D" w:rsidRDefault="00D3646D" w:rsidP="00F22225">
      <w:pPr>
        <w:pStyle w:val="Para1narrowarrow"/>
        <w:numPr>
          <w:ilvl w:val="0"/>
          <w:numId w:val="85"/>
        </w:numPr>
        <w:ind w:left="709"/>
      </w:pPr>
      <w:r w:rsidRPr="00DF4A1A">
        <w:rPr>
          <w:b/>
        </w:rPr>
        <w:t>Accumulation of rainfall:</w:t>
      </w:r>
      <w:r>
        <w:t xml:space="preserve"> Where rainfall gathers in the landscape, soil moisture availability is likely to be higher, and soil/groundwater salinity are likely to be lower than areas where rainfall does not infiltrate. </w:t>
      </w:r>
      <w:r w:rsidR="001A2C38">
        <w:t>This is evident at the base of a slope change where runoff accumulates to provide a water source.</w:t>
      </w:r>
    </w:p>
    <w:p w14:paraId="5CEC1EC9" w14:textId="0CDADCEB" w:rsidR="00D3646D" w:rsidRPr="00DF4A1A" w:rsidDel="001A2C38" w:rsidRDefault="00007A73" w:rsidP="00FD6E0A">
      <w:pPr>
        <w:pStyle w:val="Para1narrowarrow"/>
        <w:numPr>
          <w:ilvl w:val="0"/>
          <w:numId w:val="0"/>
        </w:numPr>
        <w:ind w:left="1" w:hanging="1"/>
        <w:rPr>
          <w:b/>
        </w:rPr>
      </w:pPr>
      <w:r w:rsidDel="001A2C38">
        <w:rPr>
          <w:color w:val="000000" w:themeColor="text1"/>
        </w:rPr>
        <w:t xml:space="preserve">Further </w:t>
      </w:r>
      <w:r w:rsidRPr="00E235F3" w:rsidDel="001A2C38">
        <w:rPr>
          <w:color w:val="000000" w:themeColor="text1"/>
        </w:rPr>
        <w:t xml:space="preserve">discussion on stressors, potential indicators, and the </w:t>
      </w:r>
      <w:r w:rsidDel="001A2C38">
        <w:rPr>
          <w:color w:val="000000" w:themeColor="text1"/>
        </w:rPr>
        <w:t xml:space="preserve">ecological </w:t>
      </w:r>
      <w:r w:rsidRPr="00E235F3" w:rsidDel="001A2C38">
        <w:rPr>
          <w:color w:val="000000" w:themeColor="text1"/>
        </w:rPr>
        <w:t>attributes or functions that are impact</w:t>
      </w:r>
      <w:r w:rsidDel="001A2C38">
        <w:rPr>
          <w:color w:val="000000" w:themeColor="text1"/>
        </w:rPr>
        <w:t>ed</w:t>
      </w:r>
      <w:r w:rsidRPr="00E235F3" w:rsidDel="001A2C38">
        <w:rPr>
          <w:color w:val="000000" w:themeColor="text1"/>
        </w:rPr>
        <w:t xml:space="preserve"> is provided in </w:t>
      </w:r>
      <w:r w:rsidRPr="00694D77" w:rsidDel="001A2C38">
        <w:rPr>
          <w:color w:val="000000" w:themeColor="text1"/>
        </w:rPr>
        <w:fldChar w:fldCharType="begin"/>
      </w:r>
      <w:r w:rsidRPr="00694D77" w:rsidDel="001A2C38">
        <w:rPr>
          <w:color w:val="000000" w:themeColor="text1"/>
        </w:rPr>
        <w:instrText xml:space="preserve"> REF _Ref463606095 \r \h  \* MERGEFORMAT </w:instrText>
      </w:r>
      <w:r w:rsidRPr="00694D77" w:rsidDel="001A2C38">
        <w:rPr>
          <w:color w:val="000000" w:themeColor="text1"/>
        </w:rPr>
      </w:r>
      <w:r w:rsidRPr="00694D77" w:rsidDel="001A2C38">
        <w:rPr>
          <w:color w:val="000000" w:themeColor="text1"/>
        </w:rPr>
        <w:fldChar w:fldCharType="separate"/>
      </w:r>
      <w:r w:rsidR="00BF015B">
        <w:rPr>
          <w:color w:val="000000" w:themeColor="text1"/>
        </w:rPr>
        <w:t>Appendix B</w:t>
      </w:r>
      <w:r w:rsidRPr="00694D77" w:rsidDel="001A2C38">
        <w:rPr>
          <w:color w:val="000000" w:themeColor="text1"/>
        </w:rPr>
        <w:fldChar w:fldCharType="end"/>
      </w:r>
      <w:r w:rsidDel="001A2C38">
        <w:rPr>
          <w:color w:val="000000" w:themeColor="text1"/>
        </w:rPr>
        <w:t>.</w:t>
      </w:r>
    </w:p>
    <w:p w14:paraId="79D38987" w14:textId="221CE0DE" w:rsidR="004B756B" w:rsidRDefault="0080032B" w:rsidP="004B756B">
      <w:pPr>
        <w:pStyle w:val="Para0"/>
      </w:pPr>
      <w:r>
        <w:rPr>
          <w:color w:val="000000" w:themeColor="text1"/>
        </w:rPr>
        <w:t>M</w:t>
      </w:r>
      <w:r w:rsidR="005972ED" w:rsidRPr="00F87434">
        <w:rPr>
          <w:color w:val="000000" w:themeColor="text1"/>
        </w:rPr>
        <w:t xml:space="preserve">ultiple stressors </w:t>
      </w:r>
      <w:r>
        <w:rPr>
          <w:color w:val="000000" w:themeColor="text1"/>
        </w:rPr>
        <w:t>are likely to</w:t>
      </w:r>
      <w:r w:rsidRPr="00F87434">
        <w:rPr>
          <w:color w:val="000000" w:themeColor="text1"/>
        </w:rPr>
        <w:t xml:space="preserve"> </w:t>
      </w:r>
      <w:r w:rsidR="005972ED" w:rsidRPr="00F87434">
        <w:rPr>
          <w:color w:val="000000" w:themeColor="text1"/>
        </w:rPr>
        <w:t xml:space="preserve">apply </w:t>
      </w:r>
      <w:r>
        <w:rPr>
          <w:color w:val="000000" w:themeColor="text1"/>
        </w:rPr>
        <w:t xml:space="preserve">at </w:t>
      </w:r>
      <w:r w:rsidR="005972ED" w:rsidRPr="00F87434">
        <w:rPr>
          <w:color w:val="000000" w:themeColor="text1"/>
        </w:rPr>
        <w:t>any one site (e.g. water availability, salinisation, competition) and</w:t>
      </w:r>
      <w:r w:rsidR="004E4383">
        <w:rPr>
          <w:color w:val="000000" w:themeColor="text1"/>
        </w:rPr>
        <w:t xml:space="preserve"> these stressors</w:t>
      </w:r>
      <w:r w:rsidR="005972ED" w:rsidRPr="00F87434">
        <w:rPr>
          <w:color w:val="000000" w:themeColor="text1"/>
        </w:rPr>
        <w:t xml:space="preserve"> may be acting at multiple spatial and temporal scales</w:t>
      </w:r>
      <w:r w:rsidR="005972ED">
        <w:rPr>
          <w:color w:val="000000" w:themeColor="text1"/>
        </w:rPr>
        <w:t xml:space="preserve">. </w:t>
      </w:r>
      <w:r w:rsidR="0020414D">
        <w:rPr>
          <w:color w:val="000000" w:themeColor="text1"/>
        </w:rPr>
        <w:t>Not</w:t>
      </w:r>
      <w:r w:rsidR="004B756B">
        <w:rPr>
          <w:color w:val="000000" w:themeColor="text1"/>
        </w:rPr>
        <w:t xml:space="preserve"> all stressors may be able to be actively managed</w:t>
      </w:r>
      <w:r w:rsidR="0020414D">
        <w:rPr>
          <w:color w:val="000000" w:themeColor="text1"/>
        </w:rPr>
        <w:t>, h</w:t>
      </w:r>
      <w:r w:rsidR="004B756B">
        <w:rPr>
          <w:color w:val="000000" w:themeColor="text1"/>
        </w:rPr>
        <w:t>owever an understanding of the</w:t>
      </w:r>
      <w:r w:rsidR="004B756B">
        <w:t xml:space="preserve"> relative importance of different stressors should form the basis for choosing appropriate management interventions.</w:t>
      </w:r>
      <w:r w:rsidR="00C07DEA">
        <w:t xml:space="preserve"> </w:t>
      </w:r>
      <w:r w:rsidR="00AD6010">
        <w:t>Consideration</w:t>
      </w:r>
      <w:r w:rsidR="0020414D">
        <w:t xml:space="preserve"> of stressors that have changed since establishment of the trees is needed</w:t>
      </w:r>
      <w:r w:rsidR="00C07DEA">
        <w:t>, such as reduced flooding frequency or rising groundwater levels</w:t>
      </w:r>
      <w:r w:rsidR="0020414D">
        <w:t xml:space="preserve"> that can occur due to changes in the environment.</w:t>
      </w:r>
      <w:r w:rsidR="00C07DEA">
        <w:t xml:space="preserve"> </w:t>
      </w:r>
      <w:r w:rsidR="0020414D">
        <w:t>Stressors can also change as a function</w:t>
      </w:r>
      <w:r w:rsidR="00C07DEA">
        <w:t xml:space="preserve"> </w:t>
      </w:r>
      <w:r w:rsidR="0020414D">
        <w:t>tree growth. For example, as</w:t>
      </w:r>
      <w:r w:rsidR="00C07DEA">
        <w:t xml:space="preserve"> Black Box trees grow </w:t>
      </w:r>
      <w:r w:rsidR="0020414D">
        <w:t>their roots progress</w:t>
      </w:r>
      <w:r w:rsidR="00C07DEA">
        <w:t xml:space="preserve"> </w:t>
      </w:r>
      <w:r w:rsidR="00F012F1">
        <w:t>deeper into the unsaturated zone</w:t>
      </w:r>
      <w:r w:rsidR="00C07DEA">
        <w:t xml:space="preserve"> to stabilise the tree</w:t>
      </w:r>
      <w:r w:rsidR="005654F2">
        <w:t xml:space="preserve">, potentially </w:t>
      </w:r>
      <w:r w:rsidR="00AD6010">
        <w:t>encountering</w:t>
      </w:r>
      <w:r w:rsidR="00C07DEA">
        <w:t xml:space="preserve"> the soil salinity at depth</w:t>
      </w:r>
      <w:r w:rsidR="0020414D">
        <w:t xml:space="preserve">, introducing a new source of stress. </w:t>
      </w:r>
      <w:r w:rsidR="004B756B">
        <w:t xml:space="preserve"> </w:t>
      </w:r>
    </w:p>
    <w:p w14:paraId="23D63AEC" w14:textId="24301C64" w:rsidR="00CC3CBC" w:rsidRDefault="00CC3CBC" w:rsidP="00CC3CBC">
      <w:pPr>
        <w:pStyle w:val="Para0"/>
        <w:rPr>
          <w:color w:val="000000" w:themeColor="text1"/>
        </w:rPr>
      </w:pPr>
      <w:r>
        <w:rPr>
          <w:color w:val="000000" w:themeColor="text1"/>
        </w:rPr>
        <w:t>Many stressors are also likely to impact more than one ecological process or function. For example,</w:t>
      </w:r>
      <w:r w:rsidRPr="00F87434">
        <w:rPr>
          <w:color w:val="000000" w:themeColor="text1"/>
        </w:rPr>
        <w:t xml:space="preserve"> water availability will influence growth and </w:t>
      </w:r>
      <w:r>
        <w:rPr>
          <w:color w:val="000000" w:themeColor="text1"/>
        </w:rPr>
        <w:t>condition</w:t>
      </w:r>
      <w:r w:rsidRPr="00F87434">
        <w:rPr>
          <w:color w:val="000000" w:themeColor="text1"/>
        </w:rPr>
        <w:t xml:space="preserve">, as well as reproduction, dispersal and </w:t>
      </w:r>
      <w:r>
        <w:rPr>
          <w:color w:val="000000" w:themeColor="text1"/>
        </w:rPr>
        <w:t xml:space="preserve">recruitment </w:t>
      </w:r>
      <w:r w:rsidRPr="00F87434">
        <w:rPr>
          <w:color w:val="000000" w:themeColor="text1"/>
        </w:rPr>
        <w:t xml:space="preserve">establishment. </w:t>
      </w:r>
      <w:r>
        <w:rPr>
          <w:color w:val="000000" w:themeColor="text1"/>
        </w:rPr>
        <w:t xml:space="preserve"> Seedlings tend to be more vulnerable to </w:t>
      </w:r>
      <w:r w:rsidR="00AD6010">
        <w:rPr>
          <w:color w:val="000000" w:themeColor="text1"/>
        </w:rPr>
        <w:t>all</w:t>
      </w:r>
      <w:r>
        <w:rPr>
          <w:color w:val="000000" w:themeColor="text1"/>
        </w:rPr>
        <w:t xml:space="preserve"> the listed stressors and additional management intervention is potentially needed if they are to survive over the first 1 to 2 years. </w:t>
      </w:r>
    </w:p>
    <w:p w14:paraId="6AD51989" w14:textId="66C1C194" w:rsidR="001E7211" w:rsidRDefault="00007A73" w:rsidP="00F802DD">
      <w:pPr>
        <w:pStyle w:val="Heading4"/>
      </w:pPr>
      <w:r>
        <w:t>Data Collection for</w:t>
      </w:r>
      <w:r w:rsidR="001E7211">
        <w:t xml:space="preserve"> Stressors and Confidence Levels</w:t>
      </w:r>
    </w:p>
    <w:p w14:paraId="10C9D347" w14:textId="1BCA6F95" w:rsidR="00243C11" w:rsidRDefault="00243C11" w:rsidP="00243C11">
      <w:pPr>
        <w:pStyle w:val="Para0"/>
        <w:rPr>
          <w:color w:val="000000" w:themeColor="text1"/>
        </w:rPr>
      </w:pPr>
      <w:r>
        <w:rPr>
          <w:color w:val="000000" w:themeColor="text1"/>
        </w:rPr>
        <w:t xml:space="preserve">To understand the main stressors that are occurring at a </w:t>
      </w:r>
      <w:r w:rsidR="00AD6010">
        <w:rPr>
          <w:color w:val="000000" w:themeColor="text1"/>
        </w:rPr>
        <w:t>site</w:t>
      </w:r>
      <w:r>
        <w:rPr>
          <w:color w:val="000000" w:themeColor="text1"/>
        </w:rPr>
        <w:t xml:space="preserve">, a review of existing observational data, or collection of additional data is required. There are a range of data sources and types, ranging from anecdotal information, to measured data sets that can be used to develop an understanding of the stressors acting at a site. Depending on what investigations have taken place at a </w:t>
      </w:r>
      <w:r w:rsidR="00AD6010">
        <w:rPr>
          <w:color w:val="000000" w:themeColor="text1"/>
        </w:rPr>
        <w:t>site</w:t>
      </w:r>
      <w:r>
        <w:rPr>
          <w:color w:val="000000" w:themeColor="text1"/>
        </w:rPr>
        <w:t xml:space="preserve">, a range of different data sources may be available, which will influence the level of confidence, or uncertainty, in understanding which stressors </w:t>
      </w:r>
      <w:r w:rsidR="00393DB8">
        <w:rPr>
          <w:color w:val="000000" w:themeColor="text1"/>
        </w:rPr>
        <w:t xml:space="preserve">are </w:t>
      </w:r>
      <w:r>
        <w:rPr>
          <w:color w:val="000000" w:themeColor="text1"/>
        </w:rPr>
        <w:t xml:space="preserve">relevant to management of Black Box. </w:t>
      </w:r>
    </w:p>
    <w:p w14:paraId="70EF4FCA" w14:textId="7BEA869F" w:rsidR="00EE16BC" w:rsidRDefault="00243C11" w:rsidP="00243C11">
      <w:pPr>
        <w:pStyle w:val="Para0"/>
        <w:rPr>
          <w:color w:val="000000" w:themeColor="text1"/>
        </w:rPr>
      </w:pPr>
      <w:r w:rsidRPr="00FA62DC">
        <w:rPr>
          <w:color w:val="000000" w:themeColor="text1"/>
        </w:rPr>
        <w:fldChar w:fldCharType="begin"/>
      </w:r>
      <w:r>
        <w:rPr>
          <w:color w:val="000000" w:themeColor="text1"/>
        </w:rPr>
        <w:instrText xml:space="preserve"> REF _Ref504555730 \h  \* MERGEFORMAT </w:instrText>
      </w:r>
      <w:r w:rsidRPr="00FA62DC">
        <w:rPr>
          <w:color w:val="000000" w:themeColor="text1"/>
        </w:rPr>
      </w:r>
      <w:r w:rsidRPr="00FA62DC">
        <w:rPr>
          <w:color w:val="000000" w:themeColor="text1"/>
        </w:rPr>
        <w:fldChar w:fldCharType="separate"/>
      </w:r>
      <w:r w:rsidR="00BF015B" w:rsidRPr="00BF015B">
        <w:rPr>
          <w:color w:val="000000" w:themeColor="text1"/>
        </w:rPr>
        <w:t>Table 3</w:t>
      </w:r>
      <w:r w:rsidR="00BF015B" w:rsidRPr="00BF015B">
        <w:rPr>
          <w:color w:val="000000" w:themeColor="text1"/>
        </w:rPr>
        <w:noBreakHyphen/>
        <w:t>6</w:t>
      </w:r>
      <w:r w:rsidRPr="00FA62DC">
        <w:rPr>
          <w:color w:val="000000" w:themeColor="text1"/>
        </w:rPr>
        <w:fldChar w:fldCharType="end"/>
      </w:r>
      <w:r>
        <w:rPr>
          <w:color w:val="000000" w:themeColor="text1"/>
        </w:rPr>
        <w:t xml:space="preserve"> provides a guide to the hierarchy of data sources for providing increasing levels of understanding about the main stressors. This table is intended to provide land managers with a quick reference guide of what they need to understand for their site and the level of effort and technical understanding that might be required for each step.</w:t>
      </w:r>
    </w:p>
    <w:p w14:paraId="04584733" w14:textId="5754069A" w:rsidR="00393DB8" w:rsidRDefault="00393DB8" w:rsidP="00C675C9">
      <w:pPr>
        <w:pStyle w:val="Para0"/>
        <w:rPr>
          <w:color w:val="000000" w:themeColor="text1"/>
        </w:rPr>
      </w:pPr>
      <w:r>
        <w:rPr>
          <w:color w:val="000000" w:themeColor="text1"/>
        </w:rPr>
        <w:t xml:space="preserve">The criticality of each of these data types in validating a conceptual model for the site should be used to determine whether the confidence level is sufficient, or whether further investigation is required to improve the confidence level. For example, if the conceptual model for the site is heavily reliant on </w:t>
      </w:r>
      <w:r w:rsidR="00804425">
        <w:rPr>
          <w:color w:val="000000" w:themeColor="text1"/>
        </w:rPr>
        <w:t xml:space="preserve">understanding </w:t>
      </w:r>
      <w:r>
        <w:rPr>
          <w:color w:val="000000" w:themeColor="text1"/>
        </w:rPr>
        <w:t xml:space="preserve">groundwater depth and salinity </w:t>
      </w:r>
      <w:r w:rsidR="00804425">
        <w:rPr>
          <w:color w:val="000000" w:themeColor="text1"/>
        </w:rPr>
        <w:t xml:space="preserve">interactions throughout the site, a </w:t>
      </w:r>
      <w:r w:rsidR="00DD4752">
        <w:rPr>
          <w:color w:val="000000" w:themeColor="text1"/>
        </w:rPr>
        <w:t>moderate/</w:t>
      </w:r>
      <w:r w:rsidR="00804425">
        <w:rPr>
          <w:color w:val="000000" w:themeColor="text1"/>
        </w:rPr>
        <w:t xml:space="preserve">high level of confidence should be provided for those data types. </w:t>
      </w:r>
      <w:r>
        <w:rPr>
          <w:color w:val="000000" w:themeColor="text1"/>
        </w:rPr>
        <w:t xml:space="preserve">The overall confidence level should be determined </w:t>
      </w:r>
      <w:r w:rsidR="00804425">
        <w:rPr>
          <w:color w:val="000000" w:themeColor="text1"/>
        </w:rPr>
        <w:t>in relation to the</w:t>
      </w:r>
      <w:r>
        <w:rPr>
          <w:color w:val="000000" w:themeColor="text1"/>
        </w:rPr>
        <w:t xml:space="preserve"> overall conceptual understanding that is provided throughout the site. </w:t>
      </w:r>
    </w:p>
    <w:p w14:paraId="4B167204" w14:textId="56D94ACA" w:rsidR="00EE16BC" w:rsidRDefault="00EE16BC" w:rsidP="00C675C9">
      <w:pPr>
        <w:pStyle w:val="Para0"/>
        <w:rPr>
          <w:color w:val="000000" w:themeColor="text1"/>
        </w:rPr>
      </w:pPr>
      <w:r>
        <w:rPr>
          <w:color w:val="000000" w:themeColor="text1"/>
        </w:rPr>
        <w:t xml:space="preserve">Refer </w:t>
      </w:r>
      <w:r w:rsidR="005A4E06">
        <w:rPr>
          <w:color w:val="000000" w:themeColor="text1"/>
        </w:rPr>
        <w:t>chapter</w:t>
      </w:r>
      <w:r>
        <w:rPr>
          <w:color w:val="000000" w:themeColor="text1"/>
        </w:rPr>
        <w:t xml:space="preserve"> </w:t>
      </w:r>
      <w:r w:rsidRPr="00C675C9">
        <w:rPr>
          <w:color w:val="000000" w:themeColor="text1"/>
        </w:rPr>
        <w:fldChar w:fldCharType="begin"/>
      </w:r>
      <w:r>
        <w:rPr>
          <w:color w:val="000000" w:themeColor="text1"/>
        </w:rPr>
        <w:instrText xml:space="preserve"> REF _Ref505673858 \r \h </w:instrText>
      </w:r>
      <w:r w:rsidR="00C675C9">
        <w:rPr>
          <w:color w:val="000000" w:themeColor="text1"/>
        </w:rPr>
        <w:instrText xml:space="preserve"> \* MERGEFORMAT </w:instrText>
      </w:r>
      <w:r w:rsidRPr="00C675C9">
        <w:rPr>
          <w:color w:val="000000" w:themeColor="text1"/>
        </w:rPr>
      </w:r>
      <w:r w:rsidRPr="00C675C9">
        <w:rPr>
          <w:color w:val="000000" w:themeColor="text1"/>
        </w:rPr>
        <w:fldChar w:fldCharType="separate"/>
      </w:r>
      <w:r w:rsidR="00BF015B">
        <w:rPr>
          <w:color w:val="000000" w:themeColor="text1"/>
        </w:rPr>
        <w:t>3.2</w:t>
      </w:r>
      <w:r w:rsidRPr="00C675C9">
        <w:rPr>
          <w:color w:val="000000" w:themeColor="text1"/>
        </w:rPr>
        <w:fldChar w:fldCharType="end"/>
      </w:r>
      <w:r>
        <w:rPr>
          <w:color w:val="000000" w:themeColor="text1"/>
        </w:rPr>
        <w:t xml:space="preserve"> for an explanation of the confidence assessment colour coding and explanation of what confidence levels are appropriate for different types of sites.</w:t>
      </w:r>
    </w:p>
    <w:p w14:paraId="04865404" w14:textId="25F7D9C5" w:rsidR="00243C11" w:rsidRPr="00C675C9" w:rsidRDefault="00243C11" w:rsidP="00C675C9">
      <w:pPr>
        <w:pStyle w:val="Para0"/>
        <w:rPr>
          <w:color w:val="000000" w:themeColor="text1"/>
        </w:rPr>
      </w:pPr>
      <w:r w:rsidRPr="00C675C9">
        <w:rPr>
          <w:color w:val="000000" w:themeColor="text1"/>
        </w:rPr>
        <w:t xml:space="preserve">For larger or more complex sites, or those with many stakeholders, a workshopped process may be helpful for identifying the key defining processes (and stressors) affecting Black Box condition. Technical input from a range of relevant disciplines with knowledge of the site (e.g. ecology, hydrogeology, hydrology, river operations etc.) should aim to build a common understanding of the key processes operating at the site (presented in the form of a conceptual model), the drivers or stressors responsible, the degree to which each of these may influence the site, and where uncertainty and or knowledge gaps (and thus risk) apply. </w:t>
      </w:r>
    </w:p>
    <w:p w14:paraId="0A56B219" w14:textId="576551C8" w:rsidR="00681FFA" w:rsidRDefault="006E1C67" w:rsidP="00C675C9">
      <w:pPr>
        <w:pStyle w:val="Para0"/>
        <w:rPr>
          <w:color w:val="000000" w:themeColor="text1"/>
        </w:rPr>
        <w:sectPr w:rsidR="00681FFA" w:rsidSect="00681FFA">
          <w:pgSz w:w="11906" w:h="16838" w:code="9"/>
          <w:pgMar w:top="567" w:right="851" w:bottom="851" w:left="1134" w:header="567" w:footer="370" w:gutter="0"/>
          <w:cols w:space="0"/>
          <w:formProt w:val="0"/>
          <w:docGrid w:linePitch="360"/>
        </w:sectPr>
      </w:pPr>
      <w:r w:rsidRPr="00694D77">
        <w:rPr>
          <w:color w:val="000000" w:themeColor="text1"/>
        </w:rPr>
        <w:t>.</w:t>
      </w:r>
    </w:p>
    <w:p w14:paraId="2397C17A" w14:textId="44F9A3EC" w:rsidR="004B756B" w:rsidRDefault="004B756B" w:rsidP="00890425">
      <w:pPr>
        <w:pStyle w:val="Caption"/>
        <w:rPr>
          <w:color w:val="000000" w:themeColor="text1"/>
        </w:rPr>
      </w:pPr>
      <w:bookmarkStart w:id="99" w:name="_Ref504555730"/>
      <w:bookmarkStart w:id="100" w:name="_Toc514068773"/>
      <w:r w:rsidRPr="001D32F6">
        <w:t xml:space="preserve">Table </w:t>
      </w:r>
      <w:r w:rsidR="002D4BCF">
        <w:fldChar w:fldCharType="begin"/>
      </w:r>
      <w:r w:rsidR="002D4BCF">
        <w:instrText xml:space="preserve"> STYLEREF 1 \s </w:instrText>
      </w:r>
      <w:r w:rsidR="002D4BCF">
        <w:fldChar w:fldCharType="separate"/>
      </w:r>
      <w:r w:rsidR="00BF015B">
        <w:rPr>
          <w:noProof/>
        </w:rPr>
        <w:t>3</w:t>
      </w:r>
      <w:r w:rsidR="002D4BCF">
        <w:fldChar w:fldCharType="end"/>
      </w:r>
      <w:r w:rsidR="002D4BCF">
        <w:noBreakHyphen/>
      </w:r>
      <w:r w:rsidR="002D4BCF">
        <w:fldChar w:fldCharType="begin"/>
      </w:r>
      <w:r w:rsidR="002D4BCF">
        <w:instrText xml:space="preserve"> SEQ Table \* ARABIC \s 1 </w:instrText>
      </w:r>
      <w:r w:rsidR="002D4BCF">
        <w:fldChar w:fldCharType="separate"/>
      </w:r>
      <w:r w:rsidR="00BF015B">
        <w:rPr>
          <w:noProof/>
        </w:rPr>
        <w:t>6</w:t>
      </w:r>
      <w:r w:rsidR="002D4BCF">
        <w:fldChar w:fldCharType="end"/>
      </w:r>
      <w:bookmarkEnd w:id="99"/>
      <w:r w:rsidRPr="001D32F6">
        <w:t xml:space="preserve">: </w:t>
      </w:r>
      <w:r w:rsidRPr="00DF4A1A">
        <w:t xml:space="preserve">Hierarchy of data sources for providing increasing levels of understanding about the main stressors to Black Box at a </w:t>
      </w:r>
      <w:r w:rsidR="00AD6010" w:rsidRPr="00DF4A1A">
        <w:t>site</w:t>
      </w:r>
      <w:bookmarkEnd w:id="100"/>
    </w:p>
    <w:tbl>
      <w:tblPr>
        <w:tblStyle w:val="TableGrid"/>
        <w:tblW w:w="4812"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931"/>
        <w:gridCol w:w="1634"/>
        <w:gridCol w:w="1935"/>
        <w:gridCol w:w="1832"/>
        <w:gridCol w:w="1404"/>
        <w:gridCol w:w="1660"/>
        <w:gridCol w:w="1934"/>
        <w:gridCol w:w="2124"/>
        <w:gridCol w:w="1986"/>
        <w:gridCol w:w="1697"/>
        <w:gridCol w:w="1702"/>
        <w:gridCol w:w="1702"/>
      </w:tblGrid>
      <w:tr w:rsidR="00F22225" w14:paraId="029A4660" w14:textId="024872F4" w:rsidTr="00F22225">
        <w:trPr>
          <w:tblHeader/>
        </w:trPr>
        <w:tc>
          <w:tcPr>
            <w:tcW w:w="448" w:type="pct"/>
            <w:shd w:val="clear" w:color="auto" w:fill="00338D"/>
            <w:vAlign w:val="center"/>
          </w:tcPr>
          <w:p w14:paraId="61F7DC9F" w14:textId="413C3674" w:rsidR="00C76F3D" w:rsidRDefault="00C76F3D" w:rsidP="00E4655B">
            <w:pPr>
              <w:pStyle w:val="Tableheading"/>
              <w:jc w:val="center"/>
            </w:pPr>
            <w:r>
              <w:t>Confidence level</w:t>
            </w:r>
          </w:p>
        </w:tc>
        <w:tc>
          <w:tcPr>
            <w:tcW w:w="379" w:type="pct"/>
            <w:tcBorders>
              <w:right w:val="single" w:sz="4" w:space="0" w:color="FFFFFF" w:themeColor="background1"/>
            </w:tcBorders>
            <w:shd w:val="clear" w:color="auto" w:fill="00338D"/>
            <w:vAlign w:val="center"/>
          </w:tcPr>
          <w:p w14:paraId="51E6EEB0" w14:textId="47A78A0A" w:rsidR="00C76F3D" w:rsidRDefault="00C76F3D" w:rsidP="00C87406">
            <w:pPr>
              <w:pStyle w:val="Tableheading"/>
              <w:jc w:val="center"/>
            </w:pPr>
            <w:r>
              <w:t>Confidence Score</w:t>
            </w:r>
          </w:p>
        </w:tc>
        <w:tc>
          <w:tcPr>
            <w:tcW w:w="449" w:type="pct"/>
            <w:tcBorders>
              <w:left w:val="single" w:sz="4" w:space="0" w:color="FFFFFF" w:themeColor="background1"/>
              <w:right w:val="single" w:sz="4" w:space="0" w:color="FFFFFF" w:themeColor="background1"/>
            </w:tcBorders>
            <w:shd w:val="clear" w:color="auto" w:fill="00338D"/>
            <w:vAlign w:val="center"/>
          </w:tcPr>
          <w:p w14:paraId="235FA883" w14:textId="219F3919" w:rsidR="00C76F3D" w:rsidRDefault="00C76F3D" w:rsidP="00E4655B">
            <w:pPr>
              <w:pStyle w:val="Tableheading"/>
              <w:jc w:val="center"/>
            </w:pPr>
            <w:r>
              <w:t>Groundwater Depth</w:t>
            </w:r>
          </w:p>
        </w:tc>
        <w:tc>
          <w:tcPr>
            <w:tcW w:w="425" w:type="pct"/>
            <w:tcBorders>
              <w:left w:val="single" w:sz="4" w:space="0" w:color="FFFFFF" w:themeColor="background1"/>
              <w:right w:val="single" w:sz="4" w:space="0" w:color="FFFFFF" w:themeColor="background1"/>
            </w:tcBorders>
            <w:shd w:val="clear" w:color="auto" w:fill="00338D"/>
            <w:vAlign w:val="center"/>
          </w:tcPr>
          <w:p w14:paraId="27D06383" w14:textId="2CA6B698" w:rsidR="00C76F3D" w:rsidRDefault="00C76F3D" w:rsidP="00E4655B">
            <w:pPr>
              <w:pStyle w:val="Tableheading"/>
              <w:jc w:val="center"/>
            </w:pPr>
            <w:r>
              <w:t>Groundwater Salinity</w:t>
            </w:r>
          </w:p>
        </w:tc>
        <w:tc>
          <w:tcPr>
            <w:tcW w:w="326" w:type="pct"/>
            <w:tcBorders>
              <w:left w:val="single" w:sz="4" w:space="0" w:color="FFFFFF" w:themeColor="background1"/>
              <w:right w:val="single" w:sz="4" w:space="0" w:color="FFFFFF" w:themeColor="background1"/>
            </w:tcBorders>
            <w:shd w:val="clear" w:color="auto" w:fill="00338D"/>
            <w:vAlign w:val="center"/>
          </w:tcPr>
          <w:p w14:paraId="00865BBB" w14:textId="519239E8" w:rsidR="00C76F3D" w:rsidRDefault="00C76F3D" w:rsidP="00E4655B">
            <w:pPr>
              <w:pStyle w:val="Tableheading"/>
              <w:jc w:val="center"/>
            </w:pPr>
            <w:r>
              <w:t>Soil salinity</w:t>
            </w:r>
          </w:p>
        </w:tc>
        <w:tc>
          <w:tcPr>
            <w:tcW w:w="385" w:type="pct"/>
            <w:tcBorders>
              <w:left w:val="single" w:sz="4" w:space="0" w:color="FFFFFF" w:themeColor="background1"/>
            </w:tcBorders>
            <w:shd w:val="clear" w:color="auto" w:fill="00338D"/>
            <w:vAlign w:val="center"/>
          </w:tcPr>
          <w:p w14:paraId="3D79BED2" w14:textId="4F8124EB" w:rsidR="00C76F3D" w:rsidRDefault="00C76F3D" w:rsidP="00E4655B">
            <w:pPr>
              <w:pStyle w:val="Tableheading"/>
              <w:jc w:val="center"/>
            </w:pPr>
            <w:r>
              <w:t>Soil Moisture in the upper surface</w:t>
            </w:r>
          </w:p>
        </w:tc>
        <w:tc>
          <w:tcPr>
            <w:tcW w:w="449" w:type="pct"/>
            <w:tcBorders>
              <w:left w:val="single" w:sz="4" w:space="0" w:color="FFFFFF" w:themeColor="background1"/>
            </w:tcBorders>
            <w:shd w:val="clear" w:color="auto" w:fill="00338D"/>
            <w:vAlign w:val="center"/>
          </w:tcPr>
          <w:p w14:paraId="61B24EC6" w14:textId="4C906209" w:rsidR="00C76F3D" w:rsidRDefault="00C76F3D" w:rsidP="00E4655B">
            <w:pPr>
              <w:pStyle w:val="Tableheading"/>
              <w:jc w:val="center"/>
            </w:pPr>
            <w:r>
              <w:t>Soil Structure (related to salt leaching and movement of groundwater)</w:t>
            </w:r>
          </w:p>
        </w:tc>
        <w:tc>
          <w:tcPr>
            <w:tcW w:w="493" w:type="pct"/>
            <w:tcBorders>
              <w:left w:val="single" w:sz="4" w:space="0" w:color="FFFFFF" w:themeColor="background1"/>
            </w:tcBorders>
            <w:shd w:val="clear" w:color="auto" w:fill="00338D"/>
            <w:vAlign w:val="center"/>
          </w:tcPr>
          <w:p w14:paraId="2DB92229" w14:textId="3FE1AF65" w:rsidR="00C76F3D" w:rsidRDefault="00C76F3D" w:rsidP="00E4655B">
            <w:pPr>
              <w:pStyle w:val="Tableheading"/>
              <w:jc w:val="center"/>
            </w:pPr>
            <w:r>
              <w:t>Potential for lateral recharge</w:t>
            </w:r>
          </w:p>
        </w:tc>
        <w:tc>
          <w:tcPr>
            <w:tcW w:w="461" w:type="pct"/>
            <w:tcBorders>
              <w:left w:val="single" w:sz="4" w:space="0" w:color="FFFFFF" w:themeColor="background1"/>
              <w:right w:val="single" w:sz="4" w:space="0" w:color="FFFFFF" w:themeColor="background1"/>
            </w:tcBorders>
            <w:shd w:val="clear" w:color="auto" w:fill="00338D"/>
            <w:vAlign w:val="center"/>
          </w:tcPr>
          <w:p w14:paraId="2E0FBA33" w14:textId="0289939C" w:rsidR="00C76F3D" w:rsidRDefault="00C76F3D" w:rsidP="00E4655B">
            <w:pPr>
              <w:pStyle w:val="Tableheading"/>
              <w:jc w:val="center"/>
            </w:pPr>
            <w:r>
              <w:t>Flooding Frequency</w:t>
            </w:r>
          </w:p>
        </w:tc>
        <w:tc>
          <w:tcPr>
            <w:tcW w:w="394" w:type="pct"/>
            <w:tcBorders>
              <w:left w:val="single" w:sz="4" w:space="0" w:color="FFFFFF" w:themeColor="background1"/>
              <w:right w:val="single" w:sz="4" w:space="0" w:color="FFFFFF" w:themeColor="background1"/>
            </w:tcBorders>
            <w:shd w:val="clear" w:color="auto" w:fill="00338D"/>
            <w:vAlign w:val="center"/>
          </w:tcPr>
          <w:p w14:paraId="1374768F" w14:textId="7BF7A43A" w:rsidR="00C76F3D" w:rsidRDefault="00C76F3D" w:rsidP="00E4655B">
            <w:pPr>
              <w:pStyle w:val="Tableheading"/>
              <w:jc w:val="center"/>
            </w:pPr>
            <w:r>
              <w:t>Presence of paleo channels</w:t>
            </w:r>
          </w:p>
        </w:tc>
        <w:tc>
          <w:tcPr>
            <w:tcW w:w="395" w:type="pct"/>
            <w:tcBorders>
              <w:left w:val="single" w:sz="4" w:space="0" w:color="FFFFFF" w:themeColor="background1"/>
            </w:tcBorders>
            <w:shd w:val="clear" w:color="auto" w:fill="00338D"/>
            <w:vAlign w:val="center"/>
          </w:tcPr>
          <w:p w14:paraId="3609D5BD" w14:textId="7EAFE202" w:rsidR="00C76F3D" w:rsidRDefault="00C76F3D" w:rsidP="00E4655B">
            <w:pPr>
              <w:pStyle w:val="Tableheading"/>
              <w:jc w:val="center"/>
            </w:pPr>
            <w:r>
              <w:t>Accumulation of rainfall</w:t>
            </w:r>
          </w:p>
        </w:tc>
        <w:tc>
          <w:tcPr>
            <w:tcW w:w="395" w:type="pct"/>
            <w:tcBorders>
              <w:left w:val="single" w:sz="4" w:space="0" w:color="FFFFFF" w:themeColor="background1"/>
            </w:tcBorders>
            <w:shd w:val="clear" w:color="auto" w:fill="00338D"/>
            <w:vAlign w:val="center"/>
          </w:tcPr>
          <w:p w14:paraId="306EAC65" w14:textId="6F5BF636" w:rsidR="00C76F3D" w:rsidRDefault="00C76F3D" w:rsidP="00E4655B">
            <w:pPr>
              <w:pStyle w:val="Tableheading"/>
              <w:jc w:val="center"/>
            </w:pPr>
            <w:r>
              <w:t>Grazing or other land disturbance</w:t>
            </w:r>
          </w:p>
        </w:tc>
      </w:tr>
      <w:tr w:rsidR="00F22225" w14:paraId="3111D0CD" w14:textId="20D8698D" w:rsidTr="00F22225">
        <w:tc>
          <w:tcPr>
            <w:tcW w:w="448" w:type="pct"/>
            <w:shd w:val="clear" w:color="auto" w:fill="FFFF00"/>
            <w:vAlign w:val="center"/>
          </w:tcPr>
          <w:p w14:paraId="7AE3C44C" w14:textId="12B86009" w:rsidR="00C76F3D" w:rsidRDefault="00C76F3D" w:rsidP="00E4655B">
            <w:pPr>
              <w:pStyle w:val="Tabletext"/>
            </w:pPr>
            <w:r>
              <w:t>Low: Anecdotal or regional level of information, providing a rough estimate of site conditions</w:t>
            </w:r>
            <w:r w:rsidR="00F012F1">
              <w:t>.</w:t>
            </w:r>
          </w:p>
        </w:tc>
        <w:tc>
          <w:tcPr>
            <w:tcW w:w="379" w:type="pct"/>
            <w:shd w:val="clear" w:color="auto" w:fill="FFFF00"/>
            <w:vAlign w:val="center"/>
          </w:tcPr>
          <w:p w14:paraId="738A85C6" w14:textId="556ECEB5" w:rsidR="00C76F3D" w:rsidRDefault="00C76F3D" w:rsidP="00E230DF">
            <w:pPr>
              <w:pStyle w:val="Tabletext"/>
              <w:jc w:val="center"/>
            </w:pPr>
            <w:r>
              <w:t>1</w:t>
            </w:r>
          </w:p>
        </w:tc>
        <w:tc>
          <w:tcPr>
            <w:tcW w:w="449" w:type="pct"/>
            <w:vAlign w:val="center"/>
          </w:tcPr>
          <w:p w14:paraId="5A93A51B" w14:textId="77777777" w:rsidR="00C76F3D" w:rsidRDefault="00C76F3D" w:rsidP="00E4655B">
            <w:pPr>
              <w:pStyle w:val="Tabletext"/>
              <w:rPr>
                <w:i/>
              </w:rPr>
            </w:pPr>
            <w:r w:rsidRPr="008619DA">
              <w:t xml:space="preserve">Regional groundwater maps: </w:t>
            </w:r>
            <w:r w:rsidRPr="00DF4A1A">
              <w:rPr>
                <w:i/>
              </w:rPr>
              <w:t xml:space="preserve">Provides only a </w:t>
            </w:r>
            <w:r>
              <w:rPr>
                <w:i/>
              </w:rPr>
              <w:t>coarse</w:t>
            </w:r>
            <w:r w:rsidRPr="00DF4A1A">
              <w:rPr>
                <w:i/>
              </w:rPr>
              <w:t xml:space="preserve"> estimate of GW depth at the site</w:t>
            </w:r>
          </w:p>
          <w:p w14:paraId="243ADFEA" w14:textId="2F7DA709" w:rsidR="00C76F3D" w:rsidRPr="00826E9F" w:rsidRDefault="00C76F3D" w:rsidP="00826E9F">
            <w:pPr>
              <w:pStyle w:val="Tabletext"/>
            </w:pPr>
            <w:r w:rsidRPr="007A4B74">
              <w:t xml:space="preserve">One push tube test </w:t>
            </w:r>
            <w:r>
              <w:t>at the site</w:t>
            </w:r>
          </w:p>
        </w:tc>
        <w:tc>
          <w:tcPr>
            <w:tcW w:w="425" w:type="pct"/>
            <w:vAlign w:val="center"/>
          </w:tcPr>
          <w:p w14:paraId="01ACDC78" w14:textId="49E46E03" w:rsidR="00C76F3D" w:rsidRDefault="00C76F3D" w:rsidP="00E4655B">
            <w:pPr>
              <w:pStyle w:val="Tabletext"/>
            </w:pPr>
            <w:r>
              <w:t>Regional groundwater salinity maps</w:t>
            </w:r>
          </w:p>
        </w:tc>
        <w:tc>
          <w:tcPr>
            <w:tcW w:w="326" w:type="pct"/>
            <w:vAlign w:val="center"/>
          </w:tcPr>
          <w:p w14:paraId="5F928D82" w14:textId="691A0637" w:rsidR="00C76F3D" w:rsidRDefault="00C76F3D" w:rsidP="00E4655B">
            <w:pPr>
              <w:pStyle w:val="Tabletext"/>
            </w:pPr>
            <w:r>
              <w:t>Regional soil salinity maps</w:t>
            </w:r>
          </w:p>
        </w:tc>
        <w:tc>
          <w:tcPr>
            <w:tcW w:w="385" w:type="pct"/>
            <w:vAlign w:val="center"/>
          </w:tcPr>
          <w:p w14:paraId="144B8AA0" w14:textId="6A5F9A5B" w:rsidR="00C76F3D" w:rsidRDefault="00C76F3D" w:rsidP="00E4655B">
            <w:pPr>
              <w:pStyle w:val="Tabletext"/>
            </w:pPr>
            <w:r>
              <w:t>Regional soil moisture maps</w:t>
            </w:r>
          </w:p>
        </w:tc>
        <w:tc>
          <w:tcPr>
            <w:tcW w:w="449" w:type="pct"/>
            <w:vAlign w:val="center"/>
          </w:tcPr>
          <w:p w14:paraId="594DE86B" w14:textId="6DDA78D4" w:rsidR="00C76F3D" w:rsidRDefault="00C76F3D" w:rsidP="00E4655B">
            <w:pPr>
              <w:pStyle w:val="Tabletext"/>
            </w:pPr>
            <w:r>
              <w:t xml:space="preserve">Regional soil classification maps: </w:t>
            </w:r>
            <w:r w:rsidRPr="00DF4A1A">
              <w:rPr>
                <w:i/>
              </w:rPr>
              <w:t>Provide a coarse estimate of soil profiles at the site</w:t>
            </w:r>
          </w:p>
        </w:tc>
        <w:tc>
          <w:tcPr>
            <w:tcW w:w="493" w:type="pct"/>
            <w:vAlign w:val="center"/>
          </w:tcPr>
          <w:p w14:paraId="33280DC4" w14:textId="125257AA" w:rsidR="00C76F3D" w:rsidRDefault="00C76F3D" w:rsidP="00E4655B">
            <w:pPr>
              <w:pStyle w:val="Tabletext"/>
            </w:pPr>
            <w:r>
              <w:t>Assume a zone of lateral recharge, from published literature reporting monitoring at other sites (e.g. 30m, 50m, 100m)</w:t>
            </w:r>
          </w:p>
        </w:tc>
        <w:tc>
          <w:tcPr>
            <w:tcW w:w="461" w:type="pct"/>
            <w:vAlign w:val="center"/>
          </w:tcPr>
          <w:p w14:paraId="7563221C" w14:textId="77777777" w:rsidR="00C76F3D" w:rsidRDefault="00C76F3D" w:rsidP="00E4655B">
            <w:pPr>
              <w:pStyle w:val="Tabletext"/>
            </w:pPr>
            <w:r>
              <w:t xml:space="preserve">Anecdotal evidence of prior flood event timing and water levels. </w:t>
            </w:r>
          </w:p>
          <w:p w14:paraId="07DD83FB" w14:textId="6D7D73C7" w:rsidR="00C76F3D" w:rsidRDefault="00C76F3D" w:rsidP="00E4655B">
            <w:pPr>
              <w:pStyle w:val="Tabletext"/>
            </w:pPr>
            <w:r>
              <w:t>Water observations from space data</w:t>
            </w:r>
          </w:p>
        </w:tc>
        <w:tc>
          <w:tcPr>
            <w:tcW w:w="394" w:type="pct"/>
            <w:vAlign w:val="center"/>
          </w:tcPr>
          <w:p w14:paraId="54425B65" w14:textId="2484E43D" w:rsidR="00C76F3D" w:rsidRDefault="00C76F3D" w:rsidP="00E4655B">
            <w:pPr>
              <w:pStyle w:val="Tabletext"/>
            </w:pPr>
            <w:r>
              <w:t>Regional geological mapping</w:t>
            </w:r>
          </w:p>
        </w:tc>
        <w:tc>
          <w:tcPr>
            <w:tcW w:w="395" w:type="pct"/>
            <w:vAlign w:val="center"/>
          </w:tcPr>
          <w:p w14:paraId="2CA82670" w14:textId="47914A19" w:rsidR="00C76F3D" w:rsidRDefault="00C76F3D" w:rsidP="00E4655B">
            <w:pPr>
              <w:pStyle w:val="Tabletext"/>
            </w:pPr>
            <w:r>
              <w:t>Anecdotal evidence of where runoff pools following large rain events</w:t>
            </w:r>
          </w:p>
        </w:tc>
        <w:tc>
          <w:tcPr>
            <w:tcW w:w="395" w:type="pct"/>
            <w:vAlign w:val="center"/>
          </w:tcPr>
          <w:p w14:paraId="2955FBF3" w14:textId="76D36979" w:rsidR="00C76F3D" w:rsidRDefault="00C76F3D" w:rsidP="00E4655B">
            <w:pPr>
              <w:pStyle w:val="Tabletext"/>
            </w:pPr>
            <w:r>
              <w:t>Anecdotal evidence of grazing/land use history</w:t>
            </w:r>
          </w:p>
        </w:tc>
      </w:tr>
      <w:tr w:rsidR="00F22225" w14:paraId="338B70E8" w14:textId="62AF55D1" w:rsidTr="00F22225">
        <w:tc>
          <w:tcPr>
            <w:tcW w:w="448" w:type="pct"/>
            <w:shd w:val="clear" w:color="auto" w:fill="FFC000"/>
            <w:vAlign w:val="center"/>
          </w:tcPr>
          <w:p w14:paraId="718AE095" w14:textId="39FE6D19" w:rsidR="00C76F3D" w:rsidRDefault="00C76F3D" w:rsidP="00E4655B">
            <w:pPr>
              <w:pStyle w:val="Tabletext"/>
            </w:pPr>
            <w:r>
              <w:t>Low/Moderate: Measured data from local sources, providing a better estimate of site conditions</w:t>
            </w:r>
            <w:r w:rsidR="00F012F1">
              <w:t>.</w:t>
            </w:r>
          </w:p>
        </w:tc>
        <w:tc>
          <w:tcPr>
            <w:tcW w:w="379" w:type="pct"/>
            <w:shd w:val="clear" w:color="auto" w:fill="FFC000"/>
            <w:vAlign w:val="center"/>
          </w:tcPr>
          <w:p w14:paraId="1384168D" w14:textId="6C81FEA0" w:rsidR="00C76F3D" w:rsidRDefault="00C76F3D" w:rsidP="00E230DF">
            <w:pPr>
              <w:pStyle w:val="Tabletext"/>
              <w:jc w:val="center"/>
            </w:pPr>
            <w:r>
              <w:t>2</w:t>
            </w:r>
          </w:p>
        </w:tc>
        <w:tc>
          <w:tcPr>
            <w:tcW w:w="449" w:type="pct"/>
            <w:vAlign w:val="center"/>
          </w:tcPr>
          <w:p w14:paraId="15036E49" w14:textId="77777777" w:rsidR="00C76F3D" w:rsidRDefault="00C76F3D" w:rsidP="00E4655B">
            <w:pPr>
              <w:pStyle w:val="Tabletext"/>
              <w:rPr>
                <w:i/>
              </w:rPr>
            </w:pPr>
            <w:r w:rsidRPr="008619DA">
              <w:t xml:space="preserve">Groundwater depth map interpolated from local groundwater bores: </w:t>
            </w:r>
            <w:r w:rsidRPr="00DF4A1A">
              <w:rPr>
                <w:i/>
              </w:rPr>
              <w:t>Provides a better estimate of GW depth at the site</w:t>
            </w:r>
          </w:p>
          <w:p w14:paraId="4D61DD0A" w14:textId="11E35F39" w:rsidR="00C76F3D" w:rsidRPr="008619DA" w:rsidRDefault="00C76F3D" w:rsidP="00E4655B">
            <w:pPr>
              <w:pStyle w:val="Tabletext"/>
            </w:pPr>
            <w:r>
              <w:rPr>
                <w:i/>
              </w:rPr>
              <w:t>Several push tube tests at the site</w:t>
            </w:r>
          </w:p>
        </w:tc>
        <w:tc>
          <w:tcPr>
            <w:tcW w:w="425" w:type="pct"/>
            <w:vAlign w:val="center"/>
          </w:tcPr>
          <w:p w14:paraId="3E699CDA" w14:textId="37FEDF5A" w:rsidR="00C76F3D" w:rsidRDefault="00C76F3D" w:rsidP="00E4655B">
            <w:pPr>
              <w:pStyle w:val="Tabletext"/>
            </w:pPr>
            <w:r>
              <w:t>Groundwater salinity map interpolated from local groundwater bores</w:t>
            </w:r>
          </w:p>
        </w:tc>
        <w:tc>
          <w:tcPr>
            <w:tcW w:w="326" w:type="pct"/>
            <w:vAlign w:val="center"/>
          </w:tcPr>
          <w:p w14:paraId="74B33753" w14:textId="183894E5" w:rsidR="00C76F3D" w:rsidRDefault="00C76F3D" w:rsidP="00E4655B">
            <w:pPr>
              <w:pStyle w:val="Tabletext"/>
            </w:pPr>
            <w:r>
              <w:t>Soil Salinity derived from AEM inversion grids</w:t>
            </w:r>
          </w:p>
        </w:tc>
        <w:tc>
          <w:tcPr>
            <w:tcW w:w="385" w:type="pct"/>
            <w:vAlign w:val="center"/>
          </w:tcPr>
          <w:p w14:paraId="1A5E6D15" w14:textId="088AB3DF" w:rsidR="00C76F3D" w:rsidRDefault="00C76F3D" w:rsidP="00E4655B">
            <w:pPr>
              <w:pStyle w:val="Tabletext"/>
            </w:pPr>
            <w:r>
              <w:t>Anecdotal evidence of soil wetness/dryness at the site</w:t>
            </w:r>
          </w:p>
        </w:tc>
        <w:tc>
          <w:tcPr>
            <w:tcW w:w="449" w:type="pct"/>
            <w:vAlign w:val="center"/>
          </w:tcPr>
          <w:p w14:paraId="7C542F5E" w14:textId="51C0F904" w:rsidR="00C76F3D" w:rsidRDefault="00C76F3D" w:rsidP="00E4655B">
            <w:pPr>
              <w:pStyle w:val="Tabletext"/>
            </w:pPr>
            <w:r>
              <w:t>Soil classification map interpolated from local geotechnical testing</w:t>
            </w:r>
          </w:p>
        </w:tc>
        <w:tc>
          <w:tcPr>
            <w:tcW w:w="493" w:type="pct"/>
            <w:vAlign w:val="center"/>
          </w:tcPr>
          <w:p w14:paraId="2B7C31F7" w14:textId="2CEF8E03" w:rsidR="00C76F3D" w:rsidRDefault="00F22225" w:rsidP="006D6D39">
            <w:pPr>
              <w:pStyle w:val="Tabletext"/>
              <w:jc w:val="center"/>
            </w:pPr>
            <w:r>
              <w:t>-</w:t>
            </w:r>
          </w:p>
        </w:tc>
        <w:tc>
          <w:tcPr>
            <w:tcW w:w="461" w:type="pct"/>
            <w:vAlign w:val="center"/>
          </w:tcPr>
          <w:p w14:paraId="686E8A60" w14:textId="29B630AE" w:rsidR="00C76F3D" w:rsidRDefault="00C76F3D" w:rsidP="007A4B74">
            <w:pPr>
              <w:pStyle w:val="Tabletext"/>
            </w:pPr>
            <w:r>
              <w:t>Historical records of weir pool levels at River Locks, extrapolated to the site</w:t>
            </w:r>
          </w:p>
        </w:tc>
        <w:tc>
          <w:tcPr>
            <w:tcW w:w="394" w:type="pct"/>
            <w:vAlign w:val="center"/>
          </w:tcPr>
          <w:p w14:paraId="29A547EB" w14:textId="5F348EB6" w:rsidR="00C76F3D" w:rsidRDefault="00F22225" w:rsidP="00E4655B">
            <w:pPr>
              <w:pStyle w:val="Tabletext"/>
              <w:jc w:val="center"/>
            </w:pPr>
            <w:r>
              <w:t>-</w:t>
            </w:r>
          </w:p>
        </w:tc>
        <w:tc>
          <w:tcPr>
            <w:tcW w:w="395" w:type="pct"/>
            <w:vAlign w:val="center"/>
          </w:tcPr>
          <w:p w14:paraId="66A35821" w14:textId="13956840" w:rsidR="00C76F3D" w:rsidRDefault="00C76F3D" w:rsidP="007A4B74">
            <w:pPr>
              <w:pStyle w:val="Para1narrowarrow"/>
              <w:numPr>
                <w:ilvl w:val="0"/>
                <w:numId w:val="0"/>
              </w:numPr>
            </w:pPr>
            <w:r>
              <w:t xml:space="preserve"> Interpretation of remote sensing data</w:t>
            </w:r>
          </w:p>
        </w:tc>
        <w:tc>
          <w:tcPr>
            <w:tcW w:w="395" w:type="pct"/>
            <w:vAlign w:val="center"/>
          </w:tcPr>
          <w:p w14:paraId="7B7C2A22" w14:textId="65CD2C20" w:rsidR="00C76F3D" w:rsidRDefault="00C76F3D" w:rsidP="007A4B74">
            <w:pPr>
              <w:pStyle w:val="Tabletext"/>
            </w:pPr>
            <w:r>
              <w:t>Interpretation of remote sensing data</w:t>
            </w:r>
          </w:p>
        </w:tc>
      </w:tr>
      <w:tr w:rsidR="00F22225" w14:paraId="49AC0727" w14:textId="65695A2D" w:rsidTr="00F22225">
        <w:tc>
          <w:tcPr>
            <w:tcW w:w="448" w:type="pct"/>
            <w:shd w:val="clear" w:color="auto" w:fill="99FF99"/>
            <w:vAlign w:val="center"/>
          </w:tcPr>
          <w:p w14:paraId="03130FBB" w14:textId="67F1BBDF" w:rsidR="00C76F3D" w:rsidRDefault="00C76F3D" w:rsidP="00E4655B">
            <w:pPr>
              <w:pStyle w:val="Tabletext"/>
            </w:pPr>
            <w:r>
              <w:t>Moderate: Data measured at the site, but with high level of uncertainty</w:t>
            </w:r>
            <w:r w:rsidR="00F012F1">
              <w:t>.</w:t>
            </w:r>
          </w:p>
        </w:tc>
        <w:tc>
          <w:tcPr>
            <w:tcW w:w="379" w:type="pct"/>
            <w:shd w:val="clear" w:color="auto" w:fill="99FF99"/>
            <w:vAlign w:val="center"/>
          </w:tcPr>
          <w:p w14:paraId="47DD4F8D" w14:textId="476FB0E3" w:rsidR="00C76F3D" w:rsidRDefault="00C76F3D" w:rsidP="00E230DF">
            <w:pPr>
              <w:pStyle w:val="Tabletext"/>
              <w:jc w:val="center"/>
            </w:pPr>
            <w:r>
              <w:t>3</w:t>
            </w:r>
          </w:p>
        </w:tc>
        <w:tc>
          <w:tcPr>
            <w:tcW w:w="449" w:type="pct"/>
            <w:vAlign w:val="center"/>
          </w:tcPr>
          <w:p w14:paraId="1041C0CC" w14:textId="2CED6F67" w:rsidR="00C76F3D" w:rsidRPr="008619DA" w:rsidRDefault="00C76F3D" w:rsidP="00E4655B">
            <w:pPr>
              <w:pStyle w:val="Tabletext"/>
            </w:pPr>
            <w:r w:rsidRPr="008619DA">
              <w:t xml:space="preserve">Groundwater bore at site: </w:t>
            </w:r>
            <w:r w:rsidRPr="00DF4A1A">
              <w:rPr>
                <w:i/>
              </w:rPr>
              <w:t xml:space="preserve">Provides GW depth near to the Black Box </w:t>
            </w:r>
            <w:r>
              <w:rPr>
                <w:i/>
              </w:rPr>
              <w:t>unit</w:t>
            </w:r>
          </w:p>
        </w:tc>
        <w:tc>
          <w:tcPr>
            <w:tcW w:w="425" w:type="pct"/>
            <w:vAlign w:val="center"/>
          </w:tcPr>
          <w:p w14:paraId="458E0D27" w14:textId="70B0E0E6" w:rsidR="00C76F3D" w:rsidRDefault="00C76F3D" w:rsidP="00E4655B">
            <w:pPr>
              <w:pStyle w:val="Tabletext"/>
            </w:pPr>
            <w:r>
              <w:t>Groundwater salinity measured from a single bore at site, over a short period of time (&lt;1 month)</w:t>
            </w:r>
          </w:p>
        </w:tc>
        <w:tc>
          <w:tcPr>
            <w:tcW w:w="326" w:type="pct"/>
            <w:vAlign w:val="center"/>
          </w:tcPr>
          <w:p w14:paraId="759B7019" w14:textId="132E013C" w:rsidR="00C76F3D" w:rsidRDefault="00C76F3D" w:rsidP="00E4655B">
            <w:pPr>
              <w:pStyle w:val="Tabletext"/>
            </w:pPr>
            <w:r>
              <w:t>Soil salinity map interpolated from local soil salinity on-ground testing</w:t>
            </w:r>
          </w:p>
        </w:tc>
        <w:tc>
          <w:tcPr>
            <w:tcW w:w="385" w:type="pct"/>
            <w:vAlign w:val="center"/>
          </w:tcPr>
          <w:p w14:paraId="6728749A" w14:textId="6FA5F7E2" w:rsidR="00C76F3D" w:rsidRDefault="00C76F3D" w:rsidP="00E4655B">
            <w:pPr>
              <w:pStyle w:val="Tabletext"/>
            </w:pPr>
            <w:r>
              <w:t>Soil core sampling at a low number of locations on the site, at one time</w:t>
            </w:r>
          </w:p>
        </w:tc>
        <w:tc>
          <w:tcPr>
            <w:tcW w:w="449" w:type="pct"/>
            <w:vAlign w:val="center"/>
          </w:tcPr>
          <w:p w14:paraId="160E2C29" w14:textId="0F2C1DF9" w:rsidR="00C76F3D" w:rsidRDefault="00C76F3D" w:rsidP="00826E9F">
            <w:pPr>
              <w:pStyle w:val="Tabletext"/>
            </w:pPr>
            <w:r>
              <w:t>Geotechnical testing of the soil properties throughout the soil profile at a low number of points on site</w:t>
            </w:r>
          </w:p>
        </w:tc>
        <w:tc>
          <w:tcPr>
            <w:tcW w:w="493" w:type="pct"/>
            <w:vAlign w:val="center"/>
          </w:tcPr>
          <w:p w14:paraId="38C0F02B" w14:textId="6E2C7BFB" w:rsidR="00C76F3D" w:rsidRDefault="00C76F3D" w:rsidP="006D6D39">
            <w:pPr>
              <w:pStyle w:val="Tabletext"/>
            </w:pPr>
            <w:r>
              <w:t xml:space="preserve">Estimates of lateral recharge at the site, from observations of prior management activities, such as WPM </w:t>
            </w:r>
          </w:p>
        </w:tc>
        <w:tc>
          <w:tcPr>
            <w:tcW w:w="461" w:type="pct"/>
            <w:vAlign w:val="center"/>
          </w:tcPr>
          <w:p w14:paraId="5CCA8234" w14:textId="28EBF0C5" w:rsidR="00C76F3D" w:rsidRDefault="00C76F3D" w:rsidP="00E4655B">
            <w:pPr>
              <w:pStyle w:val="Tabletext"/>
            </w:pPr>
            <w:r>
              <w:t>Short period of historical records of River flows measured near to the site</w:t>
            </w:r>
          </w:p>
        </w:tc>
        <w:tc>
          <w:tcPr>
            <w:tcW w:w="394" w:type="pct"/>
            <w:vAlign w:val="center"/>
          </w:tcPr>
          <w:p w14:paraId="5FF1E3E6" w14:textId="222651F6" w:rsidR="00C76F3D" w:rsidRDefault="00C76F3D" w:rsidP="007A4B74">
            <w:pPr>
              <w:pStyle w:val="Tabletext"/>
              <w:jc w:val="center"/>
            </w:pPr>
            <w:r>
              <w:t>-</w:t>
            </w:r>
          </w:p>
        </w:tc>
        <w:tc>
          <w:tcPr>
            <w:tcW w:w="395" w:type="pct"/>
            <w:vAlign w:val="center"/>
          </w:tcPr>
          <w:p w14:paraId="5DC0D4AE" w14:textId="6BE2B95E" w:rsidR="00C76F3D" w:rsidRDefault="00C76F3D" w:rsidP="00E4655B">
            <w:pPr>
              <w:pStyle w:val="Tabletext"/>
            </w:pPr>
            <w:r>
              <w:t>Inspection of site topography data to identify high and low points and estimate where rainfall is likely to accumulate</w:t>
            </w:r>
          </w:p>
        </w:tc>
        <w:tc>
          <w:tcPr>
            <w:tcW w:w="395" w:type="pct"/>
            <w:vAlign w:val="center"/>
          </w:tcPr>
          <w:p w14:paraId="15B56C0F" w14:textId="0745AA63" w:rsidR="00C76F3D" w:rsidRDefault="00C76F3D" w:rsidP="00E4655B">
            <w:pPr>
              <w:pStyle w:val="Tabletext"/>
            </w:pPr>
            <w:r>
              <w:t>One-off physical survey throughout the site, recording observations of any grazing or land disturbance</w:t>
            </w:r>
          </w:p>
        </w:tc>
      </w:tr>
      <w:tr w:rsidR="00F22225" w14:paraId="25C981CA" w14:textId="6BFF2AA7" w:rsidTr="00F22225">
        <w:tc>
          <w:tcPr>
            <w:tcW w:w="448" w:type="pct"/>
            <w:shd w:val="clear" w:color="auto" w:fill="92D050"/>
            <w:vAlign w:val="center"/>
          </w:tcPr>
          <w:p w14:paraId="30BB1194" w14:textId="46EEE7A2" w:rsidR="00C76F3D" w:rsidRDefault="00C76F3D" w:rsidP="00E4655B">
            <w:pPr>
              <w:pStyle w:val="Tabletext"/>
            </w:pPr>
            <w:r>
              <w:t>Moderate/High: measured data at the site, with moderate level of uncertainty</w:t>
            </w:r>
            <w:r w:rsidR="00F012F1">
              <w:t>.</w:t>
            </w:r>
          </w:p>
        </w:tc>
        <w:tc>
          <w:tcPr>
            <w:tcW w:w="379" w:type="pct"/>
            <w:shd w:val="clear" w:color="auto" w:fill="92D050"/>
            <w:vAlign w:val="center"/>
          </w:tcPr>
          <w:p w14:paraId="7F23AD77" w14:textId="2EBAAB73" w:rsidR="00C76F3D" w:rsidRDefault="00C76F3D" w:rsidP="00E230DF">
            <w:pPr>
              <w:pStyle w:val="Tabletext"/>
              <w:jc w:val="center"/>
            </w:pPr>
            <w:r>
              <w:t>4</w:t>
            </w:r>
          </w:p>
        </w:tc>
        <w:tc>
          <w:tcPr>
            <w:tcW w:w="449" w:type="pct"/>
            <w:vAlign w:val="center"/>
          </w:tcPr>
          <w:p w14:paraId="16C2BA46" w14:textId="6DEC7A1D" w:rsidR="00C76F3D" w:rsidRPr="008619DA" w:rsidRDefault="00C76F3D" w:rsidP="00E4655B">
            <w:pPr>
              <w:pStyle w:val="Tabletext"/>
            </w:pPr>
            <w:r w:rsidRPr="008619DA">
              <w:t xml:space="preserve">Groundwater pit or measurement of water level as bore is dug: </w:t>
            </w:r>
            <w:r w:rsidRPr="008619DA">
              <w:rPr>
                <w:i/>
              </w:rPr>
              <w:t>P</w:t>
            </w:r>
            <w:r w:rsidRPr="00DF4A1A">
              <w:rPr>
                <w:i/>
              </w:rPr>
              <w:t>rovides actual measure of GW depth</w:t>
            </w:r>
          </w:p>
        </w:tc>
        <w:tc>
          <w:tcPr>
            <w:tcW w:w="425" w:type="pct"/>
            <w:vAlign w:val="center"/>
          </w:tcPr>
          <w:p w14:paraId="4770D5A3" w14:textId="28539293" w:rsidR="00C76F3D" w:rsidRDefault="00C76F3D" w:rsidP="00E4655B">
            <w:pPr>
              <w:pStyle w:val="Tabletext"/>
            </w:pPr>
            <w:r>
              <w:t xml:space="preserve">Groundwater salinity map interpolated from measurements of several bores at the site, over a moderate </w:t>
            </w:r>
            <w:r w:rsidR="00AD6010">
              <w:t>period</w:t>
            </w:r>
            <w:r>
              <w:t xml:space="preserve"> (2-12 months)</w:t>
            </w:r>
          </w:p>
        </w:tc>
        <w:tc>
          <w:tcPr>
            <w:tcW w:w="326" w:type="pct"/>
            <w:vAlign w:val="center"/>
          </w:tcPr>
          <w:p w14:paraId="4EC0AF9F" w14:textId="555D139C" w:rsidR="00C76F3D" w:rsidRDefault="00C76F3D" w:rsidP="00826E9F">
            <w:pPr>
              <w:pStyle w:val="Tabletext"/>
            </w:pPr>
            <w:r>
              <w:t>Testing of soil salinity at a small number of locations on the site</w:t>
            </w:r>
          </w:p>
        </w:tc>
        <w:tc>
          <w:tcPr>
            <w:tcW w:w="385" w:type="pct"/>
            <w:vAlign w:val="center"/>
          </w:tcPr>
          <w:p w14:paraId="511E45B2" w14:textId="77D233B0" w:rsidR="00C76F3D" w:rsidRDefault="00C76F3D" w:rsidP="00E4655B">
            <w:pPr>
              <w:pStyle w:val="Tabletext"/>
            </w:pPr>
            <w:r>
              <w:t>Soil core sampling at several locations at the site, at one time</w:t>
            </w:r>
          </w:p>
        </w:tc>
        <w:tc>
          <w:tcPr>
            <w:tcW w:w="449" w:type="pct"/>
            <w:vAlign w:val="center"/>
          </w:tcPr>
          <w:p w14:paraId="11649CD3" w14:textId="173E3033" w:rsidR="00C76F3D" w:rsidRDefault="00C76F3D" w:rsidP="00E4655B">
            <w:pPr>
              <w:pStyle w:val="Tabletext"/>
              <w:jc w:val="center"/>
            </w:pPr>
            <w:r>
              <w:t>-</w:t>
            </w:r>
          </w:p>
        </w:tc>
        <w:tc>
          <w:tcPr>
            <w:tcW w:w="493" w:type="pct"/>
            <w:vAlign w:val="center"/>
          </w:tcPr>
          <w:p w14:paraId="002E184A" w14:textId="006AC75F" w:rsidR="00C76F3D" w:rsidRDefault="00C76F3D" w:rsidP="00A40029">
            <w:pPr>
              <w:pStyle w:val="Tabletext"/>
            </w:pPr>
            <w:r>
              <w:t>Lateral recharge estimate from interpretation of AEM data</w:t>
            </w:r>
          </w:p>
          <w:p w14:paraId="5BE1185A" w14:textId="65ECAEA9" w:rsidR="00C76F3D" w:rsidRDefault="00C76F3D" w:rsidP="00A40029">
            <w:pPr>
              <w:pStyle w:val="Tabletext"/>
            </w:pPr>
          </w:p>
        </w:tc>
        <w:tc>
          <w:tcPr>
            <w:tcW w:w="461" w:type="pct"/>
            <w:vAlign w:val="center"/>
          </w:tcPr>
          <w:p w14:paraId="65701C65" w14:textId="446EBE71" w:rsidR="00C76F3D" w:rsidRDefault="00C76F3D" w:rsidP="007A4B74">
            <w:pPr>
              <w:pStyle w:val="Tabletext"/>
            </w:pPr>
            <w:r>
              <w:t>Long period of historical records of River flows measured near to the site</w:t>
            </w:r>
          </w:p>
        </w:tc>
        <w:tc>
          <w:tcPr>
            <w:tcW w:w="394" w:type="pct"/>
            <w:vAlign w:val="center"/>
          </w:tcPr>
          <w:p w14:paraId="18FE3785" w14:textId="381224CA" w:rsidR="00C76F3D" w:rsidRDefault="00C76F3D" w:rsidP="007A4B74">
            <w:pPr>
              <w:pStyle w:val="Tabletext"/>
            </w:pPr>
            <w:r>
              <w:t>Hydro-geochemistry monitoring</w:t>
            </w:r>
          </w:p>
        </w:tc>
        <w:tc>
          <w:tcPr>
            <w:tcW w:w="395" w:type="pct"/>
            <w:vAlign w:val="center"/>
          </w:tcPr>
          <w:p w14:paraId="6BA4A136" w14:textId="566E0766" w:rsidR="00C76F3D" w:rsidRDefault="00C76F3D" w:rsidP="00E4655B">
            <w:pPr>
              <w:pStyle w:val="Tabletext"/>
              <w:jc w:val="center"/>
            </w:pPr>
            <w:r>
              <w:t>-</w:t>
            </w:r>
          </w:p>
        </w:tc>
        <w:tc>
          <w:tcPr>
            <w:tcW w:w="395" w:type="pct"/>
            <w:vAlign w:val="center"/>
          </w:tcPr>
          <w:p w14:paraId="37143324" w14:textId="3B0238CF" w:rsidR="00C76F3D" w:rsidRDefault="00C76F3D" w:rsidP="00E4655B">
            <w:pPr>
              <w:pStyle w:val="Tabletext"/>
              <w:jc w:val="center"/>
            </w:pPr>
            <w:r>
              <w:t>-</w:t>
            </w:r>
          </w:p>
        </w:tc>
      </w:tr>
      <w:tr w:rsidR="00F22225" w14:paraId="733072CD" w14:textId="1CFACA44" w:rsidTr="00F22225">
        <w:tc>
          <w:tcPr>
            <w:tcW w:w="448" w:type="pct"/>
            <w:shd w:val="clear" w:color="auto" w:fill="00B050"/>
            <w:vAlign w:val="center"/>
          </w:tcPr>
          <w:p w14:paraId="378571CF" w14:textId="0140DCEE" w:rsidR="00C76F3D" w:rsidRDefault="00C76F3D" w:rsidP="00E4655B">
            <w:pPr>
              <w:pStyle w:val="Tabletext"/>
            </w:pPr>
            <w:r>
              <w:t>High: Measured data at the site, with low level of uncertainty</w:t>
            </w:r>
            <w:r w:rsidR="00F012F1">
              <w:t>.</w:t>
            </w:r>
          </w:p>
        </w:tc>
        <w:tc>
          <w:tcPr>
            <w:tcW w:w="379" w:type="pct"/>
            <w:shd w:val="clear" w:color="auto" w:fill="00B050"/>
            <w:vAlign w:val="center"/>
          </w:tcPr>
          <w:p w14:paraId="1A4251F0" w14:textId="069E8E9B" w:rsidR="00C76F3D" w:rsidRDefault="00C76F3D" w:rsidP="00E230DF">
            <w:pPr>
              <w:pStyle w:val="Tabletext"/>
              <w:jc w:val="center"/>
            </w:pPr>
            <w:r>
              <w:t>5</w:t>
            </w:r>
          </w:p>
        </w:tc>
        <w:tc>
          <w:tcPr>
            <w:tcW w:w="449" w:type="pct"/>
            <w:vAlign w:val="center"/>
          </w:tcPr>
          <w:p w14:paraId="7D4E218D" w14:textId="544AE9D0" w:rsidR="00C76F3D" w:rsidRPr="008619DA" w:rsidRDefault="00C76F3D" w:rsidP="00E4655B">
            <w:pPr>
              <w:pStyle w:val="Tabletext"/>
            </w:pPr>
            <w:r w:rsidRPr="008619DA">
              <w:t xml:space="preserve">Soil pit: </w:t>
            </w:r>
            <w:r w:rsidRPr="00DF4A1A">
              <w:rPr>
                <w:i/>
              </w:rPr>
              <w:t>Provides measure of GW depth and any aquitards that may produce freshwater lenses or restrictions of deep GW reaching the surfac</w:t>
            </w:r>
            <w:r w:rsidR="00F012F1">
              <w:rPr>
                <w:i/>
              </w:rPr>
              <w:t>e</w:t>
            </w:r>
          </w:p>
        </w:tc>
        <w:tc>
          <w:tcPr>
            <w:tcW w:w="425" w:type="pct"/>
            <w:vAlign w:val="center"/>
          </w:tcPr>
          <w:p w14:paraId="396A155C" w14:textId="2352E17D" w:rsidR="00C76F3D" w:rsidRDefault="00C76F3D" w:rsidP="00E4655B">
            <w:pPr>
              <w:pStyle w:val="Tabletext"/>
            </w:pPr>
            <w:r>
              <w:t>Groundwater salinity map interpolated from measurements of several bores at the site, over a long period of time (&gt;1 year)</w:t>
            </w:r>
          </w:p>
        </w:tc>
        <w:tc>
          <w:tcPr>
            <w:tcW w:w="326" w:type="pct"/>
            <w:vAlign w:val="center"/>
          </w:tcPr>
          <w:p w14:paraId="35C23D12" w14:textId="009379F3" w:rsidR="00C76F3D" w:rsidRDefault="00C76F3D" w:rsidP="00E4655B">
            <w:pPr>
              <w:pStyle w:val="Tabletext"/>
            </w:pPr>
            <w:r>
              <w:t>Testing soil salinity at a larger number of locations at the site</w:t>
            </w:r>
          </w:p>
        </w:tc>
        <w:tc>
          <w:tcPr>
            <w:tcW w:w="385" w:type="pct"/>
            <w:vAlign w:val="center"/>
          </w:tcPr>
          <w:p w14:paraId="77AD9C6D" w14:textId="0CAE56AE" w:rsidR="00C76F3D" w:rsidRDefault="00C76F3D" w:rsidP="00E4655B">
            <w:pPr>
              <w:pStyle w:val="Tabletext"/>
            </w:pPr>
            <w:r>
              <w:t xml:space="preserve">Soil core sampling at several locations at the site, regularly over </w:t>
            </w:r>
            <w:r w:rsidR="00AD6010">
              <w:t>a period</w:t>
            </w:r>
          </w:p>
        </w:tc>
        <w:tc>
          <w:tcPr>
            <w:tcW w:w="449" w:type="pct"/>
            <w:vAlign w:val="center"/>
          </w:tcPr>
          <w:p w14:paraId="5A56E6F9" w14:textId="5242667A" w:rsidR="00C76F3D" w:rsidRDefault="00C76F3D" w:rsidP="00826E9F">
            <w:pPr>
              <w:pStyle w:val="Tabletext"/>
            </w:pPr>
            <w:r>
              <w:t>Geotechnical testing of the soil properties throughout the soil profile at a higher number of points on site</w:t>
            </w:r>
          </w:p>
        </w:tc>
        <w:tc>
          <w:tcPr>
            <w:tcW w:w="493" w:type="pct"/>
            <w:vAlign w:val="center"/>
          </w:tcPr>
          <w:p w14:paraId="3B87F2F2" w14:textId="78C42FDC" w:rsidR="00C76F3D" w:rsidRDefault="00C76F3D" w:rsidP="00E4655B">
            <w:pPr>
              <w:pStyle w:val="Tabletext"/>
            </w:pPr>
            <w:r>
              <w:t>Geophysics and hydro geochemical sampling and modelling</w:t>
            </w:r>
          </w:p>
          <w:p w14:paraId="52E7D584" w14:textId="78628F6A" w:rsidR="00C76F3D" w:rsidRDefault="00C76F3D" w:rsidP="00F22225">
            <w:pPr>
              <w:pStyle w:val="Tabletext"/>
            </w:pPr>
            <w:r>
              <w:t>Use of groundwater models that have been calibrated to transient sub plain potentiometric head data</w:t>
            </w:r>
          </w:p>
        </w:tc>
        <w:tc>
          <w:tcPr>
            <w:tcW w:w="461" w:type="pct"/>
            <w:vAlign w:val="center"/>
          </w:tcPr>
          <w:p w14:paraId="67EF541E" w14:textId="3C56B59B" w:rsidR="00C76F3D" w:rsidRDefault="00C76F3D" w:rsidP="00E4655B">
            <w:pPr>
              <w:pStyle w:val="Tabletext"/>
            </w:pPr>
            <w:r>
              <w:t>Historical records of River flows measured at the interface of the site and the river</w:t>
            </w:r>
          </w:p>
          <w:p w14:paraId="223B3252" w14:textId="77777777" w:rsidR="00C76F3D" w:rsidRDefault="00C76F3D" w:rsidP="00E4655B">
            <w:pPr>
              <w:pStyle w:val="Tabletext"/>
            </w:pPr>
          </w:p>
          <w:p w14:paraId="22F71AD9" w14:textId="35ACBB10" w:rsidR="00C76F3D" w:rsidRDefault="00C76F3D" w:rsidP="00E4655B">
            <w:pPr>
              <w:pStyle w:val="Tabletext"/>
            </w:pPr>
            <w:r>
              <w:t>Surface water modelling at the site</w:t>
            </w:r>
          </w:p>
        </w:tc>
        <w:tc>
          <w:tcPr>
            <w:tcW w:w="394" w:type="pct"/>
            <w:vAlign w:val="center"/>
          </w:tcPr>
          <w:p w14:paraId="7CCDADE7" w14:textId="25B60208" w:rsidR="00C76F3D" w:rsidRDefault="00C76F3D" w:rsidP="00E4655B">
            <w:pPr>
              <w:pStyle w:val="Tabletext"/>
            </w:pPr>
            <w:r>
              <w:t>Geophysics and hydro geochemistry monitoring to understand conductivity of channels</w:t>
            </w:r>
          </w:p>
        </w:tc>
        <w:tc>
          <w:tcPr>
            <w:tcW w:w="395" w:type="pct"/>
            <w:vAlign w:val="center"/>
          </w:tcPr>
          <w:p w14:paraId="79956429" w14:textId="0242F182" w:rsidR="00C76F3D" w:rsidRDefault="00C76F3D" w:rsidP="00E4655B">
            <w:pPr>
              <w:pStyle w:val="Tabletext"/>
            </w:pPr>
            <w:r>
              <w:t>Rainfall runoff modelling, using a terrain model to predict how much runoff is generated, and where runoff flows throughout the site</w:t>
            </w:r>
          </w:p>
        </w:tc>
        <w:tc>
          <w:tcPr>
            <w:tcW w:w="395" w:type="pct"/>
            <w:vAlign w:val="center"/>
          </w:tcPr>
          <w:p w14:paraId="5C2E528A" w14:textId="15DA29B0" w:rsidR="00C76F3D" w:rsidRDefault="00C76F3D" w:rsidP="00E4655B">
            <w:pPr>
              <w:pStyle w:val="Tabletext"/>
            </w:pPr>
            <w:r>
              <w:t>Repeated surveys throughout the site, recording observations of any grazing pressure or land disturbance</w:t>
            </w:r>
          </w:p>
        </w:tc>
      </w:tr>
    </w:tbl>
    <w:p w14:paraId="3815760A" w14:textId="77777777" w:rsidR="00640D64" w:rsidRDefault="00640D64" w:rsidP="00640D64">
      <w:pPr>
        <w:pStyle w:val="Para0"/>
        <w:rPr>
          <w:color w:val="000000" w:themeColor="text1"/>
        </w:rPr>
      </w:pPr>
    </w:p>
    <w:p w14:paraId="2931B254" w14:textId="4AFEE1A8" w:rsidR="00397C5A" w:rsidRDefault="00397C5A" w:rsidP="00397C5A">
      <w:pPr>
        <w:pStyle w:val="Para0"/>
        <w:rPr>
          <w:color w:val="000000" w:themeColor="text1"/>
        </w:rPr>
        <w:sectPr w:rsidR="00397C5A" w:rsidSect="00681FFA">
          <w:pgSz w:w="23811" w:h="16838" w:orient="landscape" w:code="8"/>
          <w:pgMar w:top="1134" w:right="567" w:bottom="851" w:left="851" w:header="567" w:footer="370" w:gutter="0"/>
          <w:cols w:space="0"/>
          <w:formProt w:val="0"/>
          <w:docGrid w:linePitch="360"/>
        </w:sectPr>
      </w:pPr>
    </w:p>
    <w:p w14:paraId="0B196723" w14:textId="70032E37" w:rsidR="00397C5A" w:rsidRDefault="00397C5A" w:rsidP="004020F1">
      <w:pPr>
        <w:pStyle w:val="Heading3"/>
      </w:pPr>
      <w:bookmarkStart w:id="101" w:name="_Ref508278614"/>
      <w:bookmarkStart w:id="102" w:name="_Ref508782548"/>
      <w:r>
        <w:t>Analysis of Stressors</w:t>
      </w:r>
      <w:bookmarkEnd w:id="101"/>
      <w:bookmarkEnd w:id="102"/>
    </w:p>
    <w:p w14:paraId="6A7184F3" w14:textId="62334FFC" w:rsidR="004A735C" w:rsidRDefault="00397C5A" w:rsidP="004020F1">
      <w:pPr>
        <w:pStyle w:val="Para0"/>
        <w:rPr>
          <w:rFonts w:cs="Arial"/>
          <w:szCs w:val="20"/>
        </w:rPr>
      </w:pPr>
      <w:r>
        <w:t>After collecting information on relevant stressors, it is beneficial to map the stressors throughout the site</w:t>
      </w:r>
      <w:r w:rsidR="000215FB">
        <w:t xml:space="preserve"> and analyse them to understand the degree to which they are impacting each Black Box management unit throughout the site. </w:t>
      </w:r>
      <w:r w:rsidR="00542A99">
        <w:t>C</w:t>
      </w:r>
      <w:r w:rsidR="000215FB">
        <w:t xml:space="preserve">onceptual models </w:t>
      </w:r>
      <w:r w:rsidR="00542A99">
        <w:t xml:space="preserve">can </w:t>
      </w:r>
      <w:r w:rsidR="000215FB">
        <w:t xml:space="preserve">provide </w:t>
      </w:r>
      <w:r w:rsidR="00542A99">
        <w:t>a</w:t>
      </w:r>
      <w:r w:rsidR="00E230DF">
        <w:t>n</w:t>
      </w:r>
      <w:r w:rsidR="00542A99">
        <w:t xml:space="preserve"> understanding of the relationship between Black Box condition and stressor impacts. Data analysis is required to</w:t>
      </w:r>
      <w:r w:rsidR="003579D4">
        <w:t xml:space="preserve"> test and validate the conceptual models, and to </w:t>
      </w:r>
      <w:r w:rsidR="00542A99">
        <w:t xml:space="preserve">determine a relationship between Black Box condition classes and stressor thresholds. </w:t>
      </w:r>
    </w:p>
    <w:p w14:paraId="33D3B7B6" w14:textId="4240E919" w:rsidR="00620641" w:rsidRDefault="00620641" w:rsidP="00620641">
      <w:pPr>
        <w:pStyle w:val="Para0"/>
        <w:rPr>
          <w:rFonts w:eastAsiaTheme="minorHAnsi" w:cs="Arial"/>
          <w:szCs w:val="20"/>
        </w:rPr>
      </w:pPr>
      <w:r>
        <w:rPr>
          <w:rFonts w:eastAsiaTheme="minorHAnsi" w:cs="Arial"/>
          <w:szCs w:val="20"/>
        </w:rPr>
        <w:t>Some generalised stressor</w:t>
      </w:r>
      <w:r w:rsidR="0056756C">
        <w:rPr>
          <w:rFonts w:eastAsiaTheme="minorHAnsi" w:cs="Arial"/>
          <w:szCs w:val="20"/>
        </w:rPr>
        <w:t xml:space="preserve"> thresholds are summarised in </w:t>
      </w:r>
      <w:r w:rsidR="0056756C">
        <w:rPr>
          <w:rFonts w:eastAsiaTheme="minorHAnsi" w:cs="Arial"/>
          <w:szCs w:val="20"/>
        </w:rPr>
        <w:fldChar w:fldCharType="begin"/>
      </w:r>
      <w:r w:rsidR="0056756C">
        <w:rPr>
          <w:rFonts w:eastAsiaTheme="minorHAnsi" w:cs="Arial"/>
          <w:szCs w:val="20"/>
        </w:rPr>
        <w:instrText xml:space="preserve"> REF _Ref508782849 \h  \* MERGEFORMAT </w:instrText>
      </w:r>
      <w:r w:rsidR="0056756C">
        <w:rPr>
          <w:rFonts w:eastAsiaTheme="minorHAnsi" w:cs="Arial"/>
          <w:szCs w:val="20"/>
        </w:rPr>
      </w:r>
      <w:r w:rsidR="0056756C">
        <w:rPr>
          <w:rFonts w:eastAsiaTheme="minorHAnsi" w:cs="Arial"/>
          <w:szCs w:val="20"/>
        </w:rPr>
        <w:fldChar w:fldCharType="separate"/>
      </w:r>
      <w:r w:rsidR="00BF015B" w:rsidRPr="00BF015B">
        <w:rPr>
          <w:rFonts w:eastAsiaTheme="minorHAnsi" w:cs="Arial"/>
          <w:szCs w:val="20"/>
        </w:rPr>
        <w:t>Table 3</w:t>
      </w:r>
      <w:r w:rsidR="00BF015B" w:rsidRPr="00BF015B">
        <w:rPr>
          <w:rFonts w:eastAsiaTheme="minorHAnsi" w:cs="Arial"/>
          <w:szCs w:val="20"/>
        </w:rPr>
        <w:noBreakHyphen/>
        <w:t>7</w:t>
      </w:r>
      <w:r w:rsidR="0056756C">
        <w:rPr>
          <w:rFonts w:eastAsiaTheme="minorHAnsi" w:cs="Arial"/>
          <w:szCs w:val="20"/>
        </w:rPr>
        <w:fldChar w:fldCharType="end"/>
      </w:r>
      <w:r>
        <w:rPr>
          <w:rFonts w:eastAsiaTheme="minorHAnsi" w:cs="Arial"/>
          <w:szCs w:val="20"/>
        </w:rPr>
        <w:t xml:space="preserve">, intended for use by practitioners in </w:t>
      </w:r>
      <w:r w:rsidR="00CE4461">
        <w:rPr>
          <w:rFonts w:eastAsiaTheme="minorHAnsi" w:cs="Arial"/>
          <w:szCs w:val="20"/>
        </w:rPr>
        <w:t>analysing</w:t>
      </w:r>
      <w:r>
        <w:rPr>
          <w:rFonts w:eastAsiaTheme="minorHAnsi" w:cs="Arial"/>
          <w:szCs w:val="20"/>
        </w:rPr>
        <w:t xml:space="preserve"> the stressor information at their site. These thresholds will vary in different locations depending on soil types, rainfall and the conditions under which the Black Box originally established, hence should be reviewed and updated for site specific conditions. </w:t>
      </w:r>
    </w:p>
    <w:p w14:paraId="52E7A439" w14:textId="611FCE10" w:rsidR="0056756C" w:rsidRPr="00D7130D" w:rsidRDefault="0056756C" w:rsidP="00025BA7">
      <w:pPr>
        <w:pStyle w:val="Caption"/>
        <w:rPr>
          <w:b w:val="0"/>
        </w:rPr>
      </w:pPr>
      <w:bookmarkStart w:id="103" w:name="_Ref508782849"/>
      <w:bookmarkStart w:id="104" w:name="_Toc514068774"/>
      <w:r w:rsidRPr="001B3FEE">
        <w:t xml:space="preserve">Table </w:t>
      </w:r>
      <w:r w:rsidRPr="00A33F64">
        <w:fldChar w:fldCharType="begin"/>
      </w:r>
      <w:r w:rsidRPr="00D7130D">
        <w:instrText xml:space="preserve"> STYLEREF 1 \s </w:instrText>
      </w:r>
      <w:r w:rsidRPr="00A33F64">
        <w:fldChar w:fldCharType="separate"/>
      </w:r>
      <w:r w:rsidR="00BF015B">
        <w:rPr>
          <w:noProof/>
        </w:rPr>
        <w:t>3</w:t>
      </w:r>
      <w:r w:rsidRPr="00A33F64">
        <w:fldChar w:fldCharType="end"/>
      </w:r>
      <w:r w:rsidRPr="00D7130D">
        <w:noBreakHyphen/>
      </w:r>
      <w:r w:rsidRPr="00A33F64">
        <w:fldChar w:fldCharType="begin"/>
      </w:r>
      <w:r w:rsidRPr="00D7130D">
        <w:instrText xml:space="preserve"> SEQ Table \* ARABIC \s 1 </w:instrText>
      </w:r>
      <w:r w:rsidRPr="00A33F64">
        <w:fldChar w:fldCharType="separate"/>
      </w:r>
      <w:r w:rsidR="00BF015B">
        <w:rPr>
          <w:noProof/>
        </w:rPr>
        <w:t>7</w:t>
      </w:r>
      <w:r w:rsidRPr="00A33F64">
        <w:fldChar w:fldCharType="end"/>
      </w:r>
      <w:bookmarkEnd w:id="103"/>
      <w:r w:rsidRPr="00D7130D">
        <w:t xml:space="preserve">: Summary of </w:t>
      </w:r>
      <w:r w:rsidR="00F012F1">
        <w:t>s</w:t>
      </w:r>
      <w:r w:rsidRPr="00D7130D">
        <w:t xml:space="preserve">tressor </w:t>
      </w:r>
      <w:r w:rsidR="00F012F1">
        <w:t>t</w:t>
      </w:r>
      <w:r w:rsidRPr="00D7130D">
        <w:t>hresholds</w:t>
      </w:r>
      <w:bookmarkEnd w:id="104"/>
    </w:p>
    <w:tbl>
      <w:tblPr>
        <w:tblStyle w:val="TableGrid"/>
        <w:tblW w:w="5000" w:type="pct"/>
        <w:tblInd w:w="-6" w:type="dxa"/>
        <w:tblCellMar>
          <w:left w:w="85" w:type="dxa"/>
          <w:right w:w="85" w:type="dxa"/>
        </w:tblCellMar>
        <w:tblLook w:val="04A0" w:firstRow="1" w:lastRow="0" w:firstColumn="1" w:lastColumn="0" w:noHBand="0" w:noVBand="1"/>
      </w:tblPr>
      <w:tblGrid>
        <w:gridCol w:w="2129"/>
        <w:gridCol w:w="7782"/>
      </w:tblGrid>
      <w:tr w:rsidR="0056756C" w:rsidRPr="001D32F6" w14:paraId="7E8DAED8" w14:textId="77777777" w:rsidTr="0043274A">
        <w:trPr>
          <w:tblHeader/>
        </w:trPr>
        <w:tc>
          <w:tcPr>
            <w:tcW w:w="1074" w:type="pct"/>
            <w:shd w:val="clear" w:color="auto" w:fill="65876D" w:themeFill="accent4" w:themeFillShade="BF"/>
          </w:tcPr>
          <w:p w14:paraId="67B1EBE7" w14:textId="2E63D5A1" w:rsidR="0056756C" w:rsidRPr="001D32F6" w:rsidRDefault="0056756C" w:rsidP="00F203B8">
            <w:pPr>
              <w:keepNext/>
              <w:spacing w:before="100" w:after="100"/>
              <w:rPr>
                <w:rFonts w:ascii="Arial Black" w:hAnsi="Arial Black"/>
                <w:color w:val="FFFFFF" w:themeColor="background1"/>
                <w:sz w:val="16"/>
              </w:rPr>
            </w:pPr>
            <w:r>
              <w:rPr>
                <w:rFonts w:ascii="Arial Black" w:hAnsi="Arial Black"/>
                <w:color w:val="FFFFFF" w:themeColor="background1"/>
                <w:sz w:val="16"/>
              </w:rPr>
              <w:t>Stressor</w:t>
            </w:r>
          </w:p>
        </w:tc>
        <w:tc>
          <w:tcPr>
            <w:tcW w:w="3926" w:type="pct"/>
            <w:shd w:val="clear" w:color="auto" w:fill="65876D" w:themeFill="accent4" w:themeFillShade="BF"/>
          </w:tcPr>
          <w:p w14:paraId="2FB3E31F" w14:textId="7C12EFC6" w:rsidR="0056756C" w:rsidRPr="001D32F6" w:rsidRDefault="0056756C" w:rsidP="00F203B8">
            <w:pPr>
              <w:keepNext/>
              <w:spacing w:before="100" w:after="100"/>
              <w:rPr>
                <w:rFonts w:ascii="Arial Black" w:hAnsi="Arial Black"/>
                <w:color w:val="FFFFFF" w:themeColor="background1"/>
                <w:sz w:val="16"/>
              </w:rPr>
            </w:pPr>
            <w:r>
              <w:rPr>
                <w:rFonts w:ascii="Arial Black" w:hAnsi="Arial Black"/>
                <w:color w:val="FFFFFF" w:themeColor="background1"/>
                <w:sz w:val="16"/>
              </w:rPr>
              <w:t>Threshold</w:t>
            </w:r>
          </w:p>
        </w:tc>
      </w:tr>
      <w:tr w:rsidR="0056756C" w:rsidRPr="001D32F6" w14:paraId="06B060E5" w14:textId="77777777" w:rsidTr="0043274A">
        <w:tc>
          <w:tcPr>
            <w:tcW w:w="1074" w:type="pct"/>
          </w:tcPr>
          <w:p w14:paraId="6CE8E3DF" w14:textId="77777777" w:rsidR="0056756C" w:rsidRDefault="0056756C" w:rsidP="0056756C">
            <w:pPr>
              <w:pStyle w:val="Para0bullet"/>
              <w:numPr>
                <w:ilvl w:val="0"/>
                <w:numId w:val="0"/>
              </w:numPr>
              <w:spacing w:after="0"/>
            </w:pPr>
            <w:r>
              <w:t>Flood interval period</w:t>
            </w:r>
          </w:p>
          <w:p w14:paraId="1C7980F8" w14:textId="2A286E16" w:rsidR="0056756C" w:rsidRPr="001D32F6" w:rsidRDefault="0056756C" w:rsidP="0056756C">
            <w:pPr>
              <w:spacing w:after="100"/>
              <w:rPr>
                <w:sz w:val="16"/>
                <w:szCs w:val="16"/>
              </w:rPr>
            </w:pPr>
          </w:p>
        </w:tc>
        <w:tc>
          <w:tcPr>
            <w:tcW w:w="3926" w:type="pct"/>
          </w:tcPr>
          <w:p w14:paraId="4A103D4D" w14:textId="0282585B" w:rsidR="0056756C" w:rsidRDefault="002664CC" w:rsidP="00F203B8">
            <w:pPr>
              <w:spacing w:after="100"/>
            </w:pPr>
            <w:r>
              <w:t xml:space="preserve">Maximum up to </w:t>
            </w:r>
            <w:r w:rsidR="0056756C">
              <w:t>19 years (</w:t>
            </w:r>
            <w:r>
              <w:t>potential for</w:t>
            </w:r>
            <w:r w:rsidR="0056756C">
              <w:t xml:space="preserve"> 25 years) (Overton </w:t>
            </w:r>
            <w:r w:rsidR="0056756C">
              <w:rPr>
                <w:i/>
              </w:rPr>
              <w:t>et al.</w:t>
            </w:r>
            <w:r w:rsidR="0056756C">
              <w:t>, 2014)</w:t>
            </w:r>
            <w:r w:rsidR="00F203B8">
              <w:t xml:space="preserve">. </w:t>
            </w:r>
          </w:p>
          <w:p w14:paraId="164CF6FD" w14:textId="2B7709A9" w:rsidR="00D950F9" w:rsidRDefault="002664CC" w:rsidP="00F203B8">
            <w:pPr>
              <w:spacing w:after="100"/>
            </w:pPr>
            <w:r>
              <w:t xml:space="preserve">Note: Black Box can survive on rainwater indefinitely if there is </w:t>
            </w:r>
            <w:r w:rsidR="00DD4752">
              <w:t>very low</w:t>
            </w:r>
            <w:r>
              <w:t xml:space="preserve"> salinity in the soil.</w:t>
            </w:r>
            <w:r w:rsidR="00D54018">
              <w:t xml:space="preserve"> </w:t>
            </w:r>
          </w:p>
          <w:p w14:paraId="0031DF13" w14:textId="77777777" w:rsidR="002664CC" w:rsidRDefault="00D54018" w:rsidP="00F203B8">
            <w:pPr>
              <w:spacing w:after="100"/>
            </w:pPr>
            <w:r>
              <w:t xml:space="preserve">In cases where there are other stressors the </w:t>
            </w:r>
            <w:r w:rsidR="00D950F9">
              <w:t>starting condition of the trees influences the maximum flood interval the tree can survive.</w:t>
            </w:r>
          </w:p>
          <w:p w14:paraId="7C555E2A" w14:textId="126CE676" w:rsidR="00D950F9" w:rsidRPr="001D32F6" w:rsidRDefault="00D950F9" w:rsidP="00F203B8">
            <w:pPr>
              <w:spacing w:after="100"/>
              <w:rPr>
                <w:sz w:val="16"/>
                <w:szCs w:val="16"/>
              </w:rPr>
            </w:pPr>
            <w:r>
              <w:t>Overton and Doody (2008</w:t>
            </w:r>
            <w:r w:rsidR="00CE6C4A">
              <w:t>b</w:t>
            </w:r>
            <w:r>
              <w:t xml:space="preserve">) note that a universal threshold is probably not realistic but the change in flooding from when the tree established is important. Trees were found to be </w:t>
            </w:r>
            <w:r w:rsidR="003C4545">
              <w:t xml:space="preserve">of </w:t>
            </w:r>
            <w:r>
              <w:t xml:space="preserve">poor </w:t>
            </w:r>
            <w:r w:rsidR="003C4545">
              <w:t xml:space="preserve">condition </w:t>
            </w:r>
            <w:r>
              <w:t>when exposed to a flood interval of greater than 3 times the return period.</w:t>
            </w:r>
            <w:r w:rsidR="00CE6C4A">
              <w:t xml:space="preserve"> For example</w:t>
            </w:r>
            <w:r w:rsidR="003C4545">
              <w:t>,</w:t>
            </w:r>
            <w:r w:rsidR="00CE6C4A">
              <w:t xml:space="preserve"> if the tree was used to a 1 in 4 return period</w:t>
            </w:r>
            <w:r w:rsidR="003C4545">
              <w:t>,</w:t>
            </w:r>
            <w:r w:rsidR="00CE6C4A">
              <w:t xml:space="preserve"> then 12 years is</w:t>
            </w:r>
            <w:r w:rsidR="005654F2">
              <w:t xml:space="preserve"> a</w:t>
            </w:r>
            <w:r w:rsidR="00CE6C4A">
              <w:t xml:space="preserve"> useful interval to use for predictions of decline.</w:t>
            </w:r>
          </w:p>
        </w:tc>
      </w:tr>
      <w:tr w:rsidR="0056756C" w:rsidRPr="001D32F6" w14:paraId="611D7DE3" w14:textId="77777777" w:rsidTr="0043274A">
        <w:tc>
          <w:tcPr>
            <w:tcW w:w="1074" w:type="pct"/>
          </w:tcPr>
          <w:p w14:paraId="6C050C02" w14:textId="2C6ADF24" w:rsidR="0056756C" w:rsidRPr="001D32F6" w:rsidRDefault="0056756C" w:rsidP="0056756C">
            <w:pPr>
              <w:spacing w:after="100"/>
              <w:rPr>
                <w:sz w:val="16"/>
                <w:szCs w:val="16"/>
              </w:rPr>
            </w:pPr>
            <w:r>
              <w:t>Flood duration</w:t>
            </w:r>
          </w:p>
        </w:tc>
        <w:tc>
          <w:tcPr>
            <w:tcW w:w="3926" w:type="pct"/>
          </w:tcPr>
          <w:p w14:paraId="317402CC" w14:textId="5D844265" w:rsidR="00F203B8" w:rsidRDefault="005C3094" w:rsidP="0056756C">
            <w:pPr>
              <w:spacing w:after="100"/>
            </w:pPr>
            <w:r>
              <w:t xml:space="preserve">Natural flooding durations on the Chowilla floodplain were found to be 2-4 months (Roberts </w:t>
            </w:r>
            <w:r w:rsidR="002664CC">
              <w:t>and</w:t>
            </w:r>
            <w:r>
              <w:t xml:space="preserve"> Marsden, 2000). Continuous flooding for 13 months caused acute stress in mature Black Box trees (Briggs and Townsend, 1993), hence a threshold of 12 months could be considered appropriate. </w:t>
            </w:r>
          </w:p>
          <w:p w14:paraId="18AA8783" w14:textId="6405946E" w:rsidR="005C3094" w:rsidRPr="00053243" w:rsidRDefault="005C3094" w:rsidP="0056756C">
            <w:pPr>
              <w:spacing w:after="100"/>
            </w:pPr>
            <w:r>
              <w:t xml:space="preserve">For seedlings, flooding of 70 days has been shown to cause stress (Roberts &amp; Marsden, 2000). </w:t>
            </w:r>
          </w:p>
        </w:tc>
      </w:tr>
      <w:tr w:rsidR="0056756C" w:rsidRPr="001D32F6" w14:paraId="2008C3C8" w14:textId="77777777" w:rsidTr="0043274A">
        <w:tc>
          <w:tcPr>
            <w:tcW w:w="1074" w:type="pct"/>
          </w:tcPr>
          <w:p w14:paraId="4E00C100" w14:textId="77777777" w:rsidR="0056756C" w:rsidRDefault="0056756C" w:rsidP="0056756C">
            <w:pPr>
              <w:pStyle w:val="Para0bullet"/>
              <w:numPr>
                <w:ilvl w:val="0"/>
                <w:numId w:val="0"/>
              </w:numPr>
              <w:spacing w:after="0"/>
            </w:pPr>
            <w:r>
              <w:t>Flooding frequency</w:t>
            </w:r>
          </w:p>
          <w:p w14:paraId="39E9CBEA" w14:textId="77777777" w:rsidR="0056756C" w:rsidRPr="001D32F6" w:rsidRDefault="0056756C" w:rsidP="0056756C">
            <w:pPr>
              <w:spacing w:after="100"/>
              <w:rPr>
                <w:sz w:val="16"/>
                <w:szCs w:val="16"/>
              </w:rPr>
            </w:pPr>
          </w:p>
        </w:tc>
        <w:tc>
          <w:tcPr>
            <w:tcW w:w="3926" w:type="pct"/>
          </w:tcPr>
          <w:p w14:paraId="7C46E1FF" w14:textId="18B6F6A4" w:rsidR="0056756C" w:rsidRDefault="000C1CBA" w:rsidP="000C1CBA">
            <w:pPr>
              <w:spacing w:after="100"/>
            </w:pPr>
            <w:r>
              <w:t>Black Box typically occur at floodplain elevations with flood frequencies of 1 in 5-10 years.</w:t>
            </w:r>
            <w:r w:rsidR="005C3094">
              <w:t xml:space="preserve"> </w:t>
            </w:r>
            <w:r>
              <w:t>Threshold for stress is a</w:t>
            </w:r>
            <w:r w:rsidR="005C3094">
              <w:t xml:space="preserve"> </w:t>
            </w:r>
            <w:r w:rsidR="0056756C">
              <w:t xml:space="preserve">1 in </w:t>
            </w:r>
            <w:r w:rsidR="00AD6010">
              <w:t>10-year</w:t>
            </w:r>
            <w:r w:rsidR="0056756C">
              <w:t xml:space="preserve"> return period (</w:t>
            </w:r>
            <w:r w:rsidR="0056756C" w:rsidRPr="00A0598E">
              <w:t>Jolly and Walker</w:t>
            </w:r>
            <w:r w:rsidR="0056756C">
              <w:t>,</w:t>
            </w:r>
            <w:r w:rsidR="0056756C" w:rsidRPr="00A0598E">
              <w:t xml:space="preserve"> 1995)</w:t>
            </w:r>
            <w:r w:rsidR="00F203B8">
              <w:t>.</w:t>
            </w:r>
            <w:r w:rsidR="005C3094">
              <w:t xml:space="preserve"> </w:t>
            </w:r>
          </w:p>
          <w:p w14:paraId="5940A50D" w14:textId="20088939" w:rsidR="00CE6C4A" w:rsidRPr="001D32F6" w:rsidRDefault="00CE6C4A" w:rsidP="000C1CBA">
            <w:pPr>
              <w:spacing w:after="100"/>
              <w:rPr>
                <w:sz w:val="16"/>
                <w:szCs w:val="16"/>
              </w:rPr>
            </w:pPr>
            <w:r>
              <w:t>Note that the change in flooding frequency is more important than a single universal threshold.</w:t>
            </w:r>
          </w:p>
        </w:tc>
      </w:tr>
      <w:tr w:rsidR="0056756C" w:rsidRPr="001D32F6" w14:paraId="4EAAB161" w14:textId="77777777" w:rsidTr="0043274A">
        <w:tc>
          <w:tcPr>
            <w:tcW w:w="1074" w:type="pct"/>
          </w:tcPr>
          <w:p w14:paraId="21FA551A" w14:textId="77777777" w:rsidR="0056756C" w:rsidRDefault="0056756C" w:rsidP="0056756C">
            <w:pPr>
              <w:pStyle w:val="Para0bullet"/>
              <w:numPr>
                <w:ilvl w:val="0"/>
                <w:numId w:val="0"/>
              </w:numPr>
              <w:spacing w:after="0"/>
            </w:pPr>
            <w:r>
              <w:t>Groundwater depth</w:t>
            </w:r>
          </w:p>
          <w:p w14:paraId="090669AB" w14:textId="77777777" w:rsidR="0056756C" w:rsidRPr="001D32F6" w:rsidRDefault="0056756C" w:rsidP="0056756C">
            <w:pPr>
              <w:spacing w:after="100"/>
              <w:rPr>
                <w:sz w:val="16"/>
                <w:szCs w:val="16"/>
              </w:rPr>
            </w:pPr>
          </w:p>
        </w:tc>
        <w:tc>
          <w:tcPr>
            <w:tcW w:w="3926" w:type="pct"/>
          </w:tcPr>
          <w:p w14:paraId="1B9F7BF2" w14:textId="6C51EAE4" w:rsidR="0056756C" w:rsidRDefault="00314BDD" w:rsidP="0056756C">
            <w:pPr>
              <w:pStyle w:val="Para0bullet"/>
              <w:numPr>
                <w:ilvl w:val="0"/>
                <w:numId w:val="0"/>
              </w:numPr>
              <w:spacing w:after="0"/>
            </w:pPr>
            <w:r>
              <w:t>Stress from shallow saline groundwater at depths within 2-4 m of the surface (AWE, 2015)</w:t>
            </w:r>
          </w:p>
          <w:p w14:paraId="56106976" w14:textId="121E9F31" w:rsidR="0056756C" w:rsidRPr="00053243" w:rsidRDefault="00314BDD" w:rsidP="00053243">
            <w:pPr>
              <w:pStyle w:val="Para0bullet"/>
              <w:numPr>
                <w:ilvl w:val="0"/>
                <w:numId w:val="0"/>
              </w:numPr>
              <w:spacing w:after="0"/>
            </w:pPr>
            <w:r>
              <w:t>Stress from deep f</w:t>
            </w:r>
            <w:r w:rsidR="0056756C">
              <w:t>resh groundwater - &gt;10 metres,</w:t>
            </w:r>
            <w:r w:rsidR="00142D29">
              <w:t xml:space="preserve"> depending on depth of roots</w:t>
            </w:r>
          </w:p>
        </w:tc>
      </w:tr>
      <w:tr w:rsidR="0056756C" w:rsidRPr="001D32F6" w14:paraId="5DE6BED7" w14:textId="77777777" w:rsidTr="0043274A">
        <w:tc>
          <w:tcPr>
            <w:tcW w:w="1074" w:type="pct"/>
          </w:tcPr>
          <w:p w14:paraId="5E1B72AF" w14:textId="77777777" w:rsidR="0056756C" w:rsidRDefault="0056756C" w:rsidP="0056756C">
            <w:pPr>
              <w:pStyle w:val="Para0bullet"/>
              <w:numPr>
                <w:ilvl w:val="0"/>
                <w:numId w:val="0"/>
              </w:numPr>
              <w:spacing w:after="0"/>
            </w:pPr>
            <w:r>
              <w:t>Groundwater salinity</w:t>
            </w:r>
          </w:p>
          <w:p w14:paraId="3781DF7F" w14:textId="01149103" w:rsidR="0056756C" w:rsidRPr="001D32F6" w:rsidRDefault="0056756C" w:rsidP="0056756C">
            <w:pPr>
              <w:spacing w:after="100"/>
              <w:rPr>
                <w:sz w:val="16"/>
                <w:szCs w:val="16"/>
              </w:rPr>
            </w:pPr>
          </w:p>
        </w:tc>
        <w:tc>
          <w:tcPr>
            <w:tcW w:w="3926" w:type="pct"/>
          </w:tcPr>
          <w:p w14:paraId="0C67EEB8" w14:textId="41914D3B" w:rsidR="0056756C" w:rsidRPr="00053243" w:rsidRDefault="0056756C" w:rsidP="00053243">
            <w:pPr>
              <w:pStyle w:val="Para0bullet"/>
              <w:numPr>
                <w:ilvl w:val="0"/>
                <w:numId w:val="0"/>
              </w:numPr>
              <w:spacing w:after="0"/>
            </w:pPr>
            <w:r>
              <w:t>Groundwater salinity of 22,000</w:t>
            </w:r>
            <w:r w:rsidR="000C1CBA">
              <w:t xml:space="preserve"> mg/L (equivalent to 33,850 EC) (AWE, 2015)</w:t>
            </w:r>
          </w:p>
        </w:tc>
      </w:tr>
      <w:tr w:rsidR="0056756C" w:rsidRPr="001D32F6" w14:paraId="0E79E9E4" w14:textId="77777777" w:rsidTr="0043274A">
        <w:tc>
          <w:tcPr>
            <w:tcW w:w="1074" w:type="pct"/>
          </w:tcPr>
          <w:p w14:paraId="783432EA" w14:textId="7ABD12D5" w:rsidR="0056756C" w:rsidRPr="001D32F6" w:rsidRDefault="0056756C" w:rsidP="0056756C">
            <w:pPr>
              <w:spacing w:after="100"/>
              <w:rPr>
                <w:sz w:val="16"/>
                <w:szCs w:val="16"/>
              </w:rPr>
            </w:pPr>
            <w:r>
              <w:t>Soil salinity</w:t>
            </w:r>
          </w:p>
        </w:tc>
        <w:tc>
          <w:tcPr>
            <w:tcW w:w="3926" w:type="pct"/>
          </w:tcPr>
          <w:p w14:paraId="12E4E4E2" w14:textId="3CCFA64D" w:rsidR="00E57496" w:rsidRDefault="00E57496" w:rsidP="00E57496">
            <w:pPr>
              <w:pStyle w:val="Para0bullet"/>
              <w:numPr>
                <w:ilvl w:val="0"/>
                <w:numId w:val="0"/>
              </w:numPr>
              <w:spacing w:after="0"/>
            </w:pPr>
            <w:r>
              <w:t>The critical salinity for Black Box has been estimated to be 55,000 EC (Overton and Jolly, 2003).</w:t>
            </w:r>
          </w:p>
          <w:p w14:paraId="052BA8C0" w14:textId="77777777" w:rsidR="00CE6C4A" w:rsidRDefault="00CE6C4A" w:rsidP="00E57496">
            <w:pPr>
              <w:pStyle w:val="Para0bullet"/>
              <w:numPr>
                <w:ilvl w:val="0"/>
                <w:numId w:val="0"/>
              </w:numPr>
              <w:spacing w:after="0"/>
            </w:pPr>
          </w:p>
          <w:p w14:paraId="7E5E7307" w14:textId="6E98CB27" w:rsidR="0056756C" w:rsidRDefault="0056756C" w:rsidP="00053243">
            <w:pPr>
              <w:pStyle w:val="Para0bullet"/>
              <w:numPr>
                <w:ilvl w:val="0"/>
                <w:numId w:val="0"/>
              </w:numPr>
              <w:spacing w:after="0"/>
            </w:pPr>
            <w:r>
              <w:t>S</w:t>
            </w:r>
            <w:r w:rsidRPr="00412F29">
              <w:t xml:space="preserve">oil salinity of 39,000 mg/L (equivalent to 60,000 EC or 60,000 </w:t>
            </w:r>
            <w:r w:rsidRPr="007B2D65">
              <w:rPr>
                <w:rFonts w:ascii="Symbol" w:hAnsi="Symbol"/>
              </w:rPr>
              <w:t></w:t>
            </w:r>
            <w:r w:rsidRPr="00412F29">
              <w:t>S/cm)</w:t>
            </w:r>
            <w:r w:rsidR="000C1CBA">
              <w:t xml:space="preserve"> (AWE, 2015)</w:t>
            </w:r>
            <w:r w:rsidR="003C4545">
              <w:t xml:space="preserve"> is </w:t>
            </w:r>
            <w:r w:rsidR="005654F2">
              <w:t>a useful management</w:t>
            </w:r>
            <w:r w:rsidR="003C4545">
              <w:t xml:space="preserve"> threshold for salinity stress. </w:t>
            </w:r>
          </w:p>
          <w:p w14:paraId="05924208" w14:textId="0DA1419A" w:rsidR="003C4545" w:rsidRPr="00053243" w:rsidRDefault="003C4545" w:rsidP="00053243">
            <w:pPr>
              <w:pStyle w:val="Para0bullet"/>
              <w:numPr>
                <w:ilvl w:val="0"/>
                <w:numId w:val="0"/>
              </w:numPr>
              <w:spacing w:after="0"/>
            </w:pPr>
          </w:p>
        </w:tc>
      </w:tr>
    </w:tbl>
    <w:p w14:paraId="6FDF59B7" w14:textId="1625CF2D" w:rsidR="0043274A" w:rsidRDefault="0043274A" w:rsidP="004020F1">
      <w:pPr>
        <w:pStyle w:val="Para0bullet"/>
        <w:numPr>
          <w:ilvl w:val="0"/>
          <w:numId w:val="0"/>
        </w:numPr>
        <w:spacing w:after="0"/>
        <w:rPr>
          <w:rFonts w:ascii="Arial Narrow" w:hAnsi="Arial Narrow"/>
          <w:b/>
        </w:rPr>
      </w:pPr>
    </w:p>
    <w:p w14:paraId="4389BF0C" w14:textId="77777777" w:rsidR="0043274A" w:rsidRDefault="0043274A">
      <w:pPr>
        <w:spacing w:after="0" w:line="240" w:lineRule="auto"/>
        <w:rPr>
          <w:rFonts w:ascii="Arial Narrow" w:hAnsi="Arial Narrow"/>
          <w:b/>
        </w:rPr>
      </w:pPr>
      <w:r>
        <w:rPr>
          <w:rFonts w:ascii="Arial Narrow" w:hAnsi="Arial Narrow"/>
          <w:b/>
        </w:rPr>
        <w:br w:type="page"/>
      </w:r>
    </w:p>
    <w:p w14:paraId="5A5FB2CA" w14:textId="755A5FB4" w:rsidR="00007A73" w:rsidRDefault="00007A73" w:rsidP="00007A73">
      <w:pPr>
        <w:pStyle w:val="Para0"/>
        <w:rPr>
          <w:color w:val="000000" w:themeColor="text1"/>
        </w:rPr>
      </w:pPr>
      <w:r>
        <w:rPr>
          <w:color w:val="000000" w:themeColor="text1"/>
        </w:rPr>
        <w:t>Mapping the area</w:t>
      </w:r>
      <w:r w:rsidR="00025BA7">
        <w:rPr>
          <w:color w:val="000000" w:themeColor="text1"/>
        </w:rPr>
        <w:t xml:space="preserve"> of</w:t>
      </w:r>
      <w:r>
        <w:rPr>
          <w:color w:val="000000" w:themeColor="text1"/>
        </w:rPr>
        <w:t xml:space="preserve"> impact of different stressors could lead to redefining the management units identified from the Black Box condition assessment. The goal of the management units is to map areas of Black Box that will respond similarly from broad management actions. Contiguous areas of similar vegetation condition are likely to be impacted by similar stressors but where there is a clear change in stressor impact across a management unit it should be divided into more than one unit.</w:t>
      </w:r>
    </w:p>
    <w:p w14:paraId="26F960F6" w14:textId="1E9A2768" w:rsidR="00830A6A" w:rsidRDefault="00830A6A" w:rsidP="00007A73">
      <w:pPr>
        <w:pStyle w:val="Para0"/>
        <w:rPr>
          <w:color w:val="000000" w:themeColor="text1"/>
        </w:rPr>
      </w:pPr>
      <w:r>
        <w:rPr>
          <w:color w:val="000000" w:themeColor="text1"/>
        </w:rPr>
        <w:t xml:space="preserve">Following this analysis, the </w:t>
      </w:r>
      <w:r w:rsidR="00804425">
        <w:rPr>
          <w:color w:val="000000" w:themeColor="text1"/>
        </w:rPr>
        <w:t xml:space="preserve">site specific </w:t>
      </w:r>
      <w:r>
        <w:rPr>
          <w:color w:val="000000" w:themeColor="text1"/>
        </w:rPr>
        <w:t>conceptual models should be updated with the identified thresholds and any other information of relevance.</w:t>
      </w:r>
    </w:p>
    <w:p w14:paraId="4F17B5AF" w14:textId="118EA99C" w:rsidR="00390D5A" w:rsidRDefault="007859C1" w:rsidP="00633167">
      <w:pPr>
        <w:pStyle w:val="Para0"/>
        <w:rPr>
          <w:color w:val="000000" w:themeColor="text1"/>
        </w:rPr>
      </w:pPr>
      <w:r w:rsidRPr="00812490">
        <w:rPr>
          <w:noProof/>
          <w:lang w:eastAsia="en-AU"/>
        </w:rPr>
        <mc:AlternateContent>
          <mc:Choice Requires="wps">
            <w:drawing>
              <wp:inline distT="0" distB="0" distL="0" distR="0" wp14:anchorId="290D916D" wp14:editId="0B636402">
                <wp:extent cx="6187045" cy="6115793"/>
                <wp:effectExtent l="57150" t="38100" r="80645" b="94615"/>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7045" cy="6115793"/>
                        </a:xfrm>
                        <a:prstGeom prst="rect">
                          <a:avLst/>
                        </a:prstGeom>
                        <a:solidFill>
                          <a:schemeClr val="accent4">
                            <a:lumMod val="60000"/>
                            <a:lumOff val="40000"/>
                          </a:schemeClr>
                        </a:solidFill>
                        <a:ln w="9525" cap="flat" cmpd="sng" algn="ctr">
                          <a:solidFill>
                            <a:srgbClr val="90AC97">
                              <a:shade val="95000"/>
                              <a:satMod val="105000"/>
                            </a:srgbClr>
                          </a:solidFill>
                          <a:prstDash val="solid"/>
                        </a:ln>
                        <a:effectLst>
                          <a:outerShdw blurRad="40000" dist="20000" dir="5400000" rotWithShape="0">
                            <a:srgbClr val="000000">
                              <a:alpha val="38000"/>
                            </a:srgbClr>
                          </a:outerShdw>
                        </a:effectLst>
                      </wps:spPr>
                      <wps:txbx>
                        <w:txbxContent>
                          <w:p w14:paraId="36B62485" w14:textId="04F51B65" w:rsidR="00CF0933" w:rsidRPr="00A40029" w:rsidRDefault="00CF0933" w:rsidP="007859C1">
                            <w:pPr>
                              <w:spacing w:after="200" w:line="276" w:lineRule="auto"/>
                              <w:rPr>
                                <w:rFonts w:eastAsia="Times New Roman" w:cs="Arial"/>
                                <w:b/>
                                <w:szCs w:val="20"/>
                              </w:rPr>
                            </w:pPr>
                            <w:r w:rsidRPr="00A40029">
                              <w:rPr>
                                <w:rFonts w:eastAsia="Times New Roman" w:cs="Arial"/>
                                <w:b/>
                                <w:szCs w:val="20"/>
                              </w:rPr>
                              <w:t>Case Study Box 3: Analysis of Stressors</w:t>
                            </w:r>
                          </w:p>
                          <w:p w14:paraId="04A3CF1F" w14:textId="4DEF0D8F" w:rsidR="00CF0933" w:rsidRPr="007859C1" w:rsidRDefault="00CF0933" w:rsidP="004A0819">
                            <w:pPr>
                              <w:autoSpaceDE w:val="0"/>
                              <w:autoSpaceDN w:val="0"/>
                              <w:adjustRightInd w:val="0"/>
                              <w:spacing w:before="120" w:after="0" w:line="240" w:lineRule="auto"/>
                              <w:rPr>
                                <w:rFonts w:eastAsia="Times New Roman" w:cs="Arial"/>
                                <w:szCs w:val="20"/>
                              </w:rPr>
                            </w:pPr>
                            <w:r w:rsidRPr="007859C1">
                              <w:rPr>
                                <w:rFonts w:eastAsia="Times New Roman" w:cs="Arial"/>
                                <w:szCs w:val="20"/>
                              </w:rPr>
                              <w:t xml:space="preserve">An </w:t>
                            </w:r>
                            <w:r>
                              <w:rPr>
                                <w:rFonts w:eastAsia="Times New Roman" w:cs="Arial"/>
                                <w:szCs w:val="20"/>
                              </w:rPr>
                              <w:t xml:space="preserve">analysis </w:t>
                            </w:r>
                            <w:r w:rsidRPr="007859C1">
                              <w:rPr>
                                <w:rFonts w:eastAsia="Times New Roman" w:cs="Arial"/>
                                <w:szCs w:val="20"/>
                              </w:rPr>
                              <w:t>of stressors at</w:t>
                            </w:r>
                            <w:r>
                              <w:rPr>
                                <w:rFonts w:eastAsia="Times New Roman" w:cs="Arial"/>
                                <w:szCs w:val="20"/>
                              </w:rPr>
                              <w:t xml:space="preserve"> Calperum Station was conducted </w:t>
                            </w:r>
                            <w:r w:rsidRPr="007859C1">
                              <w:rPr>
                                <w:rFonts w:eastAsia="Times New Roman" w:cs="Arial"/>
                                <w:szCs w:val="20"/>
                              </w:rPr>
                              <w:t xml:space="preserve">to </w:t>
                            </w:r>
                            <w:r>
                              <w:rPr>
                                <w:rFonts w:eastAsia="Times New Roman" w:cs="Arial"/>
                                <w:szCs w:val="20"/>
                              </w:rPr>
                              <w:t xml:space="preserve">validate the conceptual models (refer case study box 2), </w:t>
                            </w:r>
                            <w:r w:rsidRPr="007859C1">
                              <w:rPr>
                                <w:rFonts w:eastAsia="Times New Roman" w:cs="Arial"/>
                                <w:szCs w:val="20"/>
                              </w:rPr>
                              <w:t xml:space="preserve">explain variability in Black Box condition, and further break Black Box vegetation patches into management units based upon their primary stressor. The steps undertaken are described below. </w:t>
                            </w:r>
                          </w:p>
                          <w:p w14:paraId="0879451B" w14:textId="32DD3C9D" w:rsidR="00CF0933" w:rsidRPr="007859C1" w:rsidRDefault="00CF0933" w:rsidP="00F22225">
                            <w:pPr>
                              <w:numPr>
                                <w:ilvl w:val="0"/>
                                <w:numId w:val="56"/>
                              </w:numPr>
                              <w:autoSpaceDE w:val="0"/>
                              <w:autoSpaceDN w:val="0"/>
                              <w:adjustRightInd w:val="0"/>
                              <w:spacing w:before="120" w:after="0" w:line="240" w:lineRule="auto"/>
                              <w:ind w:left="360"/>
                              <w:rPr>
                                <w:rFonts w:eastAsia="Times New Roman" w:cs="Arial"/>
                                <w:b/>
                                <w:szCs w:val="20"/>
                              </w:rPr>
                            </w:pPr>
                            <w:r>
                              <w:rPr>
                                <w:rFonts w:eastAsia="Times New Roman" w:cs="Arial"/>
                                <w:b/>
                                <w:szCs w:val="20"/>
                              </w:rPr>
                              <w:t xml:space="preserve">Data </w:t>
                            </w:r>
                            <w:r w:rsidRPr="007859C1">
                              <w:rPr>
                                <w:rFonts w:eastAsia="Times New Roman" w:cs="Arial"/>
                                <w:b/>
                                <w:szCs w:val="20"/>
                              </w:rPr>
                              <w:t xml:space="preserve">Collection </w:t>
                            </w:r>
                            <w:r>
                              <w:rPr>
                                <w:rFonts w:eastAsia="Times New Roman" w:cs="Arial"/>
                                <w:b/>
                                <w:szCs w:val="20"/>
                              </w:rPr>
                              <w:t>for S</w:t>
                            </w:r>
                            <w:r w:rsidRPr="007859C1">
                              <w:rPr>
                                <w:rFonts w:eastAsia="Times New Roman" w:cs="Arial"/>
                                <w:b/>
                                <w:szCs w:val="20"/>
                              </w:rPr>
                              <w:t xml:space="preserve">tressors </w:t>
                            </w:r>
                            <w:r>
                              <w:rPr>
                                <w:rFonts w:eastAsia="Times New Roman" w:cs="Arial"/>
                                <w:b/>
                                <w:szCs w:val="20"/>
                              </w:rPr>
                              <w:t>T</w:t>
                            </w:r>
                            <w:r w:rsidRPr="007859C1">
                              <w:rPr>
                                <w:rFonts w:eastAsia="Times New Roman" w:cs="Arial"/>
                                <w:b/>
                                <w:szCs w:val="20"/>
                              </w:rPr>
                              <w:t xml:space="preserve">hroughout the </w:t>
                            </w:r>
                            <w:r>
                              <w:rPr>
                                <w:rFonts w:eastAsia="Times New Roman" w:cs="Arial"/>
                                <w:b/>
                                <w:szCs w:val="20"/>
                              </w:rPr>
                              <w:t>S</w:t>
                            </w:r>
                            <w:r w:rsidRPr="007859C1">
                              <w:rPr>
                                <w:rFonts w:eastAsia="Times New Roman" w:cs="Arial"/>
                                <w:b/>
                                <w:szCs w:val="20"/>
                              </w:rPr>
                              <w:t>ite</w:t>
                            </w:r>
                          </w:p>
                          <w:p w14:paraId="2F5CC126" w14:textId="4005ACF0" w:rsidR="00CF0933" w:rsidRPr="007859C1" w:rsidRDefault="00CF0933" w:rsidP="004A0819">
                            <w:pPr>
                              <w:autoSpaceDE w:val="0"/>
                              <w:autoSpaceDN w:val="0"/>
                              <w:adjustRightInd w:val="0"/>
                              <w:spacing w:before="120" w:after="0" w:line="240" w:lineRule="auto"/>
                              <w:rPr>
                                <w:rFonts w:eastAsia="Times New Roman" w:cs="Arial"/>
                                <w:szCs w:val="20"/>
                              </w:rPr>
                            </w:pPr>
                            <w:r>
                              <w:rPr>
                                <w:rFonts w:eastAsia="Times New Roman" w:cs="Arial"/>
                                <w:szCs w:val="20"/>
                              </w:rPr>
                              <w:t xml:space="preserve">Data was collected for each of the potential stressor categories shown in </w:t>
                            </w:r>
                            <w:r>
                              <w:rPr>
                                <w:rFonts w:eastAsia="Times New Roman" w:cs="Arial"/>
                                <w:szCs w:val="20"/>
                              </w:rPr>
                              <w:fldChar w:fldCharType="begin"/>
                            </w:r>
                            <w:r>
                              <w:rPr>
                                <w:rFonts w:eastAsia="Times New Roman" w:cs="Arial"/>
                                <w:szCs w:val="20"/>
                              </w:rPr>
                              <w:instrText xml:space="preserve"> REF _Ref504555730 \h </w:instrText>
                            </w:r>
                            <w:r>
                              <w:rPr>
                                <w:rFonts w:eastAsia="Times New Roman" w:cs="Arial"/>
                                <w:szCs w:val="20"/>
                              </w:rPr>
                            </w:r>
                            <w:r>
                              <w:rPr>
                                <w:rFonts w:eastAsia="Times New Roman" w:cs="Arial"/>
                                <w:szCs w:val="20"/>
                              </w:rPr>
                              <w:fldChar w:fldCharType="separate"/>
                            </w:r>
                            <w:r w:rsidRPr="001D32F6">
                              <w:t xml:space="preserve">Table </w:t>
                            </w:r>
                            <w:r>
                              <w:rPr>
                                <w:noProof/>
                              </w:rPr>
                              <w:t>3</w:t>
                            </w:r>
                            <w:r>
                              <w:noBreakHyphen/>
                            </w:r>
                            <w:r>
                              <w:rPr>
                                <w:noProof/>
                              </w:rPr>
                              <w:t>6</w:t>
                            </w:r>
                            <w:r>
                              <w:rPr>
                                <w:rFonts w:eastAsia="Times New Roman" w:cs="Arial"/>
                                <w:szCs w:val="20"/>
                              </w:rPr>
                              <w:fldChar w:fldCharType="end"/>
                            </w:r>
                            <w:r>
                              <w:rPr>
                                <w:rFonts w:eastAsia="Times New Roman" w:cs="Arial"/>
                                <w:szCs w:val="20"/>
                              </w:rPr>
                              <w:t>. The following datasets (</w:t>
                            </w:r>
                            <w:r w:rsidRPr="007859C1">
                              <w:rPr>
                                <w:rFonts w:eastAsia="Times New Roman" w:cs="Arial"/>
                                <w:szCs w:val="20"/>
                              </w:rPr>
                              <w:t>soil salinity, groundwater salinity, and water table elevation</w:t>
                            </w:r>
                            <w:r>
                              <w:rPr>
                                <w:rFonts w:eastAsia="Times New Roman" w:cs="Arial"/>
                                <w:szCs w:val="20"/>
                              </w:rPr>
                              <w:t>)</w:t>
                            </w:r>
                            <w:r w:rsidRPr="007859C1">
                              <w:rPr>
                                <w:rFonts w:eastAsia="Times New Roman" w:cs="Arial"/>
                                <w:szCs w:val="20"/>
                              </w:rPr>
                              <w:t xml:space="preserve">, were </w:t>
                            </w:r>
                            <w:r>
                              <w:rPr>
                                <w:rFonts w:eastAsia="Times New Roman" w:cs="Arial"/>
                                <w:szCs w:val="20"/>
                              </w:rPr>
                              <w:t xml:space="preserve">available from previous site studies, and were </w:t>
                            </w:r>
                            <w:r w:rsidRPr="007859C1">
                              <w:rPr>
                                <w:rFonts w:eastAsia="Times New Roman" w:cs="Arial"/>
                                <w:szCs w:val="20"/>
                              </w:rPr>
                              <w:t xml:space="preserve">provided by the ALT: </w:t>
                            </w:r>
                          </w:p>
                          <w:p w14:paraId="146AAC51" w14:textId="246083EC" w:rsidR="00CF0933" w:rsidRPr="007859C1" w:rsidRDefault="00CF0933" w:rsidP="00F22225">
                            <w:pPr>
                              <w:numPr>
                                <w:ilvl w:val="0"/>
                                <w:numId w:val="66"/>
                              </w:numPr>
                              <w:spacing w:before="120" w:after="0" w:line="240" w:lineRule="auto"/>
                              <w:ind w:left="360"/>
                              <w:rPr>
                                <w:rFonts w:eastAsia="Calibri" w:cs="Arial"/>
                                <w:szCs w:val="20"/>
                              </w:rPr>
                            </w:pPr>
                            <w:r w:rsidRPr="007859C1">
                              <w:rPr>
                                <w:rFonts w:eastAsia="Calibri" w:cs="Arial"/>
                                <w:szCs w:val="20"/>
                              </w:rPr>
                              <w:t xml:space="preserve">Depth to groundwater: Depth to groundwater was calculated by taking the difference between a water table surface produced by ABARES, and a DEM. Polygons with depth to groundwater &lt;6m were identified as being at a potential risk of stress due to shallow groundwater depth. </w:t>
                            </w:r>
                          </w:p>
                          <w:p w14:paraId="5B616D46" w14:textId="41C70FAC" w:rsidR="00CF0933" w:rsidRPr="007859C1" w:rsidRDefault="00CF0933" w:rsidP="00F22225">
                            <w:pPr>
                              <w:numPr>
                                <w:ilvl w:val="0"/>
                                <w:numId w:val="65"/>
                              </w:numPr>
                              <w:autoSpaceDE w:val="0"/>
                              <w:autoSpaceDN w:val="0"/>
                              <w:adjustRightInd w:val="0"/>
                              <w:spacing w:before="120" w:after="0" w:line="240" w:lineRule="auto"/>
                              <w:ind w:left="360"/>
                              <w:rPr>
                                <w:rFonts w:eastAsia="Times New Roman" w:cs="Arial"/>
                                <w:szCs w:val="20"/>
                              </w:rPr>
                            </w:pPr>
                            <w:r w:rsidRPr="007859C1">
                              <w:rPr>
                                <w:rFonts w:eastAsia="Times New Roman" w:cs="Arial"/>
                                <w:szCs w:val="20"/>
                              </w:rPr>
                              <w:t>Soil type: A soil classification layer developed by ABARES (2011) was reclassified into a binary sand or clay layer for the purposes of identifying the two major types of soil profiles which impact groundwater recharge and soil leaching. The floodplain on Calperum station is primarily clay soils, with sandy soils and dunes present at high elevations.</w:t>
                            </w:r>
                            <w:r w:rsidRPr="00397C5A">
                              <w:rPr>
                                <w:rFonts w:eastAsia="Calibri" w:cs="Arial"/>
                                <w:szCs w:val="20"/>
                              </w:rPr>
                              <w:t xml:space="preserve"> </w:t>
                            </w:r>
                          </w:p>
                          <w:p w14:paraId="43AA0C11" w14:textId="5ED268E3" w:rsidR="00CF0933" w:rsidRPr="007859C1" w:rsidRDefault="00CF0933" w:rsidP="00F22225">
                            <w:pPr>
                              <w:numPr>
                                <w:ilvl w:val="0"/>
                                <w:numId w:val="65"/>
                              </w:numPr>
                              <w:autoSpaceDE w:val="0"/>
                              <w:autoSpaceDN w:val="0"/>
                              <w:adjustRightInd w:val="0"/>
                              <w:spacing w:before="120" w:after="0" w:line="240" w:lineRule="auto"/>
                              <w:ind w:left="360"/>
                              <w:rPr>
                                <w:rFonts w:eastAsia="Times New Roman" w:cs="Arial"/>
                                <w:szCs w:val="20"/>
                              </w:rPr>
                            </w:pPr>
                            <w:r w:rsidRPr="007859C1">
                              <w:rPr>
                                <w:rFonts w:eastAsia="Times New Roman" w:cs="Arial"/>
                                <w:szCs w:val="20"/>
                              </w:rPr>
                              <w:t>Soil salinity: Soil salinity from the ABARES AEM inversion grids was mapped to identify areas of high soil salinity. Soil salinity derived from the AEM inversion grids is reported in μS/cm. Soil Salinity surfaces reported in the following figures was reported at depths of 0-2m, 2-4m, 4-6m and 6-9m from the surface.</w:t>
                            </w:r>
                            <w:r>
                              <w:rPr>
                                <w:rFonts w:eastAsia="Times New Roman" w:cs="Arial"/>
                                <w:szCs w:val="20"/>
                              </w:rPr>
                              <w:t xml:space="preserve"> </w:t>
                            </w:r>
                          </w:p>
                          <w:p w14:paraId="6D9DC8C2" w14:textId="77777777" w:rsidR="00CF0933" w:rsidRPr="007859C1" w:rsidRDefault="00CF0933" w:rsidP="00F22225">
                            <w:pPr>
                              <w:numPr>
                                <w:ilvl w:val="0"/>
                                <w:numId w:val="65"/>
                              </w:numPr>
                              <w:autoSpaceDE w:val="0"/>
                              <w:autoSpaceDN w:val="0"/>
                              <w:adjustRightInd w:val="0"/>
                              <w:spacing w:before="120" w:after="0" w:line="240" w:lineRule="auto"/>
                              <w:ind w:left="360"/>
                              <w:rPr>
                                <w:rFonts w:eastAsia="Times New Roman" w:cs="Arial"/>
                                <w:szCs w:val="20"/>
                              </w:rPr>
                            </w:pPr>
                            <w:r w:rsidRPr="007859C1">
                              <w:rPr>
                                <w:rFonts w:eastAsia="Times New Roman" w:cs="Arial"/>
                                <w:szCs w:val="20"/>
                              </w:rPr>
                              <w:t xml:space="preserve">Groundwater salinity: Groundwater salinity has been mapped using the ABARES data provided. This dataset describes pore water conductivity in the soil 5m below the watertable, and was estimated based on average bulk conductivity from Holistic inversion data from the Calperum AEM survey and assumed soil porosity values for the Calperum region. The greatest groundwater salinity values are between 20,000-27,845 μS/cm. Areas of concern are central Reny Island, south of Woolpolool Swamp, and South of Lake Clover. </w:t>
                            </w:r>
                          </w:p>
                          <w:p w14:paraId="34EEE90A" w14:textId="0920B4AB" w:rsidR="00CF0933" w:rsidRDefault="00CF0933" w:rsidP="00F22225">
                            <w:pPr>
                              <w:numPr>
                                <w:ilvl w:val="0"/>
                                <w:numId w:val="65"/>
                              </w:numPr>
                              <w:autoSpaceDE w:val="0"/>
                              <w:autoSpaceDN w:val="0"/>
                              <w:adjustRightInd w:val="0"/>
                              <w:spacing w:before="120" w:after="0" w:line="240" w:lineRule="auto"/>
                              <w:ind w:left="360"/>
                              <w:rPr>
                                <w:rFonts w:eastAsia="Times New Roman" w:cs="Arial"/>
                                <w:szCs w:val="20"/>
                              </w:rPr>
                            </w:pPr>
                            <w:r w:rsidRPr="007859C1">
                              <w:rPr>
                                <w:rFonts w:eastAsia="Times New Roman" w:cs="Arial"/>
                                <w:szCs w:val="20"/>
                              </w:rPr>
                              <w:t xml:space="preserve">Flooding Frequency: Commence to Fill (CTF) was used from the RiM-FIM (Overton, 2005) to provide the River Murray inflow exceedance to inundate areas within Calperum Station. A map showing the areas under different CTF flows was developed to identify areas of higher and lower flooding frequency. </w:t>
                            </w:r>
                          </w:p>
                          <w:p w14:paraId="46BFAE15" w14:textId="77777777" w:rsidR="00CF0933" w:rsidRPr="004A0819" w:rsidRDefault="00CF0933" w:rsidP="004A0819">
                            <w:pPr>
                              <w:autoSpaceDE w:val="0"/>
                              <w:autoSpaceDN w:val="0"/>
                              <w:adjustRightInd w:val="0"/>
                              <w:spacing w:before="120" w:after="0" w:line="240" w:lineRule="auto"/>
                              <w:ind w:left="360"/>
                              <w:rPr>
                                <w:rFonts w:eastAsia="Times New Roman" w:cs="Arial"/>
                                <w:szCs w:val="20"/>
                              </w:rPr>
                            </w:pPr>
                          </w:p>
                          <w:p w14:paraId="57289A9F" w14:textId="3ED77CC0" w:rsidR="00CF0933" w:rsidRDefault="00CF0933" w:rsidP="007859C1">
                            <w:pPr>
                              <w:rPr>
                                <w:rFonts w:eastAsia="Times New Roman" w:cs="Arial"/>
                                <w:szCs w:val="20"/>
                              </w:rPr>
                            </w:pPr>
                            <w:r>
                              <w:rPr>
                                <w:rFonts w:eastAsia="Times New Roman" w:cs="Arial"/>
                                <w:szCs w:val="20"/>
                              </w:rPr>
                              <w:t xml:space="preserve">Since the ABARES and CTF data that was used was specific to the Calperum Station site, a “moderate” confidence level was applied to each data source. This amount of data may not be available at all sites. For each site investigation, practitioners should refer to </w:t>
                            </w:r>
                            <w:r>
                              <w:rPr>
                                <w:rFonts w:eastAsia="Times New Roman" w:cs="Arial"/>
                                <w:szCs w:val="20"/>
                              </w:rPr>
                              <w:fldChar w:fldCharType="begin"/>
                            </w:r>
                            <w:r>
                              <w:rPr>
                                <w:rFonts w:eastAsia="Times New Roman" w:cs="Arial"/>
                                <w:szCs w:val="20"/>
                              </w:rPr>
                              <w:instrText xml:space="preserve"> REF _Ref504555730 \h  \* MERGEFORMAT </w:instrText>
                            </w:r>
                            <w:r>
                              <w:rPr>
                                <w:rFonts w:eastAsia="Times New Roman" w:cs="Arial"/>
                                <w:szCs w:val="20"/>
                              </w:rPr>
                            </w:r>
                            <w:r>
                              <w:rPr>
                                <w:rFonts w:eastAsia="Times New Roman" w:cs="Arial"/>
                                <w:szCs w:val="20"/>
                              </w:rPr>
                              <w:fldChar w:fldCharType="separate"/>
                            </w:r>
                            <w:r w:rsidRPr="00BF015B">
                              <w:rPr>
                                <w:rFonts w:eastAsia="Times New Roman" w:cs="Arial"/>
                                <w:szCs w:val="20"/>
                              </w:rPr>
                              <w:t>Table 3</w:t>
                            </w:r>
                            <w:r w:rsidRPr="00BF015B">
                              <w:rPr>
                                <w:rFonts w:eastAsia="Times New Roman" w:cs="Arial"/>
                                <w:szCs w:val="20"/>
                              </w:rPr>
                              <w:noBreakHyphen/>
                              <w:t>6</w:t>
                            </w:r>
                            <w:r>
                              <w:rPr>
                                <w:rFonts w:eastAsia="Times New Roman" w:cs="Arial"/>
                                <w:szCs w:val="20"/>
                              </w:rPr>
                              <w:fldChar w:fldCharType="end"/>
                            </w:r>
                            <w:r>
                              <w:rPr>
                                <w:rFonts w:eastAsia="Times New Roman" w:cs="Arial"/>
                                <w:szCs w:val="20"/>
                              </w:rPr>
                              <w:t xml:space="preserve">, find out what data is currently available, complete a confidence assessment, and determine whether collection of additional data is required. </w:t>
                            </w:r>
                          </w:p>
                          <w:p w14:paraId="0C8A49BD" w14:textId="77777777" w:rsidR="00CF0933" w:rsidRDefault="00CF0933" w:rsidP="007859C1">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90D916D" id="Text Box 88" o:spid="_x0000_s1029" type="#_x0000_t202" style="width:487.15pt;height:48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" fillcolor="#bccdc0 [1943]" strokecolor="#8ca993">
                <v:shadow on="t" color="black" opacity="24903f" origin=",.5" offset="0,.55556mm"/>
                <v:path arrowok="t"/>
                <v:textbox>
                  <w:txbxContent>
                    <w:p w14:paraId="36B62485" w14:textId="04F51B65" w:rsidR="00CF0933" w:rsidRPr="00A40029" w:rsidRDefault="00CF0933" w:rsidP="007859C1">
                      <w:pPr>
                        <w:spacing w:after="200" w:line="276" w:lineRule="auto"/>
                        <w:rPr>
                          <w:rFonts w:eastAsia="Times New Roman" w:cs="Arial"/>
                          <w:b/>
                          <w:szCs w:val="20"/>
                        </w:rPr>
                      </w:pPr>
                      <w:r w:rsidRPr="00A40029">
                        <w:rPr>
                          <w:rFonts w:eastAsia="Times New Roman" w:cs="Arial"/>
                          <w:b/>
                          <w:szCs w:val="20"/>
                        </w:rPr>
                        <w:t>Case Study Box 3: Analysis of Stressors</w:t>
                      </w:r>
                    </w:p>
                    <w:p w14:paraId="04A3CF1F" w14:textId="4DEF0D8F" w:rsidR="00CF0933" w:rsidRPr="007859C1" w:rsidRDefault="00CF0933" w:rsidP="004A0819">
                      <w:pPr>
                        <w:autoSpaceDE w:val="0"/>
                        <w:autoSpaceDN w:val="0"/>
                        <w:adjustRightInd w:val="0"/>
                        <w:spacing w:before="120" w:after="0" w:line="240" w:lineRule="auto"/>
                        <w:rPr>
                          <w:rFonts w:eastAsia="Times New Roman" w:cs="Arial"/>
                          <w:szCs w:val="20"/>
                        </w:rPr>
                      </w:pPr>
                      <w:r w:rsidRPr="007859C1">
                        <w:rPr>
                          <w:rFonts w:eastAsia="Times New Roman" w:cs="Arial"/>
                          <w:szCs w:val="20"/>
                        </w:rPr>
                        <w:t xml:space="preserve">An </w:t>
                      </w:r>
                      <w:r>
                        <w:rPr>
                          <w:rFonts w:eastAsia="Times New Roman" w:cs="Arial"/>
                          <w:szCs w:val="20"/>
                        </w:rPr>
                        <w:t xml:space="preserve">analysis </w:t>
                      </w:r>
                      <w:r w:rsidRPr="007859C1">
                        <w:rPr>
                          <w:rFonts w:eastAsia="Times New Roman" w:cs="Arial"/>
                          <w:szCs w:val="20"/>
                        </w:rPr>
                        <w:t>of stressors at</w:t>
                      </w:r>
                      <w:r>
                        <w:rPr>
                          <w:rFonts w:eastAsia="Times New Roman" w:cs="Arial"/>
                          <w:szCs w:val="20"/>
                        </w:rPr>
                        <w:t xml:space="preserve"> Calperum Station was conducted </w:t>
                      </w:r>
                      <w:r w:rsidRPr="007859C1">
                        <w:rPr>
                          <w:rFonts w:eastAsia="Times New Roman" w:cs="Arial"/>
                          <w:szCs w:val="20"/>
                        </w:rPr>
                        <w:t xml:space="preserve">to </w:t>
                      </w:r>
                      <w:r>
                        <w:rPr>
                          <w:rFonts w:eastAsia="Times New Roman" w:cs="Arial"/>
                          <w:szCs w:val="20"/>
                        </w:rPr>
                        <w:t xml:space="preserve">validate the conceptual models (refer case study box 2), </w:t>
                      </w:r>
                      <w:r w:rsidRPr="007859C1">
                        <w:rPr>
                          <w:rFonts w:eastAsia="Times New Roman" w:cs="Arial"/>
                          <w:szCs w:val="20"/>
                        </w:rPr>
                        <w:t xml:space="preserve">explain variability in Black Box condition, and further break Black Box vegetation patches into management units based upon their primary stressor. The steps undertaken are described below. </w:t>
                      </w:r>
                    </w:p>
                    <w:p w14:paraId="0879451B" w14:textId="32DD3C9D" w:rsidR="00CF0933" w:rsidRPr="007859C1" w:rsidRDefault="00CF0933" w:rsidP="00F22225">
                      <w:pPr>
                        <w:numPr>
                          <w:ilvl w:val="0"/>
                          <w:numId w:val="56"/>
                        </w:numPr>
                        <w:autoSpaceDE w:val="0"/>
                        <w:autoSpaceDN w:val="0"/>
                        <w:adjustRightInd w:val="0"/>
                        <w:spacing w:before="120" w:after="0" w:line="240" w:lineRule="auto"/>
                        <w:ind w:left="360"/>
                        <w:rPr>
                          <w:rFonts w:eastAsia="Times New Roman" w:cs="Arial"/>
                          <w:b/>
                          <w:szCs w:val="20"/>
                        </w:rPr>
                      </w:pPr>
                      <w:r>
                        <w:rPr>
                          <w:rFonts w:eastAsia="Times New Roman" w:cs="Arial"/>
                          <w:b/>
                          <w:szCs w:val="20"/>
                        </w:rPr>
                        <w:t xml:space="preserve">Data </w:t>
                      </w:r>
                      <w:r w:rsidRPr="007859C1">
                        <w:rPr>
                          <w:rFonts w:eastAsia="Times New Roman" w:cs="Arial"/>
                          <w:b/>
                          <w:szCs w:val="20"/>
                        </w:rPr>
                        <w:t xml:space="preserve">Collection </w:t>
                      </w:r>
                      <w:r>
                        <w:rPr>
                          <w:rFonts w:eastAsia="Times New Roman" w:cs="Arial"/>
                          <w:b/>
                          <w:szCs w:val="20"/>
                        </w:rPr>
                        <w:t>for S</w:t>
                      </w:r>
                      <w:r w:rsidRPr="007859C1">
                        <w:rPr>
                          <w:rFonts w:eastAsia="Times New Roman" w:cs="Arial"/>
                          <w:b/>
                          <w:szCs w:val="20"/>
                        </w:rPr>
                        <w:t xml:space="preserve">tressors </w:t>
                      </w:r>
                      <w:r>
                        <w:rPr>
                          <w:rFonts w:eastAsia="Times New Roman" w:cs="Arial"/>
                          <w:b/>
                          <w:szCs w:val="20"/>
                        </w:rPr>
                        <w:t>T</w:t>
                      </w:r>
                      <w:r w:rsidRPr="007859C1">
                        <w:rPr>
                          <w:rFonts w:eastAsia="Times New Roman" w:cs="Arial"/>
                          <w:b/>
                          <w:szCs w:val="20"/>
                        </w:rPr>
                        <w:t xml:space="preserve">hroughout the </w:t>
                      </w:r>
                      <w:r>
                        <w:rPr>
                          <w:rFonts w:eastAsia="Times New Roman" w:cs="Arial"/>
                          <w:b/>
                          <w:szCs w:val="20"/>
                        </w:rPr>
                        <w:t>S</w:t>
                      </w:r>
                      <w:r w:rsidRPr="007859C1">
                        <w:rPr>
                          <w:rFonts w:eastAsia="Times New Roman" w:cs="Arial"/>
                          <w:b/>
                          <w:szCs w:val="20"/>
                        </w:rPr>
                        <w:t>ite</w:t>
                      </w:r>
                    </w:p>
                    <w:p w14:paraId="2F5CC126" w14:textId="4005ACF0" w:rsidR="00CF0933" w:rsidRPr="007859C1" w:rsidRDefault="00CF0933" w:rsidP="004A0819">
                      <w:pPr>
                        <w:autoSpaceDE w:val="0"/>
                        <w:autoSpaceDN w:val="0"/>
                        <w:adjustRightInd w:val="0"/>
                        <w:spacing w:before="120" w:after="0" w:line="240" w:lineRule="auto"/>
                        <w:rPr>
                          <w:rFonts w:eastAsia="Times New Roman" w:cs="Arial"/>
                          <w:szCs w:val="20"/>
                        </w:rPr>
                      </w:pPr>
                      <w:r>
                        <w:rPr>
                          <w:rFonts w:eastAsia="Times New Roman" w:cs="Arial"/>
                          <w:szCs w:val="20"/>
                        </w:rPr>
                        <w:t xml:space="preserve">Data was collected for each of the potential stressor categories shown in </w:t>
                      </w:r>
                      <w:r>
                        <w:rPr>
                          <w:rFonts w:eastAsia="Times New Roman" w:cs="Arial"/>
                          <w:szCs w:val="20"/>
                        </w:rPr>
                        <w:fldChar w:fldCharType="begin"/>
                      </w:r>
                      <w:r>
                        <w:rPr>
                          <w:rFonts w:eastAsia="Times New Roman" w:cs="Arial"/>
                          <w:szCs w:val="20"/>
                        </w:rPr>
                        <w:instrText xml:space="preserve"> REF _Ref504555730 \h </w:instrText>
                      </w:r>
                      <w:r>
                        <w:rPr>
                          <w:rFonts w:eastAsia="Times New Roman" w:cs="Arial"/>
                          <w:szCs w:val="20"/>
                        </w:rPr>
                      </w:r>
                      <w:r>
                        <w:rPr>
                          <w:rFonts w:eastAsia="Times New Roman" w:cs="Arial"/>
                          <w:szCs w:val="20"/>
                        </w:rPr>
                        <w:fldChar w:fldCharType="separate"/>
                      </w:r>
                      <w:r w:rsidRPr="001D32F6">
                        <w:t xml:space="preserve">Table </w:t>
                      </w:r>
                      <w:r>
                        <w:rPr>
                          <w:noProof/>
                        </w:rPr>
                        <w:t>3</w:t>
                      </w:r>
                      <w:r>
                        <w:noBreakHyphen/>
                      </w:r>
                      <w:r>
                        <w:rPr>
                          <w:noProof/>
                        </w:rPr>
                        <w:t>6</w:t>
                      </w:r>
                      <w:r>
                        <w:rPr>
                          <w:rFonts w:eastAsia="Times New Roman" w:cs="Arial"/>
                          <w:szCs w:val="20"/>
                        </w:rPr>
                        <w:fldChar w:fldCharType="end"/>
                      </w:r>
                      <w:r>
                        <w:rPr>
                          <w:rFonts w:eastAsia="Times New Roman" w:cs="Arial"/>
                          <w:szCs w:val="20"/>
                        </w:rPr>
                        <w:t>. The following datasets (</w:t>
                      </w:r>
                      <w:r w:rsidRPr="007859C1">
                        <w:rPr>
                          <w:rFonts w:eastAsia="Times New Roman" w:cs="Arial"/>
                          <w:szCs w:val="20"/>
                        </w:rPr>
                        <w:t>soil salinity, groundwater salinity, and water table elevation</w:t>
                      </w:r>
                      <w:r>
                        <w:rPr>
                          <w:rFonts w:eastAsia="Times New Roman" w:cs="Arial"/>
                          <w:szCs w:val="20"/>
                        </w:rPr>
                        <w:t>)</w:t>
                      </w:r>
                      <w:r w:rsidRPr="007859C1">
                        <w:rPr>
                          <w:rFonts w:eastAsia="Times New Roman" w:cs="Arial"/>
                          <w:szCs w:val="20"/>
                        </w:rPr>
                        <w:t xml:space="preserve">, were </w:t>
                      </w:r>
                      <w:r>
                        <w:rPr>
                          <w:rFonts w:eastAsia="Times New Roman" w:cs="Arial"/>
                          <w:szCs w:val="20"/>
                        </w:rPr>
                        <w:t xml:space="preserve">available from previous site studies, and were </w:t>
                      </w:r>
                      <w:r w:rsidRPr="007859C1">
                        <w:rPr>
                          <w:rFonts w:eastAsia="Times New Roman" w:cs="Arial"/>
                          <w:szCs w:val="20"/>
                        </w:rPr>
                        <w:t xml:space="preserve">provided by the ALT: </w:t>
                      </w:r>
                    </w:p>
                    <w:p w14:paraId="146AAC51" w14:textId="246083EC" w:rsidR="00CF0933" w:rsidRPr="007859C1" w:rsidRDefault="00CF0933" w:rsidP="00F22225">
                      <w:pPr>
                        <w:numPr>
                          <w:ilvl w:val="0"/>
                          <w:numId w:val="66"/>
                        </w:numPr>
                        <w:spacing w:before="120" w:after="0" w:line="240" w:lineRule="auto"/>
                        <w:ind w:left="360"/>
                        <w:rPr>
                          <w:rFonts w:eastAsia="Calibri" w:cs="Arial"/>
                          <w:szCs w:val="20"/>
                        </w:rPr>
                      </w:pPr>
                      <w:r w:rsidRPr="007859C1">
                        <w:rPr>
                          <w:rFonts w:eastAsia="Calibri" w:cs="Arial"/>
                          <w:szCs w:val="20"/>
                        </w:rPr>
                        <w:t xml:space="preserve">Depth to groundwater: Depth to groundwater was calculated by taking the difference between a water table surface produced by ABARES, and a DEM. Polygons with depth to groundwater &lt;6m were identified as being at a potential risk of stress due to shallow groundwater depth. </w:t>
                      </w:r>
                    </w:p>
                    <w:p w14:paraId="5B616D46" w14:textId="41C70FAC" w:rsidR="00CF0933" w:rsidRPr="007859C1" w:rsidRDefault="00CF0933" w:rsidP="00F22225">
                      <w:pPr>
                        <w:numPr>
                          <w:ilvl w:val="0"/>
                          <w:numId w:val="65"/>
                        </w:numPr>
                        <w:autoSpaceDE w:val="0"/>
                        <w:autoSpaceDN w:val="0"/>
                        <w:adjustRightInd w:val="0"/>
                        <w:spacing w:before="120" w:after="0" w:line="240" w:lineRule="auto"/>
                        <w:ind w:left="360"/>
                        <w:rPr>
                          <w:rFonts w:eastAsia="Times New Roman" w:cs="Arial"/>
                          <w:szCs w:val="20"/>
                        </w:rPr>
                      </w:pPr>
                      <w:r w:rsidRPr="007859C1">
                        <w:rPr>
                          <w:rFonts w:eastAsia="Times New Roman" w:cs="Arial"/>
                          <w:szCs w:val="20"/>
                        </w:rPr>
                        <w:t>Soil type: A soil classification layer developed by ABARES (2011) was reclassified into a binary sand or clay layer for the purposes of identifying the two major types of soil profiles which impact groundwater recharge and soil leaching. The floodplain on Calperum station is primarily clay soils, with sandy soils and dunes present at high elevations.</w:t>
                      </w:r>
                      <w:r w:rsidRPr="00397C5A">
                        <w:rPr>
                          <w:rFonts w:eastAsia="Calibri" w:cs="Arial"/>
                          <w:szCs w:val="20"/>
                        </w:rPr>
                        <w:t xml:space="preserve"> </w:t>
                      </w:r>
                    </w:p>
                    <w:p w14:paraId="43AA0C11" w14:textId="5ED268E3" w:rsidR="00CF0933" w:rsidRPr="007859C1" w:rsidRDefault="00CF0933" w:rsidP="00F22225">
                      <w:pPr>
                        <w:numPr>
                          <w:ilvl w:val="0"/>
                          <w:numId w:val="65"/>
                        </w:numPr>
                        <w:autoSpaceDE w:val="0"/>
                        <w:autoSpaceDN w:val="0"/>
                        <w:adjustRightInd w:val="0"/>
                        <w:spacing w:before="120" w:after="0" w:line="240" w:lineRule="auto"/>
                        <w:ind w:left="360"/>
                        <w:rPr>
                          <w:rFonts w:eastAsia="Times New Roman" w:cs="Arial"/>
                          <w:szCs w:val="20"/>
                        </w:rPr>
                      </w:pPr>
                      <w:r w:rsidRPr="007859C1">
                        <w:rPr>
                          <w:rFonts w:eastAsia="Times New Roman" w:cs="Arial"/>
                          <w:szCs w:val="20"/>
                        </w:rPr>
                        <w:t>Soil salinity: Soil salinity from the ABARES AEM inversion grids was mapped to identify areas of high soil salinity. Soil salinity derived from the AEM inversion grids is reported in μS/cm. Soil Salinity surfaces reported in the following figures was reported at depths of 0-2m, 2-4m, 4-6m and 6-9m from the surface.</w:t>
                      </w:r>
                      <w:r>
                        <w:rPr>
                          <w:rFonts w:eastAsia="Times New Roman" w:cs="Arial"/>
                          <w:szCs w:val="20"/>
                        </w:rPr>
                        <w:t xml:space="preserve"> </w:t>
                      </w:r>
                    </w:p>
                    <w:p w14:paraId="6D9DC8C2" w14:textId="77777777" w:rsidR="00CF0933" w:rsidRPr="007859C1" w:rsidRDefault="00CF0933" w:rsidP="00F22225">
                      <w:pPr>
                        <w:numPr>
                          <w:ilvl w:val="0"/>
                          <w:numId w:val="65"/>
                        </w:numPr>
                        <w:autoSpaceDE w:val="0"/>
                        <w:autoSpaceDN w:val="0"/>
                        <w:adjustRightInd w:val="0"/>
                        <w:spacing w:before="120" w:after="0" w:line="240" w:lineRule="auto"/>
                        <w:ind w:left="360"/>
                        <w:rPr>
                          <w:rFonts w:eastAsia="Times New Roman" w:cs="Arial"/>
                          <w:szCs w:val="20"/>
                        </w:rPr>
                      </w:pPr>
                      <w:r w:rsidRPr="007859C1">
                        <w:rPr>
                          <w:rFonts w:eastAsia="Times New Roman" w:cs="Arial"/>
                          <w:szCs w:val="20"/>
                        </w:rPr>
                        <w:t xml:space="preserve">Groundwater salinity: Groundwater salinity has been mapped using the ABARES data provided. This dataset describes pore water conductivity in the soil 5m below the watertable, and was estimated based on average bulk conductivity from Holistic inversion data from the Calperum AEM survey and assumed soil porosity values for the Calperum region. The greatest groundwater salinity values are between 20,000-27,845 μS/cm. Areas of concern are central Reny Island, south of Woolpolool Swamp, and South of Lake Clover. </w:t>
                      </w:r>
                    </w:p>
                    <w:p w14:paraId="34EEE90A" w14:textId="0920B4AB" w:rsidR="00CF0933" w:rsidRDefault="00CF0933" w:rsidP="00F22225">
                      <w:pPr>
                        <w:numPr>
                          <w:ilvl w:val="0"/>
                          <w:numId w:val="65"/>
                        </w:numPr>
                        <w:autoSpaceDE w:val="0"/>
                        <w:autoSpaceDN w:val="0"/>
                        <w:adjustRightInd w:val="0"/>
                        <w:spacing w:before="120" w:after="0" w:line="240" w:lineRule="auto"/>
                        <w:ind w:left="360"/>
                        <w:rPr>
                          <w:rFonts w:eastAsia="Times New Roman" w:cs="Arial"/>
                          <w:szCs w:val="20"/>
                        </w:rPr>
                      </w:pPr>
                      <w:r w:rsidRPr="007859C1">
                        <w:rPr>
                          <w:rFonts w:eastAsia="Times New Roman" w:cs="Arial"/>
                          <w:szCs w:val="20"/>
                        </w:rPr>
                        <w:t xml:space="preserve">Flooding Frequency: Commence to Fill (CTF) was used from the RiM-FIM (Overton, 2005) to provide the River Murray inflow exceedance to inundate areas within Calperum Station. A map showing the areas under different CTF flows was developed to identify areas of higher and lower flooding frequency. </w:t>
                      </w:r>
                    </w:p>
                    <w:p w14:paraId="46BFAE15" w14:textId="77777777" w:rsidR="00CF0933" w:rsidRPr="004A0819" w:rsidRDefault="00CF0933" w:rsidP="004A0819">
                      <w:pPr>
                        <w:autoSpaceDE w:val="0"/>
                        <w:autoSpaceDN w:val="0"/>
                        <w:adjustRightInd w:val="0"/>
                        <w:spacing w:before="120" w:after="0" w:line="240" w:lineRule="auto"/>
                        <w:ind w:left="360"/>
                        <w:rPr>
                          <w:rFonts w:eastAsia="Times New Roman" w:cs="Arial"/>
                          <w:szCs w:val="20"/>
                        </w:rPr>
                      </w:pPr>
                    </w:p>
                    <w:p w14:paraId="57289A9F" w14:textId="3ED77CC0" w:rsidR="00CF0933" w:rsidRDefault="00CF0933" w:rsidP="007859C1">
                      <w:pPr>
                        <w:rPr>
                          <w:rFonts w:eastAsia="Times New Roman" w:cs="Arial"/>
                          <w:szCs w:val="20"/>
                        </w:rPr>
                      </w:pPr>
                      <w:r>
                        <w:rPr>
                          <w:rFonts w:eastAsia="Times New Roman" w:cs="Arial"/>
                          <w:szCs w:val="20"/>
                        </w:rPr>
                        <w:t xml:space="preserve">Since the ABARES and CTF data that was used was specific to the Calperum Station site, a “moderate” confidence level was applied to each data source. This amount of data may not be available at all sites. For each site investigation, practitioners should refer to </w:t>
                      </w:r>
                      <w:r>
                        <w:rPr>
                          <w:rFonts w:eastAsia="Times New Roman" w:cs="Arial"/>
                          <w:szCs w:val="20"/>
                        </w:rPr>
                        <w:fldChar w:fldCharType="begin"/>
                      </w:r>
                      <w:r>
                        <w:rPr>
                          <w:rFonts w:eastAsia="Times New Roman" w:cs="Arial"/>
                          <w:szCs w:val="20"/>
                        </w:rPr>
                        <w:instrText xml:space="preserve"> REF _Ref504555730 \h  \* MERGEFORMAT </w:instrText>
                      </w:r>
                      <w:r>
                        <w:rPr>
                          <w:rFonts w:eastAsia="Times New Roman" w:cs="Arial"/>
                          <w:szCs w:val="20"/>
                        </w:rPr>
                      </w:r>
                      <w:r>
                        <w:rPr>
                          <w:rFonts w:eastAsia="Times New Roman" w:cs="Arial"/>
                          <w:szCs w:val="20"/>
                        </w:rPr>
                        <w:fldChar w:fldCharType="separate"/>
                      </w:r>
                      <w:r w:rsidRPr="00BF015B">
                        <w:rPr>
                          <w:rFonts w:eastAsia="Times New Roman" w:cs="Arial"/>
                          <w:szCs w:val="20"/>
                        </w:rPr>
                        <w:t>Table 3</w:t>
                      </w:r>
                      <w:r w:rsidRPr="00BF015B">
                        <w:rPr>
                          <w:rFonts w:eastAsia="Times New Roman" w:cs="Arial"/>
                          <w:szCs w:val="20"/>
                        </w:rPr>
                        <w:noBreakHyphen/>
                        <w:t>6</w:t>
                      </w:r>
                      <w:r>
                        <w:rPr>
                          <w:rFonts w:eastAsia="Times New Roman" w:cs="Arial"/>
                          <w:szCs w:val="20"/>
                        </w:rPr>
                        <w:fldChar w:fldCharType="end"/>
                      </w:r>
                      <w:r>
                        <w:rPr>
                          <w:rFonts w:eastAsia="Times New Roman" w:cs="Arial"/>
                          <w:szCs w:val="20"/>
                        </w:rPr>
                        <w:t xml:space="preserve">, find out what data is currently available, complete a confidence assessment, and determine whether collection of additional data is required. </w:t>
                      </w:r>
                    </w:p>
                    <w:p w14:paraId="0C8A49BD" w14:textId="77777777" w:rsidR="00CF0933" w:rsidRDefault="00CF0933" w:rsidP="007859C1">
                      <w:pPr>
                        <w:rPr>
                          <w:b/>
                        </w:rPr>
                      </w:pPr>
                    </w:p>
                  </w:txbxContent>
                </v:textbox>
                <w10:anchorlock/>
              </v:shape>
            </w:pict>
          </mc:Fallback>
        </mc:AlternateContent>
      </w:r>
    </w:p>
    <w:p w14:paraId="3F8A0141" w14:textId="1E3C4B43" w:rsidR="007859C1" w:rsidRDefault="007859C1" w:rsidP="00E230DF">
      <w:pPr>
        <w:spacing w:after="0" w:line="240" w:lineRule="auto"/>
        <w:rPr>
          <w:color w:val="65876D" w:themeColor="accent4" w:themeShade="BF"/>
        </w:rPr>
      </w:pPr>
      <w:bookmarkStart w:id="105" w:name="_Toc505261763"/>
      <w:bookmarkStart w:id="106" w:name="_Toc505262026"/>
      <w:bookmarkStart w:id="107" w:name="_Toc505262279"/>
      <w:bookmarkStart w:id="108" w:name="_Toc462316786"/>
      <w:bookmarkStart w:id="109" w:name="_Toc462661811"/>
      <w:bookmarkStart w:id="110" w:name="_Toc462665161"/>
      <w:bookmarkStart w:id="111" w:name="_Toc505261764"/>
      <w:bookmarkStart w:id="112" w:name="_Toc505262027"/>
      <w:bookmarkStart w:id="113" w:name="_Toc505262280"/>
      <w:bookmarkStart w:id="114" w:name="_Ref504549175"/>
      <w:bookmarkStart w:id="115" w:name="_Ref505081057"/>
      <w:bookmarkStart w:id="116" w:name="_Ref459813591"/>
      <w:bookmarkStart w:id="117" w:name="_Toc464485987"/>
      <w:bookmarkEnd w:id="93"/>
      <w:bookmarkEnd w:id="94"/>
      <w:bookmarkEnd w:id="95"/>
      <w:bookmarkEnd w:id="105"/>
      <w:bookmarkEnd w:id="106"/>
      <w:bookmarkEnd w:id="107"/>
      <w:bookmarkEnd w:id="108"/>
      <w:bookmarkEnd w:id="109"/>
      <w:bookmarkEnd w:id="110"/>
      <w:bookmarkEnd w:id="111"/>
      <w:bookmarkEnd w:id="112"/>
      <w:bookmarkEnd w:id="113"/>
      <w:r w:rsidRPr="007859C1">
        <w:rPr>
          <w:noProof/>
          <w:lang w:eastAsia="en-AU"/>
        </w:rPr>
        <mc:AlternateContent>
          <mc:Choice Requires="wps">
            <w:drawing>
              <wp:inline distT="0" distB="0" distL="0" distR="0" wp14:anchorId="0A200151" wp14:editId="66ECFA1C">
                <wp:extent cx="6296660" cy="3467595"/>
                <wp:effectExtent l="57150" t="38100" r="85090" b="95250"/>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96660" cy="3467595"/>
                        </a:xfrm>
                        <a:prstGeom prst="rect">
                          <a:avLst/>
                        </a:prstGeom>
                        <a:solidFill>
                          <a:schemeClr val="accent4">
                            <a:lumMod val="60000"/>
                            <a:lumOff val="40000"/>
                          </a:schemeClr>
                        </a:solidFill>
                        <a:ln w="9525" cap="flat" cmpd="sng" algn="ctr">
                          <a:solidFill>
                            <a:srgbClr val="90AC97">
                              <a:shade val="95000"/>
                              <a:satMod val="105000"/>
                            </a:srgbClr>
                          </a:solidFill>
                          <a:prstDash val="solid"/>
                        </a:ln>
                        <a:effectLst>
                          <a:outerShdw blurRad="40000" dist="20000" dir="5400000" rotWithShape="0">
                            <a:srgbClr val="000000">
                              <a:alpha val="38000"/>
                            </a:srgbClr>
                          </a:outerShdw>
                        </a:effectLst>
                      </wps:spPr>
                      <wps:txbx>
                        <w:txbxContent>
                          <w:p w14:paraId="4BB33EEC" w14:textId="70713BBA" w:rsidR="00CF0933" w:rsidRPr="00A40029" w:rsidRDefault="00CF0933" w:rsidP="00F71E20">
                            <w:pPr>
                              <w:spacing w:after="200" w:line="276" w:lineRule="auto"/>
                              <w:rPr>
                                <w:rFonts w:eastAsia="Times New Roman" w:cs="Arial"/>
                                <w:b/>
                                <w:szCs w:val="20"/>
                              </w:rPr>
                            </w:pPr>
                            <w:r w:rsidRPr="00A40029">
                              <w:rPr>
                                <w:rFonts w:eastAsia="Times New Roman" w:cs="Arial"/>
                                <w:b/>
                                <w:szCs w:val="20"/>
                              </w:rPr>
                              <w:t xml:space="preserve">Case Study Box </w:t>
                            </w:r>
                            <w:r>
                              <w:rPr>
                                <w:rFonts w:eastAsia="Times New Roman" w:cs="Arial"/>
                                <w:b/>
                                <w:szCs w:val="20"/>
                              </w:rPr>
                              <w:t>3</w:t>
                            </w:r>
                            <w:r w:rsidRPr="00A40029">
                              <w:rPr>
                                <w:rFonts w:eastAsia="Times New Roman" w:cs="Arial"/>
                                <w:b/>
                                <w:szCs w:val="20"/>
                              </w:rPr>
                              <w:t xml:space="preserve">: </w:t>
                            </w:r>
                            <w:r>
                              <w:rPr>
                                <w:rFonts w:eastAsia="Times New Roman" w:cs="Arial"/>
                                <w:b/>
                                <w:szCs w:val="20"/>
                              </w:rPr>
                              <w:t>Analysis</w:t>
                            </w:r>
                            <w:r w:rsidRPr="00A40029">
                              <w:rPr>
                                <w:rFonts w:eastAsia="Times New Roman" w:cs="Arial"/>
                                <w:b/>
                                <w:szCs w:val="20"/>
                              </w:rPr>
                              <w:t xml:space="preserve"> of Stressors (cont’d)</w:t>
                            </w:r>
                          </w:p>
                          <w:p w14:paraId="45AD42D0" w14:textId="77777777" w:rsidR="00CF0933" w:rsidRPr="00F71E20" w:rsidRDefault="00CF0933" w:rsidP="00F22225">
                            <w:pPr>
                              <w:pStyle w:val="NoSpacing"/>
                              <w:numPr>
                                <w:ilvl w:val="0"/>
                                <w:numId w:val="56"/>
                              </w:numPr>
                              <w:autoSpaceDE w:val="0"/>
                              <w:autoSpaceDN w:val="0"/>
                              <w:adjustRightInd w:val="0"/>
                              <w:spacing w:before="120" w:line="300" w:lineRule="auto"/>
                              <w:ind w:left="360"/>
                              <w:rPr>
                                <w:rFonts w:ascii="Arial" w:hAnsi="Arial" w:cs="Arial"/>
                                <w:b/>
                                <w:sz w:val="20"/>
                                <w:szCs w:val="20"/>
                              </w:rPr>
                            </w:pPr>
                            <w:r w:rsidRPr="00F71E20">
                              <w:rPr>
                                <w:rFonts w:ascii="Arial" w:hAnsi="Arial" w:cs="Arial"/>
                                <w:b/>
                                <w:sz w:val="20"/>
                                <w:szCs w:val="20"/>
                              </w:rPr>
                              <w:t>Analysis of the stressors to determine the degree to which they are impacting and therefore the potential to mitigate these stressors with management options</w:t>
                            </w:r>
                          </w:p>
                          <w:p w14:paraId="22E90180" w14:textId="4154F595" w:rsidR="00CF0933" w:rsidRPr="00F71E20" w:rsidRDefault="00CF0933" w:rsidP="007859C1">
                            <w:pPr>
                              <w:pStyle w:val="NoSpacing"/>
                              <w:rPr>
                                <w:rFonts w:ascii="Arial" w:hAnsi="Arial" w:cs="Arial"/>
                                <w:sz w:val="20"/>
                                <w:szCs w:val="20"/>
                              </w:rPr>
                            </w:pPr>
                            <w:r w:rsidRPr="00F71E20">
                              <w:rPr>
                                <w:rFonts w:ascii="Arial" w:hAnsi="Arial" w:cs="Arial"/>
                                <w:sz w:val="20"/>
                                <w:szCs w:val="20"/>
                              </w:rPr>
                              <w:t>The following thresholds for the stressors to Black Box vegetation were determined for Calperum Station, using</w:t>
                            </w:r>
                            <w:r>
                              <w:rPr>
                                <w:rFonts w:ascii="Arial" w:hAnsi="Arial" w:cs="Arial"/>
                                <w:sz w:val="20"/>
                                <w:szCs w:val="20"/>
                              </w:rPr>
                              <w:t xml:space="preserve"> the</w:t>
                            </w:r>
                            <w:r w:rsidRPr="00F71E20">
                              <w:rPr>
                                <w:rFonts w:ascii="Arial" w:hAnsi="Arial" w:cs="Arial"/>
                                <w:sz w:val="20"/>
                                <w:szCs w:val="20"/>
                              </w:rPr>
                              <w:t xml:space="preserve"> conceptual models:  </w:t>
                            </w:r>
                          </w:p>
                          <w:p w14:paraId="5FEB6078" w14:textId="7F0936EE" w:rsidR="00CF0933" w:rsidRPr="00F71E20" w:rsidRDefault="00CF0933" w:rsidP="00F22225">
                            <w:pPr>
                              <w:pStyle w:val="NoSpacing"/>
                              <w:numPr>
                                <w:ilvl w:val="0"/>
                                <w:numId w:val="67"/>
                              </w:numPr>
                              <w:autoSpaceDE w:val="0"/>
                              <w:autoSpaceDN w:val="0"/>
                              <w:adjustRightInd w:val="0"/>
                              <w:spacing w:line="276" w:lineRule="auto"/>
                              <w:ind w:left="357" w:hanging="357"/>
                              <w:rPr>
                                <w:rFonts w:ascii="Arial" w:hAnsi="Arial" w:cs="Arial"/>
                                <w:sz w:val="20"/>
                                <w:szCs w:val="20"/>
                              </w:rPr>
                            </w:pPr>
                            <w:r w:rsidRPr="00F71E20">
                              <w:rPr>
                                <w:rFonts w:ascii="Arial" w:hAnsi="Arial" w:cs="Arial"/>
                                <w:sz w:val="20"/>
                                <w:szCs w:val="20"/>
                              </w:rPr>
                              <w:t>Areas requiring flows into S</w:t>
                            </w:r>
                            <w:r>
                              <w:rPr>
                                <w:rFonts w:ascii="Arial" w:hAnsi="Arial" w:cs="Arial"/>
                                <w:sz w:val="20"/>
                                <w:szCs w:val="20"/>
                              </w:rPr>
                              <w:t xml:space="preserve">outh </w:t>
                            </w:r>
                            <w:r w:rsidRPr="00F71E20">
                              <w:rPr>
                                <w:rFonts w:ascii="Arial" w:hAnsi="Arial" w:cs="Arial"/>
                                <w:sz w:val="20"/>
                                <w:szCs w:val="20"/>
                              </w:rPr>
                              <w:t>A</w:t>
                            </w:r>
                            <w:r>
                              <w:rPr>
                                <w:rFonts w:ascii="Arial" w:hAnsi="Arial" w:cs="Arial"/>
                                <w:sz w:val="20"/>
                                <w:szCs w:val="20"/>
                              </w:rPr>
                              <w:t>ustralia</w:t>
                            </w:r>
                            <w:r w:rsidRPr="00F71E20">
                              <w:rPr>
                                <w:rFonts w:ascii="Arial" w:hAnsi="Arial" w:cs="Arial"/>
                                <w:sz w:val="20"/>
                                <w:szCs w:val="20"/>
                              </w:rPr>
                              <w:t xml:space="preserve"> greater than 100,000 ML/day were identified as flooding less frequently than 1 in 10 years, resulting in flood stress</w:t>
                            </w:r>
                          </w:p>
                          <w:p w14:paraId="63E0B4AE" w14:textId="77777777" w:rsidR="00CF0933" w:rsidRPr="00F71E20" w:rsidRDefault="00CF0933" w:rsidP="00F22225">
                            <w:pPr>
                              <w:pStyle w:val="NoSpacing"/>
                              <w:numPr>
                                <w:ilvl w:val="0"/>
                                <w:numId w:val="67"/>
                              </w:numPr>
                              <w:autoSpaceDE w:val="0"/>
                              <w:autoSpaceDN w:val="0"/>
                              <w:adjustRightInd w:val="0"/>
                              <w:spacing w:line="276" w:lineRule="auto"/>
                              <w:ind w:left="357" w:hanging="357"/>
                              <w:rPr>
                                <w:rFonts w:ascii="Arial" w:hAnsi="Arial" w:cs="Arial"/>
                                <w:sz w:val="20"/>
                                <w:szCs w:val="20"/>
                              </w:rPr>
                            </w:pPr>
                            <w:r w:rsidRPr="00F71E20">
                              <w:rPr>
                                <w:rFonts w:ascii="Arial" w:hAnsi="Arial" w:cs="Arial"/>
                                <w:sz w:val="20"/>
                                <w:szCs w:val="20"/>
                              </w:rPr>
                              <w:t>Groundwater salinity &gt; 20,000 EC is the threshold for groundwater salinity stress</w:t>
                            </w:r>
                          </w:p>
                          <w:p w14:paraId="3E80764A" w14:textId="77777777" w:rsidR="00CF0933" w:rsidRPr="00F71E20" w:rsidRDefault="00CF0933" w:rsidP="00F22225">
                            <w:pPr>
                              <w:pStyle w:val="NoSpacing"/>
                              <w:numPr>
                                <w:ilvl w:val="0"/>
                                <w:numId w:val="67"/>
                              </w:numPr>
                              <w:autoSpaceDE w:val="0"/>
                              <w:autoSpaceDN w:val="0"/>
                              <w:adjustRightInd w:val="0"/>
                              <w:spacing w:line="276" w:lineRule="auto"/>
                              <w:ind w:left="357" w:hanging="357"/>
                              <w:rPr>
                                <w:rFonts w:ascii="Arial" w:hAnsi="Arial" w:cs="Arial"/>
                                <w:sz w:val="20"/>
                                <w:szCs w:val="20"/>
                              </w:rPr>
                            </w:pPr>
                            <w:r w:rsidRPr="00F71E20">
                              <w:rPr>
                                <w:rFonts w:ascii="Arial" w:hAnsi="Arial" w:cs="Arial"/>
                                <w:sz w:val="20"/>
                                <w:szCs w:val="20"/>
                              </w:rPr>
                              <w:t>Groundwater depth &lt; 6m is the threshold for stress due to shallow groundwater depth</w:t>
                            </w:r>
                          </w:p>
                          <w:p w14:paraId="6146D11E" w14:textId="0F6CD150" w:rsidR="00CF0933" w:rsidRDefault="00CF0933" w:rsidP="007859C1">
                            <w:pPr>
                              <w:pStyle w:val="NoSpacing"/>
                              <w:rPr>
                                <w:rFonts w:ascii="Arial" w:hAnsi="Arial" w:cs="Arial"/>
                                <w:sz w:val="20"/>
                                <w:szCs w:val="20"/>
                              </w:rPr>
                            </w:pPr>
                            <w:r w:rsidRPr="00F71E20">
                              <w:rPr>
                                <w:rFonts w:ascii="Arial" w:hAnsi="Arial" w:cs="Arial"/>
                                <w:sz w:val="20"/>
                                <w:szCs w:val="20"/>
                              </w:rPr>
                              <w:t xml:space="preserve">Maps for areas under stress by flooding frequency, areas under stress by groundwater salinity and areas under stress for shallow groundwater depth were developed, using the information gathered in step 2. </w:t>
                            </w:r>
                          </w:p>
                          <w:p w14:paraId="5CA6B06B" w14:textId="77777777" w:rsidR="00CF0933" w:rsidRPr="00F71E20" w:rsidRDefault="00CF0933" w:rsidP="007859C1">
                            <w:pPr>
                              <w:pStyle w:val="NoSpacing"/>
                              <w:rPr>
                                <w:rFonts w:ascii="Arial" w:hAnsi="Arial" w:cs="Arial"/>
                                <w:sz w:val="20"/>
                                <w:szCs w:val="20"/>
                              </w:rPr>
                            </w:pPr>
                          </w:p>
                          <w:p w14:paraId="74D15CBD" w14:textId="77777777" w:rsidR="00CF0933" w:rsidRPr="00F71E20" w:rsidRDefault="00CF0933" w:rsidP="00F22225">
                            <w:pPr>
                              <w:pStyle w:val="NoSpacing"/>
                              <w:numPr>
                                <w:ilvl w:val="0"/>
                                <w:numId w:val="56"/>
                              </w:numPr>
                              <w:autoSpaceDE w:val="0"/>
                              <w:autoSpaceDN w:val="0"/>
                              <w:adjustRightInd w:val="0"/>
                              <w:spacing w:before="120" w:line="300" w:lineRule="auto"/>
                              <w:ind w:left="360"/>
                              <w:rPr>
                                <w:rFonts w:ascii="Arial" w:hAnsi="Arial" w:cs="Arial"/>
                                <w:b/>
                                <w:sz w:val="20"/>
                                <w:szCs w:val="20"/>
                              </w:rPr>
                            </w:pPr>
                            <w:r w:rsidRPr="00F71E20">
                              <w:rPr>
                                <w:rFonts w:ascii="Arial" w:hAnsi="Arial" w:cs="Arial"/>
                                <w:b/>
                                <w:sz w:val="20"/>
                                <w:szCs w:val="20"/>
                              </w:rPr>
                              <w:t>Determination and mapping the key stressors which relate to each of the Black Box management units that were identified during the condition assessment</w:t>
                            </w:r>
                          </w:p>
                          <w:p w14:paraId="680D4E69" w14:textId="6079A575" w:rsidR="00CF0933" w:rsidRPr="00610204" w:rsidRDefault="00CF0933" w:rsidP="00610204">
                            <w:pPr>
                              <w:rPr>
                                <w:rFonts w:cs="Arial"/>
                                <w:szCs w:val="20"/>
                              </w:rPr>
                            </w:pPr>
                            <w:r w:rsidRPr="00C260AB">
                              <w:rPr>
                                <w:rFonts w:cs="Arial"/>
                                <w:szCs w:val="20"/>
                              </w:rPr>
                              <w:t xml:space="preserve">Key stressors for each Black Box Management Unit throughout the site were </w:t>
                            </w:r>
                            <w:r w:rsidRPr="007859C1">
                              <w:rPr>
                                <w:rFonts w:cs="Arial"/>
                                <w:szCs w:val="20"/>
                              </w:rPr>
                              <w:t>determined through combination of the maps</w:t>
                            </w:r>
                            <w:r>
                              <w:rPr>
                                <w:rFonts w:cs="Arial"/>
                                <w:szCs w:val="20"/>
                              </w:rPr>
                              <w:t xml:space="preserve"> developed in step 3</w:t>
                            </w:r>
                            <w:r w:rsidRPr="007859C1">
                              <w:rPr>
                                <w:rFonts w:cs="Arial"/>
                                <w:szCs w:val="20"/>
                              </w:rPr>
                              <w:t>, as shown in the Figure below. These stressor combinations help to identify where a mix of management options are required or where management options that impact multiple stressors should be targeted.</w:t>
                            </w:r>
                          </w:p>
                          <w:p w14:paraId="5C1B229E" w14:textId="34C2ACE2" w:rsidR="00CF0933" w:rsidRPr="00C43685" w:rsidRDefault="00CF0933" w:rsidP="00C43685">
                            <w:pPr>
                              <w:spacing w:after="200" w:line="276" w:lineRule="auto"/>
                              <w:rPr>
                                <w:rFonts w:ascii="Calibri" w:eastAsia="Calibri" w:hAnsi="Calibri" w:cs="Times New Roman"/>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A200151" id="Text Box 90" o:spid="_x0000_s1030" type="#_x0000_t202" style="width:495.8pt;height:27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" fillcolor="#bccdc0 [1943]" strokecolor="#8ca993">
                <v:shadow on="t" color="black" opacity="24903f" origin=",.5" offset="0,.55556mm"/>
                <v:path arrowok="t"/>
                <v:textbox>
                  <w:txbxContent>
                    <w:p w14:paraId="4BB33EEC" w14:textId="70713BBA" w:rsidR="00CF0933" w:rsidRPr="00A40029" w:rsidRDefault="00CF0933" w:rsidP="00F71E20">
                      <w:pPr>
                        <w:spacing w:after="200" w:line="276" w:lineRule="auto"/>
                        <w:rPr>
                          <w:rFonts w:eastAsia="Times New Roman" w:cs="Arial"/>
                          <w:b/>
                          <w:szCs w:val="20"/>
                        </w:rPr>
                      </w:pPr>
                      <w:r w:rsidRPr="00A40029">
                        <w:rPr>
                          <w:rFonts w:eastAsia="Times New Roman" w:cs="Arial"/>
                          <w:b/>
                          <w:szCs w:val="20"/>
                        </w:rPr>
                        <w:t xml:space="preserve">Case Study Box </w:t>
                      </w:r>
                      <w:r>
                        <w:rPr>
                          <w:rFonts w:eastAsia="Times New Roman" w:cs="Arial"/>
                          <w:b/>
                          <w:szCs w:val="20"/>
                        </w:rPr>
                        <w:t>3</w:t>
                      </w:r>
                      <w:r w:rsidRPr="00A40029">
                        <w:rPr>
                          <w:rFonts w:eastAsia="Times New Roman" w:cs="Arial"/>
                          <w:b/>
                          <w:szCs w:val="20"/>
                        </w:rPr>
                        <w:t xml:space="preserve">: </w:t>
                      </w:r>
                      <w:r>
                        <w:rPr>
                          <w:rFonts w:eastAsia="Times New Roman" w:cs="Arial"/>
                          <w:b/>
                          <w:szCs w:val="20"/>
                        </w:rPr>
                        <w:t>Analysis</w:t>
                      </w:r>
                      <w:r w:rsidRPr="00A40029">
                        <w:rPr>
                          <w:rFonts w:eastAsia="Times New Roman" w:cs="Arial"/>
                          <w:b/>
                          <w:szCs w:val="20"/>
                        </w:rPr>
                        <w:t xml:space="preserve"> of Stressors (cont’d)</w:t>
                      </w:r>
                    </w:p>
                    <w:p w14:paraId="45AD42D0" w14:textId="77777777" w:rsidR="00CF0933" w:rsidRPr="00F71E20" w:rsidRDefault="00CF0933" w:rsidP="00F22225">
                      <w:pPr>
                        <w:pStyle w:val="NoSpacing"/>
                        <w:numPr>
                          <w:ilvl w:val="0"/>
                          <w:numId w:val="56"/>
                        </w:numPr>
                        <w:autoSpaceDE w:val="0"/>
                        <w:autoSpaceDN w:val="0"/>
                        <w:adjustRightInd w:val="0"/>
                        <w:spacing w:before="120" w:line="300" w:lineRule="auto"/>
                        <w:ind w:left="360"/>
                        <w:rPr>
                          <w:rFonts w:ascii="Arial" w:hAnsi="Arial" w:cs="Arial"/>
                          <w:b/>
                          <w:sz w:val="20"/>
                          <w:szCs w:val="20"/>
                        </w:rPr>
                      </w:pPr>
                      <w:r w:rsidRPr="00F71E20">
                        <w:rPr>
                          <w:rFonts w:ascii="Arial" w:hAnsi="Arial" w:cs="Arial"/>
                          <w:b/>
                          <w:sz w:val="20"/>
                          <w:szCs w:val="20"/>
                        </w:rPr>
                        <w:t>Analysis of the stressors to determine the degree to which they are impacting and therefore the potential to mitigate these stressors with management options</w:t>
                      </w:r>
                    </w:p>
                    <w:p w14:paraId="22E90180" w14:textId="4154F595" w:rsidR="00CF0933" w:rsidRPr="00F71E20" w:rsidRDefault="00CF0933" w:rsidP="007859C1">
                      <w:pPr>
                        <w:pStyle w:val="NoSpacing"/>
                        <w:rPr>
                          <w:rFonts w:ascii="Arial" w:hAnsi="Arial" w:cs="Arial"/>
                          <w:sz w:val="20"/>
                          <w:szCs w:val="20"/>
                        </w:rPr>
                      </w:pPr>
                      <w:r w:rsidRPr="00F71E20">
                        <w:rPr>
                          <w:rFonts w:ascii="Arial" w:hAnsi="Arial" w:cs="Arial"/>
                          <w:sz w:val="20"/>
                          <w:szCs w:val="20"/>
                        </w:rPr>
                        <w:t>The following thresholds for the stressors to Black Box vegetation were determined for Calperum Station, using</w:t>
                      </w:r>
                      <w:r>
                        <w:rPr>
                          <w:rFonts w:ascii="Arial" w:hAnsi="Arial" w:cs="Arial"/>
                          <w:sz w:val="20"/>
                          <w:szCs w:val="20"/>
                        </w:rPr>
                        <w:t xml:space="preserve"> the</w:t>
                      </w:r>
                      <w:r w:rsidRPr="00F71E20">
                        <w:rPr>
                          <w:rFonts w:ascii="Arial" w:hAnsi="Arial" w:cs="Arial"/>
                          <w:sz w:val="20"/>
                          <w:szCs w:val="20"/>
                        </w:rPr>
                        <w:t xml:space="preserve"> conceptual models:  </w:t>
                      </w:r>
                    </w:p>
                    <w:p w14:paraId="5FEB6078" w14:textId="7F0936EE" w:rsidR="00CF0933" w:rsidRPr="00F71E20" w:rsidRDefault="00CF0933" w:rsidP="00F22225">
                      <w:pPr>
                        <w:pStyle w:val="NoSpacing"/>
                        <w:numPr>
                          <w:ilvl w:val="0"/>
                          <w:numId w:val="67"/>
                        </w:numPr>
                        <w:autoSpaceDE w:val="0"/>
                        <w:autoSpaceDN w:val="0"/>
                        <w:adjustRightInd w:val="0"/>
                        <w:spacing w:line="276" w:lineRule="auto"/>
                        <w:ind w:left="357" w:hanging="357"/>
                        <w:rPr>
                          <w:rFonts w:ascii="Arial" w:hAnsi="Arial" w:cs="Arial"/>
                          <w:sz w:val="20"/>
                          <w:szCs w:val="20"/>
                        </w:rPr>
                      </w:pPr>
                      <w:r w:rsidRPr="00F71E20">
                        <w:rPr>
                          <w:rFonts w:ascii="Arial" w:hAnsi="Arial" w:cs="Arial"/>
                          <w:sz w:val="20"/>
                          <w:szCs w:val="20"/>
                        </w:rPr>
                        <w:t>Areas requiring flows into S</w:t>
                      </w:r>
                      <w:r>
                        <w:rPr>
                          <w:rFonts w:ascii="Arial" w:hAnsi="Arial" w:cs="Arial"/>
                          <w:sz w:val="20"/>
                          <w:szCs w:val="20"/>
                        </w:rPr>
                        <w:t xml:space="preserve">outh </w:t>
                      </w:r>
                      <w:r w:rsidRPr="00F71E20">
                        <w:rPr>
                          <w:rFonts w:ascii="Arial" w:hAnsi="Arial" w:cs="Arial"/>
                          <w:sz w:val="20"/>
                          <w:szCs w:val="20"/>
                        </w:rPr>
                        <w:t>A</w:t>
                      </w:r>
                      <w:r>
                        <w:rPr>
                          <w:rFonts w:ascii="Arial" w:hAnsi="Arial" w:cs="Arial"/>
                          <w:sz w:val="20"/>
                          <w:szCs w:val="20"/>
                        </w:rPr>
                        <w:t>ustralia</w:t>
                      </w:r>
                      <w:r w:rsidRPr="00F71E20">
                        <w:rPr>
                          <w:rFonts w:ascii="Arial" w:hAnsi="Arial" w:cs="Arial"/>
                          <w:sz w:val="20"/>
                          <w:szCs w:val="20"/>
                        </w:rPr>
                        <w:t xml:space="preserve"> greater than 100,000 ML/day were identified as flooding less frequently than 1 in 10 years, resulting in flood stress</w:t>
                      </w:r>
                    </w:p>
                    <w:p w14:paraId="63E0B4AE" w14:textId="77777777" w:rsidR="00CF0933" w:rsidRPr="00F71E20" w:rsidRDefault="00CF0933" w:rsidP="00F22225">
                      <w:pPr>
                        <w:pStyle w:val="NoSpacing"/>
                        <w:numPr>
                          <w:ilvl w:val="0"/>
                          <w:numId w:val="67"/>
                        </w:numPr>
                        <w:autoSpaceDE w:val="0"/>
                        <w:autoSpaceDN w:val="0"/>
                        <w:adjustRightInd w:val="0"/>
                        <w:spacing w:line="276" w:lineRule="auto"/>
                        <w:ind w:left="357" w:hanging="357"/>
                        <w:rPr>
                          <w:rFonts w:ascii="Arial" w:hAnsi="Arial" w:cs="Arial"/>
                          <w:sz w:val="20"/>
                          <w:szCs w:val="20"/>
                        </w:rPr>
                      </w:pPr>
                      <w:r w:rsidRPr="00F71E20">
                        <w:rPr>
                          <w:rFonts w:ascii="Arial" w:hAnsi="Arial" w:cs="Arial"/>
                          <w:sz w:val="20"/>
                          <w:szCs w:val="20"/>
                        </w:rPr>
                        <w:t>Groundwater salinity &gt; 20,000 EC is the threshold for groundwater salinity stress</w:t>
                      </w:r>
                    </w:p>
                    <w:p w14:paraId="3E80764A" w14:textId="77777777" w:rsidR="00CF0933" w:rsidRPr="00F71E20" w:rsidRDefault="00CF0933" w:rsidP="00F22225">
                      <w:pPr>
                        <w:pStyle w:val="NoSpacing"/>
                        <w:numPr>
                          <w:ilvl w:val="0"/>
                          <w:numId w:val="67"/>
                        </w:numPr>
                        <w:autoSpaceDE w:val="0"/>
                        <w:autoSpaceDN w:val="0"/>
                        <w:adjustRightInd w:val="0"/>
                        <w:spacing w:line="276" w:lineRule="auto"/>
                        <w:ind w:left="357" w:hanging="357"/>
                        <w:rPr>
                          <w:rFonts w:ascii="Arial" w:hAnsi="Arial" w:cs="Arial"/>
                          <w:sz w:val="20"/>
                          <w:szCs w:val="20"/>
                        </w:rPr>
                      </w:pPr>
                      <w:r w:rsidRPr="00F71E20">
                        <w:rPr>
                          <w:rFonts w:ascii="Arial" w:hAnsi="Arial" w:cs="Arial"/>
                          <w:sz w:val="20"/>
                          <w:szCs w:val="20"/>
                        </w:rPr>
                        <w:t>Groundwater depth &lt; 6m is the threshold for stress due to shallow groundwater depth</w:t>
                      </w:r>
                    </w:p>
                    <w:p w14:paraId="6146D11E" w14:textId="0F6CD150" w:rsidR="00CF0933" w:rsidRDefault="00CF0933" w:rsidP="007859C1">
                      <w:pPr>
                        <w:pStyle w:val="NoSpacing"/>
                        <w:rPr>
                          <w:rFonts w:ascii="Arial" w:hAnsi="Arial" w:cs="Arial"/>
                          <w:sz w:val="20"/>
                          <w:szCs w:val="20"/>
                        </w:rPr>
                      </w:pPr>
                      <w:r w:rsidRPr="00F71E20">
                        <w:rPr>
                          <w:rFonts w:ascii="Arial" w:hAnsi="Arial" w:cs="Arial"/>
                          <w:sz w:val="20"/>
                          <w:szCs w:val="20"/>
                        </w:rPr>
                        <w:t xml:space="preserve">Maps for areas under stress by flooding frequency, areas under stress by groundwater salinity and areas under stress for shallow groundwater depth were developed, using the information gathered in step 2. </w:t>
                      </w:r>
                    </w:p>
                    <w:p w14:paraId="5CA6B06B" w14:textId="77777777" w:rsidR="00CF0933" w:rsidRPr="00F71E20" w:rsidRDefault="00CF0933" w:rsidP="007859C1">
                      <w:pPr>
                        <w:pStyle w:val="NoSpacing"/>
                        <w:rPr>
                          <w:rFonts w:ascii="Arial" w:hAnsi="Arial" w:cs="Arial"/>
                          <w:sz w:val="20"/>
                          <w:szCs w:val="20"/>
                        </w:rPr>
                      </w:pPr>
                    </w:p>
                    <w:p w14:paraId="74D15CBD" w14:textId="77777777" w:rsidR="00CF0933" w:rsidRPr="00F71E20" w:rsidRDefault="00CF0933" w:rsidP="00F22225">
                      <w:pPr>
                        <w:pStyle w:val="NoSpacing"/>
                        <w:numPr>
                          <w:ilvl w:val="0"/>
                          <w:numId w:val="56"/>
                        </w:numPr>
                        <w:autoSpaceDE w:val="0"/>
                        <w:autoSpaceDN w:val="0"/>
                        <w:adjustRightInd w:val="0"/>
                        <w:spacing w:before="120" w:line="300" w:lineRule="auto"/>
                        <w:ind w:left="360"/>
                        <w:rPr>
                          <w:rFonts w:ascii="Arial" w:hAnsi="Arial" w:cs="Arial"/>
                          <w:b/>
                          <w:sz w:val="20"/>
                          <w:szCs w:val="20"/>
                        </w:rPr>
                      </w:pPr>
                      <w:r w:rsidRPr="00F71E20">
                        <w:rPr>
                          <w:rFonts w:ascii="Arial" w:hAnsi="Arial" w:cs="Arial"/>
                          <w:b/>
                          <w:sz w:val="20"/>
                          <w:szCs w:val="20"/>
                        </w:rPr>
                        <w:t>Determination and mapping the key stressors which relate to each of the Black Box management units that were identified during the condition assessment</w:t>
                      </w:r>
                    </w:p>
                    <w:p w14:paraId="680D4E69" w14:textId="6079A575" w:rsidR="00CF0933" w:rsidRPr="00610204" w:rsidRDefault="00CF0933" w:rsidP="00610204">
                      <w:pPr>
                        <w:rPr>
                          <w:rFonts w:cs="Arial"/>
                          <w:szCs w:val="20"/>
                        </w:rPr>
                      </w:pPr>
                      <w:r w:rsidRPr="00C260AB">
                        <w:rPr>
                          <w:rFonts w:cs="Arial"/>
                          <w:szCs w:val="20"/>
                        </w:rPr>
                        <w:t xml:space="preserve">Key stressors for each Black Box Management Unit throughout the site were </w:t>
                      </w:r>
                      <w:r w:rsidRPr="007859C1">
                        <w:rPr>
                          <w:rFonts w:cs="Arial"/>
                          <w:szCs w:val="20"/>
                        </w:rPr>
                        <w:t>determined through combination of the maps</w:t>
                      </w:r>
                      <w:r>
                        <w:rPr>
                          <w:rFonts w:cs="Arial"/>
                          <w:szCs w:val="20"/>
                        </w:rPr>
                        <w:t xml:space="preserve"> developed in step 3</w:t>
                      </w:r>
                      <w:r w:rsidRPr="007859C1">
                        <w:rPr>
                          <w:rFonts w:cs="Arial"/>
                          <w:szCs w:val="20"/>
                        </w:rPr>
                        <w:t>, as shown in the Figure below. These stressor combinations help to identify where a mix of management options are required or where management options that impact multiple stressors should be targeted.</w:t>
                      </w:r>
                    </w:p>
                    <w:p w14:paraId="5C1B229E" w14:textId="34C2ACE2" w:rsidR="00CF0933" w:rsidRPr="00C43685" w:rsidRDefault="00CF0933" w:rsidP="00C43685">
                      <w:pPr>
                        <w:spacing w:after="200" w:line="276" w:lineRule="auto"/>
                        <w:rPr>
                          <w:rFonts w:ascii="Calibri" w:eastAsia="Calibri" w:hAnsi="Calibri" w:cs="Times New Roman"/>
                          <w:b/>
                          <w:sz w:val="22"/>
                          <w:szCs w:val="22"/>
                        </w:rPr>
                      </w:pPr>
                    </w:p>
                  </w:txbxContent>
                </v:textbox>
                <w10:anchorlock/>
              </v:shape>
            </w:pict>
          </mc:Fallback>
        </mc:AlternateContent>
      </w:r>
    </w:p>
    <w:p w14:paraId="4BFD1E06" w14:textId="77777777" w:rsidR="00025BA7" w:rsidRDefault="007859C1">
      <w:pPr>
        <w:spacing w:after="0" w:line="240" w:lineRule="auto"/>
        <w:rPr>
          <w:color w:val="65876D" w:themeColor="accent4" w:themeShade="BF"/>
        </w:rPr>
        <w:sectPr w:rsidR="00025BA7" w:rsidSect="005A1B89">
          <w:headerReference w:type="default" r:id="rId49"/>
          <w:footerReference w:type="default" r:id="rId50"/>
          <w:pgSz w:w="11906" w:h="16838" w:code="9"/>
          <w:pgMar w:top="567" w:right="851" w:bottom="851" w:left="1134" w:header="567" w:footer="370" w:gutter="0"/>
          <w:cols w:space="0"/>
          <w:formProt w:val="0"/>
          <w:docGrid w:linePitch="360"/>
        </w:sectPr>
      </w:pPr>
      <w:r>
        <w:rPr>
          <w:color w:val="65876D" w:themeColor="accent4" w:themeShade="BF"/>
        </w:rPr>
        <w:br w:type="page"/>
      </w:r>
    </w:p>
    <w:p w14:paraId="56A8384A" w14:textId="127DC622" w:rsidR="00524FB9" w:rsidRPr="00A40029" w:rsidRDefault="00524FB9" w:rsidP="00524FB9">
      <w:pPr>
        <w:spacing w:after="200" w:line="276" w:lineRule="auto"/>
        <w:rPr>
          <w:rFonts w:eastAsia="Times New Roman" w:cs="Arial"/>
          <w:b/>
          <w:szCs w:val="20"/>
        </w:rPr>
      </w:pPr>
      <w:r>
        <w:rPr>
          <w:rFonts w:eastAsia="Times New Roman" w:cs="Arial"/>
          <w:b/>
          <w:noProof/>
          <w:szCs w:val="20"/>
          <w:lang w:eastAsia="en-AU"/>
        </w:rPr>
        <mc:AlternateContent>
          <mc:Choice Requires="wps">
            <w:drawing>
              <wp:anchor distT="0" distB="0" distL="114300" distR="114300" simplePos="0" relativeHeight="251681792" behindDoc="1" locked="0" layoutInCell="1" allowOverlap="1" wp14:anchorId="7E26B9D3" wp14:editId="4940C203">
                <wp:simplePos x="0" y="0"/>
                <wp:positionH relativeFrom="column">
                  <wp:posOffset>-82857</wp:posOffset>
                </wp:positionH>
                <wp:positionV relativeFrom="paragraph">
                  <wp:posOffset>-170596</wp:posOffset>
                </wp:positionV>
                <wp:extent cx="9285889" cy="5596758"/>
                <wp:effectExtent l="0" t="0" r="10795" b="23495"/>
                <wp:wrapNone/>
                <wp:docPr id="1126" name="Rectangle 1126"/>
                <wp:cNvGraphicFramePr/>
                <a:graphic xmlns:a="http://schemas.openxmlformats.org/drawingml/2006/main">
                  <a:graphicData uri="http://schemas.microsoft.com/office/word/2010/wordprocessingShape">
                    <wps:wsp>
                      <wps:cNvSpPr/>
                      <wps:spPr>
                        <a:xfrm>
                          <a:off x="0" y="0"/>
                          <a:ext cx="9285889" cy="5596758"/>
                        </a:xfrm>
                        <a:prstGeom prst="rect">
                          <a:avLst/>
                        </a:prstGeom>
                        <a:solidFill>
                          <a:schemeClr val="accent4">
                            <a:lumMod val="60000"/>
                            <a:lumOff val="40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0427E9" id="Rectangle 1126" o:spid="_x0000_s1026" style="position:absolute;margin-left:-6.5pt;margin-top:-13.45pt;width:731.15pt;height:440.7pt;z-index:-25163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" fillcolor="#bccdc0 [1943]" strokecolor="#374e54 [1604]" strokeweight="1pt"/>
            </w:pict>
          </mc:Fallback>
        </mc:AlternateContent>
      </w:r>
      <w:r w:rsidRPr="00A40029">
        <w:rPr>
          <w:rFonts w:eastAsia="Times New Roman" w:cs="Arial"/>
          <w:b/>
          <w:szCs w:val="20"/>
        </w:rPr>
        <w:t xml:space="preserve">Case Study Box </w:t>
      </w:r>
      <w:r>
        <w:rPr>
          <w:rFonts w:eastAsia="Times New Roman" w:cs="Arial"/>
          <w:b/>
          <w:szCs w:val="20"/>
        </w:rPr>
        <w:t>3</w:t>
      </w:r>
      <w:r w:rsidRPr="00A40029">
        <w:rPr>
          <w:rFonts w:eastAsia="Times New Roman" w:cs="Arial"/>
          <w:b/>
          <w:szCs w:val="20"/>
        </w:rPr>
        <w:t xml:space="preserve">: </w:t>
      </w:r>
      <w:r>
        <w:rPr>
          <w:rFonts w:eastAsia="Times New Roman" w:cs="Arial"/>
          <w:b/>
          <w:szCs w:val="20"/>
        </w:rPr>
        <w:t>Analysis</w:t>
      </w:r>
      <w:r w:rsidRPr="00A40029">
        <w:rPr>
          <w:rFonts w:eastAsia="Times New Roman" w:cs="Arial"/>
          <w:b/>
          <w:szCs w:val="20"/>
        </w:rPr>
        <w:t xml:space="preserve"> of Stressors (cont’d)</w:t>
      </w:r>
    </w:p>
    <w:p w14:paraId="0E844188" w14:textId="77777777" w:rsidR="00524FB9" w:rsidRDefault="00524FB9" w:rsidP="00524FB9">
      <w:pPr>
        <w:jc w:val="center"/>
      </w:pPr>
      <w:r w:rsidRPr="008E0C6A">
        <w:rPr>
          <w:rFonts w:asciiTheme="minorHAnsi" w:hAnsiTheme="minorHAnsi" w:cstheme="minorHAnsi"/>
          <w:noProof/>
          <w:lang w:eastAsia="en-AU"/>
        </w:rPr>
        <w:drawing>
          <wp:inline distT="0" distB="0" distL="0" distR="0" wp14:anchorId="6A01859F" wp14:editId="57701BC0">
            <wp:extent cx="7100838" cy="4710223"/>
            <wp:effectExtent l="0" t="0" r="5080" b="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7109477" cy="4715954"/>
                    </a:xfrm>
                    <a:prstGeom prst="rect">
                      <a:avLst/>
                    </a:prstGeom>
                  </pic:spPr>
                </pic:pic>
              </a:graphicData>
            </a:graphic>
          </wp:inline>
        </w:drawing>
      </w:r>
    </w:p>
    <w:p w14:paraId="02D2BF4C" w14:textId="39ED10EF" w:rsidR="00524FB9" w:rsidRPr="008E0C6A" w:rsidRDefault="00524FB9" w:rsidP="00524FB9">
      <w:pPr>
        <w:pStyle w:val="Caption"/>
        <w:jc w:val="center"/>
        <w:rPr>
          <w:rFonts w:asciiTheme="minorHAnsi" w:hAnsiTheme="minorHAnsi" w:cstheme="minorHAnsi"/>
          <w:color w:val="000000"/>
        </w:rPr>
      </w:pPr>
      <w:bookmarkStart w:id="118" w:name="_Toc514018085"/>
      <w:r>
        <w:t xml:space="preserve">Figure </w:t>
      </w:r>
      <w:r>
        <w:fldChar w:fldCharType="begin"/>
      </w:r>
      <w:r>
        <w:instrText xml:space="preserve"> STYLEREF 1 \s </w:instrText>
      </w:r>
      <w:r>
        <w:fldChar w:fldCharType="separate"/>
      </w:r>
      <w:r w:rsidR="00BF015B">
        <w:rPr>
          <w:noProof/>
        </w:rPr>
        <w:t>3</w:t>
      </w:r>
      <w:r>
        <w:fldChar w:fldCharType="end"/>
      </w:r>
      <w:r>
        <w:noBreakHyphen/>
      </w:r>
      <w:r>
        <w:fldChar w:fldCharType="begin"/>
      </w:r>
      <w:r>
        <w:instrText xml:space="preserve"> SEQ Figure \* ARABIC \s 1 </w:instrText>
      </w:r>
      <w:r>
        <w:fldChar w:fldCharType="separate"/>
      </w:r>
      <w:r w:rsidR="00BF015B">
        <w:rPr>
          <w:noProof/>
        </w:rPr>
        <w:t>13</w:t>
      </w:r>
      <w:r>
        <w:fldChar w:fldCharType="end"/>
      </w:r>
      <w:r w:rsidRPr="008E0C6A">
        <w:rPr>
          <w:rFonts w:asciiTheme="minorHAnsi" w:hAnsiTheme="minorHAnsi" w:cstheme="minorHAnsi"/>
        </w:rPr>
        <w:t xml:space="preserve">: </w:t>
      </w:r>
      <w:r>
        <w:rPr>
          <w:rFonts w:asciiTheme="minorHAnsi" w:hAnsiTheme="minorHAnsi" w:cstheme="minorHAnsi"/>
        </w:rPr>
        <w:t>Black Box</w:t>
      </w:r>
      <w:r w:rsidRPr="008E0C6A">
        <w:rPr>
          <w:rFonts w:asciiTheme="minorHAnsi" w:hAnsiTheme="minorHAnsi" w:cstheme="minorHAnsi"/>
        </w:rPr>
        <w:t xml:space="preserve"> </w:t>
      </w:r>
      <w:r w:rsidR="00F012F1">
        <w:rPr>
          <w:rFonts w:asciiTheme="minorHAnsi" w:hAnsiTheme="minorHAnsi" w:cstheme="minorHAnsi"/>
        </w:rPr>
        <w:t>m</w:t>
      </w:r>
      <w:r w:rsidRPr="008E0C6A">
        <w:rPr>
          <w:rFonts w:asciiTheme="minorHAnsi" w:hAnsiTheme="minorHAnsi" w:cstheme="minorHAnsi"/>
        </w:rPr>
        <w:t xml:space="preserve">anagement </w:t>
      </w:r>
      <w:r w:rsidR="00F012F1">
        <w:rPr>
          <w:rFonts w:asciiTheme="minorHAnsi" w:hAnsiTheme="minorHAnsi" w:cstheme="minorHAnsi"/>
        </w:rPr>
        <w:t>u</w:t>
      </w:r>
      <w:r w:rsidRPr="008E0C6A">
        <w:rPr>
          <w:rFonts w:asciiTheme="minorHAnsi" w:hAnsiTheme="minorHAnsi" w:cstheme="minorHAnsi"/>
        </w:rPr>
        <w:t xml:space="preserve">nits at </w:t>
      </w:r>
      <w:r w:rsidR="00F012F1">
        <w:rPr>
          <w:rFonts w:asciiTheme="minorHAnsi" w:hAnsiTheme="minorHAnsi" w:cstheme="minorHAnsi"/>
        </w:rPr>
        <w:t>r</w:t>
      </w:r>
      <w:r w:rsidRPr="008E0C6A">
        <w:rPr>
          <w:rFonts w:asciiTheme="minorHAnsi" w:hAnsiTheme="minorHAnsi" w:cstheme="minorHAnsi"/>
        </w:rPr>
        <w:t xml:space="preserve">isk by </w:t>
      </w:r>
      <w:r w:rsidR="00F012F1">
        <w:rPr>
          <w:rFonts w:asciiTheme="minorHAnsi" w:hAnsiTheme="minorHAnsi" w:cstheme="minorHAnsi"/>
        </w:rPr>
        <w:t>a c</w:t>
      </w:r>
      <w:r w:rsidRPr="008E0C6A">
        <w:rPr>
          <w:rFonts w:asciiTheme="minorHAnsi" w:hAnsiTheme="minorHAnsi" w:cstheme="minorHAnsi"/>
        </w:rPr>
        <w:t xml:space="preserve">ombination of </w:t>
      </w:r>
      <w:r w:rsidR="00F012F1">
        <w:rPr>
          <w:rFonts w:asciiTheme="minorHAnsi" w:hAnsiTheme="minorHAnsi" w:cstheme="minorHAnsi"/>
        </w:rPr>
        <w:t>s</w:t>
      </w:r>
      <w:r w:rsidRPr="008E0C6A">
        <w:rPr>
          <w:rFonts w:asciiTheme="minorHAnsi" w:hAnsiTheme="minorHAnsi" w:cstheme="minorHAnsi"/>
        </w:rPr>
        <w:t>tressors</w:t>
      </w:r>
      <w:bookmarkEnd w:id="118"/>
    </w:p>
    <w:p w14:paraId="4C5DC870" w14:textId="5783C78B" w:rsidR="00025BA7" w:rsidRDefault="00025BA7">
      <w:pPr>
        <w:spacing w:after="0" w:line="240" w:lineRule="auto"/>
        <w:rPr>
          <w:rFonts w:eastAsiaTheme="majorEastAsia" w:cstheme="majorBidi"/>
          <w:b/>
          <w:bCs/>
          <w:color w:val="65876D" w:themeColor="accent4" w:themeShade="BF"/>
          <w:sz w:val="24"/>
          <w:szCs w:val="26"/>
        </w:rPr>
      </w:pPr>
    </w:p>
    <w:p w14:paraId="78846D23" w14:textId="77777777" w:rsidR="00025BA7" w:rsidRDefault="00025BA7">
      <w:pPr>
        <w:spacing w:after="0" w:line="240" w:lineRule="auto"/>
        <w:rPr>
          <w:rFonts w:eastAsiaTheme="majorEastAsia" w:cstheme="majorBidi"/>
          <w:b/>
          <w:bCs/>
          <w:color w:val="65876D" w:themeColor="accent4" w:themeShade="BF"/>
          <w:sz w:val="24"/>
          <w:szCs w:val="26"/>
        </w:rPr>
        <w:sectPr w:rsidR="00025BA7" w:rsidSect="00A40029">
          <w:pgSz w:w="16838" w:h="11906" w:orient="landscape" w:code="9"/>
          <w:pgMar w:top="1134" w:right="567" w:bottom="851" w:left="851" w:header="567" w:footer="370" w:gutter="0"/>
          <w:cols w:space="0"/>
          <w:formProt w:val="0"/>
          <w:docGrid w:linePitch="360"/>
        </w:sectPr>
      </w:pPr>
    </w:p>
    <w:p w14:paraId="77424009" w14:textId="38807D32" w:rsidR="00D65017" w:rsidRPr="00B46C4C" w:rsidRDefault="008B122B" w:rsidP="005972ED">
      <w:pPr>
        <w:pStyle w:val="Heading2"/>
        <w:rPr>
          <w:color w:val="65876D" w:themeColor="accent4" w:themeShade="BF"/>
        </w:rPr>
      </w:pPr>
      <w:bookmarkStart w:id="119" w:name="_Toc514017998"/>
      <w:bookmarkStart w:id="120" w:name="_Ref506553847"/>
      <w:r w:rsidRPr="00B46C4C">
        <w:rPr>
          <w:color w:val="65876D" w:themeColor="accent4" w:themeShade="BF"/>
        </w:rPr>
        <w:t>STEP 3: VULNERABILITY ASSESSMENT</w:t>
      </w:r>
      <w:bookmarkEnd w:id="119"/>
      <w:r w:rsidRPr="00B46C4C">
        <w:rPr>
          <w:color w:val="65876D" w:themeColor="accent4" w:themeShade="BF"/>
        </w:rPr>
        <w:t xml:space="preserve"> </w:t>
      </w:r>
      <w:bookmarkEnd w:id="114"/>
      <w:bookmarkEnd w:id="115"/>
      <w:bookmarkEnd w:id="120"/>
    </w:p>
    <w:p w14:paraId="17125BA6" w14:textId="59885AAC" w:rsidR="00C95DD1" w:rsidRDefault="00BD05DF" w:rsidP="00FE5C6C">
      <w:pPr>
        <w:pStyle w:val="Para0"/>
      </w:pPr>
      <w:bookmarkStart w:id="121" w:name="_Toc506189601"/>
      <w:bookmarkEnd w:id="121"/>
      <w:r>
        <w:t>T</w:t>
      </w:r>
      <w:r w:rsidR="00EB0E96">
        <w:t xml:space="preserve">o understand the need for, the urgency and the priority of managing one Black Box community over another it is important to assess the vulnerability </w:t>
      </w:r>
      <w:r w:rsidR="00FE5C6C">
        <w:t xml:space="preserve">of a Black Box community. </w:t>
      </w:r>
      <w:r w:rsidR="00804425">
        <w:t xml:space="preserve">The Framework uses the definition of vulnerability as described by the Intergovernmental Panel on Climate Change (IPCC, 2001). </w:t>
      </w:r>
      <w:r w:rsidR="00F955E4">
        <w:t xml:space="preserve">Vulnerability is a function of the sensitivity of a </w:t>
      </w:r>
      <w:r w:rsidR="00F012F1">
        <w:t>system</w:t>
      </w:r>
      <w:r w:rsidR="00F955E4">
        <w:t xml:space="preserve"> to change, its exposure to those changes and its capacity to adapt to those </w:t>
      </w:r>
      <w:r w:rsidR="00F955E4" w:rsidRPr="002D4BCF">
        <w:t>changes.</w:t>
      </w:r>
      <w:r w:rsidR="000B5872">
        <w:t xml:space="preserve"> </w:t>
      </w:r>
      <w:r w:rsidR="00FE5C6C">
        <w:t xml:space="preserve">The </w:t>
      </w:r>
      <w:r w:rsidR="00804425">
        <w:t xml:space="preserve">Framework uses the term </w:t>
      </w:r>
      <w:r w:rsidR="00FE5C6C">
        <w:t xml:space="preserve">vulnerability of a Black Box community </w:t>
      </w:r>
      <w:r w:rsidR="00804425">
        <w:t>as</w:t>
      </w:r>
      <w:r w:rsidR="00FE5C6C">
        <w:t xml:space="preserve"> a measure of how likely the trees </w:t>
      </w:r>
      <w:r w:rsidR="00B46C4C">
        <w:t>will</w:t>
      </w:r>
      <w:r w:rsidR="00FE5C6C">
        <w:t xml:space="preserve"> decline given the condition the trees are in and the level of stress they are exposed to. </w:t>
      </w:r>
      <w:r w:rsidR="00E61EA5" w:rsidRPr="002D4BCF">
        <w:t>Risk is</w:t>
      </w:r>
      <w:r w:rsidR="00E61EA5">
        <w:t xml:space="preserve"> often expressed as a function of vulnerability and likelihood. The likelihood of an </w:t>
      </w:r>
      <w:r w:rsidR="00BA75C2">
        <w:t>overbank flow event</w:t>
      </w:r>
      <w:r w:rsidR="00E21554">
        <w:t xml:space="preserve"> has been incorporated into the exposure component of the vulnerability assessment of the </w:t>
      </w:r>
      <w:r w:rsidR="00225D29">
        <w:t>Framework</w:t>
      </w:r>
      <w:r w:rsidR="00E21554">
        <w:t>.</w:t>
      </w:r>
      <w:r w:rsidR="00E61EA5">
        <w:t xml:space="preserve"> </w:t>
      </w:r>
    </w:p>
    <w:p w14:paraId="2CFE9E44" w14:textId="01B5DAA1" w:rsidR="00FE5C6C" w:rsidRDefault="00EB1BDC" w:rsidP="00FE5C6C">
      <w:pPr>
        <w:pStyle w:val="Para0"/>
      </w:pPr>
      <w:r>
        <w:t xml:space="preserve">When </w:t>
      </w:r>
      <w:r w:rsidR="00B44630">
        <w:t>assessing Black Box vulnerability</w:t>
      </w:r>
      <w:r w:rsidR="00CD40E9">
        <w:t>,</w:t>
      </w:r>
      <w:r w:rsidR="00B44630">
        <w:t xml:space="preserve"> the potential impact is a function of</w:t>
      </w:r>
      <w:r w:rsidR="002D4BCF">
        <w:t xml:space="preserve"> external factors and internal factors, as shown on </w:t>
      </w:r>
      <w:r w:rsidR="002D4BCF">
        <w:fldChar w:fldCharType="begin"/>
      </w:r>
      <w:r w:rsidR="002D4BCF">
        <w:instrText xml:space="preserve"> REF _Ref506215462 \h </w:instrText>
      </w:r>
      <w:r w:rsidR="002D4BCF">
        <w:fldChar w:fldCharType="separate"/>
      </w:r>
      <w:r w:rsidR="00BF015B" w:rsidRPr="00890425">
        <w:t xml:space="preserve">Figure </w:t>
      </w:r>
      <w:r w:rsidR="00BF015B">
        <w:rPr>
          <w:noProof/>
        </w:rPr>
        <w:t>3</w:t>
      </w:r>
      <w:r w:rsidR="00BF015B">
        <w:noBreakHyphen/>
      </w:r>
      <w:r w:rsidR="00BF015B">
        <w:rPr>
          <w:noProof/>
        </w:rPr>
        <w:t>14</w:t>
      </w:r>
      <w:r w:rsidR="002D4BCF">
        <w:fldChar w:fldCharType="end"/>
      </w:r>
      <w:r w:rsidR="002D4BCF">
        <w:t xml:space="preserve">. </w:t>
      </w:r>
      <w:r w:rsidR="00E033DA">
        <w:t>A conceptual model can help in identifying vulnerability.</w:t>
      </w:r>
    </w:p>
    <w:p w14:paraId="5A30F697" w14:textId="66CE5058" w:rsidR="00B44630" w:rsidRDefault="001E5443" w:rsidP="001E5443">
      <w:pPr>
        <w:pStyle w:val="Para0"/>
        <w:jc w:val="center"/>
      </w:pPr>
      <w:r>
        <w:rPr>
          <w:noProof/>
          <w:lang w:eastAsia="en-AU"/>
        </w:rPr>
        <w:drawing>
          <wp:inline distT="0" distB="0" distL="0" distR="0" wp14:anchorId="13ED3502" wp14:editId="1590BC5A">
            <wp:extent cx="5095875" cy="329901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de2.JPG"/>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5116413" cy="3312306"/>
                    </a:xfrm>
                    <a:prstGeom prst="rect">
                      <a:avLst/>
                    </a:prstGeom>
                    <a:ln>
                      <a:noFill/>
                    </a:ln>
                    <a:extLst>
                      <a:ext uri="{53640926-AAD7-44D8-BBD7-CCE9431645EC}">
                        <a14:shadowObscured xmlns:a14="http://schemas.microsoft.com/office/drawing/2010/main"/>
                      </a:ext>
                    </a:extLst>
                  </pic:spPr>
                </pic:pic>
              </a:graphicData>
            </a:graphic>
          </wp:inline>
        </w:drawing>
      </w:r>
    </w:p>
    <w:p w14:paraId="30C14971" w14:textId="51DEC39B" w:rsidR="00B44630" w:rsidRPr="00890425" w:rsidRDefault="002D4BCF" w:rsidP="00EA581E">
      <w:pPr>
        <w:pStyle w:val="Caption"/>
        <w:jc w:val="center"/>
      </w:pPr>
      <w:bookmarkStart w:id="122" w:name="_Ref506215462"/>
      <w:bookmarkStart w:id="123" w:name="_Toc514018086"/>
      <w:r w:rsidRPr="00890425">
        <w:t xml:space="preserve">Figure </w:t>
      </w:r>
      <w:r w:rsidR="004F42DD">
        <w:fldChar w:fldCharType="begin"/>
      </w:r>
      <w:r w:rsidR="004F42DD">
        <w:instrText xml:space="preserve"> STYLEREF 1 \s </w:instrText>
      </w:r>
      <w:r w:rsidR="004F42DD">
        <w:fldChar w:fldCharType="separate"/>
      </w:r>
      <w:r w:rsidR="00BF015B">
        <w:rPr>
          <w:noProof/>
        </w:rPr>
        <w:t>3</w:t>
      </w:r>
      <w:r w:rsidR="004F42DD">
        <w:fldChar w:fldCharType="end"/>
      </w:r>
      <w:r w:rsidR="004F42DD">
        <w:noBreakHyphen/>
      </w:r>
      <w:r w:rsidR="004F42DD">
        <w:fldChar w:fldCharType="begin"/>
      </w:r>
      <w:r w:rsidR="004F42DD">
        <w:instrText xml:space="preserve"> SEQ Figure \* ARABIC \s 1 </w:instrText>
      </w:r>
      <w:r w:rsidR="004F42DD">
        <w:fldChar w:fldCharType="separate"/>
      </w:r>
      <w:r w:rsidR="00BF015B">
        <w:rPr>
          <w:noProof/>
        </w:rPr>
        <w:t>14</w:t>
      </w:r>
      <w:r w:rsidR="004F42DD">
        <w:fldChar w:fldCharType="end"/>
      </w:r>
      <w:bookmarkEnd w:id="122"/>
      <w:r w:rsidR="00F012F1">
        <w:t>:</w:t>
      </w:r>
      <w:r w:rsidR="00B44630" w:rsidRPr="00890425">
        <w:t xml:space="preserve"> Key components of Black Box vulnerability</w:t>
      </w:r>
      <w:r w:rsidR="00C43685" w:rsidRPr="00890425">
        <w:t xml:space="preserve"> used in the </w:t>
      </w:r>
      <w:r w:rsidR="00225D29">
        <w:t>Framework</w:t>
      </w:r>
      <w:r w:rsidR="003744EB">
        <w:t xml:space="preserve"> (Modified from IPCC, 2007)</w:t>
      </w:r>
      <w:r w:rsidR="00B44630" w:rsidRPr="00890425">
        <w:t>.</w:t>
      </w:r>
      <w:bookmarkEnd w:id="123"/>
    </w:p>
    <w:p w14:paraId="14A33C9C" w14:textId="472C5F66" w:rsidR="00FE5C6C" w:rsidRDefault="000F3738" w:rsidP="00FE5C6C">
      <w:pPr>
        <w:pStyle w:val="Para0"/>
      </w:pPr>
      <w:r>
        <w:t>The key components of Black Box vulnerability are:</w:t>
      </w:r>
    </w:p>
    <w:p w14:paraId="3E3FCD21" w14:textId="24FB444C" w:rsidR="000F3738" w:rsidRDefault="001E5443" w:rsidP="00F22225">
      <w:pPr>
        <w:pStyle w:val="Para0"/>
        <w:numPr>
          <w:ilvl w:val="0"/>
          <w:numId w:val="73"/>
        </w:numPr>
      </w:pPr>
      <w:r w:rsidRPr="00BA75C2">
        <w:rPr>
          <w:b/>
        </w:rPr>
        <w:t>Exposure</w:t>
      </w:r>
      <w:r w:rsidRPr="001E5443">
        <w:t xml:space="preserve"> or force of change is a function of the external stressors and their severity</w:t>
      </w:r>
      <w:r w:rsidR="00734E3A">
        <w:t>. These can be long term constant or chronic stressors</w:t>
      </w:r>
      <w:r w:rsidRPr="001E5443">
        <w:t xml:space="preserve"> (e.g. depth of saline groundwater</w:t>
      </w:r>
      <w:r w:rsidR="00734E3A">
        <w:t>) or acute events (e.g.</w:t>
      </w:r>
      <w:r w:rsidRPr="001E5443">
        <w:t xml:space="preserve"> </w:t>
      </w:r>
      <w:r w:rsidR="00734E3A">
        <w:t>frequency of d</w:t>
      </w:r>
      <w:r w:rsidRPr="001E5443">
        <w:t>roughts)</w:t>
      </w:r>
      <w:r w:rsidR="00020EF0">
        <w:t>;</w:t>
      </w:r>
    </w:p>
    <w:p w14:paraId="440D5413" w14:textId="6E314F6F" w:rsidR="000F3738" w:rsidRDefault="001E5443" w:rsidP="00F22225">
      <w:pPr>
        <w:pStyle w:val="Para0"/>
        <w:numPr>
          <w:ilvl w:val="0"/>
          <w:numId w:val="73"/>
        </w:numPr>
      </w:pPr>
      <w:r w:rsidRPr="00BA75C2">
        <w:rPr>
          <w:b/>
        </w:rPr>
        <w:t>Resistance</w:t>
      </w:r>
      <w:r w:rsidRPr="001E5443">
        <w:t xml:space="preserve"> to change or sensitivity </w:t>
      </w:r>
      <w:r w:rsidR="00437099" w:rsidRPr="001E5443">
        <w:t>(e.g. salt and drought tolerance)</w:t>
      </w:r>
      <w:r w:rsidR="00437099">
        <w:t xml:space="preserve"> </w:t>
      </w:r>
      <w:r w:rsidRPr="001E5443">
        <w:t xml:space="preserve">is a function of the current condition and the nature of Black Box </w:t>
      </w:r>
      <w:r w:rsidR="000F3738">
        <w:t xml:space="preserve">physiology </w:t>
      </w:r>
      <w:r w:rsidR="00020EF0">
        <w:t xml:space="preserve">and the community structure (e.g. </w:t>
      </w:r>
      <w:r w:rsidR="009F6E85">
        <w:t>unit</w:t>
      </w:r>
      <w:r w:rsidR="00020EF0">
        <w:t xml:space="preserve"> size)</w:t>
      </w:r>
      <w:r w:rsidR="009361AF">
        <w:t xml:space="preserve">. </w:t>
      </w:r>
      <w:r w:rsidR="00275A55">
        <w:t xml:space="preserve">The ability of a plant to extract water from a saline source (osmotic potential) and from a dry soil source (matric potential) is </w:t>
      </w:r>
      <w:r w:rsidR="00E67D3C">
        <w:t>dependent</w:t>
      </w:r>
      <w:r w:rsidR="00275A55">
        <w:t xml:space="preserve"> on the tree condition and on its physiology. Black Box has a greater osmotic and matric potential than Red Gum for example. </w:t>
      </w:r>
      <w:r w:rsidR="009361AF">
        <w:t xml:space="preserve">Measurements for resistance include vegetation condition assessments as described </w:t>
      </w:r>
      <w:r w:rsidR="00BA75C2">
        <w:t>earlier</w:t>
      </w:r>
      <w:r w:rsidR="009361AF">
        <w:t xml:space="preserve"> and physiological assessments from leaf water potential and sap flow;</w:t>
      </w:r>
    </w:p>
    <w:p w14:paraId="63C26099" w14:textId="457C936F" w:rsidR="000F3738" w:rsidRDefault="000F3738" w:rsidP="00F22225">
      <w:pPr>
        <w:pStyle w:val="Para0"/>
        <w:numPr>
          <w:ilvl w:val="0"/>
          <w:numId w:val="73"/>
        </w:numPr>
      </w:pPr>
      <w:r>
        <w:t>Potential impact is therefore the likelihood and severity of Black Box condition decline due to external stressors and is dependent on the current health and the stressors</w:t>
      </w:r>
      <w:r w:rsidR="00020EF0">
        <w:t>; and</w:t>
      </w:r>
    </w:p>
    <w:p w14:paraId="4D782C6C" w14:textId="67FD0E8C" w:rsidR="001E5443" w:rsidRDefault="001E5443" w:rsidP="00F22225">
      <w:pPr>
        <w:pStyle w:val="Para0"/>
        <w:numPr>
          <w:ilvl w:val="0"/>
          <w:numId w:val="73"/>
        </w:numPr>
      </w:pPr>
      <w:r w:rsidRPr="001E5443">
        <w:t>Adaptive capacity is a function of the ability of a tree or community to recover from impact (</w:t>
      </w:r>
      <w:r w:rsidRPr="00BA75C2">
        <w:rPr>
          <w:b/>
        </w:rPr>
        <w:t>resilience</w:t>
      </w:r>
      <w:r w:rsidRPr="001E5443">
        <w:t>) and its ability to adapt to new conditions (e.g. growing new roots or establishing in another part of the floodplain)</w:t>
      </w:r>
      <w:r w:rsidR="000F3738">
        <w:t>. Black Box trees are highly resilient to mild drought impacts and can recover fully</w:t>
      </w:r>
      <w:r w:rsidR="002D4BCF">
        <w:t>, however</w:t>
      </w:r>
      <w:r w:rsidR="000F3738">
        <w:t xml:space="preserve"> severe, prolonged and frequent droughts may be too much for the trees</w:t>
      </w:r>
      <w:r w:rsidR="00437099">
        <w:t xml:space="preserve"> in poor condition</w:t>
      </w:r>
      <w:r w:rsidR="000F3738">
        <w:t>. Black Box communities have adaptive capacity by releasing seeds that can establish in more favourable environments.</w:t>
      </w:r>
      <w:r w:rsidR="009361AF">
        <w:t xml:space="preserve"> Measurements of resilience include long term adaptive capacity such as genetic variation to combat environmental stressors</w:t>
      </w:r>
      <w:r w:rsidR="00BA75C2">
        <w:t xml:space="preserve"> (</w:t>
      </w:r>
      <w:r w:rsidR="009361AF">
        <w:t>the Black Box ‘Green Variant’</w:t>
      </w:r>
      <w:r w:rsidR="00BA75C2">
        <w:t xml:space="preserve"> </w:t>
      </w:r>
      <w:r w:rsidR="009361AF">
        <w:t>hybrid</w:t>
      </w:r>
      <w:r w:rsidR="00BA75C2">
        <w:t xml:space="preserve"> is more salt and drought tolerant),</w:t>
      </w:r>
      <w:r w:rsidR="009361AF">
        <w:t xml:space="preserve"> </w:t>
      </w:r>
      <w:r w:rsidR="00BA75C2">
        <w:t>land management arrangements (conservation/tenure), recruitment capacity</w:t>
      </w:r>
      <w:r w:rsidR="009361AF">
        <w:t xml:space="preserve">.   </w:t>
      </w:r>
    </w:p>
    <w:p w14:paraId="23AF7ABD" w14:textId="5F41FD76" w:rsidR="000F3738" w:rsidRDefault="000F3738" w:rsidP="000F3738">
      <w:pPr>
        <w:pStyle w:val="Para0"/>
      </w:pPr>
      <w:r>
        <w:t>Management actions can address the stressors and their severity</w:t>
      </w:r>
      <w:r w:rsidR="00734E3A">
        <w:t xml:space="preserve"> and </w:t>
      </w:r>
      <w:r>
        <w:t xml:space="preserve">improve </w:t>
      </w:r>
      <w:r w:rsidR="00734E3A">
        <w:t xml:space="preserve">the </w:t>
      </w:r>
      <w:r>
        <w:t>current condition of the trees</w:t>
      </w:r>
      <w:r w:rsidR="00734E3A">
        <w:t xml:space="preserve">. Management can also improve the resistance, through planting Black Box hybrids or improving the </w:t>
      </w:r>
      <w:r w:rsidR="009F6E85">
        <w:t>unit</w:t>
      </w:r>
      <w:r w:rsidR="00734E3A">
        <w:t xml:space="preserve"> size. Other actions can</w:t>
      </w:r>
      <w:r>
        <w:t xml:space="preserve"> increase </w:t>
      </w:r>
      <w:r w:rsidR="00734E3A">
        <w:t>Black Box</w:t>
      </w:r>
      <w:r>
        <w:t xml:space="preserve"> adaptive capacity </w:t>
      </w:r>
      <w:r w:rsidR="00734E3A">
        <w:t>by</w:t>
      </w:r>
      <w:r>
        <w:t xml:space="preserve"> allowing migration across floodplains or up and down stream. </w:t>
      </w:r>
    </w:p>
    <w:p w14:paraId="1230771A" w14:textId="62593501" w:rsidR="00305B0B" w:rsidRDefault="00305B0B" w:rsidP="000F3738">
      <w:pPr>
        <w:pStyle w:val="Para0"/>
      </w:pPr>
      <w:r>
        <w:t xml:space="preserve">To simplify the assessment of vulnerability for </w:t>
      </w:r>
      <w:r w:rsidR="00BA75C2">
        <w:t>illustrative purposes in the</w:t>
      </w:r>
      <w:r>
        <w:t xml:space="preserve"> </w:t>
      </w:r>
      <w:r w:rsidR="00225D29">
        <w:t>Framework</w:t>
      </w:r>
      <w:r>
        <w:t>, the following factors are used:</w:t>
      </w:r>
    </w:p>
    <w:p w14:paraId="70E3F6A8" w14:textId="564C95A8" w:rsidR="00305B0B" w:rsidRDefault="00745035" w:rsidP="00F22225">
      <w:pPr>
        <w:pStyle w:val="Para0"/>
        <w:numPr>
          <w:ilvl w:val="0"/>
          <w:numId w:val="74"/>
        </w:numPr>
      </w:pPr>
      <w:r>
        <w:t>What is the likely future exposure to stressors (high, medium, low); and</w:t>
      </w:r>
    </w:p>
    <w:p w14:paraId="42853A5B" w14:textId="549D69D5" w:rsidR="00745035" w:rsidRDefault="00745035" w:rsidP="00F22225">
      <w:pPr>
        <w:pStyle w:val="Para0"/>
        <w:numPr>
          <w:ilvl w:val="0"/>
          <w:numId w:val="74"/>
        </w:numPr>
      </w:pPr>
      <w:r>
        <w:t>What is the current condition (good, medium, poor).</w:t>
      </w:r>
    </w:p>
    <w:p w14:paraId="47442E65" w14:textId="7F7E5EC1" w:rsidR="00745035" w:rsidRDefault="00745035" w:rsidP="00745035">
      <w:pPr>
        <w:pStyle w:val="Para0"/>
      </w:pPr>
      <w:r>
        <w:t xml:space="preserve">By measuring these two factors a vulnerability </w:t>
      </w:r>
      <w:r w:rsidR="00C43685">
        <w:t>assessment can be made</w:t>
      </w:r>
      <w:r>
        <w:t xml:space="preserve"> with the categories of</w:t>
      </w:r>
      <w:r w:rsidR="00DD4752">
        <w:t xml:space="preserve"> extreme,</w:t>
      </w:r>
      <w:r>
        <w:t xml:space="preserve"> high, medium and low</w:t>
      </w:r>
      <w:r w:rsidR="002D4BCF">
        <w:t xml:space="preserve">, as shown in </w:t>
      </w:r>
      <w:r w:rsidR="002D4BCF">
        <w:fldChar w:fldCharType="begin"/>
      </w:r>
      <w:r w:rsidR="002D4BCF">
        <w:instrText xml:space="preserve"> REF _Ref506216050 \h </w:instrText>
      </w:r>
      <w:r w:rsidR="002D4BCF">
        <w:fldChar w:fldCharType="separate"/>
      </w:r>
      <w:r w:rsidR="00BF015B" w:rsidRPr="00890425">
        <w:t xml:space="preserve">Table </w:t>
      </w:r>
      <w:r w:rsidR="00BF015B">
        <w:rPr>
          <w:noProof/>
        </w:rPr>
        <w:t>3</w:t>
      </w:r>
      <w:r w:rsidR="00BF015B" w:rsidRPr="00890425">
        <w:noBreakHyphen/>
      </w:r>
      <w:r w:rsidR="00BF015B">
        <w:rPr>
          <w:noProof/>
        </w:rPr>
        <w:t>8</w:t>
      </w:r>
      <w:r w:rsidR="002D4BCF">
        <w:fldChar w:fldCharType="end"/>
      </w:r>
      <w:r>
        <w:t>.</w:t>
      </w:r>
      <w:r w:rsidR="002D4BCF">
        <w:t xml:space="preserve"> A vulnerability map can be produced which indicates the vulnerability rating of each of the Black Box management units throughout the site. </w:t>
      </w:r>
      <w:r w:rsidR="00E033DA">
        <w:t>In areas where information on vulnerability is low, two classes of vulnerability</w:t>
      </w:r>
      <w:r w:rsidR="00DD4752">
        <w:t>, such as ‘high’ and ‘low’</w:t>
      </w:r>
      <w:r w:rsidR="00E033DA">
        <w:t xml:space="preserve"> can be used.</w:t>
      </w:r>
    </w:p>
    <w:p w14:paraId="7CD37E0E" w14:textId="0BCD4103" w:rsidR="002D4BCF" w:rsidRPr="00890425" w:rsidRDefault="002D4BCF" w:rsidP="00890425">
      <w:pPr>
        <w:pStyle w:val="Caption"/>
      </w:pPr>
      <w:bookmarkStart w:id="124" w:name="_Ref506216050"/>
      <w:bookmarkStart w:id="125" w:name="_Toc514068775"/>
      <w:r w:rsidRPr="00890425">
        <w:t xml:space="preserve">Table </w:t>
      </w:r>
      <w:r w:rsidRPr="00890425">
        <w:fldChar w:fldCharType="begin"/>
      </w:r>
      <w:r w:rsidRPr="00890425">
        <w:instrText xml:space="preserve"> STYLEREF 1 \s </w:instrText>
      </w:r>
      <w:r w:rsidRPr="00890425">
        <w:fldChar w:fldCharType="separate"/>
      </w:r>
      <w:r w:rsidR="00BF015B">
        <w:rPr>
          <w:noProof/>
        </w:rPr>
        <w:t>3</w:t>
      </w:r>
      <w:r w:rsidRPr="00890425">
        <w:fldChar w:fldCharType="end"/>
      </w:r>
      <w:r w:rsidRPr="00890425">
        <w:noBreakHyphen/>
      </w:r>
      <w:r w:rsidRPr="008A32A8">
        <w:fldChar w:fldCharType="begin"/>
      </w:r>
      <w:r w:rsidRPr="008A32A8">
        <w:instrText xml:space="preserve"> SEQ Table \* ARABIC \s 1 </w:instrText>
      </w:r>
      <w:r w:rsidRPr="008A32A8">
        <w:fldChar w:fldCharType="separate"/>
      </w:r>
      <w:r w:rsidR="00BF015B" w:rsidRPr="008A32A8">
        <w:t>8</w:t>
      </w:r>
      <w:r w:rsidRPr="008A32A8">
        <w:fldChar w:fldCharType="end"/>
      </w:r>
      <w:bookmarkEnd w:id="124"/>
      <w:r w:rsidRPr="00890425">
        <w:t>: Vulnerability Assessment based on combination of exposure to stressors and current condition</w:t>
      </w:r>
      <w:r w:rsidR="00BA75C2">
        <w:t xml:space="preserve"> (Potential Impact)</w:t>
      </w:r>
      <w:bookmarkEnd w:id="125"/>
    </w:p>
    <w:tbl>
      <w:tblPr>
        <w:tblStyle w:val="TableGrid"/>
        <w:tblW w:w="0" w:type="auto"/>
        <w:tblLook w:val="04A0" w:firstRow="1" w:lastRow="0" w:firstColumn="1" w:lastColumn="0" w:noHBand="0" w:noVBand="1"/>
      </w:tblPr>
      <w:tblGrid>
        <w:gridCol w:w="2476"/>
        <w:gridCol w:w="2476"/>
        <w:gridCol w:w="2477"/>
        <w:gridCol w:w="2477"/>
      </w:tblGrid>
      <w:tr w:rsidR="00745035" w14:paraId="4DFB5902" w14:textId="77777777" w:rsidTr="00007B61">
        <w:tc>
          <w:tcPr>
            <w:tcW w:w="2476" w:type="dxa"/>
            <w:shd w:val="clear" w:color="auto" w:fill="DFE6D0" w:themeFill="background2"/>
          </w:tcPr>
          <w:p w14:paraId="17BFC2C2" w14:textId="0F4502A5" w:rsidR="00745035" w:rsidRDefault="00745035" w:rsidP="008C06C0">
            <w:pPr>
              <w:pStyle w:val="Para0"/>
              <w:spacing w:before="120"/>
            </w:pPr>
            <w:bookmarkStart w:id="126" w:name="_Hlk514006032"/>
            <w:r>
              <w:t>Exposure \ Condition</w:t>
            </w:r>
          </w:p>
        </w:tc>
        <w:tc>
          <w:tcPr>
            <w:tcW w:w="2476" w:type="dxa"/>
          </w:tcPr>
          <w:p w14:paraId="329F56BB" w14:textId="58AC78CB" w:rsidR="00745035" w:rsidRDefault="00745035" w:rsidP="008C06C0">
            <w:pPr>
              <w:pStyle w:val="Para0"/>
              <w:spacing w:before="120"/>
            </w:pPr>
            <w:r>
              <w:t>Good</w:t>
            </w:r>
          </w:p>
        </w:tc>
        <w:tc>
          <w:tcPr>
            <w:tcW w:w="2477" w:type="dxa"/>
          </w:tcPr>
          <w:p w14:paraId="25CF1E00" w14:textId="0187D2D0" w:rsidR="00745035" w:rsidRDefault="00745035" w:rsidP="008C06C0">
            <w:pPr>
              <w:pStyle w:val="Para0"/>
              <w:spacing w:before="120"/>
            </w:pPr>
            <w:r>
              <w:t>Medium</w:t>
            </w:r>
          </w:p>
        </w:tc>
        <w:tc>
          <w:tcPr>
            <w:tcW w:w="2477" w:type="dxa"/>
          </w:tcPr>
          <w:p w14:paraId="15BEA637" w14:textId="1F73F6D8" w:rsidR="00745035" w:rsidRDefault="00745035" w:rsidP="008C06C0">
            <w:pPr>
              <w:pStyle w:val="Para0"/>
              <w:spacing w:before="120"/>
            </w:pPr>
            <w:r>
              <w:t>Poor</w:t>
            </w:r>
          </w:p>
        </w:tc>
      </w:tr>
      <w:tr w:rsidR="00745035" w14:paraId="584CBF6B" w14:textId="77777777" w:rsidTr="00806FCE">
        <w:tc>
          <w:tcPr>
            <w:tcW w:w="2476" w:type="dxa"/>
          </w:tcPr>
          <w:p w14:paraId="3E927113" w14:textId="3812B57E" w:rsidR="00745035" w:rsidRDefault="00745035" w:rsidP="008C06C0">
            <w:pPr>
              <w:pStyle w:val="Para0"/>
              <w:spacing w:before="120"/>
            </w:pPr>
            <w:r>
              <w:t>Low</w:t>
            </w:r>
          </w:p>
        </w:tc>
        <w:tc>
          <w:tcPr>
            <w:tcW w:w="2476" w:type="dxa"/>
            <w:shd w:val="clear" w:color="auto" w:fill="92D050"/>
          </w:tcPr>
          <w:p w14:paraId="1308CD75" w14:textId="00A01715" w:rsidR="00745035" w:rsidRDefault="002D7647" w:rsidP="008C06C0">
            <w:pPr>
              <w:pStyle w:val="Para0"/>
              <w:spacing w:before="120"/>
            </w:pPr>
            <w:r>
              <w:t>Low</w:t>
            </w:r>
          </w:p>
        </w:tc>
        <w:tc>
          <w:tcPr>
            <w:tcW w:w="2477" w:type="dxa"/>
            <w:shd w:val="clear" w:color="auto" w:fill="92D050"/>
          </w:tcPr>
          <w:p w14:paraId="53BEB607" w14:textId="75CE31B6" w:rsidR="00745035" w:rsidRDefault="00FB3FB9" w:rsidP="008C06C0">
            <w:pPr>
              <w:pStyle w:val="Para0"/>
              <w:spacing w:before="120"/>
            </w:pPr>
            <w:r>
              <w:t>Low</w:t>
            </w:r>
          </w:p>
        </w:tc>
        <w:tc>
          <w:tcPr>
            <w:tcW w:w="2477" w:type="dxa"/>
            <w:shd w:val="clear" w:color="auto" w:fill="FFC000"/>
          </w:tcPr>
          <w:p w14:paraId="565A110B" w14:textId="39869D12" w:rsidR="00745035" w:rsidRDefault="00FB3FB9" w:rsidP="008C06C0">
            <w:pPr>
              <w:pStyle w:val="Para0"/>
              <w:spacing w:before="120"/>
            </w:pPr>
            <w:r>
              <w:t>Medium</w:t>
            </w:r>
          </w:p>
        </w:tc>
      </w:tr>
      <w:tr w:rsidR="00745035" w14:paraId="5DC9EFEB" w14:textId="77777777" w:rsidTr="008A7F05">
        <w:tc>
          <w:tcPr>
            <w:tcW w:w="2476" w:type="dxa"/>
          </w:tcPr>
          <w:p w14:paraId="13583F58" w14:textId="35D0373E" w:rsidR="00745035" w:rsidRDefault="00745035" w:rsidP="008C06C0">
            <w:pPr>
              <w:pStyle w:val="Para0"/>
              <w:spacing w:before="120"/>
            </w:pPr>
            <w:r>
              <w:t>Medium</w:t>
            </w:r>
          </w:p>
        </w:tc>
        <w:tc>
          <w:tcPr>
            <w:tcW w:w="2476" w:type="dxa"/>
            <w:shd w:val="clear" w:color="auto" w:fill="FFC000"/>
          </w:tcPr>
          <w:p w14:paraId="3B82D3C8" w14:textId="50543A03" w:rsidR="00745035" w:rsidRDefault="008A7F05" w:rsidP="008C06C0">
            <w:pPr>
              <w:pStyle w:val="Para0"/>
              <w:spacing w:before="120"/>
            </w:pPr>
            <w:r>
              <w:t>Medium</w:t>
            </w:r>
          </w:p>
        </w:tc>
        <w:tc>
          <w:tcPr>
            <w:tcW w:w="2477" w:type="dxa"/>
            <w:shd w:val="clear" w:color="auto" w:fill="FFC000"/>
          </w:tcPr>
          <w:p w14:paraId="25037E11" w14:textId="15B1E3D7" w:rsidR="00745035" w:rsidRDefault="00FB3FB9" w:rsidP="008C06C0">
            <w:pPr>
              <w:pStyle w:val="Para0"/>
              <w:spacing w:before="120"/>
            </w:pPr>
            <w:r>
              <w:t>Medium</w:t>
            </w:r>
          </w:p>
        </w:tc>
        <w:tc>
          <w:tcPr>
            <w:tcW w:w="2477" w:type="dxa"/>
            <w:shd w:val="clear" w:color="auto" w:fill="FF0000"/>
          </w:tcPr>
          <w:p w14:paraId="120826EC" w14:textId="68891B32" w:rsidR="00745035" w:rsidRDefault="00FB3FB9" w:rsidP="008C06C0">
            <w:pPr>
              <w:pStyle w:val="Para0"/>
              <w:spacing w:before="120"/>
            </w:pPr>
            <w:r>
              <w:t>High</w:t>
            </w:r>
          </w:p>
        </w:tc>
      </w:tr>
      <w:tr w:rsidR="00745035" w14:paraId="6EF38A21" w14:textId="77777777" w:rsidTr="008A7F05">
        <w:tc>
          <w:tcPr>
            <w:tcW w:w="2476" w:type="dxa"/>
          </w:tcPr>
          <w:p w14:paraId="2705EF74" w14:textId="6C29B5AA" w:rsidR="00745035" w:rsidRDefault="00745035" w:rsidP="008C06C0">
            <w:pPr>
              <w:pStyle w:val="Para0"/>
              <w:spacing w:before="120"/>
            </w:pPr>
            <w:r>
              <w:t>High</w:t>
            </w:r>
          </w:p>
        </w:tc>
        <w:tc>
          <w:tcPr>
            <w:tcW w:w="2476" w:type="dxa"/>
            <w:shd w:val="clear" w:color="auto" w:fill="FFC000"/>
          </w:tcPr>
          <w:p w14:paraId="29BFE9E4" w14:textId="18FA891B" w:rsidR="00745035" w:rsidRDefault="00FB3FB9" w:rsidP="008C06C0">
            <w:pPr>
              <w:pStyle w:val="Para0"/>
              <w:spacing w:before="120"/>
            </w:pPr>
            <w:r>
              <w:t>Medium</w:t>
            </w:r>
          </w:p>
        </w:tc>
        <w:tc>
          <w:tcPr>
            <w:tcW w:w="2477" w:type="dxa"/>
            <w:shd w:val="clear" w:color="auto" w:fill="FF0000"/>
          </w:tcPr>
          <w:p w14:paraId="427CA4DF" w14:textId="24F8CE85" w:rsidR="00745035" w:rsidRDefault="00FB3FB9" w:rsidP="008C06C0">
            <w:pPr>
              <w:pStyle w:val="Para0"/>
              <w:spacing w:before="120"/>
            </w:pPr>
            <w:r>
              <w:t>High</w:t>
            </w:r>
          </w:p>
        </w:tc>
        <w:tc>
          <w:tcPr>
            <w:tcW w:w="2477" w:type="dxa"/>
            <w:shd w:val="clear" w:color="auto" w:fill="C00000"/>
          </w:tcPr>
          <w:p w14:paraId="42CDDF12" w14:textId="40048A6F" w:rsidR="00745035" w:rsidRDefault="008A7F05" w:rsidP="008C06C0">
            <w:pPr>
              <w:pStyle w:val="Para0"/>
              <w:spacing w:before="120"/>
            </w:pPr>
            <w:r>
              <w:t>Extreme</w:t>
            </w:r>
          </w:p>
        </w:tc>
      </w:tr>
    </w:tbl>
    <w:bookmarkEnd w:id="126"/>
    <w:p w14:paraId="0403B7C2" w14:textId="078AD82E" w:rsidR="00007B61" w:rsidRDefault="00BA75C2" w:rsidP="00BA75C2">
      <w:pPr>
        <w:pStyle w:val="Para0"/>
      </w:pPr>
      <w:r>
        <w:t xml:space="preserve">Other measures of exposure, resistance, resilience, adaptive capacity should be used </w:t>
      </w:r>
      <w:r w:rsidR="00CF0933">
        <w:t xml:space="preserve">when available </w:t>
      </w:r>
      <w:r>
        <w:t xml:space="preserve"> to increase confidence in the assessment. The rules within the table above can be further refined with the inclusion of these other </w:t>
      </w:r>
      <w:r w:rsidR="00614EDD">
        <w:t xml:space="preserve">components </w:t>
      </w:r>
      <w:r w:rsidR="00E87DC2">
        <w:t xml:space="preserve">which can help manage vegetation stress from different combinations of the components of vulnerability. </w:t>
      </w:r>
      <w:r w:rsidR="00007B61">
        <w:t>Assessment of vulnerability can also be used to guide the definition of appropriate management objectives. An example of applying management objectives to the vulnerability assessment is provided in Table 3-9.</w:t>
      </w:r>
      <w:r w:rsidR="00E87DC2">
        <w:t xml:space="preserve"> </w:t>
      </w:r>
      <w:r w:rsidR="00E87DC2" w:rsidRPr="00E87DC2">
        <w:t>These should not be used as the only basis for management objectives, for example, it may be more beneficial to improve areas of poor adaptive capacity if it is of high value and low implementation cost. However, the table can be used as part of a broader multi-criteria assessment of management priorities.</w:t>
      </w:r>
    </w:p>
    <w:p w14:paraId="1682DD0E" w14:textId="1F0F5F50" w:rsidR="0063076E" w:rsidRDefault="0063076E" w:rsidP="008A32A8">
      <w:pPr>
        <w:pStyle w:val="Caption"/>
      </w:pPr>
      <w:bookmarkStart w:id="127" w:name="_Toc514068776"/>
      <w:r w:rsidRPr="00890425">
        <w:t xml:space="preserve">Table </w:t>
      </w:r>
      <w:r w:rsidRPr="00890425">
        <w:fldChar w:fldCharType="begin"/>
      </w:r>
      <w:r w:rsidRPr="00890425">
        <w:instrText xml:space="preserve"> STYLEREF 1 \s </w:instrText>
      </w:r>
      <w:r w:rsidRPr="00890425">
        <w:fldChar w:fldCharType="separate"/>
      </w:r>
      <w:r>
        <w:rPr>
          <w:noProof/>
        </w:rPr>
        <w:t>3</w:t>
      </w:r>
      <w:r w:rsidRPr="00890425">
        <w:fldChar w:fldCharType="end"/>
      </w:r>
      <w:r w:rsidRPr="00890425">
        <w:noBreakHyphen/>
      </w:r>
      <w:r w:rsidRPr="008A32A8">
        <w:fldChar w:fldCharType="begin"/>
      </w:r>
      <w:r w:rsidRPr="008A32A8">
        <w:instrText xml:space="preserve"> SEQ Table \* ARABIC \s 1 </w:instrText>
      </w:r>
      <w:r w:rsidRPr="008A32A8">
        <w:fldChar w:fldCharType="separate"/>
      </w:r>
      <w:r>
        <w:rPr>
          <w:noProof/>
        </w:rPr>
        <w:t>9</w:t>
      </w:r>
      <w:r w:rsidRPr="008A32A8">
        <w:fldChar w:fldCharType="end"/>
      </w:r>
      <w:r>
        <w:t>:</w:t>
      </w:r>
      <w:r w:rsidRPr="0063076E">
        <w:t xml:space="preserve"> </w:t>
      </w:r>
      <w:r w:rsidRPr="008A32A8">
        <w:t xml:space="preserve">Vulnerability Assessment related to </w:t>
      </w:r>
      <w:r w:rsidR="00E87DC2">
        <w:t xml:space="preserve">possible </w:t>
      </w:r>
      <w:r w:rsidRPr="008A32A8">
        <w:t>management objectives</w:t>
      </w:r>
      <w:bookmarkEnd w:id="127"/>
    </w:p>
    <w:tbl>
      <w:tblPr>
        <w:tblStyle w:val="TableGrid"/>
        <w:tblW w:w="9906" w:type="dxa"/>
        <w:tblLook w:val="04A0" w:firstRow="1" w:lastRow="0" w:firstColumn="1" w:lastColumn="0" w:noHBand="0" w:noVBand="1"/>
      </w:tblPr>
      <w:tblGrid>
        <w:gridCol w:w="2476"/>
        <w:gridCol w:w="2476"/>
        <w:gridCol w:w="2477"/>
        <w:gridCol w:w="2477"/>
      </w:tblGrid>
      <w:tr w:rsidR="00007B61" w14:paraId="1E61AA79" w14:textId="77777777" w:rsidTr="00844523">
        <w:tc>
          <w:tcPr>
            <w:tcW w:w="2476" w:type="dxa"/>
            <w:tcBorders>
              <w:top w:val="nil"/>
              <w:left w:val="nil"/>
            </w:tcBorders>
          </w:tcPr>
          <w:p w14:paraId="7A6AA1A9" w14:textId="77777777" w:rsidR="00007B61" w:rsidRDefault="00007B61" w:rsidP="00844523">
            <w:pPr>
              <w:pStyle w:val="Para0"/>
              <w:spacing w:before="120"/>
            </w:pPr>
          </w:p>
        </w:tc>
        <w:tc>
          <w:tcPr>
            <w:tcW w:w="7430" w:type="dxa"/>
            <w:gridSpan w:val="3"/>
            <w:shd w:val="clear" w:color="auto" w:fill="DFE6D0" w:themeFill="background2"/>
            <w:vAlign w:val="center"/>
          </w:tcPr>
          <w:p w14:paraId="67C8D35E" w14:textId="77777777" w:rsidR="00007B61" w:rsidRDefault="00007B61" w:rsidP="00844523">
            <w:pPr>
              <w:pStyle w:val="Para0"/>
              <w:spacing w:before="120"/>
              <w:jc w:val="center"/>
            </w:pPr>
            <w:r>
              <w:t>Adaptive Capacity</w:t>
            </w:r>
          </w:p>
        </w:tc>
      </w:tr>
      <w:tr w:rsidR="00007B61" w14:paraId="0D687CE8" w14:textId="77777777" w:rsidTr="00844523">
        <w:tc>
          <w:tcPr>
            <w:tcW w:w="2476" w:type="dxa"/>
            <w:shd w:val="clear" w:color="auto" w:fill="DFE6D0" w:themeFill="background2"/>
            <w:vAlign w:val="center"/>
          </w:tcPr>
          <w:p w14:paraId="23D597F6" w14:textId="77777777" w:rsidR="00007B61" w:rsidRDefault="00007B61" w:rsidP="00844523">
            <w:pPr>
              <w:pStyle w:val="Para0"/>
              <w:spacing w:before="120"/>
              <w:jc w:val="center"/>
            </w:pPr>
            <w:r>
              <w:t>Potential Impact</w:t>
            </w:r>
          </w:p>
        </w:tc>
        <w:tc>
          <w:tcPr>
            <w:tcW w:w="2476" w:type="dxa"/>
          </w:tcPr>
          <w:p w14:paraId="54336E17" w14:textId="77777777" w:rsidR="00007B61" w:rsidRDefault="00007B61" w:rsidP="00844523">
            <w:pPr>
              <w:pStyle w:val="Para0"/>
              <w:spacing w:before="120"/>
            </w:pPr>
            <w:r>
              <w:t>Good</w:t>
            </w:r>
          </w:p>
        </w:tc>
        <w:tc>
          <w:tcPr>
            <w:tcW w:w="2477" w:type="dxa"/>
          </w:tcPr>
          <w:p w14:paraId="54134B43" w14:textId="77777777" w:rsidR="00007B61" w:rsidRDefault="00007B61" w:rsidP="00844523">
            <w:pPr>
              <w:pStyle w:val="Para0"/>
              <w:spacing w:before="120"/>
            </w:pPr>
            <w:r>
              <w:t>Medium</w:t>
            </w:r>
          </w:p>
        </w:tc>
        <w:tc>
          <w:tcPr>
            <w:tcW w:w="2477" w:type="dxa"/>
          </w:tcPr>
          <w:p w14:paraId="033B1A31" w14:textId="77777777" w:rsidR="00007B61" w:rsidRDefault="00007B61" w:rsidP="00844523">
            <w:pPr>
              <w:pStyle w:val="Para0"/>
              <w:spacing w:before="120"/>
            </w:pPr>
            <w:r>
              <w:t>Poor</w:t>
            </w:r>
          </w:p>
        </w:tc>
      </w:tr>
      <w:tr w:rsidR="00007B61" w14:paraId="29255D58" w14:textId="77777777" w:rsidTr="00844523">
        <w:tc>
          <w:tcPr>
            <w:tcW w:w="2476" w:type="dxa"/>
          </w:tcPr>
          <w:p w14:paraId="7C8C7F1C" w14:textId="77777777" w:rsidR="00007B61" w:rsidRDefault="00007B61" w:rsidP="00844523">
            <w:pPr>
              <w:pStyle w:val="Para0"/>
              <w:spacing w:before="120"/>
            </w:pPr>
            <w:r>
              <w:t>Low</w:t>
            </w:r>
          </w:p>
        </w:tc>
        <w:tc>
          <w:tcPr>
            <w:tcW w:w="2476" w:type="dxa"/>
            <w:shd w:val="clear" w:color="auto" w:fill="92D050"/>
          </w:tcPr>
          <w:p w14:paraId="34F55A2C" w14:textId="77777777" w:rsidR="00007B61" w:rsidRDefault="00007B61" w:rsidP="00844523">
            <w:pPr>
              <w:pStyle w:val="Para0"/>
              <w:spacing w:before="120"/>
            </w:pPr>
            <w:r>
              <w:t>Maintain / Improve</w:t>
            </w:r>
          </w:p>
        </w:tc>
        <w:tc>
          <w:tcPr>
            <w:tcW w:w="2477" w:type="dxa"/>
            <w:shd w:val="clear" w:color="auto" w:fill="92D050"/>
          </w:tcPr>
          <w:p w14:paraId="43910D58" w14:textId="77777777" w:rsidR="00007B61" w:rsidRDefault="00007B61" w:rsidP="00844523">
            <w:pPr>
              <w:pStyle w:val="Para0"/>
              <w:spacing w:before="120"/>
            </w:pPr>
            <w:r>
              <w:t>Maintain / Improve</w:t>
            </w:r>
          </w:p>
        </w:tc>
        <w:tc>
          <w:tcPr>
            <w:tcW w:w="2477" w:type="dxa"/>
            <w:shd w:val="clear" w:color="auto" w:fill="FFC000"/>
          </w:tcPr>
          <w:p w14:paraId="2EB9CE20" w14:textId="77777777" w:rsidR="00007B61" w:rsidRDefault="00007B61" w:rsidP="00844523">
            <w:pPr>
              <w:pStyle w:val="Para0"/>
              <w:spacing w:before="120"/>
            </w:pPr>
            <w:r>
              <w:t>Protect</w:t>
            </w:r>
          </w:p>
        </w:tc>
      </w:tr>
      <w:tr w:rsidR="00007B61" w14:paraId="6D0795C8" w14:textId="77777777" w:rsidTr="00844523">
        <w:tc>
          <w:tcPr>
            <w:tcW w:w="2476" w:type="dxa"/>
          </w:tcPr>
          <w:p w14:paraId="197AC9E5" w14:textId="77777777" w:rsidR="00007B61" w:rsidRDefault="00007B61" w:rsidP="00844523">
            <w:pPr>
              <w:pStyle w:val="Para0"/>
              <w:spacing w:before="120"/>
            </w:pPr>
            <w:r>
              <w:t>Medium</w:t>
            </w:r>
          </w:p>
        </w:tc>
        <w:tc>
          <w:tcPr>
            <w:tcW w:w="2476" w:type="dxa"/>
            <w:shd w:val="clear" w:color="auto" w:fill="FFC000"/>
          </w:tcPr>
          <w:p w14:paraId="16A01044" w14:textId="77777777" w:rsidR="00007B61" w:rsidRDefault="00007B61" w:rsidP="00844523">
            <w:pPr>
              <w:pStyle w:val="Para0"/>
              <w:spacing w:before="120"/>
            </w:pPr>
            <w:r>
              <w:t>Maintain / Protect</w:t>
            </w:r>
          </w:p>
        </w:tc>
        <w:tc>
          <w:tcPr>
            <w:tcW w:w="2477" w:type="dxa"/>
            <w:shd w:val="clear" w:color="auto" w:fill="FFC000"/>
          </w:tcPr>
          <w:p w14:paraId="159CAB6A" w14:textId="77777777" w:rsidR="00007B61" w:rsidRDefault="00007B61" w:rsidP="00844523">
            <w:pPr>
              <w:pStyle w:val="Para0"/>
              <w:spacing w:before="120"/>
            </w:pPr>
            <w:r>
              <w:t>Protect</w:t>
            </w:r>
          </w:p>
        </w:tc>
        <w:tc>
          <w:tcPr>
            <w:tcW w:w="2477" w:type="dxa"/>
            <w:shd w:val="clear" w:color="auto" w:fill="FF0000"/>
          </w:tcPr>
          <w:p w14:paraId="3668C984" w14:textId="77777777" w:rsidR="00007B61" w:rsidRDefault="00007B61" w:rsidP="00844523">
            <w:pPr>
              <w:pStyle w:val="Para0"/>
              <w:spacing w:before="120"/>
            </w:pPr>
            <w:r>
              <w:t>Avoid damage</w:t>
            </w:r>
          </w:p>
        </w:tc>
      </w:tr>
      <w:tr w:rsidR="00007B61" w14:paraId="25876F62" w14:textId="77777777" w:rsidTr="00844523">
        <w:tc>
          <w:tcPr>
            <w:tcW w:w="2476" w:type="dxa"/>
          </w:tcPr>
          <w:p w14:paraId="570A08C6" w14:textId="77777777" w:rsidR="00007B61" w:rsidRDefault="00007B61" w:rsidP="00844523">
            <w:pPr>
              <w:pStyle w:val="Para0"/>
              <w:spacing w:before="120"/>
            </w:pPr>
            <w:r>
              <w:t>High</w:t>
            </w:r>
          </w:p>
        </w:tc>
        <w:tc>
          <w:tcPr>
            <w:tcW w:w="2476" w:type="dxa"/>
            <w:shd w:val="clear" w:color="auto" w:fill="FFC000"/>
          </w:tcPr>
          <w:p w14:paraId="36FF7C28" w14:textId="77777777" w:rsidR="00007B61" w:rsidRDefault="00007B61" w:rsidP="00844523">
            <w:pPr>
              <w:pStyle w:val="Para0"/>
              <w:spacing w:before="120"/>
            </w:pPr>
            <w:r>
              <w:t>Protect / Avoid damage</w:t>
            </w:r>
          </w:p>
        </w:tc>
        <w:tc>
          <w:tcPr>
            <w:tcW w:w="2477" w:type="dxa"/>
            <w:shd w:val="clear" w:color="auto" w:fill="FF0000"/>
          </w:tcPr>
          <w:p w14:paraId="024AD769" w14:textId="77777777" w:rsidR="00007B61" w:rsidRDefault="00007B61" w:rsidP="00844523">
            <w:pPr>
              <w:pStyle w:val="Para0"/>
              <w:spacing w:before="120"/>
            </w:pPr>
            <w:r>
              <w:t>Avoid damage</w:t>
            </w:r>
          </w:p>
        </w:tc>
        <w:tc>
          <w:tcPr>
            <w:tcW w:w="2477" w:type="dxa"/>
            <w:shd w:val="clear" w:color="auto" w:fill="C00000"/>
          </w:tcPr>
          <w:p w14:paraId="0C36988F" w14:textId="77777777" w:rsidR="00007B61" w:rsidRDefault="00007B61" w:rsidP="00844523">
            <w:pPr>
              <w:pStyle w:val="Para0"/>
              <w:spacing w:before="120"/>
            </w:pPr>
            <w:r>
              <w:t>Avoid damage / may not be sustainable</w:t>
            </w:r>
          </w:p>
        </w:tc>
      </w:tr>
    </w:tbl>
    <w:p w14:paraId="57C8CD5F" w14:textId="77777777" w:rsidR="00007B61" w:rsidRDefault="00007B61" w:rsidP="00007B61"/>
    <w:p w14:paraId="6A73C90A" w14:textId="7DBA8A5D" w:rsidR="00C45489" w:rsidRDefault="00745035" w:rsidP="00745035">
      <w:pPr>
        <w:pStyle w:val="Para0"/>
      </w:pPr>
      <w:r>
        <w:t xml:space="preserve">By </w:t>
      </w:r>
      <w:r w:rsidR="00C43685">
        <w:t xml:space="preserve">using the </w:t>
      </w:r>
      <w:r>
        <w:t xml:space="preserve">vulnerability </w:t>
      </w:r>
      <w:r w:rsidR="00C43685">
        <w:t>assessment</w:t>
      </w:r>
      <w:r>
        <w:t>, it is possible to predict what would happen if there was no management intervention</w:t>
      </w:r>
      <w:r w:rsidR="00223708">
        <w:t xml:space="preserve"> to effect exposure to stressors</w:t>
      </w:r>
      <w:r>
        <w:t xml:space="preserve">. </w:t>
      </w:r>
      <w:r w:rsidR="003D20F7">
        <w:t>The ‘</w:t>
      </w:r>
      <w:r w:rsidR="00A24DC3">
        <w:t>D</w:t>
      </w:r>
      <w:r>
        <w:t>o-</w:t>
      </w:r>
      <w:r w:rsidR="00A24DC3">
        <w:t>N</w:t>
      </w:r>
      <w:r>
        <w:t>othing’ scenario</w:t>
      </w:r>
      <w:r w:rsidR="002D4BCF">
        <w:t xml:space="preserve"> can also be mapped and </w:t>
      </w:r>
      <w:r>
        <w:t>used in the management plan</w:t>
      </w:r>
      <w:r w:rsidR="00A24DC3">
        <w:t xml:space="preserve"> to support prioritisation</w:t>
      </w:r>
      <w:r>
        <w:t xml:space="preserve">. </w:t>
      </w:r>
      <w:r w:rsidR="00C45489">
        <w:t xml:space="preserve">The ‘Do-Nothing’ scenario has been developed </w:t>
      </w:r>
      <w:r w:rsidR="00A3784F">
        <w:t>regarding</w:t>
      </w:r>
      <w:r w:rsidR="00C45489">
        <w:t xml:space="preserve"> the transition model presented at chapter </w:t>
      </w:r>
      <w:r w:rsidR="00C45489">
        <w:fldChar w:fldCharType="begin"/>
      </w:r>
      <w:r w:rsidR="00C45489">
        <w:instrText xml:space="preserve"> REF _Ref508021470 \r \h </w:instrText>
      </w:r>
      <w:r w:rsidR="00C45489">
        <w:fldChar w:fldCharType="separate"/>
      </w:r>
      <w:r w:rsidR="00BF015B">
        <w:t>3.5.1.4</w:t>
      </w:r>
      <w:r w:rsidR="00C45489">
        <w:fldChar w:fldCharType="end"/>
      </w:r>
      <w:r w:rsidR="00C45489">
        <w:t xml:space="preserve">. </w:t>
      </w:r>
    </w:p>
    <w:p w14:paraId="08424A9B" w14:textId="17B06437" w:rsidR="00745035" w:rsidRDefault="00096310" w:rsidP="00745035">
      <w:pPr>
        <w:pStyle w:val="Para0"/>
      </w:pPr>
      <w:r>
        <w:t>Table 3-10</w:t>
      </w:r>
      <w:r w:rsidR="00745035">
        <w:t xml:space="preserve"> </w:t>
      </w:r>
      <w:r w:rsidR="002D4BCF">
        <w:t>shows the rules that are</w:t>
      </w:r>
      <w:r w:rsidR="00745035">
        <w:t xml:space="preserve"> used to make the ‘do-nothing’ scenario map:</w:t>
      </w:r>
    </w:p>
    <w:p w14:paraId="5E338A65" w14:textId="0A4F8382" w:rsidR="00745035" w:rsidRPr="00CE47B7" w:rsidRDefault="00745035" w:rsidP="00F22225">
      <w:pPr>
        <w:pStyle w:val="ListParagraph"/>
        <w:numPr>
          <w:ilvl w:val="0"/>
          <w:numId w:val="70"/>
        </w:numPr>
        <w:spacing w:before="120" w:line="300" w:lineRule="auto"/>
        <w:contextualSpacing/>
        <w:rPr>
          <w:rFonts w:ascii="Arial" w:eastAsia="Times New Roman" w:hAnsi="Arial" w:cs="Arial"/>
          <w:color w:val="000000"/>
          <w:sz w:val="20"/>
          <w:szCs w:val="20"/>
        </w:rPr>
      </w:pPr>
      <w:r w:rsidRPr="00CE47B7">
        <w:rPr>
          <w:rFonts w:ascii="Arial" w:eastAsia="Times New Roman" w:hAnsi="Arial" w:cs="Arial"/>
          <w:color w:val="000000"/>
          <w:sz w:val="20"/>
          <w:szCs w:val="20"/>
        </w:rPr>
        <w:t xml:space="preserve">Good condition Black Box </w:t>
      </w:r>
      <w:r>
        <w:rPr>
          <w:rFonts w:ascii="Arial" w:eastAsia="Times New Roman" w:hAnsi="Arial" w:cs="Arial"/>
          <w:color w:val="000000"/>
          <w:sz w:val="20"/>
          <w:szCs w:val="20"/>
        </w:rPr>
        <w:t xml:space="preserve">with low exposure to stressors </w:t>
      </w:r>
      <w:r w:rsidRPr="00CE47B7">
        <w:rPr>
          <w:rFonts w:ascii="Arial" w:eastAsia="Times New Roman" w:hAnsi="Arial" w:cs="Arial"/>
          <w:color w:val="000000"/>
          <w:sz w:val="20"/>
          <w:szCs w:val="20"/>
        </w:rPr>
        <w:t>will remain good;</w:t>
      </w:r>
    </w:p>
    <w:p w14:paraId="7A5123EC" w14:textId="307593A5" w:rsidR="00745035" w:rsidRPr="00CE47B7" w:rsidRDefault="00745035" w:rsidP="00F22225">
      <w:pPr>
        <w:pStyle w:val="ListParagraph"/>
        <w:numPr>
          <w:ilvl w:val="0"/>
          <w:numId w:val="70"/>
        </w:numPr>
        <w:spacing w:before="120" w:line="300" w:lineRule="auto"/>
        <w:contextualSpacing/>
        <w:rPr>
          <w:rFonts w:ascii="Arial" w:eastAsia="Times New Roman" w:hAnsi="Arial" w:cs="Arial"/>
          <w:color w:val="000000"/>
          <w:sz w:val="20"/>
          <w:szCs w:val="20"/>
        </w:rPr>
      </w:pPr>
      <w:r w:rsidRPr="00CE47B7">
        <w:rPr>
          <w:rFonts w:ascii="Arial" w:eastAsia="Times New Roman" w:hAnsi="Arial" w:cs="Arial"/>
          <w:color w:val="000000"/>
          <w:sz w:val="20"/>
          <w:szCs w:val="20"/>
        </w:rPr>
        <w:t xml:space="preserve">Medium condition Black Box </w:t>
      </w:r>
      <w:r w:rsidR="00806FCE">
        <w:rPr>
          <w:rFonts w:ascii="Arial" w:eastAsia="Times New Roman" w:hAnsi="Arial" w:cs="Arial"/>
          <w:color w:val="000000"/>
          <w:sz w:val="20"/>
          <w:szCs w:val="20"/>
        </w:rPr>
        <w:t xml:space="preserve">with low exposure to stressors </w:t>
      </w:r>
      <w:r w:rsidRPr="00CE47B7">
        <w:rPr>
          <w:rFonts w:ascii="Arial" w:eastAsia="Times New Roman" w:hAnsi="Arial" w:cs="Arial"/>
          <w:color w:val="000000"/>
          <w:sz w:val="20"/>
          <w:szCs w:val="20"/>
        </w:rPr>
        <w:t>will remain as medium</w:t>
      </w:r>
      <w:r w:rsidR="00806FCE">
        <w:rPr>
          <w:rFonts w:ascii="Arial" w:eastAsia="Times New Roman" w:hAnsi="Arial" w:cs="Arial"/>
          <w:color w:val="000000"/>
          <w:sz w:val="20"/>
          <w:szCs w:val="20"/>
        </w:rPr>
        <w:t>;</w:t>
      </w:r>
    </w:p>
    <w:p w14:paraId="15DC0FC5" w14:textId="25EC01FF" w:rsidR="00745035" w:rsidRPr="00CE47B7" w:rsidRDefault="00745035" w:rsidP="00F22225">
      <w:pPr>
        <w:pStyle w:val="ListParagraph"/>
        <w:numPr>
          <w:ilvl w:val="0"/>
          <w:numId w:val="70"/>
        </w:numPr>
        <w:spacing w:before="120" w:line="300" w:lineRule="auto"/>
        <w:contextualSpacing/>
        <w:rPr>
          <w:rFonts w:ascii="Arial" w:eastAsia="Times New Roman" w:hAnsi="Arial" w:cs="Arial"/>
          <w:color w:val="000000"/>
          <w:sz w:val="20"/>
          <w:szCs w:val="20"/>
        </w:rPr>
      </w:pPr>
      <w:r w:rsidRPr="00CE47B7">
        <w:rPr>
          <w:rFonts w:ascii="Arial" w:eastAsia="Times New Roman" w:hAnsi="Arial" w:cs="Arial"/>
          <w:color w:val="000000"/>
          <w:sz w:val="20"/>
          <w:szCs w:val="20"/>
        </w:rPr>
        <w:t xml:space="preserve">Good </w:t>
      </w:r>
      <w:r w:rsidR="00E033DA">
        <w:rPr>
          <w:rFonts w:ascii="Arial" w:eastAsia="Times New Roman" w:hAnsi="Arial" w:cs="Arial"/>
          <w:color w:val="000000"/>
          <w:sz w:val="20"/>
          <w:szCs w:val="20"/>
        </w:rPr>
        <w:t xml:space="preserve">or medium </w:t>
      </w:r>
      <w:r w:rsidRPr="00CE47B7">
        <w:rPr>
          <w:rFonts w:ascii="Arial" w:eastAsia="Times New Roman" w:hAnsi="Arial" w:cs="Arial"/>
          <w:color w:val="000000"/>
          <w:sz w:val="20"/>
          <w:szCs w:val="20"/>
        </w:rPr>
        <w:t xml:space="preserve">condition Black Box </w:t>
      </w:r>
      <w:r w:rsidR="00806FCE">
        <w:rPr>
          <w:rFonts w:ascii="Arial" w:eastAsia="Times New Roman" w:hAnsi="Arial" w:cs="Arial"/>
          <w:color w:val="000000"/>
          <w:sz w:val="20"/>
          <w:szCs w:val="20"/>
        </w:rPr>
        <w:t xml:space="preserve">with high </w:t>
      </w:r>
      <w:r w:rsidR="00E033DA">
        <w:rPr>
          <w:rFonts w:ascii="Arial" w:eastAsia="Times New Roman" w:hAnsi="Arial" w:cs="Arial"/>
          <w:color w:val="000000"/>
          <w:sz w:val="20"/>
          <w:szCs w:val="20"/>
        </w:rPr>
        <w:t xml:space="preserve">or medium </w:t>
      </w:r>
      <w:r w:rsidR="00806FCE">
        <w:rPr>
          <w:rFonts w:ascii="Arial" w:eastAsia="Times New Roman" w:hAnsi="Arial" w:cs="Arial"/>
          <w:color w:val="000000"/>
          <w:sz w:val="20"/>
          <w:szCs w:val="20"/>
        </w:rPr>
        <w:t xml:space="preserve">exposure to </w:t>
      </w:r>
      <w:r w:rsidRPr="00CE47B7">
        <w:rPr>
          <w:rFonts w:ascii="Arial" w:eastAsia="Times New Roman" w:hAnsi="Arial" w:cs="Arial"/>
          <w:color w:val="000000"/>
          <w:sz w:val="20"/>
          <w:szCs w:val="20"/>
        </w:rPr>
        <w:t>stressors will eventually decline to dead</w:t>
      </w:r>
      <w:r w:rsidR="00E033DA">
        <w:rPr>
          <w:rFonts w:ascii="Arial" w:eastAsia="Times New Roman" w:hAnsi="Arial" w:cs="Arial"/>
          <w:color w:val="000000"/>
          <w:sz w:val="20"/>
          <w:szCs w:val="20"/>
        </w:rPr>
        <w:t xml:space="preserve"> if no management action is taken. This could be over a very long </w:t>
      </w:r>
      <w:r w:rsidR="00AD6010">
        <w:rPr>
          <w:rFonts w:ascii="Arial" w:eastAsia="Times New Roman" w:hAnsi="Arial" w:cs="Arial"/>
          <w:color w:val="000000"/>
          <w:sz w:val="20"/>
          <w:szCs w:val="20"/>
        </w:rPr>
        <w:t>period</w:t>
      </w:r>
      <w:r w:rsidR="00E033DA">
        <w:rPr>
          <w:rFonts w:ascii="Arial" w:eastAsia="Times New Roman" w:hAnsi="Arial" w:cs="Arial"/>
          <w:color w:val="000000"/>
          <w:sz w:val="20"/>
          <w:szCs w:val="20"/>
        </w:rPr>
        <w:t xml:space="preserve"> of 25 years or more. The most likely action for these areas is to monitor their condition and act if changes occur</w:t>
      </w:r>
      <w:r w:rsidRPr="00CE47B7">
        <w:rPr>
          <w:rFonts w:ascii="Arial" w:eastAsia="Times New Roman" w:hAnsi="Arial" w:cs="Arial"/>
          <w:color w:val="000000"/>
          <w:sz w:val="20"/>
          <w:szCs w:val="20"/>
        </w:rPr>
        <w:t>; and</w:t>
      </w:r>
    </w:p>
    <w:p w14:paraId="49E566C1" w14:textId="3F095DD8" w:rsidR="008C06C0" w:rsidRPr="00A40029" w:rsidRDefault="00745035" w:rsidP="00F22225">
      <w:pPr>
        <w:pStyle w:val="ListParagraph"/>
        <w:numPr>
          <w:ilvl w:val="0"/>
          <w:numId w:val="70"/>
        </w:numPr>
        <w:spacing w:before="120" w:line="300" w:lineRule="auto"/>
        <w:contextualSpacing/>
        <w:rPr>
          <w:rFonts w:ascii="Arial" w:eastAsia="Times New Roman" w:hAnsi="Arial" w:cs="Arial"/>
          <w:color w:val="000000"/>
          <w:sz w:val="20"/>
          <w:szCs w:val="20"/>
        </w:rPr>
      </w:pPr>
      <w:r w:rsidRPr="00CE47B7">
        <w:rPr>
          <w:rFonts w:ascii="Arial" w:eastAsia="Times New Roman" w:hAnsi="Arial" w:cs="Arial"/>
          <w:color w:val="000000"/>
          <w:sz w:val="20"/>
          <w:szCs w:val="20"/>
        </w:rPr>
        <w:t xml:space="preserve">Poor condition Black Box </w:t>
      </w:r>
      <w:r w:rsidR="00806FCE">
        <w:rPr>
          <w:rFonts w:ascii="Arial" w:eastAsia="Times New Roman" w:hAnsi="Arial" w:cs="Arial"/>
          <w:color w:val="000000"/>
          <w:sz w:val="20"/>
          <w:szCs w:val="20"/>
        </w:rPr>
        <w:t xml:space="preserve">with low, medium or high exposure to stressors </w:t>
      </w:r>
      <w:r w:rsidRPr="00CE47B7">
        <w:rPr>
          <w:rFonts w:ascii="Arial" w:eastAsia="Times New Roman" w:hAnsi="Arial" w:cs="Arial"/>
          <w:color w:val="000000"/>
          <w:sz w:val="20"/>
          <w:szCs w:val="20"/>
        </w:rPr>
        <w:t>will decline to dead.</w:t>
      </w:r>
    </w:p>
    <w:p w14:paraId="0FF1F379" w14:textId="2351169E" w:rsidR="0063076E" w:rsidRPr="00890425" w:rsidRDefault="0063076E" w:rsidP="0063076E">
      <w:pPr>
        <w:pStyle w:val="Caption"/>
      </w:pPr>
      <w:bookmarkStart w:id="128" w:name="_Toc514068777"/>
      <w:r w:rsidRPr="00890425">
        <w:t xml:space="preserve">Table </w:t>
      </w:r>
      <w:r w:rsidRPr="00890425">
        <w:fldChar w:fldCharType="begin"/>
      </w:r>
      <w:r w:rsidRPr="00890425">
        <w:instrText xml:space="preserve"> STYLEREF 1 \s </w:instrText>
      </w:r>
      <w:r w:rsidRPr="00890425">
        <w:fldChar w:fldCharType="separate"/>
      </w:r>
      <w:r>
        <w:rPr>
          <w:noProof/>
        </w:rPr>
        <w:t>3</w:t>
      </w:r>
      <w:r w:rsidRPr="00890425">
        <w:fldChar w:fldCharType="end"/>
      </w:r>
      <w:r w:rsidRPr="00890425">
        <w:noBreakHyphen/>
      </w:r>
      <w:r w:rsidRPr="00890425">
        <w:fldChar w:fldCharType="begin"/>
      </w:r>
      <w:r w:rsidRPr="00890425">
        <w:instrText xml:space="preserve"> SEQ Table \* ARABIC \s 1 </w:instrText>
      </w:r>
      <w:r w:rsidRPr="00890425">
        <w:fldChar w:fldCharType="separate"/>
      </w:r>
      <w:r>
        <w:rPr>
          <w:noProof/>
        </w:rPr>
        <w:t>10</w:t>
      </w:r>
      <w:r w:rsidRPr="00890425">
        <w:fldChar w:fldCharType="end"/>
      </w:r>
      <w:r w:rsidRPr="00890425">
        <w:t>: Rules to create the ‘do nothing’ scenario map</w:t>
      </w:r>
      <w:bookmarkEnd w:id="128"/>
      <w:r w:rsidRPr="00890425">
        <w:t xml:space="preserve"> </w:t>
      </w:r>
    </w:p>
    <w:tbl>
      <w:tblPr>
        <w:tblStyle w:val="TableGrid"/>
        <w:tblW w:w="0" w:type="auto"/>
        <w:tblLook w:val="04A0" w:firstRow="1" w:lastRow="0" w:firstColumn="1" w:lastColumn="0" w:noHBand="0" w:noVBand="1"/>
      </w:tblPr>
      <w:tblGrid>
        <w:gridCol w:w="2476"/>
        <w:gridCol w:w="2476"/>
        <w:gridCol w:w="2477"/>
        <w:gridCol w:w="2477"/>
      </w:tblGrid>
      <w:tr w:rsidR="00FB3FB9" w14:paraId="28C61604" w14:textId="77777777" w:rsidTr="00007B61">
        <w:trPr>
          <w:trHeight w:val="449"/>
        </w:trPr>
        <w:tc>
          <w:tcPr>
            <w:tcW w:w="2476" w:type="dxa"/>
            <w:shd w:val="clear" w:color="auto" w:fill="DFE6D0" w:themeFill="background2"/>
          </w:tcPr>
          <w:p w14:paraId="2819A69F" w14:textId="77777777" w:rsidR="00FB3FB9" w:rsidRDefault="00FB3FB9" w:rsidP="00A40029">
            <w:pPr>
              <w:pStyle w:val="Para0"/>
              <w:keepNext/>
              <w:spacing w:before="120"/>
            </w:pPr>
            <w:bookmarkStart w:id="129" w:name="_Hlk514005916"/>
            <w:r>
              <w:t>Exposure \ Condition</w:t>
            </w:r>
          </w:p>
        </w:tc>
        <w:tc>
          <w:tcPr>
            <w:tcW w:w="2476" w:type="dxa"/>
          </w:tcPr>
          <w:p w14:paraId="7B19FBBF" w14:textId="77777777" w:rsidR="00FB3FB9" w:rsidRDefault="00FB3FB9" w:rsidP="00A40029">
            <w:pPr>
              <w:pStyle w:val="Para0"/>
              <w:keepNext/>
              <w:spacing w:before="120"/>
            </w:pPr>
            <w:r>
              <w:t>Good</w:t>
            </w:r>
          </w:p>
        </w:tc>
        <w:tc>
          <w:tcPr>
            <w:tcW w:w="2477" w:type="dxa"/>
          </w:tcPr>
          <w:p w14:paraId="2EDBD45C" w14:textId="77777777" w:rsidR="00FB3FB9" w:rsidRDefault="00FB3FB9" w:rsidP="00A40029">
            <w:pPr>
              <w:pStyle w:val="Para0"/>
              <w:keepNext/>
              <w:spacing w:before="120"/>
            </w:pPr>
            <w:r>
              <w:t>Medium</w:t>
            </w:r>
          </w:p>
        </w:tc>
        <w:tc>
          <w:tcPr>
            <w:tcW w:w="2477" w:type="dxa"/>
          </w:tcPr>
          <w:p w14:paraId="426E9E92" w14:textId="77777777" w:rsidR="00FB3FB9" w:rsidRDefault="00FB3FB9" w:rsidP="00A40029">
            <w:pPr>
              <w:pStyle w:val="Para0"/>
              <w:keepNext/>
              <w:spacing w:before="120"/>
            </w:pPr>
            <w:r>
              <w:t>Poor</w:t>
            </w:r>
          </w:p>
        </w:tc>
      </w:tr>
      <w:tr w:rsidR="00FB3FB9" w14:paraId="14EFBBE0" w14:textId="77777777" w:rsidTr="00806FCE">
        <w:tc>
          <w:tcPr>
            <w:tcW w:w="2476" w:type="dxa"/>
          </w:tcPr>
          <w:p w14:paraId="52475C29" w14:textId="77777777" w:rsidR="00FB3FB9" w:rsidRDefault="00FB3FB9" w:rsidP="00A40029">
            <w:pPr>
              <w:pStyle w:val="Para0"/>
              <w:keepNext/>
              <w:spacing w:before="120"/>
            </w:pPr>
            <w:r>
              <w:t>Low</w:t>
            </w:r>
          </w:p>
        </w:tc>
        <w:tc>
          <w:tcPr>
            <w:tcW w:w="2476" w:type="dxa"/>
            <w:shd w:val="clear" w:color="auto" w:fill="92D050"/>
          </w:tcPr>
          <w:p w14:paraId="16A78064" w14:textId="47279C4A" w:rsidR="00FB3FB9" w:rsidRDefault="00FB3FB9" w:rsidP="00A40029">
            <w:pPr>
              <w:pStyle w:val="Para0"/>
              <w:keepNext/>
              <w:spacing w:before="120"/>
            </w:pPr>
            <w:r>
              <w:t>Good</w:t>
            </w:r>
          </w:p>
        </w:tc>
        <w:tc>
          <w:tcPr>
            <w:tcW w:w="2477" w:type="dxa"/>
            <w:shd w:val="clear" w:color="auto" w:fill="FFC000"/>
          </w:tcPr>
          <w:p w14:paraId="32F53A98" w14:textId="65B7D666" w:rsidR="00FB3FB9" w:rsidRDefault="00FB3FB9" w:rsidP="00A40029">
            <w:pPr>
              <w:pStyle w:val="Para0"/>
              <w:keepNext/>
              <w:spacing w:before="120"/>
            </w:pPr>
            <w:r>
              <w:t>Medium</w:t>
            </w:r>
          </w:p>
        </w:tc>
        <w:tc>
          <w:tcPr>
            <w:tcW w:w="2477" w:type="dxa"/>
            <w:shd w:val="clear" w:color="auto" w:fill="FF0000"/>
          </w:tcPr>
          <w:p w14:paraId="04D5B0E4" w14:textId="44B0D049" w:rsidR="00FB3FB9" w:rsidRDefault="00FB3FB9" w:rsidP="00A40029">
            <w:pPr>
              <w:pStyle w:val="Para0"/>
              <w:keepNext/>
              <w:spacing w:before="120"/>
            </w:pPr>
            <w:r>
              <w:t>Dead</w:t>
            </w:r>
          </w:p>
        </w:tc>
      </w:tr>
      <w:tr w:rsidR="00FB3FB9" w14:paraId="4F9EF03B" w14:textId="77777777" w:rsidTr="00806FCE">
        <w:tc>
          <w:tcPr>
            <w:tcW w:w="2476" w:type="dxa"/>
          </w:tcPr>
          <w:p w14:paraId="4C0737D2" w14:textId="77777777" w:rsidR="00FB3FB9" w:rsidRDefault="00FB3FB9" w:rsidP="00A40029">
            <w:pPr>
              <w:pStyle w:val="Para0"/>
              <w:keepNext/>
              <w:spacing w:before="120"/>
            </w:pPr>
            <w:r>
              <w:t>Medium</w:t>
            </w:r>
          </w:p>
        </w:tc>
        <w:tc>
          <w:tcPr>
            <w:tcW w:w="2476" w:type="dxa"/>
            <w:shd w:val="clear" w:color="auto" w:fill="FF0000"/>
          </w:tcPr>
          <w:p w14:paraId="4BF55D03" w14:textId="34641BE2" w:rsidR="00FB3FB9" w:rsidRDefault="00FB3FB9" w:rsidP="00A40029">
            <w:pPr>
              <w:pStyle w:val="Para0"/>
              <w:keepNext/>
              <w:spacing w:before="120"/>
            </w:pPr>
            <w:r>
              <w:t>Dead</w:t>
            </w:r>
          </w:p>
        </w:tc>
        <w:tc>
          <w:tcPr>
            <w:tcW w:w="2477" w:type="dxa"/>
            <w:shd w:val="clear" w:color="auto" w:fill="FF0000"/>
          </w:tcPr>
          <w:p w14:paraId="1EFE213F" w14:textId="4747A904" w:rsidR="00FB3FB9" w:rsidRDefault="00FB3FB9" w:rsidP="00A40029">
            <w:pPr>
              <w:pStyle w:val="Para0"/>
              <w:keepNext/>
              <w:spacing w:before="120"/>
            </w:pPr>
            <w:r>
              <w:t>Dead</w:t>
            </w:r>
          </w:p>
        </w:tc>
        <w:tc>
          <w:tcPr>
            <w:tcW w:w="2477" w:type="dxa"/>
            <w:shd w:val="clear" w:color="auto" w:fill="FF0000"/>
          </w:tcPr>
          <w:p w14:paraId="164E299C" w14:textId="5F404B65" w:rsidR="00FB3FB9" w:rsidRDefault="00FB3FB9" w:rsidP="00A40029">
            <w:pPr>
              <w:pStyle w:val="Para0"/>
              <w:keepNext/>
              <w:spacing w:before="120"/>
            </w:pPr>
            <w:r>
              <w:t>Dead</w:t>
            </w:r>
          </w:p>
        </w:tc>
      </w:tr>
      <w:tr w:rsidR="00FB3FB9" w14:paraId="28CB6B52" w14:textId="77777777" w:rsidTr="00806FCE">
        <w:tc>
          <w:tcPr>
            <w:tcW w:w="2476" w:type="dxa"/>
          </w:tcPr>
          <w:p w14:paraId="1F72E7DE" w14:textId="77777777" w:rsidR="00FB3FB9" w:rsidRDefault="00FB3FB9" w:rsidP="008C06C0">
            <w:pPr>
              <w:pStyle w:val="Para0"/>
              <w:spacing w:before="120"/>
            </w:pPr>
            <w:r>
              <w:t>High</w:t>
            </w:r>
          </w:p>
        </w:tc>
        <w:tc>
          <w:tcPr>
            <w:tcW w:w="2476" w:type="dxa"/>
            <w:shd w:val="clear" w:color="auto" w:fill="FF0000"/>
          </w:tcPr>
          <w:p w14:paraId="163600B9" w14:textId="73B65F90" w:rsidR="00FB3FB9" w:rsidRDefault="00FB3FB9" w:rsidP="008C06C0">
            <w:pPr>
              <w:pStyle w:val="Para0"/>
              <w:spacing w:before="120"/>
            </w:pPr>
            <w:r>
              <w:t>Dead</w:t>
            </w:r>
          </w:p>
        </w:tc>
        <w:tc>
          <w:tcPr>
            <w:tcW w:w="2477" w:type="dxa"/>
            <w:shd w:val="clear" w:color="auto" w:fill="FF0000"/>
          </w:tcPr>
          <w:p w14:paraId="30C68137" w14:textId="3F188C04" w:rsidR="00FB3FB9" w:rsidRDefault="00FB3FB9" w:rsidP="008C06C0">
            <w:pPr>
              <w:pStyle w:val="Para0"/>
              <w:spacing w:before="120"/>
            </w:pPr>
            <w:r>
              <w:t>Dead</w:t>
            </w:r>
          </w:p>
        </w:tc>
        <w:tc>
          <w:tcPr>
            <w:tcW w:w="2477" w:type="dxa"/>
            <w:shd w:val="clear" w:color="auto" w:fill="FF0000"/>
          </w:tcPr>
          <w:p w14:paraId="4A57E3CF" w14:textId="62C08E73" w:rsidR="00FB3FB9" w:rsidRDefault="00FB3FB9" w:rsidP="008C06C0">
            <w:pPr>
              <w:pStyle w:val="Para0"/>
              <w:spacing w:before="120"/>
            </w:pPr>
            <w:r>
              <w:t>Dead</w:t>
            </w:r>
          </w:p>
        </w:tc>
      </w:tr>
      <w:bookmarkEnd w:id="129"/>
    </w:tbl>
    <w:p w14:paraId="2D6E4038" w14:textId="77777777" w:rsidR="00CD40E9" w:rsidRDefault="00CD40E9" w:rsidP="00A40029">
      <w:pPr>
        <w:pStyle w:val="Heading3"/>
        <w:numPr>
          <w:ilvl w:val="0"/>
          <w:numId w:val="0"/>
        </w:numPr>
        <w:ind w:left="851"/>
      </w:pPr>
    </w:p>
    <w:p w14:paraId="48682DFA" w14:textId="3DEC4DB7" w:rsidR="002D4BCF" w:rsidRDefault="006E14D3" w:rsidP="002D4BCF">
      <w:pPr>
        <w:pStyle w:val="Heading3"/>
      </w:pPr>
      <w:r>
        <w:t>Assessing Vulnerability and Confidence Levels</w:t>
      </w:r>
    </w:p>
    <w:p w14:paraId="64E941B7" w14:textId="1EAE4406" w:rsidR="003A6702" w:rsidRDefault="003A6702" w:rsidP="003A6702">
      <w:pPr>
        <w:pStyle w:val="Para0"/>
        <w:rPr>
          <w:color w:val="000000" w:themeColor="text1"/>
        </w:rPr>
      </w:pPr>
      <w:r>
        <w:rPr>
          <w:color w:val="000000" w:themeColor="text1"/>
        </w:rPr>
        <w:t xml:space="preserve">A confidence assessment is required to </w:t>
      </w:r>
      <w:r w:rsidR="00E67D3C">
        <w:rPr>
          <w:color w:val="000000" w:themeColor="text1"/>
        </w:rPr>
        <w:t xml:space="preserve">appreciate </w:t>
      </w:r>
      <w:r>
        <w:rPr>
          <w:color w:val="000000" w:themeColor="text1"/>
        </w:rPr>
        <w:t>the level of understanding of the vulnerability assessment, and to determine whether currently available data is sufficient for management decisions, or whether further investment in data may be required.</w:t>
      </w:r>
      <w:r w:rsidR="00E033DA">
        <w:rPr>
          <w:color w:val="000000" w:themeColor="text1"/>
        </w:rPr>
        <w:t xml:space="preserve"> A conceptual model will improve the assessment of vulnerability and confidence levels.</w:t>
      </w:r>
    </w:p>
    <w:p w14:paraId="463A7A27" w14:textId="4B4FB30F" w:rsidR="003A6702" w:rsidRDefault="003A6702" w:rsidP="003A6702">
      <w:pPr>
        <w:pStyle w:val="Para0"/>
        <w:rPr>
          <w:color w:val="000000" w:themeColor="text1"/>
        </w:rPr>
      </w:pPr>
      <w:r>
        <w:rPr>
          <w:color w:val="000000" w:themeColor="text1"/>
        </w:rPr>
        <w:t xml:space="preserve">The level of confidence that can be placed in a vulnerability assessment depends on the level of confidence with which the condition and stressors to Black Box were determined. </w:t>
      </w:r>
      <w:r w:rsidR="00C87406">
        <w:rPr>
          <w:color w:val="000000" w:themeColor="text1"/>
        </w:rPr>
        <w:fldChar w:fldCharType="begin"/>
      </w:r>
      <w:r w:rsidR="00C87406">
        <w:rPr>
          <w:color w:val="000000" w:themeColor="text1"/>
        </w:rPr>
        <w:instrText xml:space="preserve"> REF _Ref506796518 \h </w:instrText>
      </w:r>
      <w:r w:rsidR="00C87406">
        <w:rPr>
          <w:color w:val="000000" w:themeColor="text1"/>
        </w:rPr>
      </w:r>
      <w:r w:rsidR="00C87406">
        <w:rPr>
          <w:color w:val="000000" w:themeColor="text1"/>
        </w:rPr>
        <w:fldChar w:fldCharType="separate"/>
      </w:r>
      <w:r w:rsidR="00BF015B" w:rsidRPr="00890425">
        <w:t xml:space="preserve">Table </w:t>
      </w:r>
      <w:r w:rsidR="00BF015B">
        <w:rPr>
          <w:noProof/>
        </w:rPr>
        <w:t>3</w:t>
      </w:r>
      <w:r w:rsidR="00BF015B" w:rsidRPr="00890425">
        <w:noBreakHyphen/>
      </w:r>
      <w:r w:rsidR="00BF015B">
        <w:rPr>
          <w:noProof/>
        </w:rPr>
        <w:t>10</w:t>
      </w:r>
      <w:r w:rsidR="00C87406">
        <w:rPr>
          <w:color w:val="000000" w:themeColor="text1"/>
        </w:rPr>
        <w:fldChar w:fldCharType="end"/>
      </w:r>
      <w:r>
        <w:rPr>
          <w:color w:val="000000" w:themeColor="text1"/>
        </w:rPr>
        <w:t xml:space="preserve"> provides a guide to the confidence assessment for the vulnerability assessment. </w:t>
      </w:r>
      <w:r w:rsidR="00C87406">
        <w:rPr>
          <w:color w:val="000000" w:themeColor="text1"/>
        </w:rPr>
        <w:t xml:space="preserve">Refer </w:t>
      </w:r>
      <w:r w:rsidR="005A4E06">
        <w:rPr>
          <w:color w:val="000000" w:themeColor="text1"/>
        </w:rPr>
        <w:t>chapter</w:t>
      </w:r>
      <w:r w:rsidR="00C87406">
        <w:rPr>
          <w:color w:val="000000" w:themeColor="text1"/>
        </w:rPr>
        <w:t xml:space="preserve"> </w:t>
      </w:r>
      <w:r w:rsidR="00C87406">
        <w:rPr>
          <w:color w:val="000000" w:themeColor="text1"/>
          <w:highlight w:val="yellow"/>
        </w:rPr>
        <w:fldChar w:fldCharType="begin"/>
      </w:r>
      <w:r w:rsidR="00C87406">
        <w:rPr>
          <w:color w:val="000000" w:themeColor="text1"/>
        </w:rPr>
        <w:instrText xml:space="preserve"> REF _Ref505673858 \r \h </w:instrText>
      </w:r>
      <w:r w:rsidR="00C87406">
        <w:rPr>
          <w:color w:val="000000" w:themeColor="text1"/>
          <w:highlight w:val="yellow"/>
        </w:rPr>
      </w:r>
      <w:r w:rsidR="00C87406">
        <w:rPr>
          <w:color w:val="000000" w:themeColor="text1"/>
          <w:highlight w:val="yellow"/>
        </w:rPr>
        <w:fldChar w:fldCharType="separate"/>
      </w:r>
      <w:r w:rsidR="00BF015B">
        <w:rPr>
          <w:color w:val="000000" w:themeColor="text1"/>
        </w:rPr>
        <w:t>3.2</w:t>
      </w:r>
      <w:r w:rsidR="00C87406">
        <w:rPr>
          <w:color w:val="000000" w:themeColor="text1"/>
          <w:highlight w:val="yellow"/>
        </w:rPr>
        <w:fldChar w:fldCharType="end"/>
      </w:r>
      <w:r w:rsidR="00C87406">
        <w:rPr>
          <w:color w:val="000000" w:themeColor="text1"/>
        </w:rPr>
        <w:t xml:space="preserve"> for an explanation of the confidence assessment colour coding and explanation of what confidence levels are appropriate for different types of sites.</w:t>
      </w:r>
    </w:p>
    <w:p w14:paraId="4B952349" w14:textId="53FBFF83" w:rsidR="00223708" w:rsidRDefault="00223708">
      <w:pPr>
        <w:spacing w:after="0" w:line="240" w:lineRule="auto"/>
        <w:rPr>
          <w:color w:val="000000" w:themeColor="text1"/>
        </w:rPr>
      </w:pPr>
      <w:r>
        <w:rPr>
          <w:color w:val="000000" w:themeColor="text1"/>
        </w:rPr>
        <w:br w:type="page"/>
      </w:r>
    </w:p>
    <w:p w14:paraId="33A62D2E" w14:textId="5A74B8BB" w:rsidR="002D4BCF" w:rsidRPr="00890425" w:rsidRDefault="002D4BCF" w:rsidP="00890425">
      <w:pPr>
        <w:pStyle w:val="Caption"/>
      </w:pPr>
      <w:bookmarkStart w:id="130" w:name="_Ref506796518"/>
      <w:bookmarkStart w:id="131" w:name="_Toc514068778"/>
      <w:r w:rsidRPr="00890425">
        <w:t xml:space="preserve">Table </w:t>
      </w:r>
      <w:r w:rsidRPr="00890425">
        <w:fldChar w:fldCharType="begin"/>
      </w:r>
      <w:r w:rsidRPr="00890425">
        <w:instrText xml:space="preserve"> STYLEREF 1 \s </w:instrText>
      </w:r>
      <w:r w:rsidRPr="00890425">
        <w:fldChar w:fldCharType="separate"/>
      </w:r>
      <w:r w:rsidR="00BF015B">
        <w:rPr>
          <w:noProof/>
        </w:rPr>
        <w:t>3</w:t>
      </w:r>
      <w:r w:rsidRPr="00890425">
        <w:fldChar w:fldCharType="end"/>
      </w:r>
      <w:r w:rsidRPr="00890425">
        <w:noBreakHyphen/>
      </w:r>
      <w:r w:rsidRPr="00890425">
        <w:fldChar w:fldCharType="begin"/>
      </w:r>
      <w:r w:rsidRPr="00890425">
        <w:instrText xml:space="preserve"> SEQ Table \* ARABIC \s 1 </w:instrText>
      </w:r>
      <w:r w:rsidRPr="00890425">
        <w:fldChar w:fldCharType="separate"/>
      </w:r>
      <w:r w:rsidR="0063076E">
        <w:rPr>
          <w:noProof/>
        </w:rPr>
        <w:t>11</w:t>
      </w:r>
      <w:r w:rsidRPr="00890425">
        <w:fldChar w:fldCharType="end"/>
      </w:r>
      <w:bookmarkEnd w:id="130"/>
      <w:r w:rsidRPr="00890425">
        <w:t>: Confidence Levels for Vulnerability Assessment</w:t>
      </w:r>
      <w:bookmarkEnd w:id="131"/>
    </w:p>
    <w:tbl>
      <w:tblPr>
        <w:tblStyle w:val="TableGrid"/>
        <w:tblpPr w:leftFromText="180" w:rightFromText="180" w:vertAnchor="text" w:tblpY="1"/>
        <w:tblOverlap w:val="never"/>
        <w:tblW w:w="5004"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589"/>
        <w:gridCol w:w="1385"/>
        <w:gridCol w:w="6945"/>
      </w:tblGrid>
      <w:tr w:rsidR="00E4655B" w14:paraId="7B074B4C" w14:textId="77777777" w:rsidTr="004A0819">
        <w:trPr>
          <w:tblHeader/>
        </w:trPr>
        <w:tc>
          <w:tcPr>
            <w:tcW w:w="801" w:type="pct"/>
            <w:tcBorders>
              <w:right w:val="single" w:sz="4" w:space="0" w:color="FFFFFF" w:themeColor="background1"/>
            </w:tcBorders>
            <w:shd w:val="clear" w:color="auto" w:fill="00338D"/>
            <w:vAlign w:val="center"/>
          </w:tcPr>
          <w:p w14:paraId="52A3C4C4" w14:textId="28C9C5FF" w:rsidR="00E4655B" w:rsidRDefault="00E4655B" w:rsidP="00E4655B">
            <w:pPr>
              <w:pStyle w:val="Tableheading"/>
              <w:jc w:val="center"/>
            </w:pPr>
            <w:r>
              <w:t>Confidence level</w:t>
            </w:r>
          </w:p>
        </w:tc>
        <w:tc>
          <w:tcPr>
            <w:tcW w:w="698" w:type="pct"/>
            <w:tcBorders>
              <w:right w:val="single" w:sz="4" w:space="0" w:color="FFFFFF" w:themeColor="background1"/>
            </w:tcBorders>
            <w:shd w:val="clear" w:color="auto" w:fill="00338D"/>
            <w:vAlign w:val="center"/>
          </w:tcPr>
          <w:p w14:paraId="668C885A" w14:textId="67409E39" w:rsidR="00E4655B" w:rsidRDefault="00E4655B" w:rsidP="00C87406">
            <w:pPr>
              <w:pStyle w:val="Tableheading"/>
              <w:jc w:val="center"/>
            </w:pPr>
            <w:r>
              <w:t>Confidence Score</w:t>
            </w:r>
          </w:p>
        </w:tc>
        <w:tc>
          <w:tcPr>
            <w:tcW w:w="3501" w:type="pct"/>
            <w:tcBorders>
              <w:left w:val="single" w:sz="4" w:space="0" w:color="FFFFFF" w:themeColor="background1"/>
            </w:tcBorders>
            <w:shd w:val="clear" w:color="auto" w:fill="00338D"/>
            <w:vAlign w:val="center"/>
          </w:tcPr>
          <w:p w14:paraId="2F661A2F" w14:textId="119FFCDB" w:rsidR="00E4655B" w:rsidRDefault="00E4655B" w:rsidP="00E4655B">
            <w:pPr>
              <w:pStyle w:val="Tableheading"/>
              <w:jc w:val="center"/>
            </w:pPr>
            <w:r>
              <w:t>Data</w:t>
            </w:r>
          </w:p>
        </w:tc>
      </w:tr>
      <w:tr w:rsidR="00E4655B" w14:paraId="226B23FF" w14:textId="77777777" w:rsidTr="004A0819">
        <w:tc>
          <w:tcPr>
            <w:tcW w:w="801" w:type="pct"/>
            <w:shd w:val="clear" w:color="auto" w:fill="FFFF00"/>
            <w:vAlign w:val="center"/>
          </w:tcPr>
          <w:p w14:paraId="46D5F1A1" w14:textId="5FBD908A" w:rsidR="00E4655B" w:rsidRDefault="00E4655B" w:rsidP="00E4655B">
            <w:pPr>
              <w:pStyle w:val="Tabletext"/>
            </w:pPr>
            <w:r>
              <w:t>Low</w:t>
            </w:r>
          </w:p>
        </w:tc>
        <w:tc>
          <w:tcPr>
            <w:tcW w:w="698" w:type="pct"/>
            <w:shd w:val="clear" w:color="auto" w:fill="FFFF00"/>
            <w:vAlign w:val="center"/>
          </w:tcPr>
          <w:p w14:paraId="7FB66F9E" w14:textId="011852F1" w:rsidR="00E4655B" w:rsidRDefault="00E4655B" w:rsidP="00E230DF">
            <w:pPr>
              <w:pStyle w:val="Tabletext"/>
              <w:jc w:val="center"/>
            </w:pPr>
            <w:r>
              <w:t>1</w:t>
            </w:r>
          </w:p>
        </w:tc>
        <w:tc>
          <w:tcPr>
            <w:tcW w:w="3501" w:type="pct"/>
            <w:vAlign w:val="center"/>
          </w:tcPr>
          <w:p w14:paraId="68C681B6" w14:textId="32288EC5" w:rsidR="00E4655B" w:rsidRDefault="00E4655B" w:rsidP="00E4655B">
            <w:pPr>
              <w:pStyle w:val="Tabletext"/>
            </w:pPr>
            <w:r>
              <w:t xml:space="preserve">Anecdotal or regional level of information, providing a rough estimate of site conditions. Based on low confidence in stressors and low confidence in condition. </w:t>
            </w:r>
            <w:r w:rsidR="00E033DA">
              <w:t xml:space="preserve">Conceptual model does not support vulnerability assessment. </w:t>
            </w:r>
            <w:r>
              <w:t xml:space="preserve">Vulnerability </w:t>
            </w:r>
            <w:r w:rsidR="00223708">
              <w:t xml:space="preserve">is simply </w:t>
            </w:r>
            <w:r>
              <w:t>classified as not-vulnerable or vulnerable.</w:t>
            </w:r>
          </w:p>
        </w:tc>
      </w:tr>
      <w:tr w:rsidR="00E4655B" w14:paraId="3A44ADB6" w14:textId="77777777" w:rsidTr="004A0819">
        <w:tc>
          <w:tcPr>
            <w:tcW w:w="801" w:type="pct"/>
            <w:shd w:val="clear" w:color="auto" w:fill="FFC000"/>
            <w:vAlign w:val="center"/>
          </w:tcPr>
          <w:p w14:paraId="55C1E538" w14:textId="065EF439" w:rsidR="00E4655B" w:rsidRDefault="00E4655B" w:rsidP="00E4655B">
            <w:pPr>
              <w:pStyle w:val="Tabletext"/>
            </w:pPr>
            <w:r>
              <w:t>Low/Moderate</w:t>
            </w:r>
          </w:p>
        </w:tc>
        <w:tc>
          <w:tcPr>
            <w:tcW w:w="698" w:type="pct"/>
            <w:shd w:val="clear" w:color="auto" w:fill="FFC000"/>
            <w:vAlign w:val="center"/>
          </w:tcPr>
          <w:p w14:paraId="49AE8B46" w14:textId="53663988" w:rsidR="00E4655B" w:rsidRDefault="00E4655B" w:rsidP="00E230DF">
            <w:pPr>
              <w:pStyle w:val="Tabletext"/>
              <w:jc w:val="center"/>
            </w:pPr>
            <w:r>
              <w:t>2</w:t>
            </w:r>
          </w:p>
        </w:tc>
        <w:tc>
          <w:tcPr>
            <w:tcW w:w="3501" w:type="pct"/>
            <w:vAlign w:val="center"/>
          </w:tcPr>
          <w:p w14:paraId="6F1957A8" w14:textId="01158CA2" w:rsidR="00E4655B" w:rsidRDefault="00E4655B" w:rsidP="00E4655B">
            <w:pPr>
              <w:pStyle w:val="Tabletext"/>
            </w:pPr>
            <w:r>
              <w:t>Based on moderate confidence in stressors and low or moderate confidence in condition. Vulnerability based on stressors and condition only.</w:t>
            </w:r>
          </w:p>
        </w:tc>
      </w:tr>
      <w:tr w:rsidR="00E4655B" w14:paraId="602CB231" w14:textId="77777777" w:rsidTr="004A0819">
        <w:tc>
          <w:tcPr>
            <w:tcW w:w="801" w:type="pct"/>
            <w:shd w:val="clear" w:color="auto" w:fill="99FF99"/>
            <w:vAlign w:val="center"/>
          </w:tcPr>
          <w:p w14:paraId="71865623" w14:textId="03CBEC61" w:rsidR="00E4655B" w:rsidRDefault="00E4655B" w:rsidP="00E4655B">
            <w:pPr>
              <w:pStyle w:val="Tabletext"/>
            </w:pPr>
            <w:r>
              <w:t>Moderate</w:t>
            </w:r>
          </w:p>
        </w:tc>
        <w:tc>
          <w:tcPr>
            <w:tcW w:w="698" w:type="pct"/>
            <w:shd w:val="clear" w:color="auto" w:fill="99FF99"/>
            <w:vAlign w:val="center"/>
          </w:tcPr>
          <w:p w14:paraId="7112828E" w14:textId="05511646" w:rsidR="00E4655B" w:rsidRDefault="00E4655B" w:rsidP="00E230DF">
            <w:pPr>
              <w:pStyle w:val="Tabletext"/>
              <w:jc w:val="center"/>
            </w:pPr>
            <w:r>
              <w:t>3</w:t>
            </w:r>
          </w:p>
        </w:tc>
        <w:tc>
          <w:tcPr>
            <w:tcW w:w="3501" w:type="pct"/>
            <w:vAlign w:val="center"/>
          </w:tcPr>
          <w:p w14:paraId="368D2762" w14:textId="03028B97" w:rsidR="00E4655B" w:rsidRDefault="00E4655B" w:rsidP="00E4655B">
            <w:pPr>
              <w:pStyle w:val="Tabletext"/>
            </w:pPr>
            <w:r>
              <w:t xml:space="preserve">Based on moderate confidence in stressors and moderate confidence in condition. </w:t>
            </w:r>
            <w:r w:rsidR="00E033DA">
              <w:t xml:space="preserve">Conceptual model supports the identification of vulnerability. </w:t>
            </w:r>
            <w:r>
              <w:t>Vulnerability based on stressors, condition and adaptive capacity.</w:t>
            </w:r>
          </w:p>
        </w:tc>
      </w:tr>
      <w:tr w:rsidR="00E4655B" w14:paraId="7BE342AA" w14:textId="77777777" w:rsidTr="004A0819">
        <w:tc>
          <w:tcPr>
            <w:tcW w:w="801" w:type="pct"/>
            <w:shd w:val="clear" w:color="auto" w:fill="92D050"/>
            <w:vAlign w:val="center"/>
          </w:tcPr>
          <w:p w14:paraId="1E5E27BE" w14:textId="4137E528" w:rsidR="00E4655B" w:rsidRDefault="00E4655B" w:rsidP="00E4655B">
            <w:pPr>
              <w:pStyle w:val="Tabletext"/>
            </w:pPr>
            <w:r>
              <w:t>Moderate/High</w:t>
            </w:r>
          </w:p>
        </w:tc>
        <w:tc>
          <w:tcPr>
            <w:tcW w:w="698" w:type="pct"/>
            <w:shd w:val="clear" w:color="auto" w:fill="92D050"/>
            <w:vAlign w:val="center"/>
          </w:tcPr>
          <w:p w14:paraId="43343DE0" w14:textId="475E15A1" w:rsidR="00E4655B" w:rsidRDefault="00E4655B" w:rsidP="00E230DF">
            <w:pPr>
              <w:pStyle w:val="Tabletext"/>
              <w:jc w:val="center"/>
            </w:pPr>
            <w:r>
              <w:t>4</w:t>
            </w:r>
          </w:p>
        </w:tc>
        <w:tc>
          <w:tcPr>
            <w:tcW w:w="3501" w:type="pct"/>
            <w:vAlign w:val="center"/>
          </w:tcPr>
          <w:p w14:paraId="241CB1F1" w14:textId="5BA6BC08" w:rsidR="00E4655B" w:rsidRDefault="00E4655B" w:rsidP="00E4655B">
            <w:pPr>
              <w:pStyle w:val="Tabletext"/>
            </w:pPr>
            <w:r>
              <w:t>Based on moderate or high confidence in stressors and moderate or high confidence in condition. Vulnerability is based on potential impact including physiological measurements and Black Box resistance.</w:t>
            </w:r>
          </w:p>
        </w:tc>
      </w:tr>
      <w:tr w:rsidR="00E4655B" w14:paraId="5A115F87" w14:textId="77777777" w:rsidTr="004A0819">
        <w:tc>
          <w:tcPr>
            <w:tcW w:w="801" w:type="pct"/>
            <w:shd w:val="clear" w:color="auto" w:fill="00B050"/>
            <w:vAlign w:val="center"/>
          </w:tcPr>
          <w:p w14:paraId="0D0090E3" w14:textId="185F17E9" w:rsidR="00E4655B" w:rsidRDefault="00E4655B" w:rsidP="00E4655B">
            <w:pPr>
              <w:pStyle w:val="Tabletext"/>
            </w:pPr>
            <w:r>
              <w:t>High</w:t>
            </w:r>
          </w:p>
        </w:tc>
        <w:tc>
          <w:tcPr>
            <w:tcW w:w="698" w:type="pct"/>
            <w:shd w:val="clear" w:color="auto" w:fill="00B050"/>
            <w:vAlign w:val="center"/>
          </w:tcPr>
          <w:p w14:paraId="770B8FFA" w14:textId="7F550AD7" w:rsidR="00E4655B" w:rsidRDefault="00E4655B" w:rsidP="00E230DF">
            <w:pPr>
              <w:pStyle w:val="Tabletext"/>
              <w:jc w:val="center"/>
            </w:pPr>
            <w:r>
              <w:t>5</w:t>
            </w:r>
          </w:p>
        </w:tc>
        <w:tc>
          <w:tcPr>
            <w:tcW w:w="3501" w:type="pct"/>
            <w:vAlign w:val="center"/>
          </w:tcPr>
          <w:p w14:paraId="41B86542" w14:textId="5C44F511" w:rsidR="00E4655B" w:rsidRDefault="00E4655B" w:rsidP="00E4655B">
            <w:pPr>
              <w:pStyle w:val="Tabletext"/>
            </w:pPr>
            <w:r>
              <w:t>Measured at site scale with high confidence in stressors and condition, including physiological measurements. Vulnerability is based on potential impact and Black Box resilience.</w:t>
            </w:r>
          </w:p>
        </w:tc>
      </w:tr>
    </w:tbl>
    <w:p w14:paraId="3E10C30C" w14:textId="77777777" w:rsidR="00CD40E9" w:rsidRDefault="00CD40E9" w:rsidP="00A40029">
      <w:pPr>
        <w:pStyle w:val="Heading3"/>
        <w:numPr>
          <w:ilvl w:val="0"/>
          <w:numId w:val="0"/>
        </w:numPr>
        <w:ind w:left="851"/>
      </w:pPr>
    </w:p>
    <w:p w14:paraId="43F1300E" w14:textId="24177DE0" w:rsidR="009963C7" w:rsidRDefault="009963C7" w:rsidP="009963C7">
      <w:pPr>
        <w:pStyle w:val="Heading3"/>
      </w:pPr>
      <w:r>
        <w:t>Establishing the Need for Management at a Site</w:t>
      </w:r>
    </w:p>
    <w:p w14:paraId="16CD6207" w14:textId="4BC8871B" w:rsidR="009963C7" w:rsidRDefault="009963C7" w:rsidP="009963C7">
      <w:pPr>
        <w:pStyle w:val="Para0"/>
      </w:pPr>
      <w:r>
        <w:t xml:space="preserve">Prior to progressing with the next steps of the Framework, a decision must be made as to whether there is a need for management at the site, based on the vulnerability assessment. </w:t>
      </w:r>
    </w:p>
    <w:p w14:paraId="5C71F963" w14:textId="0556C10D" w:rsidR="009963C7" w:rsidRDefault="009963C7" w:rsidP="009963C7">
      <w:pPr>
        <w:pStyle w:val="Para0"/>
      </w:pPr>
      <w:r>
        <w:t>The need for management at a site can be established through comparison of the ‘Do-Nothing’ scenario with objectives for Black Box at a site, regional, and Basin level. A ‘Do-Nothing’ map is a useful tool for communicating the need and the prioritisation of management actions.</w:t>
      </w:r>
      <w:r w:rsidR="00E033DA">
        <w:t xml:space="preserve"> The predicted rate of change is critical to prioritising the need for management. Historic data showing the rate of recent decline can be used to predict future decline and therefore the need for management. In cases where there is a lack of historic data, predictions of the rate of decline need to be based on the current condition and the level of stressors above the threshold limits. Visual health of Black Box trees is not a strong indicator of potential to decline or recover. More detailed data is required to increase the confidence in understanding the need for management.</w:t>
      </w:r>
    </w:p>
    <w:p w14:paraId="434DE96B" w14:textId="0F5DC8DF" w:rsidR="009963C7" w:rsidRDefault="009963C7" w:rsidP="009963C7">
      <w:pPr>
        <w:pStyle w:val="Para0"/>
      </w:pPr>
      <w:r>
        <w:t xml:space="preserve">Following the confidence assessment of the vulnerability analysis, it might be determined that more confidence is needed in specific aspects of the condition, stressor or vulnerability analyses prior to </w:t>
      </w:r>
      <w:r w:rsidR="00AD6010">
        <w:t>deciding</w:t>
      </w:r>
      <w:r>
        <w:t xml:space="preserve"> on the need for management. If the analysis shows that the ‘Do-Nothing’ scenario is undesirable, then the practitioners should proceed with the remaining steps of the Framework. </w:t>
      </w:r>
    </w:p>
    <w:p w14:paraId="5A4AA4BD" w14:textId="1AD5AB9C" w:rsidR="009671D7" w:rsidRDefault="009671D7">
      <w:pPr>
        <w:spacing w:after="0" w:line="240" w:lineRule="auto"/>
      </w:pPr>
      <w:r>
        <w:br w:type="page"/>
      </w:r>
    </w:p>
    <w:p w14:paraId="7CE4A74F" w14:textId="7EF9B0A8" w:rsidR="00163197" w:rsidRDefault="00163197" w:rsidP="00163197">
      <w:pPr>
        <w:spacing w:after="200" w:line="276" w:lineRule="auto"/>
        <w:rPr>
          <w:rFonts w:ascii="Calibri" w:eastAsia="Calibri" w:hAnsi="Calibri" w:cs="Times New Roman"/>
          <w:sz w:val="22"/>
          <w:szCs w:val="22"/>
        </w:rPr>
      </w:pPr>
      <w:r>
        <w:rPr>
          <w:rFonts w:ascii="Calibri" w:eastAsia="Calibri" w:hAnsi="Calibri" w:cs="Times New Roman"/>
          <w:b/>
          <w:noProof/>
          <w:sz w:val="22"/>
          <w:szCs w:val="22"/>
          <w:lang w:eastAsia="en-AU"/>
        </w:rPr>
        <mc:AlternateContent>
          <mc:Choice Requires="wps">
            <w:drawing>
              <wp:anchor distT="0" distB="0" distL="114300" distR="114300" simplePos="0" relativeHeight="251682816" behindDoc="1" locked="0" layoutInCell="1" allowOverlap="1" wp14:anchorId="4BFB2241" wp14:editId="1BAA4452">
                <wp:simplePos x="0" y="0"/>
                <wp:positionH relativeFrom="column">
                  <wp:posOffset>-105235</wp:posOffset>
                </wp:positionH>
                <wp:positionV relativeFrom="paragraph">
                  <wp:posOffset>-155225</wp:posOffset>
                </wp:positionV>
                <wp:extent cx="6479628" cy="8560676"/>
                <wp:effectExtent l="0" t="0" r="16510" b="12065"/>
                <wp:wrapNone/>
                <wp:docPr id="1127" name="Rectangle 1127"/>
                <wp:cNvGraphicFramePr/>
                <a:graphic xmlns:a="http://schemas.openxmlformats.org/drawingml/2006/main">
                  <a:graphicData uri="http://schemas.microsoft.com/office/word/2010/wordprocessingShape">
                    <wps:wsp>
                      <wps:cNvSpPr/>
                      <wps:spPr>
                        <a:xfrm>
                          <a:off x="0" y="0"/>
                          <a:ext cx="6479628" cy="8560676"/>
                        </a:xfrm>
                        <a:prstGeom prst="rect">
                          <a:avLst/>
                        </a:prstGeom>
                        <a:solidFill>
                          <a:schemeClr val="accent4">
                            <a:lumMod val="60000"/>
                            <a:lumOff val="40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5FEFE7" id="Rectangle 1127" o:spid="_x0000_s1026" style="position:absolute;margin-left:-8.3pt;margin-top:-12.2pt;width:510.2pt;height:674.05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" fillcolor="#bccdc0 [1943]" strokecolor="#374e54 [1604]" strokeweight="1pt"/>
            </w:pict>
          </mc:Fallback>
        </mc:AlternateContent>
      </w:r>
      <w:r w:rsidRPr="007859C1">
        <w:rPr>
          <w:rFonts w:ascii="Calibri" w:eastAsia="Calibri" w:hAnsi="Calibri" w:cs="Times New Roman"/>
          <w:b/>
          <w:sz w:val="22"/>
          <w:szCs w:val="22"/>
        </w:rPr>
        <w:t>Ca</w:t>
      </w:r>
      <w:r>
        <w:rPr>
          <w:rFonts w:ascii="Calibri" w:eastAsia="Calibri" w:hAnsi="Calibri" w:cs="Times New Roman"/>
          <w:b/>
          <w:sz w:val="22"/>
          <w:szCs w:val="22"/>
        </w:rPr>
        <w:t>se study box 4: Vulnerability and the need for management</w:t>
      </w:r>
    </w:p>
    <w:p w14:paraId="6AF38053" w14:textId="1A4EE02D" w:rsidR="00163197" w:rsidRDefault="00163197" w:rsidP="00163197">
      <w:pPr>
        <w:spacing w:before="120" w:after="0" w:line="300" w:lineRule="auto"/>
        <w:rPr>
          <w:rFonts w:eastAsia="Times New Roman" w:cs="Arial"/>
          <w:color w:val="000000"/>
          <w:szCs w:val="20"/>
        </w:rPr>
      </w:pPr>
      <w:r>
        <w:rPr>
          <w:rFonts w:eastAsia="Times New Roman" w:cs="Arial"/>
          <w:color w:val="000000"/>
          <w:szCs w:val="20"/>
        </w:rPr>
        <w:t>The vulnerability assessment for Calperum Station was undertaken with an approach that was determined to require a ‘moderate’ level of confidence. Firstly, the stressors were simplified to groundwater depth, groundwater salinity and flooding frequency as the assumed three major factors affecting Black Box condition based on the conceptual model. Resistance was then simplified to condition classes to reduce the requirement for physiological data. The adaptive capacity was also simplified to having space in the landscape of suitable environmental conditions to recruit into</w:t>
      </w:r>
      <w:r w:rsidR="00223708">
        <w:rPr>
          <w:rFonts w:eastAsia="Times New Roman" w:cs="Arial"/>
          <w:color w:val="000000"/>
          <w:szCs w:val="20"/>
        </w:rPr>
        <w:t xml:space="preserve">. </w:t>
      </w:r>
      <w:r>
        <w:rPr>
          <w:rFonts w:eastAsia="Times New Roman" w:cs="Arial"/>
          <w:color w:val="000000"/>
          <w:szCs w:val="20"/>
        </w:rPr>
        <w:t xml:space="preserve">Calperum Station is a large conservation area and has the space to allow migration. </w:t>
      </w:r>
      <w:r w:rsidR="00223708">
        <w:rPr>
          <w:rFonts w:eastAsia="Times New Roman" w:cs="Arial"/>
          <w:color w:val="000000"/>
          <w:szCs w:val="20"/>
        </w:rPr>
        <w:t>T</w:t>
      </w:r>
      <w:r>
        <w:rPr>
          <w:rFonts w:eastAsia="Times New Roman" w:cs="Arial"/>
          <w:color w:val="000000"/>
          <w:szCs w:val="20"/>
        </w:rPr>
        <w:t xml:space="preserve">he key elements of the </w:t>
      </w:r>
      <w:r w:rsidR="00223708">
        <w:rPr>
          <w:rFonts w:eastAsia="Times New Roman" w:cs="Arial"/>
          <w:color w:val="000000"/>
          <w:szCs w:val="20"/>
        </w:rPr>
        <w:t xml:space="preserve">simplified </w:t>
      </w:r>
      <w:r>
        <w:rPr>
          <w:rFonts w:eastAsia="Times New Roman" w:cs="Arial"/>
          <w:color w:val="000000"/>
          <w:szCs w:val="20"/>
        </w:rPr>
        <w:t xml:space="preserve">vulnerability assessment were modified as shown on </w:t>
      </w:r>
      <w:r>
        <w:rPr>
          <w:rFonts w:eastAsia="Times New Roman" w:cs="Arial"/>
          <w:color w:val="000000"/>
          <w:szCs w:val="20"/>
        </w:rPr>
        <w:fldChar w:fldCharType="begin"/>
      </w:r>
      <w:r>
        <w:rPr>
          <w:rFonts w:eastAsia="Times New Roman" w:cs="Arial"/>
          <w:color w:val="000000"/>
          <w:szCs w:val="20"/>
        </w:rPr>
        <w:instrText xml:space="preserve"> REF _Ref506796108 \h </w:instrText>
      </w:r>
      <w:r>
        <w:rPr>
          <w:rFonts w:eastAsia="Times New Roman" w:cs="Arial"/>
          <w:color w:val="000000"/>
          <w:szCs w:val="20"/>
        </w:rPr>
      </w:r>
      <w:r>
        <w:rPr>
          <w:rFonts w:eastAsia="Times New Roman" w:cs="Arial"/>
          <w:color w:val="000000"/>
          <w:szCs w:val="20"/>
        </w:rPr>
        <w:fldChar w:fldCharType="separate"/>
      </w:r>
      <w:r w:rsidR="00BF015B">
        <w:t xml:space="preserve">Figure </w:t>
      </w:r>
      <w:r w:rsidR="00BF015B">
        <w:rPr>
          <w:noProof/>
        </w:rPr>
        <w:t>3</w:t>
      </w:r>
      <w:r w:rsidR="00BF015B">
        <w:noBreakHyphen/>
      </w:r>
      <w:r w:rsidR="00BF015B">
        <w:rPr>
          <w:noProof/>
        </w:rPr>
        <w:t>15</w:t>
      </w:r>
      <w:r>
        <w:rPr>
          <w:rFonts w:eastAsia="Times New Roman" w:cs="Arial"/>
          <w:color w:val="000000"/>
          <w:szCs w:val="20"/>
        </w:rPr>
        <w:fldChar w:fldCharType="end"/>
      </w:r>
      <w:r>
        <w:rPr>
          <w:rFonts w:eastAsia="Times New Roman" w:cs="Arial"/>
          <w:color w:val="000000"/>
          <w:szCs w:val="20"/>
        </w:rPr>
        <w:t xml:space="preserve">. </w:t>
      </w:r>
    </w:p>
    <w:p w14:paraId="1A8EEF75" w14:textId="77777777" w:rsidR="00163197" w:rsidRDefault="00163197" w:rsidP="00163197">
      <w:pPr>
        <w:spacing w:before="120" w:after="0" w:line="300" w:lineRule="auto"/>
        <w:jc w:val="center"/>
        <w:rPr>
          <w:rFonts w:eastAsia="Times New Roman" w:cs="Arial"/>
          <w:color w:val="000000"/>
          <w:szCs w:val="20"/>
        </w:rPr>
      </w:pPr>
      <w:r>
        <w:rPr>
          <w:rFonts w:eastAsia="Times New Roman" w:cs="Arial"/>
          <w:noProof/>
          <w:color w:val="000000"/>
          <w:szCs w:val="20"/>
          <w:lang w:eastAsia="en-AU"/>
        </w:rPr>
        <w:drawing>
          <wp:inline distT="0" distB="0" distL="0" distR="0" wp14:anchorId="40018983" wp14:editId="16053B69">
            <wp:extent cx="4962525" cy="27336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de3.JPG"/>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4962525" cy="2733675"/>
                    </a:xfrm>
                    <a:prstGeom prst="rect">
                      <a:avLst/>
                    </a:prstGeom>
                    <a:ln>
                      <a:noFill/>
                    </a:ln>
                    <a:extLst>
                      <a:ext uri="{53640926-AAD7-44D8-BBD7-CCE9431645EC}">
                        <a14:shadowObscured xmlns:a14="http://schemas.microsoft.com/office/drawing/2010/main"/>
                      </a:ext>
                    </a:extLst>
                  </pic:spPr>
                </pic:pic>
              </a:graphicData>
            </a:graphic>
          </wp:inline>
        </w:drawing>
      </w:r>
    </w:p>
    <w:p w14:paraId="7885265B" w14:textId="1D471F89" w:rsidR="00163197" w:rsidRDefault="00163197" w:rsidP="00163197">
      <w:pPr>
        <w:pStyle w:val="Caption"/>
        <w:spacing w:before="0"/>
        <w:jc w:val="center"/>
        <w:rPr>
          <w:rFonts w:asciiTheme="minorHAnsi" w:hAnsiTheme="minorHAnsi" w:cstheme="minorHAnsi"/>
        </w:rPr>
      </w:pPr>
      <w:bookmarkStart w:id="132" w:name="_Ref506796108"/>
      <w:bookmarkStart w:id="133" w:name="_Toc514018087"/>
      <w:r>
        <w:t xml:space="preserve">Figure </w:t>
      </w:r>
      <w:r>
        <w:fldChar w:fldCharType="begin"/>
      </w:r>
      <w:r>
        <w:instrText xml:space="preserve"> STYLEREF 1 \s </w:instrText>
      </w:r>
      <w:r>
        <w:fldChar w:fldCharType="separate"/>
      </w:r>
      <w:r w:rsidR="00BF015B">
        <w:rPr>
          <w:noProof/>
        </w:rPr>
        <w:t>3</w:t>
      </w:r>
      <w:r>
        <w:fldChar w:fldCharType="end"/>
      </w:r>
      <w:r>
        <w:noBreakHyphen/>
      </w:r>
      <w:r>
        <w:fldChar w:fldCharType="begin"/>
      </w:r>
      <w:r>
        <w:instrText xml:space="preserve"> SEQ Figure \* ARABIC \s 1 </w:instrText>
      </w:r>
      <w:r>
        <w:fldChar w:fldCharType="separate"/>
      </w:r>
      <w:r w:rsidR="00BF015B">
        <w:rPr>
          <w:noProof/>
        </w:rPr>
        <w:t>15</w:t>
      </w:r>
      <w:r>
        <w:fldChar w:fldCharType="end"/>
      </w:r>
      <w:bookmarkEnd w:id="132"/>
      <w:r w:rsidRPr="008E0C6A">
        <w:rPr>
          <w:rFonts w:asciiTheme="minorHAnsi" w:hAnsiTheme="minorHAnsi" w:cstheme="minorHAnsi"/>
        </w:rPr>
        <w:t xml:space="preserve">: </w:t>
      </w:r>
      <w:r>
        <w:rPr>
          <w:rFonts w:asciiTheme="minorHAnsi" w:hAnsiTheme="minorHAnsi" w:cstheme="minorHAnsi"/>
        </w:rPr>
        <w:t>Vulnerability assessment for Black Box on Calperum Station.</w:t>
      </w:r>
      <w:bookmarkEnd w:id="133"/>
    </w:p>
    <w:p w14:paraId="271D5C82" w14:textId="5E3AF9ED" w:rsidR="00163197" w:rsidRDefault="00163197" w:rsidP="00163197">
      <w:pPr>
        <w:spacing w:before="120" w:after="0" w:line="300" w:lineRule="auto"/>
        <w:rPr>
          <w:rFonts w:eastAsia="Times New Roman" w:cs="Arial"/>
          <w:color w:val="000000"/>
          <w:szCs w:val="20"/>
        </w:rPr>
      </w:pPr>
      <w:r>
        <w:rPr>
          <w:rFonts w:eastAsia="Times New Roman" w:cs="Arial"/>
          <w:color w:val="000000"/>
          <w:szCs w:val="20"/>
        </w:rPr>
        <w:t>Spatial analysis was used to map vulnerability of Black Box at Calperum station and establish the need for man</w:t>
      </w:r>
      <w:r w:rsidRPr="00E230DF">
        <w:rPr>
          <w:rFonts w:eastAsia="Times New Roman" w:cs="Arial"/>
          <w:color w:val="000000"/>
          <w:szCs w:val="20"/>
        </w:rPr>
        <w:t>agement (</w:t>
      </w:r>
      <w:r>
        <w:rPr>
          <w:rFonts w:eastAsia="Times New Roman" w:cs="Arial"/>
          <w:color w:val="000000"/>
          <w:szCs w:val="20"/>
        </w:rPr>
        <w:fldChar w:fldCharType="begin"/>
      </w:r>
      <w:r>
        <w:rPr>
          <w:rFonts w:eastAsia="Times New Roman" w:cs="Arial"/>
          <w:color w:val="000000"/>
          <w:szCs w:val="20"/>
        </w:rPr>
        <w:instrText xml:space="preserve"> REF _Ref508972419 \h  \* MERGEFORMAT </w:instrText>
      </w:r>
      <w:r>
        <w:rPr>
          <w:rFonts w:eastAsia="Times New Roman" w:cs="Arial"/>
          <w:color w:val="000000"/>
          <w:szCs w:val="20"/>
        </w:rPr>
      </w:r>
      <w:r>
        <w:rPr>
          <w:rFonts w:eastAsia="Times New Roman" w:cs="Arial"/>
          <w:color w:val="000000"/>
          <w:szCs w:val="20"/>
        </w:rPr>
        <w:fldChar w:fldCharType="separate"/>
      </w:r>
      <w:r w:rsidR="00BF015B" w:rsidRPr="00BF015B">
        <w:rPr>
          <w:rFonts w:eastAsia="Times New Roman" w:cs="Arial"/>
          <w:color w:val="000000"/>
          <w:szCs w:val="20"/>
        </w:rPr>
        <w:t>Figure 3</w:t>
      </w:r>
      <w:r w:rsidR="00BF015B" w:rsidRPr="00BF015B">
        <w:rPr>
          <w:rFonts w:eastAsia="Times New Roman" w:cs="Arial"/>
          <w:color w:val="000000"/>
          <w:szCs w:val="20"/>
        </w:rPr>
        <w:noBreakHyphen/>
        <w:t>16</w:t>
      </w:r>
      <w:r>
        <w:rPr>
          <w:rFonts w:eastAsia="Times New Roman" w:cs="Arial"/>
          <w:color w:val="000000"/>
          <w:szCs w:val="20"/>
        </w:rPr>
        <w:fldChar w:fldCharType="end"/>
      </w:r>
      <w:r w:rsidRPr="00E230DF">
        <w:rPr>
          <w:rFonts w:eastAsia="Times New Roman" w:cs="Arial"/>
          <w:color w:val="000000"/>
          <w:szCs w:val="20"/>
        </w:rPr>
        <w:t>).</w:t>
      </w:r>
      <w:r>
        <w:rPr>
          <w:rFonts w:eastAsia="Times New Roman" w:cs="Arial"/>
          <w:color w:val="000000"/>
          <w:szCs w:val="20"/>
        </w:rPr>
        <w:t xml:space="preserve"> Vulnerability was simplified to ‘vulnerable’ or ‘not-vulnerable’ to simplify the mapping, as per confidence class 1.</w:t>
      </w:r>
      <w:r w:rsidRPr="00CE47B7">
        <w:rPr>
          <w:rFonts w:eastAsia="Times New Roman" w:cs="Arial"/>
          <w:color w:val="000000"/>
          <w:szCs w:val="20"/>
        </w:rPr>
        <w:t xml:space="preserve"> </w:t>
      </w:r>
    </w:p>
    <w:p w14:paraId="2C72ACFC" w14:textId="2F4A0056" w:rsidR="00163197" w:rsidRPr="00CE47B7" w:rsidRDefault="00163197" w:rsidP="00163197">
      <w:pPr>
        <w:spacing w:before="120" w:after="0" w:line="300" w:lineRule="auto"/>
        <w:rPr>
          <w:rFonts w:eastAsia="Times New Roman" w:cs="Arial"/>
          <w:color w:val="000000"/>
          <w:szCs w:val="20"/>
        </w:rPr>
      </w:pPr>
      <w:r>
        <w:rPr>
          <w:rFonts w:eastAsia="Times New Roman" w:cs="Arial"/>
          <w:color w:val="000000"/>
          <w:szCs w:val="20"/>
        </w:rPr>
        <w:t>A</w:t>
      </w:r>
      <w:r w:rsidRPr="00CE47B7">
        <w:rPr>
          <w:rFonts w:eastAsia="Times New Roman" w:cs="Arial"/>
          <w:color w:val="000000"/>
          <w:szCs w:val="20"/>
        </w:rPr>
        <w:t xml:space="preserve"> second </w:t>
      </w:r>
      <w:r>
        <w:rPr>
          <w:rFonts w:eastAsia="Times New Roman" w:cs="Arial"/>
          <w:color w:val="000000"/>
          <w:szCs w:val="20"/>
        </w:rPr>
        <w:t xml:space="preserve">map </w:t>
      </w:r>
      <w:r w:rsidRPr="00CE47B7">
        <w:rPr>
          <w:rFonts w:eastAsia="Times New Roman" w:cs="Arial"/>
          <w:color w:val="000000"/>
          <w:szCs w:val="20"/>
        </w:rPr>
        <w:t>was</w:t>
      </w:r>
      <w:r>
        <w:rPr>
          <w:rFonts w:eastAsia="Times New Roman" w:cs="Arial"/>
          <w:color w:val="000000"/>
          <w:szCs w:val="20"/>
        </w:rPr>
        <w:t xml:space="preserve"> developed to provide </w:t>
      </w:r>
      <w:r w:rsidRPr="00CE47B7">
        <w:rPr>
          <w:rFonts w:eastAsia="Times New Roman" w:cs="Arial"/>
          <w:color w:val="000000"/>
          <w:szCs w:val="20"/>
        </w:rPr>
        <w:t xml:space="preserve">a ‘Do-Nothing’ scenario map prediction for the next 30 years if only the regional and basin management actions </w:t>
      </w:r>
      <w:r w:rsidR="00223708" w:rsidRPr="00CE47B7">
        <w:rPr>
          <w:rFonts w:eastAsia="Times New Roman" w:cs="Arial"/>
          <w:color w:val="000000"/>
          <w:szCs w:val="20"/>
        </w:rPr>
        <w:t>continued,</w:t>
      </w:r>
      <w:r w:rsidRPr="00CE47B7">
        <w:rPr>
          <w:rFonts w:eastAsia="Times New Roman" w:cs="Arial"/>
          <w:color w:val="000000"/>
          <w:szCs w:val="20"/>
        </w:rPr>
        <w:t xml:space="preserve"> and no direct action was taken on Calperum Station</w:t>
      </w:r>
      <w:r>
        <w:rPr>
          <w:rFonts w:eastAsia="Times New Roman" w:cs="Arial"/>
          <w:color w:val="000000"/>
          <w:szCs w:val="20"/>
        </w:rPr>
        <w:t xml:space="preserve"> (</w:t>
      </w:r>
      <w:r>
        <w:rPr>
          <w:rFonts w:eastAsia="Times New Roman" w:cs="Arial"/>
          <w:color w:val="000000"/>
          <w:szCs w:val="20"/>
        </w:rPr>
        <w:fldChar w:fldCharType="begin"/>
      </w:r>
      <w:r>
        <w:rPr>
          <w:rFonts w:eastAsia="Times New Roman" w:cs="Arial"/>
          <w:color w:val="000000"/>
          <w:szCs w:val="20"/>
        </w:rPr>
        <w:instrText xml:space="preserve"> REF _Ref498985886 \h  \* MERGEFORMAT </w:instrText>
      </w:r>
      <w:r>
        <w:rPr>
          <w:rFonts w:eastAsia="Times New Roman" w:cs="Arial"/>
          <w:color w:val="000000"/>
          <w:szCs w:val="20"/>
        </w:rPr>
      </w:r>
      <w:r>
        <w:rPr>
          <w:rFonts w:eastAsia="Times New Roman" w:cs="Arial"/>
          <w:color w:val="000000"/>
          <w:szCs w:val="20"/>
        </w:rPr>
        <w:fldChar w:fldCharType="separate"/>
      </w:r>
      <w:r w:rsidR="00BF015B" w:rsidRPr="00BF015B">
        <w:rPr>
          <w:rFonts w:eastAsia="Times New Roman" w:cs="Arial"/>
          <w:color w:val="000000"/>
          <w:szCs w:val="20"/>
        </w:rPr>
        <w:t>Figure 3</w:t>
      </w:r>
      <w:r w:rsidR="00BF015B" w:rsidRPr="00BF015B">
        <w:rPr>
          <w:rFonts w:eastAsia="Times New Roman" w:cs="Arial"/>
          <w:color w:val="000000"/>
          <w:szCs w:val="20"/>
        </w:rPr>
        <w:noBreakHyphen/>
        <w:t>17</w:t>
      </w:r>
      <w:r>
        <w:rPr>
          <w:rFonts w:eastAsia="Times New Roman" w:cs="Arial"/>
          <w:color w:val="000000"/>
          <w:szCs w:val="20"/>
        </w:rPr>
        <w:fldChar w:fldCharType="end"/>
      </w:r>
      <w:r>
        <w:rPr>
          <w:rFonts w:eastAsia="Times New Roman" w:cs="Arial"/>
          <w:color w:val="000000"/>
          <w:szCs w:val="20"/>
        </w:rPr>
        <w:t>)</w:t>
      </w:r>
      <w:r w:rsidRPr="00CE47B7">
        <w:rPr>
          <w:rFonts w:eastAsia="Times New Roman" w:cs="Arial"/>
          <w:color w:val="000000"/>
          <w:szCs w:val="20"/>
        </w:rPr>
        <w:t>.</w:t>
      </w:r>
      <w:r>
        <w:rPr>
          <w:rFonts w:eastAsia="Times New Roman" w:cs="Arial"/>
          <w:color w:val="000000"/>
          <w:szCs w:val="20"/>
        </w:rPr>
        <w:t xml:space="preserve"> This map is useful to identify priority areas of management. </w:t>
      </w:r>
      <w:r w:rsidRPr="00CE47B7">
        <w:rPr>
          <w:rFonts w:eastAsia="Times New Roman" w:cs="Arial"/>
          <w:color w:val="000000"/>
          <w:szCs w:val="20"/>
        </w:rPr>
        <w:t>Th</w:t>
      </w:r>
      <w:r>
        <w:rPr>
          <w:rFonts w:eastAsia="Times New Roman" w:cs="Arial"/>
          <w:color w:val="000000"/>
          <w:szCs w:val="20"/>
        </w:rPr>
        <w:t>is map</w:t>
      </w:r>
      <w:r w:rsidRPr="00CE47B7">
        <w:rPr>
          <w:rFonts w:eastAsia="Times New Roman" w:cs="Arial"/>
          <w:color w:val="000000"/>
          <w:szCs w:val="20"/>
        </w:rPr>
        <w:t xml:space="preserve"> was develop</w:t>
      </w:r>
      <w:r>
        <w:rPr>
          <w:rFonts w:eastAsia="Times New Roman" w:cs="Arial"/>
          <w:color w:val="000000"/>
          <w:szCs w:val="20"/>
        </w:rPr>
        <w:t>ed</w:t>
      </w:r>
      <w:r w:rsidRPr="00CE47B7">
        <w:rPr>
          <w:rFonts w:eastAsia="Times New Roman" w:cs="Arial"/>
          <w:color w:val="000000"/>
          <w:szCs w:val="20"/>
        </w:rPr>
        <w:t xml:space="preserve"> </w:t>
      </w:r>
      <w:r>
        <w:rPr>
          <w:rFonts w:eastAsia="Times New Roman" w:cs="Arial"/>
          <w:color w:val="000000"/>
          <w:szCs w:val="20"/>
        </w:rPr>
        <w:t>using</w:t>
      </w:r>
      <w:r w:rsidRPr="00CE47B7">
        <w:rPr>
          <w:rFonts w:eastAsia="Times New Roman" w:cs="Arial"/>
          <w:color w:val="000000"/>
          <w:szCs w:val="20"/>
        </w:rPr>
        <w:t xml:space="preserve"> the following rules:</w:t>
      </w:r>
    </w:p>
    <w:p w14:paraId="46631D82" w14:textId="77777777" w:rsidR="00163197" w:rsidRPr="00CE47B7" w:rsidRDefault="00163197" w:rsidP="00F22225">
      <w:pPr>
        <w:pStyle w:val="ListParagraph"/>
        <w:numPr>
          <w:ilvl w:val="0"/>
          <w:numId w:val="70"/>
        </w:numPr>
        <w:spacing w:before="120" w:line="300" w:lineRule="auto"/>
        <w:contextualSpacing/>
        <w:rPr>
          <w:rFonts w:ascii="Arial" w:eastAsia="Times New Roman" w:hAnsi="Arial" w:cs="Arial"/>
          <w:color w:val="000000"/>
          <w:sz w:val="20"/>
          <w:szCs w:val="20"/>
        </w:rPr>
      </w:pPr>
      <w:r w:rsidRPr="00CE47B7">
        <w:rPr>
          <w:rFonts w:ascii="Arial" w:eastAsia="Times New Roman" w:hAnsi="Arial" w:cs="Arial"/>
          <w:color w:val="000000"/>
          <w:sz w:val="20"/>
          <w:szCs w:val="20"/>
        </w:rPr>
        <w:t>Good condition Black Box adjacent to the river (or that we’ve judged is rain fed and not pressured by groundwater depth or salinity) will remain good;</w:t>
      </w:r>
    </w:p>
    <w:p w14:paraId="636FD586" w14:textId="68E8951D" w:rsidR="00163197" w:rsidRPr="00CE47B7" w:rsidRDefault="00163197" w:rsidP="00F22225">
      <w:pPr>
        <w:pStyle w:val="ListParagraph"/>
        <w:numPr>
          <w:ilvl w:val="0"/>
          <w:numId w:val="70"/>
        </w:numPr>
        <w:spacing w:before="120" w:line="300" w:lineRule="auto"/>
        <w:contextualSpacing/>
        <w:rPr>
          <w:rFonts w:ascii="Arial" w:eastAsia="Times New Roman" w:hAnsi="Arial" w:cs="Arial"/>
          <w:color w:val="000000"/>
          <w:sz w:val="20"/>
          <w:szCs w:val="20"/>
        </w:rPr>
      </w:pPr>
      <w:r w:rsidRPr="00CE47B7">
        <w:rPr>
          <w:rFonts w:ascii="Arial" w:eastAsia="Times New Roman" w:hAnsi="Arial" w:cs="Arial"/>
          <w:color w:val="000000"/>
          <w:sz w:val="20"/>
          <w:szCs w:val="20"/>
        </w:rPr>
        <w:t xml:space="preserve">Medium condition Black Box will remain as medium unless they are old/large trees showing signs of decline (the small </w:t>
      </w:r>
      <w:r w:rsidR="00223708" w:rsidRPr="00CE47B7">
        <w:rPr>
          <w:rFonts w:ascii="Arial" w:eastAsia="Times New Roman" w:hAnsi="Arial" w:cs="Arial"/>
          <w:color w:val="000000"/>
          <w:sz w:val="20"/>
          <w:szCs w:val="20"/>
        </w:rPr>
        <w:t>100-year-old</w:t>
      </w:r>
      <w:r w:rsidRPr="00CE47B7">
        <w:rPr>
          <w:rFonts w:ascii="Arial" w:eastAsia="Times New Roman" w:hAnsi="Arial" w:cs="Arial"/>
          <w:color w:val="000000"/>
          <w:sz w:val="20"/>
          <w:szCs w:val="20"/>
        </w:rPr>
        <w:t xml:space="preserve"> trees that are the “watch and wait” areas remain as medium);</w:t>
      </w:r>
    </w:p>
    <w:p w14:paraId="545F5297" w14:textId="77777777" w:rsidR="00163197" w:rsidRPr="00CE47B7" w:rsidRDefault="00163197" w:rsidP="00F22225">
      <w:pPr>
        <w:pStyle w:val="ListParagraph"/>
        <w:numPr>
          <w:ilvl w:val="0"/>
          <w:numId w:val="70"/>
        </w:numPr>
        <w:spacing w:before="120" w:line="300" w:lineRule="auto"/>
        <w:contextualSpacing/>
        <w:rPr>
          <w:rFonts w:ascii="Arial" w:eastAsia="Times New Roman" w:hAnsi="Arial" w:cs="Arial"/>
          <w:color w:val="000000"/>
          <w:sz w:val="20"/>
          <w:szCs w:val="20"/>
        </w:rPr>
      </w:pPr>
      <w:r w:rsidRPr="00CE47B7">
        <w:rPr>
          <w:rFonts w:ascii="Arial" w:eastAsia="Times New Roman" w:hAnsi="Arial" w:cs="Arial"/>
          <w:color w:val="000000"/>
          <w:sz w:val="20"/>
          <w:szCs w:val="20"/>
        </w:rPr>
        <w:t>Good condition Black Box away from the river which is under pressure by stressors will eventually decline to dead; and</w:t>
      </w:r>
    </w:p>
    <w:p w14:paraId="67F04DAF" w14:textId="77777777" w:rsidR="00163197" w:rsidRPr="00CE47B7" w:rsidRDefault="00163197" w:rsidP="00F22225">
      <w:pPr>
        <w:pStyle w:val="ListParagraph"/>
        <w:numPr>
          <w:ilvl w:val="0"/>
          <w:numId w:val="70"/>
        </w:numPr>
        <w:spacing w:before="120" w:line="300" w:lineRule="auto"/>
        <w:contextualSpacing/>
        <w:rPr>
          <w:rFonts w:ascii="Arial" w:eastAsia="Times New Roman" w:hAnsi="Arial" w:cs="Arial"/>
          <w:color w:val="000000"/>
          <w:sz w:val="20"/>
          <w:szCs w:val="20"/>
        </w:rPr>
      </w:pPr>
      <w:r w:rsidRPr="00CE47B7">
        <w:rPr>
          <w:rFonts w:ascii="Arial" w:eastAsia="Times New Roman" w:hAnsi="Arial" w:cs="Arial"/>
          <w:color w:val="000000"/>
          <w:sz w:val="20"/>
          <w:szCs w:val="20"/>
        </w:rPr>
        <w:t>Poor condition Black Box will decline to dead.</w:t>
      </w:r>
    </w:p>
    <w:p w14:paraId="08E122D2" w14:textId="430CAF44" w:rsidR="00163197" w:rsidRPr="00F71E20" w:rsidRDefault="00163197" w:rsidP="00163197">
      <w:pPr>
        <w:pStyle w:val="Para0"/>
      </w:pPr>
      <w:r>
        <w:rPr>
          <w:rFonts w:eastAsia="Times New Roman" w:cs="Arial"/>
          <w:color w:val="000000"/>
          <w:szCs w:val="20"/>
        </w:rPr>
        <w:t>Based on the predicted decline in Black Box condition, it was determined that management action is appropriate. Priority decision making will be supported by the Do-Nothing scenario.</w:t>
      </w:r>
      <w:r w:rsidR="0085751E">
        <w:rPr>
          <w:rFonts w:eastAsia="Times New Roman" w:cs="Arial"/>
          <w:color w:val="000000"/>
          <w:szCs w:val="20"/>
        </w:rPr>
        <w:t xml:space="preserve"> For further information on this analysis, refer </w:t>
      </w:r>
      <w:r w:rsidR="0085751E">
        <w:rPr>
          <w:rFonts w:cs="Arial"/>
          <w:szCs w:val="20"/>
        </w:rPr>
        <w:t>“</w:t>
      </w:r>
      <w:r w:rsidR="0085751E" w:rsidRPr="00F71E20">
        <w:rPr>
          <w:rFonts w:cs="Arial"/>
          <w:i/>
          <w:szCs w:val="20"/>
        </w:rPr>
        <w:t>Site Investigation for Black Box at Calperum Station”</w:t>
      </w:r>
      <w:r w:rsidR="0085751E">
        <w:rPr>
          <w:rFonts w:cs="Arial"/>
          <w:szCs w:val="20"/>
        </w:rPr>
        <w:t xml:space="preserve"> (Overton, Boyd and Coff, 2017)</w:t>
      </w:r>
    </w:p>
    <w:p w14:paraId="12254BBA" w14:textId="3EAD9371" w:rsidR="009671D7" w:rsidRDefault="009671D7">
      <w:pPr>
        <w:spacing w:after="0" w:line="240" w:lineRule="auto"/>
      </w:pPr>
      <w:r>
        <w:br w:type="page"/>
      </w:r>
    </w:p>
    <w:p w14:paraId="23FE1FA2" w14:textId="77777777" w:rsidR="0077416B" w:rsidRDefault="0077416B" w:rsidP="004A0819">
      <w:pPr>
        <w:pStyle w:val="Para0arrow"/>
        <w:numPr>
          <w:ilvl w:val="0"/>
          <w:numId w:val="0"/>
        </w:numPr>
        <w:sectPr w:rsidR="0077416B" w:rsidSect="005A1B89">
          <w:pgSz w:w="11906" w:h="16838" w:code="9"/>
          <w:pgMar w:top="567" w:right="851" w:bottom="851" w:left="1134" w:header="567" w:footer="370" w:gutter="0"/>
          <w:cols w:space="0"/>
          <w:formProt w:val="0"/>
          <w:docGrid w:linePitch="360"/>
        </w:sectPr>
      </w:pPr>
    </w:p>
    <w:p w14:paraId="262E92B2" w14:textId="1F095016" w:rsidR="00163197" w:rsidRDefault="00163197" w:rsidP="00163197">
      <w:pPr>
        <w:spacing w:after="200" w:line="276" w:lineRule="auto"/>
        <w:rPr>
          <w:rFonts w:ascii="Calibri" w:eastAsia="Calibri" w:hAnsi="Calibri" w:cs="Times New Roman"/>
          <w:b/>
          <w:sz w:val="22"/>
          <w:szCs w:val="22"/>
        </w:rPr>
      </w:pPr>
      <w:r>
        <w:rPr>
          <w:rFonts w:ascii="Calibri" w:eastAsia="Calibri" w:hAnsi="Calibri" w:cs="Times New Roman"/>
          <w:b/>
          <w:noProof/>
          <w:sz w:val="22"/>
          <w:szCs w:val="22"/>
          <w:lang w:eastAsia="en-AU"/>
        </w:rPr>
        <mc:AlternateContent>
          <mc:Choice Requires="wps">
            <w:drawing>
              <wp:anchor distT="0" distB="0" distL="114300" distR="114300" simplePos="0" relativeHeight="251683840" behindDoc="1" locked="0" layoutInCell="1" allowOverlap="1" wp14:anchorId="43521576" wp14:editId="322361DD">
                <wp:simplePos x="0" y="0"/>
                <wp:positionH relativeFrom="column">
                  <wp:posOffset>-67419</wp:posOffset>
                </wp:positionH>
                <wp:positionV relativeFrom="paragraph">
                  <wp:posOffset>-107928</wp:posOffset>
                </wp:positionV>
                <wp:extent cx="9128234" cy="5675586"/>
                <wp:effectExtent l="0" t="0" r="15875" b="20955"/>
                <wp:wrapNone/>
                <wp:docPr id="1128" name="Rectangle 1128"/>
                <wp:cNvGraphicFramePr/>
                <a:graphic xmlns:a="http://schemas.openxmlformats.org/drawingml/2006/main">
                  <a:graphicData uri="http://schemas.microsoft.com/office/word/2010/wordprocessingShape">
                    <wps:wsp>
                      <wps:cNvSpPr/>
                      <wps:spPr>
                        <a:xfrm>
                          <a:off x="0" y="0"/>
                          <a:ext cx="9128234" cy="5675586"/>
                        </a:xfrm>
                        <a:prstGeom prst="rect">
                          <a:avLst/>
                        </a:prstGeom>
                        <a:solidFill>
                          <a:schemeClr val="accent4">
                            <a:lumMod val="60000"/>
                            <a:lumOff val="40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425428" id="Rectangle 1128" o:spid="_x0000_s1026" style="position:absolute;margin-left:-5.3pt;margin-top:-8.5pt;width:718.75pt;height:446.9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" fillcolor="#bccdc0 [1943]" strokecolor="#374e54 [1604]" strokeweight="1pt"/>
            </w:pict>
          </mc:Fallback>
        </mc:AlternateContent>
      </w:r>
      <w:r w:rsidRPr="007859C1">
        <w:rPr>
          <w:rFonts w:ascii="Calibri" w:eastAsia="Calibri" w:hAnsi="Calibri" w:cs="Times New Roman"/>
          <w:b/>
          <w:sz w:val="22"/>
          <w:szCs w:val="22"/>
        </w:rPr>
        <w:t>Ca</w:t>
      </w:r>
      <w:r>
        <w:rPr>
          <w:rFonts w:ascii="Calibri" w:eastAsia="Calibri" w:hAnsi="Calibri" w:cs="Times New Roman"/>
          <w:b/>
          <w:sz w:val="22"/>
          <w:szCs w:val="22"/>
        </w:rPr>
        <w:t>se study box 4: Vulnerability and the need for management (Cont’d)</w:t>
      </w:r>
    </w:p>
    <w:p w14:paraId="63BE7FB8" w14:textId="77777777" w:rsidR="00163197" w:rsidRDefault="00163197" w:rsidP="00163197">
      <w:pPr>
        <w:spacing w:after="200" w:line="276" w:lineRule="auto"/>
        <w:jc w:val="center"/>
        <w:rPr>
          <w:rFonts w:ascii="Calibri" w:eastAsia="Calibri" w:hAnsi="Calibri" w:cs="Times New Roman"/>
          <w:sz w:val="22"/>
          <w:szCs w:val="22"/>
        </w:rPr>
      </w:pPr>
      <w:r>
        <w:rPr>
          <w:noProof/>
          <w:lang w:eastAsia="en-AU"/>
        </w:rPr>
        <w:drawing>
          <wp:inline distT="0" distB="0" distL="0" distR="0" wp14:anchorId="2EC597A7" wp14:editId="6D57A8B3">
            <wp:extent cx="7305219" cy="4837814"/>
            <wp:effectExtent l="0" t="0" r="0"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7329926" cy="4854176"/>
                    </a:xfrm>
                    <a:prstGeom prst="rect">
                      <a:avLst/>
                    </a:prstGeom>
                    <a:noFill/>
                    <a:ln>
                      <a:noFill/>
                    </a:ln>
                  </pic:spPr>
                </pic:pic>
              </a:graphicData>
            </a:graphic>
          </wp:inline>
        </w:drawing>
      </w:r>
    </w:p>
    <w:p w14:paraId="1E369382" w14:textId="0878B49A" w:rsidR="00163197" w:rsidRDefault="00163197" w:rsidP="00163197">
      <w:pPr>
        <w:pStyle w:val="Caption"/>
        <w:spacing w:before="0" w:after="0"/>
        <w:jc w:val="center"/>
        <w:rPr>
          <w:rFonts w:eastAsia="Times New Roman"/>
        </w:rPr>
      </w:pPr>
      <w:bookmarkStart w:id="134" w:name="_Ref508972419"/>
      <w:bookmarkStart w:id="135" w:name="_Toc514018088"/>
      <w:r w:rsidRPr="008E0C6A">
        <w:rPr>
          <w:rFonts w:asciiTheme="minorHAnsi" w:hAnsiTheme="minorHAnsi" w:cstheme="minorHAnsi"/>
        </w:rPr>
        <w:t xml:space="preserve">Figure </w:t>
      </w:r>
      <w:r>
        <w:rPr>
          <w:rFonts w:asciiTheme="minorHAnsi" w:hAnsiTheme="minorHAnsi" w:cstheme="minorHAnsi"/>
          <w:b w:val="0"/>
        </w:rPr>
        <w:fldChar w:fldCharType="begin"/>
      </w:r>
      <w:r>
        <w:rPr>
          <w:rFonts w:asciiTheme="minorHAnsi" w:hAnsiTheme="minorHAnsi" w:cstheme="minorHAnsi"/>
        </w:rPr>
        <w:instrText xml:space="preserve"> STYLEREF 1 \s </w:instrText>
      </w:r>
      <w:r>
        <w:rPr>
          <w:rFonts w:asciiTheme="minorHAnsi" w:hAnsiTheme="minorHAnsi" w:cstheme="minorHAnsi"/>
          <w:b w:val="0"/>
        </w:rPr>
        <w:fldChar w:fldCharType="separate"/>
      </w:r>
      <w:r w:rsidR="00BF015B">
        <w:rPr>
          <w:rFonts w:asciiTheme="minorHAnsi" w:hAnsiTheme="minorHAnsi" w:cstheme="minorHAnsi"/>
          <w:noProof/>
        </w:rPr>
        <w:t>3</w:t>
      </w:r>
      <w:r>
        <w:rPr>
          <w:rFonts w:asciiTheme="minorHAnsi" w:hAnsiTheme="minorHAnsi" w:cstheme="minorHAnsi"/>
          <w:b w:val="0"/>
        </w:rPr>
        <w:fldChar w:fldCharType="end"/>
      </w:r>
      <w:r>
        <w:rPr>
          <w:rFonts w:asciiTheme="minorHAnsi" w:hAnsiTheme="minorHAnsi" w:cstheme="minorHAnsi"/>
        </w:rPr>
        <w:noBreakHyphen/>
      </w:r>
      <w:r>
        <w:rPr>
          <w:rFonts w:asciiTheme="minorHAnsi" w:hAnsiTheme="minorHAnsi" w:cstheme="minorHAnsi"/>
          <w:b w:val="0"/>
        </w:rPr>
        <w:fldChar w:fldCharType="begin"/>
      </w:r>
      <w:r>
        <w:rPr>
          <w:rFonts w:asciiTheme="minorHAnsi" w:hAnsiTheme="minorHAnsi" w:cstheme="minorHAnsi"/>
        </w:rPr>
        <w:instrText xml:space="preserve"> SEQ Figure \* ARABIC \s 1 </w:instrText>
      </w:r>
      <w:r>
        <w:rPr>
          <w:rFonts w:asciiTheme="minorHAnsi" w:hAnsiTheme="minorHAnsi" w:cstheme="minorHAnsi"/>
          <w:b w:val="0"/>
        </w:rPr>
        <w:fldChar w:fldCharType="separate"/>
      </w:r>
      <w:r w:rsidR="00BF015B">
        <w:rPr>
          <w:rFonts w:asciiTheme="minorHAnsi" w:hAnsiTheme="minorHAnsi" w:cstheme="minorHAnsi"/>
          <w:noProof/>
        </w:rPr>
        <w:t>16</w:t>
      </w:r>
      <w:r>
        <w:rPr>
          <w:rFonts w:asciiTheme="minorHAnsi" w:hAnsiTheme="minorHAnsi" w:cstheme="minorHAnsi"/>
          <w:b w:val="0"/>
        </w:rPr>
        <w:fldChar w:fldCharType="end"/>
      </w:r>
      <w:bookmarkEnd w:id="134"/>
      <w:r w:rsidRPr="008E0C6A">
        <w:rPr>
          <w:rFonts w:asciiTheme="minorHAnsi" w:hAnsiTheme="minorHAnsi" w:cstheme="minorHAnsi"/>
        </w:rPr>
        <w:t xml:space="preserve">: </w:t>
      </w:r>
      <w:r>
        <w:rPr>
          <w:rFonts w:asciiTheme="minorHAnsi" w:hAnsiTheme="minorHAnsi" w:cstheme="minorHAnsi"/>
        </w:rPr>
        <w:t>Vulnerability map for Black Box.</w:t>
      </w:r>
      <w:bookmarkEnd w:id="135"/>
    </w:p>
    <w:p w14:paraId="189A0B7D" w14:textId="07711807" w:rsidR="007859C1" w:rsidRDefault="007859C1" w:rsidP="00E230DF">
      <w:pPr>
        <w:pStyle w:val="Para0arrow"/>
        <w:numPr>
          <w:ilvl w:val="0"/>
          <w:numId w:val="0"/>
        </w:numPr>
        <w:ind w:left="425"/>
      </w:pPr>
    </w:p>
    <w:p w14:paraId="211F0B49" w14:textId="49349F84" w:rsidR="00DB0EFC" w:rsidRDefault="00DB0EFC" w:rsidP="00DB0EFC">
      <w:pPr>
        <w:spacing w:after="200" w:line="276" w:lineRule="auto"/>
        <w:rPr>
          <w:rFonts w:ascii="Calibri" w:eastAsia="Calibri" w:hAnsi="Calibri" w:cs="Times New Roman"/>
          <w:b/>
          <w:sz w:val="22"/>
          <w:szCs w:val="22"/>
        </w:rPr>
      </w:pPr>
      <w:r>
        <w:rPr>
          <w:rFonts w:ascii="Calibri" w:eastAsia="Calibri" w:hAnsi="Calibri" w:cs="Times New Roman"/>
          <w:b/>
          <w:noProof/>
          <w:sz w:val="22"/>
          <w:szCs w:val="22"/>
          <w:lang w:eastAsia="en-AU"/>
        </w:rPr>
        <mc:AlternateContent>
          <mc:Choice Requires="wps">
            <w:drawing>
              <wp:anchor distT="0" distB="0" distL="114300" distR="114300" simplePos="0" relativeHeight="251684864" behindDoc="1" locked="0" layoutInCell="1" allowOverlap="1" wp14:anchorId="02D86D6A" wp14:editId="4591C0FB">
                <wp:simplePos x="0" y="0"/>
                <wp:positionH relativeFrom="column">
                  <wp:posOffset>-35888</wp:posOffset>
                </wp:positionH>
                <wp:positionV relativeFrom="paragraph">
                  <wp:posOffset>-139459</wp:posOffset>
                </wp:positionV>
                <wp:extent cx="9490841" cy="5675586"/>
                <wp:effectExtent l="0" t="0" r="15240" b="20955"/>
                <wp:wrapNone/>
                <wp:docPr id="1132" name="Rectangle 1132"/>
                <wp:cNvGraphicFramePr/>
                <a:graphic xmlns:a="http://schemas.openxmlformats.org/drawingml/2006/main">
                  <a:graphicData uri="http://schemas.microsoft.com/office/word/2010/wordprocessingShape">
                    <wps:wsp>
                      <wps:cNvSpPr/>
                      <wps:spPr>
                        <a:xfrm>
                          <a:off x="0" y="0"/>
                          <a:ext cx="9490841" cy="5675586"/>
                        </a:xfrm>
                        <a:prstGeom prst="rect">
                          <a:avLst/>
                        </a:prstGeom>
                        <a:solidFill>
                          <a:schemeClr val="accent4">
                            <a:lumMod val="60000"/>
                            <a:lumOff val="40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236949" id="Rectangle 1132" o:spid="_x0000_s1026" style="position:absolute;margin-left:-2.85pt;margin-top:-11pt;width:747.3pt;height:446.9pt;z-index:-25163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" fillcolor="#bccdc0 [1943]" strokecolor="#374e54 [1604]" strokeweight="1pt"/>
            </w:pict>
          </mc:Fallback>
        </mc:AlternateContent>
      </w:r>
      <w:r w:rsidRPr="007859C1">
        <w:rPr>
          <w:rFonts w:ascii="Calibri" w:eastAsia="Calibri" w:hAnsi="Calibri" w:cs="Times New Roman"/>
          <w:b/>
          <w:sz w:val="22"/>
          <w:szCs w:val="22"/>
        </w:rPr>
        <w:t>Ca</w:t>
      </w:r>
      <w:r>
        <w:rPr>
          <w:rFonts w:ascii="Calibri" w:eastAsia="Calibri" w:hAnsi="Calibri" w:cs="Times New Roman"/>
          <w:b/>
          <w:sz w:val="22"/>
          <w:szCs w:val="22"/>
        </w:rPr>
        <w:t>se study box 4: Vulnerability and the need for management (Cont’d)</w:t>
      </w:r>
    </w:p>
    <w:p w14:paraId="3F00A2FF" w14:textId="77777777" w:rsidR="00DB0EFC" w:rsidRDefault="00DB0EFC" w:rsidP="00DB0EFC">
      <w:pPr>
        <w:keepNext/>
        <w:spacing w:before="120" w:after="0" w:line="300" w:lineRule="auto"/>
        <w:jc w:val="center"/>
        <w:rPr>
          <w:rFonts w:asciiTheme="minorHAnsi" w:eastAsia="Times New Roman" w:hAnsiTheme="minorHAnsi" w:cstheme="minorHAnsi"/>
          <w:color w:val="000000"/>
          <w:sz w:val="22"/>
          <w:szCs w:val="22"/>
        </w:rPr>
      </w:pPr>
      <w:r>
        <w:rPr>
          <w:noProof/>
          <w:lang w:eastAsia="en-AU"/>
        </w:rPr>
        <w:drawing>
          <wp:inline distT="0" distB="0" distL="0" distR="0" wp14:anchorId="5CEBCA16" wp14:editId="5CB4A294">
            <wp:extent cx="7133302" cy="471022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7164616" cy="4730900"/>
                    </a:xfrm>
                    <a:prstGeom prst="rect">
                      <a:avLst/>
                    </a:prstGeom>
                    <a:noFill/>
                    <a:ln>
                      <a:noFill/>
                    </a:ln>
                  </pic:spPr>
                </pic:pic>
              </a:graphicData>
            </a:graphic>
          </wp:inline>
        </w:drawing>
      </w:r>
    </w:p>
    <w:p w14:paraId="1679E250" w14:textId="4830E835" w:rsidR="00DB0EFC" w:rsidRPr="008E0C6A" w:rsidRDefault="00DB0EFC" w:rsidP="00DB0EFC">
      <w:pPr>
        <w:pStyle w:val="Caption"/>
        <w:jc w:val="center"/>
        <w:rPr>
          <w:rFonts w:asciiTheme="minorHAnsi" w:hAnsiTheme="minorHAnsi" w:cstheme="minorHAnsi"/>
          <w:color w:val="000000"/>
        </w:rPr>
      </w:pPr>
      <w:bookmarkStart w:id="136" w:name="_Ref498985886"/>
      <w:bookmarkStart w:id="137" w:name="_Toc514018089"/>
      <w:r w:rsidRPr="008E0C6A">
        <w:rPr>
          <w:rFonts w:asciiTheme="minorHAnsi" w:hAnsiTheme="minorHAnsi" w:cstheme="minorHAnsi"/>
        </w:rPr>
        <w:t xml:space="preserve">Figure </w:t>
      </w:r>
      <w:r>
        <w:rPr>
          <w:rFonts w:asciiTheme="minorHAnsi" w:hAnsiTheme="minorHAnsi" w:cstheme="minorHAnsi"/>
        </w:rPr>
        <w:fldChar w:fldCharType="begin"/>
      </w:r>
      <w:r>
        <w:rPr>
          <w:rFonts w:asciiTheme="minorHAnsi" w:hAnsiTheme="minorHAnsi" w:cstheme="minorHAnsi"/>
        </w:rPr>
        <w:instrText xml:space="preserve"> STYLEREF 1 \s </w:instrText>
      </w:r>
      <w:r>
        <w:rPr>
          <w:rFonts w:asciiTheme="minorHAnsi" w:hAnsiTheme="minorHAnsi" w:cstheme="minorHAnsi"/>
        </w:rPr>
        <w:fldChar w:fldCharType="separate"/>
      </w:r>
      <w:r w:rsidR="00BF015B">
        <w:rPr>
          <w:rFonts w:asciiTheme="minorHAnsi" w:hAnsiTheme="minorHAnsi" w:cstheme="minorHAnsi"/>
          <w:noProof/>
        </w:rPr>
        <w:t>3</w:t>
      </w:r>
      <w:r>
        <w:rPr>
          <w:rFonts w:asciiTheme="minorHAnsi" w:hAnsiTheme="minorHAnsi" w:cstheme="minorHAnsi"/>
        </w:rPr>
        <w:fldChar w:fldCharType="end"/>
      </w:r>
      <w:r>
        <w:rPr>
          <w:rFonts w:asciiTheme="minorHAnsi" w:hAnsiTheme="minorHAnsi" w:cstheme="minorHAnsi"/>
        </w:rPr>
        <w:noBreakHyphen/>
      </w:r>
      <w:r>
        <w:rPr>
          <w:rFonts w:asciiTheme="minorHAnsi" w:hAnsiTheme="minorHAnsi" w:cstheme="minorHAnsi"/>
        </w:rPr>
        <w:fldChar w:fldCharType="begin"/>
      </w:r>
      <w:r>
        <w:rPr>
          <w:rFonts w:asciiTheme="minorHAnsi" w:hAnsiTheme="minorHAnsi" w:cstheme="minorHAnsi"/>
        </w:rPr>
        <w:instrText xml:space="preserve"> SEQ Figure \* ARABIC \s 1 </w:instrText>
      </w:r>
      <w:r>
        <w:rPr>
          <w:rFonts w:asciiTheme="minorHAnsi" w:hAnsiTheme="minorHAnsi" w:cstheme="minorHAnsi"/>
        </w:rPr>
        <w:fldChar w:fldCharType="separate"/>
      </w:r>
      <w:r w:rsidR="00BF015B">
        <w:rPr>
          <w:rFonts w:asciiTheme="minorHAnsi" w:hAnsiTheme="minorHAnsi" w:cstheme="minorHAnsi"/>
          <w:noProof/>
        </w:rPr>
        <w:t>17</w:t>
      </w:r>
      <w:r>
        <w:rPr>
          <w:rFonts w:asciiTheme="minorHAnsi" w:hAnsiTheme="minorHAnsi" w:cstheme="minorHAnsi"/>
        </w:rPr>
        <w:fldChar w:fldCharType="end"/>
      </w:r>
      <w:bookmarkEnd w:id="136"/>
      <w:r w:rsidRPr="008E0C6A">
        <w:rPr>
          <w:rFonts w:asciiTheme="minorHAnsi" w:hAnsiTheme="minorHAnsi" w:cstheme="minorHAnsi"/>
        </w:rPr>
        <w:t xml:space="preserve">: </w:t>
      </w:r>
      <w:r>
        <w:rPr>
          <w:rFonts w:asciiTheme="minorHAnsi" w:hAnsiTheme="minorHAnsi" w:cstheme="minorHAnsi"/>
        </w:rPr>
        <w:t>Do-Nothing scenario map for Black Box.</w:t>
      </w:r>
      <w:bookmarkEnd w:id="137"/>
    </w:p>
    <w:p w14:paraId="18B36B0F" w14:textId="77777777" w:rsidR="00DB0EFC" w:rsidRPr="00C260AB" w:rsidRDefault="00DB0EFC" w:rsidP="00E230DF">
      <w:pPr>
        <w:pStyle w:val="Para0arrow"/>
        <w:numPr>
          <w:ilvl w:val="0"/>
          <w:numId w:val="0"/>
        </w:numPr>
        <w:ind w:left="425"/>
      </w:pPr>
    </w:p>
    <w:p w14:paraId="66E09240" w14:textId="1EA879F8" w:rsidR="0077416B" w:rsidRDefault="0077416B" w:rsidP="00C87406">
      <w:pPr>
        <w:pStyle w:val="Para0"/>
        <w:sectPr w:rsidR="0077416B" w:rsidSect="00A40029">
          <w:pgSz w:w="16838" w:h="11906" w:orient="landscape" w:code="9"/>
          <w:pgMar w:top="1134" w:right="567" w:bottom="851" w:left="851" w:header="567" w:footer="370" w:gutter="0"/>
          <w:cols w:space="0"/>
          <w:formProt w:val="0"/>
          <w:docGrid w:linePitch="360"/>
        </w:sectPr>
      </w:pPr>
    </w:p>
    <w:p w14:paraId="7BBE4289" w14:textId="25FB8842" w:rsidR="005972ED" w:rsidRPr="00F87434" w:rsidRDefault="008B122B" w:rsidP="005972ED">
      <w:pPr>
        <w:pStyle w:val="Heading2"/>
        <w:rPr>
          <w:color w:val="65876D" w:themeColor="accent4" w:themeShade="BF"/>
        </w:rPr>
      </w:pPr>
      <w:bookmarkStart w:id="138" w:name="_Ref504549202"/>
      <w:bookmarkStart w:id="139" w:name="_Toc514017999"/>
      <w:r>
        <w:rPr>
          <w:color w:val="65876D" w:themeColor="accent4" w:themeShade="BF"/>
        </w:rPr>
        <w:t>STEP 4: SETTING OBJECTIVES AND TARGETS</w:t>
      </w:r>
      <w:bookmarkEnd w:id="116"/>
      <w:bookmarkEnd w:id="117"/>
      <w:bookmarkEnd w:id="138"/>
      <w:bookmarkEnd w:id="139"/>
    </w:p>
    <w:p w14:paraId="017BA271" w14:textId="77777777" w:rsidR="009172B6" w:rsidRPr="00170A62" w:rsidRDefault="009172B6" w:rsidP="009172B6">
      <w:pPr>
        <w:pStyle w:val="NoSpacing"/>
        <w:rPr>
          <w:rFonts w:ascii="Arial" w:eastAsiaTheme="minorEastAsia" w:hAnsi="Arial" w:cs="Arial"/>
          <w:color w:val="000000" w:themeColor="text1"/>
          <w:sz w:val="20"/>
          <w:szCs w:val="24"/>
          <w:lang w:val="en-GB"/>
        </w:rPr>
      </w:pPr>
      <w:r w:rsidRPr="00170A62">
        <w:rPr>
          <w:rFonts w:ascii="Arial" w:eastAsiaTheme="minorEastAsia" w:hAnsi="Arial" w:cs="Arial"/>
          <w:color w:val="000000" w:themeColor="text1"/>
          <w:sz w:val="20"/>
          <w:szCs w:val="24"/>
          <w:lang w:val="en-GB"/>
        </w:rPr>
        <w:t xml:space="preserve">The development of site specific ecological objectives and targets is critical for management planning. Management actions, monitoring and evaluation is established based on the objectives and targets set, informing planning and providing a mechanism to track and report progress. </w:t>
      </w:r>
    </w:p>
    <w:p w14:paraId="4D0B7DA0" w14:textId="1B867650" w:rsidR="00977EF2" w:rsidRPr="009172B6" w:rsidRDefault="00977EF2" w:rsidP="00977EF2">
      <w:pPr>
        <w:pStyle w:val="Para0"/>
        <w:rPr>
          <w:rFonts w:cs="Arial"/>
          <w:color w:val="000000" w:themeColor="text1"/>
        </w:rPr>
      </w:pPr>
      <w:r w:rsidRPr="009172B6">
        <w:rPr>
          <w:rFonts w:cs="Arial"/>
          <w:color w:val="000000" w:themeColor="text1"/>
        </w:rPr>
        <w:t xml:space="preserve">This </w:t>
      </w:r>
      <w:r w:rsidR="005A4E06">
        <w:rPr>
          <w:rFonts w:cs="Arial"/>
          <w:color w:val="000000" w:themeColor="text1"/>
        </w:rPr>
        <w:t>chapter</w:t>
      </w:r>
      <w:r w:rsidRPr="009172B6">
        <w:rPr>
          <w:rFonts w:cs="Arial"/>
          <w:color w:val="000000" w:themeColor="text1"/>
        </w:rPr>
        <w:t xml:space="preserve"> provides guidance on the development of site specific ecological objectives and targets</w:t>
      </w:r>
      <w:r w:rsidR="00230FD1" w:rsidRPr="009172B6">
        <w:rPr>
          <w:rFonts w:cs="Arial"/>
          <w:color w:val="000000" w:themeColor="text1"/>
        </w:rPr>
        <w:t>,</w:t>
      </w:r>
      <w:r w:rsidRPr="009172B6">
        <w:rPr>
          <w:rFonts w:cs="Arial"/>
          <w:color w:val="000000" w:themeColor="text1"/>
        </w:rPr>
        <w:t xml:space="preserve"> and operational objectives</w:t>
      </w:r>
      <w:r w:rsidR="009172B6" w:rsidRPr="00170A62">
        <w:rPr>
          <w:rFonts w:cs="Arial"/>
          <w:color w:val="000000" w:themeColor="text1"/>
        </w:rPr>
        <w:t xml:space="preserve"> for a site</w:t>
      </w:r>
      <w:r w:rsidRPr="009172B6">
        <w:rPr>
          <w:rFonts w:cs="Arial"/>
          <w:color w:val="000000" w:themeColor="text1"/>
        </w:rPr>
        <w:t xml:space="preserve">. </w:t>
      </w:r>
      <w:r w:rsidR="0080032B" w:rsidRPr="009172B6">
        <w:rPr>
          <w:rFonts w:cs="Arial"/>
          <w:color w:val="000000" w:themeColor="text1"/>
        </w:rPr>
        <w:t>E</w:t>
      </w:r>
      <w:r w:rsidR="00675256" w:rsidRPr="009172B6">
        <w:rPr>
          <w:rFonts w:cs="Arial"/>
          <w:color w:val="000000" w:themeColor="text1"/>
        </w:rPr>
        <w:t>stablish</w:t>
      </w:r>
      <w:r w:rsidR="0080032B" w:rsidRPr="009172B6">
        <w:rPr>
          <w:rFonts w:cs="Arial"/>
          <w:color w:val="000000" w:themeColor="text1"/>
        </w:rPr>
        <w:t>ing</w:t>
      </w:r>
      <w:r w:rsidR="00675256" w:rsidRPr="009172B6">
        <w:rPr>
          <w:rFonts w:cs="Arial"/>
          <w:color w:val="000000" w:themeColor="text1"/>
        </w:rPr>
        <w:t xml:space="preserve"> a clear relationship between site-based </w:t>
      </w:r>
      <w:r w:rsidRPr="009172B6">
        <w:rPr>
          <w:rFonts w:cs="Arial"/>
          <w:color w:val="000000" w:themeColor="text1"/>
        </w:rPr>
        <w:t xml:space="preserve">objectives </w:t>
      </w:r>
      <w:r w:rsidR="00675256" w:rsidRPr="009172B6">
        <w:rPr>
          <w:rFonts w:cs="Arial"/>
          <w:color w:val="000000" w:themeColor="text1"/>
        </w:rPr>
        <w:t>and</w:t>
      </w:r>
      <w:r w:rsidRPr="009172B6">
        <w:rPr>
          <w:rFonts w:cs="Arial"/>
          <w:color w:val="000000" w:themeColor="text1"/>
        </w:rPr>
        <w:t xml:space="preserve"> </w:t>
      </w:r>
      <w:r w:rsidR="00675256" w:rsidRPr="009172B6">
        <w:rPr>
          <w:rFonts w:cs="Arial"/>
          <w:color w:val="000000" w:themeColor="text1"/>
        </w:rPr>
        <w:t xml:space="preserve">basin scale outcomes and targets (e.g. Basin-wide </w:t>
      </w:r>
      <w:r w:rsidR="00223708">
        <w:rPr>
          <w:rFonts w:cs="Arial"/>
          <w:color w:val="000000" w:themeColor="text1"/>
        </w:rPr>
        <w:t>E</w:t>
      </w:r>
      <w:r w:rsidR="00675256" w:rsidRPr="009172B6">
        <w:rPr>
          <w:rFonts w:cs="Arial"/>
          <w:color w:val="000000" w:themeColor="text1"/>
        </w:rPr>
        <w:t xml:space="preserve">nvironmental </w:t>
      </w:r>
      <w:r w:rsidR="00223708">
        <w:rPr>
          <w:rFonts w:cs="Arial"/>
          <w:color w:val="000000" w:themeColor="text1"/>
        </w:rPr>
        <w:t>W</w:t>
      </w:r>
      <w:r w:rsidR="00675256" w:rsidRPr="009172B6">
        <w:rPr>
          <w:rFonts w:cs="Arial"/>
          <w:color w:val="000000" w:themeColor="text1"/>
        </w:rPr>
        <w:t xml:space="preserve">atering </w:t>
      </w:r>
      <w:r w:rsidR="00223708">
        <w:rPr>
          <w:rFonts w:cs="Arial"/>
          <w:color w:val="000000" w:themeColor="text1"/>
        </w:rPr>
        <w:t>S</w:t>
      </w:r>
      <w:r w:rsidR="00675256" w:rsidRPr="009172B6">
        <w:rPr>
          <w:rFonts w:cs="Arial"/>
          <w:color w:val="000000" w:themeColor="text1"/>
        </w:rPr>
        <w:t xml:space="preserve">trategy) </w:t>
      </w:r>
      <w:r w:rsidR="0080032B" w:rsidRPr="009172B6">
        <w:rPr>
          <w:rFonts w:cs="Arial"/>
          <w:color w:val="000000" w:themeColor="text1"/>
        </w:rPr>
        <w:t xml:space="preserve">through </w:t>
      </w:r>
      <w:r w:rsidR="00911B17" w:rsidRPr="009172B6">
        <w:rPr>
          <w:rFonts w:cs="Arial"/>
          <w:color w:val="000000" w:themeColor="text1"/>
        </w:rPr>
        <w:t>a program</w:t>
      </w:r>
      <w:r w:rsidR="0080032B" w:rsidRPr="009172B6">
        <w:rPr>
          <w:rFonts w:cs="Arial"/>
          <w:color w:val="000000" w:themeColor="text1"/>
        </w:rPr>
        <w:t xml:space="preserve"> logic </w:t>
      </w:r>
      <w:r w:rsidR="00675256" w:rsidRPr="009172B6">
        <w:rPr>
          <w:rFonts w:cs="Arial"/>
          <w:color w:val="000000" w:themeColor="text1"/>
        </w:rPr>
        <w:t>provides context setting and broader purpose</w:t>
      </w:r>
      <w:r w:rsidRPr="009172B6">
        <w:rPr>
          <w:rFonts w:cs="Arial"/>
          <w:color w:val="000000" w:themeColor="text1"/>
        </w:rPr>
        <w:t xml:space="preserve">. </w:t>
      </w:r>
      <w:r w:rsidR="00675256" w:rsidRPr="009172B6">
        <w:rPr>
          <w:rFonts w:cs="Arial"/>
          <w:color w:val="000000" w:themeColor="text1"/>
        </w:rPr>
        <w:t>M</w:t>
      </w:r>
      <w:r w:rsidRPr="009172B6">
        <w:rPr>
          <w:rFonts w:cs="Arial"/>
          <w:color w:val="000000" w:themeColor="text1"/>
        </w:rPr>
        <w:t xml:space="preserve">onitoring and evaluation </w:t>
      </w:r>
      <w:r w:rsidR="00675256" w:rsidRPr="009172B6">
        <w:rPr>
          <w:rFonts w:cs="Arial"/>
          <w:color w:val="000000" w:themeColor="text1"/>
        </w:rPr>
        <w:t xml:space="preserve">is established based on the </w:t>
      </w:r>
      <w:r w:rsidRPr="009172B6">
        <w:rPr>
          <w:rFonts w:cs="Arial"/>
          <w:color w:val="000000" w:themeColor="text1"/>
        </w:rPr>
        <w:t>objectives and targets set, providing a mechanism to track and report progress.</w:t>
      </w:r>
    </w:p>
    <w:p w14:paraId="4CDF46B4" w14:textId="4B50C423" w:rsidR="00977EF2" w:rsidRPr="009172B6" w:rsidRDefault="00977EF2" w:rsidP="00977EF2">
      <w:pPr>
        <w:pStyle w:val="Heading3"/>
      </w:pPr>
      <w:bookmarkStart w:id="140" w:name="_Toc470043297"/>
      <w:r w:rsidRPr="009172B6">
        <w:t xml:space="preserve">Ecological </w:t>
      </w:r>
      <w:r w:rsidR="0054034A">
        <w:t>O</w:t>
      </w:r>
      <w:r w:rsidRPr="009172B6">
        <w:t>bjectives</w:t>
      </w:r>
      <w:bookmarkEnd w:id="140"/>
    </w:p>
    <w:p w14:paraId="29CF8080" w14:textId="05DDE96A" w:rsidR="00A24DC3" w:rsidRDefault="004274D5" w:rsidP="00977EF2">
      <w:pPr>
        <w:pStyle w:val="Para0"/>
        <w:rPr>
          <w:rFonts w:cs="Arial"/>
          <w:color w:val="000000" w:themeColor="text1"/>
          <w:szCs w:val="20"/>
        </w:rPr>
      </w:pPr>
      <w:r w:rsidRPr="009172B6">
        <w:rPr>
          <w:rFonts w:cs="Arial"/>
          <w:color w:val="000000" w:themeColor="text1"/>
          <w:szCs w:val="20"/>
        </w:rPr>
        <w:t>E</w:t>
      </w:r>
      <w:r w:rsidR="00977EF2" w:rsidRPr="009172B6">
        <w:rPr>
          <w:rFonts w:cs="Arial"/>
          <w:color w:val="000000" w:themeColor="text1"/>
          <w:szCs w:val="20"/>
        </w:rPr>
        <w:t xml:space="preserve">cological objectives are the </w:t>
      </w:r>
      <w:r w:rsidR="00223708" w:rsidRPr="009172B6">
        <w:rPr>
          <w:rFonts w:cs="Arial"/>
          <w:color w:val="000000" w:themeColor="text1"/>
          <w:szCs w:val="20"/>
        </w:rPr>
        <w:t>high-level</w:t>
      </w:r>
      <w:r w:rsidR="00977EF2" w:rsidRPr="009172B6">
        <w:rPr>
          <w:rFonts w:cs="Arial"/>
          <w:color w:val="000000" w:themeColor="text1"/>
          <w:szCs w:val="20"/>
        </w:rPr>
        <w:t xml:space="preserve"> outcomes, aspirations and step changes that a practitioner is seeking to achieve at a site over the medium to longer term. </w:t>
      </w:r>
      <w:r w:rsidRPr="009172B6">
        <w:rPr>
          <w:rFonts w:cs="Arial"/>
          <w:color w:val="000000" w:themeColor="text1"/>
          <w:szCs w:val="20"/>
        </w:rPr>
        <w:t>They</w:t>
      </w:r>
      <w:r w:rsidR="00977EF2" w:rsidRPr="009172B6">
        <w:rPr>
          <w:rFonts w:cs="Arial"/>
          <w:color w:val="000000" w:themeColor="text1"/>
          <w:szCs w:val="20"/>
        </w:rPr>
        <w:t xml:space="preserve"> provide a </w:t>
      </w:r>
      <w:r w:rsidR="00977EF2" w:rsidRPr="009172B6">
        <w:t xml:space="preserve">clear, plain language articulation for managers, scientists, stakeholders and the wider community of what planned management actions, including the delivery of environmental </w:t>
      </w:r>
      <w:r w:rsidR="009A0864" w:rsidRPr="009172B6">
        <w:t>water, are intended to achieve</w:t>
      </w:r>
      <w:r w:rsidR="00977EF2" w:rsidRPr="009172B6">
        <w:t>.</w:t>
      </w:r>
      <w:r w:rsidR="00977EF2" w:rsidRPr="009172B6">
        <w:rPr>
          <w:rFonts w:cs="Arial"/>
          <w:color w:val="000000" w:themeColor="text1"/>
          <w:szCs w:val="20"/>
        </w:rPr>
        <w:t xml:space="preserve"> </w:t>
      </w:r>
    </w:p>
    <w:p w14:paraId="2CA85097" w14:textId="468F497C" w:rsidR="00977EF2" w:rsidRPr="009172B6" w:rsidRDefault="00A24DC3" w:rsidP="00977EF2">
      <w:pPr>
        <w:pStyle w:val="Para0"/>
      </w:pPr>
      <w:r>
        <w:rPr>
          <w:rFonts w:cs="Arial"/>
          <w:color w:val="000000" w:themeColor="text1"/>
          <w:szCs w:val="20"/>
        </w:rPr>
        <w:t xml:space="preserve">A simple ecological objective could be to maintain existing Black Box condition to avoid further decline. The Do-Nothing scenario can assist in identifying areas that are likely to decline. </w:t>
      </w:r>
      <w:r w:rsidR="005A1B89">
        <w:rPr>
          <w:rFonts w:cs="Arial"/>
          <w:color w:val="000000" w:themeColor="text1"/>
          <w:szCs w:val="20"/>
        </w:rPr>
        <w:t>E</w:t>
      </w:r>
      <w:r w:rsidR="00977EF2" w:rsidRPr="009172B6">
        <w:rPr>
          <w:rFonts w:cs="Arial"/>
          <w:color w:val="000000" w:themeColor="text1"/>
          <w:szCs w:val="20"/>
        </w:rPr>
        <w:t xml:space="preserve">xample ecological objectives are provided in </w:t>
      </w:r>
      <w:r w:rsidR="005A1B89">
        <w:rPr>
          <w:rFonts w:cs="Arial"/>
          <w:color w:val="000000" w:themeColor="text1"/>
          <w:szCs w:val="20"/>
        </w:rPr>
        <w:fldChar w:fldCharType="begin"/>
      </w:r>
      <w:r w:rsidR="005A1B89">
        <w:rPr>
          <w:rFonts w:cs="Arial"/>
          <w:color w:val="000000" w:themeColor="text1"/>
          <w:szCs w:val="20"/>
        </w:rPr>
        <w:instrText xml:space="preserve"> REF _Ref506796518 \h </w:instrText>
      </w:r>
      <w:r w:rsidR="005A1B89">
        <w:rPr>
          <w:rFonts w:cs="Arial"/>
          <w:color w:val="000000" w:themeColor="text1"/>
          <w:szCs w:val="20"/>
        </w:rPr>
      </w:r>
      <w:r w:rsidR="005A1B89">
        <w:rPr>
          <w:rFonts w:cs="Arial"/>
          <w:color w:val="000000" w:themeColor="text1"/>
          <w:szCs w:val="20"/>
        </w:rPr>
        <w:fldChar w:fldCharType="separate"/>
      </w:r>
      <w:r w:rsidR="00BF015B" w:rsidRPr="00890425">
        <w:t xml:space="preserve">Table </w:t>
      </w:r>
      <w:r w:rsidR="00BF015B">
        <w:rPr>
          <w:noProof/>
        </w:rPr>
        <w:t>3</w:t>
      </w:r>
      <w:r w:rsidR="00BF015B" w:rsidRPr="00890425">
        <w:noBreakHyphen/>
      </w:r>
      <w:r w:rsidR="00BF015B">
        <w:rPr>
          <w:noProof/>
        </w:rPr>
        <w:t>10</w:t>
      </w:r>
      <w:r w:rsidR="005A1B89">
        <w:rPr>
          <w:rFonts w:cs="Arial"/>
          <w:color w:val="000000" w:themeColor="text1"/>
          <w:szCs w:val="20"/>
        </w:rPr>
        <w:fldChar w:fldCharType="end"/>
      </w:r>
      <w:r w:rsidR="00C45489">
        <w:rPr>
          <w:rFonts w:cs="Arial"/>
          <w:color w:val="000000" w:themeColor="text1"/>
          <w:szCs w:val="20"/>
        </w:rPr>
        <w:t xml:space="preserve"> </w:t>
      </w:r>
      <w:r w:rsidR="00977EF2" w:rsidRPr="009172B6">
        <w:rPr>
          <w:rFonts w:cs="Arial"/>
          <w:color w:val="000000" w:themeColor="text1"/>
          <w:szCs w:val="20"/>
        </w:rPr>
        <w:t>for reference.</w:t>
      </w:r>
    </w:p>
    <w:p w14:paraId="50288B98" w14:textId="558CEC56" w:rsidR="00977EF2" w:rsidRPr="009172B6" w:rsidRDefault="00977EF2" w:rsidP="00977EF2">
      <w:pPr>
        <w:pStyle w:val="Heading3"/>
      </w:pPr>
      <w:bookmarkStart w:id="141" w:name="_Toc470043298"/>
      <w:r w:rsidRPr="009172B6">
        <w:t xml:space="preserve">Ecological </w:t>
      </w:r>
      <w:r w:rsidR="0054034A">
        <w:t>T</w:t>
      </w:r>
      <w:r w:rsidRPr="009172B6">
        <w:t>argets</w:t>
      </w:r>
      <w:bookmarkEnd w:id="141"/>
    </w:p>
    <w:p w14:paraId="3E801EC9" w14:textId="1624C717" w:rsidR="00977EF2" w:rsidRPr="009172B6" w:rsidRDefault="00977EF2" w:rsidP="00977EF2">
      <w:pPr>
        <w:pStyle w:val="Para0"/>
      </w:pPr>
      <w:r w:rsidRPr="009172B6">
        <w:rPr>
          <w:color w:val="000000" w:themeColor="text1"/>
          <w:szCs w:val="20"/>
        </w:rPr>
        <w:t xml:space="preserve">Ecological targets </w:t>
      </w:r>
      <w:r w:rsidRPr="009172B6">
        <w:t xml:space="preserve">specify </w:t>
      </w:r>
      <w:r w:rsidR="004274D5" w:rsidRPr="009172B6">
        <w:t>the</w:t>
      </w:r>
      <w:r w:rsidRPr="009172B6">
        <w:t xml:space="preserve"> condition</w:t>
      </w:r>
      <w:r w:rsidR="004274D5" w:rsidRPr="009172B6">
        <w:t xml:space="preserve"> intended to be achieved as a result of an action</w:t>
      </w:r>
      <w:r w:rsidRPr="009172B6">
        <w:t xml:space="preserve">, often described by a numerical value that allows for assessing and reporting </w:t>
      </w:r>
      <w:r w:rsidR="004274D5" w:rsidRPr="009172B6">
        <w:t xml:space="preserve">change in condition </w:t>
      </w:r>
      <w:r w:rsidRPr="009172B6">
        <w:t xml:space="preserve">against a benchmark over time </w:t>
      </w:r>
      <w:r w:rsidR="004274D5" w:rsidRPr="009172B6">
        <w:t xml:space="preserve">(T. Wallace </w:t>
      </w:r>
      <w:r w:rsidR="004274D5" w:rsidRPr="009172B6">
        <w:rPr>
          <w:i/>
        </w:rPr>
        <w:t>unpublished,</w:t>
      </w:r>
      <w:r w:rsidR="004274D5" w:rsidRPr="009172B6">
        <w:t xml:space="preserve"> 2016)</w:t>
      </w:r>
      <w:r w:rsidRPr="009172B6">
        <w:t xml:space="preserve">. </w:t>
      </w:r>
    </w:p>
    <w:p w14:paraId="5429D352" w14:textId="15C29A61" w:rsidR="00977EF2" w:rsidRPr="000F4144" w:rsidRDefault="00665DAC" w:rsidP="000F4144">
      <w:pPr>
        <w:spacing w:after="0" w:line="240" w:lineRule="auto"/>
        <w:rPr>
          <w:rFonts w:ascii="Arial Narrow" w:hAnsi="Arial Narrow"/>
          <w:b/>
        </w:rPr>
      </w:pPr>
      <w:r w:rsidRPr="009172B6">
        <w:rPr>
          <w:rFonts w:cs="Arial"/>
          <w:color w:val="000000" w:themeColor="text1"/>
          <w:szCs w:val="20"/>
        </w:rPr>
        <w:t>The timeframe required for achieving the</w:t>
      </w:r>
      <w:r w:rsidR="00977EF2" w:rsidRPr="009172B6">
        <w:rPr>
          <w:rFonts w:cs="Arial"/>
          <w:color w:val="000000" w:themeColor="text1"/>
          <w:szCs w:val="20"/>
        </w:rPr>
        <w:t xml:space="preserve"> </w:t>
      </w:r>
      <w:r w:rsidRPr="009172B6">
        <w:rPr>
          <w:rFonts w:cs="Arial"/>
          <w:color w:val="000000" w:themeColor="text1"/>
          <w:szCs w:val="20"/>
        </w:rPr>
        <w:t xml:space="preserve">desired </w:t>
      </w:r>
      <w:r w:rsidR="00977EF2" w:rsidRPr="009172B6">
        <w:rPr>
          <w:rFonts w:cs="Arial"/>
          <w:color w:val="000000" w:themeColor="text1"/>
          <w:szCs w:val="20"/>
        </w:rPr>
        <w:t xml:space="preserve">change in Black Box condition </w:t>
      </w:r>
      <w:r w:rsidRPr="009172B6">
        <w:rPr>
          <w:rFonts w:cs="Arial"/>
          <w:color w:val="000000" w:themeColor="text1"/>
          <w:szCs w:val="20"/>
        </w:rPr>
        <w:t>should be reflected in the ecological targets; refer to Black Box Transition Model (</w:t>
      </w:r>
      <w:r w:rsidR="000F4144">
        <w:rPr>
          <w:rFonts w:cs="Arial"/>
          <w:color w:val="000000" w:themeColor="text1"/>
          <w:szCs w:val="20"/>
        </w:rPr>
        <w:t xml:space="preserve">section </w:t>
      </w:r>
      <w:r w:rsidR="000F4144">
        <w:rPr>
          <w:rFonts w:cs="Arial"/>
          <w:color w:val="000000" w:themeColor="text1"/>
          <w:szCs w:val="20"/>
        </w:rPr>
        <w:fldChar w:fldCharType="begin"/>
      </w:r>
      <w:r w:rsidR="000F4144">
        <w:rPr>
          <w:rFonts w:cs="Arial"/>
          <w:color w:val="000000" w:themeColor="text1"/>
          <w:szCs w:val="20"/>
        </w:rPr>
        <w:instrText xml:space="preserve"> REF _Ref508021470 \r \h </w:instrText>
      </w:r>
      <w:r w:rsidR="000F4144">
        <w:rPr>
          <w:rFonts w:cs="Arial"/>
          <w:color w:val="000000" w:themeColor="text1"/>
          <w:szCs w:val="20"/>
        </w:rPr>
      </w:r>
      <w:r w:rsidR="000F4144">
        <w:rPr>
          <w:rFonts w:cs="Arial"/>
          <w:color w:val="000000" w:themeColor="text1"/>
          <w:szCs w:val="20"/>
        </w:rPr>
        <w:fldChar w:fldCharType="separate"/>
      </w:r>
      <w:r w:rsidR="00BF015B">
        <w:rPr>
          <w:rFonts w:cs="Arial"/>
          <w:color w:val="000000" w:themeColor="text1"/>
          <w:szCs w:val="20"/>
        </w:rPr>
        <w:t>3.5.1.4</w:t>
      </w:r>
      <w:r w:rsidR="000F4144">
        <w:rPr>
          <w:rFonts w:cs="Arial"/>
          <w:color w:val="000000" w:themeColor="text1"/>
          <w:szCs w:val="20"/>
        </w:rPr>
        <w:fldChar w:fldCharType="end"/>
      </w:r>
      <w:r w:rsidRPr="009172B6">
        <w:rPr>
          <w:rFonts w:cs="Arial"/>
          <w:color w:val="000000" w:themeColor="text1"/>
          <w:szCs w:val="20"/>
        </w:rPr>
        <w:t xml:space="preserve">). </w:t>
      </w:r>
      <w:r w:rsidR="00977EF2" w:rsidRPr="009172B6">
        <w:rPr>
          <w:rFonts w:cs="Arial"/>
          <w:color w:val="000000" w:themeColor="text1"/>
          <w:szCs w:val="20"/>
        </w:rPr>
        <w:t>The introduction of short, medium and long</w:t>
      </w:r>
      <w:r w:rsidR="00C84A20">
        <w:rPr>
          <w:rFonts w:cs="Arial"/>
          <w:color w:val="000000" w:themeColor="text1"/>
          <w:szCs w:val="20"/>
        </w:rPr>
        <w:t>-</w:t>
      </w:r>
      <w:r w:rsidR="000F4144">
        <w:rPr>
          <w:rFonts w:cs="Arial"/>
          <w:color w:val="000000" w:themeColor="text1"/>
          <w:szCs w:val="20"/>
        </w:rPr>
        <w:t xml:space="preserve">term </w:t>
      </w:r>
      <w:r w:rsidR="00C45489">
        <w:rPr>
          <w:rFonts w:cs="Arial"/>
          <w:color w:val="000000" w:themeColor="text1"/>
          <w:szCs w:val="20"/>
        </w:rPr>
        <w:t>targets (</w:t>
      </w:r>
      <w:r w:rsidR="00C45489">
        <w:rPr>
          <w:rFonts w:cs="Arial"/>
          <w:color w:val="000000" w:themeColor="text1"/>
          <w:szCs w:val="20"/>
        </w:rPr>
        <w:fldChar w:fldCharType="begin"/>
      </w:r>
      <w:r w:rsidR="00C45489">
        <w:rPr>
          <w:rFonts w:cs="Arial"/>
          <w:color w:val="000000" w:themeColor="text1"/>
          <w:szCs w:val="20"/>
        </w:rPr>
        <w:instrText xml:space="preserve"> REF _Ref508981811 \h </w:instrText>
      </w:r>
      <w:r w:rsidR="00C45489">
        <w:rPr>
          <w:rFonts w:cs="Arial"/>
          <w:color w:val="000000" w:themeColor="text1"/>
          <w:szCs w:val="20"/>
        </w:rPr>
      </w:r>
      <w:r w:rsidR="00C45489">
        <w:rPr>
          <w:rFonts w:cs="Arial"/>
          <w:color w:val="000000" w:themeColor="text1"/>
          <w:szCs w:val="20"/>
        </w:rPr>
        <w:fldChar w:fldCharType="separate"/>
      </w:r>
      <w:r w:rsidR="00BF015B" w:rsidRPr="00890425">
        <w:t xml:space="preserve">Table </w:t>
      </w:r>
      <w:r w:rsidR="00BF015B">
        <w:rPr>
          <w:noProof/>
        </w:rPr>
        <w:t>3</w:t>
      </w:r>
      <w:r w:rsidR="00BF015B" w:rsidRPr="00890425">
        <w:noBreakHyphen/>
      </w:r>
      <w:r w:rsidR="00BF015B">
        <w:rPr>
          <w:noProof/>
        </w:rPr>
        <w:t>12</w:t>
      </w:r>
      <w:r w:rsidR="00C45489">
        <w:rPr>
          <w:rFonts w:cs="Arial"/>
          <w:color w:val="000000" w:themeColor="text1"/>
          <w:szCs w:val="20"/>
        </w:rPr>
        <w:fldChar w:fldCharType="end"/>
      </w:r>
      <w:r w:rsidR="00977EF2" w:rsidRPr="009172B6">
        <w:rPr>
          <w:rFonts w:cs="Arial"/>
          <w:color w:val="000000" w:themeColor="text1"/>
          <w:szCs w:val="20"/>
        </w:rPr>
        <w:t>) is likely to be necessary to track and report progress on</w:t>
      </w:r>
      <w:r w:rsidRPr="009172B6">
        <w:rPr>
          <w:rFonts w:cs="Arial"/>
          <w:color w:val="000000" w:themeColor="text1"/>
          <w:szCs w:val="20"/>
        </w:rPr>
        <w:t xml:space="preserve"> the</w:t>
      </w:r>
      <w:r w:rsidR="00977EF2" w:rsidRPr="009172B6">
        <w:rPr>
          <w:rFonts w:cs="Arial"/>
          <w:color w:val="000000" w:themeColor="text1"/>
          <w:szCs w:val="20"/>
        </w:rPr>
        <w:t xml:space="preserve"> </w:t>
      </w:r>
      <w:r w:rsidRPr="009172B6">
        <w:rPr>
          <w:rFonts w:cs="Arial"/>
          <w:color w:val="000000" w:themeColor="text1"/>
          <w:szCs w:val="20"/>
        </w:rPr>
        <w:t xml:space="preserve">recovery of </w:t>
      </w:r>
      <w:r w:rsidR="00977EF2" w:rsidRPr="009172B6">
        <w:rPr>
          <w:rFonts w:cs="Arial"/>
          <w:color w:val="000000" w:themeColor="text1"/>
          <w:szCs w:val="20"/>
        </w:rPr>
        <w:t>Black Box</w:t>
      </w:r>
      <w:r w:rsidRPr="009172B6">
        <w:rPr>
          <w:rFonts w:cs="Arial"/>
          <w:color w:val="000000" w:themeColor="text1"/>
          <w:szCs w:val="20"/>
        </w:rPr>
        <w:t xml:space="preserve"> populations</w:t>
      </w:r>
      <w:r w:rsidR="00977EF2" w:rsidRPr="009172B6">
        <w:rPr>
          <w:rFonts w:cs="Arial"/>
          <w:color w:val="000000" w:themeColor="text1"/>
          <w:szCs w:val="20"/>
        </w:rPr>
        <w:t>. For example:</w:t>
      </w:r>
    </w:p>
    <w:p w14:paraId="639CC382" w14:textId="4E579F27" w:rsidR="00977EF2" w:rsidRPr="009172B6" w:rsidRDefault="00977EF2" w:rsidP="00977EF2">
      <w:pPr>
        <w:pStyle w:val="Para0bullet"/>
        <w:ind w:left="850"/>
      </w:pPr>
      <w:r w:rsidRPr="009172B6">
        <w:rPr>
          <w:i/>
        </w:rPr>
        <w:t>Long term target</w:t>
      </w:r>
      <w:r w:rsidRPr="009172B6">
        <w:t xml:space="preserve">: </w:t>
      </w:r>
      <w:r w:rsidR="009A0864" w:rsidRPr="009172B6">
        <w:t>G</w:t>
      </w:r>
      <w:r w:rsidR="0080032B" w:rsidRPr="009172B6">
        <w:t xml:space="preserve">reater than </w:t>
      </w:r>
      <w:r w:rsidRPr="009172B6">
        <w:t>50</w:t>
      </w:r>
      <w:r w:rsidR="00665DAC" w:rsidRPr="009172B6">
        <w:t xml:space="preserve"> percent</w:t>
      </w:r>
      <w:r w:rsidRPr="009172B6">
        <w:t xml:space="preserve"> of </w:t>
      </w:r>
      <w:r w:rsidR="009A0864" w:rsidRPr="009172B6">
        <w:t xml:space="preserve">tree </w:t>
      </w:r>
      <w:r w:rsidRPr="009172B6">
        <w:t>recruits within the actively managed floodplains will survive and establish into adult trees by 2020</w:t>
      </w:r>
      <w:r w:rsidR="009A0864" w:rsidRPr="009172B6">
        <w:t>.</w:t>
      </w:r>
    </w:p>
    <w:p w14:paraId="10054073" w14:textId="79930D9F" w:rsidR="00977EF2" w:rsidRPr="009172B6" w:rsidRDefault="00977EF2" w:rsidP="00977EF2">
      <w:pPr>
        <w:pStyle w:val="Para0bullet"/>
        <w:ind w:left="850"/>
      </w:pPr>
      <w:r w:rsidRPr="009172B6">
        <w:rPr>
          <w:i/>
        </w:rPr>
        <w:t xml:space="preserve">Short term target: </w:t>
      </w:r>
      <w:r w:rsidR="00887EC6" w:rsidRPr="009172B6">
        <w:t>M</w:t>
      </w:r>
      <w:r w:rsidRPr="009172B6">
        <w:t xml:space="preserve">aintain total soil water at </w:t>
      </w:r>
      <w:r w:rsidR="00887EC6" w:rsidRPr="009172B6">
        <w:t xml:space="preserve">greater than </w:t>
      </w:r>
      <w:r w:rsidR="00DD04DF" w:rsidRPr="009172B6">
        <w:t>-</w:t>
      </w:r>
      <w:r w:rsidR="00887EC6" w:rsidRPr="009172B6">
        <w:t xml:space="preserve">1.5 MPa within a </w:t>
      </w:r>
      <w:r w:rsidRPr="009172B6">
        <w:t xml:space="preserve">soil depth of 20-50cm </w:t>
      </w:r>
      <w:r w:rsidR="00887EC6" w:rsidRPr="009172B6">
        <w:t xml:space="preserve">for the first two years following seedling germination, </w:t>
      </w:r>
      <w:r w:rsidR="00223708" w:rsidRPr="009172B6">
        <w:t>to</w:t>
      </w:r>
      <w:r w:rsidRPr="009172B6">
        <w:t xml:space="preserve"> </w:t>
      </w:r>
      <w:r w:rsidR="00887EC6" w:rsidRPr="009172B6">
        <w:t>promoting seedling retention and growth</w:t>
      </w:r>
      <w:r w:rsidRPr="009172B6">
        <w:t>.</w:t>
      </w:r>
    </w:p>
    <w:p w14:paraId="348636AC" w14:textId="2D719159" w:rsidR="00977EF2" w:rsidRPr="009172B6" w:rsidRDefault="00977EF2" w:rsidP="00977EF2">
      <w:pPr>
        <w:pStyle w:val="Para0"/>
        <w:rPr>
          <w:color w:val="000000" w:themeColor="text1"/>
          <w:szCs w:val="20"/>
        </w:rPr>
      </w:pPr>
      <w:r w:rsidRPr="009172B6">
        <w:rPr>
          <w:color w:val="000000" w:themeColor="text1"/>
          <w:szCs w:val="20"/>
        </w:rPr>
        <w:t xml:space="preserve">The </w:t>
      </w:r>
      <w:r w:rsidR="00223708" w:rsidRPr="009172B6">
        <w:rPr>
          <w:color w:val="000000" w:themeColor="text1"/>
          <w:szCs w:val="20"/>
        </w:rPr>
        <w:t>long-term</w:t>
      </w:r>
      <w:r w:rsidRPr="009172B6">
        <w:rPr>
          <w:color w:val="000000" w:themeColor="text1"/>
          <w:szCs w:val="20"/>
        </w:rPr>
        <w:t xml:space="preserve"> target presented above is focused on ecological change, whereas the </w:t>
      </w:r>
      <w:r w:rsidR="00223708" w:rsidRPr="009172B6">
        <w:rPr>
          <w:color w:val="000000" w:themeColor="text1"/>
          <w:szCs w:val="20"/>
        </w:rPr>
        <w:t>short-term</w:t>
      </w:r>
      <w:r w:rsidRPr="009172B6">
        <w:rPr>
          <w:color w:val="000000" w:themeColor="text1"/>
          <w:szCs w:val="20"/>
        </w:rPr>
        <w:t xml:space="preserve"> target is focused on measuring a change in the influence of the stressor. Achieving short term targets which are focussed on managing known stressors is expected to have a direct benefit to achieving the associated ecological objective.</w:t>
      </w:r>
    </w:p>
    <w:p w14:paraId="1BEC357C" w14:textId="3ACB521D" w:rsidR="00977EF2" w:rsidRPr="009172B6" w:rsidRDefault="00977EF2" w:rsidP="00977EF2">
      <w:pPr>
        <w:pStyle w:val="Para0"/>
        <w:rPr>
          <w:color w:val="000000" w:themeColor="text1"/>
          <w:szCs w:val="20"/>
        </w:rPr>
      </w:pPr>
      <w:r w:rsidRPr="009172B6">
        <w:rPr>
          <w:color w:val="000000" w:themeColor="text1"/>
          <w:szCs w:val="20"/>
        </w:rPr>
        <w:t>Ecological targets, where practical, should be developed for each site in accordance with SMART principles</w:t>
      </w:r>
      <w:r w:rsidRPr="009172B6">
        <w:rPr>
          <w:rFonts w:cs="Arial"/>
          <w:color w:val="000000" w:themeColor="text1"/>
        </w:rPr>
        <w:t xml:space="preserve"> (Specific, Measurable, Achievable, Realistic and Time bound).</w:t>
      </w:r>
      <w:r w:rsidRPr="009172B6">
        <w:rPr>
          <w:color w:val="000000" w:themeColor="text1"/>
          <w:szCs w:val="20"/>
        </w:rPr>
        <w:t xml:space="preserve"> Targets for Black Box should: </w:t>
      </w:r>
    </w:p>
    <w:p w14:paraId="4FCC9716" w14:textId="77777777" w:rsidR="00977EF2" w:rsidRPr="009172B6" w:rsidRDefault="00977EF2" w:rsidP="00977EF2">
      <w:pPr>
        <w:pStyle w:val="Para0bullet"/>
        <w:spacing w:after="0"/>
        <w:ind w:left="850"/>
      </w:pPr>
      <w:r w:rsidRPr="009172B6">
        <w:t>define what constitutes a sustainable assemblage or population of Black Box</w:t>
      </w:r>
    </w:p>
    <w:p w14:paraId="76CCF3F1" w14:textId="77777777" w:rsidR="00977EF2" w:rsidRPr="009172B6" w:rsidRDefault="00977EF2" w:rsidP="00977EF2">
      <w:pPr>
        <w:pStyle w:val="Para0bullet"/>
        <w:spacing w:after="0"/>
        <w:ind w:left="850"/>
      </w:pPr>
      <w:r w:rsidRPr="009172B6">
        <w:t>be spatially and temporally quantitative (e.g. percentage area, number of trees per ha)</w:t>
      </w:r>
    </w:p>
    <w:p w14:paraId="2FB7534C" w14:textId="0A7B6A86" w:rsidR="00977EF2" w:rsidRPr="009172B6" w:rsidRDefault="00977EF2" w:rsidP="00977EF2">
      <w:pPr>
        <w:pStyle w:val="Para0bullet"/>
        <w:ind w:left="850"/>
      </w:pPr>
      <w:r w:rsidRPr="009172B6">
        <w:t>be time bound and presented as short term (e.g. 5 years) and/or long term (e.g. 20 – 30 years) targets.</w:t>
      </w:r>
    </w:p>
    <w:p w14:paraId="27035012" w14:textId="7D713053" w:rsidR="00977EF2" w:rsidRPr="009172B6" w:rsidRDefault="00977EF2" w:rsidP="00977EF2">
      <w:pPr>
        <w:pStyle w:val="Para0bullet"/>
        <w:numPr>
          <w:ilvl w:val="0"/>
          <w:numId w:val="0"/>
        </w:numPr>
      </w:pPr>
      <w:r w:rsidRPr="009172B6">
        <w:t xml:space="preserve">SMART ecological targets allow for assessments both during and after management actions have been implemented to determine if the targets (and associated objectives) have been or can be met. </w:t>
      </w:r>
      <w:r w:rsidR="00C852A3" w:rsidRPr="009172B6">
        <w:t xml:space="preserve">Targets should reflect </w:t>
      </w:r>
      <w:r w:rsidR="00452711" w:rsidRPr="009172B6">
        <w:t xml:space="preserve">milestone changes in attributes along a </w:t>
      </w:r>
      <w:r w:rsidR="00C852A3" w:rsidRPr="009172B6">
        <w:t>transition pathway</w:t>
      </w:r>
      <w:r w:rsidR="00452711" w:rsidRPr="009172B6">
        <w:t>.</w:t>
      </w:r>
      <w:r w:rsidR="00C852A3" w:rsidRPr="009172B6">
        <w:t xml:space="preserve"> </w:t>
      </w:r>
      <w:r w:rsidRPr="009172B6">
        <w:t xml:space="preserve">Examples of ecological objectives paired with SMART ecological targets are provided in </w:t>
      </w:r>
      <w:r w:rsidRPr="00ED6DB2">
        <w:fldChar w:fldCharType="begin"/>
      </w:r>
      <w:r w:rsidRPr="009172B6">
        <w:instrText xml:space="preserve"> REF _Ref470081236 \h  \* MERGEFORMAT </w:instrText>
      </w:r>
      <w:r w:rsidRPr="00ED6DB2">
        <w:fldChar w:fldCharType="separate"/>
      </w:r>
      <w:r w:rsidR="00BF015B" w:rsidRPr="00890425">
        <w:t xml:space="preserve">Table </w:t>
      </w:r>
      <w:r w:rsidR="00BF015B">
        <w:rPr>
          <w:noProof/>
        </w:rPr>
        <w:t>3</w:t>
      </w:r>
      <w:r w:rsidR="00BF015B" w:rsidRPr="00890425">
        <w:rPr>
          <w:noProof/>
        </w:rPr>
        <w:noBreakHyphen/>
      </w:r>
      <w:r w:rsidR="00BF015B">
        <w:rPr>
          <w:noProof/>
        </w:rPr>
        <w:t>11</w:t>
      </w:r>
      <w:r w:rsidRPr="00ED6DB2">
        <w:fldChar w:fldCharType="end"/>
      </w:r>
      <w:r w:rsidRPr="009172B6">
        <w:t xml:space="preserve"> for further reference. </w:t>
      </w:r>
    </w:p>
    <w:p w14:paraId="452384A0" w14:textId="61CF5D52" w:rsidR="00977EF2" w:rsidRPr="009172B6" w:rsidRDefault="00977EF2" w:rsidP="00977EF2">
      <w:pPr>
        <w:pStyle w:val="Para0"/>
        <w:keepNext/>
        <w:rPr>
          <w:color w:val="000000" w:themeColor="text1"/>
          <w:szCs w:val="20"/>
        </w:rPr>
      </w:pPr>
      <w:r w:rsidRPr="009172B6">
        <w:rPr>
          <w:color w:val="000000" w:themeColor="text1"/>
          <w:szCs w:val="20"/>
        </w:rPr>
        <w:t xml:space="preserve">The selection of ecological targets, as noted </w:t>
      </w:r>
      <w:r w:rsidR="00452711" w:rsidRPr="009172B6">
        <w:rPr>
          <w:color w:val="000000" w:themeColor="text1"/>
          <w:szCs w:val="20"/>
        </w:rPr>
        <w:t>by</w:t>
      </w:r>
      <w:r w:rsidRPr="009172B6">
        <w:rPr>
          <w:color w:val="000000" w:themeColor="text1"/>
          <w:szCs w:val="20"/>
        </w:rPr>
        <w:t xml:space="preserve"> Wallace (2012), should be undertaken with due care for the following reasons:</w:t>
      </w:r>
    </w:p>
    <w:p w14:paraId="7EA3CFE7" w14:textId="77777777" w:rsidR="00977EF2" w:rsidRPr="009172B6" w:rsidRDefault="00977EF2" w:rsidP="00977EF2">
      <w:pPr>
        <w:pStyle w:val="Para0bullet"/>
        <w:tabs>
          <w:tab w:val="clear" w:pos="851"/>
        </w:tabs>
        <w:spacing w:after="0"/>
        <w:ind w:left="850"/>
      </w:pPr>
      <w:r w:rsidRPr="009172B6">
        <w:rPr>
          <w:i/>
        </w:rPr>
        <w:t>In many cases insufficient baseline data and understanding of ecosystem function exists to set targets that may be ecologically meaningful.</w:t>
      </w:r>
      <w:r w:rsidRPr="009172B6">
        <w:t xml:space="preserve"> Where possible, it is recommended that a minimum set of baseline data be collected to guide the setting of realistic targets.</w:t>
      </w:r>
    </w:p>
    <w:p w14:paraId="6D6BD2B1" w14:textId="3BB252D9" w:rsidR="00977EF2" w:rsidRPr="009172B6" w:rsidRDefault="00977EF2" w:rsidP="00977EF2">
      <w:pPr>
        <w:pStyle w:val="Para0bullet"/>
        <w:tabs>
          <w:tab w:val="clear" w:pos="851"/>
        </w:tabs>
        <w:spacing w:after="0"/>
        <w:ind w:left="850"/>
      </w:pPr>
      <w:r w:rsidRPr="009172B6">
        <w:rPr>
          <w:i/>
        </w:rPr>
        <w:t>Targets that are not based on agreed or verified ecological interactions are value judgements that may result in unintended outcomes to other components of the ecosystem</w:t>
      </w:r>
      <w:r w:rsidRPr="009172B6">
        <w:t>. Where possible a minimum set of baseline data is used to guide the development of a widely accepted conceptual model. Whilst th</w:t>
      </w:r>
      <w:r w:rsidR="00452711" w:rsidRPr="009172B6">
        <w:t>is</w:t>
      </w:r>
      <w:r w:rsidRPr="009172B6">
        <w:t xml:space="preserve"> Framework is focused on the management of Black Box</w:t>
      </w:r>
      <w:r w:rsidR="00452711" w:rsidRPr="009172B6">
        <w:t xml:space="preserve"> vegetation</w:t>
      </w:r>
      <w:r w:rsidRPr="009172B6">
        <w:t xml:space="preserve">, the need to take a broader ecological view to consider potential implications across other functional groups </w:t>
      </w:r>
      <w:r w:rsidR="00452711" w:rsidRPr="009172B6">
        <w:t>is</w:t>
      </w:r>
      <w:r w:rsidRPr="009172B6">
        <w:t xml:space="preserve"> appropriate.</w:t>
      </w:r>
    </w:p>
    <w:p w14:paraId="5C7EC137" w14:textId="22D5149B" w:rsidR="00977EF2" w:rsidRPr="009172B6" w:rsidRDefault="00977EF2" w:rsidP="00977EF2">
      <w:pPr>
        <w:pStyle w:val="Heading3"/>
      </w:pPr>
      <w:bookmarkStart w:id="142" w:name="_Toc470043299"/>
      <w:r w:rsidRPr="009172B6">
        <w:t xml:space="preserve">Operational </w:t>
      </w:r>
      <w:r w:rsidR="0054034A">
        <w:t>O</w:t>
      </w:r>
      <w:r w:rsidRPr="009172B6">
        <w:t xml:space="preserve">bjectives  </w:t>
      </w:r>
      <w:bookmarkEnd w:id="142"/>
    </w:p>
    <w:p w14:paraId="05C750FF" w14:textId="3B009D15" w:rsidR="00977EF2" w:rsidRPr="009172B6" w:rsidRDefault="00977EF2" w:rsidP="00977EF2">
      <w:pPr>
        <w:pStyle w:val="Para0"/>
        <w:rPr>
          <w:rFonts w:cs="Arial"/>
          <w:color w:val="000000" w:themeColor="text1"/>
        </w:rPr>
      </w:pPr>
      <w:r w:rsidRPr="009172B6">
        <w:t xml:space="preserve">Operational objectives describe the </w:t>
      </w:r>
      <w:r w:rsidR="00223708" w:rsidRPr="009172B6">
        <w:t>short-term</w:t>
      </w:r>
      <w:r w:rsidRPr="009172B6">
        <w:t xml:space="preserve"> management interventions to be applied to achieve the ecological targets and objectives. </w:t>
      </w:r>
      <w:r w:rsidR="00DD04DF" w:rsidRPr="009172B6">
        <w:rPr>
          <w:rFonts w:cs="Arial"/>
          <w:color w:val="000000" w:themeColor="text1"/>
        </w:rPr>
        <w:t>These</w:t>
      </w:r>
      <w:r w:rsidRPr="009172B6">
        <w:rPr>
          <w:rFonts w:cs="Arial"/>
          <w:color w:val="000000" w:themeColor="text1"/>
        </w:rPr>
        <w:t xml:space="preserve"> objectives </w:t>
      </w:r>
      <w:r w:rsidR="00DD04DF" w:rsidRPr="009172B6">
        <w:rPr>
          <w:rFonts w:cs="Arial"/>
          <w:color w:val="000000" w:themeColor="text1"/>
        </w:rPr>
        <w:t>are set within the management context of existing</w:t>
      </w:r>
      <w:r w:rsidRPr="009172B6">
        <w:rPr>
          <w:rFonts w:cs="Arial"/>
          <w:color w:val="000000" w:themeColor="text1"/>
        </w:rPr>
        <w:t xml:space="preserve"> operational practices, any flexibility/constraints within these</w:t>
      </w:r>
      <w:r w:rsidR="00DD04DF" w:rsidRPr="009172B6">
        <w:rPr>
          <w:rFonts w:cs="Arial"/>
          <w:color w:val="000000" w:themeColor="text1"/>
        </w:rPr>
        <w:t xml:space="preserve"> practices and available resources</w:t>
      </w:r>
      <w:r w:rsidRPr="009172B6">
        <w:rPr>
          <w:rFonts w:cs="Arial"/>
          <w:color w:val="000000" w:themeColor="text1"/>
        </w:rPr>
        <w:t xml:space="preserve">. Operational objectives are set </w:t>
      </w:r>
      <w:r w:rsidR="00223708" w:rsidRPr="009172B6">
        <w:rPr>
          <w:rFonts w:cs="Arial"/>
          <w:color w:val="000000" w:themeColor="text1"/>
        </w:rPr>
        <w:t>based on</w:t>
      </w:r>
      <w:r w:rsidR="00DD04DF" w:rsidRPr="009172B6">
        <w:rPr>
          <w:rFonts w:cs="Arial"/>
          <w:color w:val="000000" w:themeColor="text1"/>
        </w:rPr>
        <w:t xml:space="preserve"> achieving the</w:t>
      </w:r>
      <w:r w:rsidRPr="009172B6">
        <w:rPr>
          <w:rFonts w:cs="Arial"/>
          <w:color w:val="000000" w:themeColor="text1"/>
        </w:rPr>
        <w:t xml:space="preserve"> ecological objectives and targets, and </w:t>
      </w:r>
      <w:r w:rsidR="00DD04DF" w:rsidRPr="009172B6">
        <w:rPr>
          <w:rFonts w:cs="Arial"/>
          <w:color w:val="000000" w:themeColor="text1"/>
        </w:rPr>
        <w:t>reflect management decisions on</w:t>
      </w:r>
      <w:r w:rsidRPr="009172B6">
        <w:rPr>
          <w:rFonts w:cs="Arial"/>
          <w:color w:val="000000" w:themeColor="text1"/>
        </w:rPr>
        <w:t xml:space="preserve"> </w:t>
      </w:r>
      <w:r w:rsidR="00DD04DF" w:rsidRPr="009172B6">
        <w:rPr>
          <w:rFonts w:cs="Arial"/>
          <w:color w:val="000000" w:themeColor="text1"/>
        </w:rPr>
        <w:t xml:space="preserve">the </w:t>
      </w:r>
      <w:r w:rsidRPr="009172B6">
        <w:rPr>
          <w:rFonts w:cs="Arial"/>
          <w:color w:val="000000" w:themeColor="text1"/>
        </w:rPr>
        <w:t>suitab</w:t>
      </w:r>
      <w:r w:rsidR="00DD04DF" w:rsidRPr="009172B6">
        <w:rPr>
          <w:rFonts w:cs="Arial"/>
          <w:color w:val="000000" w:themeColor="text1"/>
        </w:rPr>
        <w:t>i</w:t>
      </w:r>
      <w:r w:rsidRPr="009172B6">
        <w:rPr>
          <w:rFonts w:cs="Arial"/>
          <w:color w:val="000000" w:themeColor="text1"/>
        </w:rPr>
        <w:t>l</w:t>
      </w:r>
      <w:r w:rsidR="00DD04DF" w:rsidRPr="009172B6">
        <w:rPr>
          <w:rFonts w:cs="Arial"/>
          <w:color w:val="000000" w:themeColor="text1"/>
        </w:rPr>
        <w:t>ity of</w:t>
      </w:r>
      <w:r w:rsidRPr="009172B6">
        <w:rPr>
          <w:rFonts w:cs="Arial"/>
          <w:color w:val="000000" w:themeColor="text1"/>
        </w:rPr>
        <w:t xml:space="preserve"> management option(s) </w:t>
      </w:r>
      <w:r w:rsidR="00DD04DF" w:rsidRPr="009172B6">
        <w:rPr>
          <w:rFonts w:cs="Arial"/>
          <w:color w:val="000000" w:themeColor="text1"/>
        </w:rPr>
        <w:t>to be implemented</w:t>
      </w:r>
      <w:r w:rsidRPr="009172B6">
        <w:rPr>
          <w:rFonts w:cs="Arial"/>
          <w:color w:val="000000" w:themeColor="text1"/>
        </w:rPr>
        <w:t xml:space="preserve">.  </w:t>
      </w:r>
    </w:p>
    <w:p w14:paraId="4A7AFD56" w14:textId="6973F44F" w:rsidR="00977EF2" w:rsidRPr="009172B6" w:rsidRDefault="00977EF2" w:rsidP="00977EF2">
      <w:pPr>
        <w:pStyle w:val="Para0"/>
        <w:rPr>
          <w:color w:val="000000" w:themeColor="text1"/>
          <w:szCs w:val="20"/>
        </w:rPr>
      </w:pPr>
      <w:r w:rsidRPr="009172B6">
        <w:rPr>
          <w:color w:val="000000" w:themeColor="text1"/>
          <w:szCs w:val="20"/>
        </w:rPr>
        <w:t>Examples of operational objectives paired with ecological objectives/targets are provided below for reference</w:t>
      </w:r>
      <w:r w:rsidR="009B225C" w:rsidRPr="009172B6">
        <w:rPr>
          <w:color w:val="000000" w:themeColor="text1"/>
          <w:szCs w:val="20"/>
        </w:rPr>
        <w:t>.</w:t>
      </w:r>
    </w:p>
    <w:p w14:paraId="35BA1533" w14:textId="20706E77" w:rsidR="009B225C" w:rsidRPr="009172B6" w:rsidRDefault="009B225C" w:rsidP="009B225C">
      <w:pPr>
        <w:pStyle w:val="Para0bullet"/>
        <w:numPr>
          <w:ilvl w:val="0"/>
          <w:numId w:val="0"/>
        </w:numPr>
        <w:ind w:left="425" w:hanging="425"/>
      </w:pPr>
      <w:r w:rsidRPr="009172B6">
        <w:tab/>
      </w:r>
      <w:r w:rsidRPr="009172B6">
        <w:rPr>
          <w:u w:val="single"/>
        </w:rPr>
        <w:t>Example 1</w:t>
      </w:r>
      <w:r w:rsidRPr="009172B6">
        <w:t>:</w:t>
      </w:r>
    </w:p>
    <w:p w14:paraId="4D811FF1" w14:textId="1DD5FF91" w:rsidR="00977EF2" w:rsidRPr="009172B6" w:rsidRDefault="00977EF2" w:rsidP="00977EF2">
      <w:pPr>
        <w:pStyle w:val="Para0bullet"/>
        <w:ind w:left="850"/>
      </w:pPr>
      <w:r w:rsidRPr="009172B6">
        <w:rPr>
          <w:i/>
        </w:rPr>
        <w:t>Ecological Objective</w:t>
      </w:r>
      <w:r w:rsidR="00DD04DF" w:rsidRPr="009172B6">
        <w:t xml:space="preserve">: </w:t>
      </w:r>
      <w:r w:rsidR="009B225C" w:rsidRPr="009172B6">
        <w:t xml:space="preserve">Improve the condition and viability of </w:t>
      </w:r>
      <w:r w:rsidR="00C03080" w:rsidRPr="009172B6">
        <w:t>Black Box</w:t>
      </w:r>
      <w:r w:rsidR="009B225C" w:rsidRPr="009172B6">
        <w:t xml:space="preserve"> woodland populations.</w:t>
      </w:r>
    </w:p>
    <w:p w14:paraId="6DB33EE2" w14:textId="69504998" w:rsidR="00977EF2" w:rsidRPr="009172B6" w:rsidRDefault="00977EF2" w:rsidP="00977EF2">
      <w:pPr>
        <w:pStyle w:val="Para0bullet"/>
        <w:ind w:left="850"/>
      </w:pPr>
      <w:r w:rsidRPr="009172B6">
        <w:rPr>
          <w:i/>
        </w:rPr>
        <w:t>Ecological Target</w:t>
      </w:r>
      <w:r w:rsidRPr="009172B6">
        <w:t xml:space="preserve">: </w:t>
      </w:r>
      <w:r w:rsidR="009A0864" w:rsidRPr="009172B6">
        <w:t>G</w:t>
      </w:r>
      <w:r w:rsidR="0080032B" w:rsidRPr="009172B6">
        <w:t xml:space="preserve">reater than </w:t>
      </w:r>
      <w:r w:rsidRPr="009172B6">
        <w:t>75% of trees within the actively managed floodplains will have a crown extent and density score greater than 60% by 2020</w:t>
      </w:r>
      <w:r w:rsidR="009B225C" w:rsidRPr="009172B6">
        <w:t>.</w:t>
      </w:r>
    </w:p>
    <w:p w14:paraId="22DEC204" w14:textId="7F6D6A1E" w:rsidR="00C03080" w:rsidRPr="009172B6" w:rsidRDefault="00977EF2" w:rsidP="00977EF2">
      <w:pPr>
        <w:pStyle w:val="Para0bullet"/>
        <w:ind w:left="850"/>
        <w:rPr>
          <w:i/>
        </w:rPr>
      </w:pPr>
      <w:r w:rsidRPr="009172B6">
        <w:rPr>
          <w:i/>
        </w:rPr>
        <w:t>Operational Objective</w:t>
      </w:r>
      <w:r w:rsidRPr="009172B6">
        <w:t xml:space="preserve">: </w:t>
      </w:r>
      <w:r w:rsidR="009B225C" w:rsidRPr="009172B6">
        <w:t>F</w:t>
      </w:r>
      <w:r w:rsidRPr="009172B6">
        <w:t>loodplain inundation</w:t>
      </w:r>
      <w:r w:rsidR="00C03080" w:rsidRPr="009172B6">
        <w:t xml:space="preserve"> at X locality is augmented to extend the area of inundation to</w:t>
      </w:r>
      <w:r w:rsidRPr="009172B6">
        <w:t xml:space="preserve"> X ha</w:t>
      </w:r>
      <w:r w:rsidR="00C03080" w:rsidRPr="009172B6">
        <w:t xml:space="preserve">, at </w:t>
      </w:r>
      <w:r w:rsidRPr="009172B6">
        <w:t xml:space="preserve">an average frequency of </w:t>
      </w:r>
      <w:r w:rsidR="009B225C" w:rsidRPr="009172B6">
        <w:t>3 events</w:t>
      </w:r>
      <w:r w:rsidRPr="009172B6">
        <w:t xml:space="preserve"> in 7 years.</w:t>
      </w:r>
    </w:p>
    <w:p w14:paraId="144A9710" w14:textId="0C91ED66" w:rsidR="009B225C" w:rsidRPr="009172B6" w:rsidRDefault="009B225C" w:rsidP="009B225C">
      <w:pPr>
        <w:pStyle w:val="Para0bullet"/>
        <w:numPr>
          <w:ilvl w:val="0"/>
          <w:numId w:val="0"/>
        </w:numPr>
        <w:ind w:left="425"/>
      </w:pPr>
      <w:r w:rsidRPr="009172B6">
        <w:rPr>
          <w:u w:val="single"/>
        </w:rPr>
        <w:t>Example 2</w:t>
      </w:r>
      <w:r w:rsidRPr="009172B6">
        <w:t>:</w:t>
      </w:r>
    </w:p>
    <w:p w14:paraId="16A00B77" w14:textId="3D71FE64" w:rsidR="00977EF2" w:rsidRPr="009172B6" w:rsidRDefault="00977EF2" w:rsidP="00977EF2">
      <w:pPr>
        <w:pStyle w:val="Para0bullet"/>
        <w:ind w:left="850"/>
        <w:rPr>
          <w:i/>
        </w:rPr>
      </w:pPr>
      <w:r w:rsidRPr="009172B6">
        <w:rPr>
          <w:i/>
        </w:rPr>
        <w:t xml:space="preserve">Ecological Objective: </w:t>
      </w:r>
      <w:r w:rsidR="009B225C" w:rsidRPr="009172B6">
        <w:t>E</w:t>
      </w:r>
      <w:r w:rsidRPr="009172B6">
        <w:t>stablish soil conditions conducive to improving vegetation condition</w:t>
      </w:r>
      <w:r w:rsidR="009B225C" w:rsidRPr="009172B6">
        <w:t>.</w:t>
      </w:r>
    </w:p>
    <w:p w14:paraId="14E48443" w14:textId="6FFA67F2" w:rsidR="00977EF2" w:rsidRPr="009172B6" w:rsidRDefault="00977EF2" w:rsidP="00977EF2">
      <w:pPr>
        <w:pStyle w:val="Para0bullet"/>
        <w:ind w:left="850"/>
        <w:rPr>
          <w:i/>
        </w:rPr>
      </w:pPr>
      <w:r w:rsidRPr="009172B6">
        <w:rPr>
          <w:i/>
        </w:rPr>
        <w:t>Ecological Target:</w:t>
      </w:r>
      <w:r w:rsidRPr="009172B6">
        <w:t xml:space="preserve"> </w:t>
      </w:r>
      <w:r w:rsidR="009B225C" w:rsidRPr="009172B6">
        <w:t>M</w:t>
      </w:r>
      <w:r w:rsidRPr="009172B6">
        <w:t>aintain soil water availability, measured as soil water potential at soil depth 20-50 cm, greater than -1.5 MPa</w:t>
      </w:r>
      <w:r w:rsidR="009A0864" w:rsidRPr="009172B6">
        <w:t>,</w:t>
      </w:r>
      <w:r w:rsidRPr="009172B6">
        <w:t xml:space="preserve"> to sustain the recruitment of </w:t>
      </w:r>
      <w:r w:rsidR="009B225C" w:rsidRPr="009172B6">
        <w:t>tree saplings.</w:t>
      </w:r>
    </w:p>
    <w:p w14:paraId="1DB2C261" w14:textId="3E1C61C1" w:rsidR="00977EF2" w:rsidRPr="009172B6" w:rsidRDefault="00977EF2" w:rsidP="00977EF2">
      <w:pPr>
        <w:pStyle w:val="Para0bullet"/>
        <w:ind w:left="850"/>
        <w:rPr>
          <w:i/>
        </w:rPr>
      </w:pPr>
      <w:r w:rsidRPr="009172B6">
        <w:rPr>
          <w:i/>
        </w:rPr>
        <w:t xml:space="preserve">Operational Objective: </w:t>
      </w:r>
      <w:r w:rsidR="009B225C" w:rsidRPr="009172B6">
        <w:t>A</w:t>
      </w:r>
      <w:r w:rsidRPr="009172B6">
        <w:t>pply X ML of surface water to a maximum inundation height of Y m</w:t>
      </w:r>
      <w:r w:rsidR="009A6ED2" w:rsidRPr="009172B6">
        <w:t> </w:t>
      </w:r>
      <w:r w:rsidRPr="009172B6">
        <w:t>AHD across an area of Z ha for a period of 30 days</w:t>
      </w:r>
      <w:r w:rsidR="009B225C" w:rsidRPr="009172B6">
        <w:t xml:space="preserve">, </w:t>
      </w:r>
      <w:r w:rsidR="00611077" w:rsidRPr="009172B6">
        <w:t>at an average frequency of 2 events in 3 years</w:t>
      </w:r>
      <w:r w:rsidRPr="009172B6">
        <w:t>.</w:t>
      </w:r>
    </w:p>
    <w:p w14:paraId="0721E0D0" w14:textId="306575C6" w:rsidR="00977EF2" w:rsidRPr="009172B6" w:rsidRDefault="00977EF2" w:rsidP="00977EF2">
      <w:pPr>
        <w:pStyle w:val="Heading3"/>
      </w:pPr>
      <w:bookmarkStart w:id="143" w:name="_Toc470043300"/>
      <w:r w:rsidRPr="009172B6">
        <w:t xml:space="preserve">Linking </w:t>
      </w:r>
      <w:r w:rsidR="0054034A">
        <w:t>O</w:t>
      </w:r>
      <w:r w:rsidRPr="009172B6">
        <w:t xml:space="preserve">bjectives, </w:t>
      </w:r>
      <w:r w:rsidR="0054034A">
        <w:t>T</w:t>
      </w:r>
      <w:r w:rsidRPr="009172B6">
        <w:t xml:space="preserve">argets, </w:t>
      </w:r>
      <w:r w:rsidR="0054034A">
        <w:t>S</w:t>
      </w:r>
      <w:r w:rsidRPr="009172B6">
        <w:t xml:space="preserve">tressors and </w:t>
      </w:r>
      <w:r w:rsidR="0054034A">
        <w:t>M</w:t>
      </w:r>
      <w:r w:rsidRPr="009172B6">
        <w:t>onitoring</w:t>
      </w:r>
      <w:bookmarkEnd w:id="143"/>
    </w:p>
    <w:p w14:paraId="39BA39A5" w14:textId="15A07354" w:rsidR="00977EF2" w:rsidRPr="009172B6" w:rsidRDefault="00977EF2" w:rsidP="00977EF2">
      <w:pPr>
        <w:pStyle w:val="Para0"/>
      </w:pPr>
      <w:r w:rsidRPr="009172B6">
        <w:t xml:space="preserve">Relationships between Black Box attributes and functionality, stressors and potential indicators are provided in </w:t>
      </w:r>
      <w:r w:rsidRPr="00ED6DB2">
        <w:rPr>
          <w:color w:val="000000" w:themeColor="text1"/>
        </w:rPr>
        <w:fldChar w:fldCharType="begin"/>
      </w:r>
      <w:r w:rsidRPr="009172B6">
        <w:rPr>
          <w:color w:val="000000" w:themeColor="text1"/>
        </w:rPr>
        <w:instrText xml:space="preserve"> REF _Ref463606095 \r \h </w:instrText>
      </w:r>
      <w:r w:rsidR="00851602" w:rsidRPr="009172B6">
        <w:rPr>
          <w:color w:val="000000" w:themeColor="text1"/>
        </w:rPr>
        <w:instrText xml:space="preserve"> \* MERGEFORMAT </w:instrText>
      </w:r>
      <w:r w:rsidRPr="00ED6DB2">
        <w:rPr>
          <w:color w:val="000000" w:themeColor="text1"/>
        </w:rPr>
      </w:r>
      <w:r w:rsidRPr="00ED6DB2">
        <w:rPr>
          <w:color w:val="000000" w:themeColor="text1"/>
        </w:rPr>
        <w:fldChar w:fldCharType="separate"/>
      </w:r>
      <w:r w:rsidR="00BF015B">
        <w:rPr>
          <w:color w:val="000000" w:themeColor="text1"/>
        </w:rPr>
        <w:t>Appendix B</w:t>
      </w:r>
      <w:r w:rsidRPr="00ED6DB2">
        <w:rPr>
          <w:color w:val="000000" w:themeColor="text1"/>
        </w:rPr>
        <w:fldChar w:fldCharType="end"/>
      </w:r>
      <w:r w:rsidRPr="009172B6">
        <w:t>. This provides practitioners with a guide to the types of stressors and indicators that may be influencing the condition of Black Box at a site.</w:t>
      </w:r>
    </w:p>
    <w:p w14:paraId="38423D9E" w14:textId="7EDB7DAC" w:rsidR="0043274A" w:rsidRDefault="000F4144" w:rsidP="00977EF2">
      <w:pPr>
        <w:pStyle w:val="Para0"/>
      </w:pPr>
      <w:r w:rsidRPr="00ED6DB2">
        <w:fldChar w:fldCharType="begin"/>
      </w:r>
      <w:r w:rsidRPr="009172B6">
        <w:instrText xml:space="preserve"> REF _Ref470081236 \h  \* MERGEFORMAT </w:instrText>
      </w:r>
      <w:r w:rsidRPr="00ED6DB2">
        <w:fldChar w:fldCharType="separate"/>
      </w:r>
      <w:r w:rsidR="00BF015B" w:rsidRPr="00890425">
        <w:t xml:space="preserve">Table </w:t>
      </w:r>
      <w:r w:rsidR="00BF015B">
        <w:rPr>
          <w:noProof/>
        </w:rPr>
        <w:t>3</w:t>
      </w:r>
      <w:r w:rsidR="00BF015B" w:rsidRPr="00890425">
        <w:rPr>
          <w:noProof/>
        </w:rPr>
        <w:noBreakHyphen/>
      </w:r>
      <w:r w:rsidR="00BF015B">
        <w:rPr>
          <w:noProof/>
        </w:rPr>
        <w:t>11</w:t>
      </w:r>
      <w:r w:rsidRPr="00ED6DB2">
        <w:fldChar w:fldCharType="end"/>
      </w:r>
      <w:r>
        <w:rPr>
          <w:color w:val="000000" w:themeColor="text1"/>
        </w:rPr>
        <w:t xml:space="preserve"> </w:t>
      </w:r>
      <w:r w:rsidR="00142B25" w:rsidRPr="009172B6">
        <w:rPr>
          <w:color w:val="000000" w:themeColor="text1"/>
        </w:rPr>
        <w:t>has</w:t>
      </w:r>
      <w:r w:rsidR="00977EF2" w:rsidRPr="009172B6">
        <w:t xml:space="preserve"> been prepared as an example link</w:t>
      </w:r>
      <w:r w:rsidR="00611077" w:rsidRPr="009172B6">
        <w:t>ing</w:t>
      </w:r>
      <w:r w:rsidR="00977EF2" w:rsidRPr="009172B6">
        <w:t xml:space="preserve"> short term objectives to specific operational targets fo</w:t>
      </w:r>
      <w:r>
        <w:t xml:space="preserve">r the relevant stressors. </w:t>
      </w:r>
      <w:r>
        <w:fldChar w:fldCharType="begin"/>
      </w:r>
      <w:r>
        <w:instrText xml:space="preserve"> REF _Ref508981811 \h </w:instrText>
      </w:r>
      <w:r>
        <w:fldChar w:fldCharType="separate"/>
      </w:r>
      <w:r w:rsidR="00BF015B" w:rsidRPr="00890425">
        <w:t xml:space="preserve">Table </w:t>
      </w:r>
      <w:r w:rsidR="00BF015B">
        <w:rPr>
          <w:noProof/>
        </w:rPr>
        <w:t>3</w:t>
      </w:r>
      <w:r w:rsidR="00BF015B" w:rsidRPr="00890425">
        <w:noBreakHyphen/>
      </w:r>
      <w:r w:rsidR="00BF015B">
        <w:rPr>
          <w:noProof/>
        </w:rPr>
        <w:t>12</w:t>
      </w:r>
      <w:r>
        <w:fldChar w:fldCharType="end"/>
      </w:r>
      <w:r w:rsidR="00977EF2" w:rsidRPr="009172B6">
        <w:t xml:space="preserve"> then provides linkages between the stressors and some specific monitoring activities that could be used to track success over the short, medium and longer term. These can be taken and adapted by practitioners </w:t>
      </w:r>
      <w:r w:rsidR="00611077" w:rsidRPr="009172B6">
        <w:t xml:space="preserve">where relevant for site management </w:t>
      </w:r>
      <w:r w:rsidR="00977EF2" w:rsidRPr="009172B6">
        <w:t>planning.</w:t>
      </w:r>
    </w:p>
    <w:p w14:paraId="515EB8FD" w14:textId="77777777" w:rsidR="0043274A" w:rsidRDefault="0043274A">
      <w:pPr>
        <w:spacing w:after="0" w:line="240" w:lineRule="auto"/>
      </w:pPr>
      <w:r>
        <w:br w:type="page"/>
      </w:r>
    </w:p>
    <w:p w14:paraId="77D7B831" w14:textId="2EF24658" w:rsidR="00977EF2" w:rsidRPr="00890425" w:rsidRDefault="00977EF2" w:rsidP="00890425">
      <w:pPr>
        <w:pStyle w:val="Caption"/>
      </w:pPr>
      <w:bookmarkStart w:id="144" w:name="_Ref470081236"/>
      <w:bookmarkStart w:id="145" w:name="_Toc470043333"/>
      <w:bookmarkStart w:id="146" w:name="_Ref470081231"/>
      <w:bookmarkStart w:id="147" w:name="_Toc514068779"/>
      <w:r w:rsidRPr="00890425">
        <w:t xml:space="preserve">Table </w:t>
      </w:r>
      <w:r w:rsidR="002D4BCF" w:rsidRPr="00890425">
        <w:fldChar w:fldCharType="begin"/>
      </w:r>
      <w:r w:rsidR="002D4BCF" w:rsidRPr="00890425">
        <w:instrText xml:space="preserve"> STYLEREF 1 \s </w:instrText>
      </w:r>
      <w:r w:rsidR="002D4BCF" w:rsidRPr="00890425">
        <w:fldChar w:fldCharType="separate"/>
      </w:r>
      <w:r w:rsidR="00BF015B">
        <w:rPr>
          <w:noProof/>
        </w:rPr>
        <w:t>3</w:t>
      </w:r>
      <w:r w:rsidR="002D4BCF" w:rsidRPr="00890425">
        <w:fldChar w:fldCharType="end"/>
      </w:r>
      <w:r w:rsidR="002D4BCF" w:rsidRPr="00890425">
        <w:noBreakHyphen/>
      </w:r>
      <w:r w:rsidR="002D4BCF" w:rsidRPr="00890425">
        <w:fldChar w:fldCharType="begin"/>
      </w:r>
      <w:r w:rsidR="002D4BCF" w:rsidRPr="00890425">
        <w:instrText xml:space="preserve"> SEQ Table \* ARABIC \s 1 </w:instrText>
      </w:r>
      <w:r w:rsidR="002D4BCF" w:rsidRPr="00890425">
        <w:fldChar w:fldCharType="separate"/>
      </w:r>
      <w:r w:rsidR="0063076E">
        <w:rPr>
          <w:noProof/>
        </w:rPr>
        <w:t>12</w:t>
      </w:r>
      <w:r w:rsidR="002D4BCF" w:rsidRPr="00890425">
        <w:fldChar w:fldCharType="end"/>
      </w:r>
      <w:bookmarkEnd w:id="144"/>
      <w:r w:rsidRPr="00890425">
        <w:t>: Example objectives and targets, related to Black Box stressors.</w:t>
      </w:r>
      <w:bookmarkEnd w:id="145"/>
      <w:bookmarkEnd w:id="146"/>
      <w:bookmarkEnd w:id="147"/>
    </w:p>
    <w:tbl>
      <w:tblPr>
        <w:tblStyle w:val="TableGrid"/>
        <w:tblW w:w="491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089"/>
        <w:gridCol w:w="4040"/>
        <w:gridCol w:w="3621"/>
      </w:tblGrid>
      <w:tr w:rsidR="00977EF2" w:rsidRPr="009172B6" w14:paraId="008936A8" w14:textId="77777777" w:rsidTr="006A4BAA">
        <w:trPr>
          <w:tblHeader/>
        </w:trPr>
        <w:tc>
          <w:tcPr>
            <w:tcW w:w="1071" w:type="pct"/>
            <w:tcBorders>
              <w:right w:val="single" w:sz="4" w:space="0" w:color="FFFFFF" w:themeColor="background1"/>
            </w:tcBorders>
            <w:shd w:val="clear" w:color="auto" w:fill="65876D" w:themeFill="accent4" w:themeFillShade="BF"/>
          </w:tcPr>
          <w:p w14:paraId="29C2394C" w14:textId="77777777" w:rsidR="00977EF2" w:rsidRPr="009172B6" w:rsidRDefault="00977EF2" w:rsidP="006A4BAA">
            <w:pPr>
              <w:pStyle w:val="Tableheading"/>
              <w:rPr>
                <w:color w:val="FFFFFF" w:themeColor="background1"/>
              </w:rPr>
            </w:pPr>
            <w:r w:rsidRPr="009172B6">
              <w:rPr>
                <w:color w:val="FFFFFF" w:themeColor="background1"/>
              </w:rPr>
              <w:t>Objectives</w:t>
            </w:r>
          </w:p>
        </w:tc>
        <w:tc>
          <w:tcPr>
            <w:tcW w:w="2072" w:type="pct"/>
            <w:tcBorders>
              <w:left w:val="single" w:sz="4" w:space="0" w:color="FFFFFF" w:themeColor="background1"/>
              <w:right w:val="single" w:sz="4" w:space="0" w:color="FFFFFF" w:themeColor="background1"/>
            </w:tcBorders>
            <w:shd w:val="clear" w:color="auto" w:fill="65876D" w:themeFill="accent4" w:themeFillShade="BF"/>
          </w:tcPr>
          <w:p w14:paraId="1B1CD814" w14:textId="77777777" w:rsidR="00977EF2" w:rsidRPr="009172B6" w:rsidRDefault="00977EF2" w:rsidP="006A4BAA">
            <w:pPr>
              <w:pStyle w:val="Tableheading"/>
              <w:rPr>
                <w:color w:val="FFFFFF" w:themeColor="background1"/>
              </w:rPr>
            </w:pPr>
            <w:r w:rsidRPr="009172B6">
              <w:rPr>
                <w:color w:val="FFFFFF" w:themeColor="background1"/>
                <w:u w:val="single"/>
              </w:rPr>
              <w:t>Example</w:t>
            </w:r>
            <w:r w:rsidRPr="009172B6">
              <w:rPr>
                <w:color w:val="FFFFFF" w:themeColor="background1"/>
              </w:rPr>
              <w:t xml:space="preserve"> targets</w:t>
            </w:r>
          </w:p>
        </w:tc>
        <w:tc>
          <w:tcPr>
            <w:tcW w:w="1857" w:type="pct"/>
            <w:tcBorders>
              <w:left w:val="single" w:sz="4" w:space="0" w:color="FFFFFF" w:themeColor="background1"/>
              <w:right w:val="single" w:sz="4" w:space="0" w:color="FFFFFF" w:themeColor="background1"/>
            </w:tcBorders>
            <w:shd w:val="clear" w:color="auto" w:fill="65876D" w:themeFill="accent4" w:themeFillShade="BF"/>
          </w:tcPr>
          <w:p w14:paraId="3C9A24F9" w14:textId="77777777" w:rsidR="00977EF2" w:rsidRPr="009172B6" w:rsidRDefault="00977EF2" w:rsidP="006A4BAA">
            <w:pPr>
              <w:pStyle w:val="Tableheading"/>
              <w:rPr>
                <w:color w:val="FFFFFF" w:themeColor="background1"/>
              </w:rPr>
            </w:pPr>
            <w:r w:rsidRPr="009172B6">
              <w:rPr>
                <w:color w:val="FFFFFF" w:themeColor="background1"/>
              </w:rPr>
              <w:t>Potential stressor that the target is trying to address</w:t>
            </w:r>
          </w:p>
        </w:tc>
      </w:tr>
      <w:tr w:rsidR="00DD04DF" w:rsidRPr="009172B6" w14:paraId="229C8AB1" w14:textId="77777777" w:rsidTr="006A4BAA">
        <w:trPr>
          <w:trHeight w:val="837"/>
        </w:trPr>
        <w:tc>
          <w:tcPr>
            <w:tcW w:w="1071" w:type="pct"/>
            <w:vMerge w:val="restart"/>
          </w:tcPr>
          <w:p w14:paraId="2B028879" w14:textId="77777777" w:rsidR="00DD04DF" w:rsidRPr="009172B6" w:rsidRDefault="00DD04DF" w:rsidP="006A4BAA">
            <w:pPr>
              <w:pStyle w:val="Tablesmalltext"/>
            </w:pPr>
            <w:r w:rsidRPr="009172B6">
              <w:t>Establish groundwater conditions conducive to improving vegetation condition</w:t>
            </w:r>
            <w:r w:rsidRPr="009172B6">
              <w:rPr>
                <w:vertAlign w:val="superscript"/>
              </w:rPr>
              <w:t>1</w:t>
            </w:r>
          </w:p>
        </w:tc>
        <w:tc>
          <w:tcPr>
            <w:tcW w:w="2072" w:type="pct"/>
          </w:tcPr>
          <w:p w14:paraId="1B3A61B4" w14:textId="77777777" w:rsidR="00DD04DF" w:rsidRPr="009172B6" w:rsidRDefault="00DD04DF" w:rsidP="006A4BAA">
            <w:pPr>
              <w:pStyle w:val="Tablesmalltext"/>
            </w:pPr>
            <w:r w:rsidRPr="009172B6">
              <w:t>The top one metre of the vertical salinity profile of groundwater is below 22,000 mg/L in areas supporting Black Box</w:t>
            </w:r>
            <w:r w:rsidRPr="009172B6">
              <w:rPr>
                <w:vertAlign w:val="superscript"/>
              </w:rPr>
              <w:t>3</w:t>
            </w:r>
          </w:p>
        </w:tc>
        <w:tc>
          <w:tcPr>
            <w:tcW w:w="1857" w:type="pct"/>
            <w:vMerge w:val="restart"/>
          </w:tcPr>
          <w:p w14:paraId="29C2E9E8" w14:textId="77777777" w:rsidR="00DD04DF" w:rsidRPr="009172B6" w:rsidRDefault="00DD04DF" w:rsidP="00F22225">
            <w:pPr>
              <w:pStyle w:val="Tablesmalltext"/>
              <w:numPr>
                <w:ilvl w:val="0"/>
                <w:numId w:val="36"/>
              </w:numPr>
              <w:ind w:left="340"/>
            </w:pPr>
            <w:r w:rsidRPr="009172B6">
              <w:t xml:space="preserve">shallow groundwater salinity </w:t>
            </w:r>
          </w:p>
          <w:p w14:paraId="35942B42" w14:textId="77777777" w:rsidR="00DD04DF" w:rsidRPr="009172B6" w:rsidRDefault="00DD04DF" w:rsidP="00F22225">
            <w:pPr>
              <w:pStyle w:val="Tablesmalltext"/>
              <w:numPr>
                <w:ilvl w:val="0"/>
                <w:numId w:val="36"/>
              </w:numPr>
              <w:ind w:left="340"/>
            </w:pPr>
            <w:r w:rsidRPr="009172B6">
              <w:t>groundwater depth (shallower groundwater may influence soil salinity more and reduce ability to flush salts from soil profile)</w:t>
            </w:r>
          </w:p>
          <w:p w14:paraId="104C4721" w14:textId="77777777" w:rsidR="00DD04DF" w:rsidRPr="009172B6" w:rsidRDefault="00DD04DF" w:rsidP="00F22225">
            <w:pPr>
              <w:pStyle w:val="Tablesmalltext"/>
              <w:numPr>
                <w:ilvl w:val="0"/>
                <w:numId w:val="36"/>
              </w:numPr>
              <w:ind w:left="340"/>
            </w:pPr>
            <w:r w:rsidRPr="009172B6">
              <w:t xml:space="preserve">soil salinity (unsaturated zone), </w:t>
            </w:r>
          </w:p>
          <w:p w14:paraId="59516500" w14:textId="77777777" w:rsidR="00DD04DF" w:rsidRPr="009172B6" w:rsidRDefault="00DD04DF" w:rsidP="00F22225">
            <w:pPr>
              <w:pStyle w:val="Tablesmalltext"/>
              <w:numPr>
                <w:ilvl w:val="0"/>
                <w:numId w:val="36"/>
              </w:numPr>
              <w:ind w:left="340"/>
            </w:pPr>
            <w:r w:rsidRPr="009172B6">
              <w:t>soil water availability (unsaturated zone)</w:t>
            </w:r>
          </w:p>
        </w:tc>
      </w:tr>
      <w:tr w:rsidR="00DD04DF" w:rsidRPr="009172B6" w14:paraId="3F1C7A7D" w14:textId="77777777" w:rsidTr="006A4BAA">
        <w:tc>
          <w:tcPr>
            <w:tcW w:w="1071" w:type="pct"/>
            <w:vMerge/>
          </w:tcPr>
          <w:p w14:paraId="6A816C09" w14:textId="77777777" w:rsidR="00DD04DF" w:rsidRPr="009172B6" w:rsidRDefault="00DD04DF" w:rsidP="006A4BAA">
            <w:pPr>
              <w:pStyle w:val="Tablesmalltext"/>
            </w:pPr>
          </w:p>
        </w:tc>
        <w:tc>
          <w:tcPr>
            <w:tcW w:w="2072" w:type="pct"/>
          </w:tcPr>
          <w:p w14:paraId="021A76E8" w14:textId="77777777" w:rsidR="00DD04DF" w:rsidRPr="009172B6" w:rsidRDefault="00DD04DF" w:rsidP="006A4BAA">
            <w:pPr>
              <w:pStyle w:val="Tablesmalltext"/>
            </w:pPr>
            <w:r w:rsidRPr="009172B6">
              <w:t>Groundwater salinity does not increase from baseline conditions at site</w:t>
            </w:r>
            <w:r w:rsidRPr="009172B6">
              <w:rPr>
                <w:vertAlign w:val="superscript"/>
              </w:rPr>
              <w:t>3</w:t>
            </w:r>
          </w:p>
        </w:tc>
        <w:tc>
          <w:tcPr>
            <w:tcW w:w="1857" w:type="pct"/>
            <w:vMerge/>
          </w:tcPr>
          <w:p w14:paraId="4C504965" w14:textId="77777777" w:rsidR="00DD04DF" w:rsidRPr="009172B6" w:rsidRDefault="00DD04DF" w:rsidP="006A4BAA">
            <w:pPr>
              <w:pStyle w:val="Tablesmalltext"/>
            </w:pPr>
          </w:p>
        </w:tc>
      </w:tr>
      <w:tr w:rsidR="00DD04DF" w:rsidRPr="009172B6" w14:paraId="29A574FE" w14:textId="77777777" w:rsidTr="006A4BAA">
        <w:tc>
          <w:tcPr>
            <w:tcW w:w="1071" w:type="pct"/>
            <w:vMerge/>
          </w:tcPr>
          <w:p w14:paraId="4293F33D" w14:textId="3D731F3C" w:rsidR="00DD04DF" w:rsidRPr="009172B6" w:rsidRDefault="00DD04DF" w:rsidP="006A4BAA">
            <w:pPr>
              <w:pStyle w:val="Tablesmalltext"/>
            </w:pPr>
          </w:p>
        </w:tc>
        <w:tc>
          <w:tcPr>
            <w:tcW w:w="2072" w:type="pct"/>
          </w:tcPr>
          <w:p w14:paraId="40E73F3B" w14:textId="3AF4496D" w:rsidR="00DD04DF" w:rsidRPr="009172B6" w:rsidRDefault="00DD04DF" w:rsidP="006A4BAA">
            <w:pPr>
              <w:pStyle w:val="Tablesmalltext"/>
            </w:pPr>
            <w:r w:rsidRPr="009172B6">
              <w:t xml:space="preserve">Maintain soil water availability, measured as soil water potential at soil depth 20-50 cm, greater than -1.5 MPa </w:t>
            </w:r>
            <w:r w:rsidR="00AD6010" w:rsidRPr="009172B6">
              <w:t>to</w:t>
            </w:r>
            <w:r w:rsidRPr="009172B6">
              <w:t xml:space="preserve"> sustain the recruitment of long-lived vegetation</w:t>
            </w:r>
            <w:r w:rsidRPr="009172B6">
              <w:rPr>
                <w:vertAlign w:val="superscript"/>
              </w:rPr>
              <w:t>1</w:t>
            </w:r>
          </w:p>
        </w:tc>
        <w:tc>
          <w:tcPr>
            <w:tcW w:w="1857" w:type="pct"/>
            <w:vMerge w:val="restart"/>
          </w:tcPr>
          <w:p w14:paraId="02718CA2" w14:textId="77777777" w:rsidR="00DD04DF" w:rsidRPr="009172B6" w:rsidRDefault="00DD04DF" w:rsidP="00F22225">
            <w:pPr>
              <w:pStyle w:val="Tablesmalltext"/>
              <w:numPr>
                <w:ilvl w:val="0"/>
                <w:numId w:val="36"/>
              </w:numPr>
              <w:ind w:left="340"/>
            </w:pPr>
            <w:r w:rsidRPr="009172B6">
              <w:t>soil water availability (unsaturated zone)</w:t>
            </w:r>
          </w:p>
          <w:p w14:paraId="592CE04B" w14:textId="77777777" w:rsidR="00DD04DF" w:rsidRPr="009172B6" w:rsidRDefault="00DD04DF" w:rsidP="006A4BAA">
            <w:pPr>
              <w:pStyle w:val="Tablesmalltext"/>
              <w:ind w:left="-20"/>
            </w:pPr>
          </w:p>
        </w:tc>
      </w:tr>
      <w:tr w:rsidR="00DD04DF" w:rsidRPr="009172B6" w14:paraId="6C0101A6" w14:textId="77777777" w:rsidTr="006A4BAA">
        <w:tc>
          <w:tcPr>
            <w:tcW w:w="1071" w:type="pct"/>
            <w:vMerge/>
          </w:tcPr>
          <w:p w14:paraId="4B85F34A" w14:textId="77777777" w:rsidR="00DD04DF" w:rsidRPr="009172B6" w:rsidRDefault="00DD04DF" w:rsidP="006A4BAA">
            <w:pPr>
              <w:pStyle w:val="Tablesmalltext"/>
            </w:pPr>
          </w:p>
        </w:tc>
        <w:tc>
          <w:tcPr>
            <w:tcW w:w="2072" w:type="pct"/>
          </w:tcPr>
          <w:p w14:paraId="6CD32E81" w14:textId="481BA1DC" w:rsidR="00DD04DF" w:rsidRPr="009172B6" w:rsidRDefault="00DD04DF" w:rsidP="006A4BAA">
            <w:pPr>
              <w:pStyle w:val="Tablesmalltext"/>
            </w:pPr>
            <w:r w:rsidRPr="009172B6">
              <w:t xml:space="preserve">In soil samples taken from the unsaturated zone at intervals to ≥3 metres depth, at least one depth sampled has soil water availability, measured as total soil water potential, greater than -1.5MPa, </w:t>
            </w:r>
            <w:r w:rsidR="00AD6010" w:rsidRPr="009172B6">
              <w:t>to</w:t>
            </w:r>
            <w:r w:rsidRPr="009172B6">
              <w:t xml:space="preserve"> maintain or improve mature tree condition</w:t>
            </w:r>
            <w:r w:rsidRPr="009172B6">
              <w:rPr>
                <w:vertAlign w:val="superscript"/>
              </w:rPr>
              <w:t>3</w:t>
            </w:r>
          </w:p>
        </w:tc>
        <w:tc>
          <w:tcPr>
            <w:tcW w:w="1857" w:type="pct"/>
            <w:vMerge/>
          </w:tcPr>
          <w:p w14:paraId="7CABF5C8" w14:textId="77777777" w:rsidR="00DD04DF" w:rsidRPr="009172B6" w:rsidRDefault="00DD04DF" w:rsidP="006A4BAA">
            <w:pPr>
              <w:pStyle w:val="Tablesmalltext"/>
            </w:pPr>
          </w:p>
        </w:tc>
      </w:tr>
      <w:tr w:rsidR="00DD04DF" w:rsidRPr="009172B6" w14:paraId="23079569" w14:textId="77777777" w:rsidTr="006A4BAA">
        <w:tc>
          <w:tcPr>
            <w:tcW w:w="1071" w:type="pct"/>
            <w:vMerge/>
          </w:tcPr>
          <w:p w14:paraId="7DA93137" w14:textId="77777777" w:rsidR="00DD04DF" w:rsidRPr="009172B6" w:rsidRDefault="00DD04DF" w:rsidP="006A4BAA">
            <w:pPr>
              <w:pStyle w:val="Tablesmalltext"/>
            </w:pPr>
          </w:p>
        </w:tc>
        <w:tc>
          <w:tcPr>
            <w:tcW w:w="2072" w:type="pct"/>
          </w:tcPr>
          <w:p w14:paraId="5ED20B2E" w14:textId="77777777" w:rsidR="00DD04DF" w:rsidRPr="009172B6" w:rsidRDefault="00DD04DF" w:rsidP="006A4BAA">
            <w:pPr>
              <w:pStyle w:val="Tablesmalltext"/>
            </w:pPr>
            <w:r w:rsidRPr="009172B6">
              <w:t>The total salt mass (kg/m</w:t>
            </w:r>
            <w:r w:rsidRPr="009172B6">
              <w:rPr>
                <w:vertAlign w:val="superscript"/>
              </w:rPr>
              <w:t>3</w:t>
            </w:r>
            <w:r w:rsidRPr="009172B6">
              <w:t>) of the unsaturated soil zone decreases over time relative to baseline conditions at site, to below the threshold of 39,000 mg/L</w:t>
            </w:r>
            <w:r w:rsidRPr="009172B6">
              <w:rPr>
                <w:vertAlign w:val="superscript"/>
              </w:rPr>
              <w:t>3</w:t>
            </w:r>
          </w:p>
        </w:tc>
        <w:tc>
          <w:tcPr>
            <w:tcW w:w="1857" w:type="pct"/>
          </w:tcPr>
          <w:p w14:paraId="3B03DBD2" w14:textId="77777777" w:rsidR="00DD04DF" w:rsidRPr="009172B6" w:rsidRDefault="00DD04DF" w:rsidP="00F22225">
            <w:pPr>
              <w:pStyle w:val="Tablesmalltext"/>
              <w:numPr>
                <w:ilvl w:val="0"/>
                <w:numId w:val="36"/>
              </w:numPr>
              <w:ind w:left="340"/>
            </w:pPr>
            <w:r w:rsidRPr="009172B6">
              <w:t>soil salinity (unsaturated zone)</w:t>
            </w:r>
          </w:p>
          <w:p w14:paraId="1E14E7A6" w14:textId="77777777" w:rsidR="00DD04DF" w:rsidRPr="009172B6" w:rsidRDefault="00DD04DF" w:rsidP="00F22225">
            <w:pPr>
              <w:pStyle w:val="Tablesmalltext"/>
              <w:numPr>
                <w:ilvl w:val="0"/>
                <w:numId w:val="36"/>
              </w:numPr>
              <w:ind w:left="340"/>
            </w:pPr>
            <w:r w:rsidRPr="009172B6">
              <w:t>soil water availability (unsaturated zone)</w:t>
            </w:r>
          </w:p>
        </w:tc>
      </w:tr>
      <w:tr w:rsidR="00DD04DF" w:rsidRPr="009172B6" w14:paraId="0C18722A" w14:textId="77777777" w:rsidTr="006A4BAA">
        <w:tc>
          <w:tcPr>
            <w:tcW w:w="1071" w:type="pct"/>
            <w:vMerge/>
          </w:tcPr>
          <w:p w14:paraId="74FBA945" w14:textId="77777777" w:rsidR="00DD04DF" w:rsidRPr="009172B6" w:rsidRDefault="00DD04DF" w:rsidP="006A4BAA">
            <w:pPr>
              <w:pStyle w:val="Tablesmalltext"/>
            </w:pPr>
          </w:p>
        </w:tc>
        <w:tc>
          <w:tcPr>
            <w:tcW w:w="2072" w:type="pct"/>
          </w:tcPr>
          <w:p w14:paraId="7599AAE2" w14:textId="77777777" w:rsidR="00DD04DF" w:rsidRPr="009172B6" w:rsidRDefault="00DD04DF" w:rsidP="006A4BAA">
            <w:pPr>
              <w:pStyle w:val="Tablesmalltext"/>
            </w:pPr>
            <w:r w:rsidRPr="009172B6">
              <w:t>Ensure soil salinity does not increase in those areas where groundwater levels increase in response to managed inundation but are outside the inundated areas (fringe degradation), to above 39,000 mg/L</w:t>
            </w:r>
            <w:r w:rsidRPr="009172B6">
              <w:rPr>
                <w:vertAlign w:val="superscript"/>
              </w:rPr>
              <w:t>2</w:t>
            </w:r>
            <w:r w:rsidRPr="009172B6">
              <w:t xml:space="preserve"> </w:t>
            </w:r>
          </w:p>
        </w:tc>
        <w:tc>
          <w:tcPr>
            <w:tcW w:w="1857" w:type="pct"/>
          </w:tcPr>
          <w:p w14:paraId="233D92D2" w14:textId="77777777" w:rsidR="00DD04DF" w:rsidRPr="009172B6" w:rsidRDefault="00DD04DF" w:rsidP="00F22225">
            <w:pPr>
              <w:pStyle w:val="Tablesmalltext"/>
              <w:numPr>
                <w:ilvl w:val="0"/>
                <w:numId w:val="36"/>
              </w:numPr>
              <w:ind w:left="340"/>
            </w:pPr>
            <w:r w:rsidRPr="009172B6">
              <w:t xml:space="preserve">shallow groundwater salinity </w:t>
            </w:r>
          </w:p>
          <w:p w14:paraId="0C36395D" w14:textId="77777777" w:rsidR="00DD04DF" w:rsidRPr="009172B6" w:rsidRDefault="00DD04DF" w:rsidP="00F22225">
            <w:pPr>
              <w:pStyle w:val="Tablesmalltext"/>
              <w:numPr>
                <w:ilvl w:val="0"/>
                <w:numId w:val="36"/>
              </w:numPr>
              <w:ind w:left="340"/>
            </w:pPr>
            <w:r w:rsidRPr="009172B6">
              <w:t>groundwater depth (shallower groundwater may influence soil salinity more and reduce ability to flush salts from soil profile)</w:t>
            </w:r>
          </w:p>
          <w:p w14:paraId="17436BAC" w14:textId="77777777" w:rsidR="00DD04DF" w:rsidRPr="009172B6" w:rsidRDefault="00DD04DF" w:rsidP="00F22225">
            <w:pPr>
              <w:pStyle w:val="Tablesmalltext"/>
              <w:numPr>
                <w:ilvl w:val="0"/>
                <w:numId w:val="36"/>
              </w:numPr>
              <w:ind w:left="340"/>
            </w:pPr>
            <w:r w:rsidRPr="009172B6">
              <w:t xml:space="preserve">soil salinity (unsaturated zone), </w:t>
            </w:r>
          </w:p>
          <w:p w14:paraId="10865285" w14:textId="77777777" w:rsidR="00DD04DF" w:rsidRPr="009172B6" w:rsidRDefault="00DD04DF" w:rsidP="00F22225">
            <w:pPr>
              <w:pStyle w:val="Tablesmalltext"/>
              <w:numPr>
                <w:ilvl w:val="0"/>
                <w:numId w:val="36"/>
              </w:numPr>
              <w:ind w:left="340"/>
            </w:pPr>
            <w:r w:rsidRPr="009172B6">
              <w:t>soil water availability (unsaturated zone)</w:t>
            </w:r>
          </w:p>
        </w:tc>
      </w:tr>
    </w:tbl>
    <w:p w14:paraId="20E0716D" w14:textId="0B5F8257" w:rsidR="00977EF2" w:rsidRPr="009172B6" w:rsidRDefault="00B92EF8" w:rsidP="00977EF2">
      <w:pPr>
        <w:spacing w:before="80" w:after="80" w:line="256" w:lineRule="auto"/>
        <w:rPr>
          <w:rFonts w:cs="Arial"/>
          <w:sz w:val="14"/>
          <w:szCs w:val="14"/>
        </w:rPr>
      </w:pPr>
      <w:r w:rsidRPr="009172B6">
        <w:rPr>
          <w:rFonts w:cs="Arial"/>
          <w:sz w:val="14"/>
          <w:szCs w:val="14"/>
        </w:rPr>
        <w:t>1:</w:t>
      </w:r>
      <w:r w:rsidR="00977EF2" w:rsidRPr="009172B6">
        <w:rPr>
          <w:rFonts w:cs="Arial"/>
          <w:sz w:val="14"/>
          <w:szCs w:val="14"/>
        </w:rPr>
        <w:t xml:space="preserve"> adapted from the Operations Plan for Chowilla Floodplain (Wallace &amp; Whittle, 2014).</w:t>
      </w:r>
    </w:p>
    <w:p w14:paraId="5D6C36F7" w14:textId="61F1D751" w:rsidR="00977EF2" w:rsidRPr="009172B6" w:rsidRDefault="00B92EF8" w:rsidP="00977EF2">
      <w:pPr>
        <w:spacing w:before="80" w:after="80" w:line="256" w:lineRule="auto"/>
        <w:rPr>
          <w:rFonts w:cs="Arial"/>
          <w:sz w:val="14"/>
          <w:szCs w:val="14"/>
          <w:lang w:val="en-US"/>
        </w:rPr>
      </w:pPr>
      <w:r w:rsidRPr="009172B6">
        <w:rPr>
          <w:rFonts w:cs="Arial"/>
          <w:sz w:val="14"/>
          <w:szCs w:val="14"/>
        </w:rPr>
        <w:t>2:</w:t>
      </w:r>
      <w:r w:rsidR="00977EF2" w:rsidRPr="009172B6">
        <w:rPr>
          <w:rFonts w:cs="Arial"/>
          <w:sz w:val="14"/>
          <w:szCs w:val="14"/>
        </w:rPr>
        <w:t xml:space="preserve">  adapted from SARFIIP preliminary Ecological Targets </w:t>
      </w:r>
      <w:r w:rsidR="00611077" w:rsidRPr="009172B6">
        <w:rPr>
          <w:rFonts w:cs="Arial"/>
          <w:sz w:val="14"/>
          <w:szCs w:val="14"/>
        </w:rPr>
        <w:t>(unpublished, 2015</w:t>
      </w:r>
      <w:r w:rsidR="00977EF2" w:rsidRPr="009172B6">
        <w:rPr>
          <w:rFonts w:cs="Arial"/>
          <w:sz w:val="14"/>
          <w:szCs w:val="14"/>
        </w:rPr>
        <w:t xml:space="preserve">). </w:t>
      </w:r>
      <w:r w:rsidR="00977EF2" w:rsidRPr="009172B6">
        <w:rPr>
          <w:rFonts w:cs="Arial"/>
          <w:i/>
          <w:sz w:val="14"/>
          <w:szCs w:val="14"/>
        </w:rPr>
        <w:t>Development of ecological objectives and targets for Pike and Eckerts-Katarapko floodplains</w:t>
      </w:r>
      <w:r w:rsidR="00611077" w:rsidRPr="009172B6">
        <w:rPr>
          <w:rFonts w:cs="Arial"/>
          <w:sz w:val="14"/>
          <w:szCs w:val="14"/>
        </w:rPr>
        <w:t>.</w:t>
      </w:r>
      <w:r w:rsidR="00977EF2" w:rsidRPr="009172B6">
        <w:rPr>
          <w:rFonts w:cs="Arial"/>
          <w:sz w:val="14"/>
          <w:szCs w:val="14"/>
        </w:rPr>
        <w:t xml:space="preserve"> </w:t>
      </w:r>
    </w:p>
    <w:p w14:paraId="1B858FCD" w14:textId="609CA3D4" w:rsidR="00977EF2" w:rsidRPr="009172B6" w:rsidRDefault="00B92EF8" w:rsidP="00977EF2">
      <w:pPr>
        <w:spacing w:before="80" w:after="40" w:line="256" w:lineRule="auto"/>
        <w:rPr>
          <w:rFonts w:cs="Arial"/>
          <w:sz w:val="14"/>
          <w:szCs w:val="14"/>
          <w:lang w:val="en-US"/>
        </w:rPr>
      </w:pPr>
      <w:r w:rsidRPr="009172B6">
        <w:rPr>
          <w:rFonts w:cs="Arial"/>
          <w:sz w:val="14"/>
          <w:szCs w:val="14"/>
          <w:lang w:val="en-US"/>
        </w:rPr>
        <w:t>3:</w:t>
      </w:r>
      <w:r w:rsidR="00977EF2" w:rsidRPr="009172B6">
        <w:rPr>
          <w:rFonts w:cs="Arial"/>
          <w:sz w:val="14"/>
          <w:szCs w:val="14"/>
          <w:lang w:val="en-US"/>
        </w:rPr>
        <w:t xml:space="preserve"> adapted from draft targets currently being developed to improve p</w:t>
      </w:r>
      <w:r w:rsidR="00611077" w:rsidRPr="009172B6">
        <w:rPr>
          <w:rFonts w:cs="Arial"/>
          <w:sz w:val="14"/>
          <w:szCs w:val="14"/>
          <w:lang w:val="en-US"/>
        </w:rPr>
        <w:t>reliminary targets for SARFIIP (</w:t>
      </w:r>
      <w:r w:rsidR="00977EF2" w:rsidRPr="009172B6">
        <w:rPr>
          <w:rFonts w:cs="Arial"/>
          <w:sz w:val="14"/>
          <w:szCs w:val="14"/>
          <w:lang w:val="en-US"/>
        </w:rPr>
        <w:t>unpublished</w:t>
      </w:r>
      <w:r w:rsidR="00611077" w:rsidRPr="009172B6">
        <w:rPr>
          <w:rFonts w:cs="Arial"/>
          <w:sz w:val="14"/>
          <w:szCs w:val="14"/>
          <w:lang w:val="en-US"/>
        </w:rPr>
        <w:t>, 2016)</w:t>
      </w:r>
      <w:r w:rsidR="00977EF2" w:rsidRPr="009172B6">
        <w:rPr>
          <w:rFonts w:cs="Arial"/>
          <w:sz w:val="14"/>
          <w:szCs w:val="14"/>
          <w:lang w:val="en-US"/>
        </w:rPr>
        <w:t>.</w:t>
      </w:r>
    </w:p>
    <w:p w14:paraId="3A9C2DF4" w14:textId="77777777" w:rsidR="0043274A" w:rsidRDefault="0043274A">
      <w:pPr>
        <w:spacing w:after="0" w:line="240" w:lineRule="auto"/>
        <w:rPr>
          <w:rFonts w:ascii="Arial Narrow" w:hAnsi="Arial Narrow"/>
          <w:b/>
        </w:rPr>
      </w:pPr>
      <w:bookmarkStart w:id="148" w:name="_Ref506796688"/>
      <w:bookmarkStart w:id="149" w:name="_Toc470043334"/>
      <w:r>
        <w:br w:type="page"/>
      </w:r>
    </w:p>
    <w:p w14:paraId="54254C46" w14:textId="5964323A" w:rsidR="00977EF2" w:rsidRPr="00890425" w:rsidRDefault="00977EF2" w:rsidP="00890425">
      <w:pPr>
        <w:pStyle w:val="Caption"/>
      </w:pPr>
      <w:bookmarkStart w:id="150" w:name="_Ref508981811"/>
      <w:bookmarkStart w:id="151" w:name="_Toc514068780"/>
      <w:r w:rsidRPr="00890425">
        <w:t xml:space="preserve">Table </w:t>
      </w:r>
      <w:r w:rsidR="002D4BCF" w:rsidRPr="00890425">
        <w:fldChar w:fldCharType="begin"/>
      </w:r>
      <w:r w:rsidR="002D4BCF" w:rsidRPr="00890425">
        <w:instrText xml:space="preserve"> STYLEREF 1 \s </w:instrText>
      </w:r>
      <w:r w:rsidR="002D4BCF" w:rsidRPr="00890425">
        <w:fldChar w:fldCharType="separate"/>
      </w:r>
      <w:r w:rsidR="00BF015B">
        <w:rPr>
          <w:noProof/>
        </w:rPr>
        <w:t>3</w:t>
      </w:r>
      <w:r w:rsidR="002D4BCF" w:rsidRPr="00890425">
        <w:fldChar w:fldCharType="end"/>
      </w:r>
      <w:r w:rsidR="002D4BCF" w:rsidRPr="00890425">
        <w:noBreakHyphen/>
      </w:r>
      <w:r w:rsidR="002D4BCF" w:rsidRPr="00890425">
        <w:fldChar w:fldCharType="begin"/>
      </w:r>
      <w:r w:rsidR="002D4BCF" w:rsidRPr="00890425">
        <w:instrText xml:space="preserve"> SEQ Table \* ARABIC \s 1 </w:instrText>
      </w:r>
      <w:r w:rsidR="002D4BCF" w:rsidRPr="00890425">
        <w:fldChar w:fldCharType="separate"/>
      </w:r>
      <w:r w:rsidR="0063076E">
        <w:rPr>
          <w:noProof/>
        </w:rPr>
        <w:t>13</w:t>
      </w:r>
      <w:r w:rsidR="002D4BCF" w:rsidRPr="00890425">
        <w:fldChar w:fldCharType="end"/>
      </w:r>
      <w:bookmarkEnd w:id="148"/>
      <w:bookmarkEnd w:id="150"/>
      <w:r w:rsidRPr="00890425">
        <w:t>: Example Black Box stressors and expected outcomes to be monitored over the short, medium and long timescales.</w:t>
      </w:r>
      <w:bookmarkEnd w:id="149"/>
      <w:bookmarkEnd w:id="151"/>
    </w:p>
    <w:tbl>
      <w:tblPr>
        <w:tblStyle w:val="TableGrid"/>
        <w:tblW w:w="4897" w:type="pct"/>
        <w:tblInd w:w="108" w:type="dxa"/>
        <w:tblLook w:val="04A0" w:firstRow="1" w:lastRow="0" w:firstColumn="1" w:lastColumn="0" w:noHBand="0" w:noVBand="1"/>
      </w:tblPr>
      <w:tblGrid>
        <w:gridCol w:w="1036"/>
        <w:gridCol w:w="34"/>
        <w:gridCol w:w="2117"/>
        <w:gridCol w:w="3260"/>
        <w:gridCol w:w="3260"/>
      </w:tblGrid>
      <w:tr w:rsidR="00977EF2" w:rsidRPr="009172B6" w14:paraId="7B634B90" w14:textId="77777777" w:rsidTr="006A4BAA">
        <w:trPr>
          <w:tblHeader/>
        </w:trPr>
        <w:tc>
          <w:tcPr>
            <w:tcW w:w="522" w:type="pct"/>
            <w:shd w:val="clear" w:color="auto" w:fill="65876D" w:themeFill="accent4" w:themeFillShade="BF"/>
          </w:tcPr>
          <w:p w14:paraId="35EBF465" w14:textId="77777777" w:rsidR="00977EF2" w:rsidRPr="009172B6" w:rsidRDefault="00977EF2" w:rsidP="006A4BAA">
            <w:pPr>
              <w:pStyle w:val="Tableheading"/>
              <w:rPr>
                <w:color w:val="FFFFFF" w:themeColor="background1"/>
              </w:rPr>
            </w:pPr>
            <w:r w:rsidRPr="009172B6">
              <w:rPr>
                <w:color w:val="FFFFFF" w:themeColor="background1"/>
              </w:rPr>
              <w:t>Potential stressors</w:t>
            </w:r>
          </w:p>
        </w:tc>
        <w:tc>
          <w:tcPr>
            <w:tcW w:w="1111" w:type="pct"/>
            <w:gridSpan w:val="2"/>
            <w:shd w:val="clear" w:color="auto" w:fill="65876D" w:themeFill="accent4" w:themeFillShade="BF"/>
          </w:tcPr>
          <w:p w14:paraId="380B8DCD" w14:textId="77777777" w:rsidR="00977EF2" w:rsidRPr="009172B6" w:rsidRDefault="00977EF2" w:rsidP="006A4BAA">
            <w:pPr>
              <w:pStyle w:val="Tableheading"/>
              <w:jc w:val="center"/>
              <w:rPr>
                <w:color w:val="FFFFFF" w:themeColor="background1"/>
              </w:rPr>
            </w:pPr>
            <w:r w:rsidRPr="009172B6">
              <w:rPr>
                <w:color w:val="FFFFFF" w:themeColor="background1"/>
              </w:rPr>
              <w:t>Monitoring Short Term</w:t>
            </w:r>
            <w:r w:rsidRPr="009172B6">
              <w:rPr>
                <w:color w:val="FFFFFF" w:themeColor="background1"/>
                <w:vertAlign w:val="superscript"/>
              </w:rPr>
              <w:t>1</w:t>
            </w:r>
          </w:p>
        </w:tc>
        <w:tc>
          <w:tcPr>
            <w:tcW w:w="1683" w:type="pct"/>
            <w:shd w:val="clear" w:color="auto" w:fill="65876D" w:themeFill="accent4" w:themeFillShade="BF"/>
          </w:tcPr>
          <w:p w14:paraId="2E4BB369" w14:textId="77777777" w:rsidR="00977EF2" w:rsidRPr="009172B6" w:rsidRDefault="00977EF2" w:rsidP="006A4BAA">
            <w:pPr>
              <w:pStyle w:val="Tableheading"/>
              <w:jc w:val="center"/>
              <w:rPr>
                <w:color w:val="FFFFFF" w:themeColor="background1"/>
              </w:rPr>
            </w:pPr>
            <w:r w:rsidRPr="009172B6">
              <w:rPr>
                <w:color w:val="FFFFFF" w:themeColor="background1"/>
              </w:rPr>
              <w:t>Monitoring Medium Term</w:t>
            </w:r>
            <w:r w:rsidRPr="009172B6">
              <w:rPr>
                <w:color w:val="FFFFFF" w:themeColor="background1"/>
                <w:vertAlign w:val="superscript"/>
              </w:rPr>
              <w:t>1</w:t>
            </w:r>
          </w:p>
        </w:tc>
        <w:tc>
          <w:tcPr>
            <w:tcW w:w="1683" w:type="pct"/>
            <w:shd w:val="clear" w:color="auto" w:fill="65876D" w:themeFill="accent4" w:themeFillShade="BF"/>
          </w:tcPr>
          <w:p w14:paraId="292E96FE" w14:textId="77777777" w:rsidR="00977EF2" w:rsidRPr="009172B6" w:rsidRDefault="00977EF2" w:rsidP="006A4BAA">
            <w:pPr>
              <w:pStyle w:val="Tableheading"/>
              <w:jc w:val="center"/>
              <w:rPr>
                <w:color w:val="FFFFFF" w:themeColor="background1"/>
              </w:rPr>
            </w:pPr>
            <w:r w:rsidRPr="009172B6">
              <w:rPr>
                <w:color w:val="FFFFFF" w:themeColor="background1"/>
              </w:rPr>
              <w:t>Monitoring Long Term</w:t>
            </w:r>
            <w:r w:rsidRPr="009172B6">
              <w:rPr>
                <w:color w:val="FFFFFF" w:themeColor="background1"/>
                <w:vertAlign w:val="superscript"/>
              </w:rPr>
              <w:t>1</w:t>
            </w:r>
          </w:p>
        </w:tc>
      </w:tr>
      <w:tr w:rsidR="00977EF2" w:rsidRPr="009172B6" w14:paraId="56B00BC2" w14:textId="77777777" w:rsidTr="006A4BAA">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PrEx>
        <w:tc>
          <w:tcPr>
            <w:tcW w:w="539" w:type="pct"/>
            <w:gridSpan w:val="2"/>
          </w:tcPr>
          <w:p w14:paraId="2B56C37B" w14:textId="77777777" w:rsidR="00977EF2" w:rsidRPr="009172B6" w:rsidRDefault="00977EF2" w:rsidP="006A4BAA">
            <w:pPr>
              <w:pStyle w:val="Tablesmalltext"/>
            </w:pPr>
            <w:r w:rsidRPr="009172B6">
              <w:t xml:space="preserve">shallow groundwater salinity </w:t>
            </w:r>
          </w:p>
        </w:tc>
        <w:tc>
          <w:tcPr>
            <w:tcW w:w="1094" w:type="pct"/>
          </w:tcPr>
          <w:p w14:paraId="3A961C60" w14:textId="71C6970E" w:rsidR="00977EF2" w:rsidRPr="009172B6" w:rsidRDefault="00977EF2" w:rsidP="00F22225">
            <w:pPr>
              <w:pStyle w:val="Tablesmalltext"/>
              <w:numPr>
                <w:ilvl w:val="0"/>
                <w:numId w:val="36"/>
              </w:numPr>
              <w:ind w:left="199" w:hanging="222"/>
            </w:pPr>
            <w:r w:rsidRPr="009172B6">
              <w:t xml:space="preserve">groundwater salinity in top 1 m of vertical profile </w:t>
            </w:r>
          </w:p>
          <w:p w14:paraId="2BCB6EC9" w14:textId="77777777" w:rsidR="00977EF2" w:rsidRPr="009172B6" w:rsidRDefault="00977EF2" w:rsidP="006A4BAA">
            <w:pPr>
              <w:pStyle w:val="Tablesmalltext"/>
              <w:ind w:left="199" w:hanging="222"/>
            </w:pPr>
          </w:p>
        </w:tc>
        <w:tc>
          <w:tcPr>
            <w:tcW w:w="1683" w:type="pct"/>
          </w:tcPr>
          <w:p w14:paraId="3665DBAE" w14:textId="77777777" w:rsidR="00977EF2" w:rsidRPr="009172B6" w:rsidRDefault="00977EF2" w:rsidP="00F22225">
            <w:pPr>
              <w:pStyle w:val="Tablesmalltext"/>
              <w:numPr>
                <w:ilvl w:val="0"/>
                <w:numId w:val="36"/>
              </w:numPr>
              <w:ind w:left="199" w:hanging="222"/>
            </w:pPr>
            <w:r w:rsidRPr="009172B6">
              <w:t>groundwater salinity in top 1 m of vertical profile</w:t>
            </w:r>
          </w:p>
          <w:p w14:paraId="7CA960B3" w14:textId="77777777" w:rsidR="00977EF2" w:rsidRPr="009172B6" w:rsidRDefault="00977EF2" w:rsidP="00F22225">
            <w:pPr>
              <w:pStyle w:val="Tablesmalltext"/>
              <w:numPr>
                <w:ilvl w:val="0"/>
                <w:numId w:val="36"/>
              </w:numPr>
              <w:ind w:left="199" w:hanging="222"/>
            </w:pPr>
            <w:r w:rsidRPr="009172B6">
              <w:t>Black Box crown extent / density</w:t>
            </w:r>
          </w:p>
          <w:p w14:paraId="08EF9F9A" w14:textId="0A7289B0" w:rsidR="00977EF2" w:rsidRPr="009172B6" w:rsidRDefault="00977EF2" w:rsidP="00F22225">
            <w:pPr>
              <w:pStyle w:val="Tablesmalltext"/>
              <w:numPr>
                <w:ilvl w:val="0"/>
                <w:numId w:val="36"/>
              </w:numPr>
              <w:ind w:left="199" w:hanging="222"/>
            </w:pPr>
            <w:r w:rsidRPr="009172B6">
              <w:t>seed</w:t>
            </w:r>
            <w:r w:rsidR="006C13EC" w:rsidRPr="009172B6">
              <w:t>ling</w:t>
            </w:r>
            <w:r w:rsidRPr="009172B6">
              <w:t xml:space="preserve"> </w:t>
            </w:r>
            <w:r w:rsidR="006C13EC" w:rsidRPr="009172B6">
              <w:t>survival</w:t>
            </w:r>
          </w:p>
          <w:p w14:paraId="6BCA9210" w14:textId="6A9DF9C1" w:rsidR="00977EF2" w:rsidRPr="009172B6" w:rsidRDefault="00977EF2" w:rsidP="00F22225">
            <w:pPr>
              <w:pStyle w:val="Tablesmalltext"/>
              <w:numPr>
                <w:ilvl w:val="0"/>
                <w:numId w:val="36"/>
              </w:numPr>
              <w:ind w:left="199" w:hanging="222"/>
            </w:pPr>
            <w:r w:rsidRPr="009172B6">
              <w:t xml:space="preserve">rate of recruitment </w:t>
            </w:r>
          </w:p>
          <w:p w14:paraId="555255B7" w14:textId="507E2EFE" w:rsidR="00977EF2" w:rsidRPr="009172B6" w:rsidRDefault="00977EF2" w:rsidP="00F22225">
            <w:pPr>
              <w:pStyle w:val="Tablesmalltext"/>
              <w:numPr>
                <w:ilvl w:val="0"/>
                <w:numId w:val="36"/>
              </w:numPr>
              <w:ind w:left="199" w:hanging="222"/>
            </w:pPr>
            <w:r w:rsidRPr="009172B6">
              <w:t xml:space="preserve">percentage of remaining viable trees within responsive condition classes </w:t>
            </w:r>
          </w:p>
          <w:p w14:paraId="52AF2884" w14:textId="77777777" w:rsidR="00977EF2" w:rsidRPr="009172B6" w:rsidRDefault="00977EF2" w:rsidP="00F22225">
            <w:pPr>
              <w:pStyle w:val="Tablesmalltext"/>
              <w:numPr>
                <w:ilvl w:val="0"/>
                <w:numId w:val="36"/>
              </w:numPr>
              <w:ind w:left="199" w:hanging="222"/>
            </w:pPr>
            <w:r w:rsidRPr="009172B6">
              <w:t xml:space="preserve">trajectory of change of condition data or understorey composition as a surrogate (improving, worsening, stable) </w:t>
            </w:r>
          </w:p>
        </w:tc>
        <w:tc>
          <w:tcPr>
            <w:tcW w:w="1683" w:type="pct"/>
          </w:tcPr>
          <w:p w14:paraId="24B24465" w14:textId="77777777" w:rsidR="00977EF2" w:rsidRPr="009172B6" w:rsidRDefault="00977EF2" w:rsidP="00F22225">
            <w:pPr>
              <w:pStyle w:val="Tablesmalltext"/>
              <w:numPr>
                <w:ilvl w:val="0"/>
                <w:numId w:val="36"/>
              </w:numPr>
              <w:ind w:left="199" w:hanging="222"/>
            </w:pPr>
            <w:r w:rsidRPr="009172B6">
              <w:t>groundwater salinity in top 1 m of vertical profile</w:t>
            </w:r>
          </w:p>
          <w:p w14:paraId="65F69481" w14:textId="77777777" w:rsidR="00977EF2" w:rsidRPr="009172B6" w:rsidRDefault="00977EF2" w:rsidP="00F22225">
            <w:pPr>
              <w:pStyle w:val="Tablesmalltext"/>
              <w:numPr>
                <w:ilvl w:val="0"/>
                <w:numId w:val="36"/>
              </w:numPr>
              <w:ind w:left="199" w:hanging="222"/>
            </w:pPr>
            <w:r w:rsidRPr="009172B6">
              <w:t>Black Box crown extent / density</w:t>
            </w:r>
          </w:p>
          <w:p w14:paraId="1C83C26D" w14:textId="77777777" w:rsidR="00977EF2" w:rsidRPr="009172B6" w:rsidRDefault="00977EF2" w:rsidP="00F22225">
            <w:pPr>
              <w:pStyle w:val="Tablesmalltext"/>
              <w:numPr>
                <w:ilvl w:val="0"/>
                <w:numId w:val="36"/>
              </w:numPr>
              <w:ind w:left="199" w:hanging="222"/>
            </w:pPr>
            <w:r w:rsidRPr="009172B6">
              <w:t>Black Box age class diversity</w:t>
            </w:r>
          </w:p>
          <w:p w14:paraId="05C681BB" w14:textId="13DDAFDA" w:rsidR="00977EF2" w:rsidRPr="009172B6" w:rsidRDefault="00977EF2" w:rsidP="00F22225">
            <w:pPr>
              <w:pStyle w:val="Tablesmalltext"/>
              <w:numPr>
                <w:ilvl w:val="0"/>
                <w:numId w:val="36"/>
              </w:numPr>
              <w:ind w:left="199" w:hanging="222"/>
            </w:pPr>
            <w:r w:rsidRPr="009172B6">
              <w:t xml:space="preserve">percentage of remaining viable trees within responsive condition classes </w:t>
            </w:r>
          </w:p>
          <w:p w14:paraId="2B6B83E7" w14:textId="77777777" w:rsidR="00977EF2" w:rsidRPr="009172B6" w:rsidRDefault="00977EF2" w:rsidP="00F22225">
            <w:pPr>
              <w:pStyle w:val="Tablesmalltext"/>
              <w:numPr>
                <w:ilvl w:val="0"/>
                <w:numId w:val="36"/>
              </w:numPr>
              <w:ind w:left="199" w:hanging="222"/>
            </w:pPr>
            <w:r w:rsidRPr="009172B6">
              <w:t>trajectory of change of condition data (improving, worsening, stable)</w:t>
            </w:r>
          </w:p>
        </w:tc>
      </w:tr>
      <w:tr w:rsidR="00977EF2" w:rsidRPr="009172B6" w14:paraId="037C3C66" w14:textId="77777777" w:rsidTr="006A4BAA">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PrEx>
        <w:tc>
          <w:tcPr>
            <w:tcW w:w="539" w:type="pct"/>
            <w:gridSpan w:val="2"/>
          </w:tcPr>
          <w:p w14:paraId="3ABFFF52" w14:textId="77777777" w:rsidR="00977EF2" w:rsidRPr="009172B6" w:rsidRDefault="00977EF2" w:rsidP="006A4BAA">
            <w:pPr>
              <w:pStyle w:val="Tablesmalltext"/>
            </w:pPr>
            <w:r w:rsidRPr="009172B6">
              <w:t xml:space="preserve">groundwater depth </w:t>
            </w:r>
          </w:p>
        </w:tc>
        <w:tc>
          <w:tcPr>
            <w:tcW w:w="1094" w:type="pct"/>
          </w:tcPr>
          <w:p w14:paraId="72B2D191" w14:textId="77777777" w:rsidR="00977EF2" w:rsidRPr="009172B6" w:rsidRDefault="00977EF2" w:rsidP="00F22225">
            <w:pPr>
              <w:pStyle w:val="Tablesmalltext"/>
              <w:numPr>
                <w:ilvl w:val="0"/>
                <w:numId w:val="36"/>
              </w:numPr>
              <w:ind w:left="199" w:hanging="222"/>
            </w:pPr>
            <w:r w:rsidRPr="009172B6">
              <w:t>depth to groundwater</w:t>
            </w:r>
          </w:p>
        </w:tc>
        <w:tc>
          <w:tcPr>
            <w:tcW w:w="1683" w:type="pct"/>
          </w:tcPr>
          <w:p w14:paraId="511E8D47" w14:textId="77777777" w:rsidR="00977EF2" w:rsidRPr="009172B6" w:rsidRDefault="00977EF2" w:rsidP="00F22225">
            <w:pPr>
              <w:pStyle w:val="Tablesmalltext"/>
              <w:numPr>
                <w:ilvl w:val="0"/>
                <w:numId w:val="36"/>
              </w:numPr>
              <w:ind w:left="199" w:hanging="222"/>
            </w:pPr>
            <w:r w:rsidRPr="009172B6">
              <w:t>depth to groundwater</w:t>
            </w:r>
          </w:p>
          <w:p w14:paraId="1C1EC253" w14:textId="25E31CA3" w:rsidR="00977EF2" w:rsidRPr="009172B6" w:rsidRDefault="00977EF2" w:rsidP="00F22225">
            <w:pPr>
              <w:pStyle w:val="Tablesmalltext"/>
              <w:numPr>
                <w:ilvl w:val="0"/>
                <w:numId w:val="36"/>
              </w:numPr>
              <w:ind w:left="199" w:hanging="222"/>
            </w:pPr>
            <w:r w:rsidRPr="009172B6">
              <w:t>Black Box conditi</w:t>
            </w:r>
            <w:r w:rsidR="006C13EC" w:rsidRPr="009172B6">
              <w:t>on class</w:t>
            </w:r>
          </w:p>
        </w:tc>
        <w:tc>
          <w:tcPr>
            <w:tcW w:w="1683" w:type="pct"/>
          </w:tcPr>
          <w:p w14:paraId="6311A259" w14:textId="77777777" w:rsidR="00977EF2" w:rsidRPr="009172B6" w:rsidRDefault="00977EF2" w:rsidP="00F22225">
            <w:pPr>
              <w:pStyle w:val="Tablesmalltext"/>
              <w:numPr>
                <w:ilvl w:val="0"/>
                <w:numId w:val="36"/>
              </w:numPr>
              <w:ind w:left="199" w:hanging="222"/>
            </w:pPr>
            <w:r w:rsidRPr="009172B6">
              <w:t>depth to groundwater</w:t>
            </w:r>
          </w:p>
          <w:p w14:paraId="368E1303" w14:textId="326954CE" w:rsidR="00977EF2" w:rsidRPr="009172B6" w:rsidRDefault="006C13EC" w:rsidP="00F22225">
            <w:pPr>
              <w:pStyle w:val="Tablesmalltext"/>
              <w:numPr>
                <w:ilvl w:val="0"/>
                <w:numId w:val="36"/>
              </w:numPr>
              <w:ind w:left="199" w:hanging="222"/>
            </w:pPr>
            <w:r w:rsidRPr="009172B6">
              <w:t xml:space="preserve">Black Box condition class </w:t>
            </w:r>
          </w:p>
        </w:tc>
      </w:tr>
      <w:tr w:rsidR="00977EF2" w:rsidRPr="009172B6" w14:paraId="3BBA1369" w14:textId="77777777" w:rsidTr="006A4BAA">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PrEx>
        <w:tc>
          <w:tcPr>
            <w:tcW w:w="539" w:type="pct"/>
            <w:gridSpan w:val="2"/>
          </w:tcPr>
          <w:p w14:paraId="5025D485" w14:textId="77777777" w:rsidR="00977EF2" w:rsidRPr="009172B6" w:rsidRDefault="00977EF2" w:rsidP="006A4BAA">
            <w:pPr>
              <w:pStyle w:val="Tablesmalltext"/>
            </w:pPr>
            <w:r w:rsidRPr="009172B6">
              <w:t xml:space="preserve">soil salinity </w:t>
            </w:r>
            <w:r w:rsidRPr="009172B6">
              <w:br/>
              <w:t xml:space="preserve">(unsaturated zone) </w:t>
            </w:r>
          </w:p>
        </w:tc>
        <w:tc>
          <w:tcPr>
            <w:tcW w:w="1094" w:type="pct"/>
          </w:tcPr>
          <w:p w14:paraId="5656C663" w14:textId="77777777" w:rsidR="00977EF2" w:rsidRPr="009172B6" w:rsidRDefault="00977EF2" w:rsidP="00F22225">
            <w:pPr>
              <w:pStyle w:val="Tablesmalltext"/>
              <w:numPr>
                <w:ilvl w:val="0"/>
                <w:numId w:val="36"/>
              </w:numPr>
              <w:ind w:left="199" w:hanging="222"/>
            </w:pPr>
            <w:r w:rsidRPr="009172B6">
              <w:t>soil salinity in unsaturated zone immediately above saturated zone</w:t>
            </w:r>
          </w:p>
        </w:tc>
        <w:tc>
          <w:tcPr>
            <w:tcW w:w="1683" w:type="pct"/>
          </w:tcPr>
          <w:p w14:paraId="5A059629" w14:textId="0DE72394" w:rsidR="00977EF2" w:rsidRPr="009172B6" w:rsidRDefault="00977EF2" w:rsidP="00F22225">
            <w:pPr>
              <w:pStyle w:val="Tablesmalltext"/>
              <w:numPr>
                <w:ilvl w:val="0"/>
                <w:numId w:val="36"/>
              </w:numPr>
              <w:ind w:left="199" w:hanging="222"/>
            </w:pPr>
            <w:r w:rsidRPr="009172B6">
              <w:t xml:space="preserve">soil salinity in unsaturated zone </w:t>
            </w:r>
          </w:p>
          <w:p w14:paraId="235E86B3" w14:textId="77777777" w:rsidR="00977EF2" w:rsidRPr="009172B6" w:rsidRDefault="00977EF2" w:rsidP="00F22225">
            <w:pPr>
              <w:pStyle w:val="Tablesmalltext"/>
              <w:numPr>
                <w:ilvl w:val="0"/>
                <w:numId w:val="36"/>
              </w:numPr>
              <w:ind w:left="199" w:hanging="222"/>
            </w:pPr>
            <w:r w:rsidRPr="009172B6">
              <w:t>Black Box crown extent / density</w:t>
            </w:r>
          </w:p>
          <w:p w14:paraId="7C6258C4" w14:textId="38E2CFF8" w:rsidR="00977EF2" w:rsidRPr="009172B6" w:rsidRDefault="006C13EC" w:rsidP="00F22225">
            <w:pPr>
              <w:pStyle w:val="Tablesmalltext"/>
              <w:numPr>
                <w:ilvl w:val="0"/>
                <w:numId w:val="36"/>
              </w:numPr>
              <w:ind w:left="199" w:hanging="222"/>
            </w:pPr>
            <w:r w:rsidRPr="009172B6">
              <w:t>seedling survival</w:t>
            </w:r>
          </w:p>
          <w:p w14:paraId="63F44BF1" w14:textId="361B70EB" w:rsidR="00977EF2" w:rsidRPr="009172B6" w:rsidRDefault="006C13EC" w:rsidP="00F22225">
            <w:pPr>
              <w:pStyle w:val="Tablesmalltext"/>
              <w:numPr>
                <w:ilvl w:val="0"/>
                <w:numId w:val="36"/>
              </w:numPr>
              <w:ind w:left="199" w:hanging="222"/>
            </w:pPr>
            <w:r w:rsidRPr="009172B6">
              <w:t>rate of recruitment</w:t>
            </w:r>
          </w:p>
          <w:p w14:paraId="2E123664" w14:textId="76A3F21B" w:rsidR="00977EF2" w:rsidRPr="009172B6" w:rsidRDefault="00977EF2" w:rsidP="00F22225">
            <w:pPr>
              <w:pStyle w:val="Tablesmalltext"/>
              <w:numPr>
                <w:ilvl w:val="0"/>
                <w:numId w:val="36"/>
              </w:numPr>
              <w:ind w:left="199" w:hanging="222"/>
            </w:pPr>
            <w:r w:rsidRPr="009172B6">
              <w:t>percentage of remaining viable trees with</w:t>
            </w:r>
            <w:r w:rsidR="006C13EC" w:rsidRPr="009172B6">
              <w:t>in responsive condition classes</w:t>
            </w:r>
          </w:p>
          <w:p w14:paraId="0BBD6C01" w14:textId="77777777" w:rsidR="00977EF2" w:rsidRPr="009172B6" w:rsidRDefault="00977EF2" w:rsidP="00F22225">
            <w:pPr>
              <w:pStyle w:val="Tablesmalltext"/>
              <w:numPr>
                <w:ilvl w:val="0"/>
                <w:numId w:val="36"/>
              </w:numPr>
              <w:ind w:left="199" w:hanging="222"/>
            </w:pPr>
            <w:r w:rsidRPr="009172B6">
              <w:t>trajectory of change of condition data or understorey composition as a surrogate (improving, worsening, stable)</w:t>
            </w:r>
          </w:p>
        </w:tc>
        <w:tc>
          <w:tcPr>
            <w:tcW w:w="1683" w:type="pct"/>
          </w:tcPr>
          <w:p w14:paraId="7CE51563" w14:textId="5AD24222" w:rsidR="00977EF2" w:rsidRPr="009172B6" w:rsidRDefault="00977EF2" w:rsidP="00F22225">
            <w:pPr>
              <w:pStyle w:val="Tablesmalltext"/>
              <w:numPr>
                <w:ilvl w:val="0"/>
                <w:numId w:val="36"/>
              </w:numPr>
              <w:ind w:left="199" w:hanging="222"/>
            </w:pPr>
            <w:r w:rsidRPr="009172B6">
              <w:t>so</w:t>
            </w:r>
            <w:r w:rsidR="006C13EC" w:rsidRPr="009172B6">
              <w:t>il salinity in unsaturated zone</w:t>
            </w:r>
          </w:p>
          <w:p w14:paraId="7B726B8D" w14:textId="77777777" w:rsidR="00977EF2" w:rsidRPr="009172B6" w:rsidRDefault="00977EF2" w:rsidP="00F22225">
            <w:pPr>
              <w:pStyle w:val="Tablesmalltext"/>
              <w:numPr>
                <w:ilvl w:val="0"/>
                <w:numId w:val="36"/>
              </w:numPr>
              <w:ind w:left="199" w:hanging="222"/>
            </w:pPr>
            <w:r w:rsidRPr="009172B6">
              <w:t>Black Box crown extent / density</w:t>
            </w:r>
          </w:p>
          <w:p w14:paraId="64321001" w14:textId="77777777" w:rsidR="006C13EC" w:rsidRPr="009172B6" w:rsidRDefault="006C13EC" w:rsidP="00F22225">
            <w:pPr>
              <w:pStyle w:val="Tablesmalltext"/>
              <w:numPr>
                <w:ilvl w:val="0"/>
                <w:numId w:val="36"/>
              </w:numPr>
              <w:ind w:left="199" w:hanging="222"/>
            </w:pPr>
            <w:r w:rsidRPr="009172B6">
              <w:t>Black Box age class diversity</w:t>
            </w:r>
          </w:p>
          <w:p w14:paraId="69C277F4" w14:textId="6F9CD632" w:rsidR="00977EF2" w:rsidRPr="009172B6" w:rsidRDefault="00977EF2" w:rsidP="00F22225">
            <w:pPr>
              <w:pStyle w:val="Tablesmalltext"/>
              <w:numPr>
                <w:ilvl w:val="0"/>
                <w:numId w:val="36"/>
              </w:numPr>
              <w:ind w:left="199" w:hanging="222"/>
            </w:pPr>
            <w:r w:rsidRPr="009172B6">
              <w:t>percentage of remaining viable trees within responsive condition classes</w:t>
            </w:r>
          </w:p>
          <w:p w14:paraId="6480C95E" w14:textId="77777777" w:rsidR="00977EF2" w:rsidRPr="009172B6" w:rsidRDefault="00977EF2" w:rsidP="00F22225">
            <w:pPr>
              <w:pStyle w:val="Tablesmalltext"/>
              <w:numPr>
                <w:ilvl w:val="0"/>
                <w:numId w:val="36"/>
              </w:numPr>
              <w:ind w:left="199" w:hanging="222"/>
            </w:pPr>
            <w:r w:rsidRPr="009172B6">
              <w:t>trajectory of change of condition data (improving, worsening, stable)</w:t>
            </w:r>
          </w:p>
        </w:tc>
      </w:tr>
      <w:tr w:rsidR="00977EF2" w:rsidRPr="009172B6" w14:paraId="33444DFE" w14:textId="77777777" w:rsidTr="006A4BAA">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PrEx>
        <w:tc>
          <w:tcPr>
            <w:tcW w:w="539" w:type="pct"/>
            <w:gridSpan w:val="2"/>
          </w:tcPr>
          <w:p w14:paraId="6C876B13" w14:textId="77777777" w:rsidR="00977EF2" w:rsidRPr="009172B6" w:rsidRDefault="00977EF2" w:rsidP="006A4BAA">
            <w:pPr>
              <w:pStyle w:val="Tablesmalltext"/>
            </w:pPr>
            <w:r w:rsidRPr="009172B6">
              <w:t>Soil water availability (unsaturated zone)</w:t>
            </w:r>
          </w:p>
        </w:tc>
        <w:tc>
          <w:tcPr>
            <w:tcW w:w="1094" w:type="pct"/>
          </w:tcPr>
          <w:p w14:paraId="6ED22237" w14:textId="77777777" w:rsidR="00977EF2" w:rsidRPr="009172B6" w:rsidRDefault="00977EF2" w:rsidP="00F22225">
            <w:pPr>
              <w:pStyle w:val="Tablesmalltext"/>
              <w:numPr>
                <w:ilvl w:val="0"/>
                <w:numId w:val="36"/>
              </w:numPr>
              <w:ind w:left="199" w:hanging="222"/>
            </w:pPr>
            <w:r w:rsidRPr="009172B6">
              <w:t>soil water potential at soil depth 20-50cm, should be &gt; -1.5 MPa</w:t>
            </w:r>
          </w:p>
          <w:p w14:paraId="2223A021" w14:textId="59124EDE" w:rsidR="006C13EC" w:rsidRPr="009172B6" w:rsidRDefault="006C13EC" w:rsidP="00F22225">
            <w:pPr>
              <w:pStyle w:val="Tablesmalltext"/>
              <w:numPr>
                <w:ilvl w:val="0"/>
                <w:numId w:val="36"/>
              </w:numPr>
              <w:ind w:left="199" w:hanging="222"/>
            </w:pPr>
            <w:r w:rsidRPr="009172B6">
              <w:t xml:space="preserve">soil salinity in unsaturated zone </w:t>
            </w:r>
          </w:p>
        </w:tc>
        <w:tc>
          <w:tcPr>
            <w:tcW w:w="1683" w:type="pct"/>
          </w:tcPr>
          <w:p w14:paraId="4BC2DEF0" w14:textId="77777777" w:rsidR="00977EF2" w:rsidRPr="009172B6" w:rsidRDefault="00977EF2" w:rsidP="00F22225">
            <w:pPr>
              <w:pStyle w:val="Tablesmalltext"/>
              <w:numPr>
                <w:ilvl w:val="0"/>
                <w:numId w:val="36"/>
              </w:numPr>
              <w:ind w:left="199" w:hanging="222"/>
            </w:pPr>
            <w:r w:rsidRPr="009172B6">
              <w:t>soil water potential at soil depth 20-50cm, should be &gt; -1.5 MPa</w:t>
            </w:r>
          </w:p>
          <w:p w14:paraId="782732A1" w14:textId="77777777" w:rsidR="006C13EC" w:rsidRPr="009172B6" w:rsidRDefault="006C13EC" w:rsidP="00F22225">
            <w:pPr>
              <w:pStyle w:val="Tablesmalltext"/>
              <w:numPr>
                <w:ilvl w:val="0"/>
                <w:numId w:val="36"/>
              </w:numPr>
              <w:ind w:left="199" w:hanging="222"/>
            </w:pPr>
            <w:r w:rsidRPr="009172B6">
              <w:t xml:space="preserve">soil salinity in unsaturated zone </w:t>
            </w:r>
          </w:p>
          <w:p w14:paraId="0DEF8BEF" w14:textId="77777777" w:rsidR="00977EF2" w:rsidRPr="009172B6" w:rsidRDefault="00977EF2" w:rsidP="00F22225">
            <w:pPr>
              <w:pStyle w:val="Tablesmalltext"/>
              <w:numPr>
                <w:ilvl w:val="0"/>
                <w:numId w:val="36"/>
              </w:numPr>
              <w:ind w:left="199" w:hanging="222"/>
            </w:pPr>
            <w:r w:rsidRPr="009172B6">
              <w:t>Black Box crown extent / density</w:t>
            </w:r>
          </w:p>
          <w:p w14:paraId="39D81522" w14:textId="007782C6" w:rsidR="00977EF2" w:rsidRPr="009172B6" w:rsidRDefault="006C13EC" w:rsidP="00F22225">
            <w:pPr>
              <w:pStyle w:val="Tablesmalltext"/>
              <w:numPr>
                <w:ilvl w:val="0"/>
                <w:numId w:val="36"/>
              </w:numPr>
              <w:ind w:left="199" w:hanging="222"/>
            </w:pPr>
            <w:r w:rsidRPr="009172B6">
              <w:t>s</w:t>
            </w:r>
            <w:r w:rsidR="00977EF2" w:rsidRPr="009172B6">
              <w:t>eed</w:t>
            </w:r>
            <w:r w:rsidRPr="009172B6">
              <w:t>ling survival</w:t>
            </w:r>
          </w:p>
          <w:p w14:paraId="31AF93DE" w14:textId="03E09FB4" w:rsidR="00977EF2" w:rsidRPr="009172B6" w:rsidRDefault="00977EF2" w:rsidP="00F22225">
            <w:pPr>
              <w:pStyle w:val="Tablesmalltext"/>
              <w:numPr>
                <w:ilvl w:val="0"/>
                <w:numId w:val="36"/>
              </w:numPr>
              <w:ind w:left="199" w:hanging="222"/>
            </w:pPr>
            <w:r w:rsidRPr="009172B6">
              <w:t xml:space="preserve">rate of recruitment </w:t>
            </w:r>
          </w:p>
          <w:p w14:paraId="37C86F4F" w14:textId="5B5B7197" w:rsidR="00977EF2" w:rsidRPr="009172B6" w:rsidRDefault="00977EF2" w:rsidP="00F22225">
            <w:pPr>
              <w:pStyle w:val="Tablesmalltext"/>
              <w:numPr>
                <w:ilvl w:val="0"/>
                <w:numId w:val="36"/>
              </w:numPr>
              <w:ind w:left="199" w:hanging="222"/>
            </w:pPr>
            <w:r w:rsidRPr="009172B6">
              <w:t xml:space="preserve">percentage of remaining viable trees within responsive condition classes </w:t>
            </w:r>
          </w:p>
          <w:p w14:paraId="1F63045D" w14:textId="77777777" w:rsidR="00977EF2" w:rsidRPr="009172B6" w:rsidRDefault="00977EF2" w:rsidP="00F22225">
            <w:pPr>
              <w:pStyle w:val="Tablesmalltext"/>
              <w:numPr>
                <w:ilvl w:val="0"/>
                <w:numId w:val="36"/>
              </w:numPr>
              <w:ind w:left="199" w:hanging="222"/>
            </w:pPr>
            <w:r w:rsidRPr="009172B6">
              <w:t>trajectory of change of condition data or understorey composition as a surrogate (improving, worsening, stable)</w:t>
            </w:r>
          </w:p>
        </w:tc>
        <w:tc>
          <w:tcPr>
            <w:tcW w:w="1683" w:type="pct"/>
          </w:tcPr>
          <w:p w14:paraId="47B3A1A1" w14:textId="77777777" w:rsidR="006C13EC" w:rsidRPr="009172B6" w:rsidRDefault="006C13EC" w:rsidP="00F22225">
            <w:pPr>
              <w:pStyle w:val="Tablesmalltext"/>
              <w:numPr>
                <w:ilvl w:val="0"/>
                <w:numId w:val="36"/>
              </w:numPr>
              <w:ind w:left="199" w:hanging="222"/>
            </w:pPr>
            <w:r w:rsidRPr="009172B6">
              <w:t>soil salinity in unsaturated zone</w:t>
            </w:r>
          </w:p>
          <w:p w14:paraId="272BC306" w14:textId="77777777" w:rsidR="00977EF2" w:rsidRPr="009172B6" w:rsidRDefault="00977EF2" w:rsidP="00F22225">
            <w:pPr>
              <w:pStyle w:val="Tablesmalltext"/>
              <w:numPr>
                <w:ilvl w:val="0"/>
                <w:numId w:val="36"/>
              </w:numPr>
              <w:ind w:left="199" w:hanging="222"/>
            </w:pPr>
            <w:r w:rsidRPr="009172B6">
              <w:t>Black Box crown extent / density</w:t>
            </w:r>
          </w:p>
          <w:p w14:paraId="30D073BC" w14:textId="77777777" w:rsidR="00977EF2" w:rsidRPr="009172B6" w:rsidRDefault="00977EF2" w:rsidP="00F22225">
            <w:pPr>
              <w:pStyle w:val="Tablesmalltext"/>
              <w:numPr>
                <w:ilvl w:val="0"/>
                <w:numId w:val="36"/>
              </w:numPr>
              <w:ind w:left="199" w:hanging="222"/>
            </w:pPr>
            <w:r w:rsidRPr="009172B6">
              <w:t>Black Box age class diversity</w:t>
            </w:r>
          </w:p>
          <w:p w14:paraId="47F4C26C" w14:textId="514C7F1E" w:rsidR="00977EF2" w:rsidRPr="009172B6" w:rsidRDefault="00977EF2" w:rsidP="00F22225">
            <w:pPr>
              <w:pStyle w:val="Tablesmalltext"/>
              <w:numPr>
                <w:ilvl w:val="0"/>
                <w:numId w:val="36"/>
              </w:numPr>
              <w:ind w:left="199" w:hanging="222"/>
            </w:pPr>
            <w:r w:rsidRPr="009172B6">
              <w:t xml:space="preserve">percentage of remaining viable trees within responsive condition classes </w:t>
            </w:r>
          </w:p>
          <w:p w14:paraId="13D37BE2" w14:textId="77777777" w:rsidR="00977EF2" w:rsidRPr="009172B6" w:rsidRDefault="00977EF2" w:rsidP="00F22225">
            <w:pPr>
              <w:pStyle w:val="Tablesmalltext"/>
              <w:numPr>
                <w:ilvl w:val="0"/>
                <w:numId w:val="36"/>
              </w:numPr>
              <w:ind w:left="199" w:hanging="222"/>
            </w:pPr>
            <w:r w:rsidRPr="009172B6">
              <w:t>trajectory of change of condition data (improving, worsening, stable)</w:t>
            </w:r>
          </w:p>
        </w:tc>
      </w:tr>
    </w:tbl>
    <w:p w14:paraId="5E70C849" w14:textId="197C0F45" w:rsidR="00977EF2" w:rsidRPr="009172B6" w:rsidRDefault="00977EF2" w:rsidP="00977EF2">
      <w:pPr>
        <w:spacing w:before="80" w:after="80" w:line="256" w:lineRule="auto"/>
        <w:rPr>
          <w:rFonts w:cs="Arial"/>
          <w:sz w:val="14"/>
          <w:szCs w:val="14"/>
        </w:rPr>
      </w:pPr>
      <w:r w:rsidRPr="009172B6">
        <w:rPr>
          <w:rFonts w:cs="Arial"/>
          <w:sz w:val="14"/>
          <w:szCs w:val="14"/>
        </w:rPr>
        <w:t>1</w:t>
      </w:r>
      <w:r w:rsidR="00B92EF8" w:rsidRPr="009172B6">
        <w:rPr>
          <w:rFonts w:cs="Arial"/>
          <w:sz w:val="14"/>
          <w:szCs w:val="14"/>
        </w:rPr>
        <w:t>:</w:t>
      </w:r>
      <w:r w:rsidRPr="009172B6">
        <w:rPr>
          <w:rFonts w:cs="Arial"/>
          <w:sz w:val="14"/>
          <w:szCs w:val="14"/>
        </w:rPr>
        <w:t xml:space="preserve">  Short term is classed as 1-5 years, Medium 5-10 years, Long term 10</w:t>
      </w:r>
      <w:r w:rsidR="00B92EF8" w:rsidRPr="009172B6">
        <w:rPr>
          <w:rFonts w:cs="Arial"/>
          <w:sz w:val="14"/>
          <w:szCs w:val="14"/>
        </w:rPr>
        <w:t>+</w:t>
      </w:r>
      <w:r w:rsidRPr="009172B6">
        <w:rPr>
          <w:rFonts w:cs="Arial"/>
          <w:sz w:val="14"/>
          <w:szCs w:val="14"/>
        </w:rPr>
        <w:t xml:space="preserve"> yea</w:t>
      </w:r>
      <w:r w:rsidR="00B92EF8" w:rsidRPr="009172B6">
        <w:rPr>
          <w:rFonts w:cs="Arial"/>
          <w:sz w:val="14"/>
          <w:szCs w:val="14"/>
        </w:rPr>
        <w:t>rs</w:t>
      </w:r>
    </w:p>
    <w:p w14:paraId="72F99932" w14:textId="37E7E41A" w:rsidR="00241EF6" w:rsidRDefault="00BF64D8" w:rsidP="00977EF2">
      <w:pPr>
        <w:pStyle w:val="Para0"/>
      </w:pPr>
      <w:r w:rsidRPr="009172B6">
        <w:t>The definition of objectives, targets, and by association, monitoring is supported by published literature. A literature review of the tree health trends, water needs and salinity thresholds (including requirements for sustaining Black Box tree regeneration and recruitment) is provided in AWE 2015.</w:t>
      </w:r>
    </w:p>
    <w:p w14:paraId="56269A8D" w14:textId="77777777" w:rsidR="00241EF6" w:rsidRDefault="00241EF6">
      <w:pPr>
        <w:spacing w:after="0" w:line="240" w:lineRule="auto"/>
      </w:pPr>
      <w:r>
        <w:br w:type="page"/>
      </w:r>
    </w:p>
    <w:p w14:paraId="0B113647" w14:textId="0E0D4AE8" w:rsidR="00A55BAC" w:rsidRDefault="00241EF6" w:rsidP="00977EF2">
      <w:pPr>
        <w:pStyle w:val="CommentText"/>
        <w:rPr>
          <w:color w:val="65876D" w:themeColor="accent4" w:themeShade="BF"/>
          <w:highlight w:val="yellow"/>
        </w:rPr>
      </w:pPr>
      <w:r w:rsidRPr="00DF4A1A">
        <w:rPr>
          <w:noProof/>
          <w:highlight w:val="yellow"/>
          <w:lang w:eastAsia="en-AU"/>
        </w:rPr>
        <mc:AlternateContent>
          <mc:Choice Requires="wps">
            <w:drawing>
              <wp:anchor distT="0" distB="0" distL="114300" distR="114300" simplePos="0" relativeHeight="251594752" behindDoc="1" locked="0" layoutInCell="1" allowOverlap="1" wp14:anchorId="3F5F6F19" wp14:editId="4F4FA16C">
                <wp:simplePos x="0" y="0"/>
                <wp:positionH relativeFrom="column">
                  <wp:posOffset>11430</wp:posOffset>
                </wp:positionH>
                <wp:positionV relativeFrom="paragraph">
                  <wp:posOffset>40005</wp:posOffset>
                </wp:positionV>
                <wp:extent cx="6368415" cy="5722620"/>
                <wp:effectExtent l="57150" t="38100" r="70485" b="87630"/>
                <wp:wrapTight wrapText="bothSides">
                  <wp:wrapPolygon edited="0">
                    <wp:start x="-194" y="-144"/>
                    <wp:lineTo x="-129" y="21859"/>
                    <wp:lineTo x="21710" y="21859"/>
                    <wp:lineTo x="21774" y="-144"/>
                    <wp:lineTo x="-194" y="-144"/>
                  </wp:wrapPolygon>
                </wp:wrapTight>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68415" cy="5722620"/>
                        </a:xfrm>
                        <a:prstGeom prst="rect">
                          <a:avLst/>
                        </a:prstGeom>
                        <a:solidFill>
                          <a:schemeClr val="accent4">
                            <a:lumMod val="60000"/>
                            <a:lumOff val="40000"/>
                          </a:schemeClr>
                        </a:solidFill>
                        <a:ln/>
                      </wps:spPr>
                      <wps:style>
                        <a:lnRef idx="1">
                          <a:schemeClr val="accent4"/>
                        </a:lnRef>
                        <a:fillRef idx="2">
                          <a:schemeClr val="accent4"/>
                        </a:fillRef>
                        <a:effectRef idx="1">
                          <a:schemeClr val="accent4"/>
                        </a:effectRef>
                        <a:fontRef idx="minor">
                          <a:schemeClr val="dk1"/>
                        </a:fontRef>
                      </wps:style>
                      <wps:txbx>
                        <w:txbxContent>
                          <w:p w14:paraId="1F99092F" w14:textId="23EA048E" w:rsidR="00CF0933" w:rsidRDefault="00CF0933" w:rsidP="00977EF2">
                            <w:pPr>
                              <w:rPr>
                                <w:b/>
                              </w:rPr>
                            </w:pPr>
                            <w:r>
                              <w:rPr>
                                <w:b/>
                              </w:rPr>
                              <w:t xml:space="preserve">Case Study </w:t>
                            </w:r>
                            <w:r w:rsidRPr="00391D89">
                              <w:rPr>
                                <w:b/>
                              </w:rPr>
                              <w:t xml:space="preserve">Box </w:t>
                            </w:r>
                            <w:r>
                              <w:rPr>
                                <w:b/>
                              </w:rPr>
                              <w:t>5</w:t>
                            </w:r>
                            <w:r w:rsidRPr="00391D89">
                              <w:rPr>
                                <w:b/>
                              </w:rPr>
                              <w:t xml:space="preserve">: </w:t>
                            </w:r>
                            <w:r>
                              <w:rPr>
                                <w:b/>
                              </w:rPr>
                              <w:t>Setting meaningful objectives and targets</w:t>
                            </w:r>
                          </w:p>
                          <w:p w14:paraId="58B4E030" w14:textId="57946ADB" w:rsidR="00CF0933" w:rsidRPr="00F71E20" w:rsidRDefault="00CF0933" w:rsidP="00F71E20">
                            <w:pPr>
                              <w:pStyle w:val="NoSpacing"/>
                              <w:spacing w:after="120"/>
                              <w:rPr>
                                <w:rFonts w:ascii="Arial" w:eastAsiaTheme="minorEastAsia" w:hAnsi="Arial" w:cs="Arial"/>
                                <w:sz w:val="20"/>
                                <w:szCs w:val="20"/>
                                <w:lang w:val="en-GB"/>
                              </w:rPr>
                            </w:pPr>
                            <w:r w:rsidRPr="00F71E20">
                              <w:rPr>
                                <w:rFonts w:ascii="Arial" w:eastAsiaTheme="minorEastAsia" w:hAnsi="Arial" w:cs="Arial"/>
                                <w:sz w:val="20"/>
                                <w:szCs w:val="20"/>
                                <w:lang w:val="en-GB"/>
                              </w:rPr>
                              <w:t xml:space="preserve">Objectives and targets for management of Black Box on Calperum Station were developed during the project in consultation with </w:t>
                            </w:r>
                            <w:r>
                              <w:rPr>
                                <w:rFonts w:ascii="Arial" w:eastAsiaTheme="minorEastAsia" w:hAnsi="Arial" w:cs="Arial"/>
                                <w:sz w:val="20"/>
                                <w:szCs w:val="20"/>
                                <w:lang w:val="en-GB"/>
                              </w:rPr>
                              <w:t>the land manager</w:t>
                            </w:r>
                            <w:r w:rsidRPr="00F71E20">
                              <w:rPr>
                                <w:rFonts w:ascii="Arial" w:eastAsiaTheme="minorEastAsia" w:hAnsi="Arial" w:cs="Arial"/>
                                <w:sz w:val="20"/>
                                <w:szCs w:val="20"/>
                                <w:lang w:val="en-GB"/>
                              </w:rPr>
                              <w:t xml:space="preserve">, through: </w:t>
                            </w:r>
                          </w:p>
                          <w:p w14:paraId="2E097159" w14:textId="77777777" w:rsidR="00CF0933" w:rsidRPr="00F71E20" w:rsidRDefault="00CF0933" w:rsidP="00F22225">
                            <w:pPr>
                              <w:pStyle w:val="NoSpacing"/>
                              <w:numPr>
                                <w:ilvl w:val="0"/>
                                <w:numId w:val="69"/>
                              </w:numPr>
                              <w:autoSpaceDE w:val="0"/>
                              <w:autoSpaceDN w:val="0"/>
                              <w:adjustRightInd w:val="0"/>
                              <w:spacing w:before="120" w:after="120" w:line="300" w:lineRule="auto"/>
                              <w:rPr>
                                <w:rFonts w:ascii="Arial" w:eastAsiaTheme="minorEastAsia" w:hAnsi="Arial" w:cs="Arial"/>
                                <w:sz w:val="20"/>
                                <w:szCs w:val="20"/>
                                <w:lang w:val="en-GB"/>
                              </w:rPr>
                            </w:pPr>
                            <w:r w:rsidRPr="00F71E20">
                              <w:rPr>
                                <w:rFonts w:ascii="Arial" w:eastAsiaTheme="minorEastAsia" w:hAnsi="Arial" w:cs="Arial"/>
                                <w:sz w:val="20"/>
                                <w:szCs w:val="20"/>
                                <w:lang w:val="en-GB"/>
                              </w:rPr>
                              <w:t>A literature review of current objectives in management plans for Calperum station and similar sites</w:t>
                            </w:r>
                          </w:p>
                          <w:p w14:paraId="3B4E29FD" w14:textId="55F1D255" w:rsidR="00CF0933" w:rsidRPr="00F71E20" w:rsidRDefault="00CF0933" w:rsidP="00F22225">
                            <w:pPr>
                              <w:pStyle w:val="NoSpacing"/>
                              <w:numPr>
                                <w:ilvl w:val="0"/>
                                <w:numId w:val="69"/>
                              </w:numPr>
                              <w:autoSpaceDE w:val="0"/>
                              <w:autoSpaceDN w:val="0"/>
                              <w:adjustRightInd w:val="0"/>
                              <w:spacing w:after="120" w:line="300" w:lineRule="auto"/>
                              <w:rPr>
                                <w:rFonts w:ascii="Arial" w:eastAsiaTheme="minorEastAsia" w:hAnsi="Arial" w:cs="Arial"/>
                                <w:sz w:val="20"/>
                                <w:szCs w:val="20"/>
                                <w:lang w:val="en-GB"/>
                              </w:rPr>
                            </w:pPr>
                            <w:r w:rsidRPr="00F71E20">
                              <w:rPr>
                                <w:rFonts w:ascii="Arial" w:eastAsiaTheme="minorEastAsia" w:hAnsi="Arial" w:cs="Arial"/>
                                <w:sz w:val="20"/>
                                <w:szCs w:val="20"/>
                                <w:lang w:val="en-GB"/>
                              </w:rPr>
                              <w:t>Application of the SMART target methodology for developing objectives</w:t>
                            </w:r>
                          </w:p>
                          <w:p w14:paraId="503A722F" w14:textId="33415E15" w:rsidR="00CF0933" w:rsidRDefault="00CF0933" w:rsidP="00F71E20">
                            <w:pPr>
                              <w:pStyle w:val="Para0"/>
                              <w:spacing w:before="0" w:after="0"/>
                              <w:rPr>
                                <w:rFonts w:cs="Arial"/>
                                <w:szCs w:val="20"/>
                              </w:rPr>
                            </w:pPr>
                            <w:r>
                              <w:rPr>
                                <w:rFonts w:cs="Arial"/>
                                <w:szCs w:val="20"/>
                              </w:rPr>
                              <w:t xml:space="preserve">The objectives and targets are summarised below. </w:t>
                            </w:r>
                            <w:r w:rsidRPr="00B375C6">
                              <w:rPr>
                                <w:rFonts w:cs="Arial"/>
                                <w:szCs w:val="20"/>
                              </w:rPr>
                              <w:t>Management actio</w:t>
                            </w:r>
                            <w:r>
                              <w:rPr>
                                <w:rFonts w:cs="Arial"/>
                                <w:szCs w:val="20"/>
                              </w:rPr>
                              <w:t>ns, monitoring and evaluation at Calperum Station should be</w:t>
                            </w:r>
                            <w:r w:rsidRPr="00B375C6">
                              <w:rPr>
                                <w:rFonts w:cs="Arial"/>
                                <w:szCs w:val="20"/>
                              </w:rPr>
                              <w:t xml:space="preserve"> established based on the</w:t>
                            </w:r>
                            <w:r>
                              <w:rPr>
                                <w:rFonts w:cs="Arial"/>
                                <w:szCs w:val="20"/>
                              </w:rPr>
                              <w:t>se</w:t>
                            </w:r>
                            <w:r w:rsidRPr="00B375C6">
                              <w:rPr>
                                <w:rFonts w:cs="Arial"/>
                                <w:szCs w:val="20"/>
                              </w:rPr>
                              <w:t xml:space="preserve"> objectives and targets</w:t>
                            </w:r>
                            <w:r>
                              <w:rPr>
                                <w:rFonts w:cs="Arial"/>
                                <w:szCs w:val="20"/>
                              </w:rPr>
                              <w:t>, when a management plan is developed</w:t>
                            </w:r>
                            <w:r w:rsidRPr="00B375C6">
                              <w:rPr>
                                <w:rFonts w:cs="Arial"/>
                                <w:szCs w:val="20"/>
                              </w:rPr>
                              <w:t>.</w:t>
                            </w:r>
                            <w:r>
                              <w:rPr>
                                <w:rFonts w:cs="Arial"/>
                                <w:szCs w:val="20"/>
                              </w:rPr>
                              <w:t xml:space="preserve"> </w:t>
                            </w:r>
                          </w:p>
                          <w:p w14:paraId="6DC30851" w14:textId="77777777" w:rsidR="00CF0933" w:rsidRPr="00C260AB" w:rsidRDefault="00CF0933" w:rsidP="00F71E20">
                            <w:pPr>
                              <w:pStyle w:val="Para0"/>
                              <w:spacing w:before="0" w:after="0"/>
                              <w:rPr>
                                <w:rFonts w:cs="Arial"/>
                                <w:szCs w:val="20"/>
                              </w:rPr>
                            </w:pPr>
                          </w:p>
                          <w:p w14:paraId="52F214AA" w14:textId="77777777" w:rsidR="00CF0933" w:rsidRPr="00F71E20" w:rsidRDefault="00CF0933" w:rsidP="00C260AB">
                            <w:pPr>
                              <w:pStyle w:val="NoSpacing"/>
                              <w:rPr>
                                <w:rFonts w:ascii="Arial" w:eastAsiaTheme="minorEastAsia" w:hAnsi="Arial"/>
                                <w:b/>
                                <w:sz w:val="20"/>
                                <w:szCs w:val="24"/>
                                <w:lang w:val="en-GB"/>
                              </w:rPr>
                            </w:pPr>
                            <w:r w:rsidRPr="00F71E20">
                              <w:rPr>
                                <w:rFonts w:ascii="Arial" w:eastAsiaTheme="minorEastAsia" w:hAnsi="Arial"/>
                                <w:b/>
                                <w:sz w:val="20"/>
                                <w:szCs w:val="24"/>
                                <w:lang w:val="en-GB"/>
                              </w:rPr>
                              <w:t>Black Box Objectives for Calperum Station</w:t>
                            </w:r>
                          </w:p>
                          <w:p w14:paraId="2C0F901B" w14:textId="68FDE57A" w:rsidR="00CF0933" w:rsidRPr="00F71E20" w:rsidRDefault="00CF0933" w:rsidP="00F22225">
                            <w:pPr>
                              <w:pStyle w:val="NoSpacing"/>
                              <w:numPr>
                                <w:ilvl w:val="0"/>
                                <w:numId w:val="68"/>
                              </w:numPr>
                              <w:autoSpaceDE w:val="0"/>
                              <w:autoSpaceDN w:val="0"/>
                              <w:adjustRightInd w:val="0"/>
                              <w:spacing w:before="60" w:line="300" w:lineRule="auto"/>
                              <w:ind w:left="714" w:hanging="357"/>
                              <w:rPr>
                                <w:rFonts w:ascii="Arial" w:eastAsiaTheme="minorEastAsia" w:hAnsi="Arial" w:cs="Arial"/>
                                <w:sz w:val="20"/>
                                <w:szCs w:val="20"/>
                                <w:lang w:val="en-GB"/>
                              </w:rPr>
                            </w:pPr>
                            <w:r w:rsidRPr="00F71E20">
                              <w:rPr>
                                <w:rFonts w:ascii="Arial" w:eastAsiaTheme="minorEastAsia" w:hAnsi="Arial" w:cs="Arial"/>
                                <w:sz w:val="20"/>
                                <w:szCs w:val="20"/>
                                <w:lang w:val="en-GB"/>
                              </w:rPr>
                              <w:t>Maintain</w:t>
                            </w:r>
                            <w:r>
                              <w:rPr>
                                <w:rFonts w:ascii="Arial" w:eastAsiaTheme="minorEastAsia" w:hAnsi="Arial" w:cs="Arial"/>
                                <w:sz w:val="20"/>
                                <w:szCs w:val="20"/>
                                <w:lang w:val="en-GB"/>
                              </w:rPr>
                              <w:t xml:space="preserve"> </w:t>
                            </w:r>
                            <w:r w:rsidRPr="00F71E20">
                              <w:rPr>
                                <w:rFonts w:ascii="Arial" w:eastAsiaTheme="minorEastAsia" w:hAnsi="Arial" w:cs="Arial"/>
                                <w:sz w:val="20"/>
                                <w:szCs w:val="20"/>
                                <w:lang w:val="en-GB"/>
                              </w:rPr>
                              <w:t xml:space="preserve">populations of </w:t>
                            </w:r>
                            <w:r>
                              <w:rPr>
                                <w:rFonts w:ascii="Arial" w:eastAsiaTheme="minorEastAsia" w:hAnsi="Arial" w:cs="Arial"/>
                                <w:sz w:val="20"/>
                                <w:szCs w:val="20"/>
                                <w:lang w:val="en-GB"/>
                              </w:rPr>
                              <w:t>B</w:t>
                            </w:r>
                            <w:r w:rsidRPr="00F71E20">
                              <w:rPr>
                                <w:rFonts w:ascii="Arial" w:eastAsiaTheme="minorEastAsia" w:hAnsi="Arial" w:cs="Arial"/>
                                <w:sz w:val="20"/>
                                <w:szCs w:val="20"/>
                                <w:lang w:val="en-GB"/>
                              </w:rPr>
                              <w:t xml:space="preserve">lack </w:t>
                            </w:r>
                            <w:r>
                              <w:rPr>
                                <w:rFonts w:ascii="Arial" w:eastAsiaTheme="minorEastAsia" w:hAnsi="Arial" w:cs="Arial"/>
                                <w:sz w:val="20"/>
                                <w:szCs w:val="20"/>
                                <w:lang w:val="en-GB"/>
                              </w:rPr>
                              <w:t>B</w:t>
                            </w:r>
                            <w:r w:rsidRPr="00F71E20">
                              <w:rPr>
                                <w:rFonts w:ascii="Arial" w:eastAsiaTheme="minorEastAsia" w:hAnsi="Arial" w:cs="Arial"/>
                                <w:sz w:val="20"/>
                                <w:szCs w:val="20"/>
                                <w:lang w:val="en-GB"/>
                              </w:rPr>
                              <w:t xml:space="preserve">ox </w:t>
                            </w:r>
                            <w:r>
                              <w:rPr>
                                <w:rFonts w:ascii="Arial" w:eastAsiaTheme="minorEastAsia" w:hAnsi="Arial" w:cs="Arial"/>
                                <w:sz w:val="20"/>
                                <w:szCs w:val="20"/>
                                <w:lang w:val="en-GB"/>
                              </w:rPr>
                              <w:t>of medium-low vulnerability</w:t>
                            </w:r>
                            <w:r w:rsidRPr="00F71E20">
                              <w:rPr>
                                <w:rFonts w:ascii="Arial" w:eastAsiaTheme="minorEastAsia" w:hAnsi="Arial" w:cs="Arial"/>
                                <w:sz w:val="20"/>
                                <w:szCs w:val="20"/>
                                <w:lang w:val="en-GB"/>
                              </w:rPr>
                              <w:t xml:space="preserve"> within the management area</w:t>
                            </w:r>
                            <w:r>
                              <w:rPr>
                                <w:rFonts w:ascii="Arial" w:eastAsiaTheme="minorEastAsia" w:hAnsi="Arial" w:cs="Arial"/>
                                <w:sz w:val="20"/>
                                <w:szCs w:val="20"/>
                                <w:lang w:val="en-GB"/>
                              </w:rPr>
                              <w:t>, and where possible improve Black Box resistance (condition).</w:t>
                            </w:r>
                          </w:p>
                          <w:p w14:paraId="7B9B5161" w14:textId="621CFA3C" w:rsidR="00CF0933" w:rsidRDefault="00CF0933" w:rsidP="00F22225">
                            <w:pPr>
                              <w:pStyle w:val="NoSpacing"/>
                              <w:numPr>
                                <w:ilvl w:val="0"/>
                                <w:numId w:val="68"/>
                              </w:numPr>
                              <w:autoSpaceDE w:val="0"/>
                              <w:autoSpaceDN w:val="0"/>
                              <w:adjustRightInd w:val="0"/>
                              <w:spacing w:before="60" w:line="300" w:lineRule="auto"/>
                              <w:ind w:left="714" w:hanging="357"/>
                              <w:rPr>
                                <w:rFonts w:ascii="Arial" w:eastAsiaTheme="minorEastAsia" w:hAnsi="Arial" w:cs="Arial"/>
                                <w:sz w:val="20"/>
                                <w:szCs w:val="20"/>
                                <w:lang w:val="en-GB"/>
                              </w:rPr>
                            </w:pPr>
                            <w:r>
                              <w:rPr>
                                <w:rFonts w:ascii="Arial" w:eastAsiaTheme="minorEastAsia" w:hAnsi="Arial" w:cs="Arial"/>
                                <w:sz w:val="20"/>
                                <w:szCs w:val="20"/>
                                <w:lang w:val="en-GB"/>
                              </w:rPr>
                              <w:t>Improve the adaptive capacity of Black Box by targeting actions that support recruitment and transition into areas of low exposure to stressors.</w:t>
                            </w:r>
                          </w:p>
                          <w:p w14:paraId="36366563" w14:textId="0C496BBD" w:rsidR="00CF0933" w:rsidRPr="00F71E20" w:rsidRDefault="00CF0933" w:rsidP="00F22225">
                            <w:pPr>
                              <w:pStyle w:val="NoSpacing"/>
                              <w:numPr>
                                <w:ilvl w:val="0"/>
                                <w:numId w:val="68"/>
                              </w:numPr>
                              <w:autoSpaceDE w:val="0"/>
                              <w:autoSpaceDN w:val="0"/>
                              <w:adjustRightInd w:val="0"/>
                              <w:spacing w:before="60" w:line="300" w:lineRule="auto"/>
                              <w:ind w:left="714" w:hanging="357"/>
                              <w:rPr>
                                <w:rFonts w:ascii="Arial" w:eastAsiaTheme="minorEastAsia" w:hAnsi="Arial" w:cs="Arial"/>
                                <w:sz w:val="20"/>
                                <w:szCs w:val="20"/>
                                <w:lang w:val="en-GB"/>
                              </w:rPr>
                            </w:pPr>
                            <w:r>
                              <w:rPr>
                                <w:rFonts w:ascii="Arial" w:eastAsiaTheme="minorEastAsia" w:hAnsi="Arial" w:cs="Arial"/>
                                <w:sz w:val="20"/>
                                <w:szCs w:val="20"/>
                                <w:lang w:val="en-GB"/>
                              </w:rPr>
                              <w:t xml:space="preserve">Reduce the exposure of stressors from </w:t>
                            </w:r>
                            <w:r w:rsidRPr="00F71E20">
                              <w:rPr>
                                <w:rFonts w:ascii="Arial" w:eastAsiaTheme="minorEastAsia" w:hAnsi="Arial" w:cs="Arial"/>
                                <w:sz w:val="20"/>
                                <w:szCs w:val="20"/>
                                <w:lang w:val="en-GB"/>
                              </w:rPr>
                              <w:t xml:space="preserve">soil and groundwater </w:t>
                            </w:r>
                            <w:r>
                              <w:rPr>
                                <w:rFonts w:ascii="Arial" w:eastAsiaTheme="minorEastAsia" w:hAnsi="Arial" w:cs="Arial"/>
                                <w:sz w:val="20"/>
                                <w:szCs w:val="20"/>
                                <w:lang w:val="en-GB"/>
                              </w:rPr>
                              <w:t xml:space="preserve">salinity, to avoid further damage to Black Box vegetation in </w:t>
                            </w:r>
                            <w:r w:rsidRPr="00F71E20">
                              <w:rPr>
                                <w:rFonts w:ascii="Arial" w:eastAsiaTheme="minorEastAsia" w:hAnsi="Arial" w:cs="Arial"/>
                                <w:sz w:val="20"/>
                                <w:szCs w:val="20"/>
                                <w:lang w:val="en-GB"/>
                              </w:rPr>
                              <w:t>areas o</w:t>
                            </w:r>
                            <w:r>
                              <w:rPr>
                                <w:rFonts w:ascii="Arial" w:eastAsiaTheme="minorEastAsia" w:hAnsi="Arial" w:cs="Arial"/>
                                <w:sz w:val="20"/>
                                <w:szCs w:val="20"/>
                                <w:lang w:val="en-GB"/>
                              </w:rPr>
                              <w:t>f</w:t>
                            </w:r>
                            <w:r w:rsidRPr="00F71E20">
                              <w:rPr>
                                <w:rFonts w:ascii="Arial" w:eastAsiaTheme="minorEastAsia" w:hAnsi="Arial" w:cs="Arial"/>
                                <w:sz w:val="20"/>
                                <w:szCs w:val="20"/>
                                <w:lang w:val="en-GB"/>
                              </w:rPr>
                              <w:t xml:space="preserve"> </w:t>
                            </w:r>
                            <w:r>
                              <w:rPr>
                                <w:rFonts w:ascii="Arial" w:eastAsiaTheme="minorEastAsia" w:hAnsi="Arial" w:cs="Arial"/>
                                <w:sz w:val="20"/>
                                <w:szCs w:val="20"/>
                                <w:lang w:val="en-GB"/>
                              </w:rPr>
                              <w:t>medium or high vulnerability.</w:t>
                            </w:r>
                          </w:p>
                          <w:p w14:paraId="021FF949" w14:textId="77777777" w:rsidR="00CF0933" w:rsidRPr="00F71E20" w:rsidRDefault="00CF0933" w:rsidP="00F71E20">
                            <w:pPr>
                              <w:pStyle w:val="NoSpacing"/>
                              <w:autoSpaceDE w:val="0"/>
                              <w:autoSpaceDN w:val="0"/>
                              <w:adjustRightInd w:val="0"/>
                              <w:spacing w:before="60" w:line="300" w:lineRule="auto"/>
                              <w:ind w:left="714"/>
                              <w:rPr>
                                <w:rFonts w:ascii="Arial" w:eastAsiaTheme="minorEastAsia" w:hAnsi="Arial" w:cs="Arial"/>
                                <w:sz w:val="20"/>
                                <w:szCs w:val="20"/>
                                <w:lang w:val="en-GB"/>
                              </w:rPr>
                            </w:pPr>
                          </w:p>
                          <w:p w14:paraId="3079D0D6" w14:textId="77777777" w:rsidR="00CF0933" w:rsidRPr="00F71E20" w:rsidRDefault="00CF0933" w:rsidP="00241EF6">
                            <w:pPr>
                              <w:pStyle w:val="NoSpacing"/>
                              <w:rPr>
                                <w:rFonts w:ascii="Arial" w:eastAsiaTheme="minorEastAsia" w:hAnsi="Arial"/>
                                <w:b/>
                                <w:sz w:val="20"/>
                                <w:szCs w:val="24"/>
                                <w:lang w:val="en-GB"/>
                              </w:rPr>
                            </w:pPr>
                            <w:r w:rsidRPr="00F71E20">
                              <w:rPr>
                                <w:rFonts w:ascii="Arial" w:eastAsiaTheme="minorEastAsia" w:hAnsi="Arial"/>
                                <w:b/>
                                <w:sz w:val="20"/>
                                <w:szCs w:val="24"/>
                                <w:lang w:val="en-GB"/>
                              </w:rPr>
                              <w:t>SMART Targets for Black Box on Calperum Station</w:t>
                            </w:r>
                          </w:p>
                          <w:p w14:paraId="4C4D6F38" w14:textId="63AD1A03" w:rsidR="00CF0933" w:rsidRPr="00F71E20" w:rsidRDefault="00CF0933" w:rsidP="00F22225">
                            <w:pPr>
                              <w:pStyle w:val="NoSpacing"/>
                              <w:numPr>
                                <w:ilvl w:val="0"/>
                                <w:numId w:val="68"/>
                              </w:numPr>
                              <w:autoSpaceDE w:val="0"/>
                              <w:autoSpaceDN w:val="0"/>
                              <w:adjustRightInd w:val="0"/>
                              <w:spacing w:before="60" w:line="300" w:lineRule="auto"/>
                              <w:ind w:left="714" w:hanging="357"/>
                              <w:rPr>
                                <w:rFonts w:ascii="Arial" w:eastAsiaTheme="minorEastAsia" w:hAnsi="Arial" w:cs="Arial"/>
                                <w:sz w:val="20"/>
                                <w:szCs w:val="20"/>
                                <w:lang w:val="en-GB"/>
                              </w:rPr>
                            </w:pPr>
                            <w:r w:rsidRPr="00F71E20">
                              <w:rPr>
                                <w:rFonts w:ascii="Arial" w:eastAsiaTheme="minorEastAsia" w:hAnsi="Arial" w:cs="Arial"/>
                                <w:sz w:val="20"/>
                                <w:szCs w:val="20"/>
                                <w:lang w:val="en-GB"/>
                              </w:rPr>
                              <w:t xml:space="preserve">Short Term: Greater than 50% of </w:t>
                            </w:r>
                            <w:r>
                              <w:rPr>
                                <w:rFonts w:ascii="Arial" w:eastAsiaTheme="minorEastAsia" w:hAnsi="Arial" w:cs="Arial"/>
                                <w:sz w:val="20"/>
                                <w:szCs w:val="20"/>
                                <w:lang w:val="en-GB"/>
                              </w:rPr>
                              <w:t>B</w:t>
                            </w:r>
                            <w:r w:rsidRPr="00F71E20">
                              <w:rPr>
                                <w:rFonts w:ascii="Arial" w:eastAsiaTheme="minorEastAsia" w:hAnsi="Arial" w:cs="Arial"/>
                                <w:sz w:val="20"/>
                                <w:szCs w:val="20"/>
                                <w:lang w:val="en-GB"/>
                              </w:rPr>
                              <w:t xml:space="preserve">lack </w:t>
                            </w:r>
                            <w:r>
                              <w:rPr>
                                <w:rFonts w:ascii="Arial" w:eastAsiaTheme="minorEastAsia" w:hAnsi="Arial" w:cs="Arial"/>
                                <w:sz w:val="20"/>
                                <w:szCs w:val="20"/>
                                <w:lang w:val="en-GB"/>
                              </w:rPr>
                              <w:t>B</w:t>
                            </w:r>
                            <w:r w:rsidRPr="00F71E20">
                              <w:rPr>
                                <w:rFonts w:ascii="Arial" w:eastAsiaTheme="minorEastAsia" w:hAnsi="Arial" w:cs="Arial"/>
                                <w:sz w:val="20"/>
                                <w:szCs w:val="20"/>
                                <w:lang w:val="en-GB"/>
                              </w:rPr>
                              <w:t xml:space="preserve">ox recruits within the managed area </w:t>
                            </w:r>
                            <w:r>
                              <w:rPr>
                                <w:rFonts w:ascii="Arial" w:eastAsiaTheme="minorEastAsia" w:hAnsi="Arial" w:cs="Arial"/>
                                <w:sz w:val="20"/>
                                <w:szCs w:val="20"/>
                                <w:lang w:val="en-GB"/>
                              </w:rPr>
                              <w:t xml:space="preserve">are protected </w:t>
                            </w:r>
                            <w:r w:rsidRPr="007A4B74">
                              <w:rPr>
                                <w:rFonts w:ascii="Arial" w:eastAsiaTheme="minorEastAsia" w:hAnsi="Arial" w:cs="Arial"/>
                                <w:sz w:val="20"/>
                                <w:szCs w:val="20"/>
                                <w:lang w:val="en-GB"/>
                              </w:rPr>
                              <w:t>from threats such as grazing, extended inundation or no inundation to maintain their condition and reduce their vulnerability</w:t>
                            </w:r>
                            <w:r>
                              <w:rPr>
                                <w:rFonts w:ascii="Arial" w:eastAsiaTheme="minorEastAsia" w:hAnsi="Arial" w:cs="Arial"/>
                                <w:sz w:val="20"/>
                                <w:szCs w:val="20"/>
                                <w:lang w:val="en-GB"/>
                              </w:rPr>
                              <w:t>, and survive to 2023</w:t>
                            </w:r>
                          </w:p>
                          <w:p w14:paraId="7CB055E6" w14:textId="643E0A34" w:rsidR="00CF0933" w:rsidRPr="00F71E20" w:rsidRDefault="00CF0933" w:rsidP="00F22225">
                            <w:pPr>
                              <w:pStyle w:val="NoSpacing"/>
                              <w:numPr>
                                <w:ilvl w:val="0"/>
                                <w:numId w:val="68"/>
                              </w:numPr>
                              <w:autoSpaceDE w:val="0"/>
                              <w:autoSpaceDN w:val="0"/>
                              <w:adjustRightInd w:val="0"/>
                              <w:spacing w:before="60" w:line="300" w:lineRule="auto"/>
                              <w:ind w:left="714" w:hanging="357"/>
                              <w:rPr>
                                <w:rFonts w:ascii="Arial" w:eastAsiaTheme="minorEastAsia" w:hAnsi="Arial" w:cs="Arial"/>
                                <w:sz w:val="20"/>
                                <w:szCs w:val="20"/>
                                <w:lang w:val="en-GB"/>
                              </w:rPr>
                            </w:pPr>
                            <w:r w:rsidRPr="00F71E20">
                              <w:rPr>
                                <w:rFonts w:ascii="Arial" w:eastAsiaTheme="minorEastAsia" w:hAnsi="Arial" w:cs="Arial"/>
                                <w:sz w:val="20"/>
                                <w:szCs w:val="20"/>
                                <w:lang w:val="en-GB"/>
                              </w:rPr>
                              <w:t xml:space="preserve">Medium Term: 40% of poor condition </w:t>
                            </w:r>
                            <w:r>
                              <w:rPr>
                                <w:rFonts w:ascii="Arial" w:eastAsiaTheme="minorEastAsia" w:hAnsi="Arial" w:cs="Arial"/>
                                <w:sz w:val="20"/>
                                <w:szCs w:val="20"/>
                                <w:lang w:val="en-GB"/>
                              </w:rPr>
                              <w:t>B</w:t>
                            </w:r>
                            <w:r w:rsidRPr="00F71E20">
                              <w:rPr>
                                <w:rFonts w:ascii="Arial" w:eastAsiaTheme="minorEastAsia" w:hAnsi="Arial" w:cs="Arial"/>
                                <w:sz w:val="20"/>
                                <w:szCs w:val="20"/>
                                <w:lang w:val="en-GB"/>
                              </w:rPr>
                              <w:t xml:space="preserve">lack </w:t>
                            </w:r>
                            <w:r>
                              <w:rPr>
                                <w:rFonts w:ascii="Arial" w:eastAsiaTheme="minorEastAsia" w:hAnsi="Arial" w:cs="Arial"/>
                                <w:sz w:val="20"/>
                                <w:szCs w:val="20"/>
                                <w:lang w:val="en-GB"/>
                              </w:rPr>
                              <w:t>B</w:t>
                            </w:r>
                            <w:r w:rsidRPr="00F71E20">
                              <w:rPr>
                                <w:rFonts w:ascii="Arial" w:eastAsiaTheme="minorEastAsia" w:hAnsi="Arial" w:cs="Arial"/>
                                <w:sz w:val="20"/>
                                <w:szCs w:val="20"/>
                                <w:lang w:val="en-GB"/>
                              </w:rPr>
                              <w:t>ox units improve to good or medium condition by 2028</w:t>
                            </w:r>
                          </w:p>
                          <w:p w14:paraId="13DC5C0F" w14:textId="38229D40" w:rsidR="00CF0933" w:rsidRPr="00F71E20" w:rsidRDefault="00CF0933" w:rsidP="00F22225">
                            <w:pPr>
                              <w:pStyle w:val="NoSpacing"/>
                              <w:numPr>
                                <w:ilvl w:val="0"/>
                                <w:numId w:val="68"/>
                              </w:numPr>
                              <w:autoSpaceDE w:val="0"/>
                              <w:autoSpaceDN w:val="0"/>
                              <w:adjustRightInd w:val="0"/>
                              <w:spacing w:before="60" w:line="300" w:lineRule="auto"/>
                              <w:ind w:left="714" w:hanging="357"/>
                              <w:rPr>
                                <w:rFonts w:ascii="Arial" w:eastAsiaTheme="minorEastAsia" w:hAnsi="Arial" w:cs="Arial"/>
                                <w:sz w:val="20"/>
                                <w:szCs w:val="20"/>
                                <w:lang w:val="en-GB"/>
                              </w:rPr>
                            </w:pPr>
                            <w:r w:rsidRPr="00F71E20">
                              <w:rPr>
                                <w:rFonts w:ascii="Arial" w:eastAsiaTheme="minorEastAsia" w:hAnsi="Arial" w:cs="Arial"/>
                                <w:sz w:val="20"/>
                                <w:szCs w:val="20"/>
                                <w:lang w:val="en-GB"/>
                              </w:rPr>
                              <w:t xml:space="preserve">Medium Term: 50% of </w:t>
                            </w:r>
                            <w:r>
                              <w:rPr>
                                <w:rFonts w:ascii="Arial" w:eastAsiaTheme="minorEastAsia" w:hAnsi="Arial" w:cs="Arial"/>
                                <w:sz w:val="20"/>
                                <w:szCs w:val="20"/>
                                <w:lang w:val="en-GB"/>
                              </w:rPr>
                              <w:t>m</w:t>
                            </w:r>
                            <w:r w:rsidRPr="00F71E20">
                              <w:rPr>
                                <w:rFonts w:ascii="Arial" w:eastAsiaTheme="minorEastAsia" w:hAnsi="Arial" w:cs="Arial"/>
                                <w:sz w:val="20"/>
                                <w:szCs w:val="20"/>
                                <w:lang w:val="en-GB"/>
                              </w:rPr>
                              <w:t xml:space="preserve">edium </w:t>
                            </w:r>
                            <w:r>
                              <w:rPr>
                                <w:rFonts w:ascii="Arial" w:eastAsiaTheme="minorEastAsia" w:hAnsi="Arial" w:cs="Arial"/>
                                <w:sz w:val="20"/>
                                <w:szCs w:val="20"/>
                                <w:lang w:val="en-GB"/>
                              </w:rPr>
                              <w:t>c</w:t>
                            </w:r>
                            <w:r w:rsidRPr="00F71E20">
                              <w:rPr>
                                <w:rFonts w:ascii="Arial" w:eastAsiaTheme="minorEastAsia" w:hAnsi="Arial" w:cs="Arial"/>
                                <w:sz w:val="20"/>
                                <w:szCs w:val="20"/>
                                <w:lang w:val="en-GB"/>
                              </w:rPr>
                              <w:t xml:space="preserve">ondition </w:t>
                            </w:r>
                            <w:r>
                              <w:rPr>
                                <w:rFonts w:ascii="Arial" w:eastAsiaTheme="minorEastAsia" w:hAnsi="Arial" w:cs="Arial"/>
                                <w:sz w:val="20"/>
                                <w:szCs w:val="20"/>
                                <w:lang w:val="en-GB"/>
                              </w:rPr>
                              <w:t>B</w:t>
                            </w:r>
                            <w:r w:rsidRPr="00F71E20">
                              <w:rPr>
                                <w:rFonts w:ascii="Arial" w:eastAsiaTheme="minorEastAsia" w:hAnsi="Arial" w:cs="Arial"/>
                                <w:sz w:val="20"/>
                                <w:szCs w:val="20"/>
                                <w:lang w:val="en-GB"/>
                              </w:rPr>
                              <w:t xml:space="preserve">lack </w:t>
                            </w:r>
                            <w:r>
                              <w:rPr>
                                <w:rFonts w:ascii="Arial" w:eastAsiaTheme="minorEastAsia" w:hAnsi="Arial" w:cs="Arial"/>
                                <w:sz w:val="20"/>
                                <w:szCs w:val="20"/>
                                <w:lang w:val="en-GB"/>
                              </w:rPr>
                              <w:t>B</w:t>
                            </w:r>
                            <w:r w:rsidRPr="00F71E20">
                              <w:rPr>
                                <w:rFonts w:ascii="Arial" w:eastAsiaTheme="minorEastAsia" w:hAnsi="Arial" w:cs="Arial"/>
                                <w:sz w:val="20"/>
                                <w:szCs w:val="20"/>
                                <w:lang w:val="en-GB"/>
                              </w:rPr>
                              <w:t>ox units are maintained as medium condition by 2028</w:t>
                            </w:r>
                          </w:p>
                          <w:p w14:paraId="07C45689" w14:textId="411732BD" w:rsidR="00CF0933" w:rsidRPr="00F71E20" w:rsidRDefault="00CF0933" w:rsidP="00F22225">
                            <w:pPr>
                              <w:pStyle w:val="NoSpacing"/>
                              <w:numPr>
                                <w:ilvl w:val="0"/>
                                <w:numId w:val="68"/>
                              </w:numPr>
                              <w:autoSpaceDE w:val="0"/>
                              <w:autoSpaceDN w:val="0"/>
                              <w:adjustRightInd w:val="0"/>
                              <w:spacing w:before="60" w:line="300" w:lineRule="auto"/>
                              <w:ind w:left="714" w:hanging="357"/>
                              <w:rPr>
                                <w:rFonts w:ascii="Arial" w:eastAsiaTheme="minorEastAsia" w:hAnsi="Arial" w:cs="Arial"/>
                                <w:sz w:val="20"/>
                                <w:szCs w:val="20"/>
                                <w:lang w:val="en-GB"/>
                              </w:rPr>
                            </w:pPr>
                            <w:r w:rsidRPr="00F71E20">
                              <w:rPr>
                                <w:rFonts w:ascii="Arial" w:eastAsiaTheme="minorEastAsia" w:hAnsi="Arial" w:cs="Arial"/>
                                <w:sz w:val="20"/>
                                <w:szCs w:val="20"/>
                                <w:lang w:val="en-GB"/>
                              </w:rPr>
                              <w:t xml:space="preserve">Long term: Improve 50% of medium condition </w:t>
                            </w:r>
                            <w:r>
                              <w:rPr>
                                <w:rFonts w:ascii="Arial" w:eastAsiaTheme="minorEastAsia" w:hAnsi="Arial" w:cs="Arial"/>
                                <w:sz w:val="20"/>
                                <w:szCs w:val="20"/>
                                <w:lang w:val="en-GB"/>
                              </w:rPr>
                              <w:t>B</w:t>
                            </w:r>
                            <w:r w:rsidRPr="00F71E20">
                              <w:rPr>
                                <w:rFonts w:ascii="Arial" w:eastAsiaTheme="minorEastAsia" w:hAnsi="Arial" w:cs="Arial"/>
                                <w:sz w:val="20"/>
                                <w:szCs w:val="20"/>
                                <w:lang w:val="en-GB"/>
                              </w:rPr>
                              <w:t xml:space="preserve">lack </w:t>
                            </w:r>
                            <w:r>
                              <w:rPr>
                                <w:rFonts w:ascii="Arial" w:eastAsiaTheme="minorEastAsia" w:hAnsi="Arial" w:cs="Arial"/>
                                <w:sz w:val="20"/>
                                <w:szCs w:val="20"/>
                                <w:lang w:val="en-GB"/>
                              </w:rPr>
                              <w:t>B</w:t>
                            </w:r>
                            <w:r w:rsidRPr="00F71E20">
                              <w:rPr>
                                <w:rFonts w:ascii="Arial" w:eastAsiaTheme="minorEastAsia" w:hAnsi="Arial" w:cs="Arial"/>
                                <w:sz w:val="20"/>
                                <w:szCs w:val="20"/>
                                <w:lang w:val="en-GB"/>
                              </w:rPr>
                              <w:t>ox units to good by 2038</w:t>
                            </w:r>
                          </w:p>
                          <w:p w14:paraId="12A1996B" w14:textId="44B8D519" w:rsidR="00CF0933" w:rsidRPr="00F71E20" w:rsidRDefault="00CF0933" w:rsidP="00F22225">
                            <w:pPr>
                              <w:pStyle w:val="NoSpacing"/>
                              <w:numPr>
                                <w:ilvl w:val="0"/>
                                <w:numId w:val="68"/>
                              </w:numPr>
                              <w:autoSpaceDE w:val="0"/>
                              <w:autoSpaceDN w:val="0"/>
                              <w:adjustRightInd w:val="0"/>
                              <w:spacing w:before="60" w:line="300" w:lineRule="auto"/>
                              <w:ind w:left="714" w:hanging="357"/>
                              <w:rPr>
                                <w:rFonts w:cs="Arial"/>
                                <w:szCs w:val="20"/>
                              </w:rPr>
                            </w:pPr>
                            <w:r w:rsidRPr="00F71E20">
                              <w:rPr>
                                <w:rFonts w:ascii="Arial" w:eastAsiaTheme="minorEastAsia" w:hAnsi="Arial" w:cs="Arial"/>
                                <w:sz w:val="20"/>
                                <w:szCs w:val="20"/>
                                <w:lang w:val="en-GB"/>
                              </w:rPr>
                              <w:t xml:space="preserve">Ongoing: Maintain at least 80% of good condition </w:t>
                            </w:r>
                            <w:r>
                              <w:rPr>
                                <w:rFonts w:ascii="Arial" w:eastAsiaTheme="minorEastAsia" w:hAnsi="Arial" w:cs="Arial"/>
                                <w:sz w:val="20"/>
                                <w:szCs w:val="20"/>
                                <w:lang w:val="en-GB"/>
                              </w:rPr>
                              <w:t>B</w:t>
                            </w:r>
                            <w:r w:rsidRPr="00F71E20">
                              <w:rPr>
                                <w:rFonts w:ascii="Arial" w:eastAsiaTheme="minorEastAsia" w:hAnsi="Arial" w:cs="Arial"/>
                                <w:sz w:val="20"/>
                                <w:szCs w:val="20"/>
                                <w:lang w:val="en-GB"/>
                              </w:rPr>
                              <w:t xml:space="preserve">lack </w:t>
                            </w:r>
                            <w:r>
                              <w:rPr>
                                <w:rFonts w:ascii="Arial" w:eastAsiaTheme="minorEastAsia" w:hAnsi="Arial" w:cs="Arial"/>
                                <w:sz w:val="20"/>
                                <w:szCs w:val="20"/>
                                <w:lang w:val="en-GB"/>
                              </w:rPr>
                              <w:t>B</w:t>
                            </w:r>
                            <w:r w:rsidRPr="00F71E20">
                              <w:rPr>
                                <w:rFonts w:ascii="Arial" w:eastAsiaTheme="minorEastAsia" w:hAnsi="Arial" w:cs="Arial"/>
                                <w:sz w:val="20"/>
                                <w:szCs w:val="20"/>
                                <w:lang w:val="en-GB"/>
                              </w:rPr>
                              <w:t>ox woodland in this 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F5F6F19" id="Text Box 21" o:spid="_x0000_s1031" type="#_x0000_t202" style="position:absolute;margin-left:.9pt;margin-top:3.15pt;width:501.45pt;height:450.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" fillcolor="#bccdc0 [1943]" strokecolor="#86a58e [3047]">
                <v:shadow on="t" color="black" opacity="24903f" origin=",.5" offset="0,.55556mm"/>
                <v:path arrowok="t"/>
                <v:textbox>
                  <w:txbxContent>
                    <w:p w14:paraId="1F99092F" w14:textId="23EA048E" w:rsidR="00CF0933" w:rsidRDefault="00CF0933" w:rsidP="00977EF2">
                      <w:pPr>
                        <w:rPr>
                          <w:b/>
                        </w:rPr>
                      </w:pPr>
                      <w:r>
                        <w:rPr>
                          <w:b/>
                        </w:rPr>
                        <w:t xml:space="preserve">Case Study </w:t>
                      </w:r>
                      <w:r w:rsidRPr="00391D89">
                        <w:rPr>
                          <w:b/>
                        </w:rPr>
                        <w:t xml:space="preserve">Box </w:t>
                      </w:r>
                      <w:r>
                        <w:rPr>
                          <w:b/>
                        </w:rPr>
                        <w:t>5</w:t>
                      </w:r>
                      <w:r w:rsidRPr="00391D89">
                        <w:rPr>
                          <w:b/>
                        </w:rPr>
                        <w:t xml:space="preserve">: </w:t>
                      </w:r>
                      <w:r>
                        <w:rPr>
                          <w:b/>
                        </w:rPr>
                        <w:t>Setting meaningful objectives and targets</w:t>
                      </w:r>
                    </w:p>
                    <w:p w14:paraId="58B4E030" w14:textId="57946ADB" w:rsidR="00CF0933" w:rsidRPr="00F71E20" w:rsidRDefault="00CF0933" w:rsidP="00F71E20">
                      <w:pPr>
                        <w:pStyle w:val="NoSpacing"/>
                        <w:spacing w:after="120"/>
                        <w:rPr>
                          <w:rFonts w:ascii="Arial" w:eastAsiaTheme="minorEastAsia" w:hAnsi="Arial" w:cs="Arial"/>
                          <w:sz w:val="20"/>
                          <w:szCs w:val="20"/>
                          <w:lang w:val="en-GB"/>
                        </w:rPr>
                      </w:pPr>
                      <w:r w:rsidRPr="00F71E20">
                        <w:rPr>
                          <w:rFonts w:ascii="Arial" w:eastAsiaTheme="minorEastAsia" w:hAnsi="Arial" w:cs="Arial"/>
                          <w:sz w:val="20"/>
                          <w:szCs w:val="20"/>
                          <w:lang w:val="en-GB"/>
                        </w:rPr>
                        <w:t xml:space="preserve">Objectives and targets for management of Black Box on Calperum Station were developed during the project in consultation with </w:t>
                      </w:r>
                      <w:r>
                        <w:rPr>
                          <w:rFonts w:ascii="Arial" w:eastAsiaTheme="minorEastAsia" w:hAnsi="Arial" w:cs="Arial"/>
                          <w:sz w:val="20"/>
                          <w:szCs w:val="20"/>
                          <w:lang w:val="en-GB"/>
                        </w:rPr>
                        <w:t>the land manager</w:t>
                      </w:r>
                      <w:r w:rsidRPr="00F71E20">
                        <w:rPr>
                          <w:rFonts w:ascii="Arial" w:eastAsiaTheme="minorEastAsia" w:hAnsi="Arial" w:cs="Arial"/>
                          <w:sz w:val="20"/>
                          <w:szCs w:val="20"/>
                          <w:lang w:val="en-GB"/>
                        </w:rPr>
                        <w:t xml:space="preserve">, through: </w:t>
                      </w:r>
                    </w:p>
                    <w:p w14:paraId="2E097159" w14:textId="77777777" w:rsidR="00CF0933" w:rsidRPr="00F71E20" w:rsidRDefault="00CF0933" w:rsidP="00F22225">
                      <w:pPr>
                        <w:pStyle w:val="NoSpacing"/>
                        <w:numPr>
                          <w:ilvl w:val="0"/>
                          <w:numId w:val="69"/>
                        </w:numPr>
                        <w:autoSpaceDE w:val="0"/>
                        <w:autoSpaceDN w:val="0"/>
                        <w:adjustRightInd w:val="0"/>
                        <w:spacing w:before="120" w:after="120" w:line="300" w:lineRule="auto"/>
                        <w:rPr>
                          <w:rFonts w:ascii="Arial" w:eastAsiaTheme="minorEastAsia" w:hAnsi="Arial" w:cs="Arial"/>
                          <w:sz w:val="20"/>
                          <w:szCs w:val="20"/>
                          <w:lang w:val="en-GB"/>
                        </w:rPr>
                      </w:pPr>
                      <w:r w:rsidRPr="00F71E20">
                        <w:rPr>
                          <w:rFonts w:ascii="Arial" w:eastAsiaTheme="minorEastAsia" w:hAnsi="Arial" w:cs="Arial"/>
                          <w:sz w:val="20"/>
                          <w:szCs w:val="20"/>
                          <w:lang w:val="en-GB"/>
                        </w:rPr>
                        <w:t>A literature review of current objectives in management plans for Calperum station and similar sites</w:t>
                      </w:r>
                    </w:p>
                    <w:p w14:paraId="3B4E29FD" w14:textId="55F1D255" w:rsidR="00CF0933" w:rsidRPr="00F71E20" w:rsidRDefault="00CF0933" w:rsidP="00F22225">
                      <w:pPr>
                        <w:pStyle w:val="NoSpacing"/>
                        <w:numPr>
                          <w:ilvl w:val="0"/>
                          <w:numId w:val="69"/>
                        </w:numPr>
                        <w:autoSpaceDE w:val="0"/>
                        <w:autoSpaceDN w:val="0"/>
                        <w:adjustRightInd w:val="0"/>
                        <w:spacing w:after="120" w:line="300" w:lineRule="auto"/>
                        <w:rPr>
                          <w:rFonts w:ascii="Arial" w:eastAsiaTheme="minorEastAsia" w:hAnsi="Arial" w:cs="Arial"/>
                          <w:sz w:val="20"/>
                          <w:szCs w:val="20"/>
                          <w:lang w:val="en-GB"/>
                        </w:rPr>
                      </w:pPr>
                      <w:r w:rsidRPr="00F71E20">
                        <w:rPr>
                          <w:rFonts w:ascii="Arial" w:eastAsiaTheme="minorEastAsia" w:hAnsi="Arial" w:cs="Arial"/>
                          <w:sz w:val="20"/>
                          <w:szCs w:val="20"/>
                          <w:lang w:val="en-GB"/>
                        </w:rPr>
                        <w:t>Application of the SMART target methodology for developing objectives</w:t>
                      </w:r>
                    </w:p>
                    <w:p w14:paraId="503A722F" w14:textId="33415E15" w:rsidR="00CF0933" w:rsidRDefault="00CF0933" w:rsidP="00F71E20">
                      <w:pPr>
                        <w:pStyle w:val="Para0"/>
                        <w:spacing w:before="0" w:after="0"/>
                        <w:rPr>
                          <w:rFonts w:cs="Arial"/>
                          <w:szCs w:val="20"/>
                        </w:rPr>
                      </w:pPr>
                      <w:r>
                        <w:rPr>
                          <w:rFonts w:cs="Arial"/>
                          <w:szCs w:val="20"/>
                        </w:rPr>
                        <w:t xml:space="preserve">The objectives and targets are summarised below. </w:t>
                      </w:r>
                      <w:r w:rsidRPr="00B375C6">
                        <w:rPr>
                          <w:rFonts w:cs="Arial"/>
                          <w:szCs w:val="20"/>
                        </w:rPr>
                        <w:t>Management actio</w:t>
                      </w:r>
                      <w:r>
                        <w:rPr>
                          <w:rFonts w:cs="Arial"/>
                          <w:szCs w:val="20"/>
                        </w:rPr>
                        <w:t>ns, monitoring and evaluation at Calperum Station should be</w:t>
                      </w:r>
                      <w:r w:rsidRPr="00B375C6">
                        <w:rPr>
                          <w:rFonts w:cs="Arial"/>
                          <w:szCs w:val="20"/>
                        </w:rPr>
                        <w:t xml:space="preserve"> established based on the</w:t>
                      </w:r>
                      <w:r>
                        <w:rPr>
                          <w:rFonts w:cs="Arial"/>
                          <w:szCs w:val="20"/>
                        </w:rPr>
                        <w:t>se</w:t>
                      </w:r>
                      <w:r w:rsidRPr="00B375C6">
                        <w:rPr>
                          <w:rFonts w:cs="Arial"/>
                          <w:szCs w:val="20"/>
                        </w:rPr>
                        <w:t xml:space="preserve"> objectives and targets</w:t>
                      </w:r>
                      <w:r>
                        <w:rPr>
                          <w:rFonts w:cs="Arial"/>
                          <w:szCs w:val="20"/>
                        </w:rPr>
                        <w:t>, when a management plan is developed</w:t>
                      </w:r>
                      <w:r w:rsidRPr="00B375C6">
                        <w:rPr>
                          <w:rFonts w:cs="Arial"/>
                          <w:szCs w:val="20"/>
                        </w:rPr>
                        <w:t>.</w:t>
                      </w:r>
                      <w:r>
                        <w:rPr>
                          <w:rFonts w:cs="Arial"/>
                          <w:szCs w:val="20"/>
                        </w:rPr>
                        <w:t xml:space="preserve"> </w:t>
                      </w:r>
                    </w:p>
                    <w:p w14:paraId="6DC30851" w14:textId="77777777" w:rsidR="00CF0933" w:rsidRPr="00C260AB" w:rsidRDefault="00CF0933" w:rsidP="00F71E20">
                      <w:pPr>
                        <w:pStyle w:val="Para0"/>
                        <w:spacing w:before="0" w:after="0"/>
                        <w:rPr>
                          <w:rFonts w:cs="Arial"/>
                          <w:szCs w:val="20"/>
                        </w:rPr>
                      </w:pPr>
                    </w:p>
                    <w:p w14:paraId="52F214AA" w14:textId="77777777" w:rsidR="00CF0933" w:rsidRPr="00F71E20" w:rsidRDefault="00CF0933" w:rsidP="00C260AB">
                      <w:pPr>
                        <w:pStyle w:val="NoSpacing"/>
                        <w:rPr>
                          <w:rFonts w:ascii="Arial" w:eastAsiaTheme="minorEastAsia" w:hAnsi="Arial"/>
                          <w:b/>
                          <w:sz w:val="20"/>
                          <w:szCs w:val="24"/>
                          <w:lang w:val="en-GB"/>
                        </w:rPr>
                      </w:pPr>
                      <w:r w:rsidRPr="00F71E20">
                        <w:rPr>
                          <w:rFonts w:ascii="Arial" w:eastAsiaTheme="minorEastAsia" w:hAnsi="Arial"/>
                          <w:b/>
                          <w:sz w:val="20"/>
                          <w:szCs w:val="24"/>
                          <w:lang w:val="en-GB"/>
                        </w:rPr>
                        <w:t>Black Box Objectives for Calperum Station</w:t>
                      </w:r>
                    </w:p>
                    <w:p w14:paraId="2C0F901B" w14:textId="68FDE57A" w:rsidR="00CF0933" w:rsidRPr="00F71E20" w:rsidRDefault="00CF0933" w:rsidP="00F22225">
                      <w:pPr>
                        <w:pStyle w:val="NoSpacing"/>
                        <w:numPr>
                          <w:ilvl w:val="0"/>
                          <w:numId w:val="68"/>
                        </w:numPr>
                        <w:autoSpaceDE w:val="0"/>
                        <w:autoSpaceDN w:val="0"/>
                        <w:adjustRightInd w:val="0"/>
                        <w:spacing w:before="60" w:line="300" w:lineRule="auto"/>
                        <w:ind w:left="714" w:hanging="357"/>
                        <w:rPr>
                          <w:rFonts w:ascii="Arial" w:eastAsiaTheme="minorEastAsia" w:hAnsi="Arial" w:cs="Arial"/>
                          <w:sz w:val="20"/>
                          <w:szCs w:val="20"/>
                          <w:lang w:val="en-GB"/>
                        </w:rPr>
                      </w:pPr>
                      <w:r w:rsidRPr="00F71E20">
                        <w:rPr>
                          <w:rFonts w:ascii="Arial" w:eastAsiaTheme="minorEastAsia" w:hAnsi="Arial" w:cs="Arial"/>
                          <w:sz w:val="20"/>
                          <w:szCs w:val="20"/>
                          <w:lang w:val="en-GB"/>
                        </w:rPr>
                        <w:t>Maintain</w:t>
                      </w:r>
                      <w:r>
                        <w:rPr>
                          <w:rFonts w:ascii="Arial" w:eastAsiaTheme="minorEastAsia" w:hAnsi="Arial" w:cs="Arial"/>
                          <w:sz w:val="20"/>
                          <w:szCs w:val="20"/>
                          <w:lang w:val="en-GB"/>
                        </w:rPr>
                        <w:t xml:space="preserve"> </w:t>
                      </w:r>
                      <w:r w:rsidRPr="00F71E20">
                        <w:rPr>
                          <w:rFonts w:ascii="Arial" w:eastAsiaTheme="minorEastAsia" w:hAnsi="Arial" w:cs="Arial"/>
                          <w:sz w:val="20"/>
                          <w:szCs w:val="20"/>
                          <w:lang w:val="en-GB"/>
                        </w:rPr>
                        <w:t xml:space="preserve">populations of </w:t>
                      </w:r>
                      <w:r>
                        <w:rPr>
                          <w:rFonts w:ascii="Arial" w:eastAsiaTheme="minorEastAsia" w:hAnsi="Arial" w:cs="Arial"/>
                          <w:sz w:val="20"/>
                          <w:szCs w:val="20"/>
                          <w:lang w:val="en-GB"/>
                        </w:rPr>
                        <w:t>B</w:t>
                      </w:r>
                      <w:r w:rsidRPr="00F71E20">
                        <w:rPr>
                          <w:rFonts w:ascii="Arial" w:eastAsiaTheme="minorEastAsia" w:hAnsi="Arial" w:cs="Arial"/>
                          <w:sz w:val="20"/>
                          <w:szCs w:val="20"/>
                          <w:lang w:val="en-GB"/>
                        </w:rPr>
                        <w:t xml:space="preserve">lack </w:t>
                      </w:r>
                      <w:r>
                        <w:rPr>
                          <w:rFonts w:ascii="Arial" w:eastAsiaTheme="minorEastAsia" w:hAnsi="Arial" w:cs="Arial"/>
                          <w:sz w:val="20"/>
                          <w:szCs w:val="20"/>
                          <w:lang w:val="en-GB"/>
                        </w:rPr>
                        <w:t>B</w:t>
                      </w:r>
                      <w:r w:rsidRPr="00F71E20">
                        <w:rPr>
                          <w:rFonts w:ascii="Arial" w:eastAsiaTheme="minorEastAsia" w:hAnsi="Arial" w:cs="Arial"/>
                          <w:sz w:val="20"/>
                          <w:szCs w:val="20"/>
                          <w:lang w:val="en-GB"/>
                        </w:rPr>
                        <w:t xml:space="preserve">ox </w:t>
                      </w:r>
                      <w:r>
                        <w:rPr>
                          <w:rFonts w:ascii="Arial" w:eastAsiaTheme="minorEastAsia" w:hAnsi="Arial" w:cs="Arial"/>
                          <w:sz w:val="20"/>
                          <w:szCs w:val="20"/>
                          <w:lang w:val="en-GB"/>
                        </w:rPr>
                        <w:t>of medium-low vulnerability</w:t>
                      </w:r>
                      <w:r w:rsidRPr="00F71E20">
                        <w:rPr>
                          <w:rFonts w:ascii="Arial" w:eastAsiaTheme="minorEastAsia" w:hAnsi="Arial" w:cs="Arial"/>
                          <w:sz w:val="20"/>
                          <w:szCs w:val="20"/>
                          <w:lang w:val="en-GB"/>
                        </w:rPr>
                        <w:t xml:space="preserve"> within the management area</w:t>
                      </w:r>
                      <w:r>
                        <w:rPr>
                          <w:rFonts w:ascii="Arial" w:eastAsiaTheme="minorEastAsia" w:hAnsi="Arial" w:cs="Arial"/>
                          <w:sz w:val="20"/>
                          <w:szCs w:val="20"/>
                          <w:lang w:val="en-GB"/>
                        </w:rPr>
                        <w:t>, and where possible improve Black Box resistance (condition).</w:t>
                      </w:r>
                    </w:p>
                    <w:p w14:paraId="7B9B5161" w14:textId="621CFA3C" w:rsidR="00CF0933" w:rsidRDefault="00CF0933" w:rsidP="00F22225">
                      <w:pPr>
                        <w:pStyle w:val="NoSpacing"/>
                        <w:numPr>
                          <w:ilvl w:val="0"/>
                          <w:numId w:val="68"/>
                        </w:numPr>
                        <w:autoSpaceDE w:val="0"/>
                        <w:autoSpaceDN w:val="0"/>
                        <w:adjustRightInd w:val="0"/>
                        <w:spacing w:before="60" w:line="300" w:lineRule="auto"/>
                        <w:ind w:left="714" w:hanging="357"/>
                        <w:rPr>
                          <w:rFonts w:ascii="Arial" w:eastAsiaTheme="minorEastAsia" w:hAnsi="Arial" w:cs="Arial"/>
                          <w:sz w:val="20"/>
                          <w:szCs w:val="20"/>
                          <w:lang w:val="en-GB"/>
                        </w:rPr>
                      </w:pPr>
                      <w:r>
                        <w:rPr>
                          <w:rFonts w:ascii="Arial" w:eastAsiaTheme="minorEastAsia" w:hAnsi="Arial" w:cs="Arial"/>
                          <w:sz w:val="20"/>
                          <w:szCs w:val="20"/>
                          <w:lang w:val="en-GB"/>
                        </w:rPr>
                        <w:t>Improve the adaptive capacity of Black Box by targeting actions that support recruitment and transition into areas of low exposure to stressors.</w:t>
                      </w:r>
                    </w:p>
                    <w:p w14:paraId="36366563" w14:textId="0C496BBD" w:rsidR="00CF0933" w:rsidRPr="00F71E20" w:rsidRDefault="00CF0933" w:rsidP="00F22225">
                      <w:pPr>
                        <w:pStyle w:val="NoSpacing"/>
                        <w:numPr>
                          <w:ilvl w:val="0"/>
                          <w:numId w:val="68"/>
                        </w:numPr>
                        <w:autoSpaceDE w:val="0"/>
                        <w:autoSpaceDN w:val="0"/>
                        <w:adjustRightInd w:val="0"/>
                        <w:spacing w:before="60" w:line="300" w:lineRule="auto"/>
                        <w:ind w:left="714" w:hanging="357"/>
                        <w:rPr>
                          <w:rFonts w:ascii="Arial" w:eastAsiaTheme="minorEastAsia" w:hAnsi="Arial" w:cs="Arial"/>
                          <w:sz w:val="20"/>
                          <w:szCs w:val="20"/>
                          <w:lang w:val="en-GB"/>
                        </w:rPr>
                      </w:pPr>
                      <w:r>
                        <w:rPr>
                          <w:rFonts w:ascii="Arial" w:eastAsiaTheme="minorEastAsia" w:hAnsi="Arial" w:cs="Arial"/>
                          <w:sz w:val="20"/>
                          <w:szCs w:val="20"/>
                          <w:lang w:val="en-GB"/>
                        </w:rPr>
                        <w:t xml:space="preserve">Reduce the exposure of stressors from </w:t>
                      </w:r>
                      <w:r w:rsidRPr="00F71E20">
                        <w:rPr>
                          <w:rFonts w:ascii="Arial" w:eastAsiaTheme="minorEastAsia" w:hAnsi="Arial" w:cs="Arial"/>
                          <w:sz w:val="20"/>
                          <w:szCs w:val="20"/>
                          <w:lang w:val="en-GB"/>
                        </w:rPr>
                        <w:t xml:space="preserve">soil and groundwater </w:t>
                      </w:r>
                      <w:r>
                        <w:rPr>
                          <w:rFonts w:ascii="Arial" w:eastAsiaTheme="minorEastAsia" w:hAnsi="Arial" w:cs="Arial"/>
                          <w:sz w:val="20"/>
                          <w:szCs w:val="20"/>
                          <w:lang w:val="en-GB"/>
                        </w:rPr>
                        <w:t xml:space="preserve">salinity, to avoid further damage to Black Box vegetation in </w:t>
                      </w:r>
                      <w:r w:rsidRPr="00F71E20">
                        <w:rPr>
                          <w:rFonts w:ascii="Arial" w:eastAsiaTheme="minorEastAsia" w:hAnsi="Arial" w:cs="Arial"/>
                          <w:sz w:val="20"/>
                          <w:szCs w:val="20"/>
                          <w:lang w:val="en-GB"/>
                        </w:rPr>
                        <w:t>areas o</w:t>
                      </w:r>
                      <w:r>
                        <w:rPr>
                          <w:rFonts w:ascii="Arial" w:eastAsiaTheme="minorEastAsia" w:hAnsi="Arial" w:cs="Arial"/>
                          <w:sz w:val="20"/>
                          <w:szCs w:val="20"/>
                          <w:lang w:val="en-GB"/>
                        </w:rPr>
                        <w:t>f</w:t>
                      </w:r>
                      <w:r w:rsidRPr="00F71E20">
                        <w:rPr>
                          <w:rFonts w:ascii="Arial" w:eastAsiaTheme="minorEastAsia" w:hAnsi="Arial" w:cs="Arial"/>
                          <w:sz w:val="20"/>
                          <w:szCs w:val="20"/>
                          <w:lang w:val="en-GB"/>
                        </w:rPr>
                        <w:t xml:space="preserve"> </w:t>
                      </w:r>
                      <w:r>
                        <w:rPr>
                          <w:rFonts w:ascii="Arial" w:eastAsiaTheme="minorEastAsia" w:hAnsi="Arial" w:cs="Arial"/>
                          <w:sz w:val="20"/>
                          <w:szCs w:val="20"/>
                          <w:lang w:val="en-GB"/>
                        </w:rPr>
                        <w:t>medium or high vulnerability.</w:t>
                      </w:r>
                    </w:p>
                    <w:p w14:paraId="021FF949" w14:textId="77777777" w:rsidR="00CF0933" w:rsidRPr="00F71E20" w:rsidRDefault="00CF0933" w:rsidP="00F71E20">
                      <w:pPr>
                        <w:pStyle w:val="NoSpacing"/>
                        <w:autoSpaceDE w:val="0"/>
                        <w:autoSpaceDN w:val="0"/>
                        <w:adjustRightInd w:val="0"/>
                        <w:spacing w:before="60" w:line="300" w:lineRule="auto"/>
                        <w:ind w:left="714"/>
                        <w:rPr>
                          <w:rFonts w:ascii="Arial" w:eastAsiaTheme="minorEastAsia" w:hAnsi="Arial" w:cs="Arial"/>
                          <w:sz w:val="20"/>
                          <w:szCs w:val="20"/>
                          <w:lang w:val="en-GB"/>
                        </w:rPr>
                      </w:pPr>
                    </w:p>
                    <w:p w14:paraId="3079D0D6" w14:textId="77777777" w:rsidR="00CF0933" w:rsidRPr="00F71E20" w:rsidRDefault="00CF0933" w:rsidP="00241EF6">
                      <w:pPr>
                        <w:pStyle w:val="NoSpacing"/>
                        <w:rPr>
                          <w:rFonts w:ascii="Arial" w:eastAsiaTheme="minorEastAsia" w:hAnsi="Arial"/>
                          <w:b/>
                          <w:sz w:val="20"/>
                          <w:szCs w:val="24"/>
                          <w:lang w:val="en-GB"/>
                        </w:rPr>
                      </w:pPr>
                      <w:r w:rsidRPr="00F71E20">
                        <w:rPr>
                          <w:rFonts w:ascii="Arial" w:eastAsiaTheme="minorEastAsia" w:hAnsi="Arial"/>
                          <w:b/>
                          <w:sz w:val="20"/>
                          <w:szCs w:val="24"/>
                          <w:lang w:val="en-GB"/>
                        </w:rPr>
                        <w:t>SMART Targets for Black Box on Calperum Station</w:t>
                      </w:r>
                    </w:p>
                    <w:p w14:paraId="4C4D6F38" w14:textId="63AD1A03" w:rsidR="00CF0933" w:rsidRPr="00F71E20" w:rsidRDefault="00CF0933" w:rsidP="00F22225">
                      <w:pPr>
                        <w:pStyle w:val="NoSpacing"/>
                        <w:numPr>
                          <w:ilvl w:val="0"/>
                          <w:numId w:val="68"/>
                        </w:numPr>
                        <w:autoSpaceDE w:val="0"/>
                        <w:autoSpaceDN w:val="0"/>
                        <w:adjustRightInd w:val="0"/>
                        <w:spacing w:before="60" w:line="300" w:lineRule="auto"/>
                        <w:ind w:left="714" w:hanging="357"/>
                        <w:rPr>
                          <w:rFonts w:ascii="Arial" w:eastAsiaTheme="minorEastAsia" w:hAnsi="Arial" w:cs="Arial"/>
                          <w:sz w:val="20"/>
                          <w:szCs w:val="20"/>
                          <w:lang w:val="en-GB"/>
                        </w:rPr>
                      </w:pPr>
                      <w:r w:rsidRPr="00F71E20">
                        <w:rPr>
                          <w:rFonts w:ascii="Arial" w:eastAsiaTheme="minorEastAsia" w:hAnsi="Arial" w:cs="Arial"/>
                          <w:sz w:val="20"/>
                          <w:szCs w:val="20"/>
                          <w:lang w:val="en-GB"/>
                        </w:rPr>
                        <w:t xml:space="preserve">Short Term: Greater than 50% of </w:t>
                      </w:r>
                      <w:r>
                        <w:rPr>
                          <w:rFonts w:ascii="Arial" w:eastAsiaTheme="minorEastAsia" w:hAnsi="Arial" w:cs="Arial"/>
                          <w:sz w:val="20"/>
                          <w:szCs w:val="20"/>
                          <w:lang w:val="en-GB"/>
                        </w:rPr>
                        <w:t>B</w:t>
                      </w:r>
                      <w:r w:rsidRPr="00F71E20">
                        <w:rPr>
                          <w:rFonts w:ascii="Arial" w:eastAsiaTheme="minorEastAsia" w:hAnsi="Arial" w:cs="Arial"/>
                          <w:sz w:val="20"/>
                          <w:szCs w:val="20"/>
                          <w:lang w:val="en-GB"/>
                        </w:rPr>
                        <w:t xml:space="preserve">lack </w:t>
                      </w:r>
                      <w:r>
                        <w:rPr>
                          <w:rFonts w:ascii="Arial" w:eastAsiaTheme="minorEastAsia" w:hAnsi="Arial" w:cs="Arial"/>
                          <w:sz w:val="20"/>
                          <w:szCs w:val="20"/>
                          <w:lang w:val="en-GB"/>
                        </w:rPr>
                        <w:t>B</w:t>
                      </w:r>
                      <w:r w:rsidRPr="00F71E20">
                        <w:rPr>
                          <w:rFonts w:ascii="Arial" w:eastAsiaTheme="minorEastAsia" w:hAnsi="Arial" w:cs="Arial"/>
                          <w:sz w:val="20"/>
                          <w:szCs w:val="20"/>
                          <w:lang w:val="en-GB"/>
                        </w:rPr>
                        <w:t xml:space="preserve">ox recruits within the managed area </w:t>
                      </w:r>
                      <w:r>
                        <w:rPr>
                          <w:rFonts w:ascii="Arial" w:eastAsiaTheme="minorEastAsia" w:hAnsi="Arial" w:cs="Arial"/>
                          <w:sz w:val="20"/>
                          <w:szCs w:val="20"/>
                          <w:lang w:val="en-GB"/>
                        </w:rPr>
                        <w:t xml:space="preserve">are protected </w:t>
                      </w:r>
                      <w:r w:rsidRPr="007A4B74">
                        <w:rPr>
                          <w:rFonts w:ascii="Arial" w:eastAsiaTheme="minorEastAsia" w:hAnsi="Arial" w:cs="Arial"/>
                          <w:sz w:val="20"/>
                          <w:szCs w:val="20"/>
                          <w:lang w:val="en-GB"/>
                        </w:rPr>
                        <w:t>from threats such as grazing, extended inundation or no inundation to maintain their condition and reduce their vulnerability</w:t>
                      </w:r>
                      <w:r>
                        <w:rPr>
                          <w:rFonts w:ascii="Arial" w:eastAsiaTheme="minorEastAsia" w:hAnsi="Arial" w:cs="Arial"/>
                          <w:sz w:val="20"/>
                          <w:szCs w:val="20"/>
                          <w:lang w:val="en-GB"/>
                        </w:rPr>
                        <w:t>, and survive to 2023</w:t>
                      </w:r>
                    </w:p>
                    <w:p w14:paraId="7CB055E6" w14:textId="643E0A34" w:rsidR="00CF0933" w:rsidRPr="00F71E20" w:rsidRDefault="00CF0933" w:rsidP="00F22225">
                      <w:pPr>
                        <w:pStyle w:val="NoSpacing"/>
                        <w:numPr>
                          <w:ilvl w:val="0"/>
                          <w:numId w:val="68"/>
                        </w:numPr>
                        <w:autoSpaceDE w:val="0"/>
                        <w:autoSpaceDN w:val="0"/>
                        <w:adjustRightInd w:val="0"/>
                        <w:spacing w:before="60" w:line="300" w:lineRule="auto"/>
                        <w:ind w:left="714" w:hanging="357"/>
                        <w:rPr>
                          <w:rFonts w:ascii="Arial" w:eastAsiaTheme="minorEastAsia" w:hAnsi="Arial" w:cs="Arial"/>
                          <w:sz w:val="20"/>
                          <w:szCs w:val="20"/>
                          <w:lang w:val="en-GB"/>
                        </w:rPr>
                      </w:pPr>
                      <w:r w:rsidRPr="00F71E20">
                        <w:rPr>
                          <w:rFonts w:ascii="Arial" w:eastAsiaTheme="minorEastAsia" w:hAnsi="Arial" w:cs="Arial"/>
                          <w:sz w:val="20"/>
                          <w:szCs w:val="20"/>
                          <w:lang w:val="en-GB"/>
                        </w:rPr>
                        <w:t xml:space="preserve">Medium Term: 40% of poor condition </w:t>
                      </w:r>
                      <w:r>
                        <w:rPr>
                          <w:rFonts w:ascii="Arial" w:eastAsiaTheme="minorEastAsia" w:hAnsi="Arial" w:cs="Arial"/>
                          <w:sz w:val="20"/>
                          <w:szCs w:val="20"/>
                          <w:lang w:val="en-GB"/>
                        </w:rPr>
                        <w:t>B</w:t>
                      </w:r>
                      <w:r w:rsidRPr="00F71E20">
                        <w:rPr>
                          <w:rFonts w:ascii="Arial" w:eastAsiaTheme="minorEastAsia" w:hAnsi="Arial" w:cs="Arial"/>
                          <w:sz w:val="20"/>
                          <w:szCs w:val="20"/>
                          <w:lang w:val="en-GB"/>
                        </w:rPr>
                        <w:t xml:space="preserve">lack </w:t>
                      </w:r>
                      <w:r>
                        <w:rPr>
                          <w:rFonts w:ascii="Arial" w:eastAsiaTheme="minorEastAsia" w:hAnsi="Arial" w:cs="Arial"/>
                          <w:sz w:val="20"/>
                          <w:szCs w:val="20"/>
                          <w:lang w:val="en-GB"/>
                        </w:rPr>
                        <w:t>B</w:t>
                      </w:r>
                      <w:r w:rsidRPr="00F71E20">
                        <w:rPr>
                          <w:rFonts w:ascii="Arial" w:eastAsiaTheme="minorEastAsia" w:hAnsi="Arial" w:cs="Arial"/>
                          <w:sz w:val="20"/>
                          <w:szCs w:val="20"/>
                          <w:lang w:val="en-GB"/>
                        </w:rPr>
                        <w:t>ox units improve to good or medium condition by 2028</w:t>
                      </w:r>
                    </w:p>
                    <w:p w14:paraId="13DC5C0F" w14:textId="38229D40" w:rsidR="00CF0933" w:rsidRPr="00F71E20" w:rsidRDefault="00CF0933" w:rsidP="00F22225">
                      <w:pPr>
                        <w:pStyle w:val="NoSpacing"/>
                        <w:numPr>
                          <w:ilvl w:val="0"/>
                          <w:numId w:val="68"/>
                        </w:numPr>
                        <w:autoSpaceDE w:val="0"/>
                        <w:autoSpaceDN w:val="0"/>
                        <w:adjustRightInd w:val="0"/>
                        <w:spacing w:before="60" w:line="300" w:lineRule="auto"/>
                        <w:ind w:left="714" w:hanging="357"/>
                        <w:rPr>
                          <w:rFonts w:ascii="Arial" w:eastAsiaTheme="minorEastAsia" w:hAnsi="Arial" w:cs="Arial"/>
                          <w:sz w:val="20"/>
                          <w:szCs w:val="20"/>
                          <w:lang w:val="en-GB"/>
                        </w:rPr>
                      </w:pPr>
                      <w:r w:rsidRPr="00F71E20">
                        <w:rPr>
                          <w:rFonts w:ascii="Arial" w:eastAsiaTheme="minorEastAsia" w:hAnsi="Arial" w:cs="Arial"/>
                          <w:sz w:val="20"/>
                          <w:szCs w:val="20"/>
                          <w:lang w:val="en-GB"/>
                        </w:rPr>
                        <w:t xml:space="preserve">Medium Term: 50% of </w:t>
                      </w:r>
                      <w:r>
                        <w:rPr>
                          <w:rFonts w:ascii="Arial" w:eastAsiaTheme="minorEastAsia" w:hAnsi="Arial" w:cs="Arial"/>
                          <w:sz w:val="20"/>
                          <w:szCs w:val="20"/>
                          <w:lang w:val="en-GB"/>
                        </w:rPr>
                        <w:t>m</w:t>
                      </w:r>
                      <w:r w:rsidRPr="00F71E20">
                        <w:rPr>
                          <w:rFonts w:ascii="Arial" w:eastAsiaTheme="minorEastAsia" w:hAnsi="Arial" w:cs="Arial"/>
                          <w:sz w:val="20"/>
                          <w:szCs w:val="20"/>
                          <w:lang w:val="en-GB"/>
                        </w:rPr>
                        <w:t xml:space="preserve">edium </w:t>
                      </w:r>
                      <w:r>
                        <w:rPr>
                          <w:rFonts w:ascii="Arial" w:eastAsiaTheme="minorEastAsia" w:hAnsi="Arial" w:cs="Arial"/>
                          <w:sz w:val="20"/>
                          <w:szCs w:val="20"/>
                          <w:lang w:val="en-GB"/>
                        </w:rPr>
                        <w:t>c</w:t>
                      </w:r>
                      <w:r w:rsidRPr="00F71E20">
                        <w:rPr>
                          <w:rFonts w:ascii="Arial" w:eastAsiaTheme="minorEastAsia" w:hAnsi="Arial" w:cs="Arial"/>
                          <w:sz w:val="20"/>
                          <w:szCs w:val="20"/>
                          <w:lang w:val="en-GB"/>
                        </w:rPr>
                        <w:t xml:space="preserve">ondition </w:t>
                      </w:r>
                      <w:r>
                        <w:rPr>
                          <w:rFonts w:ascii="Arial" w:eastAsiaTheme="minorEastAsia" w:hAnsi="Arial" w:cs="Arial"/>
                          <w:sz w:val="20"/>
                          <w:szCs w:val="20"/>
                          <w:lang w:val="en-GB"/>
                        </w:rPr>
                        <w:t>B</w:t>
                      </w:r>
                      <w:r w:rsidRPr="00F71E20">
                        <w:rPr>
                          <w:rFonts w:ascii="Arial" w:eastAsiaTheme="minorEastAsia" w:hAnsi="Arial" w:cs="Arial"/>
                          <w:sz w:val="20"/>
                          <w:szCs w:val="20"/>
                          <w:lang w:val="en-GB"/>
                        </w:rPr>
                        <w:t xml:space="preserve">lack </w:t>
                      </w:r>
                      <w:r>
                        <w:rPr>
                          <w:rFonts w:ascii="Arial" w:eastAsiaTheme="minorEastAsia" w:hAnsi="Arial" w:cs="Arial"/>
                          <w:sz w:val="20"/>
                          <w:szCs w:val="20"/>
                          <w:lang w:val="en-GB"/>
                        </w:rPr>
                        <w:t>B</w:t>
                      </w:r>
                      <w:r w:rsidRPr="00F71E20">
                        <w:rPr>
                          <w:rFonts w:ascii="Arial" w:eastAsiaTheme="minorEastAsia" w:hAnsi="Arial" w:cs="Arial"/>
                          <w:sz w:val="20"/>
                          <w:szCs w:val="20"/>
                          <w:lang w:val="en-GB"/>
                        </w:rPr>
                        <w:t>ox units are maintained as medium condition by 2028</w:t>
                      </w:r>
                    </w:p>
                    <w:p w14:paraId="07C45689" w14:textId="411732BD" w:rsidR="00CF0933" w:rsidRPr="00F71E20" w:rsidRDefault="00CF0933" w:rsidP="00F22225">
                      <w:pPr>
                        <w:pStyle w:val="NoSpacing"/>
                        <w:numPr>
                          <w:ilvl w:val="0"/>
                          <w:numId w:val="68"/>
                        </w:numPr>
                        <w:autoSpaceDE w:val="0"/>
                        <w:autoSpaceDN w:val="0"/>
                        <w:adjustRightInd w:val="0"/>
                        <w:spacing w:before="60" w:line="300" w:lineRule="auto"/>
                        <w:ind w:left="714" w:hanging="357"/>
                        <w:rPr>
                          <w:rFonts w:ascii="Arial" w:eastAsiaTheme="minorEastAsia" w:hAnsi="Arial" w:cs="Arial"/>
                          <w:sz w:val="20"/>
                          <w:szCs w:val="20"/>
                          <w:lang w:val="en-GB"/>
                        </w:rPr>
                      </w:pPr>
                      <w:r w:rsidRPr="00F71E20">
                        <w:rPr>
                          <w:rFonts w:ascii="Arial" w:eastAsiaTheme="minorEastAsia" w:hAnsi="Arial" w:cs="Arial"/>
                          <w:sz w:val="20"/>
                          <w:szCs w:val="20"/>
                          <w:lang w:val="en-GB"/>
                        </w:rPr>
                        <w:t xml:space="preserve">Long term: Improve 50% of medium condition </w:t>
                      </w:r>
                      <w:r>
                        <w:rPr>
                          <w:rFonts w:ascii="Arial" w:eastAsiaTheme="minorEastAsia" w:hAnsi="Arial" w:cs="Arial"/>
                          <w:sz w:val="20"/>
                          <w:szCs w:val="20"/>
                          <w:lang w:val="en-GB"/>
                        </w:rPr>
                        <w:t>B</w:t>
                      </w:r>
                      <w:r w:rsidRPr="00F71E20">
                        <w:rPr>
                          <w:rFonts w:ascii="Arial" w:eastAsiaTheme="minorEastAsia" w:hAnsi="Arial" w:cs="Arial"/>
                          <w:sz w:val="20"/>
                          <w:szCs w:val="20"/>
                          <w:lang w:val="en-GB"/>
                        </w:rPr>
                        <w:t xml:space="preserve">lack </w:t>
                      </w:r>
                      <w:r>
                        <w:rPr>
                          <w:rFonts w:ascii="Arial" w:eastAsiaTheme="minorEastAsia" w:hAnsi="Arial" w:cs="Arial"/>
                          <w:sz w:val="20"/>
                          <w:szCs w:val="20"/>
                          <w:lang w:val="en-GB"/>
                        </w:rPr>
                        <w:t>B</w:t>
                      </w:r>
                      <w:r w:rsidRPr="00F71E20">
                        <w:rPr>
                          <w:rFonts w:ascii="Arial" w:eastAsiaTheme="minorEastAsia" w:hAnsi="Arial" w:cs="Arial"/>
                          <w:sz w:val="20"/>
                          <w:szCs w:val="20"/>
                          <w:lang w:val="en-GB"/>
                        </w:rPr>
                        <w:t>ox units to good by 2038</w:t>
                      </w:r>
                    </w:p>
                    <w:p w14:paraId="12A1996B" w14:textId="44B8D519" w:rsidR="00CF0933" w:rsidRPr="00F71E20" w:rsidRDefault="00CF0933" w:rsidP="00F22225">
                      <w:pPr>
                        <w:pStyle w:val="NoSpacing"/>
                        <w:numPr>
                          <w:ilvl w:val="0"/>
                          <w:numId w:val="68"/>
                        </w:numPr>
                        <w:autoSpaceDE w:val="0"/>
                        <w:autoSpaceDN w:val="0"/>
                        <w:adjustRightInd w:val="0"/>
                        <w:spacing w:before="60" w:line="300" w:lineRule="auto"/>
                        <w:ind w:left="714" w:hanging="357"/>
                        <w:rPr>
                          <w:rFonts w:cs="Arial"/>
                          <w:szCs w:val="20"/>
                        </w:rPr>
                      </w:pPr>
                      <w:r w:rsidRPr="00F71E20">
                        <w:rPr>
                          <w:rFonts w:ascii="Arial" w:eastAsiaTheme="minorEastAsia" w:hAnsi="Arial" w:cs="Arial"/>
                          <w:sz w:val="20"/>
                          <w:szCs w:val="20"/>
                          <w:lang w:val="en-GB"/>
                        </w:rPr>
                        <w:t xml:space="preserve">Ongoing: Maintain at least 80% of good condition </w:t>
                      </w:r>
                      <w:r>
                        <w:rPr>
                          <w:rFonts w:ascii="Arial" w:eastAsiaTheme="minorEastAsia" w:hAnsi="Arial" w:cs="Arial"/>
                          <w:sz w:val="20"/>
                          <w:szCs w:val="20"/>
                          <w:lang w:val="en-GB"/>
                        </w:rPr>
                        <w:t>B</w:t>
                      </w:r>
                      <w:r w:rsidRPr="00F71E20">
                        <w:rPr>
                          <w:rFonts w:ascii="Arial" w:eastAsiaTheme="minorEastAsia" w:hAnsi="Arial" w:cs="Arial"/>
                          <w:sz w:val="20"/>
                          <w:szCs w:val="20"/>
                          <w:lang w:val="en-GB"/>
                        </w:rPr>
                        <w:t xml:space="preserve">lack </w:t>
                      </w:r>
                      <w:r>
                        <w:rPr>
                          <w:rFonts w:ascii="Arial" w:eastAsiaTheme="minorEastAsia" w:hAnsi="Arial" w:cs="Arial"/>
                          <w:sz w:val="20"/>
                          <w:szCs w:val="20"/>
                          <w:lang w:val="en-GB"/>
                        </w:rPr>
                        <w:t>B</w:t>
                      </w:r>
                      <w:r w:rsidRPr="00F71E20">
                        <w:rPr>
                          <w:rFonts w:ascii="Arial" w:eastAsiaTheme="minorEastAsia" w:hAnsi="Arial" w:cs="Arial"/>
                          <w:sz w:val="20"/>
                          <w:szCs w:val="20"/>
                          <w:lang w:val="en-GB"/>
                        </w:rPr>
                        <w:t>ox woodland in this state</w:t>
                      </w:r>
                    </w:p>
                  </w:txbxContent>
                </v:textbox>
                <w10:wrap type="tight"/>
              </v:shape>
            </w:pict>
          </mc:Fallback>
        </mc:AlternateContent>
      </w:r>
      <w:bookmarkStart w:id="152" w:name="_Ref459975767"/>
      <w:bookmarkStart w:id="153" w:name="_Toc464485991"/>
      <w:r w:rsidR="00A55BAC" w:rsidRPr="00DF4A1A">
        <w:rPr>
          <w:color w:val="65876D" w:themeColor="accent4" w:themeShade="BF"/>
          <w:highlight w:val="yellow"/>
        </w:rPr>
        <w:br w:type="page"/>
      </w:r>
    </w:p>
    <w:p w14:paraId="4AE53183" w14:textId="765DA127" w:rsidR="00D65017" w:rsidRPr="003F52D9" w:rsidRDefault="008B122B" w:rsidP="005972ED">
      <w:pPr>
        <w:pStyle w:val="Heading2"/>
        <w:keepNext w:val="0"/>
        <w:keepLines w:val="0"/>
        <w:rPr>
          <w:color w:val="65876D" w:themeColor="accent4" w:themeShade="BF"/>
        </w:rPr>
      </w:pPr>
      <w:bookmarkStart w:id="154" w:name="_Ref504549243"/>
      <w:bookmarkStart w:id="155" w:name="_Ref505179094"/>
      <w:bookmarkStart w:id="156" w:name="_Toc514018000"/>
      <w:bookmarkStart w:id="157" w:name="_Toc464485992"/>
      <w:bookmarkEnd w:id="152"/>
      <w:bookmarkEnd w:id="153"/>
      <w:r>
        <w:rPr>
          <w:color w:val="65876D" w:themeColor="accent4" w:themeShade="BF"/>
        </w:rPr>
        <w:t>STEP 5: IDENTIFYING A RANGE OF ACTIONS AND OPTIONS</w:t>
      </w:r>
      <w:bookmarkEnd w:id="154"/>
      <w:bookmarkEnd w:id="155"/>
      <w:bookmarkEnd w:id="156"/>
    </w:p>
    <w:p w14:paraId="22901F1B" w14:textId="1C825C2B" w:rsidR="006864B8" w:rsidRPr="00DF4A1A" w:rsidRDefault="006864B8" w:rsidP="00D65017">
      <w:pPr>
        <w:pStyle w:val="Para0"/>
      </w:pPr>
      <w:r w:rsidRPr="00DF4A1A">
        <w:t xml:space="preserve">A key aspect of a site investigation is </w:t>
      </w:r>
      <w:r w:rsidR="00891742" w:rsidRPr="00DF4A1A">
        <w:t>to explore</w:t>
      </w:r>
      <w:r w:rsidRPr="00DF4A1A">
        <w:t xml:space="preserve"> the management options that may be available at the site. </w:t>
      </w:r>
      <w:r w:rsidR="00512121" w:rsidRPr="00DF4A1A">
        <w:t>Following the vulnerability assessment, if it has been determined that active management is required</w:t>
      </w:r>
      <w:r w:rsidR="009963C7">
        <w:t xml:space="preserve"> at the site</w:t>
      </w:r>
      <w:r w:rsidR="00512121" w:rsidRPr="00DF4A1A">
        <w:t xml:space="preserve">, a range of management options can be explored. </w:t>
      </w:r>
    </w:p>
    <w:p w14:paraId="6C9103DD" w14:textId="5EC592D9" w:rsidR="00512121" w:rsidRPr="00DF4A1A" w:rsidRDefault="00512121" w:rsidP="00DF4A1A">
      <w:pPr>
        <w:pStyle w:val="Heading3"/>
      </w:pPr>
      <w:r w:rsidRPr="00DF4A1A">
        <w:t>Management History</w:t>
      </w:r>
    </w:p>
    <w:p w14:paraId="28D2478E" w14:textId="3754AD6E" w:rsidR="00A25E52" w:rsidRDefault="00512121" w:rsidP="00D65017">
      <w:pPr>
        <w:pStyle w:val="Para0"/>
      </w:pPr>
      <w:r w:rsidRPr="00DF4A1A">
        <w:t xml:space="preserve">A detailed understanding of the history of management throughout the site is </w:t>
      </w:r>
      <w:r w:rsidR="001B1257" w:rsidRPr="00DF4A1A">
        <w:t xml:space="preserve">required. By documenting </w:t>
      </w:r>
      <w:r w:rsidR="005F75D8">
        <w:t>previous</w:t>
      </w:r>
      <w:r w:rsidR="001B1257" w:rsidRPr="00DF4A1A">
        <w:t xml:space="preserve"> management actions, it is possible to learn from </w:t>
      </w:r>
      <w:r w:rsidR="005F75D8">
        <w:t>these</w:t>
      </w:r>
      <w:r w:rsidR="001B1257" w:rsidRPr="00DF4A1A">
        <w:t xml:space="preserve"> actions and identify physical </w:t>
      </w:r>
      <w:r w:rsidR="00CE0821" w:rsidRPr="00DF4A1A">
        <w:t>constraints to management.</w:t>
      </w:r>
      <w:r w:rsidR="0073055B">
        <w:t xml:space="preserve"> This is the starting point for identification of management options.</w:t>
      </w:r>
    </w:p>
    <w:p w14:paraId="0287F361" w14:textId="19C33A0D" w:rsidR="00512121" w:rsidRPr="00DF4A1A" w:rsidRDefault="00A25E52" w:rsidP="00D65017">
      <w:pPr>
        <w:pStyle w:val="Para0"/>
      </w:pPr>
      <w:r>
        <w:t xml:space="preserve">A history of the management at a site is also important for understanding what actions have been already taken </w:t>
      </w:r>
      <w:r w:rsidR="00AD6010">
        <w:t>regarding</w:t>
      </w:r>
      <w:r>
        <w:t xml:space="preserve"> flooding frequencies, changes in flow paths and plantings etc. This can help in identifying the relationships between environmental stressors and Black Box condition.</w:t>
      </w:r>
    </w:p>
    <w:p w14:paraId="2BA2954E" w14:textId="38796EAC" w:rsidR="00512121" w:rsidRPr="00DF4A1A" w:rsidRDefault="001B1257" w:rsidP="00DF4A1A">
      <w:pPr>
        <w:pStyle w:val="Heading3"/>
        <w:rPr>
          <w:rFonts w:eastAsiaTheme="minorEastAsia"/>
        </w:rPr>
      </w:pPr>
      <w:bookmarkStart w:id="158" w:name="_Ref505156338"/>
      <w:r w:rsidRPr="00DF4A1A">
        <w:rPr>
          <w:rFonts w:eastAsiaTheme="minorEastAsia"/>
        </w:rPr>
        <w:t>Overview of Management strategies</w:t>
      </w:r>
      <w:bookmarkEnd w:id="158"/>
    </w:p>
    <w:p w14:paraId="75D91C52" w14:textId="77777777" w:rsidR="00D65017" w:rsidRPr="0073055B" w:rsidRDefault="00D65017" w:rsidP="00D65017">
      <w:pPr>
        <w:pStyle w:val="Para0"/>
      </w:pPr>
      <w:r w:rsidRPr="0073055B">
        <w:t>Several options and tools are available to assist with achieving ecological outcomes for Black Box through surface water delivery, groundwater management and complementary works/measures within the Murray-Darling Basin. Those which potentially have the greatest ability to impact Black Box are:</w:t>
      </w:r>
    </w:p>
    <w:p w14:paraId="349BBE2C" w14:textId="08439FD6" w:rsidR="00A25E52" w:rsidRDefault="005F75D8" w:rsidP="00D65017">
      <w:pPr>
        <w:pStyle w:val="Para0bullet"/>
        <w:tabs>
          <w:tab w:val="clear" w:pos="851"/>
        </w:tabs>
        <w:spacing w:after="0"/>
        <w:ind w:left="850"/>
      </w:pPr>
      <w:r>
        <w:t>delivery</w:t>
      </w:r>
      <w:r w:rsidR="00A25E52">
        <w:t xml:space="preserve"> of environmental water through pumping or </w:t>
      </w:r>
      <w:r>
        <w:t>augmented</w:t>
      </w:r>
      <w:r w:rsidR="00A25E52">
        <w:t xml:space="preserve"> river flows</w:t>
      </w:r>
    </w:p>
    <w:p w14:paraId="25207385" w14:textId="12BB403A" w:rsidR="00D65017" w:rsidRPr="0073055B" w:rsidRDefault="00D65017" w:rsidP="00D65017">
      <w:pPr>
        <w:pStyle w:val="Para0bullet"/>
        <w:tabs>
          <w:tab w:val="clear" w:pos="851"/>
        </w:tabs>
        <w:spacing w:after="0"/>
        <w:ind w:left="850"/>
      </w:pPr>
      <w:r w:rsidRPr="0073055B">
        <w:t>redeveloping surface water flow paths</w:t>
      </w:r>
    </w:p>
    <w:p w14:paraId="68FC875C" w14:textId="77777777" w:rsidR="00D65017" w:rsidRPr="0073055B" w:rsidRDefault="00D65017" w:rsidP="00D65017">
      <w:pPr>
        <w:pStyle w:val="Para0bullet"/>
        <w:tabs>
          <w:tab w:val="clear" w:pos="851"/>
        </w:tabs>
        <w:spacing w:after="0"/>
        <w:ind w:left="850"/>
      </w:pPr>
      <w:r w:rsidRPr="0073055B">
        <w:t>complementary operation of river and floodplain infrastructure</w:t>
      </w:r>
    </w:p>
    <w:p w14:paraId="3AE1D0A7" w14:textId="77777777" w:rsidR="00D65017" w:rsidRPr="0073055B" w:rsidRDefault="00D65017" w:rsidP="00D65017">
      <w:pPr>
        <w:pStyle w:val="Para0bullet"/>
        <w:tabs>
          <w:tab w:val="clear" w:pos="851"/>
        </w:tabs>
        <w:spacing w:after="0"/>
        <w:ind w:left="850"/>
      </w:pPr>
      <w:r w:rsidRPr="0073055B">
        <w:t xml:space="preserve">groundwater manipulation </w:t>
      </w:r>
    </w:p>
    <w:p w14:paraId="040E76A8" w14:textId="77777777" w:rsidR="00D65017" w:rsidRPr="0073055B" w:rsidRDefault="00D65017" w:rsidP="00D65017">
      <w:pPr>
        <w:pStyle w:val="Para0bullet"/>
        <w:tabs>
          <w:tab w:val="clear" w:pos="851"/>
        </w:tabs>
        <w:spacing w:after="0"/>
        <w:ind w:left="850"/>
      </w:pPr>
      <w:r w:rsidRPr="0073055B">
        <w:t>minimisation of land clearance</w:t>
      </w:r>
    </w:p>
    <w:p w14:paraId="39EAB24B" w14:textId="77777777" w:rsidR="00D65017" w:rsidRPr="0073055B" w:rsidRDefault="00D65017" w:rsidP="00D65017">
      <w:pPr>
        <w:pStyle w:val="Para0bullet"/>
        <w:tabs>
          <w:tab w:val="clear" w:pos="851"/>
        </w:tabs>
        <w:spacing w:after="0"/>
        <w:ind w:left="850"/>
      </w:pPr>
      <w:r w:rsidRPr="0073055B">
        <w:t>minimisation of other land degradation processes</w:t>
      </w:r>
    </w:p>
    <w:p w14:paraId="7BC6C7FA" w14:textId="6BF8ED88" w:rsidR="00D65017" w:rsidRDefault="00D65017" w:rsidP="00D65017">
      <w:pPr>
        <w:pStyle w:val="Para0bullet"/>
        <w:tabs>
          <w:tab w:val="clear" w:pos="851"/>
        </w:tabs>
        <w:spacing w:after="0"/>
        <w:ind w:left="850"/>
      </w:pPr>
      <w:r w:rsidRPr="0073055B">
        <w:t>minimisation of deep drainage from highland irrigation.</w:t>
      </w:r>
    </w:p>
    <w:p w14:paraId="47BD5AB0" w14:textId="245C23DB" w:rsidR="00096C25" w:rsidRDefault="00096C25" w:rsidP="00D65017">
      <w:pPr>
        <w:pStyle w:val="Para0bullet"/>
        <w:tabs>
          <w:tab w:val="clear" w:pos="851"/>
        </w:tabs>
        <w:spacing w:after="0"/>
        <w:ind w:left="850"/>
      </w:pPr>
      <w:r>
        <w:t>drip or spray irrigation of Black Box vegetation</w:t>
      </w:r>
    </w:p>
    <w:p w14:paraId="6F4DAA76" w14:textId="23305408" w:rsidR="00096C25" w:rsidRDefault="00096C25" w:rsidP="00D65017">
      <w:pPr>
        <w:pStyle w:val="Para0bullet"/>
        <w:tabs>
          <w:tab w:val="clear" w:pos="851"/>
        </w:tabs>
        <w:spacing w:after="0"/>
        <w:ind w:left="850"/>
      </w:pPr>
      <w:r>
        <w:t>removal of constraints to variations in weir pool levels</w:t>
      </w:r>
    </w:p>
    <w:p w14:paraId="437719F3" w14:textId="0970CBC8" w:rsidR="00367687" w:rsidRDefault="00D65017" w:rsidP="00D65017">
      <w:pPr>
        <w:pStyle w:val="Para0"/>
        <w:keepLines/>
      </w:pPr>
      <w:r w:rsidRPr="0073055B">
        <w:t xml:space="preserve">The achievement of targeted ecological outcomes may require one or a combination of interventions being implemented. </w:t>
      </w:r>
      <w:r w:rsidR="00367687">
        <w:t>There is potential for maximising possible benefits through considering combin</w:t>
      </w:r>
      <w:r w:rsidR="003D45E1">
        <w:t>in</w:t>
      </w:r>
      <w:r w:rsidR="00367687">
        <w:t xml:space="preserve">g two or more management options within a management strategy, rather than planning management strategies in isolation. </w:t>
      </w:r>
    </w:p>
    <w:p w14:paraId="21620564" w14:textId="06EEF575" w:rsidR="00D65017" w:rsidRPr="00F87434" w:rsidRDefault="00832970" w:rsidP="00D65017">
      <w:pPr>
        <w:pStyle w:val="Para0"/>
        <w:keepLines/>
      </w:pPr>
      <w:r>
        <w:fldChar w:fldCharType="begin"/>
      </w:r>
      <w:r>
        <w:instrText xml:space="preserve"> REF _Ref506802252 \h </w:instrText>
      </w:r>
      <w:r>
        <w:fldChar w:fldCharType="separate"/>
      </w:r>
      <w:r w:rsidR="00BF015B" w:rsidRPr="00890425">
        <w:t xml:space="preserve">Table </w:t>
      </w:r>
      <w:r w:rsidR="00BF015B">
        <w:rPr>
          <w:noProof/>
        </w:rPr>
        <w:t>3</w:t>
      </w:r>
      <w:r w:rsidR="00BF015B" w:rsidRPr="00890425">
        <w:noBreakHyphen/>
      </w:r>
      <w:r w:rsidR="00BF015B">
        <w:rPr>
          <w:noProof/>
        </w:rPr>
        <w:t>13</w:t>
      </w:r>
      <w:r>
        <w:fldChar w:fldCharType="end"/>
      </w:r>
      <w:r>
        <w:t xml:space="preserve"> </w:t>
      </w:r>
      <w:r w:rsidR="00D65017" w:rsidRPr="0073055B">
        <w:t>provides an overview and examples of various management options that could be implemented to address sit</w:t>
      </w:r>
      <w:r w:rsidR="00D56C44">
        <w:t>e specific Black Box stressors</w:t>
      </w:r>
      <w:r w:rsidR="00D65017" w:rsidRPr="00D1664C">
        <w:t xml:space="preserve">. </w:t>
      </w:r>
      <w:r>
        <w:t xml:space="preserve">A complete description of each of the management options is provided in </w:t>
      </w:r>
      <w:r>
        <w:fldChar w:fldCharType="begin"/>
      </w:r>
      <w:r>
        <w:instrText xml:space="preserve"> REF _Ref506802223 \r \h </w:instrText>
      </w:r>
      <w:r>
        <w:fldChar w:fldCharType="separate"/>
      </w:r>
      <w:r w:rsidR="00BF015B">
        <w:t>Appendix E</w:t>
      </w:r>
      <w:r>
        <w:fldChar w:fldCharType="end"/>
      </w:r>
      <w:r w:rsidRPr="00297C27">
        <w:t xml:space="preserve">. </w:t>
      </w:r>
      <w:r w:rsidR="00D65017" w:rsidRPr="00297C27">
        <w:t xml:space="preserve">The options included </w:t>
      </w:r>
      <w:r w:rsidRPr="00297C27">
        <w:t xml:space="preserve">in this </w:t>
      </w:r>
      <w:r w:rsidR="005A4E06" w:rsidRPr="00297C27">
        <w:t>chapter</w:t>
      </w:r>
      <w:r w:rsidRPr="00297C27">
        <w:t xml:space="preserve"> </w:t>
      </w:r>
      <w:r w:rsidR="00D65017" w:rsidRPr="00297C27">
        <w:t>are not exhaustive but seek to provide</w:t>
      </w:r>
      <w:r w:rsidR="00D65017" w:rsidRPr="00AE6AF5">
        <w:t xml:space="preserve"> the practitioner with some guidance on the possible options available from which further refinement, assessment and prioritisation can be undertaken. The final selection rests with the practitioners using this framework, with considerations of the Black Box condition and water requirements, conceptual models and stressors, site specific attributes, </w:t>
      </w:r>
      <w:r w:rsidR="005F75D8">
        <w:t xml:space="preserve">vulnerability, </w:t>
      </w:r>
      <w:r w:rsidR="00D65017" w:rsidRPr="00AE6AF5">
        <w:t xml:space="preserve">risk, and operational and </w:t>
      </w:r>
      <w:r w:rsidR="0022360A">
        <w:t>resourcing</w:t>
      </w:r>
      <w:r w:rsidR="0022360A" w:rsidRPr="00AE6AF5">
        <w:t xml:space="preserve"> </w:t>
      </w:r>
      <w:r w:rsidR="00D65017" w:rsidRPr="00AE6AF5">
        <w:t>constraints.</w:t>
      </w:r>
    </w:p>
    <w:p w14:paraId="60428057" w14:textId="77777777" w:rsidR="00D65017" w:rsidRPr="00F87434" w:rsidRDefault="00D65017" w:rsidP="00D65017">
      <w:pPr>
        <w:pStyle w:val="Para0"/>
        <w:sectPr w:rsidR="00D65017" w:rsidRPr="00F87434" w:rsidSect="005A1B89">
          <w:pgSz w:w="11906" w:h="16838" w:code="9"/>
          <w:pgMar w:top="567" w:right="851" w:bottom="851" w:left="1134" w:header="567" w:footer="370" w:gutter="0"/>
          <w:cols w:space="0"/>
          <w:formProt w:val="0"/>
          <w:docGrid w:linePitch="360"/>
        </w:sectPr>
      </w:pPr>
    </w:p>
    <w:p w14:paraId="724278F2" w14:textId="4023CDF0" w:rsidR="00D65017" w:rsidRPr="00890425" w:rsidRDefault="00D65017" w:rsidP="00890425">
      <w:pPr>
        <w:pStyle w:val="Caption"/>
      </w:pPr>
      <w:bookmarkStart w:id="159" w:name="_Ref506802252"/>
      <w:bookmarkStart w:id="160" w:name="_Toc514068781"/>
      <w:r w:rsidRPr="00890425">
        <w:t xml:space="preserve">Table </w:t>
      </w:r>
      <w:r w:rsidR="002D4BCF" w:rsidRPr="00890425">
        <w:fldChar w:fldCharType="begin"/>
      </w:r>
      <w:r w:rsidR="002D4BCF" w:rsidRPr="00890425">
        <w:instrText xml:space="preserve"> STYLEREF 1 \s </w:instrText>
      </w:r>
      <w:r w:rsidR="002D4BCF" w:rsidRPr="00890425">
        <w:fldChar w:fldCharType="separate"/>
      </w:r>
      <w:r w:rsidR="00BF015B">
        <w:rPr>
          <w:noProof/>
        </w:rPr>
        <w:t>3</w:t>
      </w:r>
      <w:r w:rsidR="002D4BCF" w:rsidRPr="00890425">
        <w:fldChar w:fldCharType="end"/>
      </w:r>
      <w:r w:rsidR="002D4BCF" w:rsidRPr="00890425">
        <w:noBreakHyphen/>
      </w:r>
      <w:r w:rsidR="002D4BCF" w:rsidRPr="00890425">
        <w:fldChar w:fldCharType="begin"/>
      </w:r>
      <w:r w:rsidR="002D4BCF" w:rsidRPr="00890425">
        <w:instrText xml:space="preserve"> SEQ Table \* ARABIC \s 1 </w:instrText>
      </w:r>
      <w:r w:rsidR="002D4BCF" w:rsidRPr="00890425">
        <w:fldChar w:fldCharType="separate"/>
      </w:r>
      <w:r w:rsidR="0063076E">
        <w:rPr>
          <w:noProof/>
        </w:rPr>
        <w:t>14</w:t>
      </w:r>
      <w:r w:rsidR="002D4BCF" w:rsidRPr="00890425">
        <w:fldChar w:fldCharType="end"/>
      </w:r>
      <w:bookmarkEnd w:id="159"/>
      <w:r w:rsidRPr="00890425">
        <w:t>: Management strategies overview</w:t>
      </w:r>
      <w:bookmarkEnd w:id="160"/>
      <w:r w:rsidRPr="00890425">
        <w:t xml:space="preserve"> </w:t>
      </w:r>
    </w:p>
    <w:tbl>
      <w:tblPr>
        <w:tblStyle w:val="TableGrid"/>
        <w:tblW w:w="5000"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85" w:type="dxa"/>
          <w:right w:w="85" w:type="dxa"/>
        </w:tblCellMar>
        <w:tblLook w:val="04A0" w:firstRow="1" w:lastRow="0" w:firstColumn="1" w:lastColumn="0" w:noHBand="0" w:noVBand="1"/>
      </w:tblPr>
      <w:tblGrid>
        <w:gridCol w:w="2037"/>
        <w:gridCol w:w="4960"/>
        <w:gridCol w:w="5616"/>
        <w:gridCol w:w="2799"/>
      </w:tblGrid>
      <w:tr w:rsidR="00D65017" w:rsidRPr="00F87434" w14:paraId="0B8D79CA" w14:textId="77777777" w:rsidTr="00F618F7">
        <w:trPr>
          <w:tblHeader/>
        </w:trPr>
        <w:tc>
          <w:tcPr>
            <w:tcW w:w="661" w:type="pct"/>
            <w:tcBorders>
              <w:left w:val="single" w:sz="4" w:space="0" w:color="FFFFFF" w:themeColor="background1"/>
              <w:bottom w:val="single" w:sz="4" w:space="0" w:color="A8A8A8"/>
              <w:right w:val="single" w:sz="4" w:space="0" w:color="FFFFFF" w:themeColor="background1"/>
            </w:tcBorders>
            <w:shd w:val="clear" w:color="auto" w:fill="65876D" w:themeFill="accent4" w:themeFillShade="BF"/>
          </w:tcPr>
          <w:p w14:paraId="7B26D8F7" w14:textId="77777777" w:rsidR="00D65017" w:rsidRPr="00F87434" w:rsidRDefault="00D65017" w:rsidP="00F14224">
            <w:pPr>
              <w:pStyle w:val="Tableheading"/>
              <w:rPr>
                <w:color w:val="FFFFFF" w:themeColor="background1"/>
              </w:rPr>
            </w:pPr>
            <w:r w:rsidRPr="00F87434">
              <w:rPr>
                <w:color w:val="FFFFFF" w:themeColor="background1"/>
              </w:rPr>
              <w:t>Site stressor</w:t>
            </w:r>
          </w:p>
        </w:tc>
        <w:tc>
          <w:tcPr>
            <w:tcW w:w="1609" w:type="pct"/>
            <w:tcBorders>
              <w:left w:val="single" w:sz="4" w:space="0" w:color="FFFFFF" w:themeColor="background1"/>
              <w:bottom w:val="single" w:sz="4" w:space="0" w:color="A8A8A8"/>
              <w:right w:val="single" w:sz="4" w:space="0" w:color="FFFFFF" w:themeColor="background1"/>
            </w:tcBorders>
            <w:shd w:val="clear" w:color="auto" w:fill="65876D" w:themeFill="accent4" w:themeFillShade="BF"/>
          </w:tcPr>
          <w:p w14:paraId="1C5E8214" w14:textId="181A2AFA" w:rsidR="00D65017" w:rsidRPr="00F87434" w:rsidRDefault="00D65017" w:rsidP="004E19F3">
            <w:pPr>
              <w:pStyle w:val="Tableheading"/>
              <w:rPr>
                <w:color w:val="FFFFFF" w:themeColor="background1"/>
              </w:rPr>
            </w:pPr>
            <w:r w:rsidRPr="00F87434">
              <w:rPr>
                <w:color w:val="FFFFFF" w:themeColor="background1"/>
              </w:rPr>
              <w:t>Generalised management option(s)</w:t>
            </w:r>
            <w:r w:rsidRPr="00F87434">
              <w:rPr>
                <w:color w:val="FFFFFF" w:themeColor="background1"/>
              </w:rPr>
              <w:br/>
            </w:r>
          </w:p>
        </w:tc>
        <w:tc>
          <w:tcPr>
            <w:tcW w:w="1822" w:type="pct"/>
            <w:tcBorders>
              <w:left w:val="single" w:sz="4" w:space="0" w:color="FFFFFF" w:themeColor="background1"/>
              <w:bottom w:val="single" w:sz="4" w:space="0" w:color="A8A8A8"/>
              <w:right w:val="single" w:sz="4" w:space="0" w:color="FFFFFF" w:themeColor="background1"/>
            </w:tcBorders>
            <w:shd w:val="clear" w:color="auto" w:fill="65876D" w:themeFill="accent4" w:themeFillShade="BF"/>
          </w:tcPr>
          <w:p w14:paraId="70B106F7" w14:textId="77777777" w:rsidR="00D65017" w:rsidRPr="00F87434" w:rsidRDefault="00D65017" w:rsidP="00F14224">
            <w:pPr>
              <w:pStyle w:val="Tableheading"/>
              <w:rPr>
                <w:color w:val="FFFFFF" w:themeColor="background1"/>
              </w:rPr>
            </w:pPr>
            <w:r w:rsidRPr="00F87434">
              <w:rPr>
                <w:color w:val="FFFFFF" w:themeColor="background1"/>
              </w:rPr>
              <w:t>Objectives / outcomes of management</w:t>
            </w:r>
          </w:p>
        </w:tc>
        <w:tc>
          <w:tcPr>
            <w:tcW w:w="908" w:type="pct"/>
            <w:tcBorders>
              <w:left w:val="single" w:sz="4" w:space="0" w:color="FFFFFF" w:themeColor="background1"/>
              <w:bottom w:val="single" w:sz="4" w:space="0" w:color="A8A8A8"/>
              <w:right w:val="single" w:sz="4" w:space="0" w:color="FFFFFF" w:themeColor="background1"/>
            </w:tcBorders>
            <w:shd w:val="clear" w:color="auto" w:fill="65876D" w:themeFill="accent4" w:themeFillShade="BF"/>
          </w:tcPr>
          <w:p w14:paraId="5265196E" w14:textId="77777777" w:rsidR="00D65017" w:rsidRPr="00F87434" w:rsidRDefault="00D65017" w:rsidP="00F14224">
            <w:pPr>
              <w:pStyle w:val="Tablesmalltext"/>
              <w:rPr>
                <w:rFonts w:ascii="Arial Black" w:hAnsi="Arial Black"/>
                <w:color w:val="FFFFFF" w:themeColor="background1"/>
              </w:rPr>
            </w:pPr>
            <w:r w:rsidRPr="00F87434">
              <w:rPr>
                <w:rFonts w:ascii="Arial Black" w:hAnsi="Arial Black"/>
                <w:color w:val="FFFFFF" w:themeColor="background1"/>
              </w:rPr>
              <w:t>To what area of the flood-plain could this be applied?</w:t>
            </w:r>
          </w:p>
        </w:tc>
      </w:tr>
      <w:tr w:rsidR="00BE0497" w:rsidRPr="00F87434" w14:paraId="1DF0A615" w14:textId="77777777" w:rsidTr="00F618F7">
        <w:tc>
          <w:tcPr>
            <w:tcW w:w="661" w:type="pct"/>
            <w:vMerge w:val="restart"/>
            <w:tcBorders>
              <w:top w:val="single" w:sz="4" w:space="0" w:color="A8A8A8"/>
              <w:left w:val="single" w:sz="4" w:space="0" w:color="A8A8A8"/>
              <w:right w:val="single" w:sz="4" w:space="0" w:color="A8A8A8"/>
            </w:tcBorders>
          </w:tcPr>
          <w:p w14:paraId="4D85F247" w14:textId="77777777" w:rsidR="00BE0497" w:rsidRPr="00F87434" w:rsidRDefault="00BE0497" w:rsidP="00F14224">
            <w:pPr>
              <w:pStyle w:val="Tablesmalltext"/>
            </w:pPr>
            <w:r w:rsidRPr="00F87434">
              <w:t xml:space="preserve">Lack of access to soil moisture caused by reduced frequency </w:t>
            </w:r>
            <w:r>
              <w:t xml:space="preserve">and duration </w:t>
            </w:r>
            <w:r w:rsidRPr="00F87434">
              <w:t>of inundation.</w:t>
            </w:r>
          </w:p>
        </w:tc>
        <w:tc>
          <w:tcPr>
            <w:tcW w:w="1609" w:type="pct"/>
            <w:tcBorders>
              <w:top w:val="single" w:sz="4" w:space="0" w:color="A8A8A8"/>
              <w:left w:val="single" w:sz="4" w:space="0" w:color="A8A8A8"/>
              <w:bottom w:val="single" w:sz="4" w:space="0" w:color="A8A8A8"/>
              <w:right w:val="single" w:sz="4" w:space="0" w:color="A8A8A8"/>
            </w:tcBorders>
            <w:shd w:val="clear" w:color="auto" w:fill="auto"/>
          </w:tcPr>
          <w:p w14:paraId="26AC7AF7" w14:textId="668E9222" w:rsidR="00BE0497" w:rsidRPr="00F87434" w:rsidRDefault="00BE0497" w:rsidP="007B384E">
            <w:pPr>
              <w:pStyle w:val="Tablesmalltext"/>
            </w:pPr>
            <w:r w:rsidRPr="00F87434">
              <w:t xml:space="preserve"> Environmental </w:t>
            </w:r>
            <w:r w:rsidRPr="00F87434">
              <w:rPr>
                <w:color w:val="000000" w:themeColor="text1"/>
              </w:rPr>
              <w:t>watering via enhanced surface inundation</w:t>
            </w:r>
            <w:r>
              <w:rPr>
                <w:color w:val="000000" w:themeColor="text1"/>
              </w:rPr>
              <w:t xml:space="preserve"> </w:t>
            </w:r>
            <w:r w:rsidRPr="00F87434">
              <w:t>(regulator</w:t>
            </w:r>
            <w:r>
              <w:t>s</w:t>
            </w:r>
            <w:r w:rsidRPr="00F87434">
              <w:t xml:space="preserve"> and blocking banks, aqua dams, pumping to wetlands / recharge basins)</w:t>
            </w:r>
          </w:p>
        </w:tc>
        <w:tc>
          <w:tcPr>
            <w:tcW w:w="1822" w:type="pct"/>
            <w:tcBorders>
              <w:top w:val="single" w:sz="4" w:space="0" w:color="A8A8A8"/>
              <w:left w:val="single" w:sz="4" w:space="0" w:color="A8A8A8"/>
              <w:bottom w:val="single" w:sz="4" w:space="0" w:color="A8A8A8"/>
              <w:right w:val="single" w:sz="4" w:space="0" w:color="A8A8A8"/>
            </w:tcBorders>
          </w:tcPr>
          <w:p w14:paraId="41F62228" w14:textId="77777777" w:rsidR="00BE0497" w:rsidRPr="00F87434" w:rsidRDefault="00BE0497" w:rsidP="00F22225">
            <w:pPr>
              <w:pStyle w:val="Tablesmalltext"/>
              <w:numPr>
                <w:ilvl w:val="0"/>
                <w:numId w:val="30"/>
              </w:numPr>
              <w:ind w:left="199" w:hanging="218"/>
              <w:rPr>
                <w:color w:val="000000" w:themeColor="text1"/>
              </w:rPr>
            </w:pPr>
            <w:r w:rsidRPr="00F87434">
              <w:rPr>
                <w:color w:val="000000" w:themeColor="text1"/>
              </w:rPr>
              <w:t xml:space="preserve">Increase </w:t>
            </w:r>
            <w:r>
              <w:rPr>
                <w:color w:val="000000" w:themeColor="text1"/>
              </w:rPr>
              <w:t xml:space="preserve">the </w:t>
            </w:r>
            <w:r w:rsidRPr="00F87434">
              <w:rPr>
                <w:color w:val="000000" w:themeColor="text1"/>
              </w:rPr>
              <w:t xml:space="preserve">availability of soil </w:t>
            </w:r>
            <w:r>
              <w:rPr>
                <w:color w:val="000000" w:themeColor="text1"/>
              </w:rPr>
              <w:t>water by</w:t>
            </w:r>
            <w:r w:rsidRPr="00F87434">
              <w:rPr>
                <w:color w:val="000000" w:themeColor="text1"/>
              </w:rPr>
              <w:t xml:space="preserve"> </w:t>
            </w:r>
            <w:r>
              <w:rPr>
                <w:color w:val="000000" w:themeColor="text1"/>
              </w:rPr>
              <w:t>providing more frequent and longer duration watering events.</w:t>
            </w:r>
          </w:p>
        </w:tc>
        <w:tc>
          <w:tcPr>
            <w:tcW w:w="908" w:type="pct"/>
            <w:tcBorders>
              <w:top w:val="single" w:sz="4" w:space="0" w:color="A8A8A8"/>
              <w:left w:val="single" w:sz="4" w:space="0" w:color="A8A8A8"/>
              <w:bottom w:val="single" w:sz="4" w:space="0" w:color="A8A8A8"/>
              <w:right w:val="single" w:sz="4" w:space="0" w:color="A8A8A8"/>
            </w:tcBorders>
          </w:tcPr>
          <w:p w14:paraId="1A893CDD" w14:textId="77777777" w:rsidR="00BE0497" w:rsidRPr="00F87434" w:rsidRDefault="00BE0497" w:rsidP="00F14224">
            <w:pPr>
              <w:pStyle w:val="Tablesmalltext"/>
            </w:pPr>
            <w:r w:rsidRPr="00AA3D0D">
              <w:t>Small – Large depending on infrastructure</w:t>
            </w:r>
          </w:p>
        </w:tc>
      </w:tr>
      <w:tr w:rsidR="00BE0497" w:rsidRPr="00F87434" w14:paraId="50CF3CEF" w14:textId="77777777" w:rsidTr="00F618F7">
        <w:tc>
          <w:tcPr>
            <w:tcW w:w="661" w:type="pct"/>
            <w:vMerge/>
            <w:tcBorders>
              <w:left w:val="single" w:sz="4" w:space="0" w:color="A8A8A8"/>
              <w:right w:val="single" w:sz="4" w:space="0" w:color="A8A8A8"/>
            </w:tcBorders>
          </w:tcPr>
          <w:p w14:paraId="34202528" w14:textId="77777777" w:rsidR="00BE0497" w:rsidRPr="00F87434" w:rsidRDefault="00BE0497" w:rsidP="00F14224">
            <w:pPr>
              <w:pStyle w:val="Tablesmalltext"/>
            </w:pPr>
          </w:p>
        </w:tc>
        <w:tc>
          <w:tcPr>
            <w:tcW w:w="1609" w:type="pct"/>
            <w:tcBorders>
              <w:top w:val="single" w:sz="4" w:space="0" w:color="A8A8A8"/>
              <w:left w:val="single" w:sz="4" w:space="0" w:color="A8A8A8"/>
              <w:bottom w:val="single" w:sz="4" w:space="0" w:color="A8A8A8"/>
              <w:right w:val="single" w:sz="4" w:space="0" w:color="A8A8A8"/>
            </w:tcBorders>
            <w:shd w:val="clear" w:color="auto" w:fill="auto"/>
          </w:tcPr>
          <w:p w14:paraId="503E4BD8" w14:textId="1F2C4114" w:rsidR="00BE0497" w:rsidRPr="00E30737" w:rsidRDefault="00BE0497" w:rsidP="007B384E">
            <w:pPr>
              <w:pStyle w:val="Tablesmalltext"/>
            </w:pPr>
            <w:r w:rsidRPr="008F0156">
              <w:t>Groundwater pumping (extraction) from the floodplain to create/enhance freshwater lens (where relatively permeable river skin exists)</w:t>
            </w:r>
          </w:p>
        </w:tc>
        <w:tc>
          <w:tcPr>
            <w:tcW w:w="1822" w:type="pct"/>
            <w:tcBorders>
              <w:top w:val="single" w:sz="4" w:space="0" w:color="A8A8A8"/>
              <w:left w:val="single" w:sz="4" w:space="0" w:color="A8A8A8"/>
              <w:bottom w:val="single" w:sz="4" w:space="0" w:color="A8A8A8"/>
              <w:right w:val="single" w:sz="4" w:space="0" w:color="A8A8A8"/>
            </w:tcBorders>
          </w:tcPr>
          <w:p w14:paraId="22DBF1DC" w14:textId="4E882616" w:rsidR="00BE0497" w:rsidRPr="00F87434" w:rsidRDefault="00BE0497" w:rsidP="00F22225">
            <w:pPr>
              <w:pStyle w:val="Tablesmalltext"/>
              <w:numPr>
                <w:ilvl w:val="0"/>
                <w:numId w:val="30"/>
              </w:numPr>
              <w:ind w:left="199" w:hanging="218"/>
              <w:rPr>
                <w:color w:val="000000" w:themeColor="text1"/>
              </w:rPr>
            </w:pPr>
            <w:r w:rsidRPr="00F87434">
              <w:rPr>
                <w:color w:val="000000" w:themeColor="text1"/>
              </w:rPr>
              <w:t xml:space="preserve">Increase </w:t>
            </w:r>
            <w:r>
              <w:rPr>
                <w:color w:val="000000" w:themeColor="text1"/>
              </w:rPr>
              <w:t xml:space="preserve">the </w:t>
            </w:r>
            <w:r w:rsidRPr="00F87434">
              <w:rPr>
                <w:color w:val="000000" w:themeColor="text1"/>
              </w:rPr>
              <w:t xml:space="preserve">availability of </w:t>
            </w:r>
            <w:r>
              <w:rPr>
                <w:color w:val="000000" w:themeColor="text1"/>
              </w:rPr>
              <w:t xml:space="preserve">soil </w:t>
            </w:r>
            <w:r w:rsidRPr="00F87434">
              <w:rPr>
                <w:color w:val="000000" w:themeColor="text1"/>
              </w:rPr>
              <w:t xml:space="preserve">water through enhanced rate of </w:t>
            </w:r>
            <w:r>
              <w:rPr>
                <w:color w:val="000000" w:themeColor="text1"/>
              </w:rPr>
              <w:t>freshwater</w:t>
            </w:r>
            <w:r w:rsidRPr="00F87434">
              <w:rPr>
                <w:color w:val="000000" w:themeColor="text1"/>
              </w:rPr>
              <w:t xml:space="preserve"> lateral recharge </w:t>
            </w:r>
            <w:r>
              <w:rPr>
                <w:color w:val="000000" w:themeColor="text1"/>
              </w:rPr>
              <w:t>from rivers and anabranch creeks to groundwater.</w:t>
            </w:r>
          </w:p>
        </w:tc>
        <w:tc>
          <w:tcPr>
            <w:tcW w:w="908" w:type="pct"/>
            <w:tcBorders>
              <w:top w:val="single" w:sz="4" w:space="0" w:color="A8A8A8"/>
              <w:left w:val="single" w:sz="4" w:space="0" w:color="A8A8A8"/>
              <w:bottom w:val="single" w:sz="4" w:space="0" w:color="A8A8A8"/>
              <w:right w:val="single" w:sz="4" w:space="0" w:color="A8A8A8"/>
            </w:tcBorders>
          </w:tcPr>
          <w:p w14:paraId="6ADA3925" w14:textId="3C30E86E" w:rsidR="00BE0497" w:rsidRPr="00AA3D0D" w:rsidRDefault="00BE0497" w:rsidP="00F14224">
            <w:pPr>
              <w:pStyle w:val="Tablesmalltext"/>
            </w:pPr>
            <w:r w:rsidRPr="00AA3D0D">
              <w:t xml:space="preserve">Small – </w:t>
            </w:r>
            <w:r>
              <w:t>Medium</w:t>
            </w:r>
            <w:r w:rsidRPr="00AA3D0D">
              <w:t xml:space="preserve"> depending on infrastructure</w:t>
            </w:r>
          </w:p>
        </w:tc>
      </w:tr>
      <w:tr w:rsidR="00BE0497" w:rsidRPr="00F87434" w14:paraId="39675572" w14:textId="77777777" w:rsidTr="00F618F7">
        <w:tc>
          <w:tcPr>
            <w:tcW w:w="661" w:type="pct"/>
            <w:vMerge/>
            <w:tcBorders>
              <w:left w:val="single" w:sz="4" w:space="0" w:color="A8A8A8"/>
              <w:right w:val="single" w:sz="4" w:space="0" w:color="A8A8A8"/>
            </w:tcBorders>
          </w:tcPr>
          <w:p w14:paraId="3961820E" w14:textId="77777777" w:rsidR="00BE0497" w:rsidRPr="00F87434" w:rsidRDefault="00BE0497" w:rsidP="00F14224">
            <w:pPr>
              <w:pStyle w:val="Tablesmalltext"/>
            </w:pPr>
          </w:p>
        </w:tc>
        <w:tc>
          <w:tcPr>
            <w:tcW w:w="1609" w:type="pct"/>
            <w:tcBorders>
              <w:top w:val="single" w:sz="4" w:space="0" w:color="A8A8A8"/>
              <w:left w:val="single" w:sz="4" w:space="0" w:color="A8A8A8"/>
              <w:bottom w:val="single" w:sz="4" w:space="0" w:color="A8A8A8"/>
              <w:right w:val="single" w:sz="4" w:space="0" w:color="A8A8A8"/>
            </w:tcBorders>
            <w:shd w:val="clear" w:color="auto" w:fill="auto"/>
          </w:tcPr>
          <w:p w14:paraId="6CC715C5" w14:textId="57A4E7BE" w:rsidR="00BE0497" w:rsidRPr="008F0156" w:rsidRDefault="00456802" w:rsidP="007B384E">
            <w:pPr>
              <w:pStyle w:val="Tablesmalltext"/>
            </w:pPr>
            <w:r>
              <w:t>Removal of constraints to redevelop</w:t>
            </w:r>
            <w:r w:rsidR="00BE0497" w:rsidRPr="008F0156">
              <w:t xml:space="preserve"> surface wat</w:t>
            </w:r>
            <w:r w:rsidR="00BE0497">
              <w:t>er flow paths, e.g. by removing</w:t>
            </w:r>
            <w:r w:rsidR="00BE0497" w:rsidRPr="008F0156">
              <w:t xml:space="preserve"> flow obstructions to allow water to access isolated parts of the floodplain</w:t>
            </w:r>
          </w:p>
        </w:tc>
        <w:tc>
          <w:tcPr>
            <w:tcW w:w="1822" w:type="pct"/>
            <w:tcBorders>
              <w:top w:val="single" w:sz="4" w:space="0" w:color="A8A8A8"/>
              <w:left w:val="single" w:sz="4" w:space="0" w:color="A8A8A8"/>
              <w:bottom w:val="single" w:sz="4" w:space="0" w:color="A8A8A8"/>
              <w:right w:val="single" w:sz="4" w:space="0" w:color="A8A8A8"/>
            </w:tcBorders>
          </w:tcPr>
          <w:p w14:paraId="08C3F472" w14:textId="77777777" w:rsidR="00BE0497" w:rsidRDefault="00BE0497" w:rsidP="00F22225">
            <w:pPr>
              <w:pStyle w:val="Tablesmalltext"/>
              <w:numPr>
                <w:ilvl w:val="0"/>
                <w:numId w:val="30"/>
              </w:numPr>
              <w:ind w:left="199" w:hanging="218"/>
              <w:rPr>
                <w:color w:val="000000" w:themeColor="text1"/>
              </w:rPr>
            </w:pPr>
            <w:r>
              <w:rPr>
                <w:color w:val="000000" w:themeColor="text1"/>
              </w:rPr>
              <w:t>Increasing the extent of surface water inundation and lateral connectivity</w:t>
            </w:r>
          </w:p>
          <w:p w14:paraId="2C9B19BC" w14:textId="60857A00" w:rsidR="00BE0497" w:rsidRPr="00043DD5" w:rsidRDefault="00BE0497" w:rsidP="00F22225">
            <w:pPr>
              <w:pStyle w:val="Tablesmalltext"/>
              <w:numPr>
                <w:ilvl w:val="0"/>
                <w:numId w:val="30"/>
              </w:numPr>
              <w:ind w:left="199" w:hanging="218"/>
              <w:rPr>
                <w:color w:val="000000" w:themeColor="text1"/>
              </w:rPr>
            </w:pPr>
            <w:r>
              <w:rPr>
                <w:color w:val="000000" w:themeColor="text1"/>
              </w:rPr>
              <w:t>Increase availability of soil water via vertical recharge over a larger area of floodplain.</w:t>
            </w:r>
          </w:p>
        </w:tc>
        <w:tc>
          <w:tcPr>
            <w:tcW w:w="908" w:type="pct"/>
            <w:tcBorders>
              <w:top w:val="single" w:sz="4" w:space="0" w:color="A8A8A8"/>
              <w:left w:val="single" w:sz="4" w:space="0" w:color="A8A8A8"/>
              <w:bottom w:val="single" w:sz="4" w:space="0" w:color="A8A8A8"/>
              <w:right w:val="single" w:sz="4" w:space="0" w:color="A8A8A8"/>
            </w:tcBorders>
          </w:tcPr>
          <w:p w14:paraId="5536FBD1" w14:textId="12852A6A" w:rsidR="00BE0497" w:rsidRPr="00F87434" w:rsidRDefault="00BE0497" w:rsidP="00F14224">
            <w:pPr>
              <w:pStyle w:val="Tablesmalltext"/>
            </w:pPr>
            <w:r w:rsidRPr="00F87434">
              <w:t>Small</w:t>
            </w:r>
            <w:r>
              <w:t xml:space="preserve"> – Large depending on area of floodplain that was isolated and the flows at which these areas become inundated.</w:t>
            </w:r>
          </w:p>
        </w:tc>
      </w:tr>
      <w:tr w:rsidR="00BE0497" w:rsidRPr="00F87434" w14:paraId="75BCDA6B" w14:textId="77777777" w:rsidTr="00F618F7">
        <w:tc>
          <w:tcPr>
            <w:tcW w:w="661" w:type="pct"/>
            <w:vMerge/>
            <w:tcBorders>
              <w:left w:val="single" w:sz="4" w:space="0" w:color="A8A8A8"/>
              <w:right w:val="single" w:sz="4" w:space="0" w:color="A8A8A8"/>
            </w:tcBorders>
          </w:tcPr>
          <w:p w14:paraId="4C45CC0F" w14:textId="77777777" w:rsidR="00BE0497" w:rsidRPr="00F87434" w:rsidRDefault="00BE0497" w:rsidP="00F14224">
            <w:pPr>
              <w:pStyle w:val="Tablesmalltext"/>
            </w:pPr>
          </w:p>
        </w:tc>
        <w:tc>
          <w:tcPr>
            <w:tcW w:w="1609" w:type="pct"/>
            <w:tcBorders>
              <w:top w:val="single" w:sz="4" w:space="0" w:color="A8A8A8"/>
              <w:left w:val="single" w:sz="4" w:space="0" w:color="A8A8A8"/>
              <w:right w:val="single" w:sz="4" w:space="0" w:color="A8A8A8"/>
            </w:tcBorders>
            <w:shd w:val="clear" w:color="auto" w:fill="auto"/>
          </w:tcPr>
          <w:p w14:paraId="2CB22687" w14:textId="0C524A05" w:rsidR="00BE0497" w:rsidRPr="008F0156" w:rsidRDefault="00BE0497" w:rsidP="007B384E">
            <w:pPr>
              <w:pStyle w:val="Tablesmalltext"/>
            </w:pPr>
            <w:r w:rsidRPr="005B6DB8">
              <w:t>Augment</w:t>
            </w:r>
            <w:r w:rsidRPr="008F0156">
              <w:t xml:space="preserve"> river flows with environmental water </w:t>
            </w:r>
          </w:p>
        </w:tc>
        <w:tc>
          <w:tcPr>
            <w:tcW w:w="1822" w:type="pct"/>
            <w:tcBorders>
              <w:top w:val="single" w:sz="4" w:space="0" w:color="A8A8A8"/>
              <w:left w:val="single" w:sz="4" w:space="0" w:color="A8A8A8"/>
              <w:right w:val="single" w:sz="4" w:space="0" w:color="A8A8A8"/>
            </w:tcBorders>
          </w:tcPr>
          <w:p w14:paraId="571E8983" w14:textId="0D0892D4" w:rsidR="00BE0497" w:rsidRPr="00472144" w:rsidRDefault="00BE0497" w:rsidP="00F22225">
            <w:pPr>
              <w:pStyle w:val="Tablesmalltext"/>
              <w:numPr>
                <w:ilvl w:val="0"/>
                <w:numId w:val="30"/>
              </w:numPr>
              <w:ind w:left="199" w:hanging="218"/>
              <w:rPr>
                <w:color w:val="000000" w:themeColor="text1"/>
              </w:rPr>
            </w:pPr>
            <w:r w:rsidRPr="00AF49C5">
              <w:rPr>
                <w:color w:val="000000" w:themeColor="text1"/>
              </w:rPr>
              <w:t xml:space="preserve">Increase availability of soil water via enhancing the peak and duration </w:t>
            </w:r>
            <w:r>
              <w:rPr>
                <w:color w:val="000000" w:themeColor="text1"/>
              </w:rPr>
              <w:t xml:space="preserve">of a natural flow event </w:t>
            </w:r>
            <w:r w:rsidRPr="00AF49C5">
              <w:rPr>
                <w:color w:val="000000" w:themeColor="text1"/>
              </w:rPr>
              <w:t xml:space="preserve">to water a </w:t>
            </w:r>
            <w:r>
              <w:rPr>
                <w:color w:val="000000" w:themeColor="text1"/>
              </w:rPr>
              <w:t>larger</w:t>
            </w:r>
            <w:r w:rsidRPr="00AF49C5">
              <w:rPr>
                <w:color w:val="000000" w:themeColor="text1"/>
              </w:rPr>
              <w:t xml:space="preserve"> area </w:t>
            </w:r>
            <w:r>
              <w:rPr>
                <w:color w:val="000000" w:themeColor="text1"/>
              </w:rPr>
              <w:t xml:space="preserve">of the floodplain </w:t>
            </w:r>
            <w:r w:rsidRPr="00AF49C5">
              <w:rPr>
                <w:color w:val="000000" w:themeColor="text1"/>
              </w:rPr>
              <w:t>and</w:t>
            </w:r>
            <w:r>
              <w:rPr>
                <w:color w:val="000000" w:themeColor="text1"/>
              </w:rPr>
              <w:t>/or</w:t>
            </w:r>
            <w:r w:rsidRPr="00AF49C5">
              <w:rPr>
                <w:color w:val="000000" w:themeColor="text1"/>
              </w:rPr>
              <w:t xml:space="preserve"> </w:t>
            </w:r>
            <w:r>
              <w:rPr>
                <w:color w:val="000000" w:themeColor="text1"/>
              </w:rPr>
              <w:t xml:space="preserve">for </w:t>
            </w:r>
            <w:r w:rsidRPr="00AF49C5">
              <w:rPr>
                <w:color w:val="000000" w:themeColor="text1"/>
              </w:rPr>
              <w:t>a</w:t>
            </w:r>
            <w:r>
              <w:rPr>
                <w:color w:val="000000" w:themeColor="text1"/>
              </w:rPr>
              <w:t>n extended</w:t>
            </w:r>
            <w:r w:rsidRPr="00AF49C5">
              <w:rPr>
                <w:color w:val="000000" w:themeColor="text1"/>
              </w:rPr>
              <w:t xml:space="preserve"> duration.</w:t>
            </w:r>
          </w:p>
        </w:tc>
        <w:tc>
          <w:tcPr>
            <w:tcW w:w="908" w:type="pct"/>
            <w:tcBorders>
              <w:top w:val="single" w:sz="4" w:space="0" w:color="A8A8A8"/>
              <w:left w:val="single" w:sz="4" w:space="0" w:color="A8A8A8"/>
              <w:right w:val="single" w:sz="4" w:space="0" w:color="A8A8A8"/>
            </w:tcBorders>
          </w:tcPr>
          <w:p w14:paraId="498E5E1A" w14:textId="4848D139" w:rsidR="00BE0497" w:rsidRPr="00F87434" w:rsidRDefault="00BE0497" w:rsidP="00F14224">
            <w:pPr>
              <w:pStyle w:val="Tablesmalltext"/>
            </w:pPr>
            <w:r>
              <w:t>Medium</w:t>
            </w:r>
            <w:r w:rsidRPr="00AA3D0D">
              <w:t xml:space="preserve"> – Large depending on operational constraints</w:t>
            </w:r>
          </w:p>
        </w:tc>
      </w:tr>
      <w:tr w:rsidR="00BE0497" w:rsidRPr="00F87434" w14:paraId="779C405A" w14:textId="77777777" w:rsidTr="00F618F7">
        <w:trPr>
          <w:trHeight w:val="555"/>
        </w:trPr>
        <w:tc>
          <w:tcPr>
            <w:tcW w:w="661" w:type="pct"/>
            <w:vMerge/>
            <w:tcBorders>
              <w:left w:val="single" w:sz="4" w:space="0" w:color="A8A8A8"/>
              <w:right w:val="single" w:sz="4" w:space="0" w:color="A8A8A8"/>
            </w:tcBorders>
          </w:tcPr>
          <w:p w14:paraId="691425F1" w14:textId="77777777" w:rsidR="00BE0497" w:rsidRPr="00F87434" w:rsidRDefault="00BE0497" w:rsidP="00F14224">
            <w:pPr>
              <w:pStyle w:val="Tablesmalltext"/>
            </w:pPr>
          </w:p>
        </w:tc>
        <w:tc>
          <w:tcPr>
            <w:tcW w:w="1609" w:type="pct"/>
            <w:tcBorders>
              <w:top w:val="single" w:sz="4" w:space="0" w:color="A8A8A8"/>
              <w:left w:val="single" w:sz="4" w:space="0" w:color="A8A8A8"/>
              <w:right w:val="single" w:sz="4" w:space="0" w:color="A8A8A8"/>
            </w:tcBorders>
            <w:shd w:val="clear" w:color="auto" w:fill="auto"/>
          </w:tcPr>
          <w:p w14:paraId="45007E1E" w14:textId="5889D81C" w:rsidR="00BE0497" w:rsidRPr="008F0156" w:rsidRDefault="00BE0497" w:rsidP="00F14224">
            <w:pPr>
              <w:pStyle w:val="Tablesmalltext"/>
            </w:pPr>
            <w:r>
              <w:t xml:space="preserve"> Spray or drip irrigation</w:t>
            </w:r>
          </w:p>
        </w:tc>
        <w:tc>
          <w:tcPr>
            <w:tcW w:w="1822" w:type="pct"/>
            <w:tcBorders>
              <w:top w:val="single" w:sz="4" w:space="0" w:color="A8A8A8"/>
              <w:left w:val="single" w:sz="4" w:space="0" w:color="A8A8A8"/>
              <w:right w:val="single" w:sz="4" w:space="0" w:color="A8A8A8"/>
            </w:tcBorders>
          </w:tcPr>
          <w:p w14:paraId="3EF3307F" w14:textId="389A9A89" w:rsidR="00BE0497" w:rsidRPr="00F87434" w:rsidRDefault="00BE0497" w:rsidP="00F22225">
            <w:pPr>
              <w:pStyle w:val="Tablesmalltext"/>
              <w:numPr>
                <w:ilvl w:val="0"/>
                <w:numId w:val="30"/>
              </w:numPr>
              <w:ind w:left="199" w:hanging="218"/>
              <w:rPr>
                <w:color w:val="000000" w:themeColor="text1"/>
              </w:rPr>
            </w:pPr>
            <w:r>
              <w:rPr>
                <w:rFonts w:eastAsia="Times New Roman" w:cs="Arial"/>
                <w:color w:val="000000"/>
                <w:szCs w:val="20"/>
              </w:rPr>
              <w:t>I</w:t>
            </w:r>
            <w:r w:rsidRPr="00CE47B7">
              <w:rPr>
                <w:rFonts w:eastAsia="Times New Roman" w:cs="Arial"/>
                <w:color w:val="000000"/>
                <w:szCs w:val="20"/>
              </w:rPr>
              <w:t>ncreasing infiltration of water into the soil profile to increase soil water content and availability</w:t>
            </w:r>
          </w:p>
        </w:tc>
        <w:tc>
          <w:tcPr>
            <w:tcW w:w="908" w:type="pct"/>
            <w:tcBorders>
              <w:top w:val="single" w:sz="4" w:space="0" w:color="A8A8A8"/>
              <w:left w:val="single" w:sz="4" w:space="0" w:color="A8A8A8"/>
              <w:right w:val="single" w:sz="4" w:space="0" w:color="A8A8A8"/>
            </w:tcBorders>
          </w:tcPr>
          <w:p w14:paraId="12984BAF" w14:textId="0ED73107" w:rsidR="00BE0497" w:rsidRPr="00F87434" w:rsidRDefault="00BE0497" w:rsidP="00F14224">
            <w:pPr>
              <w:pStyle w:val="Tablesmalltext"/>
            </w:pPr>
            <w:r w:rsidRPr="00AA3D0D">
              <w:t>Small – Large depending on infrastructure</w:t>
            </w:r>
          </w:p>
        </w:tc>
      </w:tr>
      <w:tr w:rsidR="009A0FB8" w:rsidRPr="00F87434" w14:paraId="5E9A0E61" w14:textId="77777777" w:rsidTr="00F618F7">
        <w:tc>
          <w:tcPr>
            <w:tcW w:w="661" w:type="pct"/>
            <w:vMerge w:val="restart"/>
            <w:tcBorders>
              <w:top w:val="single" w:sz="4" w:space="0" w:color="A8A8A8"/>
              <w:left w:val="single" w:sz="4" w:space="0" w:color="A8A8A8"/>
              <w:right w:val="single" w:sz="4" w:space="0" w:color="A8A8A8"/>
            </w:tcBorders>
          </w:tcPr>
          <w:p w14:paraId="603D8B19" w14:textId="5499EC44" w:rsidR="009A0FB8" w:rsidRPr="00F87434" w:rsidRDefault="009A0FB8" w:rsidP="009A0FB8">
            <w:pPr>
              <w:pStyle w:val="Tablesmalltext"/>
            </w:pPr>
            <w:r w:rsidRPr="00F87434">
              <w:t>High unsaturated zone / soil salinity (with saline groundwater not in the capillary fringe)</w:t>
            </w:r>
          </w:p>
        </w:tc>
        <w:tc>
          <w:tcPr>
            <w:tcW w:w="1609" w:type="pct"/>
            <w:tcBorders>
              <w:top w:val="single" w:sz="4" w:space="0" w:color="A8A8A8"/>
              <w:left w:val="single" w:sz="4" w:space="0" w:color="A8A8A8"/>
              <w:bottom w:val="single" w:sz="4" w:space="0" w:color="A8A8A8"/>
              <w:right w:val="single" w:sz="4" w:space="0" w:color="A8A8A8"/>
            </w:tcBorders>
            <w:shd w:val="clear" w:color="auto" w:fill="auto"/>
          </w:tcPr>
          <w:p w14:paraId="340E21F6" w14:textId="73653878" w:rsidR="009A0FB8" w:rsidRPr="00E30737" w:rsidRDefault="009A0FB8" w:rsidP="007B384E">
            <w:pPr>
              <w:pStyle w:val="Tablesmalltext"/>
              <w:rPr>
                <w:color w:val="000000" w:themeColor="text1"/>
              </w:rPr>
            </w:pPr>
            <w:r w:rsidRPr="008F0156">
              <w:rPr>
                <w:color w:val="000000" w:themeColor="text1"/>
              </w:rPr>
              <w:t xml:space="preserve"> Environmental watering via enhanced surface inundation (regulator and blocking banks, aqua dams, pumping to discrete wetlands / recharge basins)</w:t>
            </w:r>
          </w:p>
        </w:tc>
        <w:tc>
          <w:tcPr>
            <w:tcW w:w="1822" w:type="pct"/>
            <w:tcBorders>
              <w:top w:val="single" w:sz="4" w:space="0" w:color="A8A8A8"/>
              <w:left w:val="single" w:sz="4" w:space="0" w:color="A8A8A8"/>
              <w:bottom w:val="single" w:sz="4" w:space="0" w:color="A8A8A8"/>
              <w:right w:val="single" w:sz="4" w:space="0" w:color="A8A8A8"/>
            </w:tcBorders>
          </w:tcPr>
          <w:p w14:paraId="0911DD65" w14:textId="77777777" w:rsidR="009A0FB8" w:rsidRPr="00F87434" w:rsidRDefault="009A0FB8" w:rsidP="00F22225">
            <w:pPr>
              <w:pStyle w:val="Tablesmalltext"/>
              <w:numPr>
                <w:ilvl w:val="0"/>
                <w:numId w:val="30"/>
              </w:numPr>
              <w:ind w:left="199" w:hanging="218"/>
              <w:rPr>
                <w:color w:val="000000" w:themeColor="text1"/>
              </w:rPr>
            </w:pPr>
            <w:r w:rsidRPr="00F87434">
              <w:rPr>
                <w:color w:val="000000" w:themeColor="text1"/>
              </w:rPr>
              <w:t xml:space="preserve">Reduce salinity stress in unsaturated soil zone through enhanced </w:t>
            </w:r>
            <w:r>
              <w:rPr>
                <w:color w:val="000000" w:themeColor="text1"/>
              </w:rPr>
              <w:t>floodplain inundation</w:t>
            </w:r>
            <w:r w:rsidRPr="00F87434">
              <w:rPr>
                <w:color w:val="000000" w:themeColor="text1"/>
              </w:rPr>
              <w:t xml:space="preserve"> and increased rate of vertical </w:t>
            </w:r>
            <w:r>
              <w:rPr>
                <w:color w:val="000000" w:themeColor="text1"/>
              </w:rPr>
              <w:t xml:space="preserve">freshwater </w:t>
            </w:r>
            <w:r w:rsidRPr="00F87434">
              <w:rPr>
                <w:color w:val="000000" w:themeColor="text1"/>
              </w:rPr>
              <w:t>recharge, leading to:</w:t>
            </w:r>
          </w:p>
          <w:p w14:paraId="0D67247E" w14:textId="77777777" w:rsidR="009A0FB8" w:rsidRPr="00F87434" w:rsidRDefault="009A0FB8" w:rsidP="00F22225">
            <w:pPr>
              <w:pStyle w:val="Tablesmalltext"/>
              <w:numPr>
                <w:ilvl w:val="1"/>
                <w:numId w:val="30"/>
              </w:numPr>
              <w:ind w:left="481" w:hanging="246"/>
              <w:rPr>
                <w:color w:val="000000" w:themeColor="text1"/>
              </w:rPr>
            </w:pPr>
            <w:r w:rsidRPr="00F87434">
              <w:rPr>
                <w:color w:val="000000" w:themeColor="text1"/>
              </w:rPr>
              <w:t xml:space="preserve">Flushing of salt from unsaturated soil </w:t>
            </w:r>
          </w:p>
          <w:p w14:paraId="48EF9D1C" w14:textId="77777777" w:rsidR="009A0FB8" w:rsidRPr="00F87434" w:rsidRDefault="009A0FB8" w:rsidP="00F22225">
            <w:pPr>
              <w:pStyle w:val="Tablesmalltext"/>
              <w:numPr>
                <w:ilvl w:val="1"/>
                <w:numId w:val="30"/>
              </w:numPr>
              <w:ind w:left="481" w:hanging="246"/>
              <w:rPr>
                <w:color w:val="000000" w:themeColor="text1"/>
              </w:rPr>
            </w:pPr>
            <w:r>
              <w:rPr>
                <w:color w:val="000000" w:themeColor="text1"/>
              </w:rPr>
              <w:t>Increase in</w:t>
            </w:r>
            <w:r w:rsidRPr="00F87434">
              <w:rPr>
                <w:color w:val="000000" w:themeColor="text1"/>
              </w:rPr>
              <w:t xml:space="preserve"> </w:t>
            </w:r>
            <w:r>
              <w:rPr>
                <w:color w:val="000000" w:themeColor="text1"/>
              </w:rPr>
              <w:t xml:space="preserve">unsaturated zone </w:t>
            </w:r>
            <w:r w:rsidRPr="00F87434">
              <w:rPr>
                <w:color w:val="000000" w:themeColor="text1"/>
              </w:rPr>
              <w:t xml:space="preserve">soil moisture </w:t>
            </w:r>
            <w:r>
              <w:rPr>
                <w:color w:val="000000" w:themeColor="text1"/>
              </w:rPr>
              <w:t>content and availability</w:t>
            </w:r>
          </w:p>
          <w:p w14:paraId="1D39B914" w14:textId="2B6B22E0" w:rsidR="009A0FB8" w:rsidRPr="00F87434" w:rsidRDefault="009A0FB8" w:rsidP="00F22225">
            <w:pPr>
              <w:pStyle w:val="Tablesmalltext"/>
              <w:numPr>
                <w:ilvl w:val="0"/>
                <w:numId w:val="30"/>
              </w:numPr>
              <w:ind w:left="199" w:hanging="218"/>
              <w:rPr>
                <w:color w:val="000000" w:themeColor="text1"/>
              </w:rPr>
            </w:pPr>
            <w:r w:rsidRPr="00F87434">
              <w:rPr>
                <w:color w:val="000000" w:themeColor="text1"/>
              </w:rPr>
              <w:t xml:space="preserve">Potential to create a </w:t>
            </w:r>
            <w:r>
              <w:rPr>
                <w:color w:val="000000" w:themeColor="text1"/>
              </w:rPr>
              <w:t>freshwater</w:t>
            </w:r>
            <w:r w:rsidRPr="00F87434">
              <w:rPr>
                <w:color w:val="000000" w:themeColor="text1"/>
              </w:rPr>
              <w:t xml:space="preserve"> lens</w:t>
            </w:r>
            <w:r>
              <w:rPr>
                <w:color w:val="000000" w:themeColor="text1"/>
              </w:rPr>
              <w:t>.</w:t>
            </w:r>
            <w:r w:rsidRPr="00F87434">
              <w:rPr>
                <w:color w:val="000000" w:themeColor="text1"/>
              </w:rPr>
              <w:t xml:space="preserve"> </w:t>
            </w:r>
          </w:p>
        </w:tc>
        <w:tc>
          <w:tcPr>
            <w:tcW w:w="908" w:type="pct"/>
            <w:tcBorders>
              <w:top w:val="single" w:sz="4" w:space="0" w:color="A8A8A8"/>
              <w:left w:val="single" w:sz="4" w:space="0" w:color="A8A8A8"/>
              <w:bottom w:val="single" w:sz="4" w:space="0" w:color="A8A8A8"/>
              <w:right w:val="single" w:sz="4" w:space="0" w:color="A8A8A8"/>
            </w:tcBorders>
          </w:tcPr>
          <w:p w14:paraId="4A7DFE85" w14:textId="4825ADD6" w:rsidR="009A0FB8" w:rsidRPr="00F87434" w:rsidRDefault="009A0FB8" w:rsidP="009A0FB8">
            <w:pPr>
              <w:pStyle w:val="Tablesmalltext"/>
            </w:pPr>
            <w:r w:rsidRPr="00F87434">
              <w:t xml:space="preserve">Small </w:t>
            </w:r>
            <w:r>
              <w:t>– Large,</w:t>
            </w:r>
            <w:r w:rsidRPr="00F87434">
              <w:t xml:space="preserve"> depending on infrastructure (</w:t>
            </w:r>
            <w:r>
              <w:t xml:space="preserve">e.g. </w:t>
            </w:r>
            <w:r w:rsidRPr="00F87434">
              <w:t>Chowilla Floodplain, SA)</w:t>
            </w:r>
          </w:p>
        </w:tc>
      </w:tr>
      <w:tr w:rsidR="009A0FB8" w:rsidRPr="00F87434" w14:paraId="155E73F8" w14:textId="77777777" w:rsidTr="00F618F7">
        <w:tc>
          <w:tcPr>
            <w:tcW w:w="661" w:type="pct"/>
            <w:vMerge/>
            <w:tcBorders>
              <w:left w:val="single" w:sz="4" w:space="0" w:color="A8A8A8"/>
              <w:right w:val="single" w:sz="4" w:space="0" w:color="A8A8A8"/>
            </w:tcBorders>
          </w:tcPr>
          <w:p w14:paraId="405DBD59" w14:textId="12BC15B8" w:rsidR="009A0FB8" w:rsidRPr="00F87434" w:rsidRDefault="009A0FB8" w:rsidP="009A0FB8">
            <w:pPr>
              <w:pStyle w:val="Tablesmalltext"/>
            </w:pPr>
          </w:p>
        </w:tc>
        <w:tc>
          <w:tcPr>
            <w:tcW w:w="1609" w:type="pct"/>
            <w:tcBorders>
              <w:top w:val="single" w:sz="4" w:space="0" w:color="A8A8A8"/>
              <w:left w:val="single" w:sz="4" w:space="0" w:color="A8A8A8"/>
              <w:bottom w:val="single" w:sz="4" w:space="0" w:color="A8A8A8"/>
              <w:right w:val="single" w:sz="4" w:space="0" w:color="A8A8A8"/>
            </w:tcBorders>
            <w:shd w:val="clear" w:color="auto" w:fill="auto"/>
          </w:tcPr>
          <w:p w14:paraId="6735D486" w14:textId="6FF148AF" w:rsidR="009A0FB8" w:rsidRPr="008F0156" w:rsidRDefault="009A0FB8" w:rsidP="007B384E">
            <w:pPr>
              <w:pStyle w:val="Tablesmalltext"/>
              <w:rPr>
                <w:color w:val="000000" w:themeColor="text1"/>
              </w:rPr>
            </w:pPr>
            <w:r w:rsidRPr="00DA6C99">
              <w:rPr>
                <w:color w:val="000000" w:themeColor="text1"/>
              </w:rPr>
              <w:t>Weir</w:t>
            </w:r>
            <w:r w:rsidRPr="008F0156">
              <w:rPr>
                <w:color w:val="000000" w:themeColor="text1"/>
              </w:rPr>
              <w:t xml:space="preserve"> pool manipulation to enhance lateral recharge from surface water bodies (river or lakes) (where relatively permeable river skin exists</w:t>
            </w:r>
            <w:r w:rsidR="004E19F3">
              <w:rPr>
                <w:color w:val="000000" w:themeColor="text1"/>
              </w:rPr>
              <w:t>, as described in AWE, 2015</w:t>
            </w:r>
            <w:r w:rsidRPr="008F0156">
              <w:rPr>
                <w:color w:val="000000" w:themeColor="text1"/>
              </w:rPr>
              <w:t xml:space="preserve">) </w:t>
            </w:r>
          </w:p>
        </w:tc>
        <w:tc>
          <w:tcPr>
            <w:tcW w:w="1822" w:type="pct"/>
            <w:tcBorders>
              <w:top w:val="single" w:sz="4" w:space="0" w:color="A8A8A8"/>
              <w:left w:val="single" w:sz="4" w:space="0" w:color="A8A8A8"/>
              <w:bottom w:val="single" w:sz="4" w:space="0" w:color="A8A8A8"/>
              <w:right w:val="single" w:sz="4" w:space="0" w:color="A8A8A8"/>
            </w:tcBorders>
          </w:tcPr>
          <w:p w14:paraId="55D97D22" w14:textId="77777777" w:rsidR="009A0FB8" w:rsidRPr="00F87434" w:rsidRDefault="009A0FB8" w:rsidP="00F22225">
            <w:pPr>
              <w:pStyle w:val="Tablesmalltext"/>
              <w:numPr>
                <w:ilvl w:val="0"/>
                <w:numId w:val="30"/>
              </w:numPr>
              <w:ind w:left="199" w:hanging="218"/>
              <w:rPr>
                <w:color w:val="000000" w:themeColor="text1"/>
              </w:rPr>
            </w:pPr>
            <w:r w:rsidRPr="00F87434">
              <w:rPr>
                <w:color w:val="000000" w:themeColor="text1"/>
              </w:rPr>
              <w:t>Reduce salinity stress in the unsaturated soil zone through enhanced rate of lateral freshwater recharge, leading to:</w:t>
            </w:r>
          </w:p>
          <w:p w14:paraId="13A271BF" w14:textId="77777777" w:rsidR="009A0FB8" w:rsidRPr="00F87434" w:rsidRDefault="009A0FB8" w:rsidP="00F22225">
            <w:pPr>
              <w:pStyle w:val="Tablesmalltext"/>
              <w:numPr>
                <w:ilvl w:val="1"/>
                <w:numId w:val="30"/>
              </w:numPr>
              <w:ind w:left="481" w:hanging="246"/>
              <w:rPr>
                <w:color w:val="000000" w:themeColor="text1"/>
              </w:rPr>
            </w:pPr>
            <w:r w:rsidRPr="00F87434">
              <w:rPr>
                <w:color w:val="000000" w:themeColor="text1"/>
              </w:rPr>
              <w:t>Creation of freshwater lens via lateral movement of water through the river bank</w:t>
            </w:r>
          </w:p>
          <w:p w14:paraId="4E3726BE" w14:textId="59F2718B" w:rsidR="009A0FB8" w:rsidRPr="00F87434" w:rsidRDefault="009A0FB8" w:rsidP="00F22225">
            <w:pPr>
              <w:pStyle w:val="Tablesmalltext"/>
              <w:numPr>
                <w:ilvl w:val="1"/>
                <w:numId w:val="30"/>
              </w:numPr>
              <w:ind w:left="481" w:hanging="246"/>
              <w:rPr>
                <w:color w:val="000000" w:themeColor="text1"/>
              </w:rPr>
            </w:pPr>
            <w:r w:rsidRPr="00F87434">
              <w:rPr>
                <w:color w:val="000000" w:themeColor="text1"/>
              </w:rPr>
              <w:t>Freshening of saline groundwater</w:t>
            </w:r>
            <w:r>
              <w:rPr>
                <w:color w:val="000000" w:themeColor="text1"/>
              </w:rPr>
              <w:t>.</w:t>
            </w:r>
          </w:p>
        </w:tc>
        <w:tc>
          <w:tcPr>
            <w:tcW w:w="908" w:type="pct"/>
            <w:tcBorders>
              <w:top w:val="single" w:sz="4" w:space="0" w:color="A8A8A8"/>
              <w:left w:val="single" w:sz="4" w:space="0" w:color="A8A8A8"/>
              <w:bottom w:val="single" w:sz="4" w:space="0" w:color="A8A8A8"/>
              <w:right w:val="single" w:sz="4" w:space="0" w:color="A8A8A8"/>
            </w:tcBorders>
          </w:tcPr>
          <w:p w14:paraId="34D61E8A" w14:textId="43541948" w:rsidR="009A0FB8" w:rsidRPr="00F87434" w:rsidRDefault="009A0FB8" w:rsidP="009A0FB8">
            <w:pPr>
              <w:pStyle w:val="Tablesmalltext"/>
            </w:pPr>
            <w:r w:rsidRPr="00F87434">
              <w:t xml:space="preserve">Small </w:t>
            </w:r>
            <w:r>
              <w:t>– M</w:t>
            </w:r>
            <w:r w:rsidRPr="00F87434">
              <w:t xml:space="preserve">edium depending on </w:t>
            </w:r>
            <w:r>
              <w:t>depth to groundwater, soils and height/duration of weir raising and lowering</w:t>
            </w:r>
          </w:p>
        </w:tc>
      </w:tr>
      <w:tr w:rsidR="00456802" w:rsidRPr="00F87434" w14:paraId="110513AF" w14:textId="77777777" w:rsidTr="00F618F7">
        <w:tc>
          <w:tcPr>
            <w:tcW w:w="661" w:type="pct"/>
            <w:vMerge/>
            <w:tcBorders>
              <w:left w:val="single" w:sz="4" w:space="0" w:color="A8A8A8"/>
              <w:right w:val="single" w:sz="4" w:space="0" w:color="A8A8A8"/>
            </w:tcBorders>
          </w:tcPr>
          <w:p w14:paraId="6393B0C8" w14:textId="77777777" w:rsidR="00456802" w:rsidRPr="00F87434" w:rsidRDefault="00456802" w:rsidP="00456802">
            <w:pPr>
              <w:pStyle w:val="Tablesmalltext"/>
            </w:pPr>
          </w:p>
        </w:tc>
        <w:tc>
          <w:tcPr>
            <w:tcW w:w="1609" w:type="pct"/>
            <w:tcBorders>
              <w:top w:val="single" w:sz="4" w:space="0" w:color="A8A8A8"/>
              <w:left w:val="single" w:sz="4" w:space="0" w:color="A8A8A8"/>
              <w:bottom w:val="single" w:sz="4" w:space="0" w:color="A8A8A8"/>
              <w:right w:val="single" w:sz="4" w:space="0" w:color="A8A8A8"/>
            </w:tcBorders>
            <w:shd w:val="clear" w:color="auto" w:fill="auto"/>
          </w:tcPr>
          <w:p w14:paraId="33F1D1A2" w14:textId="479FBB85" w:rsidR="00456802" w:rsidRPr="008F0156" w:rsidRDefault="00456802" w:rsidP="007B384E">
            <w:pPr>
              <w:pStyle w:val="Tablesmalltext"/>
              <w:rPr>
                <w:color w:val="000000" w:themeColor="text1"/>
              </w:rPr>
            </w:pPr>
            <w:r>
              <w:t>Removal of constraints to redevelop</w:t>
            </w:r>
            <w:r w:rsidRPr="008F0156">
              <w:t xml:space="preserve"> surface wat</w:t>
            </w:r>
            <w:r>
              <w:t>er flow paths, e.g. by removing</w:t>
            </w:r>
            <w:r w:rsidRPr="008F0156">
              <w:t xml:space="preserve"> flow obstructions to allow water to access isolated parts of the floodplain</w:t>
            </w:r>
          </w:p>
        </w:tc>
        <w:tc>
          <w:tcPr>
            <w:tcW w:w="1822" w:type="pct"/>
            <w:tcBorders>
              <w:top w:val="single" w:sz="4" w:space="0" w:color="A8A8A8"/>
              <w:left w:val="single" w:sz="4" w:space="0" w:color="A8A8A8"/>
              <w:bottom w:val="single" w:sz="4" w:space="0" w:color="A8A8A8"/>
              <w:right w:val="single" w:sz="4" w:space="0" w:color="A8A8A8"/>
            </w:tcBorders>
          </w:tcPr>
          <w:p w14:paraId="16BD890B" w14:textId="55E57122" w:rsidR="00456802" w:rsidRPr="00DA6C99" w:rsidRDefault="00456802" w:rsidP="00F22225">
            <w:pPr>
              <w:pStyle w:val="Tablesmalltext"/>
              <w:numPr>
                <w:ilvl w:val="1"/>
                <w:numId w:val="30"/>
              </w:numPr>
              <w:ind w:left="481" w:hanging="246"/>
              <w:rPr>
                <w:color w:val="000000" w:themeColor="text1"/>
              </w:rPr>
            </w:pPr>
            <w:r>
              <w:t>Increases the potential for environmental water to reach Black Box vegetation, and the potential variation of river water levels for weir pool manipulation events, to inundate larger areas of Black Box.</w:t>
            </w:r>
          </w:p>
        </w:tc>
        <w:tc>
          <w:tcPr>
            <w:tcW w:w="908" w:type="pct"/>
            <w:tcBorders>
              <w:top w:val="single" w:sz="4" w:space="0" w:color="A8A8A8"/>
              <w:left w:val="single" w:sz="4" w:space="0" w:color="A8A8A8"/>
              <w:bottom w:val="single" w:sz="4" w:space="0" w:color="A8A8A8"/>
              <w:right w:val="single" w:sz="4" w:space="0" w:color="A8A8A8"/>
            </w:tcBorders>
          </w:tcPr>
          <w:p w14:paraId="003F21EC" w14:textId="66A436BB" w:rsidR="00456802" w:rsidRPr="00F87434" w:rsidRDefault="00456802" w:rsidP="00456802">
            <w:pPr>
              <w:pStyle w:val="Tablesmalltext"/>
            </w:pPr>
            <w:r>
              <w:t>Small to large</w:t>
            </w:r>
          </w:p>
        </w:tc>
      </w:tr>
      <w:tr w:rsidR="00456802" w:rsidRPr="00F87434" w14:paraId="7763CB90" w14:textId="77777777" w:rsidTr="00F618F7">
        <w:tc>
          <w:tcPr>
            <w:tcW w:w="661" w:type="pct"/>
            <w:vMerge w:val="restart"/>
            <w:tcBorders>
              <w:left w:val="single" w:sz="4" w:space="0" w:color="A8A8A8"/>
              <w:right w:val="single" w:sz="4" w:space="0" w:color="A8A8A8"/>
            </w:tcBorders>
          </w:tcPr>
          <w:p w14:paraId="280E13E8" w14:textId="691C4F5D" w:rsidR="00456802" w:rsidRPr="00F87434" w:rsidRDefault="00456802" w:rsidP="00456802">
            <w:pPr>
              <w:pStyle w:val="Tablesmalltext"/>
            </w:pPr>
            <w:r w:rsidRPr="00F87434">
              <w:t>Shallow high salinity groundwater in the capillary zone (i.e. evaporating from the floodplain)</w:t>
            </w:r>
          </w:p>
        </w:tc>
        <w:tc>
          <w:tcPr>
            <w:tcW w:w="1609" w:type="pct"/>
            <w:tcBorders>
              <w:top w:val="single" w:sz="4" w:space="0" w:color="A8A8A8"/>
              <w:left w:val="single" w:sz="4" w:space="0" w:color="A8A8A8"/>
              <w:right w:val="single" w:sz="4" w:space="0" w:color="A8A8A8"/>
            </w:tcBorders>
            <w:shd w:val="clear" w:color="auto" w:fill="auto"/>
          </w:tcPr>
          <w:p w14:paraId="3F1E7E9A" w14:textId="758A4BA1" w:rsidR="00456802" w:rsidRPr="00E30737" w:rsidRDefault="00456802" w:rsidP="007B384E">
            <w:pPr>
              <w:pStyle w:val="Tablesmalltext"/>
              <w:rPr>
                <w:color w:val="000000" w:themeColor="text1"/>
              </w:rPr>
            </w:pPr>
            <w:r w:rsidRPr="00F87434">
              <w:t xml:space="preserve">Weir pool manipulation to enhance lateral recharge of groundwater from surface water bodies (river or </w:t>
            </w:r>
            <w:r>
              <w:t>anabranches</w:t>
            </w:r>
            <w:r w:rsidRPr="00F87434">
              <w:t>) (where relatively permeable river skin exists</w:t>
            </w:r>
            <w:r w:rsidR="004E19F3">
              <w:t>, as described in AWE, 2015</w:t>
            </w:r>
            <w:r w:rsidRPr="00F87434">
              <w:t>)</w:t>
            </w:r>
          </w:p>
        </w:tc>
        <w:tc>
          <w:tcPr>
            <w:tcW w:w="1822" w:type="pct"/>
            <w:tcBorders>
              <w:top w:val="single" w:sz="4" w:space="0" w:color="A8A8A8"/>
              <w:left w:val="single" w:sz="4" w:space="0" w:color="A8A8A8"/>
              <w:right w:val="single" w:sz="4" w:space="0" w:color="A8A8A8"/>
            </w:tcBorders>
          </w:tcPr>
          <w:p w14:paraId="3C76B585" w14:textId="77777777" w:rsidR="00456802" w:rsidRPr="00F87434" w:rsidRDefault="00456802" w:rsidP="00F22225">
            <w:pPr>
              <w:pStyle w:val="Tablesmalltext"/>
              <w:numPr>
                <w:ilvl w:val="0"/>
                <w:numId w:val="30"/>
              </w:numPr>
              <w:ind w:left="199" w:hanging="218"/>
              <w:rPr>
                <w:color w:val="000000" w:themeColor="text1"/>
              </w:rPr>
            </w:pPr>
            <w:r w:rsidRPr="00F87434">
              <w:t xml:space="preserve">Reduce salinity stress though </w:t>
            </w:r>
            <w:r w:rsidRPr="00F87434">
              <w:rPr>
                <w:color w:val="000000" w:themeColor="text1"/>
              </w:rPr>
              <w:t xml:space="preserve">enhanced rate of lateral </w:t>
            </w:r>
            <w:r>
              <w:rPr>
                <w:color w:val="000000" w:themeColor="text1"/>
              </w:rPr>
              <w:t>freshwater</w:t>
            </w:r>
            <w:r w:rsidRPr="00F87434">
              <w:rPr>
                <w:color w:val="000000" w:themeColor="text1"/>
              </w:rPr>
              <w:t xml:space="preserve"> recharge, leading to:</w:t>
            </w:r>
          </w:p>
          <w:p w14:paraId="311E711B" w14:textId="77777777" w:rsidR="00456802" w:rsidRPr="00F87434" w:rsidRDefault="00456802" w:rsidP="00F22225">
            <w:pPr>
              <w:pStyle w:val="Tablesmalltext"/>
              <w:numPr>
                <w:ilvl w:val="1"/>
                <w:numId w:val="30"/>
              </w:numPr>
              <w:ind w:left="481" w:hanging="246"/>
              <w:rPr>
                <w:color w:val="000000" w:themeColor="text1"/>
              </w:rPr>
            </w:pPr>
            <w:r w:rsidRPr="00F87434">
              <w:rPr>
                <w:color w:val="000000" w:themeColor="text1"/>
              </w:rPr>
              <w:t>Formation of freshwater lens</w:t>
            </w:r>
          </w:p>
          <w:p w14:paraId="0FEBB330" w14:textId="77E5DEB7" w:rsidR="00456802" w:rsidRPr="00F87434" w:rsidRDefault="00456802" w:rsidP="00F22225">
            <w:pPr>
              <w:pStyle w:val="Tablesmalltext"/>
              <w:numPr>
                <w:ilvl w:val="0"/>
                <w:numId w:val="30"/>
              </w:numPr>
              <w:ind w:left="199" w:hanging="218"/>
              <w:rPr>
                <w:color w:val="000000" w:themeColor="text1"/>
              </w:rPr>
            </w:pPr>
            <w:r w:rsidRPr="00F87434">
              <w:rPr>
                <w:color w:val="000000" w:themeColor="text1"/>
              </w:rPr>
              <w:t>Associated freshening of unsaturated soil moisture</w:t>
            </w:r>
            <w:r>
              <w:rPr>
                <w:color w:val="000000" w:themeColor="text1"/>
              </w:rPr>
              <w:t>.</w:t>
            </w:r>
            <w:r w:rsidRPr="00F87434">
              <w:rPr>
                <w:color w:val="000000" w:themeColor="text1"/>
              </w:rPr>
              <w:t xml:space="preserve"> </w:t>
            </w:r>
          </w:p>
        </w:tc>
        <w:tc>
          <w:tcPr>
            <w:tcW w:w="908" w:type="pct"/>
            <w:tcBorders>
              <w:top w:val="single" w:sz="4" w:space="0" w:color="A8A8A8"/>
              <w:left w:val="single" w:sz="4" w:space="0" w:color="A8A8A8"/>
              <w:right w:val="single" w:sz="4" w:space="0" w:color="A8A8A8"/>
            </w:tcBorders>
          </w:tcPr>
          <w:p w14:paraId="6045F8B9" w14:textId="5C506A38" w:rsidR="00456802" w:rsidRPr="00F87434" w:rsidRDefault="00456802" w:rsidP="00456802">
            <w:pPr>
              <w:pStyle w:val="Tablesmalltext"/>
            </w:pPr>
            <w:r w:rsidRPr="00F87434">
              <w:t xml:space="preserve">Small </w:t>
            </w:r>
            <w:r>
              <w:t>– M</w:t>
            </w:r>
            <w:r w:rsidRPr="00F87434">
              <w:t xml:space="preserve">edium depending on </w:t>
            </w:r>
            <w:r>
              <w:t>depth to groundwater, soils and height/duration of weir raising and lowering</w:t>
            </w:r>
          </w:p>
        </w:tc>
      </w:tr>
      <w:tr w:rsidR="00456802" w:rsidRPr="00F87434" w14:paraId="0D6548C0" w14:textId="77777777" w:rsidTr="00F618F7">
        <w:trPr>
          <w:trHeight w:val="1130"/>
        </w:trPr>
        <w:tc>
          <w:tcPr>
            <w:tcW w:w="661" w:type="pct"/>
            <w:vMerge/>
            <w:tcBorders>
              <w:left w:val="single" w:sz="4" w:space="0" w:color="A8A8A8"/>
              <w:right w:val="single" w:sz="4" w:space="0" w:color="A8A8A8"/>
            </w:tcBorders>
          </w:tcPr>
          <w:p w14:paraId="0AD0D5DA" w14:textId="77D95EF2" w:rsidR="00456802" w:rsidRPr="00F87434" w:rsidRDefault="00456802" w:rsidP="00456802">
            <w:pPr>
              <w:pStyle w:val="Tablesmalltext"/>
            </w:pPr>
          </w:p>
        </w:tc>
        <w:tc>
          <w:tcPr>
            <w:tcW w:w="1609" w:type="pct"/>
            <w:tcBorders>
              <w:top w:val="single" w:sz="4" w:space="0" w:color="A8A8A8"/>
              <w:left w:val="single" w:sz="4" w:space="0" w:color="A8A8A8"/>
              <w:bottom w:val="single" w:sz="4" w:space="0" w:color="A8A8A8"/>
              <w:right w:val="single" w:sz="4" w:space="0" w:color="A8A8A8"/>
            </w:tcBorders>
            <w:shd w:val="clear" w:color="auto" w:fill="auto"/>
          </w:tcPr>
          <w:p w14:paraId="08A8D3A9" w14:textId="10F3C8AE" w:rsidR="00456802" w:rsidRPr="00F87434" w:rsidRDefault="00456802" w:rsidP="007B384E">
            <w:pPr>
              <w:pStyle w:val="Tablesmalltext"/>
            </w:pPr>
            <w:r w:rsidRPr="00F87434">
              <w:t>Groundwater pumping</w:t>
            </w:r>
            <w:r>
              <w:t xml:space="preserve"> (extraction / interception, e.g. SIS) from the </w:t>
            </w:r>
            <w:r w:rsidRPr="00F87434">
              <w:t xml:space="preserve">floodplain to lower water table </w:t>
            </w:r>
          </w:p>
        </w:tc>
        <w:tc>
          <w:tcPr>
            <w:tcW w:w="1822" w:type="pct"/>
            <w:tcBorders>
              <w:top w:val="single" w:sz="4" w:space="0" w:color="A8A8A8"/>
              <w:left w:val="single" w:sz="4" w:space="0" w:color="A8A8A8"/>
              <w:bottom w:val="single" w:sz="4" w:space="0" w:color="A8A8A8"/>
              <w:right w:val="single" w:sz="4" w:space="0" w:color="A8A8A8"/>
            </w:tcBorders>
          </w:tcPr>
          <w:p w14:paraId="0DF7892D" w14:textId="77777777" w:rsidR="00456802" w:rsidRPr="00F87434" w:rsidRDefault="00456802" w:rsidP="00F22225">
            <w:pPr>
              <w:pStyle w:val="Tablesmalltext"/>
              <w:numPr>
                <w:ilvl w:val="0"/>
                <w:numId w:val="30"/>
              </w:numPr>
              <w:ind w:left="199" w:hanging="218"/>
              <w:rPr>
                <w:color w:val="000000" w:themeColor="text1"/>
              </w:rPr>
            </w:pPr>
            <w:r w:rsidRPr="00F87434">
              <w:t xml:space="preserve">Reduced salinity / water logging stress by increasing depth to groundwater table (to below capillary zone) through groundwater </w:t>
            </w:r>
            <w:r w:rsidRPr="00F87434">
              <w:rPr>
                <w:color w:val="000000" w:themeColor="text1"/>
              </w:rPr>
              <w:t>extraction (pumping) and offsite disposal leading to</w:t>
            </w:r>
            <w:r>
              <w:rPr>
                <w:color w:val="000000" w:themeColor="text1"/>
              </w:rPr>
              <w:t>:</w:t>
            </w:r>
          </w:p>
          <w:p w14:paraId="6C56400A" w14:textId="77777777" w:rsidR="00456802" w:rsidRDefault="00456802" w:rsidP="00F22225">
            <w:pPr>
              <w:pStyle w:val="Tablesmalltext"/>
              <w:numPr>
                <w:ilvl w:val="1"/>
                <w:numId w:val="30"/>
              </w:numPr>
              <w:ind w:left="481" w:hanging="246"/>
              <w:rPr>
                <w:color w:val="000000" w:themeColor="text1"/>
              </w:rPr>
            </w:pPr>
            <w:r>
              <w:rPr>
                <w:color w:val="000000" w:themeColor="text1"/>
              </w:rPr>
              <w:t>Reduces rate of salt accumulation via a reduction in rate of capillary rise and evapotranspiration of groundwater</w:t>
            </w:r>
          </w:p>
          <w:p w14:paraId="43E39E6B" w14:textId="77777777" w:rsidR="00456802" w:rsidRDefault="00456802" w:rsidP="00F22225">
            <w:pPr>
              <w:pStyle w:val="Tablesmalltext"/>
              <w:numPr>
                <w:ilvl w:val="1"/>
                <w:numId w:val="30"/>
              </w:numPr>
              <w:ind w:left="481" w:hanging="246"/>
              <w:rPr>
                <w:color w:val="000000" w:themeColor="text1"/>
              </w:rPr>
            </w:pPr>
            <w:r>
              <w:rPr>
                <w:color w:val="000000" w:themeColor="text1"/>
              </w:rPr>
              <w:t>F</w:t>
            </w:r>
            <w:r w:rsidRPr="00F87434">
              <w:rPr>
                <w:color w:val="000000" w:themeColor="text1"/>
              </w:rPr>
              <w:t>reshen</w:t>
            </w:r>
            <w:r>
              <w:rPr>
                <w:color w:val="000000" w:themeColor="text1"/>
              </w:rPr>
              <w:t xml:space="preserve">s </w:t>
            </w:r>
            <w:r w:rsidRPr="00F87434">
              <w:rPr>
                <w:color w:val="000000" w:themeColor="text1"/>
              </w:rPr>
              <w:t xml:space="preserve">groundwater </w:t>
            </w:r>
            <w:r>
              <w:rPr>
                <w:color w:val="000000" w:themeColor="text1"/>
              </w:rPr>
              <w:t>via</w:t>
            </w:r>
            <w:r w:rsidRPr="00F87434">
              <w:rPr>
                <w:color w:val="000000" w:themeColor="text1"/>
              </w:rPr>
              <w:t xml:space="preserve"> lateral </w:t>
            </w:r>
            <w:r>
              <w:rPr>
                <w:color w:val="000000" w:themeColor="text1"/>
              </w:rPr>
              <w:t>recharge</w:t>
            </w:r>
          </w:p>
          <w:p w14:paraId="0E41402C" w14:textId="77777777" w:rsidR="00456802" w:rsidRDefault="00456802" w:rsidP="00F22225">
            <w:pPr>
              <w:pStyle w:val="Tablesmalltext"/>
              <w:numPr>
                <w:ilvl w:val="1"/>
                <w:numId w:val="30"/>
              </w:numPr>
              <w:ind w:left="481" w:hanging="246"/>
              <w:rPr>
                <w:color w:val="000000" w:themeColor="text1"/>
              </w:rPr>
            </w:pPr>
            <w:r>
              <w:rPr>
                <w:color w:val="000000" w:themeColor="text1"/>
              </w:rPr>
              <w:t>Increases capacity for flushing</w:t>
            </w:r>
            <w:r w:rsidRPr="00F87434">
              <w:rPr>
                <w:color w:val="000000" w:themeColor="text1"/>
              </w:rPr>
              <w:t xml:space="preserve"> of salt from the </w:t>
            </w:r>
            <w:r>
              <w:rPr>
                <w:color w:val="000000" w:themeColor="text1"/>
              </w:rPr>
              <w:t xml:space="preserve">unsaturated </w:t>
            </w:r>
            <w:r w:rsidRPr="00F87434">
              <w:rPr>
                <w:color w:val="000000" w:themeColor="text1"/>
              </w:rPr>
              <w:t xml:space="preserve">soil profile in subsequent flooding </w:t>
            </w:r>
            <w:r>
              <w:rPr>
                <w:color w:val="000000" w:themeColor="text1"/>
              </w:rPr>
              <w:t xml:space="preserve">and rainfall </w:t>
            </w:r>
            <w:r w:rsidRPr="00F87434">
              <w:rPr>
                <w:color w:val="000000" w:themeColor="text1"/>
              </w:rPr>
              <w:t>events</w:t>
            </w:r>
          </w:p>
          <w:p w14:paraId="31BFEC11" w14:textId="78478E87" w:rsidR="00456802" w:rsidRPr="00F87434" w:rsidRDefault="00456802" w:rsidP="00F22225">
            <w:pPr>
              <w:pStyle w:val="Tablesmalltext"/>
              <w:numPr>
                <w:ilvl w:val="1"/>
                <w:numId w:val="30"/>
              </w:numPr>
              <w:ind w:left="481" w:hanging="246"/>
            </w:pPr>
            <w:r>
              <w:rPr>
                <w:color w:val="000000" w:themeColor="text1"/>
              </w:rPr>
              <w:t>Increases magnitude of unsaturated zone in which soil moisture can be stored.</w:t>
            </w:r>
          </w:p>
        </w:tc>
        <w:tc>
          <w:tcPr>
            <w:tcW w:w="908" w:type="pct"/>
            <w:tcBorders>
              <w:top w:val="single" w:sz="4" w:space="0" w:color="A8A8A8"/>
              <w:left w:val="single" w:sz="4" w:space="0" w:color="A8A8A8"/>
              <w:bottom w:val="single" w:sz="4" w:space="0" w:color="A8A8A8"/>
              <w:right w:val="single" w:sz="4" w:space="0" w:color="A8A8A8"/>
            </w:tcBorders>
          </w:tcPr>
          <w:p w14:paraId="2AD01FEB" w14:textId="0C2A2A82" w:rsidR="00456802" w:rsidRPr="00F87434" w:rsidRDefault="00456802" w:rsidP="00456802">
            <w:pPr>
              <w:pStyle w:val="Tablesmalltext"/>
            </w:pPr>
            <w:r w:rsidRPr="00F87434">
              <w:t>Potentially small to large, but dependent on how easy it is to dispose of the highly saline pumped water</w:t>
            </w:r>
            <w:r>
              <w:t xml:space="preserve"> and cost</w:t>
            </w:r>
            <w:r w:rsidRPr="00F87434">
              <w:t>.</w:t>
            </w:r>
          </w:p>
        </w:tc>
      </w:tr>
      <w:tr w:rsidR="00456802" w:rsidRPr="00F87434" w14:paraId="270E00C3" w14:textId="77777777" w:rsidTr="00F618F7">
        <w:tc>
          <w:tcPr>
            <w:tcW w:w="661" w:type="pct"/>
            <w:vMerge/>
            <w:tcBorders>
              <w:left w:val="single" w:sz="4" w:space="0" w:color="A8A8A8"/>
              <w:right w:val="single" w:sz="4" w:space="0" w:color="A8A8A8"/>
            </w:tcBorders>
          </w:tcPr>
          <w:p w14:paraId="01A4A114" w14:textId="77777777" w:rsidR="00456802" w:rsidRPr="00F87434" w:rsidRDefault="00456802" w:rsidP="00456802">
            <w:pPr>
              <w:pStyle w:val="Tablesmalltext"/>
            </w:pPr>
          </w:p>
        </w:tc>
        <w:tc>
          <w:tcPr>
            <w:tcW w:w="1609" w:type="pct"/>
            <w:tcBorders>
              <w:top w:val="single" w:sz="4" w:space="0" w:color="A8A8A8"/>
              <w:left w:val="single" w:sz="4" w:space="0" w:color="A8A8A8"/>
              <w:bottom w:val="single" w:sz="4" w:space="0" w:color="A8A8A8"/>
              <w:right w:val="single" w:sz="4" w:space="0" w:color="A8A8A8"/>
            </w:tcBorders>
            <w:shd w:val="clear" w:color="auto" w:fill="auto"/>
          </w:tcPr>
          <w:p w14:paraId="23C44001" w14:textId="6D59AA68" w:rsidR="00456802" w:rsidRPr="00F87434" w:rsidRDefault="00456802" w:rsidP="007B384E">
            <w:pPr>
              <w:pStyle w:val="Tablesmalltext"/>
              <w:pageBreakBefore/>
            </w:pPr>
            <w:r w:rsidRPr="00F87434">
              <w:t>Groundwater injection to create / enhance freshwater lens</w:t>
            </w:r>
          </w:p>
        </w:tc>
        <w:tc>
          <w:tcPr>
            <w:tcW w:w="1822" w:type="pct"/>
            <w:tcBorders>
              <w:top w:val="single" w:sz="4" w:space="0" w:color="A8A8A8"/>
              <w:left w:val="single" w:sz="4" w:space="0" w:color="A8A8A8"/>
              <w:bottom w:val="single" w:sz="4" w:space="0" w:color="A8A8A8"/>
              <w:right w:val="single" w:sz="4" w:space="0" w:color="A8A8A8"/>
            </w:tcBorders>
          </w:tcPr>
          <w:p w14:paraId="1FFD48C8" w14:textId="68DB3BCA" w:rsidR="00456802" w:rsidRPr="00E91D94" w:rsidRDefault="00456802" w:rsidP="00F22225">
            <w:pPr>
              <w:pStyle w:val="Tablesmalltext"/>
              <w:numPr>
                <w:ilvl w:val="1"/>
                <w:numId w:val="30"/>
              </w:numPr>
              <w:ind w:left="481" w:hanging="246"/>
              <w:rPr>
                <w:color w:val="000000" w:themeColor="text1"/>
              </w:rPr>
            </w:pPr>
            <w:r w:rsidRPr="00F87434">
              <w:t>Reduced salinity stress in groundwater zone through direct creation / enhancement of freshwater lens</w:t>
            </w:r>
            <w:r>
              <w:t xml:space="preserve">. </w:t>
            </w:r>
          </w:p>
        </w:tc>
        <w:tc>
          <w:tcPr>
            <w:tcW w:w="908" w:type="pct"/>
            <w:tcBorders>
              <w:top w:val="single" w:sz="4" w:space="0" w:color="A8A8A8"/>
              <w:left w:val="single" w:sz="4" w:space="0" w:color="A8A8A8"/>
              <w:bottom w:val="single" w:sz="4" w:space="0" w:color="A8A8A8"/>
              <w:right w:val="single" w:sz="4" w:space="0" w:color="A8A8A8"/>
            </w:tcBorders>
          </w:tcPr>
          <w:p w14:paraId="52DDEE5B" w14:textId="50312CC7" w:rsidR="00456802" w:rsidRPr="00F87434" w:rsidRDefault="00456802" w:rsidP="00456802">
            <w:pPr>
              <w:pStyle w:val="Tablesmalltext"/>
            </w:pPr>
            <w:r w:rsidRPr="00F87434">
              <w:t xml:space="preserve">Small </w:t>
            </w:r>
          </w:p>
        </w:tc>
      </w:tr>
      <w:tr w:rsidR="00456802" w:rsidRPr="00F87434" w14:paraId="13E115A1" w14:textId="77777777" w:rsidTr="00F618F7">
        <w:tc>
          <w:tcPr>
            <w:tcW w:w="661" w:type="pct"/>
            <w:vMerge/>
            <w:tcBorders>
              <w:left w:val="single" w:sz="4" w:space="0" w:color="A8A8A8"/>
              <w:right w:val="single" w:sz="4" w:space="0" w:color="A8A8A8"/>
            </w:tcBorders>
          </w:tcPr>
          <w:p w14:paraId="5F3FFB4D" w14:textId="77777777" w:rsidR="00456802" w:rsidRPr="00F87434" w:rsidRDefault="00456802" w:rsidP="00456802">
            <w:pPr>
              <w:pStyle w:val="Tablesmalltext"/>
            </w:pPr>
          </w:p>
        </w:tc>
        <w:tc>
          <w:tcPr>
            <w:tcW w:w="1609" w:type="pct"/>
            <w:tcBorders>
              <w:top w:val="single" w:sz="4" w:space="0" w:color="A8A8A8"/>
              <w:left w:val="single" w:sz="4" w:space="0" w:color="A8A8A8"/>
              <w:bottom w:val="single" w:sz="4" w:space="0" w:color="A8A8A8"/>
              <w:right w:val="single" w:sz="4" w:space="0" w:color="A8A8A8"/>
            </w:tcBorders>
            <w:shd w:val="clear" w:color="auto" w:fill="auto"/>
          </w:tcPr>
          <w:p w14:paraId="3498973C" w14:textId="20EDA9AE" w:rsidR="00456802" w:rsidRPr="00F87434" w:rsidRDefault="00456802" w:rsidP="00456802">
            <w:pPr>
              <w:pStyle w:val="Tablesmalltext"/>
            </w:pPr>
            <w:r w:rsidRPr="00F87434">
              <w:t xml:space="preserve">Groundwater recharge </w:t>
            </w:r>
            <w:r>
              <w:t>via groundwater recharge basins /</w:t>
            </w:r>
            <w:r w:rsidRPr="00F87434">
              <w:t xml:space="preserve"> infiltration galleries</w:t>
            </w:r>
            <w:r>
              <w:t xml:space="preserve"> </w:t>
            </w:r>
            <w:r w:rsidRPr="00F87434">
              <w:t>(</w:t>
            </w:r>
            <w:r>
              <w:t xml:space="preserve">i.e. </w:t>
            </w:r>
            <w:r w:rsidRPr="00F87434">
              <w:t>where naturally sandy soils occur)</w:t>
            </w:r>
          </w:p>
        </w:tc>
        <w:tc>
          <w:tcPr>
            <w:tcW w:w="1822" w:type="pct"/>
            <w:tcBorders>
              <w:top w:val="single" w:sz="4" w:space="0" w:color="A8A8A8"/>
              <w:left w:val="single" w:sz="4" w:space="0" w:color="A8A8A8"/>
              <w:bottom w:val="single" w:sz="4" w:space="0" w:color="A8A8A8"/>
              <w:right w:val="single" w:sz="4" w:space="0" w:color="A8A8A8"/>
            </w:tcBorders>
          </w:tcPr>
          <w:p w14:paraId="5CEE9F9A" w14:textId="31E12440" w:rsidR="00456802" w:rsidRPr="00F87434" w:rsidRDefault="00456802" w:rsidP="00F22225">
            <w:pPr>
              <w:pStyle w:val="Tablesmalltext"/>
              <w:numPr>
                <w:ilvl w:val="0"/>
                <w:numId w:val="30"/>
              </w:numPr>
              <w:ind w:left="199" w:hanging="218"/>
            </w:pPr>
            <w:r w:rsidRPr="00F87434">
              <w:t>Reduced salinity stress in groundwater zone through direct creation / enhancement of freshwater lens</w:t>
            </w:r>
            <w:r>
              <w:t>.</w:t>
            </w:r>
          </w:p>
        </w:tc>
        <w:tc>
          <w:tcPr>
            <w:tcW w:w="908" w:type="pct"/>
            <w:tcBorders>
              <w:top w:val="single" w:sz="4" w:space="0" w:color="A8A8A8"/>
              <w:left w:val="single" w:sz="4" w:space="0" w:color="A8A8A8"/>
              <w:bottom w:val="single" w:sz="4" w:space="0" w:color="A8A8A8"/>
              <w:right w:val="single" w:sz="4" w:space="0" w:color="A8A8A8"/>
            </w:tcBorders>
          </w:tcPr>
          <w:p w14:paraId="496DC9BC" w14:textId="004323FA" w:rsidR="00456802" w:rsidRPr="00F87434" w:rsidRDefault="00456802" w:rsidP="00456802">
            <w:pPr>
              <w:pStyle w:val="Tablesmalltext"/>
            </w:pPr>
            <w:r w:rsidRPr="00F87434">
              <w:t>Small</w:t>
            </w:r>
            <w:r>
              <w:t>-Medium</w:t>
            </w:r>
          </w:p>
        </w:tc>
      </w:tr>
      <w:tr w:rsidR="00456802" w:rsidRPr="00F87434" w14:paraId="15978F50" w14:textId="77777777" w:rsidTr="00F618F7">
        <w:tc>
          <w:tcPr>
            <w:tcW w:w="661" w:type="pct"/>
            <w:vMerge/>
            <w:tcBorders>
              <w:left w:val="single" w:sz="4" w:space="0" w:color="A8A8A8"/>
              <w:right w:val="single" w:sz="4" w:space="0" w:color="A8A8A8"/>
            </w:tcBorders>
          </w:tcPr>
          <w:p w14:paraId="3D077D48" w14:textId="77777777" w:rsidR="00456802" w:rsidRPr="00F87434" w:rsidRDefault="00456802" w:rsidP="00456802">
            <w:pPr>
              <w:pStyle w:val="Tablesmalltext"/>
            </w:pPr>
          </w:p>
        </w:tc>
        <w:tc>
          <w:tcPr>
            <w:tcW w:w="1609" w:type="pct"/>
            <w:tcBorders>
              <w:top w:val="single" w:sz="4" w:space="0" w:color="A8A8A8"/>
              <w:left w:val="single" w:sz="4" w:space="0" w:color="A8A8A8"/>
              <w:bottom w:val="single" w:sz="4" w:space="0" w:color="A8A8A8"/>
              <w:right w:val="single" w:sz="4" w:space="0" w:color="A8A8A8"/>
            </w:tcBorders>
            <w:shd w:val="clear" w:color="auto" w:fill="auto"/>
          </w:tcPr>
          <w:p w14:paraId="635E0B0C" w14:textId="3324807F" w:rsidR="00456802" w:rsidRPr="00F87434" w:rsidRDefault="00456802" w:rsidP="007B384E">
            <w:pPr>
              <w:pStyle w:val="Tablesmalltext"/>
            </w:pPr>
            <w:r>
              <w:t>Removal of constraints to redevelop</w:t>
            </w:r>
            <w:r w:rsidRPr="008F0156">
              <w:t xml:space="preserve"> surface wat</w:t>
            </w:r>
            <w:r>
              <w:t>er flow paths, e.g. by removing</w:t>
            </w:r>
            <w:r w:rsidRPr="008F0156">
              <w:t xml:space="preserve"> flow obstructions to allow water to access isolated parts of the floodplain</w:t>
            </w:r>
          </w:p>
        </w:tc>
        <w:tc>
          <w:tcPr>
            <w:tcW w:w="1822" w:type="pct"/>
            <w:tcBorders>
              <w:top w:val="single" w:sz="4" w:space="0" w:color="A8A8A8"/>
              <w:left w:val="single" w:sz="4" w:space="0" w:color="A8A8A8"/>
              <w:bottom w:val="single" w:sz="4" w:space="0" w:color="A8A8A8"/>
              <w:right w:val="single" w:sz="4" w:space="0" w:color="A8A8A8"/>
            </w:tcBorders>
          </w:tcPr>
          <w:p w14:paraId="29DAA7AC" w14:textId="40834AEE" w:rsidR="00456802" w:rsidRPr="00F87434" w:rsidRDefault="00456802" w:rsidP="00F22225">
            <w:pPr>
              <w:pStyle w:val="Tablesmalltext"/>
              <w:numPr>
                <w:ilvl w:val="0"/>
                <w:numId w:val="30"/>
              </w:numPr>
              <w:ind w:left="199" w:hanging="218"/>
            </w:pPr>
            <w:r>
              <w:t>Increases the potential for environmental water to reach Black Box vegetation, and the potential variation of river water levels for weir pool manipulation events, to inundate larger areas of Black Box.</w:t>
            </w:r>
          </w:p>
        </w:tc>
        <w:tc>
          <w:tcPr>
            <w:tcW w:w="908" w:type="pct"/>
            <w:tcBorders>
              <w:top w:val="single" w:sz="4" w:space="0" w:color="A8A8A8"/>
              <w:left w:val="single" w:sz="4" w:space="0" w:color="A8A8A8"/>
              <w:bottom w:val="single" w:sz="4" w:space="0" w:color="A8A8A8"/>
              <w:right w:val="single" w:sz="4" w:space="0" w:color="A8A8A8"/>
            </w:tcBorders>
          </w:tcPr>
          <w:p w14:paraId="445F42EE" w14:textId="54C52F54" w:rsidR="00456802" w:rsidRPr="00F87434" w:rsidRDefault="00456802" w:rsidP="00456802">
            <w:pPr>
              <w:pStyle w:val="Tablesmalltext"/>
            </w:pPr>
            <w:r>
              <w:t>Small to large</w:t>
            </w:r>
          </w:p>
        </w:tc>
      </w:tr>
      <w:tr w:rsidR="00456802" w:rsidRPr="00F87434" w14:paraId="73BE7BE6" w14:textId="77777777" w:rsidTr="00F618F7">
        <w:tc>
          <w:tcPr>
            <w:tcW w:w="661" w:type="pct"/>
            <w:vMerge w:val="restart"/>
            <w:tcBorders>
              <w:top w:val="single" w:sz="4" w:space="0" w:color="A8A8A8"/>
              <w:left w:val="single" w:sz="4" w:space="0" w:color="A8A8A8"/>
              <w:right w:val="single" w:sz="4" w:space="0" w:color="A8A8A8"/>
            </w:tcBorders>
          </w:tcPr>
          <w:p w14:paraId="1851609E" w14:textId="7CD60241" w:rsidR="00456802" w:rsidRPr="00F87434" w:rsidRDefault="00456802" w:rsidP="00456802">
            <w:pPr>
              <w:pStyle w:val="Tablesmalltext"/>
            </w:pPr>
            <w:r w:rsidRPr="00F87434">
              <w:t>Land clearance</w:t>
            </w:r>
          </w:p>
        </w:tc>
        <w:tc>
          <w:tcPr>
            <w:tcW w:w="1609" w:type="pct"/>
            <w:tcBorders>
              <w:top w:val="single" w:sz="4" w:space="0" w:color="A8A8A8"/>
              <w:left w:val="single" w:sz="4" w:space="0" w:color="A8A8A8"/>
              <w:bottom w:val="single" w:sz="4" w:space="0" w:color="A8A8A8"/>
              <w:right w:val="single" w:sz="4" w:space="0" w:color="A8A8A8"/>
            </w:tcBorders>
            <w:shd w:val="clear" w:color="auto" w:fill="auto"/>
          </w:tcPr>
          <w:p w14:paraId="04F43976" w14:textId="40A267F1" w:rsidR="00456802" w:rsidRPr="00F87434" w:rsidRDefault="00456802" w:rsidP="007B384E">
            <w:pPr>
              <w:pStyle w:val="Tablesmalltext"/>
            </w:pPr>
            <w:r>
              <w:t>Limit</w:t>
            </w:r>
            <w:r w:rsidRPr="00F87434">
              <w:t xml:space="preserve"> clearance of remnant Black Box populations through voluntary</w:t>
            </w:r>
            <w:r>
              <w:t>/</w:t>
            </w:r>
            <w:r w:rsidRPr="00F87434">
              <w:t xml:space="preserve"> legislative means</w:t>
            </w:r>
          </w:p>
        </w:tc>
        <w:tc>
          <w:tcPr>
            <w:tcW w:w="1822" w:type="pct"/>
            <w:tcBorders>
              <w:top w:val="single" w:sz="4" w:space="0" w:color="A8A8A8"/>
              <w:left w:val="single" w:sz="4" w:space="0" w:color="A8A8A8"/>
              <w:bottom w:val="single" w:sz="4" w:space="0" w:color="A8A8A8"/>
              <w:right w:val="single" w:sz="4" w:space="0" w:color="A8A8A8"/>
            </w:tcBorders>
          </w:tcPr>
          <w:p w14:paraId="50381993" w14:textId="77777777" w:rsidR="00456802" w:rsidRPr="00F87434" w:rsidRDefault="00456802" w:rsidP="00F22225">
            <w:pPr>
              <w:pStyle w:val="Tablesmalltext"/>
              <w:numPr>
                <w:ilvl w:val="0"/>
                <w:numId w:val="30"/>
              </w:numPr>
              <w:ind w:left="199" w:hanging="218"/>
            </w:pPr>
            <w:r w:rsidRPr="00F87434">
              <w:t>If meets relevant criteria, establish formal protection for Black Box site through legislative mechanism, for example:</w:t>
            </w:r>
          </w:p>
          <w:p w14:paraId="1339FB31" w14:textId="77777777" w:rsidR="00456802" w:rsidRPr="00F87434" w:rsidRDefault="00456802" w:rsidP="00F22225">
            <w:pPr>
              <w:pStyle w:val="Tablesmalltext"/>
              <w:numPr>
                <w:ilvl w:val="1"/>
                <w:numId w:val="30"/>
              </w:numPr>
              <w:ind w:left="481" w:hanging="246"/>
              <w:rPr>
                <w:color w:val="000000" w:themeColor="text1"/>
              </w:rPr>
            </w:pPr>
            <w:r w:rsidRPr="00F87434">
              <w:rPr>
                <w:color w:val="000000" w:themeColor="text1"/>
              </w:rPr>
              <w:t>SA: Heritage Agreement under SA Native Vegetation Act 1991</w:t>
            </w:r>
          </w:p>
          <w:p w14:paraId="326631A9" w14:textId="77777777" w:rsidR="00456802" w:rsidRPr="00F87434" w:rsidRDefault="00456802" w:rsidP="00F22225">
            <w:pPr>
              <w:pStyle w:val="Tablesmalltext"/>
              <w:numPr>
                <w:ilvl w:val="1"/>
                <w:numId w:val="30"/>
              </w:numPr>
              <w:ind w:left="481" w:hanging="246"/>
              <w:rPr>
                <w:color w:val="000000" w:themeColor="text1"/>
              </w:rPr>
            </w:pPr>
            <w:r w:rsidRPr="00F87434">
              <w:rPr>
                <w:color w:val="000000" w:themeColor="text1"/>
              </w:rPr>
              <w:t>NSW: Conservation Agreement under NSW National Parks and Wildlife Act 1974</w:t>
            </w:r>
          </w:p>
          <w:p w14:paraId="158BF657" w14:textId="77777777" w:rsidR="00456802" w:rsidRPr="00F87434" w:rsidRDefault="00456802" w:rsidP="00F22225">
            <w:pPr>
              <w:pStyle w:val="Tablesmalltext"/>
              <w:numPr>
                <w:ilvl w:val="1"/>
                <w:numId w:val="30"/>
              </w:numPr>
              <w:ind w:left="481" w:hanging="246"/>
              <w:rPr>
                <w:color w:val="000000" w:themeColor="text1"/>
              </w:rPr>
            </w:pPr>
            <w:r w:rsidRPr="00F87434">
              <w:rPr>
                <w:color w:val="000000" w:themeColor="text1"/>
              </w:rPr>
              <w:t>VIC: Wildlife Management Cooperative Areas under the VIC Wildlife Act 1975 and Conservation Forests and Lands Act 1987</w:t>
            </w:r>
          </w:p>
          <w:p w14:paraId="35762832" w14:textId="77777777" w:rsidR="00456802" w:rsidRPr="00F87434" w:rsidRDefault="00456802" w:rsidP="00F22225">
            <w:pPr>
              <w:pStyle w:val="Tablesmalltext"/>
              <w:numPr>
                <w:ilvl w:val="1"/>
                <w:numId w:val="30"/>
              </w:numPr>
              <w:ind w:left="481" w:hanging="246"/>
              <w:rPr>
                <w:color w:val="000000" w:themeColor="text1"/>
              </w:rPr>
            </w:pPr>
            <w:r w:rsidRPr="00F87434">
              <w:rPr>
                <w:color w:val="000000" w:themeColor="text1"/>
              </w:rPr>
              <w:t>QLD: Conservation Agreement under QLD Nature Conservation Act 1992</w:t>
            </w:r>
          </w:p>
          <w:p w14:paraId="10F0CFAC" w14:textId="77777777" w:rsidR="00456802" w:rsidRPr="00F87434" w:rsidRDefault="00456802" w:rsidP="00F22225">
            <w:pPr>
              <w:pStyle w:val="Tablesmalltext"/>
              <w:numPr>
                <w:ilvl w:val="1"/>
                <w:numId w:val="30"/>
              </w:numPr>
              <w:ind w:left="481" w:hanging="246"/>
              <w:rPr>
                <w:color w:val="000000" w:themeColor="text1"/>
              </w:rPr>
            </w:pPr>
            <w:r w:rsidRPr="00F87434">
              <w:rPr>
                <w:color w:val="000000" w:themeColor="text1"/>
              </w:rPr>
              <w:t>AUS: Conservation Agreement as under the Environment Protection &amp; Biodiversity Conservation Act 1999</w:t>
            </w:r>
          </w:p>
          <w:p w14:paraId="284D0FDA" w14:textId="015BB43B" w:rsidR="00456802" w:rsidRPr="00F87434" w:rsidRDefault="00456802" w:rsidP="00456802">
            <w:pPr>
              <w:pStyle w:val="Tablesmalltext"/>
            </w:pPr>
            <w:r>
              <w:t>V</w:t>
            </w:r>
            <w:r w:rsidRPr="00F87434">
              <w:t>oluntary agreements put in place.</w:t>
            </w:r>
          </w:p>
        </w:tc>
        <w:tc>
          <w:tcPr>
            <w:tcW w:w="908" w:type="pct"/>
            <w:tcBorders>
              <w:top w:val="single" w:sz="4" w:space="0" w:color="A8A8A8"/>
              <w:left w:val="single" w:sz="4" w:space="0" w:color="A8A8A8"/>
              <w:bottom w:val="single" w:sz="4" w:space="0" w:color="A8A8A8"/>
              <w:right w:val="single" w:sz="4" w:space="0" w:color="A8A8A8"/>
            </w:tcBorders>
          </w:tcPr>
          <w:p w14:paraId="2F65E993" w14:textId="361DFE7F" w:rsidR="00456802" w:rsidRPr="00AA3D0D" w:rsidRDefault="00456802" w:rsidP="00456802">
            <w:pPr>
              <w:pStyle w:val="Tablesmalltext"/>
            </w:pPr>
            <w:r w:rsidRPr="00AA3D0D">
              <w:t>Small – Large</w:t>
            </w:r>
          </w:p>
        </w:tc>
      </w:tr>
      <w:tr w:rsidR="0037646E" w:rsidRPr="00F87434" w14:paraId="402926B4" w14:textId="77777777" w:rsidTr="00F618F7">
        <w:tc>
          <w:tcPr>
            <w:tcW w:w="661" w:type="pct"/>
            <w:vMerge/>
            <w:tcBorders>
              <w:left w:val="single" w:sz="4" w:space="0" w:color="A8A8A8"/>
              <w:bottom w:val="single" w:sz="4" w:space="0" w:color="A8A8A8"/>
              <w:right w:val="single" w:sz="4" w:space="0" w:color="A8A8A8"/>
            </w:tcBorders>
          </w:tcPr>
          <w:p w14:paraId="7261A449" w14:textId="7176FD08" w:rsidR="0037646E" w:rsidRPr="00F87434" w:rsidRDefault="0037646E" w:rsidP="00456802">
            <w:pPr>
              <w:pStyle w:val="Tablesmalltext"/>
            </w:pPr>
          </w:p>
        </w:tc>
        <w:tc>
          <w:tcPr>
            <w:tcW w:w="1609" w:type="pct"/>
            <w:tcBorders>
              <w:top w:val="single" w:sz="4" w:space="0" w:color="A8A8A8"/>
              <w:left w:val="single" w:sz="4" w:space="0" w:color="A8A8A8"/>
              <w:bottom w:val="single" w:sz="4" w:space="0" w:color="A8A8A8"/>
              <w:right w:val="single" w:sz="4" w:space="0" w:color="A8A8A8"/>
            </w:tcBorders>
            <w:shd w:val="clear" w:color="auto" w:fill="auto"/>
          </w:tcPr>
          <w:p w14:paraId="26E87583" w14:textId="617887FE" w:rsidR="0037646E" w:rsidRPr="00F87434" w:rsidRDefault="0037646E" w:rsidP="007B384E">
            <w:pPr>
              <w:pStyle w:val="Tablesmalltext"/>
            </w:pPr>
            <w:r>
              <w:t xml:space="preserve">Increase leaf and litter cover and mulch soils to increase water retention </w:t>
            </w:r>
          </w:p>
        </w:tc>
        <w:tc>
          <w:tcPr>
            <w:tcW w:w="1822" w:type="pct"/>
            <w:tcBorders>
              <w:top w:val="single" w:sz="4" w:space="0" w:color="A8A8A8"/>
              <w:left w:val="single" w:sz="4" w:space="0" w:color="A8A8A8"/>
              <w:bottom w:val="single" w:sz="4" w:space="0" w:color="A8A8A8"/>
              <w:right w:val="single" w:sz="4" w:space="0" w:color="A8A8A8"/>
            </w:tcBorders>
          </w:tcPr>
          <w:p w14:paraId="440CE810" w14:textId="0F1A01F4" w:rsidR="0037646E" w:rsidRPr="00F87434" w:rsidRDefault="0037646E" w:rsidP="00F22225">
            <w:pPr>
              <w:pStyle w:val="Tablesmalltext"/>
              <w:numPr>
                <w:ilvl w:val="0"/>
                <w:numId w:val="30"/>
              </w:numPr>
              <w:ind w:left="199" w:hanging="218"/>
            </w:pPr>
            <w:r>
              <w:rPr>
                <w:color w:val="000000" w:themeColor="text1"/>
              </w:rPr>
              <w:t>Increase water retention to increase available soil water between flood events</w:t>
            </w:r>
          </w:p>
        </w:tc>
        <w:tc>
          <w:tcPr>
            <w:tcW w:w="908" w:type="pct"/>
            <w:tcBorders>
              <w:top w:val="single" w:sz="4" w:space="0" w:color="A8A8A8"/>
              <w:left w:val="single" w:sz="4" w:space="0" w:color="A8A8A8"/>
              <w:bottom w:val="single" w:sz="4" w:space="0" w:color="A8A8A8"/>
              <w:right w:val="single" w:sz="4" w:space="0" w:color="A8A8A8"/>
            </w:tcBorders>
          </w:tcPr>
          <w:p w14:paraId="3E2F85B4" w14:textId="1BA97161" w:rsidR="0037646E" w:rsidRPr="00F87434" w:rsidRDefault="0037646E" w:rsidP="00456802">
            <w:pPr>
              <w:pStyle w:val="Tablesmalltext"/>
            </w:pPr>
            <w:r>
              <w:t>Small areas only</w:t>
            </w:r>
          </w:p>
        </w:tc>
      </w:tr>
      <w:tr w:rsidR="0043274A" w:rsidRPr="00F87434" w14:paraId="6699CC60" w14:textId="77777777" w:rsidTr="00F618F7">
        <w:tc>
          <w:tcPr>
            <w:tcW w:w="661" w:type="pct"/>
            <w:vMerge w:val="restart"/>
            <w:tcBorders>
              <w:top w:val="single" w:sz="4" w:space="0" w:color="A8A8A8"/>
              <w:left w:val="single" w:sz="4" w:space="0" w:color="A8A8A8"/>
              <w:right w:val="single" w:sz="4" w:space="0" w:color="A8A8A8"/>
            </w:tcBorders>
          </w:tcPr>
          <w:p w14:paraId="05BE98D7" w14:textId="2B699F68" w:rsidR="0043274A" w:rsidRPr="00F87434" w:rsidRDefault="0043274A" w:rsidP="00456802">
            <w:pPr>
              <w:pStyle w:val="Tablesmalltext"/>
              <w:rPr>
                <w:highlight w:val="yellow"/>
              </w:rPr>
            </w:pPr>
            <w:r w:rsidRPr="00F87434">
              <w:t xml:space="preserve">Land degradation </w:t>
            </w:r>
          </w:p>
        </w:tc>
        <w:tc>
          <w:tcPr>
            <w:tcW w:w="1609" w:type="pct"/>
            <w:tcBorders>
              <w:top w:val="single" w:sz="4" w:space="0" w:color="A8A8A8"/>
              <w:left w:val="single" w:sz="4" w:space="0" w:color="A8A8A8"/>
              <w:bottom w:val="single" w:sz="4" w:space="0" w:color="A8A8A8"/>
              <w:right w:val="single" w:sz="4" w:space="0" w:color="A8A8A8"/>
            </w:tcBorders>
            <w:shd w:val="clear" w:color="auto" w:fill="auto"/>
          </w:tcPr>
          <w:p w14:paraId="7BFA3496" w14:textId="3BCFA57B" w:rsidR="0043274A" w:rsidRPr="00F87434" w:rsidRDefault="0043274A" w:rsidP="007B384E">
            <w:pPr>
              <w:pStyle w:val="Tablesmalltext"/>
            </w:pPr>
            <w:r w:rsidRPr="00F87434">
              <w:t>Reduce grazing pressure through animal control measures</w:t>
            </w:r>
            <w:r>
              <w:t xml:space="preserve"> </w:t>
            </w:r>
            <w:r w:rsidRPr="00F87434">
              <w:t xml:space="preserve">(temporary fencing of seedlings, restrict grazing access / rates, </w:t>
            </w:r>
            <w:r>
              <w:t xml:space="preserve">grazing rotation, </w:t>
            </w:r>
            <w:r w:rsidRPr="00F87434">
              <w:t xml:space="preserve">rezone land use, targeted capture / eradication / baiting of problematic </w:t>
            </w:r>
            <w:r>
              <w:t>feral and or native populations</w:t>
            </w:r>
            <w:r w:rsidRPr="00F87434">
              <w:t>)</w:t>
            </w:r>
          </w:p>
        </w:tc>
        <w:tc>
          <w:tcPr>
            <w:tcW w:w="1822" w:type="pct"/>
            <w:tcBorders>
              <w:top w:val="single" w:sz="4" w:space="0" w:color="A8A8A8"/>
              <w:left w:val="single" w:sz="4" w:space="0" w:color="A8A8A8"/>
              <w:bottom w:val="single" w:sz="4" w:space="0" w:color="A8A8A8"/>
              <w:right w:val="single" w:sz="4" w:space="0" w:color="A8A8A8"/>
            </w:tcBorders>
          </w:tcPr>
          <w:p w14:paraId="4243CDE0" w14:textId="77777777" w:rsidR="0043274A" w:rsidRPr="00F87434" w:rsidRDefault="0043274A" w:rsidP="00456802">
            <w:pPr>
              <w:pStyle w:val="Tablesmalltext"/>
            </w:pPr>
            <w:r w:rsidRPr="00F87434">
              <w:t>Reduced grazing pressure particularly for younger life stages of Black Box, leading to:</w:t>
            </w:r>
          </w:p>
          <w:p w14:paraId="3E3DF227" w14:textId="77777777" w:rsidR="0043274A" w:rsidRPr="00F87434" w:rsidRDefault="0043274A" w:rsidP="00F22225">
            <w:pPr>
              <w:pStyle w:val="Tablesmalltext"/>
              <w:numPr>
                <w:ilvl w:val="1"/>
                <w:numId w:val="30"/>
              </w:numPr>
              <w:ind w:left="481" w:hanging="246"/>
              <w:rPr>
                <w:color w:val="000000" w:themeColor="text1"/>
              </w:rPr>
            </w:pPr>
            <w:r w:rsidRPr="00F87434">
              <w:rPr>
                <w:color w:val="000000" w:themeColor="text1"/>
              </w:rPr>
              <w:t>Improved seedling establishment</w:t>
            </w:r>
            <w:r>
              <w:rPr>
                <w:color w:val="000000" w:themeColor="text1"/>
              </w:rPr>
              <w:t xml:space="preserve"> (regeneration)</w:t>
            </w:r>
          </w:p>
          <w:p w14:paraId="697F8B98" w14:textId="77777777" w:rsidR="0043274A" w:rsidRPr="00F87434" w:rsidRDefault="0043274A" w:rsidP="00F22225">
            <w:pPr>
              <w:pStyle w:val="Tablesmalltext"/>
              <w:numPr>
                <w:ilvl w:val="1"/>
                <w:numId w:val="30"/>
              </w:numPr>
              <w:ind w:left="481" w:hanging="246"/>
              <w:rPr>
                <w:color w:val="000000" w:themeColor="text1"/>
              </w:rPr>
            </w:pPr>
            <w:r w:rsidRPr="00F87434">
              <w:rPr>
                <w:color w:val="000000" w:themeColor="text1"/>
              </w:rPr>
              <w:t>Improved seedling retention</w:t>
            </w:r>
            <w:r>
              <w:rPr>
                <w:color w:val="000000" w:themeColor="text1"/>
              </w:rPr>
              <w:t xml:space="preserve"> (recruitment)</w:t>
            </w:r>
          </w:p>
          <w:p w14:paraId="7FE1B0FE" w14:textId="1F66BED7" w:rsidR="0043274A" w:rsidRPr="00F87434" w:rsidRDefault="0043274A" w:rsidP="00F22225">
            <w:pPr>
              <w:pStyle w:val="Tablesmalltext"/>
              <w:numPr>
                <w:ilvl w:val="1"/>
                <w:numId w:val="30"/>
              </w:numPr>
              <w:ind w:left="481" w:hanging="246"/>
            </w:pPr>
            <w:r w:rsidRPr="00F87434">
              <w:rPr>
                <w:color w:val="000000" w:themeColor="text1"/>
              </w:rPr>
              <w:t>Improved age class distribution and therefore sustainability of Black Box population</w:t>
            </w:r>
            <w:r>
              <w:rPr>
                <w:color w:val="000000" w:themeColor="text1"/>
              </w:rPr>
              <w:t>.</w:t>
            </w:r>
          </w:p>
        </w:tc>
        <w:tc>
          <w:tcPr>
            <w:tcW w:w="908" w:type="pct"/>
            <w:tcBorders>
              <w:top w:val="single" w:sz="4" w:space="0" w:color="A8A8A8"/>
              <w:left w:val="single" w:sz="4" w:space="0" w:color="A8A8A8"/>
              <w:bottom w:val="single" w:sz="4" w:space="0" w:color="A8A8A8"/>
              <w:right w:val="single" w:sz="4" w:space="0" w:color="A8A8A8"/>
            </w:tcBorders>
          </w:tcPr>
          <w:p w14:paraId="104FF5EA" w14:textId="6C586F7E" w:rsidR="0043274A" w:rsidRPr="00F87434" w:rsidRDefault="0043274A" w:rsidP="00456802">
            <w:pPr>
              <w:pStyle w:val="Tablesmalltext"/>
            </w:pPr>
            <w:r w:rsidRPr="00AA3D0D">
              <w:t xml:space="preserve">Small – Large depending on </w:t>
            </w:r>
            <w:r>
              <w:t>area protected</w:t>
            </w:r>
          </w:p>
        </w:tc>
      </w:tr>
      <w:tr w:rsidR="0043274A" w:rsidRPr="00F87434" w14:paraId="4C20C981" w14:textId="77777777" w:rsidTr="00F618F7">
        <w:tc>
          <w:tcPr>
            <w:tcW w:w="661" w:type="pct"/>
            <w:vMerge/>
            <w:tcBorders>
              <w:left w:val="single" w:sz="4" w:space="0" w:color="A8A8A8"/>
              <w:right w:val="single" w:sz="4" w:space="0" w:color="A8A8A8"/>
            </w:tcBorders>
          </w:tcPr>
          <w:p w14:paraId="35426BD2" w14:textId="45053AF5" w:rsidR="0043274A" w:rsidRPr="00F87434" w:rsidRDefault="0043274A" w:rsidP="00456802">
            <w:pPr>
              <w:pStyle w:val="Tablesmalltext"/>
            </w:pPr>
          </w:p>
        </w:tc>
        <w:tc>
          <w:tcPr>
            <w:tcW w:w="1609" w:type="pct"/>
            <w:tcBorders>
              <w:top w:val="single" w:sz="4" w:space="0" w:color="A8A8A8"/>
              <w:left w:val="single" w:sz="4" w:space="0" w:color="A8A8A8"/>
              <w:bottom w:val="single" w:sz="4" w:space="0" w:color="A8A8A8"/>
              <w:right w:val="single" w:sz="4" w:space="0" w:color="A8A8A8"/>
            </w:tcBorders>
            <w:shd w:val="clear" w:color="auto" w:fill="auto"/>
          </w:tcPr>
          <w:p w14:paraId="502F352C" w14:textId="4E492FEB" w:rsidR="0043274A" w:rsidRPr="00F87434" w:rsidRDefault="0043274A" w:rsidP="007B384E">
            <w:pPr>
              <w:pStyle w:val="Tablesmalltext"/>
            </w:pPr>
            <w:r w:rsidRPr="00F87434">
              <w:t xml:space="preserve">Reduce impact of edge effects through protection of existing </w:t>
            </w:r>
            <w:r w:rsidR="00AD6010" w:rsidRPr="00F87434">
              <w:t>at-risk</w:t>
            </w:r>
            <w:r w:rsidRPr="00F87434">
              <w:t xml:space="preserve"> </w:t>
            </w:r>
            <w:r>
              <w:t xml:space="preserve">units </w:t>
            </w:r>
            <w:r w:rsidRPr="00F87434">
              <w:t>(</w:t>
            </w:r>
            <w:r>
              <w:t>blocking</w:t>
            </w:r>
            <w:r w:rsidRPr="00F87434">
              <w:t xml:space="preserve"> unwanted tracks, fencing edges near target</w:t>
            </w:r>
            <w:r>
              <w:t xml:space="preserve"> or </w:t>
            </w:r>
            <w:r w:rsidRPr="00F87434">
              <w:t>sensitive populations, undertaking regular spot weed control, grazing exclusion around seedling)</w:t>
            </w:r>
          </w:p>
        </w:tc>
        <w:tc>
          <w:tcPr>
            <w:tcW w:w="1822" w:type="pct"/>
            <w:tcBorders>
              <w:top w:val="single" w:sz="4" w:space="0" w:color="A8A8A8"/>
              <w:left w:val="single" w:sz="4" w:space="0" w:color="A8A8A8"/>
              <w:bottom w:val="single" w:sz="4" w:space="0" w:color="A8A8A8"/>
              <w:right w:val="single" w:sz="4" w:space="0" w:color="A8A8A8"/>
            </w:tcBorders>
          </w:tcPr>
          <w:p w14:paraId="33843738" w14:textId="77777777" w:rsidR="0043274A" w:rsidRPr="00F87434" w:rsidRDefault="0043274A" w:rsidP="00F22225">
            <w:pPr>
              <w:pStyle w:val="Tablesmalltext"/>
              <w:numPr>
                <w:ilvl w:val="0"/>
                <w:numId w:val="30"/>
              </w:numPr>
              <w:ind w:left="199" w:hanging="218"/>
            </w:pPr>
            <w:r w:rsidRPr="00F87434">
              <w:t>Reduced edge effect pressure on Black Box leading to improved stand condition, through:</w:t>
            </w:r>
          </w:p>
          <w:p w14:paraId="72472C24" w14:textId="77777777" w:rsidR="0043274A" w:rsidRPr="00F87434" w:rsidRDefault="0043274A" w:rsidP="00F22225">
            <w:pPr>
              <w:pStyle w:val="Tablesmalltext"/>
              <w:numPr>
                <w:ilvl w:val="1"/>
                <w:numId w:val="30"/>
              </w:numPr>
              <w:ind w:left="481" w:hanging="246"/>
              <w:rPr>
                <w:color w:val="000000" w:themeColor="text1"/>
              </w:rPr>
            </w:pPr>
            <w:r w:rsidRPr="00F87434">
              <w:rPr>
                <w:color w:val="000000" w:themeColor="text1"/>
              </w:rPr>
              <w:t>Reduced competition by weeds</w:t>
            </w:r>
          </w:p>
          <w:p w14:paraId="01C6E433" w14:textId="43781A91" w:rsidR="0043274A" w:rsidRPr="00F87434" w:rsidRDefault="0043274A" w:rsidP="00F22225">
            <w:pPr>
              <w:pStyle w:val="Tablesmalltext"/>
              <w:numPr>
                <w:ilvl w:val="1"/>
                <w:numId w:val="30"/>
              </w:numPr>
              <w:ind w:left="481" w:hanging="246"/>
            </w:pPr>
            <w:r w:rsidRPr="00F87434">
              <w:rPr>
                <w:color w:val="000000" w:themeColor="text1"/>
              </w:rPr>
              <w:t>Enhanced protection to reduce impact to sensitive areas (compaction, trampling, grazing etc.)</w:t>
            </w:r>
            <w:r>
              <w:rPr>
                <w:color w:val="000000" w:themeColor="text1"/>
              </w:rPr>
              <w:t>.</w:t>
            </w:r>
          </w:p>
        </w:tc>
        <w:tc>
          <w:tcPr>
            <w:tcW w:w="908" w:type="pct"/>
            <w:tcBorders>
              <w:top w:val="single" w:sz="4" w:space="0" w:color="A8A8A8"/>
              <w:left w:val="single" w:sz="4" w:space="0" w:color="A8A8A8"/>
              <w:bottom w:val="single" w:sz="4" w:space="0" w:color="A8A8A8"/>
              <w:right w:val="single" w:sz="4" w:space="0" w:color="A8A8A8"/>
            </w:tcBorders>
          </w:tcPr>
          <w:p w14:paraId="462D1F91" w14:textId="2101C054" w:rsidR="0043274A" w:rsidRPr="00F87434" w:rsidRDefault="0043274A" w:rsidP="00456802">
            <w:pPr>
              <w:pStyle w:val="Tablesmalltext"/>
            </w:pPr>
            <w:r w:rsidRPr="00AA3D0D">
              <w:t xml:space="preserve">Small – Large depending on </w:t>
            </w:r>
            <w:r>
              <w:t>area protected</w:t>
            </w:r>
          </w:p>
        </w:tc>
      </w:tr>
      <w:tr w:rsidR="0043274A" w:rsidRPr="00F87434" w14:paraId="29A3272A" w14:textId="77777777" w:rsidTr="00F618F7">
        <w:tc>
          <w:tcPr>
            <w:tcW w:w="661" w:type="pct"/>
            <w:vMerge/>
            <w:tcBorders>
              <w:left w:val="single" w:sz="4" w:space="0" w:color="A8A8A8"/>
              <w:right w:val="single" w:sz="4" w:space="0" w:color="A8A8A8"/>
            </w:tcBorders>
          </w:tcPr>
          <w:p w14:paraId="20DF43D0" w14:textId="1FFDB640" w:rsidR="0043274A" w:rsidRPr="00F87434" w:rsidRDefault="0043274A" w:rsidP="00456802">
            <w:pPr>
              <w:pStyle w:val="Tablesmalltext"/>
            </w:pPr>
          </w:p>
        </w:tc>
        <w:tc>
          <w:tcPr>
            <w:tcW w:w="1609" w:type="pct"/>
            <w:tcBorders>
              <w:top w:val="single" w:sz="4" w:space="0" w:color="A8A8A8"/>
              <w:left w:val="single" w:sz="4" w:space="0" w:color="A8A8A8"/>
              <w:bottom w:val="single" w:sz="4" w:space="0" w:color="A8A8A8"/>
              <w:right w:val="single" w:sz="4" w:space="0" w:color="A8A8A8"/>
            </w:tcBorders>
            <w:shd w:val="clear" w:color="auto" w:fill="auto"/>
          </w:tcPr>
          <w:p w14:paraId="30395642" w14:textId="355E76E0" w:rsidR="0043274A" w:rsidRPr="00F87434" w:rsidRDefault="0043274A" w:rsidP="007B384E">
            <w:pPr>
              <w:pStyle w:val="Tablesmalltext"/>
            </w:pPr>
            <w:r w:rsidRPr="00F87434">
              <w:t xml:space="preserve">Review and optimisation / improvement of local irrigation industry </w:t>
            </w:r>
          </w:p>
        </w:tc>
        <w:tc>
          <w:tcPr>
            <w:tcW w:w="1822" w:type="pct"/>
            <w:tcBorders>
              <w:top w:val="single" w:sz="4" w:space="0" w:color="A8A8A8"/>
              <w:left w:val="single" w:sz="4" w:space="0" w:color="A8A8A8"/>
              <w:bottom w:val="single" w:sz="4" w:space="0" w:color="A8A8A8"/>
              <w:right w:val="single" w:sz="4" w:space="0" w:color="A8A8A8"/>
            </w:tcBorders>
          </w:tcPr>
          <w:p w14:paraId="78CA5D6B" w14:textId="77777777" w:rsidR="0043274A" w:rsidRPr="00F87434" w:rsidRDefault="0043274A" w:rsidP="00F22225">
            <w:pPr>
              <w:pStyle w:val="Tablesmalltext"/>
              <w:numPr>
                <w:ilvl w:val="0"/>
                <w:numId w:val="30"/>
              </w:numPr>
              <w:ind w:left="199" w:hanging="218"/>
            </w:pPr>
            <w:r w:rsidRPr="00F87434">
              <w:t>Optimise application and use of irrigated ground and surface waters, with the aim to:</w:t>
            </w:r>
          </w:p>
          <w:p w14:paraId="066ED0E1" w14:textId="77777777" w:rsidR="0043274A" w:rsidRPr="00F87434" w:rsidRDefault="0043274A" w:rsidP="00F22225">
            <w:pPr>
              <w:pStyle w:val="Tablesmalltext"/>
              <w:numPr>
                <w:ilvl w:val="1"/>
                <w:numId w:val="30"/>
              </w:numPr>
              <w:ind w:left="481" w:hanging="246"/>
              <w:rPr>
                <w:color w:val="000000" w:themeColor="text1"/>
              </w:rPr>
            </w:pPr>
            <w:r w:rsidRPr="00F87434">
              <w:rPr>
                <w:color w:val="000000" w:themeColor="text1"/>
              </w:rPr>
              <w:t>Minimise seepage</w:t>
            </w:r>
            <w:r>
              <w:rPr>
                <w:color w:val="000000" w:themeColor="text1"/>
              </w:rPr>
              <w:t xml:space="preserve"> of irrigation return flows (including </w:t>
            </w:r>
            <w:r w:rsidRPr="00F87434">
              <w:rPr>
                <w:color w:val="000000" w:themeColor="text1"/>
              </w:rPr>
              <w:t>associated agricultural chemicals and salts)</w:t>
            </w:r>
            <w:r>
              <w:rPr>
                <w:color w:val="000000" w:themeColor="text1"/>
              </w:rPr>
              <w:t xml:space="preserve"> to groundwater</w:t>
            </w:r>
          </w:p>
          <w:p w14:paraId="644FF6B7" w14:textId="77777777" w:rsidR="0043274A" w:rsidRPr="00F87434" w:rsidRDefault="0043274A" w:rsidP="00F22225">
            <w:pPr>
              <w:pStyle w:val="Tablesmalltext"/>
              <w:numPr>
                <w:ilvl w:val="1"/>
                <w:numId w:val="30"/>
              </w:numPr>
              <w:ind w:left="481" w:hanging="246"/>
              <w:rPr>
                <w:color w:val="000000" w:themeColor="text1"/>
              </w:rPr>
            </w:pPr>
            <w:r w:rsidRPr="00F87434">
              <w:rPr>
                <w:color w:val="000000" w:themeColor="text1"/>
              </w:rPr>
              <w:t>Minimise water use (drawn from ground and surface water resources)</w:t>
            </w:r>
          </w:p>
          <w:p w14:paraId="6AB8C669" w14:textId="77777777" w:rsidR="0043274A" w:rsidRPr="00F87434" w:rsidRDefault="0043274A" w:rsidP="00F22225">
            <w:pPr>
              <w:pStyle w:val="Tablesmalltext"/>
              <w:numPr>
                <w:ilvl w:val="1"/>
                <w:numId w:val="30"/>
              </w:numPr>
              <w:ind w:left="481" w:hanging="246"/>
              <w:rPr>
                <w:color w:val="000000" w:themeColor="text1"/>
              </w:rPr>
            </w:pPr>
            <w:r w:rsidRPr="00F87434">
              <w:rPr>
                <w:color w:val="000000" w:themeColor="text1"/>
              </w:rPr>
              <w:t xml:space="preserve">Improve quality and quantity of </w:t>
            </w:r>
            <w:r>
              <w:rPr>
                <w:color w:val="000000" w:themeColor="text1"/>
              </w:rPr>
              <w:t xml:space="preserve">soil/groundwater sources </w:t>
            </w:r>
            <w:r w:rsidRPr="00F87434">
              <w:rPr>
                <w:color w:val="000000" w:themeColor="text1"/>
              </w:rPr>
              <w:t>available to Black Box on the floodplain</w:t>
            </w:r>
          </w:p>
          <w:p w14:paraId="6692B608" w14:textId="713924E2" w:rsidR="0043274A" w:rsidRPr="00F87434" w:rsidRDefault="0043274A" w:rsidP="00F22225">
            <w:pPr>
              <w:pStyle w:val="Tablesmalltext"/>
              <w:numPr>
                <w:ilvl w:val="1"/>
                <w:numId w:val="30"/>
              </w:numPr>
              <w:ind w:left="481" w:hanging="246"/>
            </w:pPr>
            <w:r w:rsidRPr="00F87434">
              <w:rPr>
                <w:color w:val="000000" w:themeColor="text1"/>
              </w:rPr>
              <w:t>SIS schemes on the highland to reduce groundwater mound discharging to floodplain and river</w:t>
            </w:r>
            <w:r>
              <w:rPr>
                <w:color w:val="000000" w:themeColor="text1"/>
              </w:rPr>
              <w:t>.</w:t>
            </w:r>
          </w:p>
        </w:tc>
        <w:tc>
          <w:tcPr>
            <w:tcW w:w="908" w:type="pct"/>
            <w:tcBorders>
              <w:top w:val="single" w:sz="4" w:space="0" w:color="A8A8A8"/>
              <w:left w:val="single" w:sz="4" w:space="0" w:color="A8A8A8"/>
              <w:bottom w:val="single" w:sz="4" w:space="0" w:color="A8A8A8"/>
              <w:right w:val="single" w:sz="4" w:space="0" w:color="A8A8A8"/>
            </w:tcBorders>
          </w:tcPr>
          <w:p w14:paraId="255E31A4" w14:textId="610E9175" w:rsidR="0043274A" w:rsidRPr="00F87434" w:rsidRDefault="0043274A" w:rsidP="00456802">
            <w:pPr>
              <w:pStyle w:val="Tablesmalltext"/>
            </w:pPr>
            <w:r w:rsidRPr="00AA3D0D">
              <w:t xml:space="preserve">Small – Large depending on </w:t>
            </w:r>
            <w:r>
              <w:t xml:space="preserve">irrigation intensity and area </w:t>
            </w:r>
          </w:p>
        </w:tc>
      </w:tr>
    </w:tbl>
    <w:p w14:paraId="73222DC7" w14:textId="77777777" w:rsidR="00D65017" w:rsidRPr="00F87434" w:rsidRDefault="00D65017" w:rsidP="00D65017">
      <w:pPr>
        <w:pStyle w:val="Para0"/>
        <w:sectPr w:rsidR="00D65017" w:rsidRPr="00F87434" w:rsidSect="005972ED">
          <w:headerReference w:type="default" r:id="rId56"/>
          <w:footerReference w:type="default" r:id="rId57"/>
          <w:pgSz w:w="16840" w:h="11901" w:orient="landscape" w:code="9"/>
          <w:pgMar w:top="1134" w:right="567" w:bottom="851" w:left="851" w:header="567" w:footer="370" w:gutter="0"/>
          <w:cols w:space="0"/>
          <w:formProt w:val="0"/>
          <w:docGrid w:linePitch="360"/>
        </w:sectPr>
      </w:pPr>
    </w:p>
    <w:p w14:paraId="5A877B56" w14:textId="5ACA0BB7" w:rsidR="00480651" w:rsidRDefault="00857DCC" w:rsidP="00480651">
      <w:pPr>
        <w:pStyle w:val="Para0"/>
      </w:pPr>
      <w:r>
        <w:fldChar w:fldCharType="begin"/>
      </w:r>
      <w:r>
        <w:instrText xml:space="preserve"> REF _Ref508878175 \h </w:instrText>
      </w:r>
      <w:r>
        <w:fldChar w:fldCharType="separate"/>
      </w:r>
      <w:r w:rsidR="00BF015B" w:rsidRPr="00890425">
        <w:t xml:space="preserve">Table </w:t>
      </w:r>
      <w:r w:rsidR="00BF015B">
        <w:rPr>
          <w:noProof/>
        </w:rPr>
        <w:t>3</w:t>
      </w:r>
      <w:r w:rsidR="00BF015B" w:rsidRPr="00890425">
        <w:noBreakHyphen/>
      </w:r>
      <w:r w:rsidR="00BF015B">
        <w:rPr>
          <w:noProof/>
        </w:rPr>
        <w:t>14</w:t>
      </w:r>
      <w:r>
        <w:fldChar w:fldCharType="end"/>
      </w:r>
      <w:r>
        <w:t xml:space="preserve"> </w:t>
      </w:r>
      <w:r w:rsidR="00480651">
        <w:t xml:space="preserve">presents a generalised, hierarchy of management option preferences, based on the current understanding of the effectiveness of different management options at improving the condition of Black Box vegetation, </w:t>
      </w:r>
      <w:r w:rsidR="0022360A">
        <w:t>and with regard to</w:t>
      </w:r>
      <w:r w:rsidR="00480651">
        <w:t xml:space="preserve"> the results of management trials and monitoring. This hierarchy is independent of the specific site being investigated. </w:t>
      </w:r>
    </w:p>
    <w:p w14:paraId="1A9369B0" w14:textId="2C1FD229" w:rsidR="00480651" w:rsidRDefault="00480651" w:rsidP="00480651">
      <w:pPr>
        <w:pStyle w:val="Para0"/>
      </w:pPr>
      <w:r>
        <w:t xml:space="preserve">The Table </w:t>
      </w:r>
      <w:r w:rsidR="0022360A">
        <w:t xml:space="preserve">below </w:t>
      </w:r>
      <w:r>
        <w:t xml:space="preserve">assumes that the Black Box vegetation is affected by a lack of soil </w:t>
      </w:r>
      <w:r w:rsidR="004E19F3">
        <w:t>water</w:t>
      </w:r>
      <w:r>
        <w:t xml:space="preserve"> availability through a combination of water and salinity stressors</w:t>
      </w:r>
      <w:r w:rsidRPr="00E9265E">
        <w:t xml:space="preserve">. This table is intended to provide a guide to </w:t>
      </w:r>
      <w:r w:rsidR="004E19F3">
        <w:t>practitioners</w:t>
      </w:r>
      <w:r w:rsidRPr="00E9265E">
        <w:t xml:space="preserve"> of the generalised relative benefits of different management options, for</w:t>
      </w:r>
      <w:r>
        <w:t xml:space="preserve"> consideration in option prioritisation. The specific site conditions will also influence which options should be prioritised at a site</w:t>
      </w:r>
      <w:r w:rsidR="004E19F3">
        <w:t>.</w:t>
      </w:r>
      <w:r w:rsidR="005F75D8">
        <w:t xml:space="preserve"> A combination of management options is likely to be required.</w:t>
      </w:r>
    </w:p>
    <w:p w14:paraId="244A3771" w14:textId="12775E8E" w:rsidR="00480651" w:rsidRPr="00890425" w:rsidRDefault="00480651" w:rsidP="00480651">
      <w:pPr>
        <w:pStyle w:val="Caption"/>
      </w:pPr>
      <w:bookmarkStart w:id="161" w:name="_Ref508878175"/>
      <w:bookmarkStart w:id="162" w:name="_Toc514068782"/>
      <w:r w:rsidRPr="00890425">
        <w:t xml:space="preserve">Table </w:t>
      </w:r>
      <w:r w:rsidRPr="00890425">
        <w:fldChar w:fldCharType="begin"/>
      </w:r>
      <w:r w:rsidRPr="00890425">
        <w:instrText xml:space="preserve"> STYLEREF 1 \s </w:instrText>
      </w:r>
      <w:r w:rsidRPr="00890425">
        <w:fldChar w:fldCharType="separate"/>
      </w:r>
      <w:r w:rsidR="00BF015B">
        <w:rPr>
          <w:noProof/>
        </w:rPr>
        <w:t>3</w:t>
      </w:r>
      <w:r w:rsidRPr="00890425">
        <w:fldChar w:fldCharType="end"/>
      </w:r>
      <w:r w:rsidRPr="00890425">
        <w:noBreakHyphen/>
      </w:r>
      <w:r w:rsidRPr="00890425">
        <w:fldChar w:fldCharType="begin"/>
      </w:r>
      <w:r w:rsidRPr="00890425">
        <w:instrText xml:space="preserve"> SEQ Table \* ARABIC \s 1 </w:instrText>
      </w:r>
      <w:r w:rsidRPr="00890425">
        <w:fldChar w:fldCharType="separate"/>
      </w:r>
      <w:r w:rsidR="0063076E">
        <w:rPr>
          <w:noProof/>
        </w:rPr>
        <w:t>15</w:t>
      </w:r>
      <w:r w:rsidRPr="00890425">
        <w:fldChar w:fldCharType="end"/>
      </w:r>
      <w:bookmarkEnd w:id="161"/>
      <w:r w:rsidRPr="00890425">
        <w:t>: Hierarchy of management options</w:t>
      </w:r>
      <w:bookmarkEnd w:id="162"/>
    </w:p>
    <w:tbl>
      <w:tblPr>
        <w:tblStyle w:val="TableGrid"/>
        <w:tblW w:w="4963"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828"/>
        <w:gridCol w:w="2194"/>
        <w:gridCol w:w="5816"/>
      </w:tblGrid>
      <w:tr w:rsidR="00480651" w:rsidRPr="00480651" w14:paraId="79B41370" w14:textId="77777777" w:rsidTr="007A4B74">
        <w:trPr>
          <w:tblHeader/>
        </w:trPr>
        <w:tc>
          <w:tcPr>
            <w:tcW w:w="929" w:type="pct"/>
            <w:tcBorders>
              <w:right w:val="single" w:sz="4" w:space="0" w:color="FFFFFF" w:themeColor="background1"/>
            </w:tcBorders>
            <w:shd w:val="clear" w:color="auto" w:fill="65876D" w:themeFill="accent4" w:themeFillShade="BF"/>
          </w:tcPr>
          <w:p w14:paraId="4E3DADDC" w14:textId="77777777" w:rsidR="00480651" w:rsidRPr="00E230DF" w:rsidRDefault="00480651" w:rsidP="00E4655B">
            <w:pPr>
              <w:pStyle w:val="Tableheading"/>
              <w:rPr>
                <w:color w:val="FFFFFF" w:themeColor="background1"/>
              </w:rPr>
            </w:pPr>
            <w:r w:rsidRPr="00E230DF">
              <w:rPr>
                <w:color w:val="FFFFFF" w:themeColor="background1"/>
              </w:rPr>
              <w:t>Hierarchy</w:t>
            </w:r>
          </w:p>
        </w:tc>
        <w:tc>
          <w:tcPr>
            <w:tcW w:w="1115" w:type="pct"/>
            <w:tcBorders>
              <w:left w:val="single" w:sz="4" w:space="0" w:color="FFFFFF" w:themeColor="background1"/>
              <w:right w:val="single" w:sz="4" w:space="0" w:color="FFFFFF" w:themeColor="background1"/>
            </w:tcBorders>
            <w:shd w:val="clear" w:color="auto" w:fill="65876D" w:themeFill="accent4" w:themeFillShade="BF"/>
          </w:tcPr>
          <w:p w14:paraId="2F43B986" w14:textId="77777777" w:rsidR="00480651" w:rsidRPr="00E230DF" w:rsidRDefault="00480651" w:rsidP="00E4655B">
            <w:pPr>
              <w:pStyle w:val="Tableheading"/>
              <w:rPr>
                <w:color w:val="FFFFFF" w:themeColor="background1"/>
              </w:rPr>
            </w:pPr>
            <w:r w:rsidRPr="00E230DF">
              <w:rPr>
                <w:color w:val="FFFFFF" w:themeColor="background1"/>
              </w:rPr>
              <w:t>Management Option</w:t>
            </w:r>
          </w:p>
        </w:tc>
        <w:tc>
          <w:tcPr>
            <w:tcW w:w="2956" w:type="pct"/>
            <w:tcBorders>
              <w:left w:val="single" w:sz="4" w:space="0" w:color="FFFFFF" w:themeColor="background1"/>
              <w:right w:val="single" w:sz="4" w:space="0" w:color="FFFFFF" w:themeColor="background1"/>
            </w:tcBorders>
            <w:shd w:val="clear" w:color="auto" w:fill="65876D" w:themeFill="accent4" w:themeFillShade="BF"/>
          </w:tcPr>
          <w:p w14:paraId="54311309" w14:textId="77777777" w:rsidR="00480651" w:rsidRPr="00E230DF" w:rsidRDefault="00480651" w:rsidP="00E4655B">
            <w:pPr>
              <w:pStyle w:val="Tableheading"/>
              <w:rPr>
                <w:color w:val="FFFFFF" w:themeColor="background1"/>
              </w:rPr>
            </w:pPr>
            <w:r w:rsidRPr="00E230DF">
              <w:rPr>
                <w:color w:val="FFFFFF" w:themeColor="background1"/>
              </w:rPr>
              <w:t>Comments</w:t>
            </w:r>
          </w:p>
        </w:tc>
      </w:tr>
      <w:tr w:rsidR="004118E8" w14:paraId="04BA6D9C" w14:textId="77777777" w:rsidTr="007A4B74">
        <w:trPr>
          <w:trHeight w:val="1108"/>
        </w:trPr>
        <w:tc>
          <w:tcPr>
            <w:tcW w:w="929" w:type="pct"/>
            <w:vMerge w:val="restart"/>
            <w:vAlign w:val="center"/>
          </w:tcPr>
          <w:p w14:paraId="67A46BE0" w14:textId="5AFE961A" w:rsidR="004118E8" w:rsidRDefault="004118E8" w:rsidP="00E4655B">
            <w:pPr>
              <w:pStyle w:val="Tabletext"/>
            </w:pPr>
          </w:p>
          <w:p w14:paraId="0C5AA15B" w14:textId="29CB4FE9" w:rsidR="004118E8" w:rsidRDefault="004118E8" w:rsidP="00E4655B">
            <w:pPr>
              <w:pStyle w:val="Tabletext"/>
            </w:pPr>
            <w:r>
              <w:t>Moderately Effective</w:t>
            </w:r>
          </w:p>
        </w:tc>
        <w:tc>
          <w:tcPr>
            <w:tcW w:w="1115" w:type="pct"/>
            <w:vAlign w:val="center"/>
          </w:tcPr>
          <w:p w14:paraId="0BECE8AB" w14:textId="07F13D6F" w:rsidR="004118E8" w:rsidRDefault="004118E8" w:rsidP="00E4655B">
            <w:pPr>
              <w:spacing w:after="0"/>
            </w:pPr>
            <w:r>
              <w:t>Environmental watering through pumping to specific wetlands / locations</w:t>
            </w:r>
          </w:p>
        </w:tc>
        <w:tc>
          <w:tcPr>
            <w:tcW w:w="2956" w:type="pct"/>
            <w:vAlign w:val="center"/>
          </w:tcPr>
          <w:p w14:paraId="1AA69BF9" w14:textId="3C87F26F" w:rsidR="004118E8" w:rsidRDefault="004118E8" w:rsidP="004118E8">
            <w:pPr>
              <w:pStyle w:val="Tabletext"/>
            </w:pPr>
            <w:r>
              <w:t>Closest management option to a natural flood, hence can provides additional benefits in relation to seed dispersal, nutrient dispersal, understorey soil moisture compared with other options. Seeks to improve soil moisture availability</w:t>
            </w:r>
          </w:p>
        </w:tc>
      </w:tr>
      <w:tr w:rsidR="004118E8" w14:paraId="3DB8EFFB" w14:textId="77777777" w:rsidTr="007A4B74">
        <w:tc>
          <w:tcPr>
            <w:tcW w:w="929" w:type="pct"/>
            <w:vMerge/>
            <w:vAlign w:val="center"/>
          </w:tcPr>
          <w:p w14:paraId="7F66C243" w14:textId="5458A450" w:rsidR="004118E8" w:rsidRDefault="004118E8" w:rsidP="00E4655B">
            <w:pPr>
              <w:pStyle w:val="Tabletext"/>
            </w:pPr>
          </w:p>
        </w:tc>
        <w:tc>
          <w:tcPr>
            <w:tcW w:w="1115" w:type="pct"/>
            <w:vAlign w:val="center"/>
          </w:tcPr>
          <w:p w14:paraId="24377B7A" w14:textId="23BCF7A3" w:rsidR="004118E8" w:rsidRDefault="004118E8" w:rsidP="00E4655B">
            <w:pPr>
              <w:spacing w:after="0"/>
            </w:pPr>
            <w:r>
              <w:t>Augmenting river flows with environmental watering</w:t>
            </w:r>
          </w:p>
        </w:tc>
        <w:tc>
          <w:tcPr>
            <w:tcW w:w="2956" w:type="pct"/>
            <w:vAlign w:val="center"/>
          </w:tcPr>
          <w:p w14:paraId="7F88C9F6" w14:textId="47A3AA6A" w:rsidR="004118E8" w:rsidRDefault="00811DB1" w:rsidP="00E9265E">
            <w:pPr>
              <w:pStyle w:val="Tabletext"/>
            </w:pPr>
            <w:r>
              <w:t>Augmenting</w:t>
            </w:r>
            <w:r w:rsidR="004118E8">
              <w:t xml:space="preserve"> river flows </w:t>
            </w:r>
            <w:r>
              <w:t xml:space="preserve">are highly effective but </w:t>
            </w:r>
            <w:r w:rsidR="004118E8">
              <w:t xml:space="preserve">likely to be limited for Black Box as high magnitude floods </w:t>
            </w:r>
            <w:r>
              <w:t xml:space="preserve">are needed </w:t>
            </w:r>
            <w:r w:rsidR="004118E8">
              <w:t>to reach the upper parts of the floodplain.</w:t>
            </w:r>
          </w:p>
        </w:tc>
      </w:tr>
      <w:tr w:rsidR="004118E8" w14:paraId="2A796C5C" w14:textId="77777777" w:rsidTr="007A4B74">
        <w:tc>
          <w:tcPr>
            <w:tcW w:w="929" w:type="pct"/>
            <w:vMerge/>
            <w:vAlign w:val="center"/>
          </w:tcPr>
          <w:p w14:paraId="08C411E9" w14:textId="7DA64840" w:rsidR="004118E8" w:rsidRDefault="004118E8" w:rsidP="00E4655B">
            <w:pPr>
              <w:pStyle w:val="Tabletext"/>
            </w:pPr>
          </w:p>
        </w:tc>
        <w:tc>
          <w:tcPr>
            <w:tcW w:w="1115" w:type="pct"/>
            <w:vAlign w:val="center"/>
          </w:tcPr>
          <w:p w14:paraId="64EFD130" w14:textId="1FB2B429" w:rsidR="004118E8" w:rsidRDefault="004118E8" w:rsidP="00E4655B">
            <w:pPr>
              <w:spacing w:after="0"/>
            </w:pPr>
            <w:r>
              <w:t>Weir pool manipulation</w:t>
            </w:r>
          </w:p>
        </w:tc>
        <w:tc>
          <w:tcPr>
            <w:tcW w:w="2956" w:type="pct"/>
            <w:vAlign w:val="center"/>
          </w:tcPr>
          <w:p w14:paraId="3069F66D" w14:textId="5A158EAF" w:rsidR="004118E8" w:rsidRDefault="004118E8" w:rsidP="00DF5216">
            <w:pPr>
              <w:pStyle w:val="Tabletext"/>
            </w:pPr>
            <w:r>
              <w:t>Weir pool raising provides inundation of vegetation and potential for lateral/vertical recharge. Regimes o</w:t>
            </w:r>
            <w:r w:rsidR="00B46025">
              <w:t xml:space="preserve">f raising and lowering seek to </w:t>
            </w:r>
            <w:r>
              <w:t>address both water and salinity stressors through greater river level variability.</w:t>
            </w:r>
          </w:p>
          <w:p w14:paraId="5F390B75" w14:textId="6C1F9108" w:rsidR="004118E8" w:rsidRDefault="004118E8" w:rsidP="00DF5216">
            <w:pPr>
              <w:pStyle w:val="Tabletext"/>
            </w:pPr>
            <w:r>
              <w:t>Weir pool manipulation is likely to be moderately or least effective on a broad scale as it will only influence Black Box on low parts of the floodplain or close to river banks.</w:t>
            </w:r>
          </w:p>
        </w:tc>
      </w:tr>
      <w:tr w:rsidR="004118E8" w14:paraId="3549C4D1" w14:textId="77777777" w:rsidTr="007A4B74">
        <w:tc>
          <w:tcPr>
            <w:tcW w:w="929" w:type="pct"/>
            <w:vMerge/>
            <w:vAlign w:val="center"/>
          </w:tcPr>
          <w:p w14:paraId="2CB02006" w14:textId="30957020" w:rsidR="004118E8" w:rsidRDefault="004118E8" w:rsidP="00E4655B">
            <w:pPr>
              <w:pStyle w:val="Tabletext"/>
            </w:pPr>
          </w:p>
        </w:tc>
        <w:tc>
          <w:tcPr>
            <w:tcW w:w="1115" w:type="pct"/>
            <w:vAlign w:val="center"/>
          </w:tcPr>
          <w:p w14:paraId="7BC93FCC" w14:textId="77777777" w:rsidR="004118E8" w:rsidRDefault="004118E8" w:rsidP="00E4655B">
            <w:pPr>
              <w:spacing w:after="0"/>
            </w:pPr>
            <w:r>
              <w:t>Removal of constraints to redevelop surface water flow paths</w:t>
            </w:r>
          </w:p>
        </w:tc>
        <w:tc>
          <w:tcPr>
            <w:tcW w:w="2956" w:type="pct"/>
            <w:vAlign w:val="center"/>
          </w:tcPr>
          <w:p w14:paraId="72A16918" w14:textId="0F9A388C" w:rsidR="004118E8" w:rsidRDefault="004118E8" w:rsidP="00811DB1">
            <w:pPr>
              <w:pStyle w:val="Tabletext"/>
            </w:pPr>
            <w:r>
              <w:t xml:space="preserve">Increases the potential areas of surface inundation and lateral/vertical recharge created through environmental watering or weir pool manipulation. </w:t>
            </w:r>
          </w:p>
        </w:tc>
      </w:tr>
      <w:tr w:rsidR="004118E8" w14:paraId="058C0686" w14:textId="77777777" w:rsidTr="007A4B74">
        <w:tc>
          <w:tcPr>
            <w:tcW w:w="929" w:type="pct"/>
            <w:vMerge/>
            <w:vAlign w:val="center"/>
          </w:tcPr>
          <w:p w14:paraId="6A104C95" w14:textId="77777777" w:rsidR="004118E8" w:rsidRDefault="004118E8" w:rsidP="00E4655B">
            <w:pPr>
              <w:pStyle w:val="Tabletext"/>
            </w:pPr>
          </w:p>
        </w:tc>
        <w:tc>
          <w:tcPr>
            <w:tcW w:w="1115" w:type="pct"/>
            <w:vAlign w:val="center"/>
          </w:tcPr>
          <w:p w14:paraId="0E56D4FC" w14:textId="77777777" w:rsidR="004118E8" w:rsidRDefault="004118E8" w:rsidP="00E4655B">
            <w:pPr>
              <w:spacing w:after="0"/>
            </w:pPr>
            <w:r w:rsidRPr="00A941D8">
              <w:t>Drip or spray irrigation of Black Box vegetation</w:t>
            </w:r>
          </w:p>
        </w:tc>
        <w:tc>
          <w:tcPr>
            <w:tcW w:w="2956" w:type="pct"/>
            <w:vAlign w:val="center"/>
          </w:tcPr>
          <w:p w14:paraId="34358DC1" w14:textId="0A64147F" w:rsidR="004118E8" w:rsidRDefault="004118E8" w:rsidP="004118E8">
            <w:pPr>
              <w:pStyle w:val="Tabletext"/>
            </w:pPr>
            <w:r>
              <w:t>Provides water to Black Box vegetation, however does not simulate flooding conditions, so does not provide other benefits. Seeks to address stressors.</w:t>
            </w:r>
            <w:r w:rsidR="00811DB1">
              <w:t xml:space="preserve"> </w:t>
            </w:r>
          </w:p>
        </w:tc>
      </w:tr>
      <w:tr w:rsidR="004118E8" w14:paraId="5128982B" w14:textId="77777777" w:rsidTr="007A4B74">
        <w:tc>
          <w:tcPr>
            <w:tcW w:w="929" w:type="pct"/>
            <w:vMerge/>
            <w:vAlign w:val="center"/>
          </w:tcPr>
          <w:p w14:paraId="67E2FB40" w14:textId="77777777" w:rsidR="004118E8" w:rsidRDefault="004118E8" w:rsidP="00E4655B">
            <w:pPr>
              <w:pStyle w:val="Tabletext"/>
            </w:pPr>
          </w:p>
        </w:tc>
        <w:tc>
          <w:tcPr>
            <w:tcW w:w="1115" w:type="pct"/>
            <w:vAlign w:val="center"/>
          </w:tcPr>
          <w:p w14:paraId="09CDA56A" w14:textId="77777777" w:rsidR="004118E8" w:rsidRDefault="004118E8" w:rsidP="00E4655B">
            <w:pPr>
              <w:spacing w:after="0"/>
            </w:pPr>
            <w:r>
              <w:t>Groundwater pumping</w:t>
            </w:r>
          </w:p>
        </w:tc>
        <w:tc>
          <w:tcPr>
            <w:tcW w:w="2956" w:type="pct"/>
            <w:vMerge w:val="restart"/>
            <w:vAlign w:val="center"/>
          </w:tcPr>
          <w:p w14:paraId="314F7AD9" w14:textId="37F378BE" w:rsidR="004118E8" w:rsidRDefault="004118E8" w:rsidP="00E9265E">
            <w:pPr>
              <w:pStyle w:val="Tabletext"/>
            </w:pPr>
            <w:r>
              <w:t xml:space="preserve">Improves soil water availability through lowering saline groundwater table, enabling freshening of the groundwater in the unsaturated zone. However, does not provide surface inundation of vegetation. </w:t>
            </w:r>
          </w:p>
        </w:tc>
      </w:tr>
      <w:tr w:rsidR="004118E8" w14:paraId="55AEA575" w14:textId="77777777" w:rsidTr="007A4B74">
        <w:tc>
          <w:tcPr>
            <w:tcW w:w="929" w:type="pct"/>
            <w:vMerge/>
            <w:vAlign w:val="center"/>
          </w:tcPr>
          <w:p w14:paraId="1D629273" w14:textId="77777777" w:rsidR="004118E8" w:rsidRDefault="004118E8" w:rsidP="00E4655B">
            <w:pPr>
              <w:pStyle w:val="Tabletext"/>
            </w:pPr>
          </w:p>
        </w:tc>
        <w:tc>
          <w:tcPr>
            <w:tcW w:w="1115" w:type="pct"/>
            <w:vAlign w:val="center"/>
          </w:tcPr>
          <w:p w14:paraId="6998FDAC" w14:textId="77777777" w:rsidR="004118E8" w:rsidRDefault="004118E8" w:rsidP="00E4655B">
            <w:pPr>
              <w:spacing w:after="0"/>
            </w:pPr>
            <w:r>
              <w:t>Groundwater injection</w:t>
            </w:r>
          </w:p>
        </w:tc>
        <w:tc>
          <w:tcPr>
            <w:tcW w:w="2956" w:type="pct"/>
            <w:vMerge/>
            <w:vAlign w:val="center"/>
          </w:tcPr>
          <w:p w14:paraId="2D489CA8" w14:textId="77777777" w:rsidR="004118E8" w:rsidRDefault="004118E8" w:rsidP="00E4655B">
            <w:pPr>
              <w:pStyle w:val="Tabletext"/>
            </w:pPr>
          </w:p>
        </w:tc>
      </w:tr>
      <w:tr w:rsidR="00480651" w14:paraId="6ED578B4" w14:textId="77777777" w:rsidTr="007A4B74">
        <w:trPr>
          <w:trHeight w:val="825"/>
        </w:trPr>
        <w:tc>
          <w:tcPr>
            <w:tcW w:w="929" w:type="pct"/>
            <w:vMerge w:val="restart"/>
            <w:vAlign w:val="center"/>
          </w:tcPr>
          <w:p w14:paraId="280E5DD6" w14:textId="77777777" w:rsidR="00480651" w:rsidRDefault="00480651" w:rsidP="00E4655B">
            <w:pPr>
              <w:pStyle w:val="Tabletext"/>
            </w:pPr>
            <w:r>
              <w:t>Least effective</w:t>
            </w:r>
          </w:p>
        </w:tc>
        <w:tc>
          <w:tcPr>
            <w:tcW w:w="1115" w:type="pct"/>
            <w:vAlign w:val="center"/>
          </w:tcPr>
          <w:p w14:paraId="4A329689" w14:textId="77777777" w:rsidR="00480651" w:rsidRDefault="00480651" w:rsidP="00E4655B">
            <w:pPr>
              <w:spacing w:after="0"/>
            </w:pPr>
            <w:r>
              <w:t>Minimisation of deep drainage from highland irrigation</w:t>
            </w:r>
          </w:p>
        </w:tc>
        <w:tc>
          <w:tcPr>
            <w:tcW w:w="2956" w:type="pct"/>
            <w:vMerge/>
            <w:vAlign w:val="center"/>
          </w:tcPr>
          <w:p w14:paraId="11C5DDAA" w14:textId="77777777" w:rsidR="00480651" w:rsidRDefault="00480651" w:rsidP="00E4655B">
            <w:pPr>
              <w:pStyle w:val="Tabletext"/>
            </w:pPr>
          </w:p>
        </w:tc>
      </w:tr>
      <w:tr w:rsidR="0043274A" w14:paraId="4DAE26C0" w14:textId="77777777" w:rsidTr="007A4B74">
        <w:trPr>
          <w:trHeight w:val="970"/>
        </w:trPr>
        <w:tc>
          <w:tcPr>
            <w:tcW w:w="929" w:type="pct"/>
            <w:vMerge/>
          </w:tcPr>
          <w:p w14:paraId="0E848934" w14:textId="77777777" w:rsidR="0043274A" w:rsidRDefault="0043274A" w:rsidP="00E4655B">
            <w:pPr>
              <w:pStyle w:val="Tabletext"/>
            </w:pPr>
          </w:p>
        </w:tc>
        <w:tc>
          <w:tcPr>
            <w:tcW w:w="1115" w:type="pct"/>
            <w:vAlign w:val="center"/>
          </w:tcPr>
          <w:p w14:paraId="0D905474" w14:textId="413A7F9A" w:rsidR="0043274A" w:rsidRDefault="0043274A" w:rsidP="00E4655B">
            <w:pPr>
              <w:spacing w:after="0"/>
            </w:pPr>
            <w:r w:rsidRPr="00A941D8">
              <w:t>Minimisation of land clearance</w:t>
            </w:r>
            <w:r>
              <w:t xml:space="preserve"> and other land degradation processes</w:t>
            </w:r>
          </w:p>
        </w:tc>
        <w:tc>
          <w:tcPr>
            <w:tcW w:w="2956" w:type="pct"/>
            <w:vAlign w:val="center"/>
          </w:tcPr>
          <w:p w14:paraId="7504A155" w14:textId="6FD07416" w:rsidR="0043274A" w:rsidRDefault="0043274A" w:rsidP="004E19F3">
            <w:pPr>
              <w:pStyle w:val="Tabletext"/>
            </w:pPr>
            <w:r>
              <w:t xml:space="preserve">Prevents damage to Black Box vegetation, however does not improve soil </w:t>
            </w:r>
            <w:r w:rsidR="004E19F3">
              <w:t xml:space="preserve">water </w:t>
            </w:r>
            <w:r>
              <w:t>availability.</w:t>
            </w:r>
          </w:p>
        </w:tc>
      </w:tr>
      <w:tr w:rsidR="00A2583E" w14:paraId="7E0F037C" w14:textId="77777777" w:rsidTr="007A4B74">
        <w:tc>
          <w:tcPr>
            <w:tcW w:w="929" w:type="pct"/>
          </w:tcPr>
          <w:p w14:paraId="385D51CE" w14:textId="77777777" w:rsidR="00A2583E" w:rsidRDefault="00A2583E" w:rsidP="00E4655B">
            <w:pPr>
              <w:pStyle w:val="Tabletext"/>
            </w:pPr>
          </w:p>
        </w:tc>
        <w:tc>
          <w:tcPr>
            <w:tcW w:w="1115" w:type="pct"/>
            <w:vAlign w:val="center"/>
          </w:tcPr>
          <w:p w14:paraId="6F182C0B" w14:textId="63E28A72" w:rsidR="00A2583E" w:rsidRPr="00A941D8" w:rsidRDefault="00A2583E" w:rsidP="00E4655B">
            <w:pPr>
              <w:spacing w:after="0"/>
            </w:pPr>
            <w:r>
              <w:t>Increase in leaf litter and mulching</w:t>
            </w:r>
          </w:p>
        </w:tc>
        <w:tc>
          <w:tcPr>
            <w:tcW w:w="2956" w:type="pct"/>
            <w:vAlign w:val="center"/>
          </w:tcPr>
          <w:p w14:paraId="0D5E8488" w14:textId="6D31328F" w:rsidR="00A2583E" w:rsidRDefault="00A2583E" w:rsidP="00E4655B">
            <w:pPr>
              <w:pStyle w:val="Tabletext"/>
            </w:pPr>
            <w:r>
              <w:t>Reduces soil moisture loss to increase the retention of rain water (Gehrig and Nicol, 2010). Only suitable for small areas.</w:t>
            </w:r>
          </w:p>
        </w:tc>
      </w:tr>
    </w:tbl>
    <w:p w14:paraId="21A0285B" w14:textId="77777777" w:rsidR="00B46025" w:rsidRDefault="00B46025" w:rsidP="00B46025">
      <w:pPr>
        <w:pStyle w:val="Heading3"/>
        <w:numPr>
          <w:ilvl w:val="0"/>
          <w:numId w:val="0"/>
        </w:numPr>
        <w:ind w:left="851" w:hanging="851"/>
        <w:rPr>
          <w:rFonts w:eastAsiaTheme="minorEastAsia"/>
        </w:rPr>
      </w:pPr>
    </w:p>
    <w:p w14:paraId="5C24F841" w14:textId="77777777" w:rsidR="00B46025" w:rsidRDefault="00B46025">
      <w:pPr>
        <w:spacing w:after="0" w:line="240" w:lineRule="auto"/>
        <w:rPr>
          <w:rFonts w:cstheme="majorBidi"/>
          <w:b/>
          <w:bCs/>
        </w:rPr>
      </w:pPr>
      <w:r>
        <w:br w:type="page"/>
      </w:r>
    </w:p>
    <w:p w14:paraId="252DEF59" w14:textId="1838F53E" w:rsidR="00CE0821" w:rsidRPr="00DF4A1A" w:rsidRDefault="00CE0821" w:rsidP="00CE0821">
      <w:pPr>
        <w:pStyle w:val="Heading3"/>
        <w:rPr>
          <w:rFonts w:eastAsiaTheme="minorEastAsia"/>
        </w:rPr>
      </w:pPr>
      <w:r w:rsidRPr="00DF4A1A">
        <w:rPr>
          <w:rFonts w:eastAsiaTheme="minorEastAsia"/>
        </w:rPr>
        <w:t xml:space="preserve">Developing a </w:t>
      </w:r>
      <w:r w:rsidR="0054034A">
        <w:rPr>
          <w:rFonts w:eastAsiaTheme="minorEastAsia"/>
        </w:rPr>
        <w:t>L</w:t>
      </w:r>
      <w:r w:rsidRPr="00DF4A1A">
        <w:rPr>
          <w:rFonts w:eastAsiaTheme="minorEastAsia"/>
        </w:rPr>
        <w:t xml:space="preserve">ist of </w:t>
      </w:r>
      <w:r w:rsidR="0054034A">
        <w:rPr>
          <w:rFonts w:eastAsiaTheme="minorEastAsia"/>
        </w:rPr>
        <w:t>M</w:t>
      </w:r>
      <w:r w:rsidRPr="00DF4A1A">
        <w:rPr>
          <w:rFonts w:eastAsiaTheme="minorEastAsia"/>
        </w:rPr>
        <w:t xml:space="preserve">anagement </w:t>
      </w:r>
      <w:r w:rsidR="0054034A">
        <w:rPr>
          <w:rFonts w:eastAsiaTheme="minorEastAsia"/>
        </w:rPr>
        <w:t>O</w:t>
      </w:r>
      <w:r w:rsidRPr="00DF4A1A">
        <w:rPr>
          <w:rFonts w:eastAsiaTheme="minorEastAsia"/>
        </w:rPr>
        <w:t>ptions</w:t>
      </w:r>
    </w:p>
    <w:p w14:paraId="7713D2C8" w14:textId="36654401" w:rsidR="00CE0821" w:rsidRPr="00DF4A1A" w:rsidRDefault="00CE0821" w:rsidP="00DF4A1A">
      <w:pPr>
        <w:pStyle w:val="Para0"/>
      </w:pPr>
      <w:r w:rsidRPr="00DF4A1A">
        <w:t xml:space="preserve">A list of management options that have the potential to </w:t>
      </w:r>
      <w:r w:rsidR="0073055B" w:rsidRPr="00DF4A1A">
        <w:t xml:space="preserve">influence Black Box vegetation </w:t>
      </w:r>
      <w:r w:rsidR="00ED6481" w:rsidRPr="00DF4A1A">
        <w:t xml:space="preserve">at a </w:t>
      </w:r>
      <w:r w:rsidR="0073055B" w:rsidRPr="00DF4A1A">
        <w:t>site</w:t>
      </w:r>
      <w:r w:rsidR="00A25E52">
        <w:t xml:space="preserve"> should be developed</w:t>
      </w:r>
      <w:r w:rsidR="0073055B" w:rsidRPr="00DF4A1A">
        <w:t xml:space="preserve">. </w:t>
      </w:r>
      <w:r w:rsidR="003F4D58" w:rsidRPr="00DF4A1A">
        <w:t xml:space="preserve">For the site investigation, the focus is to determine </w:t>
      </w:r>
      <w:r w:rsidR="005F75D8">
        <w:t xml:space="preserve">physically feasible options </w:t>
      </w:r>
      <w:r w:rsidR="003F4D58" w:rsidRPr="00DF4A1A">
        <w:t xml:space="preserve">that have the potential to </w:t>
      </w:r>
      <w:r w:rsidR="005F75D8">
        <w:t xml:space="preserve">effectively </w:t>
      </w:r>
      <w:r w:rsidR="003F4D58" w:rsidRPr="00DF4A1A">
        <w:t xml:space="preserve">influence Black Box </w:t>
      </w:r>
      <w:r w:rsidR="005F75D8">
        <w:t xml:space="preserve">stressors </w:t>
      </w:r>
      <w:r w:rsidR="003F4D58" w:rsidRPr="00DF4A1A">
        <w:t xml:space="preserve">at the site. There are a range of factors other than physical feasibility which are important to consider in the prioritisation and selection of management actions to implement, however these aspects are considered in </w:t>
      </w:r>
      <w:r w:rsidR="003F4D58" w:rsidRPr="00E230DF">
        <w:rPr>
          <w:i/>
        </w:rPr>
        <w:t xml:space="preserve">Part B: </w:t>
      </w:r>
      <w:r w:rsidR="003375C9">
        <w:rPr>
          <w:rFonts w:cs="Arial"/>
          <w:i/>
          <w:szCs w:val="20"/>
        </w:rPr>
        <w:t xml:space="preserve">Developing a </w:t>
      </w:r>
      <w:r w:rsidR="00AD0E29">
        <w:rPr>
          <w:rFonts w:cs="Arial"/>
          <w:i/>
          <w:szCs w:val="20"/>
        </w:rPr>
        <w:t>S</w:t>
      </w:r>
      <w:r w:rsidR="003375C9">
        <w:rPr>
          <w:rFonts w:cs="Arial"/>
          <w:i/>
          <w:szCs w:val="20"/>
        </w:rPr>
        <w:t xml:space="preserve">ite </w:t>
      </w:r>
      <w:r w:rsidR="00AD0E29">
        <w:rPr>
          <w:rFonts w:cs="Arial"/>
          <w:i/>
          <w:szCs w:val="20"/>
        </w:rPr>
        <w:t>M</w:t>
      </w:r>
      <w:r w:rsidR="003375C9">
        <w:rPr>
          <w:rFonts w:cs="Arial"/>
          <w:i/>
          <w:szCs w:val="20"/>
        </w:rPr>
        <w:t xml:space="preserve">anagement </w:t>
      </w:r>
      <w:r w:rsidR="00AD0E29">
        <w:rPr>
          <w:rFonts w:cs="Arial"/>
          <w:i/>
          <w:szCs w:val="20"/>
        </w:rPr>
        <w:t>P</w:t>
      </w:r>
      <w:r w:rsidR="003375C9">
        <w:rPr>
          <w:rFonts w:cs="Arial"/>
          <w:i/>
          <w:szCs w:val="20"/>
        </w:rPr>
        <w:t>lan</w:t>
      </w:r>
      <w:r w:rsidR="003F4D58" w:rsidRPr="003F52D9">
        <w:rPr>
          <w:rFonts w:cs="Arial"/>
          <w:szCs w:val="20"/>
        </w:rPr>
        <w:t xml:space="preserve">. </w:t>
      </w:r>
    </w:p>
    <w:p w14:paraId="766B3A7B" w14:textId="13AD505B" w:rsidR="00CE0821" w:rsidRPr="00DF4A1A" w:rsidRDefault="00706501" w:rsidP="00DF4A1A">
      <w:pPr>
        <w:pStyle w:val="Para0"/>
      </w:pPr>
      <w:r>
        <w:t>The following steps describe a process that can be used to develop a list of management options for Black Box site</w:t>
      </w:r>
      <w:r w:rsidR="003B65C8">
        <w:t>s</w:t>
      </w:r>
      <w:r w:rsidR="00CE0821" w:rsidRPr="00DF4A1A">
        <w:t>:</w:t>
      </w:r>
    </w:p>
    <w:p w14:paraId="32382D1A" w14:textId="334B73DB" w:rsidR="00CE0821" w:rsidRPr="00DF4A1A" w:rsidRDefault="00CE0821" w:rsidP="00857DCC">
      <w:pPr>
        <w:pStyle w:val="Para1narrowarrow"/>
        <w:ind w:left="426"/>
      </w:pPr>
      <w:r w:rsidRPr="00DF4A1A">
        <w:t xml:space="preserve">Inspect the </w:t>
      </w:r>
      <w:r w:rsidR="00ED6481" w:rsidRPr="00DF4A1A">
        <w:t xml:space="preserve">vulnerability maps developed in </w:t>
      </w:r>
      <w:r w:rsidR="005A4E06">
        <w:t>chapter</w:t>
      </w:r>
      <w:r w:rsidR="003375C9">
        <w:t xml:space="preserve"> </w:t>
      </w:r>
      <w:r w:rsidR="003375C9">
        <w:fldChar w:fldCharType="begin"/>
      </w:r>
      <w:r w:rsidR="003375C9">
        <w:instrText xml:space="preserve"> REF _Ref506553847 \r \h </w:instrText>
      </w:r>
      <w:r w:rsidR="003375C9">
        <w:fldChar w:fldCharType="separate"/>
      </w:r>
      <w:r w:rsidR="00BF015B">
        <w:t>3.6</w:t>
      </w:r>
      <w:r w:rsidR="003375C9">
        <w:fldChar w:fldCharType="end"/>
      </w:r>
      <w:r w:rsidR="00ED6481" w:rsidRPr="00DF4A1A">
        <w:t>. These provide information on the location, condition and stressors relevant to Black Box on the site</w:t>
      </w:r>
      <w:r w:rsidR="00AD0E29">
        <w:t xml:space="preserve">. They also </w:t>
      </w:r>
      <w:r w:rsidR="00ED6481" w:rsidRPr="00DF4A1A">
        <w:t xml:space="preserve">show the </w:t>
      </w:r>
      <w:r w:rsidR="003F4D58" w:rsidRPr="00DF4A1A">
        <w:t xml:space="preserve">Black Box </w:t>
      </w:r>
      <w:r w:rsidR="00ED6481" w:rsidRPr="00DF4A1A">
        <w:t>management units that have been de</w:t>
      </w:r>
      <w:r w:rsidR="003B65C8">
        <w:t>fined</w:t>
      </w:r>
      <w:r w:rsidR="00ED6481" w:rsidRPr="00DF4A1A">
        <w:t>.</w:t>
      </w:r>
    </w:p>
    <w:p w14:paraId="19FF8A03" w14:textId="7203FB8B" w:rsidR="00ED6481" w:rsidRPr="00DF4A1A" w:rsidRDefault="00ED6481" w:rsidP="00857DCC">
      <w:pPr>
        <w:pStyle w:val="Para1narrowarrow"/>
        <w:ind w:left="426"/>
      </w:pPr>
      <w:r w:rsidRPr="00DF4A1A">
        <w:t xml:space="preserve">Review the information provided in </w:t>
      </w:r>
      <w:r w:rsidR="003375C9">
        <w:fldChar w:fldCharType="begin"/>
      </w:r>
      <w:r w:rsidR="003375C9">
        <w:instrText xml:space="preserve"> REF _Ref506802252 \h </w:instrText>
      </w:r>
      <w:r w:rsidR="003375C9">
        <w:fldChar w:fldCharType="separate"/>
      </w:r>
      <w:r w:rsidR="00BF015B" w:rsidRPr="00890425">
        <w:t xml:space="preserve">Table </w:t>
      </w:r>
      <w:r w:rsidR="00BF015B">
        <w:rPr>
          <w:noProof/>
        </w:rPr>
        <w:t>3</w:t>
      </w:r>
      <w:r w:rsidR="00BF015B" w:rsidRPr="00890425">
        <w:noBreakHyphen/>
      </w:r>
      <w:r w:rsidR="00BF015B">
        <w:rPr>
          <w:noProof/>
        </w:rPr>
        <w:t>13</w:t>
      </w:r>
      <w:r w:rsidR="003375C9">
        <w:fldChar w:fldCharType="end"/>
      </w:r>
      <w:r w:rsidR="003375C9">
        <w:t xml:space="preserve"> and </w:t>
      </w:r>
      <w:r w:rsidR="003375C9">
        <w:fldChar w:fldCharType="begin"/>
      </w:r>
      <w:r w:rsidR="003375C9">
        <w:instrText xml:space="preserve"> REF _Ref506802974 \r \h </w:instrText>
      </w:r>
      <w:r w:rsidR="003375C9">
        <w:fldChar w:fldCharType="separate"/>
      </w:r>
      <w:r w:rsidR="00BF015B">
        <w:t>Appendix E</w:t>
      </w:r>
      <w:r w:rsidR="003375C9">
        <w:fldChar w:fldCharType="end"/>
      </w:r>
      <w:r w:rsidRPr="00DF4A1A">
        <w:t xml:space="preserve"> to identify the full list of management options that have the potential to be physically feasible at the site. </w:t>
      </w:r>
    </w:p>
    <w:p w14:paraId="5D435884" w14:textId="77777777" w:rsidR="00ED6481" w:rsidRPr="00DF4A1A" w:rsidRDefault="00ED6481" w:rsidP="00857DCC">
      <w:pPr>
        <w:pStyle w:val="Para1narrowarrow"/>
        <w:ind w:left="426"/>
      </w:pPr>
      <w:r w:rsidRPr="00DF4A1A">
        <w:t xml:space="preserve">Investigate each management option, including determination of: </w:t>
      </w:r>
    </w:p>
    <w:p w14:paraId="3AD9265C" w14:textId="7948FF44" w:rsidR="00ED6481" w:rsidRPr="00DF4A1A" w:rsidRDefault="003B65C8" w:rsidP="00F22225">
      <w:pPr>
        <w:pStyle w:val="Para1narrowarrow"/>
        <w:numPr>
          <w:ilvl w:val="0"/>
          <w:numId w:val="58"/>
        </w:numPr>
        <w:ind w:left="1210"/>
      </w:pPr>
      <w:r>
        <w:t xml:space="preserve">The suitability of management options for each </w:t>
      </w:r>
      <w:r w:rsidR="00ED6481" w:rsidRPr="00DF4A1A">
        <w:t>Black Box management units (based on site conditions/vulnerability of Black Box)</w:t>
      </w:r>
      <w:r w:rsidR="003375C9">
        <w:t>. Developing a map of the potential locations where each management option can be applied is useful at this stage.</w:t>
      </w:r>
    </w:p>
    <w:p w14:paraId="722FC800" w14:textId="0CF0997B" w:rsidR="00ED6481" w:rsidRPr="00DF4A1A" w:rsidRDefault="00ED6481" w:rsidP="00F22225">
      <w:pPr>
        <w:pStyle w:val="Para1narrowarrow"/>
        <w:numPr>
          <w:ilvl w:val="0"/>
          <w:numId w:val="58"/>
        </w:numPr>
        <w:ind w:left="1210"/>
      </w:pPr>
      <w:r w:rsidRPr="00DF4A1A">
        <w:t>The area of Black Box that would potentially be inf</w:t>
      </w:r>
      <w:r w:rsidR="003F4D58" w:rsidRPr="00DF4A1A">
        <w:t>luenced by the management option</w:t>
      </w:r>
      <w:r w:rsidR="003375C9">
        <w:t xml:space="preserve">. Developing a map and conducting analysis of the potential area affected by each management option, </w:t>
      </w:r>
      <w:r w:rsidR="003B65C8">
        <w:t>relative to</w:t>
      </w:r>
      <w:r w:rsidR="003375C9">
        <w:t xml:space="preserve"> the location of Black Box vegetation. </w:t>
      </w:r>
    </w:p>
    <w:p w14:paraId="2F180C5D" w14:textId="7D47B017" w:rsidR="00ED6481" w:rsidRPr="00DF4A1A" w:rsidRDefault="00706501" w:rsidP="00F22225">
      <w:pPr>
        <w:pStyle w:val="Para1narrowarrow"/>
        <w:numPr>
          <w:ilvl w:val="0"/>
          <w:numId w:val="58"/>
        </w:numPr>
        <w:ind w:left="1210"/>
      </w:pPr>
      <w:r w:rsidRPr="003F52D9">
        <w:t>A summary of the</w:t>
      </w:r>
      <w:r w:rsidR="00ED6481" w:rsidRPr="00DF4A1A">
        <w:t xml:space="preserve"> physical works that would be required to</w:t>
      </w:r>
      <w:r w:rsidR="003F4D58" w:rsidRPr="00DF4A1A">
        <w:t xml:space="preserve"> implement the management option</w:t>
      </w:r>
      <w:r w:rsidR="00ED6481" w:rsidRPr="00DF4A1A">
        <w:t xml:space="preserve"> (e</w:t>
      </w:r>
      <w:r w:rsidR="003B65C8">
        <w:t>.</w:t>
      </w:r>
      <w:r w:rsidR="00ED6481" w:rsidRPr="00DF4A1A">
        <w:t>g. excavation, installation of pum</w:t>
      </w:r>
      <w:r w:rsidR="003F4D58" w:rsidRPr="00DF4A1A">
        <w:t>ps, installation of regulators, weir pool manipulation)</w:t>
      </w:r>
      <w:r w:rsidR="00C14607">
        <w:t>.</w:t>
      </w:r>
    </w:p>
    <w:p w14:paraId="2CE9373B" w14:textId="77E7ACDB" w:rsidR="003F4D58" w:rsidRPr="00DF4A1A" w:rsidRDefault="003F4D58" w:rsidP="00F22225">
      <w:pPr>
        <w:pStyle w:val="Para1narrowarrow"/>
        <w:numPr>
          <w:ilvl w:val="0"/>
          <w:numId w:val="58"/>
        </w:numPr>
        <w:ind w:left="1210"/>
      </w:pPr>
      <w:r w:rsidRPr="00DF4A1A">
        <w:t>The approximate volumes of water that would be required</w:t>
      </w:r>
      <w:r w:rsidR="00C14607">
        <w:t>.</w:t>
      </w:r>
    </w:p>
    <w:p w14:paraId="6E9EE6A4" w14:textId="4147ADC1" w:rsidR="003F4D58" w:rsidRPr="00DF4A1A" w:rsidRDefault="003F4D58" w:rsidP="00F22225">
      <w:pPr>
        <w:pStyle w:val="Para1narrowarrow"/>
        <w:numPr>
          <w:ilvl w:val="0"/>
          <w:numId w:val="58"/>
        </w:numPr>
        <w:ind w:left="1210"/>
      </w:pPr>
      <w:r w:rsidRPr="00DF4A1A">
        <w:t>Approximate relative costs to implement each management option</w:t>
      </w:r>
      <w:r w:rsidR="003375C9">
        <w:t xml:space="preserve">. This involves developing an understanding of all resources needed to develop each </w:t>
      </w:r>
      <w:r w:rsidR="003B65C8">
        <w:t>option and</w:t>
      </w:r>
      <w:r w:rsidR="003375C9">
        <w:t xml:space="preserve"> converting those into costs estimates. </w:t>
      </w:r>
    </w:p>
    <w:p w14:paraId="654EE63C" w14:textId="65ED4D65" w:rsidR="003F4D58" w:rsidRPr="00DF4A1A" w:rsidRDefault="003F4D58" w:rsidP="00A40029">
      <w:pPr>
        <w:pStyle w:val="Para1narrowarrow"/>
        <w:ind w:left="426"/>
      </w:pPr>
      <w:r w:rsidRPr="00DF4A1A">
        <w:t xml:space="preserve">Summarise the results of the investigation. This summary is a key input to </w:t>
      </w:r>
      <w:r w:rsidRPr="00E230DF">
        <w:rPr>
          <w:i/>
        </w:rPr>
        <w:t xml:space="preserve">Part B: </w:t>
      </w:r>
      <w:r w:rsidR="003375C9">
        <w:rPr>
          <w:rFonts w:cs="Arial"/>
          <w:i/>
          <w:szCs w:val="20"/>
        </w:rPr>
        <w:t>Developing a Site Management Plan.</w:t>
      </w:r>
    </w:p>
    <w:p w14:paraId="25C04B95" w14:textId="1C719C27" w:rsidR="00CE0821" w:rsidRDefault="003F4D58" w:rsidP="00DF4A1A">
      <w:pPr>
        <w:pStyle w:val="Para0"/>
      </w:pPr>
      <w:r>
        <w:t xml:space="preserve">It is useful to work through this process by developing a series of maps that show the locations for potential management options to be applied, the Black Box management units, </w:t>
      </w:r>
      <w:r w:rsidR="00107B7F">
        <w:t xml:space="preserve">locations of physical works, and areas of Black Box potentially influenced. </w:t>
      </w:r>
    </w:p>
    <w:p w14:paraId="09102A83" w14:textId="637B8A71" w:rsidR="001E7211" w:rsidRDefault="001E7211" w:rsidP="001E7211">
      <w:pPr>
        <w:pStyle w:val="Heading3"/>
      </w:pPr>
      <w:r>
        <w:t>Management Options and Confidence Levels</w:t>
      </w:r>
    </w:p>
    <w:p w14:paraId="48134F30" w14:textId="70EA4459" w:rsidR="00CC2882" w:rsidRDefault="00CC2882" w:rsidP="00CC2882">
      <w:pPr>
        <w:pStyle w:val="Para0"/>
        <w:rPr>
          <w:color w:val="000000" w:themeColor="text1"/>
        </w:rPr>
      </w:pPr>
      <w:r>
        <w:rPr>
          <w:color w:val="000000" w:themeColor="text1"/>
        </w:rPr>
        <w:t xml:space="preserve">A confidence assessment is required to understand </w:t>
      </w:r>
      <w:r w:rsidR="00C14607">
        <w:rPr>
          <w:color w:val="000000" w:themeColor="text1"/>
        </w:rPr>
        <w:t xml:space="preserve">the </w:t>
      </w:r>
      <w:r>
        <w:rPr>
          <w:color w:val="000000" w:themeColor="text1"/>
        </w:rPr>
        <w:t>physical feasibility of various management options at the site, and to determine whether currently available data is sufficient for management decisions</w:t>
      </w:r>
      <w:r w:rsidR="00916CE4">
        <w:rPr>
          <w:color w:val="000000" w:themeColor="text1"/>
        </w:rPr>
        <w:t>. The outcome of this assessment w</w:t>
      </w:r>
      <w:r w:rsidR="0043274A">
        <w:rPr>
          <w:color w:val="000000" w:themeColor="text1"/>
        </w:rPr>
        <w:t>ill indicate</w:t>
      </w:r>
      <w:r>
        <w:rPr>
          <w:color w:val="000000" w:themeColor="text1"/>
        </w:rPr>
        <w:t xml:space="preserve"> whether further investigation may be required to inform </w:t>
      </w:r>
      <w:r w:rsidR="003B65C8">
        <w:rPr>
          <w:color w:val="000000" w:themeColor="text1"/>
        </w:rPr>
        <w:t xml:space="preserve">the </w:t>
      </w:r>
      <w:r>
        <w:rPr>
          <w:color w:val="000000" w:themeColor="text1"/>
        </w:rPr>
        <w:t>prioritisation of management options.</w:t>
      </w:r>
    </w:p>
    <w:p w14:paraId="221C0829" w14:textId="38DEBEFD" w:rsidR="00F10875" w:rsidRDefault="00857DCC" w:rsidP="00F71E20">
      <w:pPr>
        <w:pStyle w:val="Para0"/>
        <w:rPr>
          <w:color w:val="000000" w:themeColor="text1"/>
        </w:rPr>
        <w:sectPr w:rsidR="00F10875" w:rsidSect="00681FFA">
          <w:headerReference w:type="default" r:id="rId58"/>
          <w:footerReference w:type="default" r:id="rId59"/>
          <w:pgSz w:w="11906" w:h="16838" w:code="9"/>
          <w:pgMar w:top="567" w:right="851" w:bottom="851" w:left="1134" w:header="567" w:footer="370" w:gutter="0"/>
          <w:cols w:space="0"/>
          <w:formProt w:val="0"/>
          <w:docGrid w:linePitch="360"/>
        </w:sectPr>
      </w:pPr>
      <w:r>
        <w:rPr>
          <w:color w:val="000000" w:themeColor="text1"/>
        </w:rPr>
        <w:fldChar w:fldCharType="begin"/>
      </w:r>
      <w:r>
        <w:rPr>
          <w:color w:val="000000" w:themeColor="text1"/>
        </w:rPr>
        <w:instrText xml:space="preserve"> REF _Ref508878262 \h </w:instrText>
      </w:r>
      <w:r>
        <w:rPr>
          <w:color w:val="000000" w:themeColor="text1"/>
        </w:rPr>
      </w:r>
      <w:r>
        <w:rPr>
          <w:color w:val="000000" w:themeColor="text1"/>
        </w:rPr>
        <w:fldChar w:fldCharType="separate"/>
      </w:r>
      <w:r w:rsidR="00BF015B" w:rsidRPr="001D32F6">
        <w:t xml:space="preserve">Table </w:t>
      </w:r>
      <w:r w:rsidR="00BF015B">
        <w:rPr>
          <w:noProof/>
        </w:rPr>
        <w:t>3</w:t>
      </w:r>
      <w:r w:rsidR="00BF015B">
        <w:noBreakHyphen/>
      </w:r>
      <w:r w:rsidR="00BF015B">
        <w:rPr>
          <w:noProof/>
        </w:rPr>
        <w:t>15</w:t>
      </w:r>
      <w:r>
        <w:rPr>
          <w:color w:val="000000" w:themeColor="text1"/>
        </w:rPr>
        <w:fldChar w:fldCharType="end"/>
      </w:r>
      <w:r>
        <w:rPr>
          <w:color w:val="000000" w:themeColor="text1"/>
        </w:rPr>
        <w:t xml:space="preserve"> </w:t>
      </w:r>
      <w:r w:rsidR="00CC2882">
        <w:rPr>
          <w:color w:val="000000" w:themeColor="text1"/>
        </w:rPr>
        <w:t xml:space="preserve">provides a guide to the hierarchy of data sources for providing increasing levels of understanding about the management options. </w:t>
      </w:r>
      <w:r w:rsidR="00F10875">
        <w:rPr>
          <w:color w:val="000000" w:themeColor="text1"/>
        </w:rPr>
        <w:t xml:space="preserve">Review of the confidence scores for each data type can be used to determine whether further investigation or work is required to improve the confidence of any specific data type. An overall confidence </w:t>
      </w:r>
      <w:r w:rsidR="00C14607">
        <w:rPr>
          <w:color w:val="000000" w:themeColor="text1"/>
        </w:rPr>
        <w:t>score</w:t>
      </w:r>
      <w:r w:rsidR="00F10875">
        <w:rPr>
          <w:color w:val="000000" w:themeColor="text1"/>
        </w:rPr>
        <w:t xml:space="preserve"> for the physical feasibility of management options can be determined through averaging the confidence scores for each of the data sources. </w:t>
      </w:r>
      <w:r w:rsidR="00EE16BC">
        <w:rPr>
          <w:color w:val="000000" w:themeColor="text1"/>
        </w:rPr>
        <w:t xml:space="preserve">Refer </w:t>
      </w:r>
      <w:r w:rsidR="005A4E06">
        <w:rPr>
          <w:color w:val="000000" w:themeColor="text1"/>
        </w:rPr>
        <w:t>chapter</w:t>
      </w:r>
      <w:r w:rsidR="00EE16BC">
        <w:rPr>
          <w:color w:val="000000" w:themeColor="text1"/>
        </w:rPr>
        <w:t xml:space="preserve"> </w:t>
      </w:r>
      <w:r w:rsidR="00EE16BC">
        <w:rPr>
          <w:color w:val="000000" w:themeColor="text1"/>
          <w:highlight w:val="yellow"/>
        </w:rPr>
        <w:fldChar w:fldCharType="begin"/>
      </w:r>
      <w:r w:rsidR="00EE16BC">
        <w:rPr>
          <w:color w:val="000000" w:themeColor="text1"/>
        </w:rPr>
        <w:instrText xml:space="preserve"> REF _Ref505673858 \r \h </w:instrText>
      </w:r>
      <w:r w:rsidR="00EE16BC">
        <w:rPr>
          <w:color w:val="000000" w:themeColor="text1"/>
          <w:highlight w:val="yellow"/>
        </w:rPr>
      </w:r>
      <w:r w:rsidR="00EE16BC">
        <w:rPr>
          <w:color w:val="000000" w:themeColor="text1"/>
          <w:highlight w:val="yellow"/>
        </w:rPr>
        <w:fldChar w:fldCharType="separate"/>
      </w:r>
      <w:r w:rsidR="00BF015B">
        <w:rPr>
          <w:color w:val="000000" w:themeColor="text1"/>
        </w:rPr>
        <w:t>3.2</w:t>
      </w:r>
      <w:r w:rsidR="00EE16BC">
        <w:rPr>
          <w:color w:val="000000" w:themeColor="text1"/>
          <w:highlight w:val="yellow"/>
        </w:rPr>
        <w:fldChar w:fldCharType="end"/>
      </w:r>
      <w:r w:rsidR="00EE16BC">
        <w:rPr>
          <w:color w:val="000000" w:themeColor="text1"/>
        </w:rPr>
        <w:t xml:space="preserve"> for an explanation of the confidence assessment colour coding and explanation of what confidence levels are appropriate for different types of sites.</w:t>
      </w:r>
    </w:p>
    <w:p w14:paraId="4325DAAE" w14:textId="41F8AF69" w:rsidR="00CC2882" w:rsidRDefault="00CC2882" w:rsidP="00890425">
      <w:pPr>
        <w:pStyle w:val="Caption"/>
        <w:rPr>
          <w:color w:val="000000" w:themeColor="text1"/>
        </w:rPr>
      </w:pPr>
      <w:bookmarkStart w:id="163" w:name="_Ref508878262"/>
      <w:bookmarkStart w:id="164" w:name="_Toc514068783"/>
      <w:r w:rsidRPr="001D32F6">
        <w:t xml:space="preserve">Table </w:t>
      </w:r>
      <w:r w:rsidR="002D4BCF">
        <w:fldChar w:fldCharType="begin"/>
      </w:r>
      <w:r w:rsidR="002D4BCF">
        <w:instrText xml:space="preserve"> STYLEREF 1 \s </w:instrText>
      </w:r>
      <w:r w:rsidR="002D4BCF">
        <w:fldChar w:fldCharType="separate"/>
      </w:r>
      <w:r w:rsidR="00BF015B">
        <w:rPr>
          <w:noProof/>
        </w:rPr>
        <w:t>3</w:t>
      </w:r>
      <w:r w:rsidR="002D4BCF">
        <w:fldChar w:fldCharType="end"/>
      </w:r>
      <w:r w:rsidR="002D4BCF">
        <w:noBreakHyphen/>
      </w:r>
      <w:r w:rsidR="002D4BCF">
        <w:fldChar w:fldCharType="begin"/>
      </w:r>
      <w:r w:rsidR="002D4BCF">
        <w:instrText xml:space="preserve"> SEQ Table \* ARABIC \s 1 </w:instrText>
      </w:r>
      <w:r w:rsidR="002D4BCF">
        <w:fldChar w:fldCharType="separate"/>
      </w:r>
      <w:r w:rsidR="0063076E">
        <w:rPr>
          <w:noProof/>
        </w:rPr>
        <w:t>16</w:t>
      </w:r>
      <w:r w:rsidR="002D4BCF">
        <w:fldChar w:fldCharType="end"/>
      </w:r>
      <w:bookmarkEnd w:id="163"/>
      <w:r w:rsidRPr="001D32F6">
        <w:t xml:space="preserve">: </w:t>
      </w:r>
      <w:r w:rsidRPr="00DF4A1A">
        <w:t xml:space="preserve">Hierarchy of data sources for providing increasing levels of </w:t>
      </w:r>
      <w:r w:rsidR="007D6A78">
        <w:t>confidence about physical feasibility of management options for</w:t>
      </w:r>
      <w:r w:rsidRPr="00DF4A1A">
        <w:t xml:space="preserve"> Black Box at a </w:t>
      </w:r>
      <w:r w:rsidR="00AD6010" w:rsidRPr="00DF4A1A">
        <w:t>site</w:t>
      </w:r>
      <w:bookmarkEnd w:id="164"/>
    </w:p>
    <w:tbl>
      <w:tblPr>
        <w:tblStyle w:val="TableGrid"/>
        <w:tblW w:w="4516"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965"/>
        <w:gridCol w:w="1158"/>
        <w:gridCol w:w="2316"/>
        <w:gridCol w:w="2586"/>
        <w:gridCol w:w="2310"/>
        <w:gridCol w:w="2583"/>
      </w:tblGrid>
      <w:tr w:rsidR="00C14607" w14:paraId="38A7EEC5" w14:textId="77777777" w:rsidTr="00C14607">
        <w:trPr>
          <w:tblHeader/>
        </w:trPr>
        <w:tc>
          <w:tcPr>
            <w:tcW w:w="1065" w:type="pct"/>
            <w:tcBorders>
              <w:right w:val="single" w:sz="4" w:space="0" w:color="FFFFFF" w:themeColor="background1"/>
            </w:tcBorders>
            <w:shd w:val="clear" w:color="auto" w:fill="00338D"/>
            <w:vAlign w:val="center"/>
          </w:tcPr>
          <w:p w14:paraId="1E922224" w14:textId="3C457B5D" w:rsidR="00C14607" w:rsidRDefault="00C14607" w:rsidP="00F10875">
            <w:pPr>
              <w:pStyle w:val="Tableheading"/>
              <w:jc w:val="center"/>
            </w:pPr>
            <w:r>
              <w:t>Confidence level</w:t>
            </w:r>
          </w:p>
        </w:tc>
        <w:tc>
          <w:tcPr>
            <w:tcW w:w="416" w:type="pct"/>
            <w:tcBorders>
              <w:right w:val="single" w:sz="4" w:space="0" w:color="FFFFFF" w:themeColor="background1"/>
            </w:tcBorders>
            <w:shd w:val="clear" w:color="auto" w:fill="00338D"/>
          </w:tcPr>
          <w:p w14:paraId="1074CC48" w14:textId="1FA1E366" w:rsidR="00C14607" w:rsidRDefault="00C14607" w:rsidP="00F10875">
            <w:pPr>
              <w:pStyle w:val="Tableheading"/>
              <w:jc w:val="center"/>
            </w:pPr>
            <w:r>
              <w:t>Confidence score</w:t>
            </w:r>
          </w:p>
        </w:tc>
        <w:tc>
          <w:tcPr>
            <w:tcW w:w="832" w:type="pct"/>
            <w:tcBorders>
              <w:left w:val="single" w:sz="4" w:space="0" w:color="FFFFFF" w:themeColor="background1"/>
              <w:right w:val="single" w:sz="4" w:space="0" w:color="FFFFFF" w:themeColor="background1"/>
            </w:tcBorders>
            <w:shd w:val="clear" w:color="auto" w:fill="00338D"/>
            <w:vAlign w:val="center"/>
          </w:tcPr>
          <w:p w14:paraId="1FD51ADA" w14:textId="5952CE4C" w:rsidR="00C14607" w:rsidRDefault="00C14607" w:rsidP="00F10875">
            <w:pPr>
              <w:pStyle w:val="Tableheading"/>
              <w:jc w:val="center"/>
            </w:pPr>
            <w:r>
              <w:t>Land area inundated</w:t>
            </w:r>
          </w:p>
        </w:tc>
        <w:tc>
          <w:tcPr>
            <w:tcW w:w="929" w:type="pct"/>
            <w:tcBorders>
              <w:left w:val="single" w:sz="4" w:space="0" w:color="FFFFFF" w:themeColor="background1"/>
              <w:right w:val="single" w:sz="4" w:space="0" w:color="FFFFFF" w:themeColor="background1"/>
            </w:tcBorders>
            <w:shd w:val="clear" w:color="auto" w:fill="00338D"/>
            <w:vAlign w:val="center"/>
          </w:tcPr>
          <w:p w14:paraId="4D73DA69" w14:textId="7C1F731E" w:rsidR="00C14607" w:rsidRDefault="00C14607" w:rsidP="00F10875">
            <w:pPr>
              <w:pStyle w:val="Tableheading"/>
              <w:jc w:val="center"/>
            </w:pPr>
            <w:r>
              <w:t>Area of Black Box affected by the management option</w:t>
            </w:r>
          </w:p>
        </w:tc>
        <w:tc>
          <w:tcPr>
            <w:tcW w:w="830" w:type="pct"/>
            <w:tcBorders>
              <w:left w:val="single" w:sz="4" w:space="0" w:color="FFFFFF" w:themeColor="background1"/>
              <w:right w:val="single" w:sz="4" w:space="0" w:color="FFFFFF" w:themeColor="background1"/>
            </w:tcBorders>
            <w:shd w:val="clear" w:color="auto" w:fill="00338D"/>
            <w:vAlign w:val="center"/>
          </w:tcPr>
          <w:p w14:paraId="708ED757" w14:textId="6029E250" w:rsidR="00C14607" w:rsidRDefault="00C14607" w:rsidP="00F10875">
            <w:pPr>
              <w:pStyle w:val="Tableheading"/>
              <w:jc w:val="center"/>
            </w:pPr>
            <w:r>
              <w:t>Works required</w:t>
            </w:r>
          </w:p>
        </w:tc>
        <w:tc>
          <w:tcPr>
            <w:tcW w:w="928" w:type="pct"/>
            <w:tcBorders>
              <w:left w:val="single" w:sz="4" w:space="0" w:color="FFFFFF" w:themeColor="background1"/>
            </w:tcBorders>
            <w:shd w:val="clear" w:color="auto" w:fill="00338D"/>
            <w:vAlign w:val="center"/>
          </w:tcPr>
          <w:p w14:paraId="0EFB6966" w14:textId="31B7D16C" w:rsidR="00C14607" w:rsidRDefault="00C14607" w:rsidP="00F10875">
            <w:pPr>
              <w:pStyle w:val="Tableheading"/>
              <w:jc w:val="center"/>
            </w:pPr>
            <w:r>
              <w:t>Volume of water required</w:t>
            </w:r>
          </w:p>
        </w:tc>
      </w:tr>
      <w:tr w:rsidR="00C14607" w14:paraId="3DE4E68C" w14:textId="77777777" w:rsidTr="00C14607">
        <w:trPr>
          <w:trHeight w:val="1004"/>
        </w:trPr>
        <w:tc>
          <w:tcPr>
            <w:tcW w:w="1065" w:type="pct"/>
            <w:shd w:val="clear" w:color="auto" w:fill="FFFF00"/>
            <w:vAlign w:val="center"/>
          </w:tcPr>
          <w:p w14:paraId="645D4943" w14:textId="2EE52C68" w:rsidR="00C14607" w:rsidRDefault="00C14607" w:rsidP="00F10875">
            <w:pPr>
              <w:pStyle w:val="Tabletext"/>
            </w:pPr>
            <w:r>
              <w:t>Low: Anecdotal or regional level of information, providing a rough estimate of site conditions</w:t>
            </w:r>
            <w:r w:rsidR="003B65C8">
              <w:t>.</w:t>
            </w:r>
          </w:p>
        </w:tc>
        <w:tc>
          <w:tcPr>
            <w:tcW w:w="416" w:type="pct"/>
            <w:shd w:val="clear" w:color="auto" w:fill="FFFF00"/>
            <w:vAlign w:val="center"/>
          </w:tcPr>
          <w:p w14:paraId="48245DB0" w14:textId="2E17CCE9" w:rsidR="00C14607" w:rsidRDefault="00C14607" w:rsidP="00E230DF">
            <w:pPr>
              <w:pStyle w:val="Tabletext"/>
              <w:jc w:val="center"/>
            </w:pPr>
            <w:r>
              <w:t>1</w:t>
            </w:r>
          </w:p>
        </w:tc>
        <w:tc>
          <w:tcPr>
            <w:tcW w:w="832" w:type="pct"/>
            <w:vAlign w:val="center"/>
          </w:tcPr>
          <w:p w14:paraId="6D8F79B1" w14:textId="069A6056" w:rsidR="00C14607" w:rsidRPr="008619DA" w:rsidRDefault="00C14607" w:rsidP="00F10875">
            <w:pPr>
              <w:pStyle w:val="Tabletext"/>
            </w:pPr>
            <w:r>
              <w:t>Estimate based on regional topographic map</w:t>
            </w:r>
          </w:p>
        </w:tc>
        <w:tc>
          <w:tcPr>
            <w:tcW w:w="929" w:type="pct"/>
            <w:vAlign w:val="center"/>
          </w:tcPr>
          <w:p w14:paraId="343C69D2" w14:textId="17A5E562" w:rsidR="00C14607" w:rsidRDefault="00C14607" w:rsidP="00F10875">
            <w:pPr>
              <w:pStyle w:val="Tabletext"/>
            </w:pPr>
            <w:r>
              <w:t xml:space="preserve">Anecdotal information of the locations where Black Box are found </w:t>
            </w:r>
          </w:p>
        </w:tc>
        <w:tc>
          <w:tcPr>
            <w:tcW w:w="830" w:type="pct"/>
            <w:vAlign w:val="center"/>
          </w:tcPr>
          <w:p w14:paraId="0CB47422" w14:textId="78E5D3DE" w:rsidR="00C14607" w:rsidRDefault="00B410F9" w:rsidP="00B410F9">
            <w:pPr>
              <w:pStyle w:val="Tabletext"/>
            </w:pPr>
            <w:r>
              <w:t xml:space="preserve">Expert </w:t>
            </w:r>
            <w:r w:rsidR="00AD6010">
              <w:t>advice on</w:t>
            </w:r>
            <w:r w:rsidR="00C14607">
              <w:t xml:space="preserve"> what works are needed</w:t>
            </w:r>
          </w:p>
        </w:tc>
        <w:tc>
          <w:tcPr>
            <w:tcW w:w="928" w:type="pct"/>
            <w:vAlign w:val="center"/>
          </w:tcPr>
          <w:p w14:paraId="5717E728" w14:textId="3D65684A" w:rsidR="00C14607" w:rsidRDefault="00C14607" w:rsidP="00F10875">
            <w:pPr>
              <w:pStyle w:val="Tabletext"/>
            </w:pPr>
            <w:r>
              <w:t>Volumes estimated based on regional topographic map</w:t>
            </w:r>
          </w:p>
        </w:tc>
      </w:tr>
      <w:tr w:rsidR="00C14607" w14:paraId="5BEBF3CF" w14:textId="77777777" w:rsidTr="00C14607">
        <w:tc>
          <w:tcPr>
            <w:tcW w:w="1065" w:type="pct"/>
            <w:shd w:val="clear" w:color="auto" w:fill="FFC000"/>
            <w:vAlign w:val="center"/>
          </w:tcPr>
          <w:p w14:paraId="7DA76120" w14:textId="1E6C4F7B" w:rsidR="00C14607" w:rsidRDefault="00C14607" w:rsidP="00F10875">
            <w:pPr>
              <w:pStyle w:val="Tabletext"/>
            </w:pPr>
            <w:r>
              <w:t>Low/Moderate: Measured data from local sources, providing a better estimate of site conditions</w:t>
            </w:r>
            <w:r w:rsidR="003B65C8">
              <w:t>.</w:t>
            </w:r>
          </w:p>
        </w:tc>
        <w:tc>
          <w:tcPr>
            <w:tcW w:w="416" w:type="pct"/>
            <w:shd w:val="clear" w:color="auto" w:fill="FFC000"/>
            <w:vAlign w:val="center"/>
          </w:tcPr>
          <w:p w14:paraId="2D7D824A" w14:textId="378C1F7D" w:rsidR="00C14607" w:rsidRDefault="00C14607" w:rsidP="00E230DF">
            <w:pPr>
              <w:pStyle w:val="Tabletext"/>
              <w:jc w:val="center"/>
            </w:pPr>
            <w:r>
              <w:t>2</w:t>
            </w:r>
          </w:p>
        </w:tc>
        <w:tc>
          <w:tcPr>
            <w:tcW w:w="832" w:type="pct"/>
            <w:vAlign w:val="center"/>
          </w:tcPr>
          <w:p w14:paraId="6F1518D2" w14:textId="3FCD4602" w:rsidR="00C14607" w:rsidRPr="008619DA" w:rsidRDefault="00C14607" w:rsidP="00F10875">
            <w:pPr>
              <w:pStyle w:val="Tabletext"/>
            </w:pPr>
            <w:r>
              <w:t>GIS mapping of site using low resolution LIDAR to estimate inundation extent</w:t>
            </w:r>
          </w:p>
        </w:tc>
        <w:tc>
          <w:tcPr>
            <w:tcW w:w="929" w:type="pct"/>
            <w:vAlign w:val="center"/>
          </w:tcPr>
          <w:p w14:paraId="17661CA3" w14:textId="55E3C288" w:rsidR="00C14607" w:rsidRDefault="00C14607" w:rsidP="00F10875">
            <w:pPr>
              <w:pStyle w:val="Tabletext"/>
            </w:pPr>
            <w:r>
              <w:t xml:space="preserve">Estimate of locations where Black Box are found from visual inspection of aerial photography </w:t>
            </w:r>
          </w:p>
        </w:tc>
        <w:tc>
          <w:tcPr>
            <w:tcW w:w="830" w:type="pct"/>
            <w:vAlign w:val="center"/>
          </w:tcPr>
          <w:p w14:paraId="436565DE" w14:textId="54E9E5F5" w:rsidR="00C14607" w:rsidRDefault="00C14607" w:rsidP="00F10875">
            <w:pPr>
              <w:pStyle w:val="Tabletext"/>
            </w:pPr>
            <w:r>
              <w:t>Estimate of the works based on similar management options applied at other sites</w:t>
            </w:r>
          </w:p>
        </w:tc>
        <w:tc>
          <w:tcPr>
            <w:tcW w:w="928" w:type="pct"/>
            <w:vAlign w:val="center"/>
          </w:tcPr>
          <w:p w14:paraId="73766C1B" w14:textId="09111DCB" w:rsidR="00C14607" w:rsidRDefault="00C14607" w:rsidP="00F10875">
            <w:pPr>
              <w:pStyle w:val="Tabletext"/>
            </w:pPr>
            <w:r>
              <w:t>Volumes estimated using GIS mapping of the site using low resolution LIDAR</w:t>
            </w:r>
          </w:p>
        </w:tc>
      </w:tr>
      <w:tr w:rsidR="00C14607" w14:paraId="276AECA0" w14:textId="77777777" w:rsidTr="00C14607">
        <w:trPr>
          <w:trHeight w:val="1024"/>
        </w:trPr>
        <w:tc>
          <w:tcPr>
            <w:tcW w:w="1065" w:type="pct"/>
            <w:shd w:val="clear" w:color="auto" w:fill="99FF99"/>
            <w:vAlign w:val="center"/>
          </w:tcPr>
          <w:p w14:paraId="2FD8D2A9" w14:textId="7439F138" w:rsidR="00C14607" w:rsidRDefault="00C14607" w:rsidP="00F10875">
            <w:pPr>
              <w:pStyle w:val="Tabletext"/>
            </w:pPr>
            <w:r>
              <w:t>Moderate: Data measured at the site, but with high level of uncertainty</w:t>
            </w:r>
            <w:r w:rsidR="003B65C8">
              <w:t>.</w:t>
            </w:r>
          </w:p>
        </w:tc>
        <w:tc>
          <w:tcPr>
            <w:tcW w:w="416" w:type="pct"/>
            <w:shd w:val="clear" w:color="auto" w:fill="99FF99"/>
            <w:vAlign w:val="center"/>
          </w:tcPr>
          <w:p w14:paraId="5EFFCCE1" w14:textId="49BEE91B" w:rsidR="00C14607" w:rsidRDefault="00C14607" w:rsidP="00E230DF">
            <w:pPr>
              <w:pStyle w:val="Tabletext"/>
              <w:jc w:val="center"/>
            </w:pPr>
            <w:r>
              <w:t>3</w:t>
            </w:r>
          </w:p>
        </w:tc>
        <w:tc>
          <w:tcPr>
            <w:tcW w:w="832" w:type="pct"/>
            <w:vAlign w:val="center"/>
          </w:tcPr>
          <w:p w14:paraId="28E5B689" w14:textId="27E38BE3" w:rsidR="00C14607" w:rsidRPr="008619DA" w:rsidRDefault="00C14607" w:rsidP="00F10875">
            <w:pPr>
              <w:pStyle w:val="Tabletext"/>
            </w:pPr>
            <w:r>
              <w:t>GIS mapping of site using high resolution LIDAR, showing inundation management actions</w:t>
            </w:r>
          </w:p>
        </w:tc>
        <w:tc>
          <w:tcPr>
            <w:tcW w:w="929" w:type="pct"/>
            <w:vAlign w:val="center"/>
          </w:tcPr>
          <w:p w14:paraId="0F987CEA" w14:textId="71C5685E" w:rsidR="00C14607" w:rsidRDefault="00C14607" w:rsidP="00F10875">
            <w:pPr>
              <w:pStyle w:val="Tabletext"/>
            </w:pPr>
            <w:r>
              <w:t>GIS mapping of where Black Box are found, based on past site investigations</w:t>
            </w:r>
          </w:p>
        </w:tc>
        <w:tc>
          <w:tcPr>
            <w:tcW w:w="830" w:type="pct"/>
            <w:vAlign w:val="center"/>
          </w:tcPr>
          <w:p w14:paraId="67FCD9FF" w14:textId="739D7090" w:rsidR="00C14607" w:rsidRDefault="00C14607" w:rsidP="00F10875">
            <w:pPr>
              <w:pStyle w:val="Tabletext"/>
            </w:pPr>
            <w:r>
              <w:t>Estimate of the works based on similar management options applied at the site in the past</w:t>
            </w:r>
          </w:p>
        </w:tc>
        <w:tc>
          <w:tcPr>
            <w:tcW w:w="928" w:type="pct"/>
            <w:vAlign w:val="center"/>
          </w:tcPr>
          <w:p w14:paraId="4EB25259" w14:textId="51537985" w:rsidR="00C14607" w:rsidRDefault="00C14607" w:rsidP="00F10875">
            <w:pPr>
              <w:pStyle w:val="Tabletext"/>
            </w:pPr>
            <w:r>
              <w:t xml:space="preserve">Volumes estimated using GIS mapping of the site using high resolution LIDAR </w:t>
            </w:r>
          </w:p>
        </w:tc>
      </w:tr>
      <w:tr w:rsidR="00C14607" w14:paraId="7743AE3A" w14:textId="77777777" w:rsidTr="00C14607">
        <w:tc>
          <w:tcPr>
            <w:tcW w:w="1065" w:type="pct"/>
            <w:shd w:val="clear" w:color="auto" w:fill="92D050"/>
            <w:vAlign w:val="center"/>
          </w:tcPr>
          <w:p w14:paraId="74E62A98" w14:textId="1DE9CF47" w:rsidR="00C14607" w:rsidRDefault="00C14607" w:rsidP="00F10875">
            <w:pPr>
              <w:pStyle w:val="Tabletext"/>
            </w:pPr>
            <w:r>
              <w:t>Moderate/High: measured data at the site, with moderate level of uncertainty</w:t>
            </w:r>
            <w:r w:rsidR="003B65C8">
              <w:t>.</w:t>
            </w:r>
          </w:p>
        </w:tc>
        <w:tc>
          <w:tcPr>
            <w:tcW w:w="416" w:type="pct"/>
            <w:shd w:val="clear" w:color="auto" w:fill="92D050"/>
            <w:vAlign w:val="center"/>
          </w:tcPr>
          <w:p w14:paraId="08F59938" w14:textId="0047B808" w:rsidR="00C14607" w:rsidRDefault="00C14607" w:rsidP="00E230DF">
            <w:pPr>
              <w:pStyle w:val="Tabletext"/>
              <w:jc w:val="center"/>
            </w:pPr>
            <w:r>
              <w:t>4</w:t>
            </w:r>
          </w:p>
        </w:tc>
        <w:tc>
          <w:tcPr>
            <w:tcW w:w="832" w:type="pct"/>
            <w:vAlign w:val="center"/>
          </w:tcPr>
          <w:p w14:paraId="35FFC379" w14:textId="0840CB0E" w:rsidR="00C14607" w:rsidRPr="008619DA" w:rsidRDefault="00C14607" w:rsidP="00F10875">
            <w:pPr>
              <w:pStyle w:val="Tabletext"/>
            </w:pPr>
            <w:r>
              <w:t>Surveyed levels at the site for a specified management action</w:t>
            </w:r>
          </w:p>
        </w:tc>
        <w:tc>
          <w:tcPr>
            <w:tcW w:w="929" w:type="pct"/>
            <w:vAlign w:val="center"/>
          </w:tcPr>
          <w:p w14:paraId="2FFACD1A" w14:textId="711AD956" w:rsidR="00C14607" w:rsidRDefault="00C14607" w:rsidP="00F10875">
            <w:pPr>
              <w:pStyle w:val="Tabletext"/>
            </w:pPr>
            <w:r>
              <w:t xml:space="preserve">GIS mapping of where Black Box are found, based on current site investigations </w:t>
            </w:r>
          </w:p>
        </w:tc>
        <w:tc>
          <w:tcPr>
            <w:tcW w:w="830" w:type="pct"/>
            <w:vAlign w:val="center"/>
          </w:tcPr>
          <w:p w14:paraId="439B379C" w14:textId="609FE90D" w:rsidR="00C14607" w:rsidRDefault="00C14607" w:rsidP="00F10875">
            <w:pPr>
              <w:pStyle w:val="Tabletext"/>
            </w:pPr>
            <w:r>
              <w:t>Concept design of options at the site</w:t>
            </w:r>
          </w:p>
        </w:tc>
        <w:tc>
          <w:tcPr>
            <w:tcW w:w="928" w:type="pct"/>
            <w:vAlign w:val="center"/>
          </w:tcPr>
          <w:p w14:paraId="0E3EEA2D" w14:textId="3BC2A6DB" w:rsidR="00C14607" w:rsidRDefault="00C14607" w:rsidP="00F10875">
            <w:pPr>
              <w:pStyle w:val="Tabletext"/>
            </w:pPr>
            <w:r>
              <w:t>Surveyed levels at the site for a specified management action</w:t>
            </w:r>
          </w:p>
        </w:tc>
      </w:tr>
      <w:tr w:rsidR="00C14607" w14:paraId="2A50368E" w14:textId="77777777" w:rsidTr="00C14607">
        <w:tc>
          <w:tcPr>
            <w:tcW w:w="1065" w:type="pct"/>
            <w:shd w:val="clear" w:color="auto" w:fill="00B050"/>
            <w:vAlign w:val="center"/>
          </w:tcPr>
          <w:p w14:paraId="52EC1F92" w14:textId="41D8BEDA" w:rsidR="00C14607" w:rsidRDefault="00C14607" w:rsidP="00F10875">
            <w:pPr>
              <w:pStyle w:val="Tabletext"/>
            </w:pPr>
            <w:r>
              <w:t>High: Measured data at the site, with low level of uncertainty</w:t>
            </w:r>
            <w:r w:rsidR="003B65C8">
              <w:t>.</w:t>
            </w:r>
          </w:p>
        </w:tc>
        <w:tc>
          <w:tcPr>
            <w:tcW w:w="416" w:type="pct"/>
            <w:shd w:val="clear" w:color="auto" w:fill="00B050"/>
            <w:vAlign w:val="center"/>
          </w:tcPr>
          <w:p w14:paraId="12ED5E47" w14:textId="6588E6F7" w:rsidR="00C14607" w:rsidRDefault="00C14607" w:rsidP="00E230DF">
            <w:pPr>
              <w:pStyle w:val="Tabletext"/>
              <w:jc w:val="center"/>
            </w:pPr>
            <w:r>
              <w:t>5</w:t>
            </w:r>
          </w:p>
        </w:tc>
        <w:tc>
          <w:tcPr>
            <w:tcW w:w="832" w:type="pct"/>
            <w:vAlign w:val="center"/>
          </w:tcPr>
          <w:p w14:paraId="18B2279E" w14:textId="3C63D400" w:rsidR="00B410F9" w:rsidRDefault="00C14607" w:rsidP="00F10875">
            <w:pPr>
              <w:pStyle w:val="Tabletext"/>
            </w:pPr>
            <w:r>
              <w:t>Records of previous management interventions at the site</w:t>
            </w:r>
          </w:p>
          <w:p w14:paraId="7D204F15" w14:textId="7141D0ED" w:rsidR="00B410F9" w:rsidRPr="008619DA" w:rsidRDefault="00B410F9" w:rsidP="00F10875">
            <w:pPr>
              <w:pStyle w:val="Tabletext"/>
            </w:pPr>
            <w:r>
              <w:t>Surface water modelling</w:t>
            </w:r>
          </w:p>
        </w:tc>
        <w:tc>
          <w:tcPr>
            <w:tcW w:w="929" w:type="pct"/>
            <w:vAlign w:val="center"/>
          </w:tcPr>
          <w:p w14:paraId="66380706" w14:textId="77777777" w:rsidR="00C14607" w:rsidRDefault="00C14607" w:rsidP="00F10875">
            <w:pPr>
              <w:pStyle w:val="Tabletext"/>
            </w:pPr>
            <w:r>
              <w:t>GIS mapping of where Black Box are found, based on current site investigations of the entire site</w:t>
            </w:r>
          </w:p>
          <w:p w14:paraId="5B86D05D" w14:textId="654CEF2B" w:rsidR="00B410F9" w:rsidRDefault="00B410F9" w:rsidP="00F10875">
            <w:pPr>
              <w:pStyle w:val="Tabletext"/>
            </w:pPr>
            <w:r>
              <w:t>Groundwater modelling of changes to the water table</w:t>
            </w:r>
          </w:p>
        </w:tc>
        <w:tc>
          <w:tcPr>
            <w:tcW w:w="830" w:type="pct"/>
            <w:vAlign w:val="center"/>
          </w:tcPr>
          <w:p w14:paraId="5DF463D0" w14:textId="5823BDDA" w:rsidR="00C14607" w:rsidRDefault="00C14607" w:rsidP="00F10875">
            <w:pPr>
              <w:pStyle w:val="Tabletext"/>
            </w:pPr>
            <w:r>
              <w:t>Detailed design of options at the site</w:t>
            </w:r>
          </w:p>
        </w:tc>
        <w:tc>
          <w:tcPr>
            <w:tcW w:w="928" w:type="pct"/>
            <w:vAlign w:val="center"/>
          </w:tcPr>
          <w:p w14:paraId="2B16E715" w14:textId="77777777" w:rsidR="00C14607" w:rsidRDefault="00C14607" w:rsidP="00F10875">
            <w:pPr>
              <w:pStyle w:val="Tabletext"/>
            </w:pPr>
            <w:r>
              <w:t>Records of water used for previous management interventions at the site</w:t>
            </w:r>
          </w:p>
          <w:p w14:paraId="14A24CA2" w14:textId="5BD6001F" w:rsidR="00B410F9" w:rsidRDefault="00B410F9" w:rsidP="00F10875">
            <w:pPr>
              <w:pStyle w:val="Tabletext"/>
            </w:pPr>
            <w:r>
              <w:t>Surface water modelling</w:t>
            </w:r>
          </w:p>
        </w:tc>
      </w:tr>
    </w:tbl>
    <w:p w14:paraId="4136364C" w14:textId="77777777" w:rsidR="00CC2882" w:rsidRDefault="00CC2882" w:rsidP="00CC2882">
      <w:pPr>
        <w:pStyle w:val="Para0"/>
        <w:rPr>
          <w:color w:val="000000" w:themeColor="text1"/>
        </w:rPr>
        <w:sectPr w:rsidR="00CC2882" w:rsidSect="00F71E20">
          <w:pgSz w:w="16838" w:h="11906" w:orient="landscape" w:code="9"/>
          <w:pgMar w:top="1134" w:right="567" w:bottom="851" w:left="851" w:header="567" w:footer="370" w:gutter="0"/>
          <w:cols w:space="0"/>
          <w:formProt w:val="0"/>
          <w:docGrid w:linePitch="360"/>
        </w:sectPr>
      </w:pPr>
    </w:p>
    <w:p w14:paraId="068E73C7" w14:textId="00513AA7" w:rsidR="00EA79FF" w:rsidRPr="00F71E20" w:rsidRDefault="00EA79FF" w:rsidP="00EA79FF">
      <w:pPr>
        <w:rPr>
          <w:rFonts w:cs="Arial"/>
          <w:b/>
          <w:szCs w:val="20"/>
        </w:rPr>
      </w:pPr>
      <w:r>
        <w:rPr>
          <w:b/>
          <w:noProof/>
          <w:lang w:eastAsia="en-AU"/>
        </w:rPr>
        <mc:AlternateContent>
          <mc:Choice Requires="wps">
            <w:drawing>
              <wp:anchor distT="0" distB="0" distL="114300" distR="114300" simplePos="0" relativeHeight="251685888" behindDoc="1" locked="0" layoutInCell="1" allowOverlap="1" wp14:anchorId="4743BAD6" wp14:editId="1F3D688D">
                <wp:simplePos x="0" y="0"/>
                <wp:positionH relativeFrom="column">
                  <wp:posOffset>-121000</wp:posOffset>
                </wp:positionH>
                <wp:positionV relativeFrom="paragraph">
                  <wp:posOffset>-170990</wp:posOffset>
                </wp:positionV>
                <wp:extent cx="6429922" cy="8655269"/>
                <wp:effectExtent l="0" t="0" r="28575" b="12700"/>
                <wp:wrapNone/>
                <wp:docPr id="1139" name="Rectangle 1139"/>
                <wp:cNvGraphicFramePr/>
                <a:graphic xmlns:a="http://schemas.openxmlformats.org/drawingml/2006/main">
                  <a:graphicData uri="http://schemas.microsoft.com/office/word/2010/wordprocessingShape">
                    <wps:wsp>
                      <wps:cNvSpPr/>
                      <wps:spPr>
                        <a:xfrm>
                          <a:off x="0" y="0"/>
                          <a:ext cx="6429922" cy="8655269"/>
                        </a:xfrm>
                        <a:prstGeom prst="rect">
                          <a:avLst/>
                        </a:prstGeom>
                        <a:solidFill>
                          <a:schemeClr val="accent4">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983BDD" w14:textId="1ACBAE1F" w:rsidR="00CF0933" w:rsidRPr="00537ED0" w:rsidRDefault="00CF0933" w:rsidP="00537E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43BAD6" id="Rectangle 1139" o:spid="_x0000_s1032" style="position:absolute;margin-left:-9.55pt;margin-top:-13.45pt;width:506.3pt;height:681.5pt;z-index:-25163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" fillcolor="#bccdc0 [1943]" strokecolor="black [3213]" strokeweight="1pt">
                <v:textbox>
                  <w:txbxContent>
                    <w:p w14:paraId="44983BDD" w14:textId="1ACBAE1F" w:rsidR="00CF0933" w:rsidRPr="00537ED0" w:rsidRDefault="00CF0933" w:rsidP="00537ED0">
                      <w:pPr>
                        <w:jc w:val="center"/>
                      </w:pPr>
                    </w:p>
                  </w:txbxContent>
                </v:textbox>
              </v:rect>
            </w:pict>
          </mc:Fallback>
        </mc:AlternateContent>
      </w:r>
      <w:r>
        <w:rPr>
          <w:b/>
        </w:rPr>
        <w:t xml:space="preserve">Case Study </w:t>
      </w:r>
      <w:r w:rsidRPr="00F71E20">
        <w:rPr>
          <w:rFonts w:cs="Arial"/>
          <w:b/>
          <w:szCs w:val="20"/>
        </w:rPr>
        <w:t>Box 6: Identifying a range of management options</w:t>
      </w:r>
    </w:p>
    <w:p w14:paraId="21FC3EAF" w14:textId="77777777" w:rsidR="00EA79FF" w:rsidRPr="00DC68D0" w:rsidRDefault="00EA79FF" w:rsidP="00EA79FF">
      <w:pPr>
        <w:spacing w:before="120" w:after="0" w:line="300" w:lineRule="auto"/>
        <w:rPr>
          <w:rFonts w:eastAsia="Times New Roman" w:cs="Arial"/>
          <w:color w:val="000000"/>
          <w:szCs w:val="20"/>
        </w:rPr>
      </w:pPr>
      <w:r w:rsidRPr="00DC68D0">
        <w:rPr>
          <w:rFonts w:eastAsia="Times New Roman" w:cs="Arial"/>
          <w:color w:val="000000"/>
          <w:szCs w:val="20"/>
        </w:rPr>
        <w:t>The set of potential management options investigated for implementation at Calperum Station include:</w:t>
      </w:r>
    </w:p>
    <w:p w14:paraId="64FD8B8D" w14:textId="01B95F0D" w:rsidR="00EA79FF" w:rsidRPr="00DC68D0" w:rsidRDefault="003B65C8" w:rsidP="00F22225">
      <w:pPr>
        <w:numPr>
          <w:ilvl w:val="0"/>
          <w:numId w:val="71"/>
        </w:numPr>
        <w:spacing w:after="0" w:line="240" w:lineRule="auto"/>
        <w:ind w:left="714" w:hanging="357"/>
        <w:rPr>
          <w:rFonts w:eastAsia="Times New Roman" w:cs="Arial"/>
          <w:color w:val="000000"/>
          <w:szCs w:val="20"/>
        </w:rPr>
      </w:pPr>
      <w:r>
        <w:rPr>
          <w:rFonts w:eastAsia="Times New Roman" w:cs="Arial"/>
          <w:color w:val="000000"/>
          <w:szCs w:val="20"/>
        </w:rPr>
        <w:t>Redeveloping surface flow paths (c</w:t>
      </w:r>
      <w:r w:rsidR="00EA79FF">
        <w:rPr>
          <w:rFonts w:eastAsia="Times New Roman" w:cs="Arial"/>
          <w:color w:val="000000"/>
          <w:szCs w:val="20"/>
        </w:rPr>
        <w:t xml:space="preserve">hannel </w:t>
      </w:r>
      <w:r>
        <w:rPr>
          <w:rFonts w:eastAsia="Times New Roman" w:cs="Arial"/>
          <w:color w:val="000000"/>
          <w:szCs w:val="20"/>
        </w:rPr>
        <w:t>o</w:t>
      </w:r>
      <w:r w:rsidR="00EA79FF">
        <w:rPr>
          <w:rFonts w:eastAsia="Times New Roman" w:cs="Arial"/>
          <w:color w:val="000000"/>
          <w:szCs w:val="20"/>
        </w:rPr>
        <w:t>pening</w:t>
      </w:r>
    </w:p>
    <w:p w14:paraId="6DDF811A" w14:textId="77777777" w:rsidR="00EA79FF" w:rsidRPr="00DC68D0" w:rsidRDefault="00EA79FF" w:rsidP="00F22225">
      <w:pPr>
        <w:numPr>
          <w:ilvl w:val="0"/>
          <w:numId w:val="71"/>
        </w:numPr>
        <w:spacing w:after="0" w:line="240" w:lineRule="auto"/>
        <w:ind w:left="714" w:hanging="357"/>
        <w:rPr>
          <w:rFonts w:eastAsia="Times New Roman" w:cs="Arial"/>
          <w:color w:val="000000"/>
          <w:szCs w:val="20"/>
        </w:rPr>
      </w:pPr>
      <w:r w:rsidRPr="00DC68D0">
        <w:rPr>
          <w:rFonts w:eastAsia="Times New Roman" w:cs="Arial"/>
          <w:color w:val="000000"/>
          <w:szCs w:val="20"/>
        </w:rPr>
        <w:t>Pumping water into wetlands</w:t>
      </w:r>
    </w:p>
    <w:p w14:paraId="3268BD54" w14:textId="77777777" w:rsidR="00EA79FF" w:rsidRPr="00DC68D0" w:rsidRDefault="00EA79FF" w:rsidP="00F22225">
      <w:pPr>
        <w:numPr>
          <w:ilvl w:val="0"/>
          <w:numId w:val="71"/>
        </w:numPr>
        <w:spacing w:after="0" w:line="240" w:lineRule="auto"/>
        <w:ind w:left="714" w:hanging="357"/>
        <w:rPr>
          <w:rFonts w:eastAsia="Times New Roman" w:cs="Arial"/>
          <w:color w:val="000000"/>
          <w:szCs w:val="20"/>
        </w:rPr>
      </w:pPr>
      <w:r w:rsidRPr="00DC68D0">
        <w:rPr>
          <w:rFonts w:eastAsia="Times New Roman" w:cs="Arial"/>
          <w:color w:val="000000"/>
          <w:szCs w:val="20"/>
        </w:rPr>
        <w:t>Drip or spray irrigation</w:t>
      </w:r>
    </w:p>
    <w:p w14:paraId="77341528" w14:textId="77777777" w:rsidR="00EA79FF" w:rsidRPr="00DC68D0" w:rsidRDefault="00EA79FF" w:rsidP="00F22225">
      <w:pPr>
        <w:numPr>
          <w:ilvl w:val="0"/>
          <w:numId w:val="71"/>
        </w:numPr>
        <w:spacing w:after="0" w:line="240" w:lineRule="auto"/>
        <w:ind w:left="714" w:hanging="357"/>
        <w:rPr>
          <w:rFonts w:eastAsia="Times New Roman" w:cs="Arial"/>
          <w:color w:val="000000"/>
          <w:szCs w:val="20"/>
        </w:rPr>
      </w:pPr>
      <w:r w:rsidRPr="00DC68D0">
        <w:rPr>
          <w:rFonts w:eastAsia="Times New Roman" w:cs="Arial"/>
          <w:color w:val="000000"/>
          <w:szCs w:val="20"/>
        </w:rPr>
        <w:t>Weir pool raising</w:t>
      </w:r>
    </w:p>
    <w:p w14:paraId="241C90FA" w14:textId="77777777" w:rsidR="00EA79FF" w:rsidRPr="00DC68D0" w:rsidRDefault="00EA79FF" w:rsidP="00F22225">
      <w:pPr>
        <w:numPr>
          <w:ilvl w:val="0"/>
          <w:numId w:val="71"/>
        </w:numPr>
        <w:spacing w:after="0" w:line="240" w:lineRule="auto"/>
        <w:ind w:left="714" w:hanging="357"/>
        <w:rPr>
          <w:rFonts w:eastAsia="Times New Roman" w:cs="Arial"/>
          <w:color w:val="000000"/>
          <w:szCs w:val="20"/>
        </w:rPr>
      </w:pPr>
      <w:r w:rsidRPr="00DC68D0">
        <w:rPr>
          <w:rFonts w:eastAsia="Times New Roman" w:cs="Arial"/>
          <w:color w:val="000000"/>
          <w:szCs w:val="20"/>
        </w:rPr>
        <w:t>Groundwater freshening</w:t>
      </w:r>
    </w:p>
    <w:p w14:paraId="76F27A98" w14:textId="77777777" w:rsidR="00EA79FF" w:rsidRDefault="00EA79FF" w:rsidP="00F22225">
      <w:pPr>
        <w:numPr>
          <w:ilvl w:val="0"/>
          <w:numId w:val="71"/>
        </w:numPr>
        <w:spacing w:after="0" w:line="240" w:lineRule="auto"/>
        <w:ind w:left="714" w:hanging="357"/>
        <w:rPr>
          <w:rFonts w:eastAsia="Times New Roman" w:cs="Arial"/>
          <w:color w:val="000000"/>
          <w:szCs w:val="20"/>
        </w:rPr>
      </w:pPr>
      <w:r w:rsidRPr="00DC68D0">
        <w:rPr>
          <w:rFonts w:eastAsia="Times New Roman" w:cs="Arial"/>
          <w:color w:val="000000"/>
          <w:szCs w:val="20"/>
        </w:rPr>
        <w:t>Groundwater lowering</w:t>
      </w:r>
    </w:p>
    <w:p w14:paraId="4F5606C3" w14:textId="77777777" w:rsidR="00EA79FF" w:rsidRPr="00DC68D0" w:rsidRDefault="00EA79FF" w:rsidP="00EA79FF">
      <w:pPr>
        <w:spacing w:after="0" w:line="240" w:lineRule="auto"/>
        <w:ind w:left="714"/>
        <w:rPr>
          <w:rFonts w:eastAsia="Times New Roman" w:cs="Arial"/>
          <w:color w:val="000000"/>
          <w:szCs w:val="20"/>
        </w:rPr>
      </w:pPr>
    </w:p>
    <w:p w14:paraId="324E5642" w14:textId="77777777" w:rsidR="00EA79FF" w:rsidRPr="00F71E20" w:rsidRDefault="00EA79FF" w:rsidP="00EA79FF">
      <w:pPr>
        <w:pStyle w:val="NoSpacing"/>
        <w:spacing w:after="120"/>
        <w:rPr>
          <w:rFonts w:eastAsia="Times New Roman" w:cs="Arial"/>
          <w:color w:val="000000"/>
          <w:szCs w:val="20"/>
        </w:rPr>
      </w:pPr>
      <w:r w:rsidRPr="00F71E20">
        <w:rPr>
          <w:rFonts w:ascii="Arial" w:eastAsia="Times New Roman" w:hAnsi="Arial" w:cs="Arial"/>
          <w:color w:val="000000"/>
          <w:sz w:val="20"/>
          <w:szCs w:val="20"/>
        </w:rPr>
        <w:t>For each management option, a summary was provided of any relevant investigations or management activities that have occurred at Calperum Station in the past, potential future management activities</w:t>
      </w:r>
      <w:r>
        <w:rPr>
          <w:rFonts w:ascii="Arial" w:eastAsia="Times New Roman" w:hAnsi="Arial" w:cs="Arial"/>
          <w:color w:val="000000"/>
          <w:sz w:val="20"/>
          <w:szCs w:val="20"/>
        </w:rPr>
        <w:t xml:space="preserve">. Potential future works are provided with </w:t>
      </w:r>
      <w:r w:rsidRPr="00F71E20">
        <w:rPr>
          <w:rFonts w:ascii="Arial" w:eastAsia="Times New Roman" w:hAnsi="Arial" w:cs="Arial"/>
          <w:color w:val="000000"/>
          <w:sz w:val="20"/>
          <w:szCs w:val="20"/>
        </w:rPr>
        <w:t xml:space="preserve">associated works and approximate costs, and a physical feasibility assessment for each management option. </w:t>
      </w:r>
    </w:p>
    <w:p w14:paraId="024FFFA4" w14:textId="000CF595" w:rsidR="00EA79FF" w:rsidRPr="00F71E20" w:rsidRDefault="00EA79FF" w:rsidP="00EA79FF">
      <w:pPr>
        <w:pStyle w:val="NoSpacing"/>
        <w:spacing w:after="120"/>
        <w:rPr>
          <w:rFonts w:eastAsia="Times New Roman" w:cs="Arial"/>
          <w:b/>
          <w:color w:val="000000"/>
          <w:szCs w:val="20"/>
        </w:rPr>
      </w:pPr>
      <w:r w:rsidRPr="00F71E20">
        <w:rPr>
          <w:rFonts w:ascii="Arial" w:eastAsia="Times New Roman" w:hAnsi="Arial" w:cs="Arial"/>
          <w:b/>
          <w:color w:val="000000"/>
          <w:sz w:val="20"/>
          <w:szCs w:val="20"/>
        </w:rPr>
        <w:t>Management Option</w:t>
      </w:r>
      <w:r w:rsidR="003B65C8">
        <w:rPr>
          <w:rFonts w:ascii="Arial" w:eastAsia="Times New Roman" w:hAnsi="Arial" w:cs="Arial"/>
          <w:b/>
          <w:color w:val="000000"/>
          <w:sz w:val="20"/>
          <w:szCs w:val="20"/>
        </w:rPr>
        <w:t xml:space="preserve"> 1</w:t>
      </w:r>
      <w:r w:rsidRPr="00F71E20">
        <w:rPr>
          <w:rFonts w:ascii="Arial" w:eastAsia="Times New Roman" w:hAnsi="Arial" w:cs="Arial"/>
          <w:b/>
          <w:color w:val="000000"/>
          <w:sz w:val="20"/>
          <w:szCs w:val="20"/>
        </w:rPr>
        <w:t>: Channel Opening</w:t>
      </w:r>
    </w:p>
    <w:p w14:paraId="520EEC00" w14:textId="396EAC4B" w:rsidR="00EA79FF" w:rsidRPr="00F71E20" w:rsidRDefault="00EA79FF" w:rsidP="00EA79FF">
      <w:pPr>
        <w:pStyle w:val="NoSpacing"/>
        <w:spacing w:after="120"/>
        <w:rPr>
          <w:rFonts w:eastAsia="Times New Roman" w:cs="Arial"/>
          <w:color w:val="000000"/>
          <w:szCs w:val="20"/>
        </w:rPr>
      </w:pPr>
      <w:r w:rsidRPr="00F71E20">
        <w:rPr>
          <w:rFonts w:ascii="Arial" w:eastAsia="Times New Roman" w:hAnsi="Arial" w:cs="Arial"/>
          <w:color w:val="000000"/>
          <w:sz w:val="20"/>
          <w:szCs w:val="20"/>
        </w:rPr>
        <w:t xml:space="preserve">The investigation into one of the options, reconnecting existing floodplain channels for inundation at raised weir pool levels is included below. Similar investigations were completed for all other management options </w:t>
      </w:r>
      <w:r w:rsidR="003B65C8">
        <w:rPr>
          <w:rFonts w:ascii="Arial" w:eastAsia="Times New Roman" w:hAnsi="Arial" w:cs="Arial"/>
          <w:color w:val="000000"/>
          <w:sz w:val="20"/>
          <w:szCs w:val="20"/>
        </w:rPr>
        <w:t>listed above</w:t>
      </w:r>
      <w:r w:rsidRPr="00F71E20">
        <w:rPr>
          <w:rFonts w:ascii="Arial" w:eastAsia="Times New Roman" w:hAnsi="Arial" w:cs="Arial"/>
          <w:color w:val="000000"/>
          <w:sz w:val="20"/>
          <w:szCs w:val="20"/>
        </w:rPr>
        <w:t xml:space="preserve">. </w:t>
      </w:r>
    </w:p>
    <w:p w14:paraId="2180A966" w14:textId="1A07E6F9" w:rsidR="00EA79FF" w:rsidRPr="00F71E20" w:rsidRDefault="00EA79FF" w:rsidP="00EA79FF">
      <w:pPr>
        <w:pStyle w:val="NoSpacing"/>
        <w:spacing w:after="120"/>
        <w:rPr>
          <w:rFonts w:eastAsia="Times New Roman" w:cs="Arial"/>
          <w:color w:val="000000"/>
          <w:szCs w:val="20"/>
        </w:rPr>
      </w:pPr>
      <w:r w:rsidRPr="00F71E20">
        <w:rPr>
          <w:rStyle w:val="Para0Char"/>
          <w:i/>
        </w:rPr>
        <w:t>Past Management Activities:</w:t>
      </w:r>
      <w:r w:rsidRPr="00F71E20">
        <w:rPr>
          <w:rFonts w:eastAsia="Times New Roman" w:cs="Arial"/>
          <w:i/>
          <w:szCs w:val="20"/>
        </w:rPr>
        <w:t xml:space="preserve"> </w:t>
      </w:r>
      <w:r w:rsidRPr="00F71E20">
        <w:rPr>
          <w:rFonts w:ascii="Arial" w:eastAsia="Times New Roman" w:hAnsi="Arial" w:cs="Arial"/>
          <w:color w:val="000000"/>
          <w:sz w:val="20"/>
          <w:szCs w:val="20"/>
        </w:rPr>
        <w:t xml:space="preserve">Channel opening has not been conducted at Calperum Station in the past. While the potential has been identified by </w:t>
      </w:r>
      <w:r w:rsidR="00C14607">
        <w:rPr>
          <w:rFonts w:ascii="Arial" w:eastAsia="Times New Roman" w:hAnsi="Arial" w:cs="Arial"/>
          <w:color w:val="000000"/>
          <w:sz w:val="20"/>
          <w:szCs w:val="20"/>
        </w:rPr>
        <w:t>the land manager</w:t>
      </w:r>
      <w:r w:rsidRPr="00F71E20">
        <w:rPr>
          <w:rFonts w:ascii="Arial" w:eastAsia="Times New Roman" w:hAnsi="Arial" w:cs="Arial"/>
          <w:color w:val="000000"/>
          <w:sz w:val="20"/>
          <w:szCs w:val="20"/>
        </w:rPr>
        <w:t xml:space="preserve">, resources have not been available for excavation works needed to lower channel sill levels and reconnect existing channels </w:t>
      </w:r>
      <w:r w:rsidR="003B65C8">
        <w:rPr>
          <w:rFonts w:ascii="Arial" w:eastAsia="Times New Roman" w:hAnsi="Arial" w:cs="Arial"/>
          <w:color w:val="000000"/>
          <w:sz w:val="20"/>
          <w:szCs w:val="20"/>
        </w:rPr>
        <w:t>to</w:t>
      </w:r>
      <w:r w:rsidRPr="00F71E20">
        <w:rPr>
          <w:rFonts w:ascii="Arial" w:eastAsia="Times New Roman" w:hAnsi="Arial" w:cs="Arial"/>
          <w:color w:val="000000"/>
          <w:sz w:val="20"/>
          <w:szCs w:val="20"/>
        </w:rPr>
        <w:t xml:space="preserve"> the River. </w:t>
      </w:r>
    </w:p>
    <w:p w14:paraId="5FEF8006" w14:textId="77777777" w:rsidR="00EA79FF" w:rsidRPr="00F71E20" w:rsidRDefault="00EA79FF" w:rsidP="00EA79FF">
      <w:pPr>
        <w:pStyle w:val="NoSpacing"/>
        <w:spacing w:after="120"/>
        <w:rPr>
          <w:rFonts w:eastAsia="Times New Roman" w:cs="Arial"/>
          <w:i/>
          <w:color w:val="000000"/>
          <w:szCs w:val="20"/>
        </w:rPr>
      </w:pPr>
      <w:r w:rsidRPr="00F71E20">
        <w:rPr>
          <w:i/>
        </w:rPr>
        <w:t>P</w:t>
      </w:r>
      <w:r w:rsidRPr="00F71E20">
        <w:rPr>
          <w:rFonts w:ascii="Arial" w:eastAsia="Times New Roman" w:hAnsi="Arial" w:cs="Arial"/>
          <w:i/>
          <w:color w:val="000000"/>
          <w:sz w:val="20"/>
          <w:szCs w:val="20"/>
        </w:rPr>
        <w:t>otential Future Management Activities</w:t>
      </w:r>
    </w:p>
    <w:p w14:paraId="020F5B72" w14:textId="07F2FE7A" w:rsidR="00EA79FF" w:rsidRPr="00F71E20" w:rsidRDefault="00EA79FF" w:rsidP="00EA79FF">
      <w:pPr>
        <w:pStyle w:val="NoSpacing"/>
        <w:spacing w:after="120"/>
        <w:rPr>
          <w:rFonts w:eastAsia="Times New Roman" w:cs="Arial"/>
          <w:color w:val="000000"/>
          <w:szCs w:val="20"/>
        </w:rPr>
      </w:pPr>
      <w:r w:rsidRPr="00F71E20">
        <w:rPr>
          <w:rFonts w:ascii="Arial" w:eastAsia="Times New Roman" w:hAnsi="Arial" w:cs="Arial"/>
          <w:color w:val="000000"/>
          <w:sz w:val="20"/>
          <w:szCs w:val="20"/>
        </w:rPr>
        <w:t xml:space="preserve">Throughout Calperum Station, there are several floodplain channels that </w:t>
      </w:r>
      <w:r w:rsidR="003B65C8">
        <w:rPr>
          <w:rFonts w:ascii="Arial" w:eastAsia="Times New Roman" w:hAnsi="Arial" w:cs="Arial"/>
          <w:color w:val="000000"/>
          <w:sz w:val="20"/>
          <w:szCs w:val="20"/>
        </w:rPr>
        <w:t xml:space="preserve">have over time become </w:t>
      </w:r>
      <w:r w:rsidRPr="00F71E20">
        <w:rPr>
          <w:rFonts w:ascii="Arial" w:eastAsia="Times New Roman" w:hAnsi="Arial" w:cs="Arial"/>
          <w:color w:val="000000"/>
          <w:sz w:val="20"/>
          <w:szCs w:val="20"/>
        </w:rPr>
        <w:t xml:space="preserve">disconnected from the </w:t>
      </w:r>
      <w:r w:rsidR="003B65C8">
        <w:rPr>
          <w:rFonts w:ascii="Arial" w:eastAsia="Times New Roman" w:hAnsi="Arial" w:cs="Arial"/>
          <w:color w:val="000000"/>
          <w:sz w:val="20"/>
          <w:szCs w:val="20"/>
        </w:rPr>
        <w:t>R</w:t>
      </w:r>
      <w:r w:rsidRPr="00F71E20">
        <w:rPr>
          <w:rFonts w:ascii="Arial" w:eastAsia="Times New Roman" w:hAnsi="Arial" w:cs="Arial"/>
          <w:color w:val="000000"/>
          <w:sz w:val="20"/>
          <w:szCs w:val="20"/>
        </w:rPr>
        <w:t>iver by raised embankments</w:t>
      </w:r>
      <w:r w:rsidR="003B65C8">
        <w:rPr>
          <w:rFonts w:ascii="Arial" w:eastAsia="Times New Roman" w:hAnsi="Arial" w:cs="Arial"/>
          <w:color w:val="000000"/>
          <w:sz w:val="20"/>
          <w:szCs w:val="20"/>
        </w:rPr>
        <w:t>.</w:t>
      </w:r>
      <w:r w:rsidRPr="00F71E20">
        <w:rPr>
          <w:rFonts w:ascii="Arial" w:eastAsia="Times New Roman" w:hAnsi="Arial" w:cs="Arial"/>
          <w:color w:val="000000"/>
          <w:sz w:val="20"/>
          <w:szCs w:val="20"/>
        </w:rPr>
        <w:t xml:space="preserve"> There are several locations where minor earthworks, such as lowering </w:t>
      </w:r>
      <w:r w:rsidR="00537ED0">
        <w:rPr>
          <w:rFonts w:ascii="Arial" w:eastAsia="Times New Roman" w:hAnsi="Arial" w:cs="Arial"/>
          <w:color w:val="000000"/>
          <w:sz w:val="20"/>
          <w:szCs w:val="20"/>
        </w:rPr>
        <w:t>embankments</w:t>
      </w:r>
      <w:r w:rsidRPr="00F71E20">
        <w:rPr>
          <w:rFonts w:ascii="Arial" w:eastAsia="Times New Roman" w:hAnsi="Arial" w:cs="Arial"/>
          <w:color w:val="000000"/>
          <w:sz w:val="20"/>
          <w:szCs w:val="20"/>
        </w:rPr>
        <w:t xml:space="preserve">, could result in </w:t>
      </w:r>
      <w:r w:rsidR="00537ED0">
        <w:rPr>
          <w:rFonts w:ascii="Arial" w:eastAsia="Times New Roman" w:hAnsi="Arial" w:cs="Arial"/>
          <w:color w:val="000000"/>
          <w:sz w:val="20"/>
          <w:szCs w:val="20"/>
        </w:rPr>
        <w:t xml:space="preserve">increased </w:t>
      </w:r>
      <w:r w:rsidRPr="00F71E20">
        <w:rPr>
          <w:rFonts w:ascii="Arial" w:eastAsia="Times New Roman" w:hAnsi="Arial" w:cs="Arial"/>
          <w:color w:val="000000"/>
          <w:sz w:val="20"/>
          <w:szCs w:val="20"/>
        </w:rPr>
        <w:t xml:space="preserve">inundation of </w:t>
      </w:r>
      <w:r w:rsidR="00537ED0">
        <w:rPr>
          <w:rFonts w:ascii="Arial" w:eastAsia="Times New Roman" w:hAnsi="Arial" w:cs="Arial"/>
          <w:color w:val="000000"/>
          <w:sz w:val="20"/>
          <w:szCs w:val="20"/>
        </w:rPr>
        <w:t>floodplain</w:t>
      </w:r>
      <w:r w:rsidRPr="00F71E20">
        <w:rPr>
          <w:rFonts w:ascii="Arial" w:eastAsia="Times New Roman" w:hAnsi="Arial" w:cs="Arial"/>
          <w:color w:val="000000"/>
          <w:sz w:val="20"/>
          <w:szCs w:val="20"/>
        </w:rPr>
        <w:t xml:space="preserve"> channels</w:t>
      </w:r>
      <w:r w:rsidR="00537ED0">
        <w:rPr>
          <w:rFonts w:ascii="Arial" w:eastAsia="Times New Roman" w:hAnsi="Arial" w:cs="Arial"/>
          <w:color w:val="000000"/>
          <w:sz w:val="20"/>
          <w:szCs w:val="20"/>
        </w:rPr>
        <w:t xml:space="preserve"> and lateral recharge. These earthworks, in combination with </w:t>
      </w:r>
      <w:r w:rsidRPr="00F71E20">
        <w:rPr>
          <w:rFonts w:ascii="Arial" w:eastAsia="Times New Roman" w:hAnsi="Arial" w:cs="Arial"/>
          <w:color w:val="000000"/>
          <w:sz w:val="20"/>
          <w:szCs w:val="20"/>
        </w:rPr>
        <w:t xml:space="preserve">weir pool </w:t>
      </w:r>
      <w:r w:rsidR="00537ED0">
        <w:rPr>
          <w:rFonts w:ascii="Arial" w:eastAsia="Times New Roman" w:hAnsi="Arial" w:cs="Arial"/>
          <w:color w:val="000000"/>
          <w:sz w:val="20"/>
          <w:szCs w:val="20"/>
        </w:rPr>
        <w:t>raising could improve the effectiveness of environmental watering</w:t>
      </w:r>
      <w:r w:rsidRPr="00F71E20">
        <w:rPr>
          <w:rFonts w:ascii="Arial" w:eastAsia="Times New Roman" w:hAnsi="Arial" w:cs="Arial"/>
          <w:color w:val="000000"/>
          <w:sz w:val="20"/>
          <w:szCs w:val="20"/>
        </w:rPr>
        <w:t xml:space="preserve">. </w:t>
      </w:r>
    </w:p>
    <w:p w14:paraId="2233E228" w14:textId="77777777" w:rsidR="00EA79FF" w:rsidRPr="00F71E20" w:rsidRDefault="00EA79FF" w:rsidP="00EA79FF">
      <w:pPr>
        <w:pStyle w:val="NoSpacing"/>
        <w:spacing w:after="120"/>
        <w:rPr>
          <w:rFonts w:eastAsia="Times New Roman" w:cs="Arial"/>
          <w:color w:val="000000"/>
          <w:szCs w:val="20"/>
        </w:rPr>
      </w:pPr>
      <w:r w:rsidRPr="00F71E20">
        <w:rPr>
          <w:rFonts w:ascii="Arial" w:eastAsia="Times New Roman" w:hAnsi="Arial" w:cs="Arial"/>
          <w:color w:val="000000"/>
          <w:sz w:val="20"/>
          <w:szCs w:val="20"/>
        </w:rPr>
        <w:t xml:space="preserve">The normal operating level for Lock 5, which dictates water levels at the River at Calperum Station, is 16.3mAHD. During recent weir pool raising events, a level of 16.8mAHD was achieved. </w:t>
      </w:r>
    </w:p>
    <w:p w14:paraId="3B77E5C9" w14:textId="639C1519" w:rsidR="00EA79FF" w:rsidRPr="00F71E20" w:rsidRDefault="00EA79FF" w:rsidP="00EA79FF">
      <w:pPr>
        <w:pStyle w:val="NoSpacing"/>
        <w:spacing w:after="120"/>
        <w:rPr>
          <w:rFonts w:eastAsia="Times New Roman" w:cs="Arial"/>
          <w:color w:val="000000"/>
          <w:szCs w:val="20"/>
        </w:rPr>
      </w:pPr>
      <w:r w:rsidRPr="00F71E20">
        <w:rPr>
          <w:rFonts w:ascii="Arial" w:eastAsia="Times New Roman" w:hAnsi="Arial" w:cs="Arial"/>
          <w:color w:val="000000"/>
          <w:sz w:val="20"/>
          <w:szCs w:val="20"/>
        </w:rPr>
        <w:t xml:space="preserve">Through analysis of the Digital Elevation Model (DEM), several locations were identified where minor earthworks could result in inundation of existing channels for a raised weir pool level of 16.8mAHD. The potential areas </w:t>
      </w:r>
      <w:r>
        <w:rPr>
          <w:rFonts w:ascii="Arial" w:eastAsia="Times New Roman" w:hAnsi="Arial" w:cs="Arial"/>
          <w:color w:val="000000"/>
          <w:sz w:val="20"/>
          <w:szCs w:val="20"/>
        </w:rPr>
        <w:t>influenced by this option</w:t>
      </w:r>
      <w:r w:rsidRPr="00F71E20">
        <w:rPr>
          <w:rFonts w:ascii="Arial" w:eastAsia="Times New Roman" w:hAnsi="Arial" w:cs="Arial"/>
          <w:color w:val="000000"/>
          <w:sz w:val="20"/>
          <w:szCs w:val="20"/>
        </w:rPr>
        <w:t xml:space="preserve"> are shown in </w:t>
      </w:r>
      <w:r w:rsidRPr="00F71E20">
        <w:rPr>
          <w:rFonts w:ascii="Arial" w:eastAsia="Times New Roman" w:hAnsi="Arial" w:cs="Arial"/>
          <w:color w:val="000000"/>
          <w:sz w:val="20"/>
          <w:szCs w:val="20"/>
        </w:rPr>
        <w:fldChar w:fldCharType="begin"/>
      </w:r>
      <w:r w:rsidRPr="00F71E20">
        <w:rPr>
          <w:rFonts w:ascii="Arial" w:eastAsia="Times New Roman" w:hAnsi="Arial" w:cs="Arial"/>
          <w:color w:val="000000"/>
          <w:sz w:val="20"/>
          <w:szCs w:val="20"/>
        </w:rPr>
        <w:instrText xml:space="preserve"> REF _Ref497295096 \h  \* MERGEFORMAT </w:instrText>
      </w:r>
      <w:r w:rsidRPr="00F71E20">
        <w:rPr>
          <w:rFonts w:ascii="Arial" w:eastAsia="Times New Roman" w:hAnsi="Arial" w:cs="Arial"/>
          <w:color w:val="000000"/>
          <w:sz w:val="20"/>
          <w:szCs w:val="20"/>
        </w:rPr>
      </w:r>
      <w:r w:rsidRPr="00F71E20">
        <w:rPr>
          <w:rFonts w:ascii="Arial" w:eastAsia="Times New Roman" w:hAnsi="Arial" w:cs="Arial"/>
          <w:color w:val="000000"/>
          <w:sz w:val="20"/>
          <w:szCs w:val="20"/>
        </w:rPr>
        <w:fldChar w:fldCharType="separate"/>
      </w:r>
      <w:r w:rsidR="00BF015B" w:rsidRPr="00BF015B">
        <w:rPr>
          <w:rFonts w:ascii="Arial" w:eastAsia="Times New Roman" w:hAnsi="Arial" w:cs="Arial"/>
          <w:color w:val="000000"/>
          <w:sz w:val="20"/>
          <w:szCs w:val="20"/>
        </w:rPr>
        <w:t>Figure 3</w:t>
      </w:r>
      <w:r w:rsidR="00BF015B" w:rsidRPr="00BF015B">
        <w:rPr>
          <w:rFonts w:ascii="Arial" w:eastAsia="Times New Roman" w:hAnsi="Arial" w:cs="Arial"/>
          <w:color w:val="000000"/>
          <w:sz w:val="20"/>
          <w:szCs w:val="20"/>
        </w:rPr>
        <w:noBreakHyphen/>
        <w:t>18</w:t>
      </w:r>
      <w:r w:rsidRPr="00F71E20">
        <w:rPr>
          <w:rFonts w:ascii="Arial" w:eastAsia="Times New Roman" w:hAnsi="Arial" w:cs="Arial"/>
          <w:color w:val="000000"/>
          <w:sz w:val="20"/>
          <w:szCs w:val="20"/>
        </w:rPr>
        <w:fldChar w:fldCharType="end"/>
      </w:r>
      <w:r>
        <w:rPr>
          <w:rFonts w:ascii="Arial" w:eastAsia="Times New Roman" w:hAnsi="Arial" w:cs="Arial"/>
          <w:color w:val="000000"/>
          <w:sz w:val="20"/>
          <w:szCs w:val="20"/>
        </w:rPr>
        <w:t>. T</w:t>
      </w:r>
      <w:r w:rsidRPr="00F71E20">
        <w:rPr>
          <w:rFonts w:ascii="Arial" w:eastAsia="Times New Roman" w:hAnsi="Arial" w:cs="Arial"/>
          <w:color w:val="000000"/>
          <w:sz w:val="20"/>
          <w:szCs w:val="20"/>
        </w:rPr>
        <w:t>he potential impact areas includ</w:t>
      </w:r>
      <w:r>
        <w:rPr>
          <w:rFonts w:ascii="Arial" w:eastAsia="Times New Roman" w:hAnsi="Arial" w:cs="Arial"/>
          <w:color w:val="000000"/>
          <w:sz w:val="20"/>
          <w:szCs w:val="20"/>
        </w:rPr>
        <w:t>e</w:t>
      </w:r>
      <w:r w:rsidRPr="00F71E20">
        <w:rPr>
          <w:rFonts w:ascii="Arial" w:eastAsia="Times New Roman" w:hAnsi="Arial" w:cs="Arial"/>
          <w:color w:val="000000"/>
          <w:sz w:val="20"/>
          <w:szCs w:val="20"/>
        </w:rPr>
        <w:t xml:space="preserve"> a 150m buffer zone surrounding the inundated areas assumed. Additional details</w:t>
      </w:r>
      <w:r>
        <w:rPr>
          <w:rFonts w:ascii="Arial" w:eastAsia="Times New Roman" w:hAnsi="Arial" w:cs="Arial"/>
          <w:color w:val="000000"/>
          <w:sz w:val="20"/>
          <w:szCs w:val="20"/>
        </w:rPr>
        <w:t>,</w:t>
      </w:r>
      <w:r w:rsidRPr="00F71E20">
        <w:rPr>
          <w:rFonts w:ascii="Arial" w:eastAsia="Times New Roman" w:hAnsi="Arial" w:cs="Arial"/>
          <w:color w:val="000000"/>
          <w:sz w:val="20"/>
          <w:szCs w:val="20"/>
        </w:rPr>
        <w:t xml:space="preserve"> including the area of Black Box vegetation inundated, excavation requirements and costs</w:t>
      </w:r>
      <w:r>
        <w:rPr>
          <w:rFonts w:ascii="Arial" w:eastAsia="Times New Roman" w:hAnsi="Arial" w:cs="Arial"/>
          <w:color w:val="000000"/>
          <w:sz w:val="20"/>
          <w:szCs w:val="20"/>
        </w:rPr>
        <w:t>,</w:t>
      </w:r>
      <w:r w:rsidRPr="00F71E20">
        <w:rPr>
          <w:rFonts w:ascii="Arial" w:eastAsia="Times New Roman" w:hAnsi="Arial" w:cs="Arial"/>
          <w:color w:val="000000"/>
          <w:sz w:val="20"/>
          <w:szCs w:val="20"/>
        </w:rPr>
        <w:t xml:space="preserve"> </w:t>
      </w:r>
      <w:r>
        <w:rPr>
          <w:rFonts w:ascii="Arial" w:eastAsia="Times New Roman" w:hAnsi="Arial" w:cs="Arial"/>
          <w:color w:val="000000"/>
          <w:sz w:val="20"/>
          <w:szCs w:val="20"/>
        </w:rPr>
        <w:t>are provided</w:t>
      </w:r>
      <w:r w:rsidRPr="00F71E20">
        <w:rPr>
          <w:rFonts w:ascii="Arial" w:eastAsia="Times New Roman" w:hAnsi="Arial" w:cs="Arial"/>
          <w:color w:val="000000"/>
          <w:sz w:val="20"/>
          <w:szCs w:val="20"/>
        </w:rPr>
        <w:t xml:space="preserve"> in </w:t>
      </w:r>
      <w:r w:rsidRPr="00F71E20">
        <w:rPr>
          <w:rFonts w:ascii="Arial" w:eastAsia="Times New Roman" w:hAnsi="Arial" w:cs="Arial"/>
          <w:color w:val="000000"/>
          <w:sz w:val="20"/>
          <w:szCs w:val="20"/>
        </w:rPr>
        <w:fldChar w:fldCharType="begin"/>
      </w:r>
      <w:r w:rsidRPr="00F71E20">
        <w:rPr>
          <w:rFonts w:ascii="Arial" w:eastAsia="Times New Roman" w:hAnsi="Arial" w:cs="Arial"/>
          <w:color w:val="000000"/>
          <w:sz w:val="20"/>
          <w:szCs w:val="20"/>
        </w:rPr>
        <w:instrText xml:space="preserve"> REF _Ref497729495 \h  \* MERGEFORMAT </w:instrText>
      </w:r>
      <w:r w:rsidRPr="00F71E20">
        <w:rPr>
          <w:rFonts w:ascii="Arial" w:eastAsia="Times New Roman" w:hAnsi="Arial" w:cs="Arial"/>
          <w:color w:val="000000"/>
          <w:sz w:val="20"/>
          <w:szCs w:val="20"/>
        </w:rPr>
      </w:r>
      <w:r w:rsidRPr="00F71E20">
        <w:rPr>
          <w:rFonts w:ascii="Arial" w:eastAsia="Times New Roman" w:hAnsi="Arial" w:cs="Arial"/>
          <w:color w:val="000000"/>
          <w:sz w:val="20"/>
          <w:szCs w:val="20"/>
        </w:rPr>
        <w:fldChar w:fldCharType="separate"/>
      </w:r>
      <w:r w:rsidR="00BF015B" w:rsidRPr="00BF015B">
        <w:rPr>
          <w:rFonts w:ascii="Arial" w:eastAsia="Times New Roman" w:hAnsi="Arial" w:cs="Arial"/>
          <w:color w:val="000000"/>
          <w:sz w:val="20"/>
          <w:szCs w:val="20"/>
        </w:rPr>
        <w:t>Table 3</w:t>
      </w:r>
      <w:r w:rsidR="00BF015B" w:rsidRPr="00BF015B">
        <w:rPr>
          <w:rFonts w:ascii="Arial" w:eastAsia="Times New Roman" w:hAnsi="Arial" w:cs="Arial"/>
          <w:color w:val="000000"/>
          <w:sz w:val="20"/>
          <w:szCs w:val="20"/>
        </w:rPr>
        <w:noBreakHyphen/>
        <w:t>16</w:t>
      </w:r>
      <w:r w:rsidRPr="00F71E20">
        <w:rPr>
          <w:rFonts w:ascii="Arial" w:eastAsia="Times New Roman" w:hAnsi="Arial" w:cs="Arial"/>
          <w:color w:val="000000"/>
          <w:sz w:val="20"/>
          <w:szCs w:val="20"/>
        </w:rPr>
        <w:fldChar w:fldCharType="end"/>
      </w:r>
      <w:r w:rsidRPr="00F71E20">
        <w:rPr>
          <w:rFonts w:ascii="Arial" w:eastAsia="Times New Roman" w:hAnsi="Arial" w:cs="Arial"/>
          <w:color w:val="000000"/>
          <w:sz w:val="20"/>
          <w:szCs w:val="20"/>
        </w:rPr>
        <w:t xml:space="preserve">. </w:t>
      </w:r>
      <w:r>
        <w:rPr>
          <w:rFonts w:ascii="Arial" w:eastAsia="Times New Roman" w:hAnsi="Arial" w:cs="Arial"/>
          <w:color w:val="000000"/>
          <w:sz w:val="20"/>
          <w:szCs w:val="20"/>
        </w:rPr>
        <w:t>Approximate c</w:t>
      </w:r>
      <w:r w:rsidRPr="00F71E20">
        <w:rPr>
          <w:rFonts w:ascii="Arial" w:eastAsia="Times New Roman" w:hAnsi="Arial" w:cs="Arial"/>
          <w:color w:val="000000"/>
          <w:sz w:val="20"/>
          <w:szCs w:val="20"/>
        </w:rPr>
        <w:t>osts have been estimated based on a rate of $50/m</w:t>
      </w:r>
      <w:r w:rsidRPr="00537ED0">
        <w:rPr>
          <w:rFonts w:ascii="Arial" w:eastAsia="Times New Roman" w:hAnsi="Arial" w:cs="Arial"/>
          <w:color w:val="000000"/>
          <w:sz w:val="20"/>
          <w:szCs w:val="20"/>
          <w:vertAlign w:val="superscript"/>
        </w:rPr>
        <w:t>3</w:t>
      </w:r>
      <w:r w:rsidRPr="00F71E20">
        <w:rPr>
          <w:rFonts w:ascii="Arial" w:eastAsia="Times New Roman" w:hAnsi="Arial" w:cs="Arial"/>
          <w:color w:val="000000"/>
          <w:sz w:val="20"/>
          <w:szCs w:val="20"/>
        </w:rPr>
        <w:t xml:space="preserve"> excavated</w:t>
      </w:r>
      <w:r>
        <w:rPr>
          <w:rFonts w:ascii="Arial" w:eastAsia="Times New Roman" w:hAnsi="Arial" w:cs="Arial"/>
          <w:color w:val="000000"/>
          <w:sz w:val="20"/>
          <w:szCs w:val="20"/>
        </w:rPr>
        <w:t>, however will need refinement during site plan development</w:t>
      </w:r>
      <w:r w:rsidRPr="00F71E20">
        <w:rPr>
          <w:rFonts w:ascii="Arial" w:eastAsia="Times New Roman" w:hAnsi="Arial" w:cs="Arial"/>
          <w:color w:val="000000"/>
          <w:sz w:val="20"/>
          <w:szCs w:val="20"/>
        </w:rPr>
        <w:t xml:space="preserve">. </w:t>
      </w:r>
    </w:p>
    <w:p w14:paraId="01B724EB" w14:textId="77777777" w:rsidR="00EA79FF" w:rsidRDefault="00EA79FF" w:rsidP="00EA79FF">
      <w:pPr>
        <w:pStyle w:val="NoSpacing"/>
        <w:spacing w:after="120"/>
        <w:rPr>
          <w:rFonts w:eastAsia="Times New Roman" w:cs="Arial"/>
          <w:color w:val="000000"/>
          <w:szCs w:val="20"/>
        </w:rPr>
      </w:pPr>
      <w:r w:rsidRPr="00F71E20">
        <w:rPr>
          <w:rFonts w:ascii="Arial" w:eastAsia="Times New Roman" w:hAnsi="Arial" w:cs="Arial"/>
          <w:color w:val="000000"/>
          <w:sz w:val="20"/>
          <w:szCs w:val="20"/>
        </w:rPr>
        <w:t>Following earthworks, Calperum Station’s existing environmental water allocation could be used to inundate these channels at raised weir pool levels. This would serve to increase the area inundated, without requiring pumping</w:t>
      </w:r>
      <w:r>
        <w:rPr>
          <w:rFonts w:ascii="Arial" w:eastAsia="Times New Roman" w:hAnsi="Arial" w:cs="Arial"/>
          <w:color w:val="000000"/>
          <w:sz w:val="20"/>
          <w:szCs w:val="20"/>
        </w:rPr>
        <w:t xml:space="preserve"> (long term cost efficiency)</w:t>
      </w:r>
      <w:r w:rsidRPr="00F71E20">
        <w:rPr>
          <w:rFonts w:ascii="Arial" w:eastAsia="Times New Roman" w:hAnsi="Arial" w:cs="Arial"/>
          <w:color w:val="000000"/>
          <w:sz w:val="20"/>
          <w:szCs w:val="20"/>
        </w:rPr>
        <w:t xml:space="preserve">. </w:t>
      </w:r>
    </w:p>
    <w:p w14:paraId="6A0FF721" w14:textId="37FAAF21" w:rsidR="00EA79FF" w:rsidRPr="008E0C6A" w:rsidRDefault="00EA79FF" w:rsidP="00EA79FF">
      <w:pPr>
        <w:pStyle w:val="Caption"/>
      </w:pPr>
      <w:bookmarkStart w:id="165" w:name="_Ref497729495"/>
      <w:bookmarkStart w:id="166" w:name="_Toc514068784"/>
      <w:r w:rsidRPr="008E0C6A">
        <w:t xml:space="preserve">Table </w:t>
      </w:r>
      <w:r>
        <w:fldChar w:fldCharType="begin"/>
      </w:r>
      <w:r>
        <w:instrText xml:space="preserve"> STYLEREF 1 \s </w:instrText>
      </w:r>
      <w:r>
        <w:fldChar w:fldCharType="separate"/>
      </w:r>
      <w:r w:rsidR="00BF015B">
        <w:rPr>
          <w:noProof/>
        </w:rPr>
        <w:t>3</w:t>
      </w:r>
      <w:r>
        <w:fldChar w:fldCharType="end"/>
      </w:r>
      <w:r>
        <w:noBreakHyphen/>
      </w:r>
      <w:r>
        <w:fldChar w:fldCharType="begin"/>
      </w:r>
      <w:r>
        <w:instrText xml:space="preserve"> SEQ Table \* ARABIC \s 1 </w:instrText>
      </w:r>
      <w:r>
        <w:fldChar w:fldCharType="separate"/>
      </w:r>
      <w:r w:rsidR="0063076E">
        <w:rPr>
          <w:noProof/>
        </w:rPr>
        <w:t>17</w:t>
      </w:r>
      <w:r>
        <w:fldChar w:fldCharType="end"/>
      </w:r>
      <w:bookmarkEnd w:id="165"/>
      <w:r w:rsidRPr="008E0C6A">
        <w:t>: Potential Channel opening locations at Calperum Station</w:t>
      </w:r>
      <w:bookmarkEnd w:id="166"/>
    </w:p>
    <w:tbl>
      <w:tblPr>
        <w:tblW w:w="9204" w:type="dxa"/>
        <w:tblLook w:val="04A0" w:firstRow="1" w:lastRow="0" w:firstColumn="1" w:lastColumn="0" w:noHBand="0" w:noVBand="1"/>
      </w:tblPr>
      <w:tblGrid>
        <w:gridCol w:w="628"/>
        <w:gridCol w:w="1489"/>
        <w:gridCol w:w="1559"/>
        <w:gridCol w:w="1843"/>
        <w:gridCol w:w="1984"/>
        <w:gridCol w:w="1701"/>
      </w:tblGrid>
      <w:tr w:rsidR="00EA79FF" w:rsidRPr="008E0C6A" w14:paraId="45A0F4B5" w14:textId="77777777" w:rsidTr="00BD0270">
        <w:trPr>
          <w:trHeight w:val="184"/>
        </w:trPr>
        <w:tc>
          <w:tcPr>
            <w:tcW w:w="0" w:type="auto"/>
            <w:tcBorders>
              <w:top w:val="single" w:sz="8" w:space="0" w:color="808080"/>
              <w:left w:val="single" w:sz="8" w:space="0" w:color="808080"/>
              <w:bottom w:val="single" w:sz="8" w:space="0" w:color="808080"/>
              <w:right w:val="single" w:sz="8" w:space="0" w:color="FFFFFF"/>
            </w:tcBorders>
            <w:shd w:val="clear" w:color="000000" w:fill="00338D"/>
            <w:vAlign w:val="center"/>
            <w:hideMark/>
          </w:tcPr>
          <w:p w14:paraId="018889D5" w14:textId="77777777" w:rsidR="00EA79FF" w:rsidRPr="008E0C6A" w:rsidRDefault="00EA79FF" w:rsidP="00BD0270">
            <w:pPr>
              <w:spacing w:before="100" w:after="100"/>
              <w:jc w:val="center"/>
              <w:rPr>
                <w:rFonts w:asciiTheme="minorHAnsi" w:hAnsiTheme="minorHAnsi" w:cstheme="minorHAnsi"/>
                <w:b/>
                <w:sz w:val="18"/>
                <w:szCs w:val="18"/>
              </w:rPr>
            </w:pPr>
            <w:r w:rsidRPr="008E0C6A">
              <w:rPr>
                <w:rFonts w:asciiTheme="minorHAnsi" w:hAnsiTheme="minorHAnsi" w:cstheme="minorHAnsi"/>
                <w:b/>
                <w:sz w:val="18"/>
                <w:szCs w:val="18"/>
              </w:rPr>
              <w:t>Site #</w:t>
            </w:r>
          </w:p>
        </w:tc>
        <w:tc>
          <w:tcPr>
            <w:tcW w:w="1489" w:type="dxa"/>
            <w:tcBorders>
              <w:top w:val="single" w:sz="8" w:space="0" w:color="808080"/>
              <w:left w:val="nil"/>
              <w:bottom w:val="single" w:sz="8" w:space="0" w:color="808080"/>
              <w:right w:val="single" w:sz="8" w:space="0" w:color="FFFFFF"/>
            </w:tcBorders>
            <w:shd w:val="clear" w:color="000000" w:fill="00338D"/>
            <w:vAlign w:val="center"/>
            <w:hideMark/>
          </w:tcPr>
          <w:p w14:paraId="6E1C5684" w14:textId="77777777" w:rsidR="00EA79FF" w:rsidRPr="008E0C6A" w:rsidRDefault="00EA79FF" w:rsidP="00BD0270">
            <w:pPr>
              <w:spacing w:before="100" w:after="100"/>
              <w:jc w:val="center"/>
              <w:rPr>
                <w:rFonts w:asciiTheme="minorHAnsi" w:hAnsiTheme="minorHAnsi" w:cstheme="minorHAnsi"/>
                <w:b/>
                <w:sz w:val="18"/>
                <w:szCs w:val="18"/>
              </w:rPr>
            </w:pPr>
            <w:r w:rsidRPr="008E0C6A">
              <w:rPr>
                <w:rFonts w:asciiTheme="minorHAnsi" w:hAnsiTheme="minorHAnsi" w:cstheme="minorHAnsi"/>
                <w:b/>
                <w:sz w:val="18"/>
                <w:szCs w:val="18"/>
              </w:rPr>
              <w:t>Area Inundated</w:t>
            </w:r>
            <w:r>
              <w:rPr>
                <w:rFonts w:asciiTheme="minorHAnsi" w:hAnsiTheme="minorHAnsi" w:cstheme="minorHAnsi"/>
                <w:b/>
                <w:sz w:val="18"/>
                <w:szCs w:val="18"/>
              </w:rPr>
              <w:t xml:space="preserve"> (Ha)</w:t>
            </w:r>
          </w:p>
        </w:tc>
        <w:tc>
          <w:tcPr>
            <w:tcW w:w="1559" w:type="dxa"/>
            <w:tcBorders>
              <w:top w:val="single" w:sz="8" w:space="0" w:color="808080"/>
              <w:left w:val="single" w:sz="8" w:space="0" w:color="808080"/>
              <w:bottom w:val="single" w:sz="8" w:space="0" w:color="808080"/>
              <w:right w:val="single" w:sz="8" w:space="0" w:color="FFFFFF"/>
            </w:tcBorders>
            <w:shd w:val="clear" w:color="000000" w:fill="00338D"/>
            <w:vAlign w:val="center"/>
            <w:hideMark/>
          </w:tcPr>
          <w:p w14:paraId="502FF140" w14:textId="77777777" w:rsidR="00EA79FF" w:rsidRPr="008E0C6A" w:rsidRDefault="00EA79FF" w:rsidP="00BD0270">
            <w:pPr>
              <w:spacing w:before="100" w:after="100"/>
              <w:jc w:val="center"/>
              <w:rPr>
                <w:rFonts w:asciiTheme="minorHAnsi" w:hAnsiTheme="minorHAnsi" w:cstheme="minorHAnsi"/>
                <w:b/>
                <w:sz w:val="18"/>
                <w:szCs w:val="18"/>
              </w:rPr>
            </w:pPr>
            <w:r w:rsidRPr="008E0C6A">
              <w:rPr>
                <w:rFonts w:asciiTheme="minorHAnsi" w:hAnsiTheme="minorHAnsi" w:cstheme="minorHAnsi"/>
                <w:b/>
                <w:sz w:val="18"/>
                <w:szCs w:val="18"/>
              </w:rPr>
              <w:t>Area impacted (150m buffer)</w:t>
            </w:r>
            <w:r>
              <w:rPr>
                <w:rFonts w:asciiTheme="minorHAnsi" w:hAnsiTheme="minorHAnsi" w:cstheme="minorHAnsi"/>
                <w:b/>
                <w:sz w:val="18"/>
                <w:szCs w:val="18"/>
              </w:rPr>
              <w:t>, Ha</w:t>
            </w:r>
          </w:p>
        </w:tc>
        <w:tc>
          <w:tcPr>
            <w:tcW w:w="1843" w:type="dxa"/>
            <w:tcBorders>
              <w:top w:val="single" w:sz="8" w:space="0" w:color="808080"/>
              <w:left w:val="single" w:sz="8" w:space="0" w:color="808080"/>
              <w:bottom w:val="single" w:sz="8" w:space="0" w:color="808080"/>
              <w:right w:val="single" w:sz="8" w:space="0" w:color="FFFFFF"/>
            </w:tcBorders>
            <w:shd w:val="clear" w:color="000000" w:fill="00338D"/>
            <w:vAlign w:val="center"/>
            <w:hideMark/>
          </w:tcPr>
          <w:p w14:paraId="5A470DD3" w14:textId="77777777" w:rsidR="00EA79FF" w:rsidRPr="008E0C6A" w:rsidRDefault="00EA79FF" w:rsidP="00BD0270">
            <w:pPr>
              <w:spacing w:before="100" w:after="100"/>
              <w:jc w:val="center"/>
              <w:rPr>
                <w:rFonts w:asciiTheme="minorHAnsi" w:hAnsiTheme="minorHAnsi" w:cstheme="minorHAnsi"/>
                <w:b/>
                <w:sz w:val="18"/>
                <w:szCs w:val="18"/>
              </w:rPr>
            </w:pPr>
            <w:r w:rsidRPr="008E0C6A">
              <w:rPr>
                <w:rFonts w:asciiTheme="minorHAnsi" w:hAnsiTheme="minorHAnsi" w:cstheme="minorHAnsi"/>
                <w:b/>
                <w:sz w:val="18"/>
                <w:szCs w:val="18"/>
              </w:rPr>
              <w:t xml:space="preserve">Area of </w:t>
            </w:r>
            <w:r>
              <w:rPr>
                <w:rFonts w:asciiTheme="minorHAnsi" w:hAnsiTheme="minorHAnsi" w:cstheme="minorHAnsi"/>
                <w:b/>
                <w:sz w:val="18"/>
                <w:szCs w:val="18"/>
              </w:rPr>
              <w:t>Black Box</w:t>
            </w:r>
            <w:r w:rsidRPr="008E0C6A">
              <w:rPr>
                <w:rFonts w:asciiTheme="minorHAnsi" w:hAnsiTheme="minorHAnsi" w:cstheme="minorHAnsi"/>
                <w:b/>
                <w:sz w:val="18"/>
                <w:szCs w:val="18"/>
              </w:rPr>
              <w:t xml:space="preserve"> impacted (Ha)</w:t>
            </w:r>
          </w:p>
        </w:tc>
        <w:tc>
          <w:tcPr>
            <w:tcW w:w="1984" w:type="dxa"/>
            <w:tcBorders>
              <w:top w:val="single" w:sz="8" w:space="0" w:color="808080"/>
              <w:left w:val="single" w:sz="8" w:space="0" w:color="808080"/>
              <w:bottom w:val="single" w:sz="8" w:space="0" w:color="808080"/>
              <w:right w:val="single" w:sz="8" w:space="0" w:color="FFFFFF"/>
            </w:tcBorders>
            <w:shd w:val="clear" w:color="000000" w:fill="00338D"/>
            <w:vAlign w:val="center"/>
            <w:hideMark/>
          </w:tcPr>
          <w:p w14:paraId="72EA2EDE" w14:textId="77777777" w:rsidR="00EA79FF" w:rsidRPr="008E0C6A" w:rsidRDefault="00EA79FF" w:rsidP="00BD0270">
            <w:pPr>
              <w:spacing w:before="100" w:after="100"/>
              <w:jc w:val="center"/>
              <w:rPr>
                <w:rFonts w:asciiTheme="minorHAnsi" w:hAnsiTheme="minorHAnsi" w:cstheme="minorHAnsi"/>
                <w:b/>
                <w:sz w:val="18"/>
                <w:szCs w:val="18"/>
              </w:rPr>
            </w:pPr>
            <w:r w:rsidRPr="008E0C6A">
              <w:rPr>
                <w:rFonts w:asciiTheme="minorHAnsi" w:hAnsiTheme="minorHAnsi" w:cstheme="minorHAnsi"/>
                <w:b/>
                <w:sz w:val="18"/>
                <w:szCs w:val="18"/>
              </w:rPr>
              <w:t>Vol Excavation required (m3)</w:t>
            </w:r>
          </w:p>
        </w:tc>
        <w:tc>
          <w:tcPr>
            <w:tcW w:w="1701" w:type="dxa"/>
            <w:tcBorders>
              <w:top w:val="single" w:sz="8" w:space="0" w:color="808080"/>
              <w:left w:val="nil"/>
              <w:bottom w:val="single" w:sz="8" w:space="0" w:color="808080"/>
              <w:right w:val="single" w:sz="8" w:space="0" w:color="808080"/>
            </w:tcBorders>
            <w:shd w:val="clear" w:color="000000" w:fill="00338D"/>
            <w:vAlign w:val="center"/>
            <w:hideMark/>
          </w:tcPr>
          <w:p w14:paraId="1D14E4F9" w14:textId="77777777" w:rsidR="00EA79FF" w:rsidRPr="008E0C6A" w:rsidRDefault="00EA79FF" w:rsidP="00BD0270">
            <w:pPr>
              <w:spacing w:before="100" w:after="100"/>
              <w:jc w:val="center"/>
              <w:rPr>
                <w:rFonts w:asciiTheme="minorHAnsi" w:hAnsiTheme="minorHAnsi" w:cstheme="minorHAnsi"/>
                <w:b/>
                <w:sz w:val="18"/>
                <w:szCs w:val="18"/>
              </w:rPr>
            </w:pPr>
            <w:r w:rsidRPr="008E0C6A">
              <w:rPr>
                <w:rFonts w:asciiTheme="minorHAnsi" w:hAnsiTheme="minorHAnsi" w:cstheme="minorHAnsi"/>
                <w:b/>
                <w:sz w:val="18"/>
                <w:szCs w:val="18"/>
              </w:rPr>
              <w:t>Approx. Excavation Costs</w:t>
            </w:r>
          </w:p>
        </w:tc>
      </w:tr>
      <w:tr w:rsidR="00EA79FF" w:rsidRPr="008E0C6A" w14:paraId="77115151" w14:textId="77777777" w:rsidTr="00BD0270">
        <w:trPr>
          <w:trHeight w:val="315"/>
        </w:trPr>
        <w:tc>
          <w:tcPr>
            <w:tcW w:w="0" w:type="auto"/>
            <w:tcBorders>
              <w:top w:val="nil"/>
              <w:left w:val="single" w:sz="8" w:space="0" w:color="808080"/>
              <w:bottom w:val="single" w:sz="8" w:space="0" w:color="808080"/>
              <w:right w:val="single" w:sz="8" w:space="0" w:color="808080"/>
            </w:tcBorders>
            <w:shd w:val="clear" w:color="auto" w:fill="FFFFFF" w:themeFill="background1"/>
            <w:vAlign w:val="center"/>
            <w:hideMark/>
          </w:tcPr>
          <w:p w14:paraId="4AD88BD6"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1</w:t>
            </w:r>
          </w:p>
        </w:tc>
        <w:tc>
          <w:tcPr>
            <w:tcW w:w="1489" w:type="dxa"/>
            <w:tcBorders>
              <w:top w:val="nil"/>
              <w:left w:val="nil"/>
              <w:bottom w:val="single" w:sz="8" w:space="0" w:color="808080"/>
              <w:right w:val="single" w:sz="8" w:space="0" w:color="808080"/>
            </w:tcBorders>
            <w:shd w:val="clear" w:color="auto" w:fill="FFFFFF" w:themeFill="background1"/>
            <w:vAlign w:val="center"/>
            <w:hideMark/>
          </w:tcPr>
          <w:p w14:paraId="7079608A"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3.5</w:t>
            </w:r>
          </w:p>
        </w:tc>
        <w:tc>
          <w:tcPr>
            <w:tcW w:w="1559" w:type="dxa"/>
            <w:tcBorders>
              <w:top w:val="nil"/>
              <w:left w:val="nil"/>
              <w:bottom w:val="single" w:sz="8" w:space="0" w:color="808080"/>
              <w:right w:val="single" w:sz="8" w:space="0" w:color="808080"/>
            </w:tcBorders>
            <w:shd w:val="clear" w:color="auto" w:fill="FFFFFF" w:themeFill="background1"/>
            <w:vAlign w:val="center"/>
            <w:hideMark/>
          </w:tcPr>
          <w:p w14:paraId="7B797921"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51</w:t>
            </w:r>
          </w:p>
        </w:tc>
        <w:tc>
          <w:tcPr>
            <w:tcW w:w="1843" w:type="dxa"/>
            <w:tcBorders>
              <w:top w:val="nil"/>
              <w:left w:val="nil"/>
              <w:bottom w:val="single" w:sz="8" w:space="0" w:color="808080"/>
              <w:right w:val="single" w:sz="8" w:space="0" w:color="808080"/>
            </w:tcBorders>
            <w:shd w:val="clear" w:color="auto" w:fill="FFFFFF" w:themeFill="background1"/>
            <w:vAlign w:val="center"/>
            <w:hideMark/>
          </w:tcPr>
          <w:p w14:paraId="7E28CF83"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30.9</w:t>
            </w:r>
          </w:p>
        </w:tc>
        <w:tc>
          <w:tcPr>
            <w:tcW w:w="1984" w:type="dxa"/>
            <w:tcBorders>
              <w:top w:val="nil"/>
              <w:left w:val="nil"/>
              <w:bottom w:val="single" w:sz="8" w:space="0" w:color="808080"/>
              <w:right w:val="single" w:sz="8" w:space="0" w:color="808080"/>
            </w:tcBorders>
            <w:shd w:val="clear" w:color="auto" w:fill="FFFFFF" w:themeFill="background1"/>
            <w:vAlign w:val="center"/>
            <w:hideMark/>
          </w:tcPr>
          <w:p w14:paraId="7EADBD69"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3,000</w:t>
            </w:r>
          </w:p>
        </w:tc>
        <w:tc>
          <w:tcPr>
            <w:tcW w:w="1701" w:type="dxa"/>
            <w:tcBorders>
              <w:top w:val="nil"/>
              <w:left w:val="nil"/>
              <w:bottom w:val="single" w:sz="8" w:space="0" w:color="808080"/>
              <w:right w:val="single" w:sz="8" w:space="0" w:color="808080"/>
            </w:tcBorders>
            <w:shd w:val="clear" w:color="auto" w:fill="FFFFFF" w:themeFill="background1"/>
            <w:vAlign w:val="center"/>
            <w:hideMark/>
          </w:tcPr>
          <w:p w14:paraId="6A4869D7"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rPr>
              <w:t>$ 150,000</w:t>
            </w:r>
          </w:p>
        </w:tc>
      </w:tr>
      <w:tr w:rsidR="00EA79FF" w:rsidRPr="008E0C6A" w14:paraId="76497F5E" w14:textId="77777777" w:rsidTr="00BD0270">
        <w:trPr>
          <w:trHeight w:val="315"/>
        </w:trPr>
        <w:tc>
          <w:tcPr>
            <w:tcW w:w="0" w:type="auto"/>
            <w:tcBorders>
              <w:top w:val="nil"/>
              <w:left w:val="single" w:sz="8" w:space="0" w:color="808080"/>
              <w:bottom w:val="single" w:sz="8" w:space="0" w:color="808080"/>
              <w:right w:val="single" w:sz="8" w:space="0" w:color="808080"/>
            </w:tcBorders>
            <w:shd w:val="clear" w:color="auto" w:fill="FFFFFF" w:themeFill="background1"/>
            <w:vAlign w:val="center"/>
            <w:hideMark/>
          </w:tcPr>
          <w:p w14:paraId="6E698610"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2</w:t>
            </w:r>
          </w:p>
        </w:tc>
        <w:tc>
          <w:tcPr>
            <w:tcW w:w="1489" w:type="dxa"/>
            <w:tcBorders>
              <w:top w:val="nil"/>
              <w:left w:val="nil"/>
              <w:bottom w:val="single" w:sz="8" w:space="0" w:color="808080"/>
              <w:right w:val="single" w:sz="8" w:space="0" w:color="808080"/>
            </w:tcBorders>
            <w:shd w:val="clear" w:color="auto" w:fill="FFFFFF" w:themeFill="background1"/>
            <w:vAlign w:val="center"/>
            <w:hideMark/>
          </w:tcPr>
          <w:p w14:paraId="6148F48B"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1.7</w:t>
            </w:r>
          </w:p>
        </w:tc>
        <w:tc>
          <w:tcPr>
            <w:tcW w:w="1559" w:type="dxa"/>
            <w:tcBorders>
              <w:top w:val="nil"/>
              <w:left w:val="nil"/>
              <w:bottom w:val="single" w:sz="8" w:space="0" w:color="808080"/>
              <w:right w:val="single" w:sz="8" w:space="0" w:color="808080"/>
            </w:tcBorders>
            <w:shd w:val="clear" w:color="auto" w:fill="FFFFFF" w:themeFill="background1"/>
            <w:vAlign w:val="center"/>
            <w:hideMark/>
          </w:tcPr>
          <w:p w14:paraId="46DA6584"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31.7</w:t>
            </w:r>
          </w:p>
        </w:tc>
        <w:tc>
          <w:tcPr>
            <w:tcW w:w="1843" w:type="dxa"/>
            <w:tcBorders>
              <w:top w:val="nil"/>
              <w:left w:val="nil"/>
              <w:bottom w:val="single" w:sz="8" w:space="0" w:color="808080"/>
              <w:right w:val="single" w:sz="8" w:space="0" w:color="808080"/>
            </w:tcBorders>
            <w:shd w:val="clear" w:color="auto" w:fill="FFFFFF" w:themeFill="background1"/>
            <w:vAlign w:val="center"/>
            <w:hideMark/>
          </w:tcPr>
          <w:p w14:paraId="43755DCF"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23.8</w:t>
            </w:r>
          </w:p>
        </w:tc>
        <w:tc>
          <w:tcPr>
            <w:tcW w:w="1984" w:type="dxa"/>
            <w:tcBorders>
              <w:top w:val="nil"/>
              <w:left w:val="nil"/>
              <w:bottom w:val="single" w:sz="8" w:space="0" w:color="808080"/>
              <w:right w:val="single" w:sz="8" w:space="0" w:color="808080"/>
            </w:tcBorders>
            <w:shd w:val="clear" w:color="auto" w:fill="FFFFFF" w:themeFill="background1"/>
            <w:vAlign w:val="center"/>
            <w:hideMark/>
          </w:tcPr>
          <w:p w14:paraId="089C9469"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2,520</w:t>
            </w:r>
          </w:p>
        </w:tc>
        <w:tc>
          <w:tcPr>
            <w:tcW w:w="1701" w:type="dxa"/>
            <w:tcBorders>
              <w:top w:val="nil"/>
              <w:left w:val="nil"/>
              <w:bottom w:val="single" w:sz="8" w:space="0" w:color="808080"/>
              <w:right w:val="single" w:sz="8" w:space="0" w:color="808080"/>
            </w:tcBorders>
            <w:shd w:val="clear" w:color="auto" w:fill="FFFFFF" w:themeFill="background1"/>
            <w:vAlign w:val="center"/>
            <w:hideMark/>
          </w:tcPr>
          <w:p w14:paraId="79F63B2F"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rPr>
              <w:t>$ 126,000</w:t>
            </w:r>
          </w:p>
        </w:tc>
      </w:tr>
      <w:tr w:rsidR="00EA79FF" w:rsidRPr="008E0C6A" w14:paraId="5405BB36" w14:textId="77777777" w:rsidTr="00BD0270">
        <w:trPr>
          <w:trHeight w:val="315"/>
        </w:trPr>
        <w:tc>
          <w:tcPr>
            <w:tcW w:w="0" w:type="auto"/>
            <w:tcBorders>
              <w:top w:val="nil"/>
              <w:left w:val="single" w:sz="8" w:space="0" w:color="808080"/>
              <w:bottom w:val="single" w:sz="8" w:space="0" w:color="808080"/>
              <w:right w:val="single" w:sz="8" w:space="0" w:color="808080"/>
            </w:tcBorders>
            <w:shd w:val="clear" w:color="auto" w:fill="FFFFFF" w:themeFill="background1"/>
            <w:vAlign w:val="center"/>
            <w:hideMark/>
          </w:tcPr>
          <w:p w14:paraId="7CA83EBE"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3</w:t>
            </w:r>
          </w:p>
        </w:tc>
        <w:tc>
          <w:tcPr>
            <w:tcW w:w="1489" w:type="dxa"/>
            <w:tcBorders>
              <w:top w:val="nil"/>
              <w:left w:val="nil"/>
              <w:bottom w:val="single" w:sz="8" w:space="0" w:color="808080"/>
              <w:right w:val="single" w:sz="8" w:space="0" w:color="808080"/>
            </w:tcBorders>
            <w:shd w:val="clear" w:color="auto" w:fill="FFFFFF" w:themeFill="background1"/>
            <w:vAlign w:val="center"/>
            <w:hideMark/>
          </w:tcPr>
          <w:p w14:paraId="5D7BFA21"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0.6</w:t>
            </w:r>
          </w:p>
        </w:tc>
        <w:tc>
          <w:tcPr>
            <w:tcW w:w="1559" w:type="dxa"/>
            <w:tcBorders>
              <w:top w:val="nil"/>
              <w:left w:val="nil"/>
              <w:bottom w:val="single" w:sz="8" w:space="0" w:color="808080"/>
              <w:right w:val="single" w:sz="8" w:space="0" w:color="808080"/>
            </w:tcBorders>
            <w:shd w:val="clear" w:color="auto" w:fill="FFFFFF" w:themeFill="background1"/>
            <w:vAlign w:val="center"/>
            <w:hideMark/>
          </w:tcPr>
          <w:p w14:paraId="7837AE9C"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17.2</w:t>
            </w:r>
          </w:p>
        </w:tc>
        <w:tc>
          <w:tcPr>
            <w:tcW w:w="1843" w:type="dxa"/>
            <w:tcBorders>
              <w:top w:val="nil"/>
              <w:left w:val="nil"/>
              <w:bottom w:val="single" w:sz="8" w:space="0" w:color="808080"/>
              <w:right w:val="single" w:sz="8" w:space="0" w:color="808080"/>
            </w:tcBorders>
            <w:shd w:val="clear" w:color="auto" w:fill="FFFFFF" w:themeFill="background1"/>
            <w:vAlign w:val="center"/>
            <w:hideMark/>
          </w:tcPr>
          <w:p w14:paraId="0B3282B9"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14.4</w:t>
            </w:r>
          </w:p>
        </w:tc>
        <w:tc>
          <w:tcPr>
            <w:tcW w:w="1984" w:type="dxa"/>
            <w:tcBorders>
              <w:top w:val="nil"/>
              <w:left w:val="nil"/>
              <w:bottom w:val="single" w:sz="8" w:space="0" w:color="808080"/>
              <w:right w:val="single" w:sz="8" w:space="0" w:color="808080"/>
            </w:tcBorders>
            <w:shd w:val="clear" w:color="auto" w:fill="FFFFFF" w:themeFill="background1"/>
            <w:vAlign w:val="center"/>
            <w:hideMark/>
          </w:tcPr>
          <w:p w14:paraId="2BCDA3FD"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375</w:t>
            </w:r>
          </w:p>
        </w:tc>
        <w:tc>
          <w:tcPr>
            <w:tcW w:w="1701" w:type="dxa"/>
            <w:tcBorders>
              <w:top w:val="nil"/>
              <w:left w:val="nil"/>
              <w:bottom w:val="single" w:sz="8" w:space="0" w:color="808080"/>
              <w:right w:val="single" w:sz="8" w:space="0" w:color="808080"/>
            </w:tcBorders>
            <w:shd w:val="clear" w:color="auto" w:fill="FFFFFF" w:themeFill="background1"/>
            <w:vAlign w:val="center"/>
            <w:hideMark/>
          </w:tcPr>
          <w:p w14:paraId="0B18DDE8"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rPr>
              <w:t>$ 18,750</w:t>
            </w:r>
          </w:p>
        </w:tc>
      </w:tr>
      <w:tr w:rsidR="00EA79FF" w:rsidRPr="008E0C6A" w14:paraId="288A8A2A" w14:textId="77777777" w:rsidTr="00BD0270">
        <w:trPr>
          <w:trHeight w:val="315"/>
        </w:trPr>
        <w:tc>
          <w:tcPr>
            <w:tcW w:w="0" w:type="auto"/>
            <w:tcBorders>
              <w:top w:val="nil"/>
              <w:left w:val="single" w:sz="8" w:space="0" w:color="808080"/>
              <w:bottom w:val="single" w:sz="8" w:space="0" w:color="808080"/>
              <w:right w:val="single" w:sz="8" w:space="0" w:color="808080"/>
            </w:tcBorders>
            <w:shd w:val="clear" w:color="auto" w:fill="FFFFFF" w:themeFill="background1"/>
            <w:vAlign w:val="center"/>
            <w:hideMark/>
          </w:tcPr>
          <w:p w14:paraId="7AEBEDB7"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4</w:t>
            </w:r>
          </w:p>
        </w:tc>
        <w:tc>
          <w:tcPr>
            <w:tcW w:w="1489" w:type="dxa"/>
            <w:tcBorders>
              <w:top w:val="nil"/>
              <w:left w:val="nil"/>
              <w:bottom w:val="single" w:sz="8" w:space="0" w:color="808080"/>
              <w:right w:val="single" w:sz="8" w:space="0" w:color="808080"/>
            </w:tcBorders>
            <w:shd w:val="clear" w:color="auto" w:fill="FFFFFF" w:themeFill="background1"/>
            <w:vAlign w:val="center"/>
            <w:hideMark/>
          </w:tcPr>
          <w:p w14:paraId="480B8349"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2</w:t>
            </w:r>
          </w:p>
        </w:tc>
        <w:tc>
          <w:tcPr>
            <w:tcW w:w="1559" w:type="dxa"/>
            <w:tcBorders>
              <w:top w:val="nil"/>
              <w:left w:val="nil"/>
              <w:bottom w:val="single" w:sz="8" w:space="0" w:color="808080"/>
              <w:right w:val="single" w:sz="8" w:space="0" w:color="808080"/>
            </w:tcBorders>
            <w:shd w:val="clear" w:color="auto" w:fill="FFFFFF" w:themeFill="background1"/>
            <w:vAlign w:val="center"/>
            <w:hideMark/>
          </w:tcPr>
          <w:p w14:paraId="7CB86075"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24.1</w:t>
            </w:r>
          </w:p>
        </w:tc>
        <w:tc>
          <w:tcPr>
            <w:tcW w:w="1843" w:type="dxa"/>
            <w:tcBorders>
              <w:top w:val="nil"/>
              <w:left w:val="nil"/>
              <w:bottom w:val="single" w:sz="8" w:space="0" w:color="808080"/>
              <w:right w:val="single" w:sz="8" w:space="0" w:color="808080"/>
            </w:tcBorders>
            <w:shd w:val="clear" w:color="auto" w:fill="FFFFFF" w:themeFill="background1"/>
            <w:vAlign w:val="center"/>
            <w:hideMark/>
          </w:tcPr>
          <w:p w14:paraId="485959A5"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20.6</w:t>
            </w:r>
          </w:p>
        </w:tc>
        <w:tc>
          <w:tcPr>
            <w:tcW w:w="1984" w:type="dxa"/>
            <w:tcBorders>
              <w:top w:val="nil"/>
              <w:left w:val="nil"/>
              <w:bottom w:val="single" w:sz="8" w:space="0" w:color="808080"/>
              <w:right w:val="single" w:sz="8" w:space="0" w:color="808080"/>
            </w:tcBorders>
            <w:shd w:val="clear" w:color="auto" w:fill="FFFFFF" w:themeFill="background1"/>
            <w:vAlign w:val="center"/>
            <w:hideMark/>
          </w:tcPr>
          <w:p w14:paraId="26D0F392"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2,723</w:t>
            </w:r>
          </w:p>
        </w:tc>
        <w:tc>
          <w:tcPr>
            <w:tcW w:w="1701" w:type="dxa"/>
            <w:tcBorders>
              <w:top w:val="nil"/>
              <w:left w:val="nil"/>
              <w:bottom w:val="single" w:sz="8" w:space="0" w:color="808080"/>
              <w:right w:val="single" w:sz="8" w:space="0" w:color="808080"/>
            </w:tcBorders>
            <w:shd w:val="clear" w:color="auto" w:fill="FFFFFF" w:themeFill="background1"/>
            <w:vAlign w:val="center"/>
            <w:hideMark/>
          </w:tcPr>
          <w:p w14:paraId="391CFFB5"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rPr>
              <w:t>$ 136,125</w:t>
            </w:r>
          </w:p>
        </w:tc>
      </w:tr>
      <w:tr w:rsidR="00EA79FF" w:rsidRPr="008E0C6A" w14:paraId="64D82CAE" w14:textId="77777777" w:rsidTr="00BD0270">
        <w:trPr>
          <w:trHeight w:val="315"/>
        </w:trPr>
        <w:tc>
          <w:tcPr>
            <w:tcW w:w="0" w:type="auto"/>
            <w:tcBorders>
              <w:top w:val="nil"/>
              <w:left w:val="single" w:sz="8" w:space="0" w:color="808080"/>
              <w:bottom w:val="single" w:sz="8" w:space="0" w:color="808080"/>
              <w:right w:val="single" w:sz="8" w:space="0" w:color="808080"/>
            </w:tcBorders>
            <w:shd w:val="clear" w:color="auto" w:fill="FFFFFF" w:themeFill="background1"/>
            <w:vAlign w:val="center"/>
            <w:hideMark/>
          </w:tcPr>
          <w:p w14:paraId="65E324B4"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Total</w:t>
            </w:r>
          </w:p>
        </w:tc>
        <w:tc>
          <w:tcPr>
            <w:tcW w:w="1489" w:type="dxa"/>
            <w:tcBorders>
              <w:top w:val="nil"/>
              <w:left w:val="nil"/>
              <w:bottom w:val="single" w:sz="8" w:space="0" w:color="808080"/>
              <w:right w:val="single" w:sz="8" w:space="0" w:color="808080"/>
            </w:tcBorders>
            <w:shd w:val="clear" w:color="auto" w:fill="FFFFFF" w:themeFill="background1"/>
            <w:vAlign w:val="center"/>
            <w:hideMark/>
          </w:tcPr>
          <w:p w14:paraId="5603F71D"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7.8</w:t>
            </w:r>
          </w:p>
        </w:tc>
        <w:tc>
          <w:tcPr>
            <w:tcW w:w="1559" w:type="dxa"/>
            <w:tcBorders>
              <w:top w:val="nil"/>
              <w:left w:val="nil"/>
              <w:bottom w:val="single" w:sz="8" w:space="0" w:color="808080"/>
              <w:right w:val="single" w:sz="8" w:space="0" w:color="808080"/>
            </w:tcBorders>
            <w:shd w:val="clear" w:color="auto" w:fill="FFFFFF" w:themeFill="background1"/>
            <w:vAlign w:val="center"/>
            <w:hideMark/>
          </w:tcPr>
          <w:p w14:paraId="712BF8B0"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124.0</w:t>
            </w:r>
          </w:p>
        </w:tc>
        <w:tc>
          <w:tcPr>
            <w:tcW w:w="1843" w:type="dxa"/>
            <w:tcBorders>
              <w:top w:val="nil"/>
              <w:left w:val="nil"/>
              <w:bottom w:val="single" w:sz="8" w:space="0" w:color="808080"/>
              <w:right w:val="single" w:sz="8" w:space="0" w:color="808080"/>
            </w:tcBorders>
            <w:shd w:val="clear" w:color="auto" w:fill="FFFFFF" w:themeFill="background1"/>
            <w:vAlign w:val="center"/>
            <w:hideMark/>
          </w:tcPr>
          <w:p w14:paraId="3EF05A05"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89.7</w:t>
            </w:r>
          </w:p>
        </w:tc>
        <w:tc>
          <w:tcPr>
            <w:tcW w:w="1984" w:type="dxa"/>
            <w:tcBorders>
              <w:top w:val="nil"/>
              <w:left w:val="nil"/>
              <w:bottom w:val="single" w:sz="8" w:space="0" w:color="808080"/>
              <w:right w:val="single" w:sz="8" w:space="0" w:color="808080"/>
            </w:tcBorders>
            <w:shd w:val="clear" w:color="auto" w:fill="FFFFFF" w:themeFill="background1"/>
            <w:vAlign w:val="center"/>
            <w:hideMark/>
          </w:tcPr>
          <w:p w14:paraId="25BA42D1"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lang w:eastAsia="en-AU"/>
              </w:rPr>
              <w:t>8617.5</w:t>
            </w:r>
          </w:p>
        </w:tc>
        <w:tc>
          <w:tcPr>
            <w:tcW w:w="1701" w:type="dxa"/>
            <w:tcBorders>
              <w:top w:val="nil"/>
              <w:left w:val="nil"/>
              <w:bottom w:val="single" w:sz="8" w:space="0" w:color="808080"/>
              <w:right w:val="single" w:sz="8" w:space="0" w:color="808080"/>
            </w:tcBorders>
            <w:shd w:val="clear" w:color="auto" w:fill="FFFFFF" w:themeFill="background1"/>
            <w:vAlign w:val="center"/>
            <w:hideMark/>
          </w:tcPr>
          <w:p w14:paraId="75A20CF6" w14:textId="77777777" w:rsidR="00EA79FF" w:rsidRPr="008E0C6A" w:rsidRDefault="00EA79FF" w:rsidP="00BD0270">
            <w:pPr>
              <w:spacing w:after="0" w:line="240" w:lineRule="auto"/>
              <w:jc w:val="center"/>
              <w:rPr>
                <w:rFonts w:asciiTheme="minorHAnsi" w:eastAsia="Times New Roman" w:hAnsiTheme="minorHAnsi" w:cstheme="minorHAnsi"/>
                <w:color w:val="000000"/>
                <w:szCs w:val="20"/>
                <w:lang w:eastAsia="en-AU"/>
              </w:rPr>
            </w:pPr>
            <w:r w:rsidRPr="008E0C6A">
              <w:rPr>
                <w:rFonts w:asciiTheme="minorHAnsi" w:eastAsia="Times New Roman" w:hAnsiTheme="minorHAnsi" w:cstheme="minorHAnsi"/>
                <w:color w:val="000000"/>
                <w:szCs w:val="20"/>
              </w:rPr>
              <w:t>$ 430,875</w:t>
            </w:r>
          </w:p>
        </w:tc>
      </w:tr>
    </w:tbl>
    <w:p w14:paraId="5436FE07" w14:textId="77777777" w:rsidR="00EA79FF" w:rsidRPr="005E40FD" w:rsidRDefault="00EA79FF" w:rsidP="00EA79FF">
      <w:pPr>
        <w:pStyle w:val="NoSpacing"/>
        <w:spacing w:after="120"/>
        <w:rPr>
          <w:rFonts w:eastAsia="Times New Roman" w:cs="Arial"/>
          <w:color w:val="000000"/>
          <w:szCs w:val="20"/>
        </w:rPr>
      </w:pPr>
    </w:p>
    <w:p w14:paraId="1EB4CEE5" w14:textId="7ADC31BE" w:rsidR="00AD794F" w:rsidRDefault="00AD794F" w:rsidP="00E15626">
      <w:pPr>
        <w:pStyle w:val="Heading3"/>
        <w:numPr>
          <w:ilvl w:val="0"/>
          <w:numId w:val="0"/>
        </w:numPr>
        <w:ind w:left="851" w:hanging="851"/>
        <w:sectPr w:rsidR="00AD794F" w:rsidSect="00D576AA">
          <w:headerReference w:type="default" r:id="rId60"/>
          <w:footerReference w:type="default" r:id="rId61"/>
          <w:pgSz w:w="11901" w:h="16840" w:code="9"/>
          <w:pgMar w:top="567" w:right="851" w:bottom="851" w:left="1134" w:header="567" w:footer="370" w:gutter="0"/>
          <w:cols w:space="0"/>
          <w:formProt w:val="0"/>
          <w:docGrid w:linePitch="360"/>
        </w:sectPr>
      </w:pPr>
    </w:p>
    <w:p w14:paraId="123807A6" w14:textId="4B7C8CC1" w:rsidR="00EA79FF" w:rsidRDefault="00EA79FF" w:rsidP="00EA79FF">
      <w:pPr>
        <w:rPr>
          <w:rFonts w:cs="Arial"/>
          <w:b/>
          <w:szCs w:val="20"/>
        </w:rPr>
      </w:pPr>
      <w:bookmarkStart w:id="167" w:name="_Toc505865969"/>
      <w:bookmarkStart w:id="168" w:name="_Toc505865970"/>
      <w:bookmarkEnd w:id="167"/>
      <w:bookmarkEnd w:id="168"/>
      <w:r>
        <w:rPr>
          <w:b/>
          <w:noProof/>
          <w:lang w:eastAsia="en-AU"/>
        </w:rPr>
        <mc:AlternateContent>
          <mc:Choice Requires="wps">
            <w:drawing>
              <wp:anchor distT="0" distB="0" distL="114300" distR="114300" simplePos="0" relativeHeight="251686912" behindDoc="1" locked="0" layoutInCell="1" allowOverlap="1" wp14:anchorId="0430AE8B" wp14:editId="3E304793">
                <wp:simplePos x="0" y="0"/>
                <wp:positionH relativeFrom="column">
                  <wp:posOffset>-114716</wp:posOffset>
                </wp:positionH>
                <wp:positionV relativeFrom="paragraph">
                  <wp:posOffset>-155225</wp:posOffset>
                </wp:positionV>
                <wp:extent cx="9948041" cy="5707118"/>
                <wp:effectExtent l="0" t="0" r="15240" b="27305"/>
                <wp:wrapNone/>
                <wp:docPr id="1142" name="Rectangle 1142"/>
                <wp:cNvGraphicFramePr/>
                <a:graphic xmlns:a="http://schemas.openxmlformats.org/drawingml/2006/main">
                  <a:graphicData uri="http://schemas.microsoft.com/office/word/2010/wordprocessingShape">
                    <wps:wsp>
                      <wps:cNvSpPr/>
                      <wps:spPr>
                        <a:xfrm>
                          <a:off x="0" y="0"/>
                          <a:ext cx="9948041" cy="5707118"/>
                        </a:xfrm>
                        <a:prstGeom prst="rect">
                          <a:avLst/>
                        </a:prstGeom>
                        <a:solidFill>
                          <a:schemeClr val="accent4">
                            <a:lumMod val="60000"/>
                            <a:lumOff val="40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EC4609" id="Rectangle 1142" o:spid="_x0000_s1026" style="position:absolute;margin-left:-9.05pt;margin-top:-12.2pt;width:783.3pt;height:449.4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" fillcolor="#bccdc0 [1943]" strokecolor="#374e54 [1604]" strokeweight="1pt"/>
            </w:pict>
          </mc:Fallback>
        </mc:AlternateContent>
      </w:r>
      <w:r>
        <w:rPr>
          <w:b/>
        </w:rPr>
        <w:t xml:space="preserve">Case Study </w:t>
      </w:r>
      <w:r w:rsidRPr="00F71E20">
        <w:rPr>
          <w:rFonts w:cs="Arial"/>
          <w:b/>
          <w:szCs w:val="20"/>
        </w:rPr>
        <w:t xml:space="preserve">Box 6: </w:t>
      </w:r>
      <w:r w:rsidRPr="00124339">
        <w:rPr>
          <w:rFonts w:cs="Arial"/>
          <w:b/>
          <w:szCs w:val="20"/>
        </w:rPr>
        <w:t>Identifying a range of management options</w:t>
      </w:r>
      <w:r>
        <w:rPr>
          <w:rFonts w:cs="Arial"/>
          <w:b/>
          <w:szCs w:val="20"/>
        </w:rPr>
        <w:t xml:space="preserve"> (Cont’d)</w:t>
      </w:r>
    </w:p>
    <w:p w14:paraId="0A8A3616" w14:textId="77777777" w:rsidR="00EA79FF" w:rsidRPr="008E0C6A" w:rsidRDefault="00EA79FF" w:rsidP="00EA79FF">
      <w:pPr>
        <w:keepNext/>
        <w:spacing w:before="240" w:after="120"/>
        <w:jc w:val="center"/>
        <w:rPr>
          <w:rFonts w:asciiTheme="minorHAnsi" w:eastAsia="Times New Roman" w:hAnsiTheme="minorHAnsi" w:cstheme="minorHAnsi"/>
          <w:color w:val="000000"/>
          <w:szCs w:val="20"/>
        </w:rPr>
      </w:pPr>
      <w:r>
        <w:rPr>
          <w:noProof/>
          <w:lang w:eastAsia="en-AU"/>
        </w:rPr>
        <w:drawing>
          <wp:inline distT="0" distB="0" distL="0" distR="0" wp14:anchorId="33798491" wp14:editId="57DF8BCF">
            <wp:extent cx="7673133" cy="4288221"/>
            <wp:effectExtent l="0" t="0" r="444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0"/>
                      <a:ext cx="7691481" cy="4298475"/>
                    </a:xfrm>
                    <a:prstGeom prst="rect">
                      <a:avLst/>
                    </a:prstGeom>
                    <a:ln>
                      <a:noFill/>
                    </a:ln>
                    <a:extLst>
                      <a:ext uri="{53640926-AAD7-44D8-BBD7-CCE9431645EC}">
                        <a14:shadowObscured xmlns:a14="http://schemas.microsoft.com/office/drawing/2010/main"/>
                      </a:ext>
                    </a:extLst>
                  </pic:spPr>
                </pic:pic>
              </a:graphicData>
            </a:graphic>
          </wp:inline>
        </w:drawing>
      </w:r>
    </w:p>
    <w:p w14:paraId="7349A81B" w14:textId="4C5CE8B1" w:rsidR="00EA79FF" w:rsidRDefault="00EA79FF" w:rsidP="00EA79FF">
      <w:pPr>
        <w:pStyle w:val="Caption"/>
        <w:jc w:val="center"/>
      </w:pPr>
      <w:bookmarkStart w:id="169" w:name="_Ref497295096"/>
      <w:bookmarkStart w:id="170" w:name="_Toc514018090"/>
      <w:r w:rsidRPr="008E0C6A">
        <w:t xml:space="preserve">Figure </w:t>
      </w:r>
      <w:r>
        <w:fldChar w:fldCharType="begin"/>
      </w:r>
      <w:r>
        <w:instrText xml:space="preserve"> STYLEREF 1 \s </w:instrText>
      </w:r>
      <w:r>
        <w:fldChar w:fldCharType="separate"/>
      </w:r>
      <w:r w:rsidR="00BF015B">
        <w:rPr>
          <w:noProof/>
        </w:rPr>
        <w:t>3</w:t>
      </w:r>
      <w:r>
        <w:fldChar w:fldCharType="end"/>
      </w:r>
      <w:r>
        <w:noBreakHyphen/>
      </w:r>
      <w:r>
        <w:fldChar w:fldCharType="begin"/>
      </w:r>
      <w:r>
        <w:instrText xml:space="preserve"> SEQ Figure \* ARABIC \s 1 </w:instrText>
      </w:r>
      <w:r>
        <w:fldChar w:fldCharType="separate"/>
      </w:r>
      <w:r w:rsidR="00BF015B">
        <w:rPr>
          <w:noProof/>
        </w:rPr>
        <w:t>18</w:t>
      </w:r>
      <w:r>
        <w:fldChar w:fldCharType="end"/>
      </w:r>
      <w:bookmarkEnd w:id="169"/>
      <w:r w:rsidRPr="008E0C6A">
        <w:t xml:space="preserve">: Potential </w:t>
      </w:r>
      <w:r w:rsidR="00537ED0">
        <w:t>c</w:t>
      </w:r>
      <w:r w:rsidRPr="008E0C6A">
        <w:t>hannel opening locations</w:t>
      </w:r>
      <w:bookmarkEnd w:id="170"/>
    </w:p>
    <w:p w14:paraId="6BC303E6" w14:textId="22621EC0" w:rsidR="00EA79FF" w:rsidRPr="00F71E20" w:rsidRDefault="00EA79FF" w:rsidP="00EA79FF">
      <w:pPr>
        <w:keepNext/>
        <w:spacing w:before="240" w:after="100"/>
        <w:rPr>
          <w:rFonts w:cs="Arial"/>
          <w:szCs w:val="20"/>
        </w:rPr>
      </w:pPr>
      <w:r w:rsidRPr="00F71E20">
        <w:rPr>
          <w:rFonts w:cs="Arial"/>
          <w:szCs w:val="20"/>
        </w:rPr>
        <w:t xml:space="preserve">Following investigation of all potential management options in a similar way as described </w:t>
      </w:r>
      <w:r>
        <w:rPr>
          <w:rFonts w:cs="Arial"/>
          <w:szCs w:val="20"/>
        </w:rPr>
        <w:t>above, a long list of potential management options was developed by combining potential options. This information should be used as the first inputs to prioritising the management options (Part B)</w:t>
      </w:r>
    </w:p>
    <w:p w14:paraId="6889CBD4" w14:textId="70F55A32" w:rsidR="00857DCC" w:rsidRPr="00AD794F" w:rsidRDefault="00857DCC" w:rsidP="00AD794F">
      <w:pPr>
        <w:pStyle w:val="Heading3"/>
        <w:numPr>
          <w:ilvl w:val="0"/>
          <w:numId w:val="0"/>
        </w:numPr>
        <w:ind w:left="851" w:hanging="851"/>
        <w:sectPr w:rsidR="00857DCC" w:rsidRPr="00AD794F" w:rsidSect="00AD794F">
          <w:pgSz w:w="16840" w:h="11901" w:orient="landscape" w:code="9"/>
          <w:pgMar w:top="1134" w:right="567" w:bottom="851" w:left="851" w:header="567" w:footer="370" w:gutter="0"/>
          <w:cols w:space="0"/>
          <w:formProt w:val="0"/>
          <w:docGrid w:linePitch="360"/>
        </w:sectPr>
      </w:pPr>
    </w:p>
    <w:p w14:paraId="1D8F9EF5" w14:textId="36BF3DE0" w:rsidR="00F10875" w:rsidRPr="009144E4" w:rsidRDefault="00F10875" w:rsidP="00E230DF">
      <w:pPr>
        <w:pStyle w:val="Heading2"/>
        <w:rPr>
          <w:color w:val="65876D" w:themeColor="accent4" w:themeShade="BF"/>
        </w:rPr>
      </w:pPr>
      <w:bookmarkStart w:id="171" w:name="_Toc506817957"/>
      <w:bookmarkStart w:id="172" w:name="_Toc506817958"/>
      <w:bookmarkStart w:id="173" w:name="_Toc506817959"/>
      <w:bookmarkStart w:id="174" w:name="_Toc506817960"/>
      <w:bookmarkStart w:id="175" w:name="_Toc506817961"/>
      <w:bookmarkStart w:id="176" w:name="_Toc506817962"/>
      <w:bookmarkStart w:id="177" w:name="_Toc506817963"/>
      <w:bookmarkStart w:id="178" w:name="_Toc506817964"/>
      <w:bookmarkStart w:id="179" w:name="_Toc506817965"/>
      <w:bookmarkStart w:id="180" w:name="_Toc506817966"/>
      <w:bookmarkStart w:id="181" w:name="_Toc506817968"/>
      <w:bookmarkStart w:id="182" w:name="_Toc506817969"/>
      <w:bookmarkStart w:id="183" w:name="_Toc506817971"/>
      <w:bookmarkStart w:id="184" w:name="_Toc506817972"/>
      <w:bookmarkStart w:id="185" w:name="_Toc506817974"/>
      <w:bookmarkStart w:id="186" w:name="_Toc506817975"/>
      <w:bookmarkStart w:id="187" w:name="_Toc506817976"/>
      <w:bookmarkStart w:id="188" w:name="_Toc506817977"/>
      <w:bookmarkStart w:id="189" w:name="_Toc506817978"/>
      <w:bookmarkStart w:id="190" w:name="_Toc506817980"/>
      <w:bookmarkStart w:id="191" w:name="_Toc506817981"/>
      <w:bookmarkStart w:id="192" w:name="_Toc506817983"/>
      <w:bookmarkStart w:id="193" w:name="_Toc506817984"/>
      <w:bookmarkStart w:id="194" w:name="_Toc506817986"/>
      <w:bookmarkStart w:id="195" w:name="_Toc506817987"/>
      <w:bookmarkStart w:id="196" w:name="_Toc506817989"/>
      <w:bookmarkStart w:id="197" w:name="_Toc506817990"/>
      <w:bookmarkStart w:id="198" w:name="_Toc506817992"/>
      <w:bookmarkStart w:id="199" w:name="_Toc506823985"/>
      <w:bookmarkStart w:id="200" w:name="_Toc506824079"/>
      <w:bookmarkStart w:id="201" w:name="_Ref506814989"/>
      <w:bookmarkStart w:id="202" w:name="_Toc514018001"/>
      <w:bookmarkEnd w:id="157"/>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r w:rsidRPr="009144E4">
        <w:rPr>
          <w:color w:val="65876D" w:themeColor="accent4" w:themeShade="BF"/>
        </w:rPr>
        <w:t>Overall Confidence Assessment for the Site Investigation</w:t>
      </w:r>
      <w:bookmarkEnd w:id="201"/>
      <w:bookmarkEnd w:id="202"/>
    </w:p>
    <w:p w14:paraId="39E16D39" w14:textId="6EDB49EF" w:rsidR="00EE16BC" w:rsidRDefault="00E4655B" w:rsidP="00E230DF">
      <w:pPr>
        <w:pStyle w:val="Para0"/>
        <w:spacing w:before="0"/>
      </w:pPr>
      <w:r>
        <w:t>F</w:t>
      </w:r>
      <w:r w:rsidR="00EE16BC">
        <w:t xml:space="preserve">our confidence assessments have taken place as part of the following key steps to the site investigation: </w:t>
      </w:r>
    </w:p>
    <w:p w14:paraId="6D7ADD8C" w14:textId="6D1E2E41" w:rsidR="00EE16BC" w:rsidRPr="00AD4297" w:rsidRDefault="00EE16BC" w:rsidP="00F22225">
      <w:pPr>
        <w:pStyle w:val="Para0"/>
        <w:numPr>
          <w:ilvl w:val="0"/>
          <w:numId w:val="60"/>
        </w:numPr>
        <w:spacing w:before="0"/>
        <w:ind w:left="714" w:hanging="357"/>
      </w:pPr>
      <w:r w:rsidRPr="00AD4297">
        <w:t>Condition assessment</w:t>
      </w:r>
    </w:p>
    <w:p w14:paraId="1D923AC6" w14:textId="77777777" w:rsidR="00EE16BC" w:rsidRPr="00AD4297" w:rsidRDefault="00EE16BC" w:rsidP="00F22225">
      <w:pPr>
        <w:pStyle w:val="Para0"/>
        <w:numPr>
          <w:ilvl w:val="0"/>
          <w:numId w:val="60"/>
        </w:numPr>
        <w:spacing w:before="0"/>
        <w:ind w:left="714" w:hanging="357"/>
      </w:pPr>
      <w:r w:rsidRPr="00AD4297">
        <w:t>Identification of stressors</w:t>
      </w:r>
    </w:p>
    <w:p w14:paraId="0DE57B99" w14:textId="77777777" w:rsidR="00EE16BC" w:rsidRPr="00AD4297" w:rsidRDefault="00EE16BC" w:rsidP="00F22225">
      <w:pPr>
        <w:pStyle w:val="Para0"/>
        <w:numPr>
          <w:ilvl w:val="0"/>
          <w:numId w:val="60"/>
        </w:numPr>
        <w:spacing w:before="0"/>
        <w:ind w:left="714" w:hanging="357"/>
      </w:pPr>
      <w:r w:rsidRPr="00AD4297">
        <w:t>Vulnerability assessment</w:t>
      </w:r>
    </w:p>
    <w:p w14:paraId="37C362DE" w14:textId="77777777" w:rsidR="00EE16BC" w:rsidRPr="00AD4297" w:rsidRDefault="00EE16BC" w:rsidP="00F22225">
      <w:pPr>
        <w:pStyle w:val="Para0"/>
        <w:numPr>
          <w:ilvl w:val="0"/>
          <w:numId w:val="60"/>
        </w:numPr>
        <w:spacing w:before="0"/>
        <w:ind w:left="714" w:hanging="357"/>
      </w:pPr>
      <w:r w:rsidRPr="00AD4297">
        <w:t xml:space="preserve">Developing management options </w:t>
      </w:r>
    </w:p>
    <w:p w14:paraId="5E9F03C9" w14:textId="5F3B608F" w:rsidR="00E4655B" w:rsidRPr="00E230DF" w:rsidRDefault="00EE16BC" w:rsidP="00E230DF">
      <w:pPr>
        <w:pStyle w:val="Para0"/>
        <w:rPr>
          <w:color w:val="000000" w:themeColor="text1"/>
        </w:rPr>
      </w:pPr>
      <w:r>
        <w:t>For each of these steps, an average</w:t>
      </w:r>
      <w:r w:rsidR="00B148C1">
        <w:t>/overall</w:t>
      </w:r>
      <w:r>
        <w:t xml:space="preserve"> confidence score was developed. At this stage, the results of these progressive confidence assessments can be </w:t>
      </w:r>
      <w:r w:rsidR="007B384E">
        <w:t xml:space="preserve">combined </w:t>
      </w:r>
      <w:r w:rsidR="00E4655B">
        <w:t xml:space="preserve">to provide an overall measure of confidence in the site investigation. </w:t>
      </w:r>
      <w:r w:rsidR="00E4655B">
        <w:fldChar w:fldCharType="begin"/>
      </w:r>
      <w:r w:rsidR="00E4655B">
        <w:instrText xml:space="preserve"> REF _Ref506815585 \h </w:instrText>
      </w:r>
      <w:r w:rsidR="00E4655B">
        <w:fldChar w:fldCharType="separate"/>
      </w:r>
      <w:r w:rsidR="00BF015B" w:rsidRPr="001D32F6">
        <w:t xml:space="preserve">Table </w:t>
      </w:r>
      <w:r w:rsidR="00BF015B">
        <w:rPr>
          <w:noProof/>
        </w:rPr>
        <w:t>3</w:t>
      </w:r>
      <w:r w:rsidR="00BF015B">
        <w:noBreakHyphen/>
      </w:r>
      <w:r w:rsidR="00BF015B">
        <w:rPr>
          <w:noProof/>
        </w:rPr>
        <w:t>17</w:t>
      </w:r>
      <w:r w:rsidR="00E4655B">
        <w:fldChar w:fldCharType="end"/>
      </w:r>
      <w:r w:rsidR="00E4655B">
        <w:t xml:space="preserve"> provides an example format into which the average confidence level scores can be input</w:t>
      </w:r>
      <w:r w:rsidR="007B384E">
        <w:t xml:space="preserve"> for each step, and from which an</w:t>
      </w:r>
      <w:r w:rsidR="00E4655B">
        <w:t xml:space="preserve"> overall confidence score for the site investigation can be calculated. This can be used to determine whether additional investigations or data collection should take place to increase the confidence in the condition assessment, prior to progressing to </w:t>
      </w:r>
      <w:r w:rsidR="00E4655B" w:rsidRPr="00E230DF">
        <w:rPr>
          <w:i/>
        </w:rPr>
        <w:t>Part B: Site Management Plan</w:t>
      </w:r>
      <w:r w:rsidR="00E4655B">
        <w:t xml:space="preserve">. </w:t>
      </w:r>
      <w:r w:rsidR="00E4655B">
        <w:rPr>
          <w:color w:val="000000" w:themeColor="text1"/>
        </w:rPr>
        <w:t xml:space="preserve">Refer </w:t>
      </w:r>
      <w:r w:rsidR="005A4E06">
        <w:rPr>
          <w:color w:val="000000" w:themeColor="text1"/>
        </w:rPr>
        <w:t>chapter</w:t>
      </w:r>
      <w:r w:rsidR="00537ED0">
        <w:rPr>
          <w:color w:val="000000" w:themeColor="text1"/>
        </w:rPr>
        <w:t> </w:t>
      </w:r>
      <w:r w:rsidR="00E4655B">
        <w:rPr>
          <w:color w:val="000000" w:themeColor="text1"/>
          <w:highlight w:val="yellow"/>
        </w:rPr>
        <w:fldChar w:fldCharType="begin"/>
      </w:r>
      <w:r w:rsidR="00E4655B">
        <w:rPr>
          <w:color w:val="000000" w:themeColor="text1"/>
        </w:rPr>
        <w:instrText xml:space="preserve"> REF _Ref505673858 \r \h </w:instrText>
      </w:r>
      <w:r w:rsidR="00E4655B">
        <w:rPr>
          <w:color w:val="000000" w:themeColor="text1"/>
          <w:highlight w:val="yellow"/>
        </w:rPr>
      </w:r>
      <w:r w:rsidR="00E4655B">
        <w:rPr>
          <w:color w:val="000000" w:themeColor="text1"/>
          <w:highlight w:val="yellow"/>
        </w:rPr>
        <w:fldChar w:fldCharType="separate"/>
      </w:r>
      <w:r w:rsidR="00BF015B">
        <w:rPr>
          <w:color w:val="000000" w:themeColor="text1"/>
        </w:rPr>
        <w:t>3.2</w:t>
      </w:r>
      <w:r w:rsidR="00E4655B">
        <w:rPr>
          <w:color w:val="000000" w:themeColor="text1"/>
          <w:highlight w:val="yellow"/>
        </w:rPr>
        <w:fldChar w:fldCharType="end"/>
      </w:r>
      <w:r w:rsidR="00E4655B">
        <w:rPr>
          <w:color w:val="000000" w:themeColor="text1"/>
        </w:rPr>
        <w:t xml:space="preserve"> for an explanation of the confidence assessment colour coding and explanation of what confidence levels are appropriate for different types of sites.</w:t>
      </w:r>
    </w:p>
    <w:p w14:paraId="148C3934" w14:textId="7A6B9256" w:rsidR="00E4655B" w:rsidRDefault="00E4655B" w:rsidP="00E4655B">
      <w:pPr>
        <w:pStyle w:val="Caption"/>
        <w:rPr>
          <w:color w:val="000000" w:themeColor="text1"/>
        </w:rPr>
      </w:pPr>
      <w:bookmarkStart w:id="203" w:name="_Ref506815585"/>
      <w:bookmarkStart w:id="204" w:name="_Toc514068785"/>
      <w:r w:rsidRPr="001D32F6">
        <w:t xml:space="preserve">Table </w:t>
      </w:r>
      <w:r>
        <w:fldChar w:fldCharType="begin"/>
      </w:r>
      <w:r>
        <w:instrText xml:space="preserve"> STYLEREF 1 \s </w:instrText>
      </w:r>
      <w:r>
        <w:fldChar w:fldCharType="separate"/>
      </w:r>
      <w:r w:rsidR="00BF015B">
        <w:rPr>
          <w:noProof/>
        </w:rPr>
        <w:t>3</w:t>
      </w:r>
      <w:r>
        <w:fldChar w:fldCharType="end"/>
      </w:r>
      <w:r>
        <w:noBreakHyphen/>
      </w:r>
      <w:r>
        <w:fldChar w:fldCharType="begin"/>
      </w:r>
      <w:r>
        <w:instrText xml:space="preserve"> SEQ Table \* ARABIC \s 1 </w:instrText>
      </w:r>
      <w:r>
        <w:fldChar w:fldCharType="separate"/>
      </w:r>
      <w:r w:rsidR="0063076E">
        <w:rPr>
          <w:noProof/>
        </w:rPr>
        <w:t>18</w:t>
      </w:r>
      <w:r>
        <w:fldChar w:fldCharType="end"/>
      </w:r>
      <w:bookmarkEnd w:id="203"/>
      <w:r w:rsidRPr="001D32F6">
        <w:t xml:space="preserve">: </w:t>
      </w:r>
      <w:r>
        <w:t>Overall Confidence Assessment – to be populated with the average confidence scores from each step of the site assessment process</w:t>
      </w:r>
      <w:bookmarkEnd w:id="204"/>
    </w:p>
    <w:tbl>
      <w:tblPr>
        <w:tblStyle w:val="TableGrid"/>
        <w:tblW w:w="5006"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049"/>
        <w:gridCol w:w="1158"/>
        <w:gridCol w:w="1238"/>
        <w:gridCol w:w="1345"/>
        <w:gridCol w:w="1416"/>
        <w:gridCol w:w="1300"/>
        <w:gridCol w:w="1412"/>
      </w:tblGrid>
      <w:tr w:rsidR="00071E2A" w14:paraId="24B6DD83" w14:textId="4F1EC508" w:rsidTr="00071E2A">
        <w:trPr>
          <w:tblHeader/>
        </w:trPr>
        <w:tc>
          <w:tcPr>
            <w:tcW w:w="1033" w:type="pct"/>
            <w:tcBorders>
              <w:right w:val="single" w:sz="4" w:space="0" w:color="FFFFFF" w:themeColor="background1"/>
            </w:tcBorders>
            <w:shd w:val="clear" w:color="auto" w:fill="00338D"/>
            <w:vAlign w:val="center"/>
          </w:tcPr>
          <w:p w14:paraId="627B457F" w14:textId="77777777" w:rsidR="00E4655B" w:rsidRDefault="00E4655B" w:rsidP="00E4655B">
            <w:pPr>
              <w:pStyle w:val="Tableheading"/>
              <w:jc w:val="center"/>
            </w:pPr>
            <w:r>
              <w:t>Confidence level</w:t>
            </w:r>
          </w:p>
        </w:tc>
        <w:tc>
          <w:tcPr>
            <w:tcW w:w="584" w:type="pct"/>
            <w:tcBorders>
              <w:right w:val="single" w:sz="4" w:space="0" w:color="FFFFFF" w:themeColor="background1"/>
            </w:tcBorders>
            <w:shd w:val="clear" w:color="auto" w:fill="00338D"/>
          </w:tcPr>
          <w:p w14:paraId="2E260F86" w14:textId="77777777" w:rsidR="00E4655B" w:rsidRDefault="00E4655B" w:rsidP="00E4655B">
            <w:pPr>
              <w:pStyle w:val="Tableheading"/>
              <w:jc w:val="center"/>
            </w:pPr>
            <w:r>
              <w:t>Confidence score</w:t>
            </w:r>
          </w:p>
        </w:tc>
        <w:tc>
          <w:tcPr>
            <w:tcW w:w="624" w:type="pct"/>
            <w:tcBorders>
              <w:left w:val="single" w:sz="4" w:space="0" w:color="FFFFFF" w:themeColor="background1"/>
              <w:right w:val="single" w:sz="4" w:space="0" w:color="FFFFFF" w:themeColor="background1"/>
            </w:tcBorders>
            <w:shd w:val="clear" w:color="auto" w:fill="00338D"/>
            <w:vAlign w:val="center"/>
          </w:tcPr>
          <w:p w14:paraId="052E6139" w14:textId="6EB31D14" w:rsidR="00E4655B" w:rsidRDefault="00E4655B" w:rsidP="00E4655B">
            <w:pPr>
              <w:pStyle w:val="Tableheading"/>
              <w:jc w:val="center"/>
            </w:pPr>
            <w:r>
              <w:t>Condition Assessment</w:t>
            </w:r>
          </w:p>
        </w:tc>
        <w:tc>
          <w:tcPr>
            <w:tcW w:w="678" w:type="pct"/>
            <w:tcBorders>
              <w:left w:val="single" w:sz="4" w:space="0" w:color="FFFFFF" w:themeColor="background1"/>
              <w:right w:val="single" w:sz="4" w:space="0" w:color="FFFFFF" w:themeColor="background1"/>
            </w:tcBorders>
            <w:shd w:val="clear" w:color="auto" w:fill="00338D"/>
            <w:vAlign w:val="center"/>
          </w:tcPr>
          <w:p w14:paraId="5F547D81" w14:textId="3A5D2F98" w:rsidR="00E4655B" w:rsidRDefault="00E4655B" w:rsidP="00E4655B">
            <w:pPr>
              <w:pStyle w:val="Tableheading"/>
              <w:jc w:val="center"/>
            </w:pPr>
            <w:r>
              <w:t>Identification of Stressors</w:t>
            </w:r>
          </w:p>
        </w:tc>
        <w:tc>
          <w:tcPr>
            <w:tcW w:w="714" w:type="pct"/>
            <w:tcBorders>
              <w:left w:val="single" w:sz="4" w:space="0" w:color="FFFFFF" w:themeColor="background1"/>
              <w:right w:val="single" w:sz="4" w:space="0" w:color="FFFFFF" w:themeColor="background1"/>
            </w:tcBorders>
            <w:shd w:val="clear" w:color="auto" w:fill="00338D"/>
            <w:vAlign w:val="center"/>
          </w:tcPr>
          <w:p w14:paraId="475FA7BD" w14:textId="6A24A498" w:rsidR="00E4655B" w:rsidRDefault="00E4655B" w:rsidP="00E4655B">
            <w:pPr>
              <w:pStyle w:val="Tableheading"/>
              <w:jc w:val="center"/>
            </w:pPr>
            <w:r>
              <w:t>Vulnerability Assessment</w:t>
            </w:r>
          </w:p>
        </w:tc>
        <w:tc>
          <w:tcPr>
            <w:tcW w:w="655" w:type="pct"/>
            <w:tcBorders>
              <w:left w:val="single" w:sz="4" w:space="0" w:color="FFFFFF" w:themeColor="background1"/>
            </w:tcBorders>
            <w:shd w:val="clear" w:color="auto" w:fill="00338D"/>
            <w:vAlign w:val="center"/>
          </w:tcPr>
          <w:p w14:paraId="3BB2CA63" w14:textId="3470B4B7" w:rsidR="00E4655B" w:rsidRDefault="00E4655B" w:rsidP="00E4655B">
            <w:pPr>
              <w:pStyle w:val="Tableheading"/>
              <w:jc w:val="center"/>
            </w:pPr>
            <w:r>
              <w:t>Management Options</w:t>
            </w:r>
          </w:p>
        </w:tc>
        <w:tc>
          <w:tcPr>
            <w:tcW w:w="712" w:type="pct"/>
            <w:tcBorders>
              <w:left w:val="single" w:sz="4" w:space="0" w:color="FFFFFF" w:themeColor="background1"/>
            </w:tcBorders>
            <w:shd w:val="clear" w:color="auto" w:fill="00338D"/>
          </w:tcPr>
          <w:p w14:paraId="6A7993C7" w14:textId="3319E4F5" w:rsidR="00E4655B" w:rsidRDefault="00E4655B" w:rsidP="00E4655B">
            <w:pPr>
              <w:pStyle w:val="Tableheading"/>
              <w:jc w:val="center"/>
            </w:pPr>
            <w:r>
              <w:t>Overall Confidence score</w:t>
            </w:r>
          </w:p>
        </w:tc>
      </w:tr>
      <w:tr w:rsidR="00071E2A" w14:paraId="4D5F7DD5" w14:textId="55272B42" w:rsidTr="00071E2A">
        <w:trPr>
          <w:trHeight w:val="1004"/>
        </w:trPr>
        <w:tc>
          <w:tcPr>
            <w:tcW w:w="1033" w:type="pct"/>
            <w:shd w:val="clear" w:color="auto" w:fill="FFFF00"/>
            <w:vAlign w:val="center"/>
          </w:tcPr>
          <w:p w14:paraId="165C9D9E" w14:textId="4D795388" w:rsidR="00E4655B" w:rsidRDefault="00E4655B" w:rsidP="00E4655B">
            <w:pPr>
              <w:pStyle w:val="Tabletext"/>
            </w:pPr>
            <w:r>
              <w:t>Low: Anecdotal or regional level of information, providing a rough estimate of site conditions</w:t>
            </w:r>
            <w:r w:rsidR="00537ED0">
              <w:t>.</w:t>
            </w:r>
          </w:p>
        </w:tc>
        <w:tc>
          <w:tcPr>
            <w:tcW w:w="584" w:type="pct"/>
            <w:shd w:val="clear" w:color="auto" w:fill="FFFF00"/>
            <w:vAlign w:val="center"/>
          </w:tcPr>
          <w:p w14:paraId="7A17849F" w14:textId="77777777" w:rsidR="00E4655B" w:rsidRDefault="00E4655B" w:rsidP="00E4655B">
            <w:pPr>
              <w:pStyle w:val="Tabletext"/>
              <w:jc w:val="center"/>
            </w:pPr>
            <w:r>
              <w:t>1</w:t>
            </w:r>
          </w:p>
        </w:tc>
        <w:tc>
          <w:tcPr>
            <w:tcW w:w="624" w:type="pct"/>
            <w:vAlign w:val="center"/>
          </w:tcPr>
          <w:p w14:paraId="7347B9E0" w14:textId="04063FA3" w:rsidR="00E4655B" w:rsidRPr="008619DA" w:rsidRDefault="00E4655B" w:rsidP="00E4655B">
            <w:pPr>
              <w:pStyle w:val="Tabletext"/>
            </w:pPr>
          </w:p>
        </w:tc>
        <w:tc>
          <w:tcPr>
            <w:tcW w:w="678" w:type="pct"/>
            <w:vAlign w:val="center"/>
          </w:tcPr>
          <w:p w14:paraId="21B2B8CB" w14:textId="378BAA04" w:rsidR="00E4655B" w:rsidRDefault="00E4655B" w:rsidP="00E4655B">
            <w:pPr>
              <w:pStyle w:val="Tabletext"/>
            </w:pPr>
          </w:p>
        </w:tc>
        <w:tc>
          <w:tcPr>
            <w:tcW w:w="714" w:type="pct"/>
            <w:vAlign w:val="center"/>
          </w:tcPr>
          <w:p w14:paraId="6068054F" w14:textId="3B188AA5" w:rsidR="00E4655B" w:rsidRDefault="00E4655B" w:rsidP="00E4655B">
            <w:pPr>
              <w:pStyle w:val="Tabletext"/>
            </w:pPr>
          </w:p>
        </w:tc>
        <w:tc>
          <w:tcPr>
            <w:tcW w:w="655" w:type="pct"/>
            <w:vAlign w:val="center"/>
          </w:tcPr>
          <w:p w14:paraId="11A07F12" w14:textId="5A02DE57" w:rsidR="00E4655B" w:rsidRDefault="00E4655B" w:rsidP="00E4655B">
            <w:pPr>
              <w:pStyle w:val="Tabletext"/>
            </w:pPr>
          </w:p>
        </w:tc>
        <w:tc>
          <w:tcPr>
            <w:tcW w:w="712" w:type="pct"/>
          </w:tcPr>
          <w:p w14:paraId="5AB36761" w14:textId="77777777" w:rsidR="00E4655B" w:rsidRDefault="00E4655B" w:rsidP="00E4655B">
            <w:pPr>
              <w:pStyle w:val="Tabletext"/>
            </w:pPr>
          </w:p>
        </w:tc>
      </w:tr>
      <w:tr w:rsidR="00071E2A" w14:paraId="74BFF13C" w14:textId="2F91DD5D" w:rsidTr="00071E2A">
        <w:tc>
          <w:tcPr>
            <w:tcW w:w="1033" w:type="pct"/>
            <w:shd w:val="clear" w:color="auto" w:fill="FFC000"/>
            <w:vAlign w:val="center"/>
          </w:tcPr>
          <w:p w14:paraId="636B3C9A" w14:textId="7FC922AB" w:rsidR="00E4655B" w:rsidRDefault="00E4655B" w:rsidP="00E4655B">
            <w:pPr>
              <w:pStyle w:val="Tabletext"/>
            </w:pPr>
            <w:r>
              <w:t>Low/Moderate: Measured data from local sources, providing a better estimate of site conditions</w:t>
            </w:r>
            <w:r w:rsidR="00537ED0">
              <w:t>.</w:t>
            </w:r>
          </w:p>
        </w:tc>
        <w:tc>
          <w:tcPr>
            <w:tcW w:w="584" w:type="pct"/>
            <w:shd w:val="clear" w:color="auto" w:fill="FFC000"/>
            <w:vAlign w:val="center"/>
          </w:tcPr>
          <w:p w14:paraId="2400D330" w14:textId="77777777" w:rsidR="00E4655B" w:rsidRDefault="00E4655B" w:rsidP="00E4655B">
            <w:pPr>
              <w:pStyle w:val="Tabletext"/>
              <w:jc w:val="center"/>
            </w:pPr>
            <w:r>
              <w:t>2</w:t>
            </w:r>
          </w:p>
        </w:tc>
        <w:tc>
          <w:tcPr>
            <w:tcW w:w="624" w:type="pct"/>
            <w:vAlign w:val="center"/>
          </w:tcPr>
          <w:p w14:paraId="4EB299D9" w14:textId="5F9EDA91" w:rsidR="00E4655B" w:rsidRPr="008619DA" w:rsidRDefault="00E4655B" w:rsidP="00E4655B">
            <w:pPr>
              <w:pStyle w:val="Tabletext"/>
            </w:pPr>
          </w:p>
        </w:tc>
        <w:tc>
          <w:tcPr>
            <w:tcW w:w="678" w:type="pct"/>
            <w:vAlign w:val="center"/>
          </w:tcPr>
          <w:p w14:paraId="34C509A0" w14:textId="526DF6B8" w:rsidR="00E4655B" w:rsidRDefault="00E4655B" w:rsidP="00E4655B">
            <w:pPr>
              <w:pStyle w:val="Tabletext"/>
            </w:pPr>
          </w:p>
        </w:tc>
        <w:tc>
          <w:tcPr>
            <w:tcW w:w="714" w:type="pct"/>
            <w:vAlign w:val="center"/>
          </w:tcPr>
          <w:p w14:paraId="060F1945" w14:textId="3FF6D8AC" w:rsidR="00E4655B" w:rsidRDefault="00E4655B" w:rsidP="00E4655B">
            <w:pPr>
              <w:pStyle w:val="Tabletext"/>
            </w:pPr>
          </w:p>
        </w:tc>
        <w:tc>
          <w:tcPr>
            <w:tcW w:w="655" w:type="pct"/>
            <w:vAlign w:val="center"/>
          </w:tcPr>
          <w:p w14:paraId="0C490CE3" w14:textId="7EC3FE11" w:rsidR="00E4655B" w:rsidRDefault="00E4655B" w:rsidP="00E4655B">
            <w:pPr>
              <w:pStyle w:val="Tabletext"/>
            </w:pPr>
          </w:p>
        </w:tc>
        <w:tc>
          <w:tcPr>
            <w:tcW w:w="712" w:type="pct"/>
          </w:tcPr>
          <w:p w14:paraId="09E60C8F" w14:textId="77777777" w:rsidR="00E4655B" w:rsidRDefault="00E4655B" w:rsidP="00E4655B">
            <w:pPr>
              <w:pStyle w:val="Tabletext"/>
            </w:pPr>
          </w:p>
        </w:tc>
      </w:tr>
      <w:tr w:rsidR="00071E2A" w14:paraId="34255F7F" w14:textId="597C8045" w:rsidTr="00071E2A">
        <w:trPr>
          <w:trHeight w:val="1024"/>
        </w:trPr>
        <w:tc>
          <w:tcPr>
            <w:tcW w:w="1033" w:type="pct"/>
            <w:shd w:val="clear" w:color="auto" w:fill="99FF99"/>
            <w:vAlign w:val="center"/>
          </w:tcPr>
          <w:p w14:paraId="02966ED5" w14:textId="3C0784BE" w:rsidR="00E4655B" w:rsidRDefault="00E4655B" w:rsidP="00E4655B">
            <w:pPr>
              <w:pStyle w:val="Tabletext"/>
            </w:pPr>
            <w:r>
              <w:t>Moderate: Data measured at the site, but with high level of uncertainty</w:t>
            </w:r>
            <w:r w:rsidR="00537ED0">
              <w:t>.</w:t>
            </w:r>
          </w:p>
        </w:tc>
        <w:tc>
          <w:tcPr>
            <w:tcW w:w="584" w:type="pct"/>
            <w:shd w:val="clear" w:color="auto" w:fill="99FF99"/>
            <w:vAlign w:val="center"/>
          </w:tcPr>
          <w:p w14:paraId="6026815F" w14:textId="77777777" w:rsidR="00E4655B" w:rsidRDefault="00E4655B" w:rsidP="00E4655B">
            <w:pPr>
              <w:pStyle w:val="Tabletext"/>
              <w:jc w:val="center"/>
            </w:pPr>
            <w:r>
              <w:t>3</w:t>
            </w:r>
          </w:p>
        </w:tc>
        <w:tc>
          <w:tcPr>
            <w:tcW w:w="624" w:type="pct"/>
            <w:vAlign w:val="center"/>
          </w:tcPr>
          <w:p w14:paraId="403E08DC" w14:textId="151DEF13" w:rsidR="00E4655B" w:rsidRPr="008619DA" w:rsidRDefault="00E4655B" w:rsidP="00E4655B">
            <w:pPr>
              <w:pStyle w:val="Tabletext"/>
            </w:pPr>
          </w:p>
        </w:tc>
        <w:tc>
          <w:tcPr>
            <w:tcW w:w="678" w:type="pct"/>
            <w:vAlign w:val="center"/>
          </w:tcPr>
          <w:p w14:paraId="26E6A741" w14:textId="27196AAB" w:rsidR="00E4655B" w:rsidRDefault="00E4655B" w:rsidP="00E4655B">
            <w:pPr>
              <w:pStyle w:val="Tabletext"/>
            </w:pPr>
          </w:p>
        </w:tc>
        <w:tc>
          <w:tcPr>
            <w:tcW w:w="714" w:type="pct"/>
            <w:vAlign w:val="center"/>
          </w:tcPr>
          <w:p w14:paraId="79AB3F74" w14:textId="400F5414" w:rsidR="00E4655B" w:rsidRDefault="00E4655B" w:rsidP="00E4655B">
            <w:pPr>
              <w:pStyle w:val="Tabletext"/>
            </w:pPr>
          </w:p>
        </w:tc>
        <w:tc>
          <w:tcPr>
            <w:tcW w:w="655" w:type="pct"/>
            <w:vAlign w:val="center"/>
          </w:tcPr>
          <w:p w14:paraId="39AE32FC" w14:textId="6C33D1D4" w:rsidR="00E4655B" w:rsidRDefault="00E4655B" w:rsidP="00E4655B">
            <w:pPr>
              <w:pStyle w:val="Tabletext"/>
            </w:pPr>
          </w:p>
        </w:tc>
        <w:tc>
          <w:tcPr>
            <w:tcW w:w="712" w:type="pct"/>
          </w:tcPr>
          <w:p w14:paraId="1851CB5C" w14:textId="77777777" w:rsidR="00E4655B" w:rsidRDefault="00E4655B" w:rsidP="00E4655B">
            <w:pPr>
              <w:pStyle w:val="Tabletext"/>
            </w:pPr>
          </w:p>
        </w:tc>
      </w:tr>
      <w:tr w:rsidR="00071E2A" w14:paraId="5EE30839" w14:textId="14F3384E" w:rsidTr="00071E2A">
        <w:tc>
          <w:tcPr>
            <w:tcW w:w="1033" w:type="pct"/>
            <w:shd w:val="clear" w:color="auto" w:fill="92D050"/>
            <w:vAlign w:val="center"/>
          </w:tcPr>
          <w:p w14:paraId="18CD6893" w14:textId="6CCD8941" w:rsidR="00E4655B" w:rsidRDefault="00E4655B" w:rsidP="00E4655B">
            <w:pPr>
              <w:pStyle w:val="Tabletext"/>
            </w:pPr>
            <w:r>
              <w:t>Moderate/High: measured data at the site, with moderate level of uncertainty</w:t>
            </w:r>
            <w:r w:rsidR="00537ED0">
              <w:t>.</w:t>
            </w:r>
          </w:p>
        </w:tc>
        <w:tc>
          <w:tcPr>
            <w:tcW w:w="584" w:type="pct"/>
            <w:shd w:val="clear" w:color="auto" w:fill="92D050"/>
            <w:vAlign w:val="center"/>
          </w:tcPr>
          <w:p w14:paraId="1B319649" w14:textId="77777777" w:rsidR="00E4655B" w:rsidRDefault="00E4655B" w:rsidP="00E4655B">
            <w:pPr>
              <w:pStyle w:val="Tabletext"/>
              <w:jc w:val="center"/>
            </w:pPr>
            <w:r>
              <w:t>4</w:t>
            </w:r>
          </w:p>
        </w:tc>
        <w:tc>
          <w:tcPr>
            <w:tcW w:w="624" w:type="pct"/>
            <w:vAlign w:val="center"/>
          </w:tcPr>
          <w:p w14:paraId="585F41EA" w14:textId="01A5EBD8" w:rsidR="00E4655B" w:rsidRPr="008619DA" w:rsidRDefault="00E4655B" w:rsidP="00E4655B">
            <w:pPr>
              <w:pStyle w:val="Tabletext"/>
            </w:pPr>
          </w:p>
        </w:tc>
        <w:tc>
          <w:tcPr>
            <w:tcW w:w="678" w:type="pct"/>
            <w:vAlign w:val="center"/>
          </w:tcPr>
          <w:p w14:paraId="59708E37" w14:textId="03DE4912" w:rsidR="00E4655B" w:rsidRDefault="00E4655B" w:rsidP="00E4655B">
            <w:pPr>
              <w:pStyle w:val="Tabletext"/>
            </w:pPr>
          </w:p>
        </w:tc>
        <w:tc>
          <w:tcPr>
            <w:tcW w:w="714" w:type="pct"/>
            <w:vAlign w:val="center"/>
          </w:tcPr>
          <w:p w14:paraId="4E0CB683" w14:textId="409ED9D4" w:rsidR="00E4655B" w:rsidRDefault="00E4655B" w:rsidP="00E4655B">
            <w:pPr>
              <w:pStyle w:val="Tabletext"/>
            </w:pPr>
          </w:p>
        </w:tc>
        <w:tc>
          <w:tcPr>
            <w:tcW w:w="655" w:type="pct"/>
            <w:vAlign w:val="center"/>
          </w:tcPr>
          <w:p w14:paraId="58C293F5" w14:textId="38697449" w:rsidR="00E4655B" w:rsidRDefault="00E4655B" w:rsidP="00E4655B">
            <w:pPr>
              <w:pStyle w:val="Tabletext"/>
            </w:pPr>
          </w:p>
        </w:tc>
        <w:tc>
          <w:tcPr>
            <w:tcW w:w="712" w:type="pct"/>
          </w:tcPr>
          <w:p w14:paraId="51C3BE6F" w14:textId="77777777" w:rsidR="00E4655B" w:rsidRDefault="00E4655B" w:rsidP="00E4655B">
            <w:pPr>
              <w:pStyle w:val="Tabletext"/>
            </w:pPr>
          </w:p>
        </w:tc>
      </w:tr>
      <w:tr w:rsidR="00071E2A" w14:paraId="09C34182" w14:textId="5D6D87B5" w:rsidTr="00071E2A">
        <w:tc>
          <w:tcPr>
            <w:tcW w:w="1033" w:type="pct"/>
            <w:shd w:val="clear" w:color="auto" w:fill="00B050"/>
            <w:vAlign w:val="center"/>
          </w:tcPr>
          <w:p w14:paraId="46BF4BF2" w14:textId="42A382C7" w:rsidR="00E4655B" w:rsidRDefault="00E4655B" w:rsidP="00E4655B">
            <w:pPr>
              <w:pStyle w:val="Tabletext"/>
            </w:pPr>
            <w:r>
              <w:t>High: Measured data at the site, with low level of uncertainty</w:t>
            </w:r>
            <w:r w:rsidR="00537ED0">
              <w:t>.</w:t>
            </w:r>
          </w:p>
        </w:tc>
        <w:tc>
          <w:tcPr>
            <w:tcW w:w="584" w:type="pct"/>
            <w:shd w:val="clear" w:color="auto" w:fill="00B050"/>
            <w:vAlign w:val="center"/>
          </w:tcPr>
          <w:p w14:paraId="33D16991" w14:textId="77777777" w:rsidR="00E4655B" w:rsidRDefault="00E4655B" w:rsidP="00E4655B">
            <w:pPr>
              <w:pStyle w:val="Tabletext"/>
              <w:jc w:val="center"/>
            </w:pPr>
            <w:r>
              <w:t>5</w:t>
            </w:r>
          </w:p>
        </w:tc>
        <w:tc>
          <w:tcPr>
            <w:tcW w:w="624" w:type="pct"/>
            <w:vAlign w:val="center"/>
          </w:tcPr>
          <w:p w14:paraId="03CBB3AD" w14:textId="488D9187" w:rsidR="00E4655B" w:rsidRPr="008619DA" w:rsidRDefault="00E4655B" w:rsidP="00E4655B">
            <w:pPr>
              <w:pStyle w:val="Tabletext"/>
            </w:pPr>
          </w:p>
        </w:tc>
        <w:tc>
          <w:tcPr>
            <w:tcW w:w="678" w:type="pct"/>
            <w:vAlign w:val="center"/>
          </w:tcPr>
          <w:p w14:paraId="38B898B7" w14:textId="4524ACA7" w:rsidR="00E4655B" w:rsidRDefault="00E4655B" w:rsidP="00E4655B">
            <w:pPr>
              <w:pStyle w:val="Tabletext"/>
            </w:pPr>
          </w:p>
        </w:tc>
        <w:tc>
          <w:tcPr>
            <w:tcW w:w="714" w:type="pct"/>
            <w:vAlign w:val="center"/>
          </w:tcPr>
          <w:p w14:paraId="1CC7660C" w14:textId="5FCC8C06" w:rsidR="00E4655B" w:rsidRDefault="00E4655B" w:rsidP="00E4655B">
            <w:pPr>
              <w:pStyle w:val="Tabletext"/>
            </w:pPr>
          </w:p>
        </w:tc>
        <w:tc>
          <w:tcPr>
            <w:tcW w:w="655" w:type="pct"/>
            <w:vAlign w:val="center"/>
          </w:tcPr>
          <w:p w14:paraId="28A28B5D" w14:textId="74A7AE09" w:rsidR="00E4655B" w:rsidRDefault="00E4655B" w:rsidP="00E4655B">
            <w:pPr>
              <w:pStyle w:val="Tabletext"/>
            </w:pPr>
          </w:p>
        </w:tc>
        <w:tc>
          <w:tcPr>
            <w:tcW w:w="712" w:type="pct"/>
          </w:tcPr>
          <w:p w14:paraId="4DFC0D5C" w14:textId="77777777" w:rsidR="00E4655B" w:rsidRDefault="00E4655B" w:rsidP="00E4655B">
            <w:pPr>
              <w:pStyle w:val="Tabletext"/>
            </w:pPr>
          </w:p>
        </w:tc>
      </w:tr>
    </w:tbl>
    <w:p w14:paraId="2C847C5B" w14:textId="6EB20531" w:rsidR="00857DCC" w:rsidRDefault="00857DCC" w:rsidP="00E230DF">
      <w:pPr>
        <w:pStyle w:val="Para0"/>
      </w:pPr>
    </w:p>
    <w:p w14:paraId="3558A6BA" w14:textId="73CADC27" w:rsidR="007B7813" w:rsidRDefault="007B7813">
      <w:pPr>
        <w:spacing w:after="0" w:line="240" w:lineRule="auto"/>
        <w:rPr>
          <w:b/>
          <w:noProof/>
          <w:lang w:eastAsia="en-AU"/>
        </w:rPr>
      </w:pPr>
      <w:bookmarkStart w:id="205" w:name="_Ref504548203"/>
      <w:r>
        <w:rPr>
          <w:noProof/>
          <w:lang w:eastAsia="en-AU"/>
        </w:rPr>
        <w:br w:type="page"/>
      </w:r>
    </w:p>
    <w:p w14:paraId="35DA55F4" w14:textId="77FDA52F" w:rsidR="00F925FC" w:rsidRDefault="007B7813" w:rsidP="00F925FC">
      <w:pPr>
        <w:pStyle w:val="Para0bold"/>
      </w:pPr>
      <w:r>
        <w:rPr>
          <w:noProof/>
          <w:lang w:eastAsia="en-AU"/>
        </w:rPr>
        <mc:AlternateContent>
          <mc:Choice Requires="wps">
            <w:drawing>
              <wp:anchor distT="45720" distB="45720" distL="114300" distR="114300" simplePos="0" relativeHeight="251672576" behindDoc="0" locked="0" layoutInCell="1" allowOverlap="1" wp14:anchorId="5B084E8E" wp14:editId="2D58F7C7">
                <wp:simplePos x="0" y="0"/>
                <wp:positionH relativeFrom="column">
                  <wp:posOffset>92400</wp:posOffset>
                </wp:positionH>
                <wp:positionV relativeFrom="paragraph">
                  <wp:posOffset>237445</wp:posOffset>
                </wp:positionV>
                <wp:extent cx="4457700" cy="140462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1404620"/>
                        </a:xfrm>
                        <a:prstGeom prst="rect">
                          <a:avLst/>
                        </a:prstGeom>
                        <a:noFill/>
                        <a:ln w="9525">
                          <a:noFill/>
                          <a:miter lim="800000"/>
                          <a:headEnd/>
                          <a:tailEnd/>
                        </a:ln>
                      </wps:spPr>
                      <wps:txbx>
                        <w:txbxContent>
                          <w:p w14:paraId="113F61A2" w14:textId="18ADE2C6" w:rsidR="00CF0933" w:rsidRPr="001D72AF" w:rsidRDefault="00CF0933" w:rsidP="003E058B">
                            <w:pPr>
                              <w:rPr>
                                <w:b/>
                                <w:color w:val="FFFFFF" w:themeColor="background1"/>
                                <w:sz w:val="56"/>
                                <w:szCs w:val="56"/>
                                <w14:shadow w14:blurRad="50800" w14:dist="38100" w14:dir="2700000" w14:sx="100000" w14:sy="100000" w14:kx="0" w14:ky="0" w14:algn="tl">
                                  <w14:srgbClr w14:val="000000">
                                    <w14:alpha w14:val="60000"/>
                                  </w14:srgbClr>
                                </w14:shadow>
                              </w:rPr>
                            </w:pPr>
                            <w:r w:rsidRPr="001D72AF">
                              <w:rPr>
                                <w:b/>
                                <w:color w:val="FFFFFF" w:themeColor="background1"/>
                                <w:sz w:val="56"/>
                                <w:szCs w:val="56"/>
                                <w14:shadow w14:blurRad="50800" w14:dist="38100" w14:dir="2700000" w14:sx="100000" w14:sy="100000" w14:kx="0" w14:ky="0" w14:algn="tl">
                                  <w14:srgbClr w14:val="000000">
                                    <w14:alpha w14:val="60000"/>
                                  </w14:srgbClr>
                                </w14:shadow>
                              </w:rPr>
                              <w:t xml:space="preserve">PART </w:t>
                            </w:r>
                            <w:r>
                              <w:rPr>
                                <w:b/>
                                <w:color w:val="FFFFFF" w:themeColor="background1"/>
                                <w:sz w:val="56"/>
                                <w:szCs w:val="56"/>
                                <w14:shadow w14:blurRad="50800" w14:dist="38100" w14:dir="2700000" w14:sx="100000" w14:sy="100000" w14:kx="0" w14:ky="0" w14:algn="tl">
                                  <w14:srgbClr w14:val="000000">
                                    <w14:alpha w14:val="60000"/>
                                  </w14:srgbClr>
                                </w14:shadow>
                              </w:rPr>
                              <w:t>B</w:t>
                            </w:r>
                            <w:r w:rsidRPr="001D72AF">
                              <w:rPr>
                                <w:b/>
                                <w:color w:val="FFFFFF" w:themeColor="background1"/>
                                <w:sz w:val="56"/>
                                <w:szCs w:val="56"/>
                                <w14:shadow w14:blurRad="50800" w14:dist="38100" w14:dir="2700000" w14:sx="100000" w14:sy="100000" w14:kx="0" w14:ky="0" w14:algn="tl">
                                  <w14:srgbClr w14:val="000000">
                                    <w14:alpha w14:val="60000"/>
                                  </w14:srgbClr>
                                </w14:shadow>
                              </w:rPr>
                              <w:t xml:space="preserve">: </w:t>
                            </w:r>
                            <w:r>
                              <w:rPr>
                                <w:b/>
                                <w:color w:val="FFFFFF" w:themeColor="background1"/>
                                <w:sz w:val="56"/>
                                <w:szCs w:val="56"/>
                                <w14:shadow w14:blurRad="50800" w14:dist="38100" w14:dir="2700000" w14:sx="100000" w14:sy="100000" w14:kx="0" w14:ky="0" w14:algn="tl">
                                  <w14:srgbClr w14:val="000000">
                                    <w14:alpha w14:val="60000"/>
                                  </w14:srgbClr>
                                </w14:shadow>
                              </w:rPr>
                              <w:t>SITE MANAGEMENT PLAN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084E8E" id="_x0000_s1033" type="#_x0000_t202" style="position:absolute;margin-left:7.3pt;margin-top:18.7pt;width:351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" filled="f" stroked="f">
                <v:textbox style="mso-fit-shape-to-text:t">
                  <w:txbxContent>
                    <w:p w14:paraId="113F61A2" w14:textId="18ADE2C6" w:rsidR="00CF0933" w:rsidRPr="001D72AF" w:rsidRDefault="00CF0933" w:rsidP="003E058B">
                      <w:pPr>
                        <w:rPr>
                          <w:b/>
                          <w:color w:val="FFFFFF" w:themeColor="background1"/>
                          <w:sz w:val="56"/>
                          <w:szCs w:val="56"/>
                          <w14:shadow w14:blurRad="50800" w14:dist="38100" w14:dir="2700000" w14:sx="100000" w14:sy="100000" w14:kx="0" w14:ky="0" w14:algn="tl">
                            <w14:srgbClr w14:val="000000">
                              <w14:alpha w14:val="60000"/>
                            </w14:srgbClr>
                          </w14:shadow>
                        </w:rPr>
                      </w:pPr>
                      <w:r w:rsidRPr="001D72AF">
                        <w:rPr>
                          <w:b/>
                          <w:color w:val="FFFFFF" w:themeColor="background1"/>
                          <w:sz w:val="56"/>
                          <w:szCs w:val="56"/>
                          <w14:shadow w14:blurRad="50800" w14:dist="38100" w14:dir="2700000" w14:sx="100000" w14:sy="100000" w14:kx="0" w14:ky="0" w14:algn="tl">
                            <w14:srgbClr w14:val="000000">
                              <w14:alpha w14:val="60000"/>
                            </w14:srgbClr>
                          </w14:shadow>
                        </w:rPr>
                        <w:t xml:space="preserve">PART </w:t>
                      </w:r>
                      <w:r>
                        <w:rPr>
                          <w:b/>
                          <w:color w:val="FFFFFF" w:themeColor="background1"/>
                          <w:sz w:val="56"/>
                          <w:szCs w:val="56"/>
                          <w14:shadow w14:blurRad="50800" w14:dist="38100" w14:dir="2700000" w14:sx="100000" w14:sy="100000" w14:kx="0" w14:ky="0" w14:algn="tl">
                            <w14:srgbClr w14:val="000000">
                              <w14:alpha w14:val="60000"/>
                            </w14:srgbClr>
                          </w14:shadow>
                        </w:rPr>
                        <w:t>B</w:t>
                      </w:r>
                      <w:r w:rsidRPr="001D72AF">
                        <w:rPr>
                          <w:b/>
                          <w:color w:val="FFFFFF" w:themeColor="background1"/>
                          <w:sz w:val="56"/>
                          <w:szCs w:val="56"/>
                          <w14:shadow w14:blurRad="50800" w14:dist="38100" w14:dir="2700000" w14:sx="100000" w14:sy="100000" w14:kx="0" w14:ky="0" w14:algn="tl">
                            <w14:srgbClr w14:val="000000">
                              <w14:alpha w14:val="60000"/>
                            </w14:srgbClr>
                          </w14:shadow>
                        </w:rPr>
                        <w:t xml:space="preserve">: </w:t>
                      </w:r>
                      <w:r>
                        <w:rPr>
                          <w:b/>
                          <w:color w:val="FFFFFF" w:themeColor="background1"/>
                          <w:sz w:val="56"/>
                          <w:szCs w:val="56"/>
                          <w14:shadow w14:blurRad="50800" w14:dist="38100" w14:dir="2700000" w14:sx="100000" w14:sy="100000" w14:kx="0" w14:ky="0" w14:algn="tl">
                            <w14:srgbClr w14:val="000000">
                              <w14:alpha w14:val="60000"/>
                            </w14:srgbClr>
                          </w14:shadow>
                        </w:rPr>
                        <w:t>SITE MANAGEMENT PLAN</w:t>
                      </w:r>
                    </w:p>
                  </w:txbxContent>
                </v:textbox>
              </v:shape>
            </w:pict>
          </mc:Fallback>
        </mc:AlternateContent>
      </w:r>
      <w:r>
        <w:rPr>
          <w:noProof/>
          <w:lang w:eastAsia="en-AU"/>
        </w:rPr>
        <w:drawing>
          <wp:inline distT="0" distB="0" distL="0" distR="0" wp14:anchorId="77028D5A" wp14:editId="6C808CCD">
            <wp:extent cx="6068431" cy="7993117"/>
            <wp:effectExtent l="0" t="0" r="889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190019.JPG"/>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6078441" cy="8006301"/>
                    </a:xfrm>
                    <a:prstGeom prst="rect">
                      <a:avLst/>
                    </a:prstGeom>
                    <a:ln>
                      <a:noFill/>
                    </a:ln>
                    <a:extLst>
                      <a:ext uri="{53640926-AAD7-44D8-BBD7-CCE9431645EC}">
                        <a14:shadowObscured xmlns:a14="http://schemas.microsoft.com/office/drawing/2010/main"/>
                      </a:ext>
                    </a:extLst>
                  </pic:spPr>
                </pic:pic>
              </a:graphicData>
            </a:graphic>
          </wp:inline>
        </w:drawing>
      </w:r>
    </w:p>
    <w:p w14:paraId="399753D4" w14:textId="05BA3859" w:rsidR="005972ED" w:rsidRPr="00F87434" w:rsidRDefault="00D65017" w:rsidP="005972ED">
      <w:pPr>
        <w:pStyle w:val="Heading1"/>
        <w:rPr>
          <w:color w:val="65876D" w:themeColor="accent4" w:themeShade="BF"/>
        </w:rPr>
      </w:pPr>
      <w:bookmarkStart w:id="206" w:name="_Ref506322778"/>
      <w:bookmarkStart w:id="207" w:name="_Toc514018002"/>
      <w:r>
        <w:rPr>
          <w:color w:val="65876D" w:themeColor="accent4" w:themeShade="BF"/>
        </w:rPr>
        <w:t xml:space="preserve">Part B: </w:t>
      </w:r>
      <w:r w:rsidR="00CD1B1D">
        <w:rPr>
          <w:color w:val="65876D" w:themeColor="accent4" w:themeShade="BF"/>
        </w:rPr>
        <w:t>Site Management Plan</w:t>
      </w:r>
      <w:bookmarkEnd w:id="205"/>
      <w:bookmarkEnd w:id="206"/>
      <w:bookmarkEnd w:id="207"/>
    </w:p>
    <w:p w14:paraId="7478F519" w14:textId="4AA7C0D9" w:rsidR="00133370" w:rsidRDefault="00133370" w:rsidP="00133370">
      <w:pPr>
        <w:pStyle w:val="Para0"/>
      </w:pPr>
      <w:r>
        <w:t xml:space="preserve">The purpose of </w:t>
      </w:r>
      <w:r w:rsidRPr="00331E5E">
        <w:rPr>
          <w:i/>
        </w:rPr>
        <w:t>Part B: Site Management Plan</w:t>
      </w:r>
      <w:r>
        <w:t xml:space="preserve"> is to use the information and analysis completed in Part A to prioritise the </w:t>
      </w:r>
      <w:r w:rsidR="00CD1B1D">
        <w:t xml:space="preserve">Black Box management units and </w:t>
      </w:r>
      <w:r>
        <w:t xml:space="preserve">available </w:t>
      </w:r>
      <w:r w:rsidRPr="000C57A2">
        <w:t>management options and develop a plan of action</w:t>
      </w:r>
      <w:r w:rsidR="00FF37EE" w:rsidRPr="000C57A2">
        <w:t xml:space="preserve"> for management at the site</w:t>
      </w:r>
      <w:r w:rsidR="000C57A2" w:rsidRPr="000C57A2">
        <w:t>. The</w:t>
      </w:r>
      <w:r w:rsidRPr="000C57A2">
        <w:t xml:space="preserve"> process</w:t>
      </w:r>
      <w:r w:rsidR="000C57A2" w:rsidRPr="000C57A2">
        <w:t xml:space="preserve"> for developing a site management plan</w:t>
      </w:r>
      <w:r w:rsidRPr="000C57A2">
        <w:t xml:space="preserve"> </w:t>
      </w:r>
      <w:r w:rsidR="00CF4AA7" w:rsidRPr="000C57A2">
        <w:t>is outlined in</w:t>
      </w:r>
      <w:r w:rsidR="000C57A2" w:rsidRPr="000C57A2">
        <w:t xml:space="preserve"> </w:t>
      </w:r>
      <w:r w:rsidR="000C57A2" w:rsidRPr="000C57A2">
        <w:fldChar w:fldCharType="begin"/>
      </w:r>
      <w:r w:rsidR="000C57A2" w:rsidRPr="000C57A2">
        <w:instrText xml:space="preserve"> REF _Ref506291614 \h </w:instrText>
      </w:r>
      <w:r w:rsidR="000C57A2">
        <w:instrText xml:space="preserve"> \* MERGEFORMAT </w:instrText>
      </w:r>
      <w:r w:rsidR="000C57A2" w:rsidRPr="000C57A2">
        <w:fldChar w:fldCharType="separate"/>
      </w:r>
      <w:r w:rsidR="00BF015B" w:rsidRPr="00890425">
        <w:t xml:space="preserve">Figure </w:t>
      </w:r>
      <w:r w:rsidR="00BF015B">
        <w:rPr>
          <w:noProof/>
        </w:rPr>
        <w:t>4</w:t>
      </w:r>
      <w:r w:rsidR="00BF015B">
        <w:rPr>
          <w:noProof/>
        </w:rPr>
        <w:noBreakHyphen/>
        <w:t>1</w:t>
      </w:r>
      <w:r w:rsidR="000C57A2" w:rsidRPr="000C57A2">
        <w:fldChar w:fldCharType="end"/>
      </w:r>
      <w:r w:rsidR="000C57A2" w:rsidRPr="000C57A2">
        <w:t xml:space="preserve">, and each of the steps of the process are described throughout this chapter. </w:t>
      </w:r>
      <w:r>
        <w:t xml:space="preserve"> </w:t>
      </w:r>
    </w:p>
    <w:p w14:paraId="0580BFA8" w14:textId="6E79A35A" w:rsidR="000C57A2" w:rsidRDefault="001D72AF" w:rsidP="00C87F1C">
      <w:pPr>
        <w:pStyle w:val="Para0"/>
        <w:jc w:val="center"/>
      </w:pPr>
      <w:r>
        <w:rPr>
          <w:noProof/>
          <w:lang w:eastAsia="en-AU"/>
        </w:rPr>
        <w:drawing>
          <wp:inline distT="0" distB="0" distL="0" distR="0" wp14:anchorId="6D67EA30" wp14:editId="30A9EF6A">
            <wp:extent cx="5486400" cy="1678336"/>
            <wp:effectExtent l="0" t="0" r="0" b="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495315" cy="1681063"/>
                    </a:xfrm>
                    <a:prstGeom prst="rect">
                      <a:avLst/>
                    </a:prstGeom>
                    <a:noFill/>
                  </pic:spPr>
                </pic:pic>
              </a:graphicData>
            </a:graphic>
          </wp:inline>
        </w:drawing>
      </w:r>
    </w:p>
    <w:p w14:paraId="21E257F7" w14:textId="7EB1BE9F" w:rsidR="000C57A2" w:rsidRPr="00890425" w:rsidRDefault="000C57A2" w:rsidP="00EA581E">
      <w:pPr>
        <w:pStyle w:val="Caption"/>
        <w:jc w:val="center"/>
      </w:pPr>
      <w:bookmarkStart w:id="208" w:name="_Ref506291614"/>
      <w:bookmarkStart w:id="209" w:name="_Toc514018091"/>
      <w:r w:rsidRPr="00890425">
        <w:t xml:space="preserve">Figure </w:t>
      </w:r>
      <w:r w:rsidR="004F42DD">
        <w:fldChar w:fldCharType="begin"/>
      </w:r>
      <w:r w:rsidR="004F42DD">
        <w:instrText xml:space="preserve"> STYLEREF 1 \s </w:instrText>
      </w:r>
      <w:r w:rsidR="004F42DD">
        <w:fldChar w:fldCharType="separate"/>
      </w:r>
      <w:r w:rsidR="00BF015B">
        <w:rPr>
          <w:noProof/>
        </w:rPr>
        <w:t>4</w:t>
      </w:r>
      <w:r w:rsidR="004F42DD">
        <w:fldChar w:fldCharType="end"/>
      </w:r>
      <w:r w:rsidR="004F42DD">
        <w:noBreakHyphen/>
      </w:r>
      <w:r w:rsidR="004F42DD">
        <w:fldChar w:fldCharType="begin"/>
      </w:r>
      <w:r w:rsidR="004F42DD">
        <w:instrText xml:space="preserve"> SEQ Figure \* ARABIC \s 1 </w:instrText>
      </w:r>
      <w:r w:rsidR="004F42DD">
        <w:fldChar w:fldCharType="separate"/>
      </w:r>
      <w:r w:rsidR="00BF015B">
        <w:rPr>
          <w:noProof/>
        </w:rPr>
        <w:t>1</w:t>
      </w:r>
      <w:r w:rsidR="004F42DD">
        <w:fldChar w:fldCharType="end"/>
      </w:r>
      <w:bookmarkEnd w:id="208"/>
      <w:r w:rsidRPr="00890425">
        <w:t xml:space="preserve">: Process for </w:t>
      </w:r>
      <w:r w:rsidR="00956B17" w:rsidRPr="00890425">
        <w:t>Part B Developing</w:t>
      </w:r>
      <w:r w:rsidRPr="00890425">
        <w:t xml:space="preserve"> a Site Management Plan</w:t>
      </w:r>
      <w:bookmarkEnd w:id="209"/>
    </w:p>
    <w:p w14:paraId="11787AE0" w14:textId="77777777" w:rsidR="0054034A" w:rsidRDefault="0054034A" w:rsidP="00133370">
      <w:pPr>
        <w:pStyle w:val="Para0"/>
        <w:rPr>
          <w:rFonts w:cs="Arial"/>
          <w:szCs w:val="20"/>
        </w:rPr>
      </w:pPr>
    </w:p>
    <w:p w14:paraId="0B00338C" w14:textId="396BD761" w:rsidR="006F661B" w:rsidRDefault="00100448" w:rsidP="00E230DF">
      <w:pPr>
        <w:rPr>
          <w:rFonts w:cs="Arial"/>
          <w:szCs w:val="20"/>
        </w:rPr>
      </w:pPr>
      <w:r>
        <w:rPr>
          <w:rFonts w:cs="Arial"/>
          <w:szCs w:val="20"/>
        </w:rPr>
        <w:t>Part B</w:t>
      </w:r>
      <w:r w:rsidR="00C87F1C" w:rsidRPr="00C87F1C">
        <w:rPr>
          <w:rFonts w:cs="Arial"/>
          <w:szCs w:val="20"/>
        </w:rPr>
        <w:t xml:space="preserve"> involves </w:t>
      </w:r>
      <w:r w:rsidR="00C87F1C">
        <w:rPr>
          <w:rFonts w:cs="Arial"/>
          <w:szCs w:val="20"/>
        </w:rPr>
        <w:t>collation of information required for the option prioritisation</w:t>
      </w:r>
      <w:r w:rsidR="001D72AF">
        <w:rPr>
          <w:rFonts w:cs="Arial"/>
          <w:szCs w:val="20"/>
        </w:rPr>
        <w:t xml:space="preserve"> that was collected during Part A</w:t>
      </w:r>
      <w:r w:rsidR="00C87F1C">
        <w:rPr>
          <w:rFonts w:cs="Arial"/>
          <w:szCs w:val="20"/>
        </w:rPr>
        <w:t xml:space="preserve">, as shown in </w:t>
      </w:r>
      <w:r w:rsidR="00C87F1C">
        <w:rPr>
          <w:rFonts w:cs="Arial"/>
          <w:szCs w:val="20"/>
        </w:rPr>
        <w:fldChar w:fldCharType="begin"/>
      </w:r>
      <w:r w:rsidR="00C87F1C">
        <w:rPr>
          <w:rFonts w:cs="Arial"/>
          <w:szCs w:val="20"/>
        </w:rPr>
        <w:instrText xml:space="preserve"> REF _Ref506292163 \h </w:instrText>
      </w:r>
      <w:r w:rsidR="00C87F1C">
        <w:rPr>
          <w:rFonts w:cs="Arial"/>
          <w:szCs w:val="20"/>
        </w:rPr>
      </w:r>
      <w:r w:rsidR="00C87F1C">
        <w:rPr>
          <w:rFonts w:cs="Arial"/>
          <w:szCs w:val="20"/>
        </w:rPr>
        <w:fldChar w:fldCharType="separate"/>
      </w:r>
      <w:r w:rsidR="00BF015B" w:rsidRPr="00890425">
        <w:t xml:space="preserve">Figure </w:t>
      </w:r>
      <w:r w:rsidR="00BF015B">
        <w:rPr>
          <w:noProof/>
        </w:rPr>
        <w:t>4</w:t>
      </w:r>
      <w:r w:rsidR="00BF015B">
        <w:noBreakHyphen/>
      </w:r>
      <w:r w:rsidR="00BF015B">
        <w:rPr>
          <w:noProof/>
        </w:rPr>
        <w:t>2</w:t>
      </w:r>
      <w:r w:rsidR="00C87F1C">
        <w:rPr>
          <w:rFonts w:cs="Arial"/>
          <w:szCs w:val="20"/>
        </w:rPr>
        <w:fldChar w:fldCharType="end"/>
      </w:r>
      <w:r w:rsidR="00C87F1C">
        <w:rPr>
          <w:rFonts w:cs="Arial"/>
          <w:szCs w:val="20"/>
        </w:rPr>
        <w:t xml:space="preserve">. This involves: </w:t>
      </w:r>
    </w:p>
    <w:p w14:paraId="39C74C44" w14:textId="4BDF9B3F" w:rsidR="00C87F1C" w:rsidRDefault="00C87F1C" w:rsidP="00F22225">
      <w:pPr>
        <w:pStyle w:val="Para0"/>
        <w:numPr>
          <w:ilvl w:val="0"/>
          <w:numId w:val="75"/>
        </w:numPr>
        <w:rPr>
          <w:rFonts w:cs="Arial"/>
          <w:szCs w:val="20"/>
        </w:rPr>
      </w:pPr>
      <w:r>
        <w:rPr>
          <w:rFonts w:cs="Arial"/>
          <w:szCs w:val="20"/>
        </w:rPr>
        <w:t xml:space="preserve">Objectives: How each listed option contributes to </w:t>
      </w:r>
      <w:r w:rsidR="008F4D01">
        <w:rPr>
          <w:rFonts w:cs="Arial"/>
          <w:szCs w:val="20"/>
        </w:rPr>
        <w:t xml:space="preserve">objectives for the site, region, and Basin. These objectives will have been defined as part of </w:t>
      </w:r>
      <w:r w:rsidR="008F4D01" w:rsidRPr="008F4D01">
        <w:rPr>
          <w:rFonts w:cs="Arial"/>
          <w:i/>
          <w:szCs w:val="20"/>
        </w:rPr>
        <w:t>Step 4: Setting Objectives and Targets</w:t>
      </w:r>
      <w:r w:rsidR="008F4D01">
        <w:rPr>
          <w:rFonts w:cs="Arial"/>
          <w:i/>
          <w:szCs w:val="20"/>
        </w:rPr>
        <w:t xml:space="preserve">. </w:t>
      </w:r>
      <w:r w:rsidR="008F4D01" w:rsidRPr="008F4D01">
        <w:rPr>
          <w:rFonts w:cs="Arial"/>
          <w:szCs w:val="20"/>
        </w:rPr>
        <w:t>An ass</w:t>
      </w:r>
      <w:r w:rsidR="008F4D01">
        <w:rPr>
          <w:rFonts w:cs="Arial"/>
          <w:szCs w:val="20"/>
        </w:rPr>
        <w:t xml:space="preserve">essment of the extent to which each listed option would achieve these objectives is required. </w:t>
      </w:r>
    </w:p>
    <w:p w14:paraId="584A4DCA" w14:textId="2DF30579" w:rsidR="00C87F1C" w:rsidRPr="008F4D01" w:rsidRDefault="00C87F1C" w:rsidP="00F22225">
      <w:pPr>
        <w:pStyle w:val="Para0"/>
        <w:numPr>
          <w:ilvl w:val="0"/>
          <w:numId w:val="75"/>
        </w:numPr>
        <w:rPr>
          <w:rFonts w:cs="Arial"/>
          <w:szCs w:val="20"/>
        </w:rPr>
      </w:pPr>
      <w:r>
        <w:rPr>
          <w:rFonts w:cs="Arial"/>
          <w:szCs w:val="20"/>
        </w:rPr>
        <w:t>Option Outcomes: The outcomes that could be realistically achieved through each listed option</w:t>
      </w:r>
      <w:r w:rsidR="0028646B">
        <w:rPr>
          <w:rFonts w:cs="Arial"/>
          <w:szCs w:val="20"/>
        </w:rPr>
        <w:t xml:space="preserve">, and the extent to which they relate to the </w:t>
      </w:r>
      <w:r w:rsidR="0028324B">
        <w:rPr>
          <w:rFonts w:cs="Arial"/>
          <w:szCs w:val="20"/>
        </w:rPr>
        <w:t xml:space="preserve">operational </w:t>
      </w:r>
      <w:r w:rsidR="0028646B">
        <w:rPr>
          <w:rFonts w:cs="Arial"/>
          <w:szCs w:val="20"/>
        </w:rPr>
        <w:t>objectives</w:t>
      </w:r>
      <w:r>
        <w:rPr>
          <w:rFonts w:cs="Arial"/>
          <w:szCs w:val="20"/>
        </w:rPr>
        <w:t xml:space="preserve">. This </w:t>
      </w:r>
      <w:r w:rsidR="008F4D01">
        <w:rPr>
          <w:rFonts w:cs="Arial"/>
          <w:szCs w:val="20"/>
        </w:rPr>
        <w:t xml:space="preserve">is based on the feasibility of each option, the vulnerability of Black Box in the relevant management units, and the uncertainty associated with the options. This information will have been </w:t>
      </w:r>
      <w:r w:rsidR="001D72AF">
        <w:rPr>
          <w:rFonts w:cs="Arial"/>
          <w:szCs w:val="20"/>
        </w:rPr>
        <w:t>collected</w:t>
      </w:r>
      <w:r w:rsidR="008F4D01">
        <w:rPr>
          <w:rFonts w:cs="Arial"/>
          <w:szCs w:val="20"/>
        </w:rPr>
        <w:t xml:space="preserve"> as part of </w:t>
      </w:r>
      <w:r w:rsidR="008F4D01">
        <w:rPr>
          <w:rFonts w:cs="Arial"/>
          <w:i/>
          <w:szCs w:val="20"/>
        </w:rPr>
        <w:t>Step</w:t>
      </w:r>
      <w:r w:rsidR="008F4D01" w:rsidRPr="008F4D01">
        <w:rPr>
          <w:rFonts w:cs="Arial"/>
          <w:i/>
          <w:szCs w:val="20"/>
        </w:rPr>
        <w:t xml:space="preserve"> 5: Identify a range of management o</w:t>
      </w:r>
      <w:r w:rsidR="008F4D01">
        <w:rPr>
          <w:rFonts w:cs="Arial"/>
          <w:i/>
          <w:szCs w:val="20"/>
        </w:rPr>
        <w:t>ptions</w:t>
      </w:r>
      <w:r w:rsidR="001D72AF">
        <w:rPr>
          <w:rFonts w:cs="Arial"/>
          <w:szCs w:val="20"/>
        </w:rPr>
        <w:t xml:space="preserve">. </w:t>
      </w:r>
    </w:p>
    <w:p w14:paraId="2040FBC3" w14:textId="358D9240" w:rsidR="008F4D01" w:rsidRDefault="008F4D01" w:rsidP="00F22225">
      <w:pPr>
        <w:pStyle w:val="Para0"/>
        <w:numPr>
          <w:ilvl w:val="0"/>
          <w:numId w:val="75"/>
        </w:numPr>
        <w:rPr>
          <w:rFonts w:cs="Arial"/>
          <w:szCs w:val="20"/>
        </w:rPr>
      </w:pPr>
      <w:r>
        <w:rPr>
          <w:rFonts w:cs="Arial"/>
          <w:szCs w:val="20"/>
        </w:rPr>
        <w:t xml:space="preserve">Resources: These are the physical resources that would be required to implement each listed option. Both capital and ongoing operational costs should be considered. Ongoing monitoring requirements should be included in these costs. This information will have been </w:t>
      </w:r>
      <w:r w:rsidR="001D72AF">
        <w:rPr>
          <w:rFonts w:cs="Arial"/>
          <w:szCs w:val="20"/>
        </w:rPr>
        <w:t>collected</w:t>
      </w:r>
      <w:r>
        <w:rPr>
          <w:rFonts w:cs="Arial"/>
          <w:szCs w:val="20"/>
        </w:rPr>
        <w:t xml:space="preserve"> as part of </w:t>
      </w:r>
      <w:r>
        <w:rPr>
          <w:rFonts w:cs="Arial"/>
          <w:i/>
          <w:szCs w:val="20"/>
        </w:rPr>
        <w:t>Step</w:t>
      </w:r>
      <w:r w:rsidRPr="008F4D01">
        <w:rPr>
          <w:rFonts w:cs="Arial"/>
          <w:i/>
          <w:szCs w:val="20"/>
        </w:rPr>
        <w:t xml:space="preserve"> 5: Identify a range of management o</w:t>
      </w:r>
      <w:r>
        <w:rPr>
          <w:rFonts w:cs="Arial"/>
          <w:i/>
          <w:szCs w:val="20"/>
        </w:rPr>
        <w:t>ption</w:t>
      </w:r>
      <w:r w:rsidR="00AD0E29">
        <w:rPr>
          <w:rFonts w:cs="Arial"/>
          <w:i/>
          <w:szCs w:val="20"/>
        </w:rPr>
        <w:t>s</w:t>
      </w:r>
      <w:r w:rsidRPr="008F4D01">
        <w:rPr>
          <w:rFonts w:cs="Arial"/>
          <w:szCs w:val="20"/>
        </w:rPr>
        <w:t xml:space="preserve">. </w:t>
      </w:r>
    </w:p>
    <w:p w14:paraId="6B58118F" w14:textId="29BA3E5E" w:rsidR="008F4D01" w:rsidRPr="008F4D01" w:rsidRDefault="008F4D01" w:rsidP="00F22225">
      <w:pPr>
        <w:pStyle w:val="Para0"/>
        <w:numPr>
          <w:ilvl w:val="0"/>
          <w:numId w:val="75"/>
        </w:numPr>
        <w:rPr>
          <w:rFonts w:cs="Arial"/>
          <w:szCs w:val="20"/>
        </w:rPr>
      </w:pPr>
      <w:r>
        <w:rPr>
          <w:rFonts w:cs="Arial"/>
          <w:szCs w:val="20"/>
        </w:rPr>
        <w:t xml:space="preserve">Impacts: A consideration of the </w:t>
      </w:r>
      <w:r w:rsidR="00965800">
        <w:rPr>
          <w:rFonts w:cs="Arial"/>
          <w:szCs w:val="20"/>
        </w:rPr>
        <w:t xml:space="preserve">potential impacts (both positive and negative) of the each of the listed management actions on </w:t>
      </w:r>
      <w:r w:rsidR="00DD4752">
        <w:t>other site objectives or species.</w:t>
      </w:r>
      <w:r w:rsidR="00965800">
        <w:t xml:space="preserve"> </w:t>
      </w:r>
    </w:p>
    <w:p w14:paraId="54102303" w14:textId="7AF2B2A9" w:rsidR="00DC01CD" w:rsidRDefault="00DD4752" w:rsidP="00965800">
      <w:pPr>
        <w:pStyle w:val="Para0"/>
        <w:jc w:val="center"/>
        <w:rPr>
          <w:rFonts w:cs="Arial"/>
          <w:color w:val="FF0000"/>
          <w:szCs w:val="20"/>
        </w:rPr>
      </w:pPr>
      <w:r>
        <w:rPr>
          <w:rFonts w:cs="Arial"/>
          <w:noProof/>
          <w:color w:val="FF0000"/>
          <w:szCs w:val="20"/>
          <w:lang w:eastAsia="en-AU"/>
        </w:rPr>
        <w:drawing>
          <wp:inline distT="0" distB="0" distL="0" distR="0" wp14:anchorId="0C526984" wp14:editId="6012864D">
            <wp:extent cx="5539563" cy="2909349"/>
            <wp:effectExtent l="0" t="0" r="4445"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553668" cy="2916757"/>
                    </a:xfrm>
                    <a:prstGeom prst="rect">
                      <a:avLst/>
                    </a:prstGeom>
                    <a:noFill/>
                  </pic:spPr>
                </pic:pic>
              </a:graphicData>
            </a:graphic>
          </wp:inline>
        </w:drawing>
      </w:r>
    </w:p>
    <w:p w14:paraId="7E2E8E20" w14:textId="11144908" w:rsidR="00C87F1C" w:rsidRPr="00890425" w:rsidRDefault="00C87F1C" w:rsidP="00EA581E">
      <w:pPr>
        <w:pStyle w:val="Caption"/>
        <w:jc w:val="center"/>
      </w:pPr>
      <w:bookmarkStart w:id="210" w:name="_Ref506292163"/>
      <w:bookmarkStart w:id="211" w:name="_Ref506292158"/>
      <w:bookmarkStart w:id="212" w:name="_Toc514018092"/>
      <w:r w:rsidRPr="00890425">
        <w:t xml:space="preserve">Figure </w:t>
      </w:r>
      <w:r w:rsidR="004F42DD">
        <w:fldChar w:fldCharType="begin"/>
      </w:r>
      <w:r w:rsidR="004F42DD">
        <w:instrText xml:space="preserve"> STYLEREF 1 \s </w:instrText>
      </w:r>
      <w:r w:rsidR="004F42DD">
        <w:fldChar w:fldCharType="separate"/>
      </w:r>
      <w:r w:rsidR="00BF015B">
        <w:rPr>
          <w:noProof/>
        </w:rPr>
        <w:t>4</w:t>
      </w:r>
      <w:r w:rsidR="004F42DD">
        <w:fldChar w:fldCharType="end"/>
      </w:r>
      <w:r w:rsidR="004F42DD">
        <w:noBreakHyphen/>
      </w:r>
      <w:r w:rsidR="004F42DD">
        <w:fldChar w:fldCharType="begin"/>
      </w:r>
      <w:r w:rsidR="004F42DD">
        <w:instrText xml:space="preserve"> SEQ Figure \* ARABIC \s 1 </w:instrText>
      </w:r>
      <w:r w:rsidR="004F42DD">
        <w:fldChar w:fldCharType="separate"/>
      </w:r>
      <w:r w:rsidR="00BF015B">
        <w:rPr>
          <w:noProof/>
        </w:rPr>
        <w:t>2</w:t>
      </w:r>
      <w:r w:rsidR="004F42DD">
        <w:fldChar w:fldCharType="end"/>
      </w:r>
      <w:bookmarkEnd w:id="210"/>
      <w:r w:rsidRPr="00890425">
        <w:t>: Inputs required for the prioritisation of management units and management options</w:t>
      </w:r>
      <w:bookmarkEnd w:id="211"/>
      <w:bookmarkEnd w:id="212"/>
    </w:p>
    <w:p w14:paraId="660BC3C9" w14:textId="77777777" w:rsidR="001D72AF" w:rsidRDefault="001D72AF" w:rsidP="001D72AF">
      <w:pPr>
        <w:pStyle w:val="Para0"/>
        <w:rPr>
          <w:rFonts w:cs="Arial"/>
          <w:szCs w:val="20"/>
        </w:rPr>
      </w:pPr>
      <w:r>
        <w:rPr>
          <w:rFonts w:cs="Arial"/>
          <w:szCs w:val="20"/>
        </w:rPr>
        <w:t xml:space="preserve">It should be noted that the site management plan is likely to consider management for a range of outcomes, not </w:t>
      </w:r>
      <w:r w:rsidRPr="00D83EB9">
        <w:rPr>
          <w:rFonts w:cs="Arial"/>
          <w:szCs w:val="20"/>
        </w:rPr>
        <w:t xml:space="preserve">solely focused on Black Box. This chapter provides guidance on feasibility and prioritisation for Black Box outcomes only, consideration of other outcomes is outside the scope of the Framework.  </w:t>
      </w:r>
    </w:p>
    <w:p w14:paraId="319AD81A" w14:textId="77777777" w:rsidR="001D72AF" w:rsidRPr="00C87F1C" w:rsidRDefault="001D72AF" w:rsidP="00C87F1C">
      <w:pPr>
        <w:pStyle w:val="Para0"/>
      </w:pPr>
    </w:p>
    <w:p w14:paraId="7ECAD30E" w14:textId="0E4E6EDE" w:rsidR="008C06C0" w:rsidRDefault="008C06C0">
      <w:pPr>
        <w:spacing w:after="0" w:line="240" w:lineRule="auto"/>
      </w:pPr>
      <w:r>
        <w:br w:type="page"/>
      </w:r>
    </w:p>
    <w:p w14:paraId="17C073FC" w14:textId="15FE6F84" w:rsidR="000C57A2" w:rsidRDefault="000C57A2" w:rsidP="000C57A2">
      <w:pPr>
        <w:pStyle w:val="Heading2"/>
        <w:keepNext w:val="0"/>
        <w:keepLines w:val="0"/>
        <w:rPr>
          <w:color w:val="65876D" w:themeColor="accent4" w:themeShade="BF"/>
        </w:rPr>
      </w:pPr>
      <w:bookmarkStart w:id="213" w:name="_Toc514018003"/>
      <w:r>
        <w:rPr>
          <w:color w:val="65876D" w:themeColor="accent4" w:themeShade="BF"/>
        </w:rPr>
        <w:t xml:space="preserve">STEP </w:t>
      </w:r>
      <w:r w:rsidR="00100448">
        <w:rPr>
          <w:color w:val="65876D" w:themeColor="accent4" w:themeShade="BF"/>
        </w:rPr>
        <w:t>6</w:t>
      </w:r>
      <w:r>
        <w:rPr>
          <w:color w:val="65876D" w:themeColor="accent4" w:themeShade="BF"/>
        </w:rPr>
        <w:t>: PRIORITISE BLACK BOX MANAGEMENT UNITS AND MANAGEMENT OPTIONS</w:t>
      </w:r>
      <w:bookmarkEnd w:id="213"/>
    </w:p>
    <w:p w14:paraId="6DA981A6" w14:textId="5C53AF01" w:rsidR="00262A0A" w:rsidRPr="00EA2DC6" w:rsidRDefault="00262A0A" w:rsidP="00262A0A">
      <w:pPr>
        <w:spacing w:before="240" w:after="120"/>
      </w:pPr>
      <w:r w:rsidRPr="000F678F">
        <w:t xml:space="preserve">Environmental managers are faced with a limited pool of resources from which to deliver the “best” possible ecological outcomes. </w:t>
      </w:r>
      <w:r>
        <w:t xml:space="preserve">This </w:t>
      </w:r>
      <w:r w:rsidR="005A4E06">
        <w:t>chapter</w:t>
      </w:r>
      <w:r w:rsidRPr="00EE61C2">
        <w:t xml:space="preserve"> provides guidance to support practitioners in </w:t>
      </w:r>
      <w:r>
        <w:t xml:space="preserve">prioritising the management units and management options, </w:t>
      </w:r>
      <w:r w:rsidR="00157BF7">
        <w:t xml:space="preserve">and in </w:t>
      </w:r>
      <w:r>
        <w:t>d</w:t>
      </w:r>
      <w:r w:rsidRPr="00EE61C2">
        <w:t xml:space="preserve">emonstrating that a range of options have been considered for both </w:t>
      </w:r>
      <w:r>
        <w:t>selection of management units</w:t>
      </w:r>
      <w:r w:rsidRPr="00EE61C2">
        <w:t xml:space="preserve"> and management options</w:t>
      </w:r>
      <w:r>
        <w:t xml:space="preserve">. </w:t>
      </w:r>
    </w:p>
    <w:p w14:paraId="0CDA8451" w14:textId="5FB8C884" w:rsidR="00262A0A" w:rsidRPr="00EA2DC6" w:rsidRDefault="00262A0A" w:rsidP="00262A0A">
      <w:pPr>
        <w:spacing w:before="240" w:after="120"/>
      </w:pPr>
      <w:r w:rsidRPr="00EA2DC6">
        <w:t xml:space="preserve">A suggested high-level approach to </w:t>
      </w:r>
      <w:r>
        <w:t xml:space="preserve">prioritising Black Box </w:t>
      </w:r>
      <w:r w:rsidR="00537ED0">
        <w:t>m</w:t>
      </w:r>
      <w:r>
        <w:t xml:space="preserve">anagement </w:t>
      </w:r>
      <w:r w:rsidR="00537ED0">
        <w:t>u</w:t>
      </w:r>
      <w:r>
        <w:t xml:space="preserve">nits and management options is provided </w:t>
      </w:r>
      <w:r w:rsidR="00157BF7">
        <w:t xml:space="preserve">in </w:t>
      </w:r>
      <w:r w:rsidR="00157BF7">
        <w:fldChar w:fldCharType="begin"/>
      </w:r>
      <w:r w:rsidR="00157BF7">
        <w:instrText xml:space="preserve"> REF _Ref506806355 \h </w:instrText>
      </w:r>
      <w:r w:rsidR="00157BF7">
        <w:fldChar w:fldCharType="separate"/>
      </w:r>
      <w:r w:rsidR="00BF015B" w:rsidRPr="00890425">
        <w:t xml:space="preserve">Figure </w:t>
      </w:r>
      <w:r w:rsidR="00BF015B">
        <w:rPr>
          <w:noProof/>
        </w:rPr>
        <w:t>4</w:t>
      </w:r>
      <w:r w:rsidR="00BF015B">
        <w:noBreakHyphen/>
      </w:r>
      <w:r w:rsidR="00BF015B">
        <w:rPr>
          <w:noProof/>
        </w:rPr>
        <w:t>3</w:t>
      </w:r>
      <w:r w:rsidR="00157BF7">
        <w:fldChar w:fldCharType="end"/>
      </w:r>
      <w:r w:rsidR="00157BF7">
        <w:t xml:space="preserve">. </w:t>
      </w:r>
      <w:r w:rsidR="00B511B4">
        <w:t>Throughout the prioritisation process, there are a range of</w:t>
      </w:r>
      <w:r w:rsidR="00D17632">
        <w:t xml:space="preserve"> choices practitioners can make so that the</w:t>
      </w:r>
      <w:r w:rsidR="00B511B4">
        <w:t xml:space="preserve"> process </w:t>
      </w:r>
      <w:r w:rsidR="00D17632">
        <w:t xml:space="preserve">is suitable </w:t>
      </w:r>
      <w:r w:rsidR="00B511B4">
        <w:t xml:space="preserve">for their situation. </w:t>
      </w:r>
      <w:r w:rsidR="00157BF7">
        <w:t xml:space="preserve">Guidance on each of the steps of the approach are provided throughout this </w:t>
      </w:r>
      <w:r w:rsidR="005A4E06">
        <w:t>chapter</w:t>
      </w:r>
      <w:r w:rsidR="00157BF7">
        <w:t xml:space="preserve">. </w:t>
      </w:r>
    </w:p>
    <w:p w14:paraId="0A95BACE" w14:textId="77777777" w:rsidR="00262A0A" w:rsidRPr="00EA2DC6" w:rsidRDefault="00262A0A" w:rsidP="00262A0A">
      <w:pPr>
        <w:spacing w:before="240" w:after="120"/>
      </w:pPr>
      <w:r w:rsidRPr="00EA2DC6">
        <w:rPr>
          <w:noProof/>
          <w:lang w:eastAsia="en-AU"/>
        </w:rPr>
        <w:drawing>
          <wp:inline distT="0" distB="0" distL="0" distR="0" wp14:anchorId="109C8CB2" wp14:editId="7F3F3A41">
            <wp:extent cx="6165410" cy="3204926"/>
            <wp:effectExtent l="0" t="0" r="26035" b="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14:paraId="168377D5" w14:textId="7F0FD3F3" w:rsidR="00157BF7" w:rsidRPr="00890425" w:rsidRDefault="00157BF7" w:rsidP="00EA581E">
      <w:pPr>
        <w:pStyle w:val="Caption"/>
        <w:jc w:val="center"/>
      </w:pPr>
      <w:bookmarkStart w:id="214" w:name="_Ref506806355"/>
      <w:bookmarkStart w:id="215" w:name="_Toc514018093"/>
      <w:r w:rsidRPr="00890425">
        <w:t xml:space="preserve">Figure </w:t>
      </w:r>
      <w:r w:rsidR="004F42DD">
        <w:fldChar w:fldCharType="begin"/>
      </w:r>
      <w:r w:rsidR="004F42DD">
        <w:instrText xml:space="preserve"> STYLEREF 1 \s </w:instrText>
      </w:r>
      <w:r w:rsidR="004F42DD">
        <w:fldChar w:fldCharType="separate"/>
      </w:r>
      <w:r w:rsidR="00BF015B">
        <w:rPr>
          <w:noProof/>
        </w:rPr>
        <w:t>4</w:t>
      </w:r>
      <w:r w:rsidR="004F42DD">
        <w:fldChar w:fldCharType="end"/>
      </w:r>
      <w:r w:rsidR="004F42DD">
        <w:noBreakHyphen/>
      </w:r>
      <w:r w:rsidR="004F42DD">
        <w:fldChar w:fldCharType="begin"/>
      </w:r>
      <w:r w:rsidR="004F42DD">
        <w:instrText xml:space="preserve"> SEQ Figure \* ARABIC \s 1 </w:instrText>
      </w:r>
      <w:r w:rsidR="004F42DD">
        <w:fldChar w:fldCharType="separate"/>
      </w:r>
      <w:r w:rsidR="00BF015B">
        <w:rPr>
          <w:noProof/>
        </w:rPr>
        <w:t>3</w:t>
      </w:r>
      <w:r w:rsidR="004F42DD">
        <w:fldChar w:fldCharType="end"/>
      </w:r>
      <w:bookmarkEnd w:id="214"/>
      <w:r w:rsidRPr="00890425">
        <w:t xml:space="preserve">: </w:t>
      </w:r>
      <w:r>
        <w:t xml:space="preserve">Overview of Step 6: Prioritise Black Box </w:t>
      </w:r>
      <w:r w:rsidR="00537ED0">
        <w:t>m</w:t>
      </w:r>
      <w:r>
        <w:t xml:space="preserve">anagement </w:t>
      </w:r>
      <w:r w:rsidR="00537ED0">
        <w:t>u</w:t>
      </w:r>
      <w:r>
        <w:t xml:space="preserve">nits and </w:t>
      </w:r>
      <w:r w:rsidR="00537ED0">
        <w:t>m</w:t>
      </w:r>
      <w:r>
        <w:t xml:space="preserve">anagement </w:t>
      </w:r>
      <w:r w:rsidR="00537ED0">
        <w:t>o</w:t>
      </w:r>
      <w:r>
        <w:t>ptions</w:t>
      </w:r>
      <w:bookmarkEnd w:id="215"/>
    </w:p>
    <w:p w14:paraId="7E2DDB98" w14:textId="77777777" w:rsidR="00262A0A" w:rsidRPr="00E230DF" w:rsidRDefault="00262A0A" w:rsidP="00E230DF">
      <w:pPr>
        <w:pStyle w:val="Para0"/>
      </w:pPr>
    </w:p>
    <w:p w14:paraId="2F8983BC" w14:textId="4C497AAB" w:rsidR="00E5224E" w:rsidRPr="00E230DF" w:rsidRDefault="00E5224E" w:rsidP="00E230DF">
      <w:pPr>
        <w:pStyle w:val="Heading3"/>
      </w:pPr>
      <w:r>
        <w:t>Overview of Prioritisation Tools</w:t>
      </w:r>
      <w:r w:rsidR="00B511B4">
        <w:t xml:space="preserve"> and Confidence Assessment</w:t>
      </w:r>
    </w:p>
    <w:p w14:paraId="287F5D3B" w14:textId="7FEF0AC0" w:rsidR="00251B81" w:rsidRDefault="00CB25ED" w:rsidP="00E230DF">
      <w:pPr>
        <w:rPr>
          <w:color w:val="000000" w:themeColor="text1"/>
        </w:rPr>
      </w:pPr>
      <w:r w:rsidRPr="00B72391">
        <w:rPr>
          <w:rFonts w:cs="Arial"/>
          <w:szCs w:val="20"/>
        </w:rPr>
        <w:t xml:space="preserve">Various methods and tools can be used to </w:t>
      </w:r>
      <w:r>
        <w:rPr>
          <w:rFonts w:cs="Arial"/>
          <w:szCs w:val="20"/>
        </w:rPr>
        <w:t xml:space="preserve">prioritise management units and management options. </w:t>
      </w:r>
      <w:r w:rsidRPr="00B72391">
        <w:rPr>
          <w:rFonts w:cs="Arial"/>
          <w:szCs w:val="20"/>
        </w:rPr>
        <w:t xml:space="preserve">The selection of an appropriate method will be determined by the </w:t>
      </w:r>
      <w:r>
        <w:rPr>
          <w:rFonts w:cs="Arial"/>
          <w:szCs w:val="20"/>
        </w:rPr>
        <w:t xml:space="preserve">range of potential management options, time and resources available for the prioritisation, and the scale of investment that is likely to be sought for the site. </w:t>
      </w:r>
      <w:r w:rsidR="005B199B">
        <w:rPr>
          <w:rFonts w:cs="Arial"/>
          <w:b/>
          <w:bCs/>
          <w:szCs w:val="20"/>
          <w:lang w:val="en-US"/>
        </w:rPr>
        <w:fldChar w:fldCharType="begin"/>
      </w:r>
      <w:r w:rsidR="005B199B">
        <w:rPr>
          <w:rFonts w:cs="Arial"/>
          <w:szCs w:val="20"/>
        </w:rPr>
        <w:instrText xml:space="preserve"> REF _Ref509930274 \h </w:instrText>
      </w:r>
      <w:r w:rsidR="005B199B">
        <w:rPr>
          <w:rFonts w:cs="Arial"/>
          <w:b/>
          <w:bCs/>
          <w:szCs w:val="20"/>
          <w:lang w:val="en-US"/>
        </w:rPr>
      </w:r>
      <w:r w:rsidR="005B199B">
        <w:rPr>
          <w:rFonts w:cs="Arial"/>
          <w:b/>
          <w:bCs/>
          <w:szCs w:val="20"/>
          <w:lang w:val="en-US"/>
        </w:rPr>
        <w:fldChar w:fldCharType="separate"/>
      </w:r>
      <w:r w:rsidR="00BF015B">
        <w:t xml:space="preserve">Table </w:t>
      </w:r>
      <w:r w:rsidR="00BF015B">
        <w:rPr>
          <w:noProof/>
        </w:rPr>
        <w:t>4</w:t>
      </w:r>
      <w:r w:rsidR="00BF015B">
        <w:noBreakHyphen/>
      </w:r>
      <w:r w:rsidR="00BF015B">
        <w:rPr>
          <w:noProof/>
        </w:rPr>
        <w:t>1</w:t>
      </w:r>
      <w:r w:rsidR="005B199B">
        <w:rPr>
          <w:rFonts w:cs="Arial"/>
          <w:b/>
          <w:bCs/>
          <w:szCs w:val="20"/>
          <w:lang w:val="en-US"/>
        </w:rPr>
        <w:fldChar w:fldCharType="end"/>
      </w:r>
      <w:r w:rsidR="005B199B">
        <w:rPr>
          <w:rFonts w:cs="Arial"/>
          <w:b/>
          <w:bCs/>
          <w:szCs w:val="20"/>
          <w:lang w:val="en-US"/>
        </w:rPr>
        <w:t xml:space="preserve"> </w:t>
      </w:r>
      <w:r w:rsidR="00B511B4">
        <w:rPr>
          <w:rFonts w:cs="Arial"/>
          <w:szCs w:val="20"/>
        </w:rPr>
        <w:t xml:space="preserve">provides a description of a range of methods along with a </w:t>
      </w:r>
      <w:r w:rsidR="00B511B4">
        <w:rPr>
          <w:color w:val="000000" w:themeColor="text1"/>
        </w:rPr>
        <w:t xml:space="preserve">guide to a hierarchy of prioritisation tools, for providing increasing levels of confidence in the prioritisation process. This table is intended to provide land managers with a quick reference guide from which they can select the most appropriate method depending on their situation. </w:t>
      </w:r>
    </w:p>
    <w:p w14:paraId="37B79FFF" w14:textId="0FB84CE0" w:rsidR="009C50FE" w:rsidRDefault="009C50FE" w:rsidP="00E230DF">
      <w:pPr>
        <w:rPr>
          <w:color w:val="000000" w:themeColor="text1"/>
        </w:rPr>
      </w:pPr>
      <w:r>
        <w:t xml:space="preserve">Refer </w:t>
      </w:r>
      <w:r w:rsidR="005A4E06">
        <w:t>chapter</w:t>
      </w:r>
      <w:r>
        <w:t xml:space="preserve"> </w:t>
      </w:r>
      <w:r>
        <w:rPr>
          <w:highlight w:val="yellow"/>
        </w:rPr>
        <w:fldChar w:fldCharType="begin"/>
      </w:r>
      <w:r>
        <w:instrText xml:space="preserve"> REF _Ref505673858 \r \h </w:instrText>
      </w:r>
      <w:r>
        <w:rPr>
          <w:highlight w:val="yellow"/>
        </w:rPr>
      </w:r>
      <w:r>
        <w:rPr>
          <w:highlight w:val="yellow"/>
        </w:rPr>
        <w:fldChar w:fldCharType="separate"/>
      </w:r>
      <w:r w:rsidR="00BF015B">
        <w:t>3.2</w:t>
      </w:r>
      <w:r>
        <w:rPr>
          <w:highlight w:val="yellow"/>
        </w:rPr>
        <w:fldChar w:fldCharType="end"/>
      </w:r>
      <w:r>
        <w:t xml:space="preserve"> for an explanation of the confidence assessment colour coding and explanation of what confidence levels are appropriate for different types of sites.</w:t>
      </w:r>
    </w:p>
    <w:p w14:paraId="42959440" w14:textId="2FA08CB3" w:rsidR="00CB25ED" w:rsidRDefault="00CB25ED">
      <w:pPr>
        <w:pStyle w:val="Caption"/>
        <w:rPr>
          <w:color w:val="000000" w:themeColor="text1"/>
        </w:rPr>
      </w:pPr>
      <w:bookmarkStart w:id="216" w:name="_Ref509930274"/>
      <w:bookmarkStart w:id="217" w:name="_Toc514068786"/>
      <w:r>
        <w:t xml:space="preserve">Table </w:t>
      </w:r>
      <w:r>
        <w:fldChar w:fldCharType="begin"/>
      </w:r>
      <w:r>
        <w:instrText xml:space="preserve"> STYLEREF 1 \s </w:instrText>
      </w:r>
      <w:r>
        <w:fldChar w:fldCharType="separate"/>
      </w:r>
      <w:r w:rsidR="00BF015B">
        <w:rPr>
          <w:noProof/>
        </w:rPr>
        <w:t>4</w:t>
      </w:r>
      <w:r>
        <w:fldChar w:fldCharType="end"/>
      </w:r>
      <w:r>
        <w:noBreakHyphen/>
      </w:r>
      <w:r>
        <w:fldChar w:fldCharType="begin"/>
      </w:r>
      <w:r>
        <w:instrText xml:space="preserve"> SEQ Table \* ARABIC \s 1 </w:instrText>
      </w:r>
      <w:r>
        <w:fldChar w:fldCharType="separate"/>
      </w:r>
      <w:r w:rsidR="00BF015B">
        <w:rPr>
          <w:noProof/>
        </w:rPr>
        <w:t>1</w:t>
      </w:r>
      <w:r>
        <w:fldChar w:fldCharType="end"/>
      </w:r>
      <w:bookmarkEnd w:id="216"/>
      <w:r>
        <w:t>: Guide to a hierarchy of methods fo</w:t>
      </w:r>
      <w:r w:rsidR="00251B81">
        <w:t xml:space="preserve">r prioritising Black Box </w:t>
      </w:r>
      <w:r w:rsidR="00537ED0">
        <w:t>m</w:t>
      </w:r>
      <w:r w:rsidR="00251B81">
        <w:t xml:space="preserve">anagement </w:t>
      </w:r>
      <w:r w:rsidR="00537ED0">
        <w:t>u</w:t>
      </w:r>
      <w:r w:rsidR="00251B81">
        <w:t xml:space="preserve">nits and </w:t>
      </w:r>
      <w:r w:rsidR="00537ED0">
        <w:t>o</w:t>
      </w:r>
      <w:r w:rsidR="00251B81">
        <w:t>ptions</w:t>
      </w:r>
      <w:bookmarkEnd w:id="217"/>
    </w:p>
    <w:tbl>
      <w:tblPr>
        <w:tblStyle w:val="TableGrid"/>
        <w:tblW w:w="4820"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895"/>
        <w:gridCol w:w="7654"/>
      </w:tblGrid>
      <w:tr w:rsidR="00B511B4" w14:paraId="72C3B13B" w14:textId="730A092C" w:rsidTr="00E230DF">
        <w:trPr>
          <w:tblHeader/>
        </w:trPr>
        <w:tc>
          <w:tcPr>
            <w:tcW w:w="992" w:type="pct"/>
            <w:tcBorders>
              <w:right w:val="single" w:sz="4" w:space="0" w:color="FFFFFF" w:themeColor="background1"/>
            </w:tcBorders>
            <w:shd w:val="clear" w:color="auto" w:fill="00338D"/>
            <w:vAlign w:val="center"/>
          </w:tcPr>
          <w:p w14:paraId="7F652739" w14:textId="77777777" w:rsidR="00B511B4" w:rsidRDefault="00B511B4">
            <w:pPr>
              <w:pStyle w:val="Tableheading"/>
              <w:jc w:val="center"/>
            </w:pPr>
            <w:r>
              <w:t>Confidence level</w:t>
            </w:r>
          </w:p>
        </w:tc>
        <w:tc>
          <w:tcPr>
            <w:tcW w:w="4008" w:type="pct"/>
            <w:tcBorders>
              <w:left w:val="single" w:sz="4" w:space="0" w:color="FFFFFF" w:themeColor="background1"/>
              <w:bottom w:val="single" w:sz="4" w:space="0" w:color="auto"/>
              <w:right w:val="single" w:sz="4" w:space="0" w:color="FFFFFF" w:themeColor="background1"/>
            </w:tcBorders>
            <w:shd w:val="clear" w:color="auto" w:fill="00338D"/>
            <w:vAlign w:val="center"/>
          </w:tcPr>
          <w:p w14:paraId="669EBCF3" w14:textId="6B5BBEB1" w:rsidR="00B511B4" w:rsidRDefault="00B511B4">
            <w:pPr>
              <w:pStyle w:val="Tableheading"/>
              <w:jc w:val="center"/>
            </w:pPr>
            <w:r>
              <w:t>Prioritisation Tool</w:t>
            </w:r>
          </w:p>
        </w:tc>
      </w:tr>
      <w:tr w:rsidR="00B511B4" w:rsidRPr="008619DA" w14:paraId="3F12F5CF" w14:textId="48F57277" w:rsidTr="00E230DF">
        <w:tc>
          <w:tcPr>
            <w:tcW w:w="992" w:type="pct"/>
            <w:tcBorders>
              <w:right w:val="single" w:sz="4" w:space="0" w:color="auto"/>
            </w:tcBorders>
            <w:shd w:val="clear" w:color="auto" w:fill="FFFF00"/>
            <w:vAlign w:val="center"/>
          </w:tcPr>
          <w:p w14:paraId="58732768" w14:textId="55FEAC44" w:rsidR="00B511B4" w:rsidRDefault="00B511B4" w:rsidP="00A40029">
            <w:pPr>
              <w:pStyle w:val="Tabletext"/>
              <w:keepNext/>
            </w:pPr>
            <w:r>
              <w:t xml:space="preserve">Low: </w:t>
            </w:r>
          </w:p>
        </w:tc>
        <w:tc>
          <w:tcPr>
            <w:tcW w:w="4008" w:type="pct"/>
            <w:tcBorders>
              <w:top w:val="single" w:sz="4" w:space="0" w:color="auto"/>
              <w:left w:val="single" w:sz="4" w:space="0" w:color="auto"/>
              <w:bottom w:val="single" w:sz="4" w:space="0" w:color="auto"/>
              <w:right w:val="single" w:sz="4" w:space="0" w:color="auto"/>
            </w:tcBorders>
            <w:shd w:val="clear" w:color="auto" w:fill="auto"/>
          </w:tcPr>
          <w:p w14:paraId="54BBAE1A" w14:textId="29707186" w:rsidR="00B511B4" w:rsidRPr="0060030D" w:rsidRDefault="00B511B4" w:rsidP="00A40029">
            <w:pPr>
              <w:pStyle w:val="Para0bullet"/>
              <w:keepNext/>
              <w:numPr>
                <w:ilvl w:val="0"/>
                <w:numId w:val="0"/>
              </w:numPr>
              <w:ind w:left="425" w:hanging="425"/>
            </w:pPr>
            <w:r w:rsidRPr="00E230DF">
              <w:rPr>
                <w:b/>
              </w:rPr>
              <w:t>No formal prioritisation process</w:t>
            </w:r>
            <w:r w:rsidR="00251B81">
              <w:t>:</w:t>
            </w:r>
            <w:r>
              <w:t xml:space="preserve"> selection based on “</w:t>
            </w:r>
            <w:r w:rsidR="00DD4752">
              <w:t>intuition alone</w:t>
            </w:r>
            <w:r>
              <w:t>”</w:t>
            </w:r>
          </w:p>
        </w:tc>
      </w:tr>
      <w:tr w:rsidR="00B511B4" w:rsidRPr="008619DA" w14:paraId="0F6E3F73" w14:textId="0EDEBB6A" w:rsidTr="00E230DF">
        <w:tc>
          <w:tcPr>
            <w:tcW w:w="992" w:type="pct"/>
            <w:tcBorders>
              <w:right w:val="single" w:sz="4" w:space="0" w:color="auto"/>
            </w:tcBorders>
            <w:shd w:val="clear" w:color="auto" w:fill="FFC000"/>
            <w:vAlign w:val="center"/>
          </w:tcPr>
          <w:p w14:paraId="556CE249" w14:textId="5D8F3793" w:rsidR="00B511B4" w:rsidRDefault="00B511B4" w:rsidP="00A40029">
            <w:pPr>
              <w:pStyle w:val="Tabletext"/>
              <w:keepNext/>
            </w:pPr>
            <w:r>
              <w:t xml:space="preserve">Low/Moderate: </w:t>
            </w:r>
          </w:p>
        </w:tc>
        <w:tc>
          <w:tcPr>
            <w:tcW w:w="4008" w:type="pct"/>
            <w:tcBorders>
              <w:top w:val="single" w:sz="4" w:space="0" w:color="auto"/>
              <w:left w:val="single" w:sz="4" w:space="0" w:color="auto"/>
              <w:bottom w:val="single" w:sz="4" w:space="0" w:color="auto"/>
              <w:right w:val="single" w:sz="4" w:space="0" w:color="auto"/>
            </w:tcBorders>
            <w:shd w:val="clear" w:color="auto" w:fill="auto"/>
          </w:tcPr>
          <w:p w14:paraId="11EBF338" w14:textId="08DF85D3" w:rsidR="00D17632" w:rsidRDefault="00D17632" w:rsidP="00A40029">
            <w:pPr>
              <w:pStyle w:val="Para0"/>
              <w:keepNext/>
            </w:pPr>
            <w:r w:rsidRPr="00E230DF">
              <w:rPr>
                <w:b/>
              </w:rPr>
              <w:t>Rapid</w:t>
            </w:r>
            <w:r w:rsidR="00B511B4" w:rsidRPr="00E230DF">
              <w:rPr>
                <w:b/>
              </w:rPr>
              <w:t xml:space="preserve"> </w:t>
            </w:r>
            <w:r w:rsidR="0040215C" w:rsidRPr="00E230DF">
              <w:rPr>
                <w:b/>
              </w:rPr>
              <w:t xml:space="preserve">Prioritisation </w:t>
            </w:r>
            <w:r w:rsidRPr="00E230DF">
              <w:rPr>
                <w:b/>
              </w:rPr>
              <w:t>Method:</w:t>
            </w:r>
            <w:r>
              <w:t xml:space="preserve"> Uses a qualitative comparison of multiple criteria to compare potential management options, however does not include detailed scoring and weighting of criteria.</w:t>
            </w:r>
            <w:r w:rsidR="00251B81">
              <w:t xml:space="preserve"> </w:t>
            </w:r>
            <w:r>
              <w:t xml:space="preserve">This method </w:t>
            </w:r>
            <w:r w:rsidR="00FC46E3">
              <w:t xml:space="preserve">is appropriate </w:t>
            </w:r>
            <w:r>
              <w:t xml:space="preserve">for relatively small sites, where the investigation of management options (Step 5 in Part A of the Framework) shows a small number of feasible management units and options, and where the level of investment being sought for management is low. It is recommended this process be completed as part of a workshop with key stakeholders, so that all relevant knowledge is captured and included in the prioritisation. </w:t>
            </w:r>
          </w:p>
          <w:p w14:paraId="4D31ED6D" w14:textId="2F705054" w:rsidR="00B511B4" w:rsidRPr="0060030D" w:rsidRDefault="00251B81" w:rsidP="00A40029">
            <w:pPr>
              <w:pStyle w:val="Para0bullet"/>
              <w:keepNext/>
              <w:numPr>
                <w:ilvl w:val="0"/>
                <w:numId w:val="0"/>
              </w:numPr>
              <w:ind w:left="425" w:hanging="425"/>
            </w:pPr>
            <w:r w:rsidRPr="00C87406">
              <w:t xml:space="preserve">Refer </w:t>
            </w:r>
            <w:r w:rsidRPr="00E230DF">
              <w:fldChar w:fldCharType="begin"/>
            </w:r>
            <w:r w:rsidRPr="00E230DF">
              <w:instrText xml:space="preserve"> REF _Ref506813492 \r \h </w:instrText>
            </w:r>
            <w:r w:rsidR="00F10875">
              <w:instrText xml:space="preserve"> \* MERGEFORMAT </w:instrText>
            </w:r>
            <w:r w:rsidRPr="00E230DF">
              <w:fldChar w:fldCharType="separate"/>
            </w:r>
            <w:r w:rsidR="00BF015B">
              <w:t>Appendix F</w:t>
            </w:r>
            <w:r w:rsidRPr="00E230DF">
              <w:fldChar w:fldCharType="end"/>
            </w:r>
            <w:r w:rsidRPr="00C87406">
              <w:t xml:space="preserve"> for</w:t>
            </w:r>
            <w:r>
              <w:t xml:space="preserve"> a description of the Rapid Prioritisation Method. </w:t>
            </w:r>
          </w:p>
        </w:tc>
      </w:tr>
      <w:tr w:rsidR="00B511B4" w:rsidRPr="008619DA" w14:paraId="34768D75" w14:textId="53917581" w:rsidTr="00E230DF">
        <w:tc>
          <w:tcPr>
            <w:tcW w:w="992" w:type="pct"/>
            <w:tcBorders>
              <w:right w:val="single" w:sz="4" w:space="0" w:color="auto"/>
            </w:tcBorders>
            <w:shd w:val="clear" w:color="auto" w:fill="99FF99"/>
            <w:vAlign w:val="center"/>
          </w:tcPr>
          <w:p w14:paraId="1384D1E2" w14:textId="01B68AD5" w:rsidR="00B511B4" w:rsidRDefault="00B511B4" w:rsidP="00A40029">
            <w:pPr>
              <w:pStyle w:val="Tabletext"/>
              <w:keepNext/>
            </w:pPr>
            <w:r>
              <w:t xml:space="preserve">Moderate: </w:t>
            </w:r>
          </w:p>
        </w:tc>
        <w:tc>
          <w:tcPr>
            <w:tcW w:w="4008" w:type="pct"/>
            <w:tcBorders>
              <w:top w:val="single" w:sz="4" w:space="0" w:color="auto"/>
              <w:left w:val="single" w:sz="4" w:space="0" w:color="auto"/>
              <w:bottom w:val="single" w:sz="4" w:space="0" w:color="auto"/>
              <w:right w:val="single" w:sz="4" w:space="0" w:color="auto"/>
            </w:tcBorders>
            <w:shd w:val="clear" w:color="auto" w:fill="auto"/>
          </w:tcPr>
          <w:p w14:paraId="6D1485F3" w14:textId="77777777" w:rsidR="00B511B4" w:rsidRDefault="00B511B4" w:rsidP="00A40029">
            <w:pPr>
              <w:pStyle w:val="Para0bullet"/>
              <w:keepNext/>
              <w:numPr>
                <w:ilvl w:val="0"/>
                <w:numId w:val="0"/>
              </w:numPr>
            </w:pPr>
            <w:r w:rsidRPr="00E230DF">
              <w:rPr>
                <w:b/>
              </w:rPr>
              <w:t>Multi-Criteria Analysis (MCA):</w:t>
            </w:r>
            <w:r>
              <w:t xml:space="preserve"> </w:t>
            </w:r>
            <w:r w:rsidRPr="00EA2DC6">
              <w:t xml:space="preserve">MCA is a decision supporting tool that is commonly used to assess a list of sites and options, through a robust and transparent process that compares potential options against an agreed set of weighted criteria. </w:t>
            </w:r>
          </w:p>
          <w:p w14:paraId="697479EE" w14:textId="1337203E" w:rsidR="00B511B4" w:rsidRPr="008619DA" w:rsidRDefault="00B511B4" w:rsidP="00A40029">
            <w:pPr>
              <w:pStyle w:val="Tabletext"/>
              <w:keepNext/>
            </w:pPr>
            <w:r>
              <w:t xml:space="preserve">Refer </w:t>
            </w:r>
            <w:r w:rsidR="00251B81">
              <w:rPr>
                <w:highlight w:val="yellow"/>
              </w:rPr>
              <w:fldChar w:fldCharType="begin"/>
            </w:r>
            <w:r w:rsidR="00251B81">
              <w:instrText xml:space="preserve"> REF _Ref506813601 \r \h </w:instrText>
            </w:r>
            <w:r w:rsidR="00251B81">
              <w:rPr>
                <w:highlight w:val="yellow"/>
              </w:rPr>
            </w:r>
            <w:r w:rsidR="00251B81">
              <w:rPr>
                <w:highlight w:val="yellow"/>
              </w:rPr>
              <w:fldChar w:fldCharType="separate"/>
            </w:r>
            <w:r w:rsidR="00BF015B">
              <w:t>Appendix G</w:t>
            </w:r>
            <w:r w:rsidR="00251B81">
              <w:rPr>
                <w:highlight w:val="yellow"/>
              </w:rPr>
              <w:fldChar w:fldCharType="end"/>
            </w:r>
            <w:r w:rsidR="00251B81">
              <w:t xml:space="preserve"> </w:t>
            </w:r>
            <w:r>
              <w:t>for a description of MCA.</w:t>
            </w:r>
          </w:p>
        </w:tc>
      </w:tr>
      <w:tr w:rsidR="00B511B4" w:rsidRPr="008619DA" w14:paraId="78E908A5" w14:textId="095EF143" w:rsidTr="00E230DF">
        <w:tc>
          <w:tcPr>
            <w:tcW w:w="992" w:type="pct"/>
            <w:tcBorders>
              <w:right w:val="single" w:sz="4" w:space="0" w:color="auto"/>
            </w:tcBorders>
            <w:shd w:val="clear" w:color="auto" w:fill="92D050"/>
            <w:vAlign w:val="center"/>
          </w:tcPr>
          <w:p w14:paraId="431D8DDB" w14:textId="135DD6D1" w:rsidR="00B511B4" w:rsidRDefault="00B511B4" w:rsidP="00A40029">
            <w:pPr>
              <w:pStyle w:val="Tabletext"/>
              <w:keepNext/>
            </w:pPr>
            <w:r>
              <w:t xml:space="preserve">Moderate/High: </w:t>
            </w:r>
          </w:p>
        </w:tc>
        <w:tc>
          <w:tcPr>
            <w:tcW w:w="4008" w:type="pct"/>
            <w:tcBorders>
              <w:top w:val="single" w:sz="4" w:space="0" w:color="auto"/>
              <w:left w:val="single" w:sz="4" w:space="0" w:color="auto"/>
              <w:bottom w:val="single" w:sz="4" w:space="0" w:color="auto"/>
              <w:right w:val="single" w:sz="4" w:space="0" w:color="auto"/>
            </w:tcBorders>
          </w:tcPr>
          <w:p w14:paraId="5FD7E7EB" w14:textId="25925663" w:rsidR="00B511B4" w:rsidRPr="00F10460" w:rsidRDefault="00B511B4" w:rsidP="00A40029">
            <w:pPr>
              <w:keepNext/>
            </w:pPr>
            <w:r w:rsidRPr="00E230DF">
              <w:rPr>
                <w:b/>
              </w:rPr>
              <w:t>Cost-Benefit Analysis (CBA):</w:t>
            </w:r>
            <w:r>
              <w:t xml:space="preserve"> CBA involves quantifying all costs and benefits </w:t>
            </w:r>
            <w:r w:rsidR="00686D1C">
              <w:t xml:space="preserve">involved with the management units and the management options. The benefits and costs are adjusted for the time value of money, so they can be expressed as their net present value. </w:t>
            </w:r>
            <w:r w:rsidR="00686D1C" w:rsidRPr="000F678F">
              <w:t>Where a selected site requires comparably large works for implementation, the CBA method may be required in seeking investment from project sponsors.</w:t>
            </w:r>
          </w:p>
        </w:tc>
      </w:tr>
      <w:tr w:rsidR="00B511B4" w:rsidRPr="008619DA" w14:paraId="43C25A50" w14:textId="16FD4E31" w:rsidTr="00E230DF">
        <w:tc>
          <w:tcPr>
            <w:tcW w:w="992" w:type="pct"/>
            <w:tcBorders>
              <w:right w:val="single" w:sz="4" w:space="0" w:color="auto"/>
            </w:tcBorders>
            <w:shd w:val="clear" w:color="auto" w:fill="00B050"/>
            <w:vAlign w:val="center"/>
          </w:tcPr>
          <w:p w14:paraId="1EFD9FD3" w14:textId="5D30EA80" w:rsidR="00B511B4" w:rsidRDefault="00B511B4" w:rsidP="00A40029">
            <w:pPr>
              <w:pStyle w:val="Tabletext"/>
              <w:keepNext/>
            </w:pPr>
            <w:r>
              <w:t xml:space="preserve">High: </w:t>
            </w:r>
          </w:p>
        </w:tc>
        <w:tc>
          <w:tcPr>
            <w:tcW w:w="4008" w:type="pct"/>
            <w:tcBorders>
              <w:top w:val="single" w:sz="4" w:space="0" w:color="auto"/>
              <w:left w:val="single" w:sz="4" w:space="0" w:color="auto"/>
              <w:bottom w:val="single" w:sz="4" w:space="0" w:color="auto"/>
              <w:right w:val="single" w:sz="4" w:space="0" w:color="auto"/>
            </w:tcBorders>
          </w:tcPr>
          <w:p w14:paraId="02E91B20" w14:textId="536BA987" w:rsidR="00B511B4" w:rsidRPr="008619DA" w:rsidRDefault="00B511B4" w:rsidP="00A40029">
            <w:pPr>
              <w:pStyle w:val="Tabletext"/>
              <w:keepNext/>
            </w:pPr>
            <w:r w:rsidRPr="00E230DF">
              <w:rPr>
                <w:b/>
              </w:rPr>
              <w:t>Cost Effectiveness Analysis (CEA)</w:t>
            </w:r>
            <w:r w:rsidR="00686D1C" w:rsidRPr="00E230DF">
              <w:rPr>
                <w:b/>
              </w:rPr>
              <w:t>:</w:t>
            </w:r>
            <w:r w:rsidR="00686D1C">
              <w:t xml:space="preserve"> CEA is</w:t>
            </w:r>
            <w:r w:rsidR="00686D1C" w:rsidRPr="000F678F">
              <w:t xml:space="preserve"> another framework style assessment tool, </w:t>
            </w:r>
            <w:r w:rsidR="00686D1C">
              <w:t xml:space="preserve">which </w:t>
            </w:r>
            <w:r w:rsidR="00686D1C" w:rsidRPr="000F678F">
              <w:t>could be used to compare the intended outcomes or effects of each management site / option with the relative associated costs. A CEA would likely only be of value for management options requiring significant funding investment.</w:t>
            </w:r>
          </w:p>
        </w:tc>
      </w:tr>
    </w:tbl>
    <w:p w14:paraId="40CC946E" w14:textId="77777777" w:rsidR="00CB25ED" w:rsidRDefault="00CB25ED" w:rsidP="00885114">
      <w:pPr>
        <w:pStyle w:val="Para0"/>
      </w:pPr>
    </w:p>
    <w:p w14:paraId="0425E768" w14:textId="7102BE29" w:rsidR="00E5224E" w:rsidRDefault="00E5224E" w:rsidP="00E230DF">
      <w:pPr>
        <w:pStyle w:val="Heading3"/>
      </w:pPr>
      <w:r>
        <w:t xml:space="preserve">Criteria for </w:t>
      </w:r>
      <w:r w:rsidR="00E9154C">
        <w:t>Prioritising Black Box Management Units and Management Options</w:t>
      </w:r>
    </w:p>
    <w:p w14:paraId="514050B3" w14:textId="021D9259" w:rsidR="00B46C6B" w:rsidRDefault="00307BF3" w:rsidP="005972ED">
      <w:pPr>
        <w:pStyle w:val="Para0"/>
        <w:shd w:val="clear" w:color="auto" w:fill="FFFFFF" w:themeFill="background1"/>
      </w:pPr>
      <w:r>
        <w:t xml:space="preserve">Selection of an appropriate set of criteria through which the management units and management options will be assessed is an important step in preparing to prioritise. This </w:t>
      </w:r>
      <w:r w:rsidR="005A4E06">
        <w:t>chapter</w:t>
      </w:r>
      <w:r>
        <w:t xml:space="preserve"> presents some example criteria as a starting point for practitioners. The specific criteria set that will be most appropriate will depend on site specific factors, and on which prioritisation process is selected. </w:t>
      </w:r>
    </w:p>
    <w:p w14:paraId="439A9144" w14:textId="21215703" w:rsidR="005972ED" w:rsidRPr="000F678F" w:rsidRDefault="00C45534" w:rsidP="005972ED">
      <w:pPr>
        <w:pStyle w:val="Para0"/>
        <w:shd w:val="clear" w:color="auto" w:fill="FFFFFF" w:themeFill="background1"/>
      </w:pPr>
      <w:r w:rsidRPr="000F678F">
        <w:t xml:space="preserve">The suggested parameters to assist with the </w:t>
      </w:r>
      <w:r w:rsidR="00480651">
        <w:t>prioritisation</w:t>
      </w:r>
      <w:r w:rsidRPr="000F678F">
        <w:t xml:space="preserve"> of the sites/management options are provided in </w:t>
      </w:r>
      <w:r w:rsidR="00251B81" w:rsidRPr="00E230DF">
        <w:fldChar w:fldCharType="begin"/>
      </w:r>
      <w:r w:rsidR="00251B81" w:rsidRPr="00E230DF">
        <w:instrText xml:space="preserve"> REF _Ref506813640 \r \h </w:instrText>
      </w:r>
      <w:r w:rsidR="00251B81">
        <w:instrText xml:space="preserve"> \* MERGEFORMAT </w:instrText>
      </w:r>
      <w:r w:rsidR="00251B81" w:rsidRPr="00E230DF">
        <w:fldChar w:fldCharType="separate"/>
      </w:r>
      <w:r w:rsidR="00BF015B">
        <w:t>Appendix H</w:t>
      </w:r>
      <w:r w:rsidR="00251B81" w:rsidRPr="00E230DF">
        <w:fldChar w:fldCharType="end"/>
      </w:r>
      <w:r w:rsidR="00251B81" w:rsidRPr="00C87406">
        <w:t xml:space="preserve"> and </w:t>
      </w:r>
      <w:r w:rsidR="00251B81" w:rsidRPr="00E230DF">
        <w:fldChar w:fldCharType="begin"/>
      </w:r>
      <w:r w:rsidR="00251B81" w:rsidRPr="00251B81">
        <w:instrText xml:space="preserve"> REF _Ref506813647 \r \h </w:instrText>
      </w:r>
      <w:r w:rsidR="00251B81">
        <w:instrText xml:space="preserve"> \* MERGEFORMAT </w:instrText>
      </w:r>
      <w:r w:rsidR="00251B81" w:rsidRPr="00E230DF">
        <w:fldChar w:fldCharType="separate"/>
      </w:r>
      <w:r w:rsidR="00BF015B">
        <w:t>Appendix I</w:t>
      </w:r>
      <w:r w:rsidR="00251B81" w:rsidRPr="00E230DF">
        <w:fldChar w:fldCharType="end"/>
      </w:r>
      <w:r w:rsidR="00307BF3" w:rsidRPr="00C87406">
        <w:t>.</w:t>
      </w:r>
    </w:p>
    <w:p w14:paraId="1BC3BE97" w14:textId="27667071" w:rsidR="005972ED" w:rsidRPr="001A3AC7" w:rsidRDefault="00E5224E" w:rsidP="00E230DF">
      <w:pPr>
        <w:pStyle w:val="Heading3"/>
        <w:numPr>
          <w:ilvl w:val="0"/>
          <w:numId w:val="0"/>
        </w:numPr>
        <w:ind w:left="851" w:hanging="851"/>
      </w:pPr>
      <w:bookmarkStart w:id="218" w:name="_Toc505261771"/>
      <w:bookmarkStart w:id="219" w:name="_Toc505262034"/>
      <w:bookmarkStart w:id="220" w:name="_Toc505262287"/>
      <w:bookmarkStart w:id="221" w:name="_Ref506303175"/>
      <w:bookmarkEnd w:id="218"/>
      <w:bookmarkEnd w:id="219"/>
      <w:bookmarkEnd w:id="220"/>
      <w:r>
        <w:t>Example Criteria: Black Box</w:t>
      </w:r>
      <w:r w:rsidR="000C57A2">
        <w:t xml:space="preserve"> Management Units</w:t>
      </w:r>
      <w:bookmarkEnd w:id="221"/>
    </w:p>
    <w:p w14:paraId="49FADC60" w14:textId="70C3F1FE" w:rsidR="005972ED" w:rsidRPr="001A3AC7" w:rsidRDefault="005972ED" w:rsidP="005972ED">
      <w:pPr>
        <w:pStyle w:val="Para0"/>
      </w:pPr>
      <w:r w:rsidRPr="001A3AC7">
        <w:t xml:space="preserve">As part of the development of the assessment framework, a set of suggested criteria have been created </w:t>
      </w:r>
      <w:r w:rsidR="001A0ABB">
        <w:t>to aid the</w:t>
      </w:r>
      <w:r w:rsidR="001A0ABB" w:rsidRPr="001A3AC7">
        <w:t xml:space="preserve"> </w:t>
      </w:r>
      <w:r w:rsidRPr="001A3AC7">
        <w:t xml:space="preserve">selection </w:t>
      </w:r>
      <w:r w:rsidR="001A0ABB" w:rsidRPr="001A3AC7">
        <w:t xml:space="preserve">and prioritisation </w:t>
      </w:r>
      <w:r w:rsidRPr="001A3AC7">
        <w:t xml:space="preserve">of </w:t>
      </w:r>
      <w:r w:rsidR="001A3AC7" w:rsidRPr="00170A62">
        <w:t>Black Box management units</w:t>
      </w:r>
      <w:r w:rsidR="001A0ABB">
        <w:t xml:space="preserve"> for </w:t>
      </w:r>
      <w:r w:rsidR="00DD4752">
        <w:t>management</w:t>
      </w:r>
      <w:r w:rsidRPr="001A3AC7">
        <w:t xml:space="preserve">. These are described fully in </w:t>
      </w:r>
      <w:r w:rsidR="00251B81" w:rsidRPr="00727B6E">
        <w:fldChar w:fldCharType="begin"/>
      </w:r>
      <w:r w:rsidR="00251B81" w:rsidRPr="00727B6E">
        <w:instrText xml:space="preserve"> REF _Ref506813640 \r \h </w:instrText>
      </w:r>
      <w:r w:rsidR="00251B81">
        <w:instrText xml:space="preserve"> \* MERGEFORMAT </w:instrText>
      </w:r>
      <w:r w:rsidR="00251B81" w:rsidRPr="00727B6E">
        <w:fldChar w:fldCharType="separate"/>
      </w:r>
      <w:r w:rsidR="00BF015B">
        <w:t>Appendix H</w:t>
      </w:r>
      <w:r w:rsidR="00251B81" w:rsidRPr="00727B6E">
        <w:fldChar w:fldCharType="end"/>
      </w:r>
      <w:r w:rsidRPr="001A3AC7">
        <w:rPr>
          <w:b/>
        </w:rPr>
        <w:t xml:space="preserve"> </w:t>
      </w:r>
      <w:r w:rsidRPr="001A3AC7">
        <w:t>and include:</w:t>
      </w:r>
    </w:p>
    <w:p w14:paraId="37E528DD" w14:textId="77777777" w:rsidR="00D637C7" w:rsidRPr="001A3AC7" w:rsidRDefault="00D637C7" w:rsidP="00F22225">
      <w:pPr>
        <w:pStyle w:val="Para1bullet"/>
        <w:numPr>
          <w:ilvl w:val="0"/>
          <w:numId w:val="43"/>
        </w:numPr>
        <w:tabs>
          <w:tab w:val="clear" w:pos="851"/>
        </w:tabs>
        <w:spacing w:after="0"/>
      </w:pPr>
      <w:r w:rsidRPr="001A3AC7">
        <w:t xml:space="preserve">Environmental </w:t>
      </w:r>
      <w:r w:rsidR="00574869" w:rsidRPr="001A3AC7">
        <w:t>factors:</w:t>
      </w:r>
    </w:p>
    <w:p w14:paraId="6D5D85E4" w14:textId="0EE6B822" w:rsidR="00D637C7" w:rsidRPr="001A3AC7" w:rsidRDefault="00C45534" w:rsidP="00D637C7">
      <w:pPr>
        <w:pStyle w:val="Para0bullet"/>
        <w:spacing w:after="0"/>
        <w:ind w:left="1276"/>
      </w:pPr>
      <w:r w:rsidRPr="001A3AC7">
        <w:t xml:space="preserve">likelihood of achieving the targeted </w:t>
      </w:r>
      <w:r w:rsidR="00C30324" w:rsidRPr="001A3AC7">
        <w:t xml:space="preserve">and long-term </w:t>
      </w:r>
      <w:r w:rsidRPr="001A3AC7">
        <w:t xml:space="preserve">outcome </w:t>
      </w:r>
    </w:p>
    <w:p w14:paraId="37E67357" w14:textId="6C38B429" w:rsidR="00D637C7" w:rsidRPr="001A3AC7" w:rsidRDefault="00D637C7" w:rsidP="00D637C7">
      <w:pPr>
        <w:pStyle w:val="Para0bullet"/>
        <w:spacing w:after="0"/>
        <w:ind w:left="1276"/>
      </w:pPr>
      <w:r w:rsidRPr="001A3AC7">
        <w:t>biodiversity values at the</w:t>
      </w:r>
      <w:r w:rsidR="001A3AC7" w:rsidRPr="00170A62">
        <w:t xml:space="preserve"> unit</w:t>
      </w:r>
      <w:r w:rsidRPr="001A3AC7">
        <w:t xml:space="preserve"> (e.g. </w:t>
      </w:r>
      <w:r w:rsidR="009F6E85">
        <w:t>unit</w:t>
      </w:r>
      <w:r w:rsidRPr="001A3AC7">
        <w:t xml:space="preserve"> size, refuge value)</w:t>
      </w:r>
    </w:p>
    <w:p w14:paraId="1EE39FA8" w14:textId="3D0F9FD3" w:rsidR="00D637C7" w:rsidRPr="001A3AC7" w:rsidRDefault="00D637C7" w:rsidP="004653AF">
      <w:pPr>
        <w:pStyle w:val="Para0bullet"/>
        <w:spacing w:after="200"/>
        <w:ind w:left="1276"/>
      </w:pPr>
      <w:r w:rsidRPr="001A3AC7">
        <w:t>environmental context which the site contributes too (e.g. connectedness or isolation of Black Box in the landscape)</w:t>
      </w:r>
      <w:r w:rsidR="00800A58" w:rsidRPr="001A3AC7">
        <w:t>.</w:t>
      </w:r>
    </w:p>
    <w:p w14:paraId="1D70BBB6" w14:textId="77777777" w:rsidR="00574869" w:rsidRPr="001A3AC7" w:rsidRDefault="00D637C7" w:rsidP="00F22225">
      <w:pPr>
        <w:pStyle w:val="Para1bullet"/>
        <w:numPr>
          <w:ilvl w:val="0"/>
          <w:numId w:val="43"/>
        </w:numPr>
        <w:tabs>
          <w:tab w:val="clear" w:pos="851"/>
        </w:tabs>
        <w:spacing w:after="0"/>
      </w:pPr>
      <w:r w:rsidRPr="001A3AC7">
        <w:t>Economic</w:t>
      </w:r>
      <w:r w:rsidR="00574869" w:rsidRPr="001A3AC7">
        <w:t>:</w:t>
      </w:r>
    </w:p>
    <w:p w14:paraId="08DDFA21" w14:textId="1B733905" w:rsidR="00D637C7" w:rsidRPr="001A3AC7" w:rsidRDefault="00D637C7" w:rsidP="00D637C7">
      <w:pPr>
        <w:pStyle w:val="Para0bullet"/>
        <w:spacing w:after="0"/>
        <w:ind w:left="1276"/>
      </w:pPr>
      <w:r w:rsidRPr="001A3AC7">
        <w:t>potential positive impacts on tourism and local communities</w:t>
      </w:r>
      <w:r w:rsidR="00B62BF9" w:rsidRPr="001A3AC7">
        <w:t xml:space="preserve"> (third party benefits)</w:t>
      </w:r>
    </w:p>
    <w:p w14:paraId="46D182A1" w14:textId="77777777" w:rsidR="00D637C7" w:rsidRPr="001A3AC7" w:rsidRDefault="00D637C7" w:rsidP="00D637C7">
      <w:pPr>
        <w:pStyle w:val="Para0bullet"/>
        <w:spacing w:after="0"/>
        <w:ind w:left="1276"/>
      </w:pPr>
      <w:r w:rsidRPr="001A3AC7">
        <w:t xml:space="preserve">infrastructure </w:t>
      </w:r>
      <w:r w:rsidR="00C45534" w:rsidRPr="001A3AC7">
        <w:t xml:space="preserve">presently </w:t>
      </w:r>
      <w:r w:rsidRPr="001A3AC7">
        <w:t>available</w:t>
      </w:r>
      <w:r w:rsidR="00C45534" w:rsidRPr="001A3AC7">
        <w:t>/required</w:t>
      </w:r>
      <w:r w:rsidRPr="001A3AC7">
        <w:t xml:space="preserve"> at the site to assist in implementation</w:t>
      </w:r>
      <w:r w:rsidR="00C45534" w:rsidRPr="001A3AC7">
        <w:t xml:space="preserve"> (establishment cost)</w:t>
      </w:r>
    </w:p>
    <w:p w14:paraId="6E8D2EA1" w14:textId="77777777" w:rsidR="00C45534" w:rsidRPr="001A3AC7" w:rsidRDefault="00574869" w:rsidP="000E208F">
      <w:pPr>
        <w:pStyle w:val="Para0bullet"/>
        <w:spacing w:after="0"/>
        <w:ind w:left="1276"/>
      </w:pPr>
      <w:r w:rsidRPr="001A3AC7">
        <w:t>o</w:t>
      </w:r>
      <w:r w:rsidR="00C45534" w:rsidRPr="001A3AC7">
        <w:t>perational cost</w:t>
      </w:r>
      <w:r w:rsidR="00D637C7" w:rsidRPr="001A3AC7">
        <w:t xml:space="preserve"> and capacity to keep managing into the future</w:t>
      </w:r>
    </w:p>
    <w:p w14:paraId="3942D604" w14:textId="604FC4A2" w:rsidR="00D637C7" w:rsidRPr="001A3AC7" w:rsidRDefault="00C45534" w:rsidP="00C45534">
      <w:pPr>
        <w:pStyle w:val="Para0bullet"/>
        <w:spacing w:after="200"/>
        <w:ind w:left="1276"/>
      </w:pPr>
      <w:r w:rsidRPr="001A3AC7">
        <w:t>funding / resourc</w:t>
      </w:r>
      <w:r w:rsidR="00864C41" w:rsidRPr="001A3AC7">
        <w:t>e</w:t>
      </w:r>
      <w:r w:rsidRPr="001A3AC7">
        <w:t xml:space="preserve"> availability</w:t>
      </w:r>
      <w:r w:rsidR="00D637C7" w:rsidRPr="001A3AC7">
        <w:t>.</w:t>
      </w:r>
    </w:p>
    <w:p w14:paraId="54193749" w14:textId="77777777" w:rsidR="00D637C7" w:rsidRPr="001A3AC7" w:rsidRDefault="00D637C7" w:rsidP="00F22225">
      <w:pPr>
        <w:pStyle w:val="Para1bullet"/>
        <w:numPr>
          <w:ilvl w:val="0"/>
          <w:numId w:val="43"/>
        </w:numPr>
        <w:tabs>
          <w:tab w:val="clear" w:pos="851"/>
        </w:tabs>
        <w:spacing w:after="0"/>
      </w:pPr>
      <w:r w:rsidRPr="001A3AC7">
        <w:t>Cultural factors:</w:t>
      </w:r>
    </w:p>
    <w:p w14:paraId="666AD192" w14:textId="6F376F5D" w:rsidR="00D637C7" w:rsidRPr="001A3AC7" w:rsidRDefault="00D637C7" w:rsidP="00D637C7">
      <w:pPr>
        <w:pStyle w:val="Para0bullet"/>
        <w:spacing w:after="0"/>
        <w:ind w:left="1276"/>
      </w:pPr>
      <w:r w:rsidRPr="001A3AC7">
        <w:t xml:space="preserve">support from, and alignment with cultural objectives of </w:t>
      </w:r>
      <w:r w:rsidR="00C30324" w:rsidRPr="001A3AC7">
        <w:t xml:space="preserve">Aboriginal </w:t>
      </w:r>
      <w:r w:rsidRPr="001A3AC7">
        <w:t xml:space="preserve">groups </w:t>
      </w:r>
    </w:p>
    <w:p w14:paraId="2AF6B704" w14:textId="49CD1134" w:rsidR="00D637C7" w:rsidRPr="001A3AC7" w:rsidRDefault="00D637C7" w:rsidP="004653AF">
      <w:pPr>
        <w:pStyle w:val="Para0bullet"/>
        <w:spacing w:after="200"/>
        <w:ind w:left="1276"/>
      </w:pPr>
      <w:r w:rsidRPr="001A3AC7">
        <w:t>social factors such as the level of stakeholder/land owner</w:t>
      </w:r>
      <w:r w:rsidR="00574869" w:rsidRPr="001A3AC7">
        <w:t>/community</w:t>
      </w:r>
      <w:r w:rsidRPr="001A3AC7">
        <w:t xml:space="preserve"> interest</w:t>
      </w:r>
      <w:r w:rsidR="00C30324" w:rsidRPr="001A3AC7">
        <w:t xml:space="preserve"> and support</w:t>
      </w:r>
      <w:r w:rsidRPr="001A3AC7">
        <w:t xml:space="preserve">. </w:t>
      </w:r>
    </w:p>
    <w:p w14:paraId="55D7DA49" w14:textId="1C859D4A" w:rsidR="00D637C7" w:rsidRPr="001A3AC7" w:rsidRDefault="00C45534" w:rsidP="00F22225">
      <w:pPr>
        <w:pStyle w:val="Para1bullet"/>
        <w:numPr>
          <w:ilvl w:val="0"/>
          <w:numId w:val="43"/>
        </w:numPr>
        <w:tabs>
          <w:tab w:val="clear" w:pos="851"/>
        </w:tabs>
        <w:spacing w:after="0"/>
      </w:pPr>
      <w:r w:rsidRPr="001A3AC7">
        <w:t>Implementation factors:</w:t>
      </w:r>
    </w:p>
    <w:p w14:paraId="54DE0772" w14:textId="73BA279C" w:rsidR="00F648B9" w:rsidRPr="001A3AC7" w:rsidRDefault="00D637C7" w:rsidP="00D637C7">
      <w:pPr>
        <w:pStyle w:val="Para0bullet"/>
        <w:spacing w:after="0"/>
        <w:ind w:left="1276"/>
      </w:pPr>
      <w:r w:rsidRPr="001A3AC7">
        <w:t xml:space="preserve">logistics of delivering management measures at the </w:t>
      </w:r>
      <w:r w:rsidR="00251B81">
        <w:t>unit</w:t>
      </w:r>
    </w:p>
    <w:p w14:paraId="64D093F4" w14:textId="437746D1" w:rsidR="00D637C7" w:rsidRPr="001A3AC7" w:rsidRDefault="00354ADE" w:rsidP="00D637C7">
      <w:pPr>
        <w:pStyle w:val="Para0bullet"/>
        <w:spacing w:after="0"/>
        <w:ind w:left="1276"/>
      </w:pPr>
      <w:r w:rsidRPr="001A3AC7">
        <w:t xml:space="preserve">implications for ability to deliver water to other </w:t>
      </w:r>
      <w:r w:rsidR="00251B81">
        <w:t>units</w:t>
      </w:r>
    </w:p>
    <w:p w14:paraId="30C8D4ED" w14:textId="774E93B6" w:rsidR="00D637C7" w:rsidRPr="001A3AC7" w:rsidRDefault="00D637C7" w:rsidP="00C45534">
      <w:pPr>
        <w:pStyle w:val="Para0bullet"/>
        <w:spacing w:after="0"/>
        <w:ind w:left="1276"/>
      </w:pPr>
      <w:r w:rsidRPr="001A3AC7">
        <w:t>compatibility with land tenure</w:t>
      </w:r>
    </w:p>
    <w:p w14:paraId="239D6769" w14:textId="77777777" w:rsidR="00C45534" w:rsidRPr="001A3AC7" w:rsidRDefault="00C45534" w:rsidP="00F648B9">
      <w:pPr>
        <w:pStyle w:val="Para0bullet"/>
        <w:spacing w:after="240"/>
        <w:ind w:left="1276"/>
      </w:pPr>
      <w:r w:rsidRPr="001A3AC7">
        <w:t>risk assessment.</w:t>
      </w:r>
    </w:p>
    <w:p w14:paraId="31D8D455" w14:textId="292448EA" w:rsidR="00C45534" w:rsidRPr="001A3AC7" w:rsidRDefault="00C45534" w:rsidP="00C45534">
      <w:pPr>
        <w:pStyle w:val="Para0bullet"/>
        <w:numPr>
          <w:ilvl w:val="0"/>
          <w:numId w:val="0"/>
        </w:numPr>
      </w:pPr>
      <w:r w:rsidRPr="001A3AC7">
        <w:t xml:space="preserve">Each criterion for site selection is supported by a set of parameters that can guide the use of available information for assessing and prioritising sites. By collecting the available information at each site related to these parameters, </w:t>
      </w:r>
      <w:r w:rsidR="00E30737" w:rsidRPr="001A3AC7">
        <w:t>th</w:t>
      </w:r>
      <w:r w:rsidR="00B62BF9" w:rsidRPr="001A3AC7">
        <w:t>e</w:t>
      </w:r>
      <w:r w:rsidR="00E30737" w:rsidRPr="001A3AC7">
        <w:t xml:space="preserve"> </w:t>
      </w:r>
      <w:r w:rsidR="00B62BF9" w:rsidRPr="001A3AC7">
        <w:t xml:space="preserve">differentiating </w:t>
      </w:r>
      <w:r w:rsidRPr="001A3AC7">
        <w:t>factors</w:t>
      </w:r>
      <w:r w:rsidR="00E30737" w:rsidRPr="001A3AC7">
        <w:t xml:space="preserve"> </w:t>
      </w:r>
      <w:r w:rsidRPr="001A3AC7">
        <w:t xml:space="preserve">can be identified and </w:t>
      </w:r>
      <w:r w:rsidR="00537ED0">
        <w:t xml:space="preserve">used to determine </w:t>
      </w:r>
      <w:r w:rsidRPr="001A3AC7">
        <w:t>priorities. The intent of the parameters is to enable a flexible approach, which can be applied to a wide range of</w:t>
      </w:r>
      <w:r w:rsidR="00251B81">
        <w:t xml:space="preserve"> management units</w:t>
      </w:r>
      <w:r w:rsidR="00293A16">
        <w:t>,</w:t>
      </w:r>
      <w:r w:rsidRPr="001A3AC7">
        <w:t xml:space="preserve"> </w:t>
      </w:r>
      <w:r w:rsidR="00821A2D" w:rsidRPr="001A3AC7">
        <w:t>that</w:t>
      </w:r>
      <w:r w:rsidRPr="001A3AC7">
        <w:t xml:space="preserve"> have different attributes and condition, and </w:t>
      </w:r>
      <w:r w:rsidR="00821A2D" w:rsidRPr="001A3AC7">
        <w:t xml:space="preserve">with varying </w:t>
      </w:r>
      <w:r w:rsidRPr="001A3AC7">
        <w:t xml:space="preserve">levels of </w:t>
      </w:r>
      <w:r w:rsidR="00821A2D" w:rsidRPr="001A3AC7">
        <w:t xml:space="preserve">available </w:t>
      </w:r>
      <w:r w:rsidRPr="001A3AC7">
        <w:t>information.</w:t>
      </w:r>
    </w:p>
    <w:p w14:paraId="1751629E" w14:textId="6A42F64A" w:rsidR="001A3AC7" w:rsidRPr="00CF4AA7" w:rsidRDefault="00E5224E" w:rsidP="00E230DF">
      <w:pPr>
        <w:pStyle w:val="Heading3"/>
        <w:numPr>
          <w:ilvl w:val="0"/>
          <w:numId w:val="0"/>
        </w:numPr>
        <w:ind w:left="851" w:hanging="851"/>
      </w:pPr>
      <w:bookmarkStart w:id="222" w:name="_Ref506302985"/>
      <w:r>
        <w:t xml:space="preserve">Example Criteria: </w:t>
      </w:r>
      <w:r w:rsidR="000C57A2">
        <w:t>Management Options</w:t>
      </w:r>
      <w:bookmarkEnd w:id="222"/>
    </w:p>
    <w:p w14:paraId="5F809992" w14:textId="12E2624B" w:rsidR="001A3AC7" w:rsidRPr="00C00E47" w:rsidRDefault="001A3AC7" w:rsidP="001A3AC7">
      <w:pPr>
        <w:pStyle w:val="Para0"/>
      </w:pPr>
      <w:r w:rsidRPr="00C00E47">
        <w:t xml:space="preserve">A range of criteria have been developed to distinguish between management options (refer </w:t>
      </w:r>
      <w:r w:rsidR="00251B81" w:rsidRPr="00727B6E">
        <w:fldChar w:fldCharType="begin"/>
      </w:r>
      <w:r w:rsidR="00251B81" w:rsidRPr="00727B6E">
        <w:instrText xml:space="preserve"> REF _Ref506813647 \r \h </w:instrText>
      </w:r>
      <w:r w:rsidR="00251B81">
        <w:instrText xml:space="preserve"> \* MERGEFORMAT </w:instrText>
      </w:r>
      <w:r w:rsidR="00251B81" w:rsidRPr="00727B6E">
        <w:fldChar w:fldCharType="separate"/>
      </w:r>
      <w:r w:rsidR="00BF015B">
        <w:t>Appendix I</w:t>
      </w:r>
      <w:r w:rsidR="00251B81" w:rsidRPr="00727B6E">
        <w:fldChar w:fldCharType="end"/>
      </w:r>
      <w:r w:rsidR="00251B81">
        <w:t xml:space="preserve"> </w:t>
      </w:r>
      <w:r w:rsidRPr="00C00E47">
        <w:t>which provides suggestions). These include:</w:t>
      </w:r>
    </w:p>
    <w:p w14:paraId="63906C93" w14:textId="77777777" w:rsidR="001A3AC7" w:rsidRPr="00C00E47" w:rsidRDefault="001A3AC7" w:rsidP="00F22225">
      <w:pPr>
        <w:pStyle w:val="Para1bullet"/>
        <w:numPr>
          <w:ilvl w:val="0"/>
          <w:numId w:val="44"/>
        </w:numPr>
        <w:tabs>
          <w:tab w:val="clear" w:pos="851"/>
        </w:tabs>
        <w:spacing w:after="0"/>
      </w:pPr>
      <w:r w:rsidRPr="00C00E47">
        <w:t>Environmental factors:</w:t>
      </w:r>
    </w:p>
    <w:p w14:paraId="36A22AE1" w14:textId="77777777" w:rsidR="001A3AC7" w:rsidRPr="00C00E47" w:rsidRDefault="001A3AC7" w:rsidP="001A3AC7">
      <w:pPr>
        <w:pStyle w:val="Para0bullet"/>
        <w:spacing w:after="0"/>
        <w:ind w:left="1276"/>
      </w:pPr>
      <w:r w:rsidRPr="00C00E47">
        <w:t xml:space="preserve">area of Black Box affected by proposed intervention </w:t>
      </w:r>
    </w:p>
    <w:p w14:paraId="0653CDA9" w14:textId="77777777" w:rsidR="001A3AC7" w:rsidRPr="00C00E47" w:rsidRDefault="001A3AC7" w:rsidP="001A3AC7">
      <w:pPr>
        <w:pStyle w:val="Para0bullet"/>
        <w:spacing w:after="0"/>
        <w:ind w:left="1276"/>
      </w:pPr>
      <w:r w:rsidRPr="00C00E47">
        <w:t xml:space="preserve">current condition and trajectory of Black Box </w:t>
      </w:r>
    </w:p>
    <w:p w14:paraId="580590A7" w14:textId="77777777" w:rsidR="001A3AC7" w:rsidRPr="00C00E47" w:rsidRDefault="001A3AC7" w:rsidP="001A3AC7">
      <w:pPr>
        <w:pStyle w:val="Para0bullet"/>
        <w:spacing w:after="0"/>
        <w:ind w:left="1276"/>
      </w:pPr>
      <w:r w:rsidRPr="00C00E47">
        <w:t xml:space="preserve">responsiveness of key stressors affecting Black Box condition e.g. soil water availability, groundwater salinity and/or soil salinity conditions </w:t>
      </w:r>
    </w:p>
    <w:p w14:paraId="688B42B6" w14:textId="77777777" w:rsidR="001A3AC7" w:rsidRPr="00C00E47" w:rsidRDefault="001A3AC7" w:rsidP="001A3AC7">
      <w:pPr>
        <w:pStyle w:val="Para0bullet"/>
        <w:spacing w:after="0"/>
        <w:ind w:left="1276"/>
      </w:pPr>
      <w:r w:rsidRPr="00C00E47">
        <w:t>long term sustainability of outcomes</w:t>
      </w:r>
    </w:p>
    <w:p w14:paraId="418B3D79" w14:textId="77777777" w:rsidR="001A3AC7" w:rsidRPr="00C00E47" w:rsidRDefault="001A3AC7" w:rsidP="001A3AC7">
      <w:pPr>
        <w:pStyle w:val="Para0bullet"/>
        <w:spacing w:after="0"/>
        <w:ind w:left="1275"/>
      </w:pPr>
      <w:r w:rsidRPr="00C00E47">
        <w:t>any possible negative impacts outside the management area</w:t>
      </w:r>
    </w:p>
    <w:p w14:paraId="15C22061" w14:textId="77777777" w:rsidR="001A3AC7" w:rsidRPr="00C00E47" w:rsidRDefault="001A3AC7" w:rsidP="001A3AC7">
      <w:pPr>
        <w:pStyle w:val="Para0bullet"/>
        <w:ind w:left="1275"/>
      </w:pPr>
      <w:r w:rsidRPr="00C00E47">
        <w:t>potential for management options to effect matters of national environmental significance.</w:t>
      </w:r>
    </w:p>
    <w:p w14:paraId="5360DF69" w14:textId="77777777" w:rsidR="001A3AC7" w:rsidRPr="00C00E47" w:rsidRDefault="001A3AC7" w:rsidP="00F22225">
      <w:pPr>
        <w:pStyle w:val="Para1bullet"/>
        <w:numPr>
          <w:ilvl w:val="0"/>
          <w:numId w:val="44"/>
        </w:numPr>
        <w:tabs>
          <w:tab w:val="clear" w:pos="851"/>
        </w:tabs>
        <w:spacing w:after="200"/>
      </w:pPr>
      <w:r w:rsidRPr="00C00E47">
        <w:t>Economic factors: a cost-benefit assessment (including with consideration of pre-existing services available to assist with the management options) for the site enables economic comparison.</w:t>
      </w:r>
    </w:p>
    <w:p w14:paraId="4667A57F" w14:textId="77777777" w:rsidR="001A3AC7" w:rsidRPr="00C00E47" w:rsidRDefault="001A3AC7" w:rsidP="00F22225">
      <w:pPr>
        <w:pStyle w:val="Para1bullet"/>
        <w:numPr>
          <w:ilvl w:val="0"/>
          <w:numId w:val="44"/>
        </w:numPr>
        <w:tabs>
          <w:tab w:val="clear" w:pos="851"/>
        </w:tabs>
        <w:spacing w:after="200"/>
      </w:pPr>
      <w:r w:rsidRPr="00C00E47">
        <w:t>Social factors: including potential for impacts to third parties such as existing users of the floodplain, upstream or downstream water users and irrigation communities.</w:t>
      </w:r>
    </w:p>
    <w:p w14:paraId="1144D7A0" w14:textId="77777777" w:rsidR="001A3AC7" w:rsidRPr="00C00E47" w:rsidRDefault="001A3AC7" w:rsidP="00F22225">
      <w:pPr>
        <w:pStyle w:val="Para1bullet"/>
        <w:numPr>
          <w:ilvl w:val="0"/>
          <w:numId w:val="44"/>
        </w:numPr>
        <w:tabs>
          <w:tab w:val="clear" w:pos="851"/>
        </w:tabs>
        <w:spacing w:after="0"/>
      </w:pPr>
      <w:r w:rsidRPr="00C00E47">
        <w:t>Cultural factors:</w:t>
      </w:r>
    </w:p>
    <w:p w14:paraId="1910CA7A" w14:textId="77777777" w:rsidR="001A3AC7" w:rsidRPr="00C00E47" w:rsidRDefault="001A3AC7" w:rsidP="001A3AC7">
      <w:pPr>
        <w:pStyle w:val="Para0bullet"/>
        <w:spacing w:after="0"/>
        <w:ind w:left="1276"/>
      </w:pPr>
      <w:r w:rsidRPr="00C00E47">
        <w:t xml:space="preserve">potential for management options to impact matters of cultural heritage </w:t>
      </w:r>
    </w:p>
    <w:p w14:paraId="34346A63" w14:textId="77777777" w:rsidR="001A3AC7" w:rsidRPr="00C00E47" w:rsidRDefault="001A3AC7" w:rsidP="001A3AC7">
      <w:pPr>
        <w:pStyle w:val="Para0bullet"/>
        <w:ind w:left="1275"/>
      </w:pPr>
      <w:r w:rsidRPr="00C00E47">
        <w:t xml:space="preserve">alignment with goals of Aboriginal groups. </w:t>
      </w:r>
    </w:p>
    <w:p w14:paraId="59E2170E" w14:textId="77777777" w:rsidR="001A3AC7" w:rsidRPr="00C00E47" w:rsidRDefault="001A3AC7" w:rsidP="00F22225">
      <w:pPr>
        <w:pStyle w:val="Para1bullet"/>
        <w:numPr>
          <w:ilvl w:val="0"/>
          <w:numId w:val="44"/>
        </w:numPr>
        <w:tabs>
          <w:tab w:val="clear" w:pos="851"/>
        </w:tabs>
        <w:spacing w:after="200"/>
      </w:pPr>
      <w:r w:rsidRPr="00C00E47">
        <w:t>Political factors: including the prioritisation of resourcing different outcomes due to social perceptions / preference, and the willingness to fund management options over the long term given the time frames for Black Box recovery and regeneration.</w:t>
      </w:r>
      <w:r w:rsidRPr="00C00E47" w:rsidDel="00971B25">
        <w:t xml:space="preserve"> </w:t>
      </w:r>
    </w:p>
    <w:p w14:paraId="519B4BAD" w14:textId="77777777" w:rsidR="001A3AC7" w:rsidRPr="00C00E47" w:rsidRDefault="001A3AC7" w:rsidP="00F22225">
      <w:pPr>
        <w:pStyle w:val="Para1bullet"/>
        <w:numPr>
          <w:ilvl w:val="0"/>
          <w:numId w:val="44"/>
        </w:numPr>
        <w:tabs>
          <w:tab w:val="clear" w:pos="851"/>
        </w:tabs>
        <w:spacing w:after="0"/>
      </w:pPr>
      <w:r w:rsidRPr="00C00E47">
        <w:t>Implementation factors: practicality of management options, complexity of ongoing operations and maintenance, and implementation/operational risks.</w:t>
      </w:r>
      <w:r w:rsidRPr="00C00E47" w:rsidDel="00971B25">
        <w:t xml:space="preserve"> </w:t>
      </w:r>
    </w:p>
    <w:p w14:paraId="4DB312A6" w14:textId="7C07EF91" w:rsidR="001A3AC7" w:rsidRDefault="001A3AC7" w:rsidP="001A3AC7">
      <w:pPr>
        <w:pStyle w:val="Para0"/>
      </w:pPr>
      <w:r w:rsidRPr="00C00E47">
        <w:t>For each option it is important to document how these</w:t>
      </w:r>
      <w:r w:rsidR="005B199B">
        <w:t xml:space="preserve"> interventions aim to</w:t>
      </w:r>
      <w:r w:rsidRPr="00C00E47">
        <w:t xml:space="preserve"> manage, reduce and or mitigate the key stressors and/or address the objectives and targets formulated in Chapter 3. </w:t>
      </w:r>
    </w:p>
    <w:p w14:paraId="0F8E4954" w14:textId="18E91387" w:rsidR="001A3AC7" w:rsidRDefault="001A3AC7" w:rsidP="001A3AC7">
      <w:pPr>
        <w:pStyle w:val="Para0"/>
      </w:pPr>
    </w:p>
    <w:p w14:paraId="621EBF33" w14:textId="7E5278BA" w:rsidR="001A3AC7" w:rsidRPr="00C00E47" w:rsidRDefault="001A3AC7" w:rsidP="00E9154C">
      <w:pPr>
        <w:pStyle w:val="Heading3"/>
      </w:pPr>
      <w:r>
        <w:t xml:space="preserve">Management </w:t>
      </w:r>
      <w:r w:rsidR="0054034A">
        <w:t>C</w:t>
      </w:r>
      <w:r>
        <w:t xml:space="preserve">ombinations to </w:t>
      </w:r>
      <w:r w:rsidR="0054034A">
        <w:t>I</w:t>
      </w:r>
      <w:r>
        <w:t xml:space="preserve">ncrease </w:t>
      </w:r>
      <w:r w:rsidR="0054034A">
        <w:t>P</w:t>
      </w:r>
      <w:r>
        <w:t xml:space="preserve">otential </w:t>
      </w:r>
      <w:r w:rsidR="0054034A">
        <w:t>B</w:t>
      </w:r>
      <w:r>
        <w:t>enefits</w:t>
      </w:r>
    </w:p>
    <w:p w14:paraId="279CE53E" w14:textId="68D57E12" w:rsidR="00E367C7" w:rsidRDefault="00FD509C" w:rsidP="001A3AC7">
      <w:pPr>
        <w:pStyle w:val="Para0"/>
      </w:pPr>
      <w:r>
        <w:t xml:space="preserve">The prioritisation process </w:t>
      </w:r>
      <w:r w:rsidR="00251B81">
        <w:t xml:space="preserve">involves </w:t>
      </w:r>
      <w:r>
        <w:t xml:space="preserve">ranking the Black Box management units and management options to develop a prioritised list of potential individual management actions. It is important to consider whether additional benefits can be achieved through combining various management options at a site. </w:t>
      </w:r>
    </w:p>
    <w:p w14:paraId="63C7D2D1" w14:textId="0CF19987" w:rsidR="00FD509C" w:rsidRDefault="00480651" w:rsidP="001A3AC7">
      <w:pPr>
        <w:pStyle w:val="Para0"/>
      </w:pPr>
      <w:r>
        <w:fldChar w:fldCharType="begin"/>
      </w:r>
      <w:r>
        <w:instrText xml:space="preserve"> REF _Ref505337300 \h </w:instrText>
      </w:r>
      <w:r>
        <w:fldChar w:fldCharType="separate"/>
      </w:r>
      <w:r w:rsidR="00BF015B" w:rsidRPr="007A45D5">
        <w:t xml:space="preserve">Table </w:t>
      </w:r>
      <w:r w:rsidR="00BF015B">
        <w:rPr>
          <w:noProof/>
        </w:rPr>
        <w:t>4</w:t>
      </w:r>
      <w:r w:rsidR="00BF015B" w:rsidRPr="007A45D5">
        <w:noBreakHyphen/>
      </w:r>
      <w:r w:rsidR="00BF015B">
        <w:rPr>
          <w:noProof/>
        </w:rPr>
        <w:t>2</w:t>
      </w:r>
      <w:r>
        <w:fldChar w:fldCharType="end"/>
      </w:r>
      <w:r>
        <w:t xml:space="preserve"> </w:t>
      </w:r>
      <w:r w:rsidR="00FD509C" w:rsidRPr="00E367C7">
        <w:t xml:space="preserve">provides a summary of </w:t>
      </w:r>
      <w:r w:rsidR="00E367C7" w:rsidRPr="00E367C7">
        <w:t xml:space="preserve">some potential </w:t>
      </w:r>
      <w:r w:rsidR="00FD509C" w:rsidRPr="00E367C7">
        <w:t>management combination scenarios, which should be</w:t>
      </w:r>
      <w:r w:rsidR="00FD509C">
        <w:t xml:space="preserve"> considered when determining the site management plan.</w:t>
      </w:r>
      <w:r w:rsidR="00E367C7">
        <w:t xml:space="preserve"> This is not an exhaustive list, and land managers are encouraged to consider other combinations which have the potential to increase benefits at their site</w:t>
      </w:r>
      <w:r w:rsidR="001171D3">
        <w:t>, with respect to site based conceptual models</w:t>
      </w:r>
      <w:r w:rsidR="00E367C7">
        <w:t xml:space="preserve">. </w:t>
      </w:r>
      <w:r w:rsidR="00FD509C">
        <w:t xml:space="preserve"> </w:t>
      </w:r>
    </w:p>
    <w:p w14:paraId="14DBE07E" w14:textId="34A1640A" w:rsidR="00FD509C" w:rsidRPr="007A45D5" w:rsidRDefault="00FD509C" w:rsidP="007A45D5">
      <w:pPr>
        <w:pStyle w:val="Caption"/>
      </w:pPr>
      <w:bookmarkStart w:id="223" w:name="_Ref505337300"/>
      <w:bookmarkStart w:id="224" w:name="_Toc514068787"/>
      <w:r w:rsidRPr="007A45D5">
        <w:t xml:space="preserve">Table </w:t>
      </w:r>
      <w:r w:rsidR="002D4BCF" w:rsidRPr="007A45D5">
        <w:fldChar w:fldCharType="begin"/>
      </w:r>
      <w:r w:rsidR="002D4BCF" w:rsidRPr="007A45D5">
        <w:instrText xml:space="preserve"> STYLEREF 1 \s </w:instrText>
      </w:r>
      <w:r w:rsidR="002D4BCF" w:rsidRPr="007A45D5">
        <w:fldChar w:fldCharType="separate"/>
      </w:r>
      <w:r w:rsidR="00BF015B">
        <w:rPr>
          <w:noProof/>
        </w:rPr>
        <w:t>4</w:t>
      </w:r>
      <w:r w:rsidR="002D4BCF" w:rsidRPr="007A45D5">
        <w:fldChar w:fldCharType="end"/>
      </w:r>
      <w:r w:rsidR="002D4BCF" w:rsidRPr="007A45D5">
        <w:noBreakHyphen/>
      </w:r>
      <w:r w:rsidR="002D4BCF" w:rsidRPr="007A45D5">
        <w:fldChar w:fldCharType="begin"/>
      </w:r>
      <w:r w:rsidR="002D4BCF" w:rsidRPr="007A45D5">
        <w:instrText xml:space="preserve"> SEQ Table \* ARABIC \s 1 </w:instrText>
      </w:r>
      <w:r w:rsidR="002D4BCF" w:rsidRPr="007A45D5">
        <w:fldChar w:fldCharType="separate"/>
      </w:r>
      <w:r w:rsidR="00BF015B">
        <w:rPr>
          <w:noProof/>
        </w:rPr>
        <w:t>2</w:t>
      </w:r>
      <w:r w:rsidR="002D4BCF" w:rsidRPr="007A45D5">
        <w:fldChar w:fldCharType="end"/>
      </w:r>
      <w:bookmarkEnd w:id="223"/>
      <w:r w:rsidRPr="007A45D5">
        <w:t>:</w:t>
      </w:r>
      <w:r w:rsidR="00E367C7" w:rsidRPr="007A45D5">
        <w:t xml:space="preserve"> </w:t>
      </w:r>
      <w:r w:rsidR="00293A16">
        <w:t>Example</w:t>
      </w:r>
      <w:r w:rsidR="00E367C7" w:rsidRPr="007A45D5">
        <w:t xml:space="preserve"> </w:t>
      </w:r>
      <w:r w:rsidR="00293A16">
        <w:t>m</w:t>
      </w:r>
      <w:r w:rsidRPr="007A45D5">
        <w:t xml:space="preserve">anagement </w:t>
      </w:r>
      <w:r w:rsidR="00293A16">
        <w:t>c</w:t>
      </w:r>
      <w:r w:rsidRPr="007A45D5">
        <w:t>ombination</w:t>
      </w:r>
      <w:r w:rsidR="00293A16">
        <w:t>s</w:t>
      </w:r>
      <w:bookmarkEnd w:id="224"/>
    </w:p>
    <w:tbl>
      <w:tblPr>
        <w:tblStyle w:val="TableGrid"/>
        <w:tblW w:w="474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476"/>
        <w:gridCol w:w="6933"/>
      </w:tblGrid>
      <w:tr w:rsidR="00FD509C" w14:paraId="65A842CF" w14:textId="77777777" w:rsidTr="00FD509C">
        <w:trPr>
          <w:tblHeader/>
        </w:trPr>
        <w:tc>
          <w:tcPr>
            <w:tcW w:w="1316" w:type="pct"/>
            <w:tcBorders>
              <w:left w:val="single" w:sz="4" w:space="0" w:color="FFFFFF" w:themeColor="background1"/>
              <w:right w:val="single" w:sz="4" w:space="0" w:color="FFFFFF" w:themeColor="background1"/>
            </w:tcBorders>
            <w:shd w:val="clear" w:color="auto" w:fill="00338D"/>
          </w:tcPr>
          <w:p w14:paraId="7D2BAD56" w14:textId="6AC3EEC3" w:rsidR="00FD509C" w:rsidRDefault="00FD509C" w:rsidP="006B28B5">
            <w:pPr>
              <w:pStyle w:val="Tableheading"/>
            </w:pPr>
            <w:r>
              <w:t>Management Option Combination</w:t>
            </w:r>
          </w:p>
        </w:tc>
        <w:tc>
          <w:tcPr>
            <w:tcW w:w="3684" w:type="pct"/>
            <w:tcBorders>
              <w:left w:val="single" w:sz="4" w:space="0" w:color="FFFFFF" w:themeColor="background1"/>
              <w:right w:val="single" w:sz="4" w:space="0" w:color="FFFFFF" w:themeColor="background1"/>
            </w:tcBorders>
            <w:shd w:val="clear" w:color="auto" w:fill="00338D"/>
          </w:tcPr>
          <w:p w14:paraId="0FA5C5F7" w14:textId="217FF11F" w:rsidR="00FD509C" w:rsidRDefault="00FD509C" w:rsidP="006B28B5">
            <w:pPr>
              <w:pStyle w:val="Tableheading"/>
            </w:pPr>
            <w:r>
              <w:t>Purpose / Potential Benefits</w:t>
            </w:r>
          </w:p>
        </w:tc>
      </w:tr>
      <w:tr w:rsidR="00FD509C" w14:paraId="0FA81968" w14:textId="77777777" w:rsidTr="00FD509C">
        <w:trPr>
          <w:trHeight w:val="490"/>
        </w:trPr>
        <w:tc>
          <w:tcPr>
            <w:tcW w:w="1316" w:type="pct"/>
            <w:vAlign w:val="center"/>
          </w:tcPr>
          <w:p w14:paraId="29F9A1D0" w14:textId="14075A38" w:rsidR="00FD509C" w:rsidRDefault="00E367C7" w:rsidP="006B28B5">
            <w:pPr>
              <w:spacing w:after="0"/>
            </w:pPr>
            <w:r>
              <w:t xml:space="preserve">Weir pool </w:t>
            </w:r>
            <w:r w:rsidR="00B933A5">
              <w:t>raising</w:t>
            </w:r>
            <w:r>
              <w:t xml:space="preserve"> combined with pumping water to areas further from the river</w:t>
            </w:r>
          </w:p>
          <w:p w14:paraId="4901975C" w14:textId="0AD50A52" w:rsidR="00E367C7" w:rsidRDefault="00E367C7" w:rsidP="006B28B5">
            <w:pPr>
              <w:spacing w:after="0"/>
            </w:pPr>
          </w:p>
        </w:tc>
        <w:tc>
          <w:tcPr>
            <w:tcW w:w="3684" w:type="pct"/>
            <w:vAlign w:val="center"/>
          </w:tcPr>
          <w:p w14:paraId="5D187E09" w14:textId="5DD994D6" w:rsidR="009E6AE6" w:rsidRDefault="009E6AE6" w:rsidP="006B28B5">
            <w:pPr>
              <w:pStyle w:val="Tabletext"/>
            </w:pPr>
            <w:r>
              <w:t xml:space="preserve">Much of the Black Box vegetation throughout the Basin grows on higher sections </w:t>
            </w:r>
            <w:r w:rsidR="00ED01A5">
              <w:t>of floodplain,</w:t>
            </w:r>
            <w:r>
              <w:t xml:space="preserve"> outside the zone of influence achievable by weir pool manipulation. By pumping water to wetland areas that lie outside the range of </w:t>
            </w:r>
            <w:r w:rsidR="00293A16">
              <w:t>weir pool manipulation</w:t>
            </w:r>
            <w:r>
              <w:t xml:space="preserve"> while water levels are raised, a greater area </w:t>
            </w:r>
            <w:r w:rsidR="00293A16">
              <w:t>can</w:t>
            </w:r>
            <w:r>
              <w:t xml:space="preserve"> benefit from inundation. The pumping head and infrastructure required to deliver water to the wetland is reduced during </w:t>
            </w:r>
            <w:r w:rsidR="00293A16">
              <w:t>weir pool</w:t>
            </w:r>
            <w:r>
              <w:t xml:space="preserve"> raising</w:t>
            </w:r>
            <w:r w:rsidR="00ED01A5">
              <w:t>, as opposed to pumping when the river is at normal pool level</w:t>
            </w:r>
            <w:r>
              <w:t xml:space="preserve">. </w:t>
            </w:r>
          </w:p>
        </w:tc>
      </w:tr>
      <w:tr w:rsidR="00FD509C" w14:paraId="72475BC9" w14:textId="77777777" w:rsidTr="00FD509C">
        <w:tc>
          <w:tcPr>
            <w:tcW w:w="1316" w:type="pct"/>
            <w:vAlign w:val="center"/>
          </w:tcPr>
          <w:p w14:paraId="6C215A6B" w14:textId="77777777" w:rsidR="00FD509C" w:rsidRDefault="00E367C7" w:rsidP="00E367C7">
            <w:pPr>
              <w:spacing w:after="0"/>
            </w:pPr>
            <w:r>
              <w:t>Weir pool lowering and raising regime</w:t>
            </w:r>
          </w:p>
          <w:p w14:paraId="211C9EA1" w14:textId="6F4CB0A3" w:rsidR="00B933A5" w:rsidRDefault="00B933A5" w:rsidP="00E367C7">
            <w:pPr>
              <w:spacing w:after="0"/>
            </w:pPr>
          </w:p>
        </w:tc>
        <w:tc>
          <w:tcPr>
            <w:tcW w:w="3684" w:type="pct"/>
            <w:vAlign w:val="center"/>
          </w:tcPr>
          <w:p w14:paraId="61FE426E" w14:textId="1F24CB2C" w:rsidR="00FD509C" w:rsidRDefault="00ED01A5" w:rsidP="006B28B5">
            <w:pPr>
              <w:pStyle w:val="Tabletext"/>
            </w:pPr>
            <w:r>
              <w:t xml:space="preserve">Benefits of weir pool manipulation increase through implementation of a raising and lowering regime over </w:t>
            </w:r>
            <w:r w:rsidR="00293A16">
              <w:t>several</w:t>
            </w:r>
            <w:r>
              <w:t xml:space="preserve"> years, rather than isolated events. Recommended vegetation inundation frequencies and groundwater monitoring can be used to determine the frequency and magnitude of a </w:t>
            </w:r>
            <w:r w:rsidR="00293A16">
              <w:t>weir pool manipulation</w:t>
            </w:r>
            <w:r>
              <w:t xml:space="preserve"> regime. </w:t>
            </w:r>
          </w:p>
        </w:tc>
      </w:tr>
      <w:tr w:rsidR="00FD509C" w14:paraId="36DB5EE2" w14:textId="77777777" w:rsidTr="00FD509C">
        <w:tc>
          <w:tcPr>
            <w:tcW w:w="1316" w:type="pct"/>
            <w:vAlign w:val="center"/>
          </w:tcPr>
          <w:p w14:paraId="073076AF" w14:textId="35387453" w:rsidR="00E367C7" w:rsidRDefault="00E367C7" w:rsidP="006B28B5">
            <w:pPr>
              <w:spacing w:after="0"/>
            </w:pPr>
            <w:r>
              <w:t xml:space="preserve">Removal of </w:t>
            </w:r>
            <w:r w:rsidR="001171D3">
              <w:t xml:space="preserve">operational </w:t>
            </w:r>
            <w:r>
              <w:t>constraints in combination with weir pool raising</w:t>
            </w:r>
          </w:p>
          <w:p w14:paraId="2CB1BC7D" w14:textId="5B45A508" w:rsidR="00B933A5" w:rsidRDefault="00B933A5" w:rsidP="006B28B5">
            <w:pPr>
              <w:spacing w:after="0"/>
            </w:pPr>
          </w:p>
        </w:tc>
        <w:tc>
          <w:tcPr>
            <w:tcW w:w="3684" w:type="pct"/>
            <w:vAlign w:val="center"/>
          </w:tcPr>
          <w:p w14:paraId="3998D2CA" w14:textId="1F9D348A" w:rsidR="00FD509C" w:rsidRDefault="00ED01A5" w:rsidP="006B28B5">
            <w:pPr>
              <w:pStyle w:val="Tabletext"/>
            </w:pPr>
            <w:r>
              <w:t xml:space="preserve">Much of the Black Box vegetation throughout the Basin grows on higher sections of floodplain, outside the zone of influence achievable by weir pool manipulation. Removing </w:t>
            </w:r>
            <w:r w:rsidR="001171D3">
              <w:t xml:space="preserve">operational </w:t>
            </w:r>
            <w:r>
              <w:t xml:space="preserve">constraints can either increase the allowable amplitude of weir pool raising, or increase the areas inundated when the weir pool is raised. </w:t>
            </w:r>
          </w:p>
        </w:tc>
      </w:tr>
      <w:tr w:rsidR="00FD509C" w14:paraId="39B70C50" w14:textId="77777777" w:rsidTr="00FD509C">
        <w:tc>
          <w:tcPr>
            <w:tcW w:w="1316" w:type="pct"/>
            <w:vAlign w:val="center"/>
          </w:tcPr>
          <w:p w14:paraId="78046C5B" w14:textId="77777777" w:rsidR="00FD509C" w:rsidRDefault="00E367C7" w:rsidP="00E367C7">
            <w:pPr>
              <w:spacing w:after="0"/>
            </w:pPr>
            <w:r>
              <w:t>Environmental watering, in combination with groundwater pumping</w:t>
            </w:r>
          </w:p>
          <w:p w14:paraId="115B2AB8" w14:textId="539E392E" w:rsidR="00B933A5" w:rsidRDefault="00B933A5" w:rsidP="00B933A5">
            <w:pPr>
              <w:spacing w:after="0"/>
            </w:pPr>
          </w:p>
        </w:tc>
        <w:tc>
          <w:tcPr>
            <w:tcW w:w="3684" w:type="pct"/>
            <w:vAlign w:val="center"/>
          </w:tcPr>
          <w:p w14:paraId="718295BB" w14:textId="78990EB5" w:rsidR="00FD509C" w:rsidRDefault="00ED01A5" w:rsidP="006B28B5">
            <w:pPr>
              <w:pStyle w:val="Tabletext"/>
            </w:pPr>
            <w:r>
              <w:t>Groundwater pumping, such as S</w:t>
            </w:r>
            <w:r w:rsidR="00293A16">
              <w:t xml:space="preserve">alt </w:t>
            </w:r>
            <w:r>
              <w:t>I</w:t>
            </w:r>
            <w:r w:rsidR="00293A16">
              <w:t>nterception S</w:t>
            </w:r>
            <w:r>
              <w:t xml:space="preserve">chemes, reduce the </w:t>
            </w:r>
            <w:r w:rsidR="005B199B">
              <w:t>depth</w:t>
            </w:r>
            <w:r>
              <w:t xml:space="preserve"> of the saline groundwater. Environmental watering enables freshening of the soil water, and in combination with lowering of the groundwater table provides an effective method for increasing soil water availability. </w:t>
            </w:r>
          </w:p>
        </w:tc>
      </w:tr>
    </w:tbl>
    <w:p w14:paraId="4413D31D" w14:textId="77777777" w:rsidR="006C7C05" w:rsidRDefault="006C7C05" w:rsidP="006C7C05">
      <w:pPr>
        <w:pStyle w:val="Heading2"/>
        <w:numPr>
          <w:ilvl w:val="0"/>
          <w:numId w:val="0"/>
        </w:numPr>
        <w:ind w:left="851"/>
      </w:pPr>
    </w:p>
    <w:p w14:paraId="4560835C" w14:textId="77777777" w:rsidR="0054034A" w:rsidRDefault="0054034A">
      <w:pPr>
        <w:spacing w:after="0" w:line="240" w:lineRule="auto"/>
        <w:rPr>
          <w:rFonts w:eastAsiaTheme="majorEastAsia" w:cstheme="majorBidi"/>
          <w:b/>
          <w:bCs/>
          <w:color w:val="65876D" w:themeColor="accent4" w:themeShade="BF"/>
          <w:sz w:val="24"/>
          <w:szCs w:val="26"/>
        </w:rPr>
      </w:pPr>
      <w:r>
        <w:rPr>
          <w:color w:val="65876D" w:themeColor="accent4" w:themeShade="BF"/>
        </w:rPr>
        <w:br w:type="page"/>
      </w:r>
    </w:p>
    <w:p w14:paraId="177C00B3" w14:textId="25A01CD4" w:rsidR="004117EA" w:rsidRPr="00244456" w:rsidRDefault="000C57A2" w:rsidP="00E45BF0">
      <w:pPr>
        <w:pStyle w:val="Heading2"/>
        <w:keepNext w:val="0"/>
        <w:keepLines w:val="0"/>
        <w:rPr>
          <w:color w:val="65876D" w:themeColor="accent4" w:themeShade="BF"/>
        </w:rPr>
      </w:pPr>
      <w:bookmarkStart w:id="225" w:name="_Toc514018004"/>
      <w:r w:rsidRPr="00244456">
        <w:rPr>
          <w:color w:val="65876D" w:themeColor="accent4" w:themeShade="BF"/>
        </w:rPr>
        <w:t xml:space="preserve">STEP </w:t>
      </w:r>
      <w:r w:rsidR="00100448">
        <w:rPr>
          <w:color w:val="65876D" w:themeColor="accent4" w:themeShade="BF"/>
        </w:rPr>
        <w:t>7</w:t>
      </w:r>
      <w:r w:rsidRPr="00244456">
        <w:rPr>
          <w:color w:val="65876D" w:themeColor="accent4" w:themeShade="BF"/>
        </w:rPr>
        <w:t>: BENEFIT AND RISK ASSESSMENT</w:t>
      </w:r>
      <w:bookmarkEnd w:id="225"/>
    </w:p>
    <w:p w14:paraId="2C69D4BC" w14:textId="7CBBB04A" w:rsidR="004117EA" w:rsidRDefault="00251B81" w:rsidP="001A3AC7">
      <w:pPr>
        <w:pStyle w:val="Para0"/>
      </w:pPr>
      <w:r>
        <w:t>Following prioritisation of the management scenarios, the</w:t>
      </w:r>
      <w:r w:rsidR="008F1895">
        <w:t xml:space="preserve"> impacts (both positive and negative) to other site objectives, species, </w:t>
      </w:r>
      <w:r w:rsidR="00AD0E29">
        <w:t>or other unintended consequences</w:t>
      </w:r>
      <w:r w:rsidR="008F1895">
        <w:t xml:space="preserve"> should be considered </w:t>
      </w:r>
      <w:r w:rsidR="0059545B">
        <w:t xml:space="preserve">for the shortlisted management scenario(s) </w:t>
      </w:r>
      <w:r w:rsidR="008F1895">
        <w:t xml:space="preserve">prior to any decision on implementation of management actions. </w:t>
      </w:r>
    </w:p>
    <w:p w14:paraId="0231A136" w14:textId="1580EDEB" w:rsidR="00E45BF0" w:rsidRDefault="00E45BF0" w:rsidP="00E45BF0">
      <w:pPr>
        <w:pStyle w:val="Para0"/>
      </w:pPr>
      <w:r>
        <w:t xml:space="preserve">The assessment of risks should be undertaken in accordance with </w:t>
      </w:r>
      <w:r w:rsidR="00DD4752" w:rsidRPr="00DD4752">
        <w:rPr>
          <w:rFonts w:eastAsia="MS Mincho"/>
          <w:szCs w:val="20"/>
          <w:lang w:val="en-US"/>
        </w:rPr>
        <w:t>AS/NZS</w:t>
      </w:r>
      <w:r w:rsidR="00DD4752" w:rsidRPr="00DD4752">
        <w:rPr>
          <w:rFonts w:eastAsia="MS Mincho" w:cs="Arial"/>
          <w:szCs w:val="20"/>
          <w:lang w:val="en-US"/>
        </w:rPr>
        <w:t> ISO 31000: 2009</w:t>
      </w:r>
      <w:r>
        <w:t>, incorporating the following principles:</w:t>
      </w:r>
    </w:p>
    <w:p w14:paraId="450242EC" w14:textId="77777777" w:rsidR="00E45BF0" w:rsidRPr="00E230DF" w:rsidRDefault="00E45BF0" w:rsidP="00E45BF0">
      <w:pPr>
        <w:pStyle w:val="PIRSABulletPoints"/>
        <w:rPr>
          <w:rFonts w:ascii="Arial" w:hAnsi="Arial" w:cs="Arial"/>
          <w:sz w:val="20"/>
          <w:szCs w:val="20"/>
          <w:lang w:eastAsia="en-US"/>
        </w:rPr>
      </w:pPr>
      <w:r w:rsidRPr="00E230DF">
        <w:rPr>
          <w:rFonts w:ascii="Arial" w:hAnsi="Arial" w:cs="Arial"/>
          <w:b/>
          <w:sz w:val="20"/>
          <w:szCs w:val="20"/>
          <w:lang w:eastAsia="en-US"/>
        </w:rPr>
        <w:t>Communicate and Consult</w:t>
      </w:r>
      <w:r w:rsidRPr="00E230DF">
        <w:rPr>
          <w:rFonts w:ascii="Arial" w:hAnsi="Arial" w:cs="Arial"/>
          <w:sz w:val="20"/>
          <w:szCs w:val="20"/>
          <w:lang w:eastAsia="en-US"/>
        </w:rPr>
        <w:t xml:space="preserve"> – with internal and external stakeholders at each stage of the risk management process. Ongoing consultation will be undertaken throughout the risk management process.</w:t>
      </w:r>
    </w:p>
    <w:p w14:paraId="02CE3B52" w14:textId="77777777" w:rsidR="00E45BF0" w:rsidRPr="00E230DF" w:rsidRDefault="00E45BF0" w:rsidP="00E45BF0">
      <w:pPr>
        <w:pStyle w:val="PIRSABulletPoints"/>
        <w:rPr>
          <w:rFonts w:ascii="Arial" w:hAnsi="Arial" w:cs="Arial"/>
          <w:sz w:val="20"/>
          <w:szCs w:val="20"/>
          <w:lang w:eastAsia="en-US"/>
        </w:rPr>
      </w:pPr>
      <w:r w:rsidRPr="00E230DF">
        <w:rPr>
          <w:rFonts w:ascii="Arial" w:hAnsi="Arial" w:cs="Arial"/>
          <w:b/>
          <w:sz w:val="20"/>
          <w:szCs w:val="20"/>
          <w:lang w:eastAsia="en-US"/>
        </w:rPr>
        <w:t>Establish the Context</w:t>
      </w:r>
      <w:r w:rsidRPr="00E230DF">
        <w:rPr>
          <w:rFonts w:ascii="Arial" w:hAnsi="Arial" w:cs="Arial"/>
          <w:sz w:val="20"/>
          <w:szCs w:val="20"/>
          <w:lang w:eastAsia="en-US"/>
        </w:rPr>
        <w:t xml:space="preserve"> – establish the external, internal and risk management procedures against which risk will be evaluated.</w:t>
      </w:r>
    </w:p>
    <w:p w14:paraId="3CC66C44" w14:textId="77777777" w:rsidR="00E45BF0" w:rsidRPr="00E230DF" w:rsidRDefault="00E45BF0" w:rsidP="00E45BF0">
      <w:pPr>
        <w:pStyle w:val="PIRSABulletPoints"/>
        <w:rPr>
          <w:rFonts w:ascii="Arial" w:hAnsi="Arial" w:cs="Arial"/>
          <w:sz w:val="20"/>
          <w:szCs w:val="20"/>
          <w:lang w:eastAsia="en-US"/>
        </w:rPr>
      </w:pPr>
      <w:r w:rsidRPr="00E230DF">
        <w:rPr>
          <w:rFonts w:ascii="Arial" w:hAnsi="Arial" w:cs="Arial"/>
          <w:b/>
          <w:sz w:val="20"/>
          <w:szCs w:val="20"/>
          <w:lang w:eastAsia="en-US"/>
        </w:rPr>
        <w:t>Identify the Risks</w:t>
      </w:r>
      <w:r w:rsidRPr="00E230DF">
        <w:rPr>
          <w:rFonts w:ascii="Arial" w:hAnsi="Arial" w:cs="Arial"/>
          <w:sz w:val="20"/>
          <w:szCs w:val="20"/>
          <w:lang w:eastAsia="en-US"/>
        </w:rPr>
        <w:t xml:space="preserve"> – where, when, why and how events could prevent, degrade, delay or enhance the achievement of the Program objectives.</w:t>
      </w:r>
    </w:p>
    <w:p w14:paraId="23343E61" w14:textId="77777777" w:rsidR="00E45BF0" w:rsidRPr="00E230DF" w:rsidRDefault="00E45BF0" w:rsidP="00E45BF0">
      <w:pPr>
        <w:pStyle w:val="PIRSABulletPoints"/>
        <w:rPr>
          <w:rFonts w:ascii="Arial" w:hAnsi="Arial" w:cs="Arial"/>
          <w:sz w:val="20"/>
          <w:szCs w:val="20"/>
          <w:lang w:eastAsia="en-US"/>
        </w:rPr>
      </w:pPr>
      <w:r w:rsidRPr="00293A16">
        <w:rPr>
          <w:rFonts w:ascii="Arial" w:hAnsi="Arial" w:cs="Arial"/>
          <w:b/>
          <w:sz w:val="20"/>
          <w:szCs w:val="20"/>
          <w:lang w:val="en-AU" w:eastAsia="en-US"/>
        </w:rPr>
        <w:t>Analyse</w:t>
      </w:r>
      <w:r w:rsidRPr="00E230DF">
        <w:rPr>
          <w:rFonts w:ascii="Arial" w:hAnsi="Arial" w:cs="Arial"/>
          <w:b/>
          <w:sz w:val="20"/>
          <w:szCs w:val="20"/>
          <w:lang w:eastAsia="en-US"/>
        </w:rPr>
        <w:t xml:space="preserve"> the Risks</w:t>
      </w:r>
      <w:r w:rsidRPr="00E230DF">
        <w:rPr>
          <w:rFonts w:ascii="Arial" w:hAnsi="Arial" w:cs="Arial"/>
          <w:sz w:val="20"/>
          <w:szCs w:val="20"/>
          <w:lang w:eastAsia="en-US"/>
        </w:rPr>
        <w:t xml:space="preserve"> – consider the existing controls, the range of potential consequences, the likelihood of the risk occurring and therefore, the level of risk involved. </w:t>
      </w:r>
    </w:p>
    <w:p w14:paraId="2649D945" w14:textId="77777777" w:rsidR="00E45BF0" w:rsidRPr="00E230DF" w:rsidRDefault="00E45BF0" w:rsidP="00E45BF0">
      <w:pPr>
        <w:pStyle w:val="PIRSABulletPoints"/>
        <w:rPr>
          <w:rFonts w:ascii="Arial" w:hAnsi="Arial" w:cs="Arial"/>
          <w:sz w:val="20"/>
          <w:szCs w:val="20"/>
          <w:lang w:eastAsia="en-US"/>
        </w:rPr>
      </w:pPr>
      <w:r w:rsidRPr="00E230DF">
        <w:rPr>
          <w:rFonts w:ascii="Arial" w:hAnsi="Arial" w:cs="Arial"/>
          <w:b/>
          <w:sz w:val="20"/>
          <w:szCs w:val="20"/>
          <w:lang w:eastAsia="en-US"/>
        </w:rPr>
        <w:t>Evaluate the Risks</w:t>
      </w:r>
      <w:r w:rsidRPr="00E230DF">
        <w:rPr>
          <w:rFonts w:ascii="Arial" w:hAnsi="Arial" w:cs="Arial"/>
          <w:sz w:val="20"/>
          <w:szCs w:val="20"/>
          <w:lang w:eastAsia="en-US"/>
        </w:rPr>
        <w:t xml:space="preserve"> – consider the balance between potential benefits and adverse outcomes to determine priorities, and the extent and nature of treatments required.</w:t>
      </w:r>
    </w:p>
    <w:p w14:paraId="7A20F139" w14:textId="77777777" w:rsidR="00E45BF0" w:rsidRPr="00E230DF" w:rsidRDefault="00E45BF0" w:rsidP="00E45BF0">
      <w:pPr>
        <w:pStyle w:val="PIRSABulletPoints"/>
        <w:rPr>
          <w:rFonts w:ascii="Arial" w:hAnsi="Arial" w:cs="Arial"/>
          <w:sz w:val="20"/>
          <w:szCs w:val="20"/>
          <w:lang w:eastAsia="en-US"/>
        </w:rPr>
      </w:pPr>
      <w:r w:rsidRPr="00E230DF">
        <w:rPr>
          <w:rFonts w:ascii="Arial" w:hAnsi="Arial" w:cs="Arial"/>
          <w:b/>
          <w:sz w:val="20"/>
          <w:szCs w:val="20"/>
          <w:lang w:eastAsia="en-US"/>
        </w:rPr>
        <w:t>Treat the Risks</w:t>
      </w:r>
      <w:r w:rsidRPr="00E230DF">
        <w:rPr>
          <w:rFonts w:ascii="Arial" w:hAnsi="Arial" w:cs="Arial"/>
          <w:sz w:val="20"/>
          <w:szCs w:val="20"/>
          <w:lang w:eastAsia="en-US"/>
        </w:rPr>
        <w:t xml:space="preserve"> – develop and implement strategies and action plans for increasing benefits and reducing potential risks.</w:t>
      </w:r>
    </w:p>
    <w:p w14:paraId="5CD30AA5" w14:textId="77777777" w:rsidR="00E45BF0" w:rsidRPr="00E230DF" w:rsidRDefault="00E45BF0" w:rsidP="00E45BF0">
      <w:pPr>
        <w:pStyle w:val="PIRSABulletPoints"/>
        <w:rPr>
          <w:rFonts w:ascii="Arial" w:hAnsi="Arial" w:cs="Arial"/>
          <w:sz w:val="20"/>
          <w:szCs w:val="20"/>
          <w:lang w:eastAsia="en-US"/>
        </w:rPr>
      </w:pPr>
      <w:r w:rsidRPr="00E230DF">
        <w:rPr>
          <w:rFonts w:ascii="Arial" w:hAnsi="Arial" w:cs="Arial"/>
          <w:b/>
          <w:sz w:val="20"/>
          <w:szCs w:val="20"/>
          <w:lang w:eastAsia="en-US"/>
        </w:rPr>
        <w:t>Monitor and Review</w:t>
      </w:r>
      <w:r w:rsidRPr="00E230DF">
        <w:rPr>
          <w:rFonts w:ascii="Arial" w:hAnsi="Arial" w:cs="Arial"/>
          <w:sz w:val="20"/>
          <w:szCs w:val="20"/>
          <w:lang w:eastAsia="en-US"/>
        </w:rPr>
        <w:t xml:space="preserve"> – monitor the effectiveness of all steps of the risk management process. This is important for continuous improvement.  </w:t>
      </w:r>
    </w:p>
    <w:p w14:paraId="1E2D9EFC" w14:textId="70AAB1E4" w:rsidR="004D3539" w:rsidRDefault="004D3539" w:rsidP="001A3AC7">
      <w:pPr>
        <w:pStyle w:val="Para0"/>
      </w:pPr>
      <w:r>
        <w:t>There are a range of risk assessment tools available</w:t>
      </w:r>
      <w:r w:rsidRPr="004D3539">
        <w:t xml:space="preserve">. </w:t>
      </w:r>
      <w:r w:rsidR="00B36E97">
        <w:rPr>
          <w:highlight w:val="yellow"/>
        </w:rPr>
        <w:fldChar w:fldCharType="begin"/>
      </w:r>
      <w:r w:rsidR="00B36E97">
        <w:instrText xml:space="preserve"> REF _Ref506560888 \r \h </w:instrText>
      </w:r>
      <w:r w:rsidR="00B36E97">
        <w:rPr>
          <w:highlight w:val="yellow"/>
        </w:rPr>
      </w:r>
      <w:r w:rsidR="00B36E97">
        <w:rPr>
          <w:highlight w:val="yellow"/>
        </w:rPr>
        <w:fldChar w:fldCharType="separate"/>
      </w:r>
      <w:r w:rsidR="00BF015B">
        <w:t>Appendix L</w:t>
      </w:r>
      <w:r w:rsidR="00B36E97">
        <w:rPr>
          <w:highlight w:val="yellow"/>
        </w:rPr>
        <w:fldChar w:fldCharType="end"/>
      </w:r>
      <w:r w:rsidR="00B36E97">
        <w:t xml:space="preserve"> </w:t>
      </w:r>
      <w:r>
        <w:t xml:space="preserve">presents a risk assessment matrix that can be used to explore the risks, likelihood and consequences for managing Black Box at a site. Some potential risks that could apply for each type of management option are included in </w:t>
      </w:r>
      <w:r w:rsidR="005947CD">
        <w:rPr>
          <w:highlight w:val="yellow"/>
        </w:rPr>
        <w:fldChar w:fldCharType="begin"/>
      </w:r>
      <w:r w:rsidR="005947CD">
        <w:instrText xml:space="preserve"> REF _Ref505337300 \h </w:instrText>
      </w:r>
      <w:r w:rsidR="005947CD">
        <w:rPr>
          <w:highlight w:val="yellow"/>
        </w:rPr>
      </w:r>
      <w:r w:rsidR="005947CD">
        <w:rPr>
          <w:highlight w:val="yellow"/>
        </w:rPr>
        <w:fldChar w:fldCharType="separate"/>
      </w:r>
      <w:r w:rsidR="00BF015B" w:rsidRPr="007A45D5">
        <w:t xml:space="preserve">Table </w:t>
      </w:r>
      <w:r w:rsidR="00293A16">
        <w:rPr>
          <w:noProof/>
        </w:rPr>
        <w:t>4-3</w:t>
      </w:r>
      <w:r w:rsidR="005947CD">
        <w:rPr>
          <w:highlight w:val="yellow"/>
        </w:rPr>
        <w:fldChar w:fldCharType="end"/>
      </w:r>
      <w:r>
        <w:t xml:space="preserve">. This is intended to provide a starting point only, as the specific risks and benefits, and the extent to which they apply, will be unique for each site. </w:t>
      </w:r>
    </w:p>
    <w:p w14:paraId="21139E75" w14:textId="15A76079" w:rsidR="004D3539" w:rsidRPr="007A45D5" w:rsidRDefault="004D3539" w:rsidP="007A45D5">
      <w:pPr>
        <w:pStyle w:val="Caption"/>
      </w:pPr>
      <w:bookmarkStart w:id="226" w:name="_Toc514068788"/>
      <w:r w:rsidRPr="007A45D5">
        <w:t xml:space="preserve">Table </w:t>
      </w:r>
      <w:r w:rsidR="002D4BCF" w:rsidRPr="007A45D5">
        <w:fldChar w:fldCharType="begin"/>
      </w:r>
      <w:r w:rsidR="002D4BCF" w:rsidRPr="007A45D5">
        <w:instrText xml:space="preserve"> STYLEREF 1 \s </w:instrText>
      </w:r>
      <w:r w:rsidR="002D4BCF" w:rsidRPr="007A45D5">
        <w:fldChar w:fldCharType="separate"/>
      </w:r>
      <w:r w:rsidR="00BF015B">
        <w:rPr>
          <w:noProof/>
        </w:rPr>
        <w:t>4</w:t>
      </w:r>
      <w:r w:rsidR="002D4BCF" w:rsidRPr="007A45D5">
        <w:fldChar w:fldCharType="end"/>
      </w:r>
      <w:r w:rsidR="002D4BCF" w:rsidRPr="007A45D5">
        <w:noBreakHyphen/>
      </w:r>
      <w:r w:rsidR="002D4BCF" w:rsidRPr="007A45D5">
        <w:fldChar w:fldCharType="begin"/>
      </w:r>
      <w:r w:rsidR="002D4BCF" w:rsidRPr="007A45D5">
        <w:instrText xml:space="preserve"> SEQ Table \* ARABIC \s 1 </w:instrText>
      </w:r>
      <w:r w:rsidR="002D4BCF" w:rsidRPr="007A45D5">
        <w:fldChar w:fldCharType="separate"/>
      </w:r>
      <w:r w:rsidR="00BF015B">
        <w:rPr>
          <w:noProof/>
        </w:rPr>
        <w:t>3</w:t>
      </w:r>
      <w:r w:rsidR="002D4BCF" w:rsidRPr="007A45D5">
        <w:fldChar w:fldCharType="end"/>
      </w:r>
      <w:r w:rsidRPr="007A45D5">
        <w:t xml:space="preserve">: </w:t>
      </w:r>
      <w:r w:rsidR="007A45D5" w:rsidRPr="007A45D5">
        <w:t xml:space="preserve">Potential </w:t>
      </w:r>
      <w:r w:rsidR="0050442E">
        <w:t>r</w:t>
      </w:r>
      <w:r w:rsidR="007A45D5" w:rsidRPr="007A45D5">
        <w:t xml:space="preserve">isks and </w:t>
      </w:r>
      <w:r w:rsidR="0050442E">
        <w:t>b</w:t>
      </w:r>
      <w:r w:rsidR="007A45D5" w:rsidRPr="007A45D5">
        <w:t xml:space="preserve">enefits </w:t>
      </w:r>
      <w:r w:rsidR="0050442E">
        <w:t>a</w:t>
      </w:r>
      <w:r w:rsidR="007A45D5" w:rsidRPr="007A45D5">
        <w:t xml:space="preserve">ssociated with </w:t>
      </w:r>
      <w:r w:rsidR="0050442E">
        <w:t>m</w:t>
      </w:r>
      <w:r w:rsidR="007A45D5" w:rsidRPr="007A45D5">
        <w:t xml:space="preserve">anagement </w:t>
      </w:r>
      <w:r w:rsidR="0050442E">
        <w:t>o</w:t>
      </w:r>
      <w:r w:rsidR="007A45D5" w:rsidRPr="007A45D5">
        <w:t>ptions</w:t>
      </w:r>
      <w:bookmarkEnd w:id="226"/>
    </w:p>
    <w:tbl>
      <w:tblPr>
        <w:tblStyle w:val="TableGrid"/>
        <w:tblW w:w="4891"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3029"/>
        <w:gridCol w:w="3401"/>
        <w:gridCol w:w="3260"/>
      </w:tblGrid>
      <w:tr w:rsidR="004D3539" w14:paraId="26BD2DEB" w14:textId="327054B3" w:rsidTr="00244456">
        <w:trPr>
          <w:tblHeader/>
        </w:trPr>
        <w:tc>
          <w:tcPr>
            <w:tcW w:w="1563" w:type="pct"/>
            <w:tcBorders>
              <w:left w:val="single" w:sz="4" w:space="0" w:color="FFFFFF" w:themeColor="background1"/>
              <w:right w:val="single" w:sz="4" w:space="0" w:color="FFFFFF" w:themeColor="background1"/>
            </w:tcBorders>
            <w:shd w:val="clear" w:color="auto" w:fill="00338D"/>
          </w:tcPr>
          <w:p w14:paraId="08B2C187" w14:textId="0A03C066" w:rsidR="004D3539" w:rsidRDefault="004D3539" w:rsidP="006B28B5">
            <w:pPr>
              <w:pStyle w:val="Tableheading"/>
            </w:pPr>
            <w:r>
              <w:t>Management Options</w:t>
            </w:r>
          </w:p>
        </w:tc>
        <w:tc>
          <w:tcPr>
            <w:tcW w:w="1755" w:type="pct"/>
            <w:tcBorders>
              <w:left w:val="single" w:sz="4" w:space="0" w:color="FFFFFF" w:themeColor="background1"/>
              <w:right w:val="single" w:sz="4" w:space="0" w:color="FFFFFF" w:themeColor="background1"/>
            </w:tcBorders>
            <w:shd w:val="clear" w:color="auto" w:fill="00338D"/>
          </w:tcPr>
          <w:p w14:paraId="4CB71569" w14:textId="0B53C5D4" w:rsidR="004D3539" w:rsidRDefault="004D3539" w:rsidP="006B28B5">
            <w:pPr>
              <w:pStyle w:val="Tableheading"/>
            </w:pPr>
            <w:r>
              <w:t>Potential Benefits</w:t>
            </w:r>
          </w:p>
        </w:tc>
        <w:tc>
          <w:tcPr>
            <w:tcW w:w="1682" w:type="pct"/>
            <w:tcBorders>
              <w:left w:val="single" w:sz="4" w:space="0" w:color="FFFFFF" w:themeColor="background1"/>
              <w:right w:val="single" w:sz="4" w:space="0" w:color="FFFFFF" w:themeColor="background1"/>
            </w:tcBorders>
            <w:shd w:val="clear" w:color="auto" w:fill="00338D"/>
          </w:tcPr>
          <w:p w14:paraId="1A6E1DB0" w14:textId="27D8FEB4" w:rsidR="004D3539" w:rsidRDefault="004D3539" w:rsidP="006B28B5">
            <w:pPr>
              <w:pStyle w:val="Tableheading"/>
            </w:pPr>
            <w:r>
              <w:t>Potential Risks</w:t>
            </w:r>
          </w:p>
        </w:tc>
      </w:tr>
      <w:tr w:rsidR="00EC1C02" w14:paraId="3D67CAC9" w14:textId="0D75A76E" w:rsidTr="00244456">
        <w:trPr>
          <w:trHeight w:val="490"/>
        </w:trPr>
        <w:tc>
          <w:tcPr>
            <w:tcW w:w="1563" w:type="pct"/>
          </w:tcPr>
          <w:p w14:paraId="6347879D" w14:textId="77777777" w:rsidR="0050442E" w:rsidRDefault="00EC1C02" w:rsidP="00F22225">
            <w:pPr>
              <w:pStyle w:val="Tabletext"/>
              <w:numPr>
                <w:ilvl w:val="0"/>
                <w:numId w:val="59"/>
              </w:numPr>
            </w:pPr>
            <w:r>
              <w:t>Augmenting river flows with environmental watering</w:t>
            </w:r>
            <w:r w:rsidR="0050442E">
              <w:t xml:space="preserve"> </w:t>
            </w:r>
          </w:p>
          <w:p w14:paraId="1209696B" w14:textId="77777777" w:rsidR="0050442E" w:rsidRDefault="0050442E" w:rsidP="00F22225">
            <w:pPr>
              <w:pStyle w:val="Tabletext"/>
              <w:numPr>
                <w:ilvl w:val="0"/>
                <w:numId w:val="59"/>
              </w:numPr>
            </w:pPr>
            <w:r>
              <w:t xml:space="preserve">Environmental watering </w:t>
            </w:r>
          </w:p>
          <w:p w14:paraId="18AD3148" w14:textId="77777777" w:rsidR="00EC1C02" w:rsidRDefault="0050442E" w:rsidP="00F22225">
            <w:pPr>
              <w:pStyle w:val="Tabletext"/>
              <w:numPr>
                <w:ilvl w:val="0"/>
                <w:numId w:val="59"/>
              </w:numPr>
            </w:pPr>
            <w:r>
              <w:t>Weir pool manipulation (both weir pool raising and lowering)</w:t>
            </w:r>
          </w:p>
          <w:p w14:paraId="02475791" w14:textId="77777777" w:rsidR="0050442E" w:rsidRDefault="0050442E" w:rsidP="00F22225">
            <w:pPr>
              <w:pStyle w:val="Tabletext"/>
              <w:numPr>
                <w:ilvl w:val="0"/>
                <w:numId w:val="59"/>
              </w:numPr>
            </w:pPr>
            <w:r>
              <w:t>Removal of constraints to redevelop surface water flow paths</w:t>
            </w:r>
          </w:p>
          <w:p w14:paraId="301741CB" w14:textId="77777777" w:rsidR="0050442E" w:rsidRDefault="0050442E" w:rsidP="00F22225">
            <w:pPr>
              <w:pStyle w:val="Tabletext"/>
              <w:numPr>
                <w:ilvl w:val="0"/>
                <w:numId w:val="59"/>
              </w:numPr>
            </w:pPr>
            <w:r w:rsidRPr="00A941D8">
              <w:t>Drip or spray irrigation of Black Box vegetation</w:t>
            </w:r>
          </w:p>
          <w:p w14:paraId="17EA2587" w14:textId="77777777" w:rsidR="0050442E" w:rsidRDefault="0050442E" w:rsidP="00F22225">
            <w:pPr>
              <w:pStyle w:val="Tabletext"/>
              <w:numPr>
                <w:ilvl w:val="0"/>
                <w:numId w:val="59"/>
              </w:numPr>
            </w:pPr>
            <w:r>
              <w:t>Groundwater pumping</w:t>
            </w:r>
          </w:p>
          <w:p w14:paraId="44B8B7F7" w14:textId="0CE85DFA" w:rsidR="0050442E" w:rsidRDefault="0050442E" w:rsidP="00F22225">
            <w:pPr>
              <w:pStyle w:val="Tabletext"/>
              <w:numPr>
                <w:ilvl w:val="0"/>
                <w:numId w:val="59"/>
              </w:numPr>
            </w:pPr>
            <w:r>
              <w:t>Groundwater injection</w:t>
            </w:r>
          </w:p>
        </w:tc>
        <w:tc>
          <w:tcPr>
            <w:tcW w:w="1755" w:type="pct"/>
          </w:tcPr>
          <w:p w14:paraId="2A47D3F8" w14:textId="0B197291" w:rsidR="0050442E" w:rsidRDefault="00D97242" w:rsidP="00F22225">
            <w:pPr>
              <w:pStyle w:val="Tabletext"/>
              <w:numPr>
                <w:ilvl w:val="0"/>
                <w:numId w:val="59"/>
              </w:numPr>
            </w:pPr>
            <w:r>
              <w:t>Increased inundation of other sites, greater connectivity flows for fish passage etc</w:t>
            </w:r>
            <w:r w:rsidR="00293A16">
              <w:t>.</w:t>
            </w:r>
            <w:r w:rsidR="0050442E">
              <w:t xml:space="preserve"> </w:t>
            </w:r>
          </w:p>
          <w:p w14:paraId="2D538524" w14:textId="4AE7662E" w:rsidR="0050442E" w:rsidRDefault="0050442E" w:rsidP="00F22225">
            <w:pPr>
              <w:pStyle w:val="Tabletext"/>
              <w:numPr>
                <w:ilvl w:val="0"/>
                <w:numId w:val="59"/>
              </w:numPr>
            </w:pPr>
            <w:r>
              <w:t>Improving Black Box forest and woodland understorey</w:t>
            </w:r>
          </w:p>
          <w:p w14:paraId="7827849A" w14:textId="77777777" w:rsidR="0050442E" w:rsidRDefault="0050442E" w:rsidP="00F22225">
            <w:pPr>
              <w:pStyle w:val="Tabletext"/>
              <w:numPr>
                <w:ilvl w:val="0"/>
                <w:numId w:val="59"/>
              </w:numPr>
            </w:pPr>
            <w:r>
              <w:t>Improved condition, coverage and recruitment of red gum and other floodplain vegetation</w:t>
            </w:r>
          </w:p>
          <w:p w14:paraId="1F16EF93" w14:textId="77777777" w:rsidR="0050442E" w:rsidRDefault="0050442E" w:rsidP="00F22225">
            <w:pPr>
              <w:pStyle w:val="Tabletext"/>
              <w:numPr>
                <w:ilvl w:val="0"/>
                <w:numId w:val="59"/>
              </w:numPr>
            </w:pPr>
            <w:r>
              <w:t>Improved cycling of nutrients through the floodplain</w:t>
            </w:r>
          </w:p>
          <w:p w14:paraId="4DF195F8" w14:textId="77777777" w:rsidR="0050442E" w:rsidRDefault="0050442E" w:rsidP="00F22225">
            <w:pPr>
              <w:pStyle w:val="Tabletext"/>
              <w:numPr>
                <w:ilvl w:val="0"/>
                <w:numId w:val="59"/>
              </w:numPr>
            </w:pPr>
            <w:r>
              <w:t>Greater distribution of water plants</w:t>
            </w:r>
          </w:p>
          <w:p w14:paraId="48133471" w14:textId="071F8AF8" w:rsidR="0050442E" w:rsidRDefault="0050442E" w:rsidP="00F22225">
            <w:pPr>
              <w:pStyle w:val="Tabletext"/>
              <w:numPr>
                <w:ilvl w:val="0"/>
                <w:numId w:val="59"/>
              </w:numPr>
            </w:pPr>
            <w:r>
              <w:t>Improved algae diversity, benefiting macroinvertebrates and fish</w:t>
            </w:r>
          </w:p>
          <w:p w14:paraId="7D7645FC" w14:textId="30BE66FC" w:rsidR="00EC1C02" w:rsidRDefault="0050442E" w:rsidP="00F22225">
            <w:pPr>
              <w:pStyle w:val="Tabletext"/>
              <w:numPr>
                <w:ilvl w:val="0"/>
                <w:numId w:val="59"/>
              </w:numPr>
            </w:pPr>
            <w:r>
              <w:rPr>
                <w:rFonts w:cs="Times New Roman"/>
                <w:lang w:val="en-US"/>
              </w:rPr>
              <w:t xml:space="preserve">Can </w:t>
            </w:r>
            <w:r w:rsidRPr="00680CD6">
              <w:rPr>
                <w:rFonts w:cs="Times New Roman"/>
                <w:lang w:val="en-US"/>
              </w:rPr>
              <w:t>provide beneficial cues for fish movement and breeding</w:t>
            </w:r>
          </w:p>
        </w:tc>
        <w:tc>
          <w:tcPr>
            <w:tcW w:w="1682" w:type="pct"/>
          </w:tcPr>
          <w:p w14:paraId="7FB1CA5E" w14:textId="77777777" w:rsidR="0050442E" w:rsidRDefault="00D97242" w:rsidP="00F22225">
            <w:pPr>
              <w:pStyle w:val="Tabletext"/>
              <w:numPr>
                <w:ilvl w:val="0"/>
                <w:numId w:val="59"/>
              </w:numPr>
            </w:pPr>
            <w:r>
              <w:t>Over watering of other sites</w:t>
            </w:r>
            <w:r w:rsidR="0050442E">
              <w:t xml:space="preserve"> </w:t>
            </w:r>
          </w:p>
          <w:p w14:paraId="6C11589B" w14:textId="18BC0252" w:rsidR="0050442E" w:rsidRDefault="0050442E" w:rsidP="00F22225">
            <w:pPr>
              <w:pStyle w:val="Tabletext"/>
              <w:numPr>
                <w:ilvl w:val="0"/>
                <w:numId w:val="59"/>
              </w:numPr>
            </w:pPr>
            <w:r>
              <w:t>Water quality risks - sediments, turbidity, dissolved oxygen, salinity</w:t>
            </w:r>
          </w:p>
          <w:p w14:paraId="70811A75" w14:textId="77777777" w:rsidR="0050442E" w:rsidRDefault="0050442E" w:rsidP="00F22225">
            <w:pPr>
              <w:pStyle w:val="Tabletext"/>
              <w:numPr>
                <w:ilvl w:val="0"/>
                <w:numId w:val="59"/>
              </w:numPr>
            </w:pPr>
            <w:r>
              <w:t>Bank erosion and slumping (weir pool lowering only)</w:t>
            </w:r>
          </w:p>
          <w:p w14:paraId="23E0E6ED" w14:textId="77777777" w:rsidR="0050442E" w:rsidRPr="00680CD6" w:rsidRDefault="0050442E" w:rsidP="00F22225">
            <w:pPr>
              <w:pStyle w:val="Tabletext"/>
              <w:numPr>
                <w:ilvl w:val="0"/>
                <w:numId w:val="59"/>
              </w:numPr>
            </w:pPr>
            <w:r>
              <w:rPr>
                <w:szCs w:val="20"/>
              </w:rPr>
              <w:t>Impacts of changed flow velocities to fish</w:t>
            </w:r>
          </w:p>
          <w:p w14:paraId="0607E5A6" w14:textId="77777777" w:rsidR="0050442E" w:rsidRPr="00680CD6" w:rsidRDefault="0050442E" w:rsidP="00F22225">
            <w:pPr>
              <w:numPr>
                <w:ilvl w:val="0"/>
                <w:numId w:val="59"/>
              </w:numPr>
              <w:spacing w:after="120"/>
              <w:rPr>
                <w:rFonts w:cs="Times New Roman"/>
                <w:szCs w:val="20"/>
                <w:lang w:val="en-US"/>
              </w:rPr>
            </w:pPr>
            <w:r w:rsidRPr="00680CD6">
              <w:rPr>
                <w:rFonts w:cs="Times New Roman"/>
                <w:szCs w:val="20"/>
                <w:lang w:val="en-US"/>
              </w:rPr>
              <w:t>Physical risk for operators from infrastructure management</w:t>
            </w:r>
          </w:p>
          <w:p w14:paraId="7801B2B8" w14:textId="77777777" w:rsidR="0050442E" w:rsidRDefault="0050442E" w:rsidP="00F22225">
            <w:pPr>
              <w:pStyle w:val="Tabletext"/>
              <w:numPr>
                <w:ilvl w:val="0"/>
                <w:numId w:val="59"/>
              </w:numPr>
            </w:pPr>
            <w:r>
              <w:t>Physical risk to community members posed by variable water levels</w:t>
            </w:r>
          </w:p>
          <w:p w14:paraId="75A4ED2A" w14:textId="74323D7E" w:rsidR="00EC1C02" w:rsidRDefault="0050442E" w:rsidP="00F22225">
            <w:pPr>
              <w:pStyle w:val="Tabletext"/>
              <w:numPr>
                <w:ilvl w:val="0"/>
                <w:numId w:val="59"/>
              </w:numPr>
            </w:pPr>
            <w:r>
              <w:t>Property risk to infrastructure within zone of inundation</w:t>
            </w:r>
          </w:p>
        </w:tc>
      </w:tr>
    </w:tbl>
    <w:p w14:paraId="043FFCE8" w14:textId="6B38781C" w:rsidR="0054034A" w:rsidRDefault="0054034A">
      <w:pPr>
        <w:spacing w:after="0" w:line="240" w:lineRule="auto"/>
        <w:rPr>
          <w:rFonts w:eastAsiaTheme="majorEastAsia" w:cstheme="majorBidi"/>
          <w:b/>
          <w:bCs/>
          <w:color w:val="65876D" w:themeColor="accent4" w:themeShade="BF"/>
          <w:sz w:val="24"/>
          <w:szCs w:val="26"/>
        </w:rPr>
      </w:pPr>
      <w:bookmarkStart w:id="227" w:name="_Ref506323496"/>
    </w:p>
    <w:p w14:paraId="3BEB7AF7" w14:textId="4734F332" w:rsidR="00FC0395" w:rsidRPr="00244456" w:rsidRDefault="000C57A2" w:rsidP="00244456">
      <w:pPr>
        <w:pStyle w:val="Heading2"/>
        <w:keepNext w:val="0"/>
        <w:keepLines w:val="0"/>
        <w:rPr>
          <w:color w:val="65876D" w:themeColor="accent4" w:themeShade="BF"/>
        </w:rPr>
      </w:pPr>
      <w:bookmarkStart w:id="228" w:name="_Ref506825828"/>
      <w:bookmarkStart w:id="229" w:name="_Toc514018005"/>
      <w:r w:rsidRPr="00244456">
        <w:rPr>
          <w:color w:val="65876D" w:themeColor="accent4" w:themeShade="BF"/>
        </w:rPr>
        <w:t xml:space="preserve">STEP </w:t>
      </w:r>
      <w:r w:rsidR="00100448">
        <w:rPr>
          <w:color w:val="65876D" w:themeColor="accent4" w:themeShade="BF"/>
        </w:rPr>
        <w:t>8</w:t>
      </w:r>
      <w:r w:rsidR="00EB0E96" w:rsidRPr="00244456">
        <w:rPr>
          <w:color w:val="65876D" w:themeColor="accent4" w:themeShade="BF"/>
        </w:rPr>
        <w:t xml:space="preserve">: DEVELOPING A </w:t>
      </w:r>
      <w:r w:rsidRPr="00244456">
        <w:rPr>
          <w:color w:val="65876D" w:themeColor="accent4" w:themeShade="BF"/>
        </w:rPr>
        <w:t xml:space="preserve">SITE </w:t>
      </w:r>
      <w:r w:rsidR="00EB0E96" w:rsidRPr="00244456">
        <w:rPr>
          <w:color w:val="65876D" w:themeColor="accent4" w:themeShade="BF"/>
        </w:rPr>
        <w:t>MONITORING PLAN</w:t>
      </w:r>
      <w:bookmarkEnd w:id="227"/>
      <w:bookmarkEnd w:id="228"/>
      <w:bookmarkEnd w:id="229"/>
    </w:p>
    <w:p w14:paraId="46C223EC" w14:textId="078AD78D" w:rsidR="006C7C05" w:rsidRDefault="006C7C05" w:rsidP="001A3AC7">
      <w:pPr>
        <w:pStyle w:val="Para0"/>
      </w:pPr>
      <w:r>
        <w:t xml:space="preserve">An important aspect of developing a site management scenario is to develop a plan for ongoing monitoring of the site, to record changes and outcomes of the management activities. </w:t>
      </w:r>
    </w:p>
    <w:p w14:paraId="3963855D" w14:textId="789EF602" w:rsidR="006C7C05" w:rsidRDefault="006C7C05" w:rsidP="001A3AC7">
      <w:pPr>
        <w:pStyle w:val="Para0"/>
      </w:pPr>
      <w:r>
        <w:t>Ongoing monitoring of Black Box condition should be consistent with the condition assessment methodology undertaken in Step 1, so that direct comparisons can be made before and after implementation of site management. Monitoring should be undertaken at an appropriate frequency to capture variation and trends in Black Box condition over time. Black Box vegetation can take several years to respond to management actions, and changes in condition can be delayed</w:t>
      </w:r>
      <w:r w:rsidR="00AD0E29">
        <w:t xml:space="preserve"> (</w:t>
      </w:r>
      <w:r w:rsidR="00293A16">
        <w:t>r</w:t>
      </w:r>
      <w:r w:rsidR="00AD0E29">
        <w:t xml:space="preserve">efer state and transition conceptual model, chapter </w:t>
      </w:r>
      <w:r w:rsidR="00AD0E29">
        <w:fldChar w:fldCharType="begin"/>
      </w:r>
      <w:r w:rsidR="00AD0E29">
        <w:instrText xml:space="preserve"> REF _Ref508021470 \r \h </w:instrText>
      </w:r>
      <w:r w:rsidR="00AD0E29">
        <w:fldChar w:fldCharType="separate"/>
      </w:r>
      <w:r w:rsidR="00BF015B">
        <w:t>3.5.1.4</w:t>
      </w:r>
      <w:r w:rsidR="00AD0E29">
        <w:fldChar w:fldCharType="end"/>
      </w:r>
      <w:r w:rsidR="00AD0E29">
        <w:t>)</w:t>
      </w:r>
      <w:r>
        <w:t xml:space="preserve">. </w:t>
      </w:r>
      <w:r w:rsidR="00293A16">
        <w:t xml:space="preserve">Given the long timeframe, </w:t>
      </w:r>
      <w:r>
        <w:t xml:space="preserve">it is important to plan management and monitoring activities over a </w:t>
      </w:r>
      <w:r w:rsidR="00293A16">
        <w:t>long-term</w:t>
      </w:r>
      <w:r>
        <w:t xml:space="preserve"> period (5 – 10 years), if relevant changes are going to be detected. When developing a site monitoring plan, the level of resources required to provide adequate monitoring over the long term must be considered. </w:t>
      </w:r>
    </w:p>
    <w:p w14:paraId="7E16A3DD" w14:textId="23150D0A" w:rsidR="000B04A2" w:rsidRDefault="000B04A2" w:rsidP="001A3AC7">
      <w:pPr>
        <w:pStyle w:val="Para0"/>
      </w:pPr>
      <w:r>
        <w:t xml:space="preserve">Key </w:t>
      </w:r>
      <w:r w:rsidR="00996DF1">
        <w:t>outcomes of the site monitoring include:</w:t>
      </w:r>
    </w:p>
    <w:p w14:paraId="79A1EDE7" w14:textId="130CF56D" w:rsidR="00996DF1" w:rsidRDefault="00996DF1" w:rsidP="00F22225">
      <w:pPr>
        <w:pStyle w:val="Para0"/>
        <w:numPr>
          <w:ilvl w:val="0"/>
          <w:numId w:val="94"/>
        </w:numPr>
      </w:pPr>
      <w:r>
        <w:t>Validating or updating the conceptual model. New information provides a means to update the conceptual model so that observed impacts are within the explanatory capacity of the conceptual model.</w:t>
      </w:r>
    </w:p>
    <w:p w14:paraId="1244BCB6" w14:textId="46C5D3CF" w:rsidR="00996DF1" w:rsidRDefault="00996DF1" w:rsidP="00F22225">
      <w:pPr>
        <w:pStyle w:val="Para0"/>
        <w:numPr>
          <w:ilvl w:val="0"/>
          <w:numId w:val="94"/>
        </w:numPr>
      </w:pPr>
      <w:r>
        <w:t>Updating the condition mapping and to bring in temporal data to better understand the trajectory of change and therefore the vulnerability of the Black Box. Black Box recruitment should be monitored so that a better perspective on the stressors impacting different life stages can be incorporated into vulnerability assessments and management objectives.</w:t>
      </w:r>
    </w:p>
    <w:p w14:paraId="0170B8E7" w14:textId="1EBAD3DF" w:rsidR="00996DF1" w:rsidRDefault="00996DF1" w:rsidP="00F22225">
      <w:pPr>
        <w:pStyle w:val="Para0"/>
        <w:numPr>
          <w:ilvl w:val="0"/>
          <w:numId w:val="94"/>
        </w:numPr>
      </w:pPr>
      <w:r>
        <w:t>Updating the stressor mapping so that old and new stressors can be identified and changes over time can provide a better understanding of the intensity of the stressors. Factors such as flooding frequency and groundwater changes after flooding events require temporal data.</w:t>
      </w:r>
    </w:p>
    <w:p w14:paraId="73300E91" w14:textId="180EF8C3" w:rsidR="00996DF1" w:rsidRDefault="00996DF1" w:rsidP="00F22225">
      <w:pPr>
        <w:pStyle w:val="Para0"/>
        <w:numPr>
          <w:ilvl w:val="0"/>
          <w:numId w:val="94"/>
        </w:numPr>
      </w:pPr>
      <w:r>
        <w:t xml:space="preserve">Updating the objectives and targets. As areas of the floodplain improve from management or potentially decline further </w:t>
      </w:r>
      <w:r w:rsidR="00293A16">
        <w:t xml:space="preserve">from </w:t>
      </w:r>
      <w:r>
        <w:t>stressors</w:t>
      </w:r>
      <w:r w:rsidR="00293A16">
        <w:t>,</w:t>
      </w:r>
      <w:r>
        <w:t xml:space="preserve"> it is important to revise the objectives and targets to make them relevant. Operational targets should be </w:t>
      </w:r>
      <w:r w:rsidR="00293A16">
        <w:t>refined</w:t>
      </w:r>
      <w:r>
        <w:t xml:space="preserve"> </w:t>
      </w:r>
      <w:r w:rsidR="00293A16">
        <w:t>to</w:t>
      </w:r>
      <w:r>
        <w:t xml:space="preserve"> achieve the best outcomes from the</w:t>
      </w:r>
      <w:r w:rsidR="00577309">
        <w:t xml:space="preserve"> resource</w:t>
      </w:r>
      <w:r>
        <w:t xml:space="preserve"> investment.</w:t>
      </w:r>
    </w:p>
    <w:p w14:paraId="40D21CB3" w14:textId="2D878DEA" w:rsidR="00996DF1" w:rsidRDefault="00996DF1" w:rsidP="00F22225">
      <w:pPr>
        <w:pStyle w:val="Para0"/>
        <w:numPr>
          <w:ilvl w:val="0"/>
          <w:numId w:val="94"/>
        </w:numPr>
      </w:pPr>
      <w:r>
        <w:t>As a basis for adaptive management</w:t>
      </w:r>
      <w:r w:rsidR="00577309">
        <w:t>,</w:t>
      </w:r>
      <w:r>
        <w:t xml:space="preserve"> whereby past management actions are evaluated for their effectiveness and new strategies and management actions can be improved.</w:t>
      </w:r>
    </w:p>
    <w:p w14:paraId="511462E4" w14:textId="212D7664" w:rsidR="00996DF1" w:rsidRDefault="00996DF1" w:rsidP="00996DF1">
      <w:pPr>
        <w:pStyle w:val="Para0"/>
      </w:pPr>
      <w:r>
        <w:t xml:space="preserve">As changes occur, it may be appropriate to revisit the site investigation </w:t>
      </w:r>
      <w:r w:rsidR="00AD6010">
        <w:t>phase and</w:t>
      </w:r>
      <w:r>
        <w:t xml:space="preserve"> update the management plan based on the monitoring outcomes. In this way, site investigations and management plans will continue to </w:t>
      </w:r>
      <w:r w:rsidR="005B199B">
        <w:t>be refined</w:t>
      </w:r>
      <w:r>
        <w:t xml:space="preserve"> over time.</w:t>
      </w:r>
    </w:p>
    <w:p w14:paraId="486FB4EC" w14:textId="77777777" w:rsidR="006C7C05" w:rsidRDefault="006C7C05" w:rsidP="001A3AC7">
      <w:pPr>
        <w:pStyle w:val="Para0"/>
      </w:pPr>
    </w:p>
    <w:p w14:paraId="27659534" w14:textId="77777777" w:rsidR="0054034A" w:rsidRDefault="0054034A">
      <w:pPr>
        <w:spacing w:after="0" w:line="240" w:lineRule="auto"/>
        <w:rPr>
          <w:rFonts w:eastAsiaTheme="majorEastAsia" w:cstheme="majorBidi"/>
          <w:b/>
          <w:bCs/>
          <w:color w:val="00338D"/>
          <w:sz w:val="24"/>
          <w:szCs w:val="26"/>
        </w:rPr>
      </w:pPr>
      <w:r>
        <w:br w:type="page"/>
      </w:r>
    </w:p>
    <w:p w14:paraId="49D70F2E" w14:textId="3C337192" w:rsidR="004D3539" w:rsidRPr="00244456" w:rsidRDefault="00AA066E" w:rsidP="00994501">
      <w:pPr>
        <w:pStyle w:val="Heading2"/>
        <w:keepNext w:val="0"/>
        <w:keepLines w:val="0"/>
        <w:rPr>
          <w:color w:val="65876D" w:themeColor="accent4" w:themeShade="BF"/>
        </w:rPr>
      </w:pPr>
      <w:bookmarkStart w:id="230" w:name="_Toc514018006"/>
      <w:r w:rsidRPr="00244456">
        <w:rPr>
          <w:color w:val="65876D" w:themeColor="accent4" w:themeShade="BF"/>
        </w:rPr>
        <w:t xml:space="preserve">STEP </w:t>
      </w:r>
      <w:r w:rsidR="00100448">
        <w:rPr>
          <w:color w:val="65876D" w:themeColor="accent4" w:themeShade="BF"/>
        </w:rPr>
        <w:t>9</w:t>
      </w:r>
      <w:r w:rsidR="00EB0E96" w:rsidRPr="00244456">
        <w:rPr>
          <w:color w:val="65876D" w:themeColor="accent4" w:themeShade="BF"/>
        </w:rPr>
        <w:t xml:space="preserve">: DEVELOPING A </w:t>
      </w:r>
      <w:r w:rsidR="000C57A2" w:rsidRPr="00244456">
        <w:rPr>
          <w:color w:val="65876D" w:themeColor="accent4" w:themeShade="BF"/>
        </w:rPr>
        <w:t xml:space="preserve">SITE </w:t>
      </w:r>
      <w:r w:rsidR="00EB0E96" w:rsidRPr="00244456">
        <w:rPr>
          <w:color w:val="65876D" w:themeColor="accent4" w:themeShade="BF"/>
        </w:rPr>
        <w:t>MANAGEMENT PLAN</w:t>
      </w:r>
      <w:bookmarkEnd w:id="230"/>
      <w:r w:rsidR="00EB0E96" w:rsidRPr="00244456">
        <w:rPr>
          <w:color w:val="65876D" w:themeColor="accent4" w:themeShade="BF"/>
        </w:rPr>
        <w:tab/>
      </w:r>
    </w:p>
    <w:p w14:paraId="4909EECD" w14:textId="77777777" w:rsidR="006C7C05" w:rsidRDefault="006C7C05" w:rsidP="000C57A2">
      <w:pPr>
        <w:pStyle w:val="Para0"/>
      </w:pPr>
      <w:r>
        <w:t>The priority management scenarios and monitoring plan should be documented in a site management plan. This plan should outline:</w:t>
      </w:r>
    </w:p>
    <w:p w14:paraId="0DFD83A1" w14:textId="61CA580C" w:rsidR="006C7C05" w:rsidRDefault="00577309" w:rsidP="00F22225">
      <w:pPr>
        <w:pStyle w:val="Para0"/>
        <w:numPr>
          <w:ilvl w:val="0"/>
          <w:numId w:val="76"/>
        </w:numPr>
      </w:pPr>
      <w:r>
        <w:t>t</w:t>
      </w:r>
      <w:r w:rsidR="006C7C05">
        <w:t>he investigations that informed the choice of the priority management scenario</w:t>
      </w:r>
    </w:p>
    <w:p w14:paraId="281654AA" w14:textId="3C9B39B8" w:rsidR="006C7C05" w:rsidRDefault="00577309" w:rsidP="00F22225">
      <w:pPr>
        <w:pStyle w:val="Para0"/>
        <w:numPr>
          <w:ilvl w:val="0"/>
          <w:numId w:val="76"/>
        </w:numPr>
      </w:pPr>
      <w:r>
        <w:t>t</w:t>
      </w:r>
      <w:r w:rsidR="006C7C05">
        <w:t>he expected outcomes of the management scenario</w:t>
      </w:r>
    </w:p>
    <w:p w14:paraId="27EB3A0E" w14:textId="46FF4275" w:rsidR="006C7C05" w:rsidRDefault="00577309" w:rsidP="00F22225">
      <w:pPr>
        <w:pStyle w:val="Para0"/>
        <w:numPr>
          <w:ilvl w:val="0"/>
          <w:numId w:val="76"/>
        </w:numPr>
      </w:pPr>
      <w:r>
        <w:t>i</w:t>
      </w:r>
      <w:r w:rsidR="006C7C05">
        <w:t>nfrastructure works, timeline, and investment required to implement the management scenario</w:t>
      </w:r>
    </w:p>
    <w:p w14:paraId="48F2A71E" w14:textId="0517B28A" w:rsidR="000C57A2" w:rsidRDefault="00577309" w:rsidP="00F22225">
      <w:pPr>
        <w:pStyle w:val="Para0"/>
        <w:numPr>
          <w:ilvl w:val="0"/>
          <w:numId w:val="76"/>
        </w:numPr>
      </w:pPr>
      <w:r>
        <w:t>r</w:t>
      </w:r>
      <w:r w:rsidR="006C7C05">
        <w:t>isk and benefit analysis of the management scenario</w:t>
      </w:r>
    </w:p>
    <w:p w14:paraId="12415E22" w14:textId="76A54B42" w:rsidR="006C7C05" w:rsidRDefault="00577309" w:rsidP="00F22225">
      <w:pPr>
        <w:pStyle w:val="Para0"/>
        <w:numPr>
          <w:ilvl w:val="0"/>
          <w:numId w:val="76"/>
        </w:numPr>
      </w:pPr>
      <w:r>
        <w:t>m</w:t>
      </w:r>
      <w:r w:rsidR="006C7C05">
        <w:t>onitoring plan</w:t>
      </w:r>
      <w:r w:rsidR="005B199B">
        <w:t>.</w:t>
      </w:r>
    </w:p>
    <w:p w14:paraId="6C50D679" w14:textId="5287E674" w:rsidR="00237F26" w:rsidRDefault="00237F26" w:rsidP="00237F26">
      <w:pPr>
        <w:pStyle w:val="Para0"/>
      </w:pPr>
      <w:r>
        <w:t xml:space="preserve">The site management plan is required to ensure that </w:t>
      </w:r>
      <w:r w:rsidR="000C733F">
        <w:t xml:space="preserve">the </w:t>
      </w:r>
      <w:r>
        <w:t>ongoing management</w:t>
      </w:r>
      <w:r w:rsidR="000C733F">
        <w:t xml:space="preserve"> of the site</w:t>
      </w:r>
      <w:r w:rsidR="005B199B">
        <w:t>:</w:t>
      </w:r>
    </w:p>
    <w:p w14:paraId="770700AC" w14:textId="659C87D4" w:rsidR="00237F26" w:rsidRDefault="00577309" w:rsidP="00F22225">
      <w:pPr>
        <w:pStyle w:val="Para0"/>
        <w:numPr>
          <w:ilvl w:val="0"/>
          <w:numId w:val="84"/>
        </w:numPr>
      </w:pPr>
      <w:r>
        <w:t>a</w:t>
      </w:r>
      <w:r w:rsidR="00237F26">
        <w:t xml:space="preserve">chieves the relevant objectives identified </w:t>
      </w:r>
      <w:r w:rsidR="000C733F">
        <w:t>by the landholder, the regional plan and the Basin</w:t>
      </w:r>
      <w:r>
        <w:t xml:space="preserve"> Plan (BWS)</w:t>
      </w:r>
    </w:p>
    <w:p w14:paraId="58733C0F" w14:textId="446A4D9E" w:rsidR="000C733F" w:rsidRDefault="00577309" w:rsidP="00F22225">
      <w:pPr>
        <w:pStyle w:val="Para0"/>
        <w:numPr>
          <w:ilvl w:val="0"/>
          <w:numId w:val="84"/>
        </w:numPr>
      </w:pPr>
      <w:r>
        <w:t>is</w:t>
      </w:r>
      <w:r w:rsidR="00237F26">
        <w:t xml:space="preserve"> consistent with other related environmental legislation and policies, for example Threatened Species</w:t>
      </w:r>
      <w:r w:rsidR="000C733F">
        <w:t xml:space="preserve"> </w:t>
      </w:r>
      <w:r w:rsidR="00237F26">
        <w:t>Conservation Act 1995, the Noxious Weeds Act 1993 the Water Management Act 2002, and guidelines such as</w:t>
      </w:r>
      <w:r w:rsidR="000C733F">
        <w:t xml:space="preserve"> </w:t>
      </w:r>
      <w:r w:rsidR="00237F26">
        <w:t>the Rural Fire Services Planning for Bushfire Protection 2006</w:t>
      </w:r>
    </w:p>
    <w:p w14:paraId="795092FF" w14:textId="3FED579F" w:rsidR="008E6F1C" w:rsidRDefault="009D70E8" w:rsidP="00F22225">
      <w:pPr>
        <w:pStyle w:val="Para0"/>
        <w:numPr>
          <w:ilvl w:val="0"/>
          <w:numId w:val="84"/>
        </w:numPr>
      </w:pPr>
      <w:r>
        <w:t xml:space="preserve">ensures that resources are deployed in an efficient </w:t>
      </w:r>
      <w:r w:rsidR="00577309">
        <w:t xml:space="preserve">and effective </w:t>
      </w:r>
      <w:r>
        <w:t>manner</w:t>
      </w:r>
    </w:p>
    <w:p w14:paraId="090C533A" w14:textId="4F25D353" w:rsidR="000C733F" w:rsidRDefault="009D70E8" w:rsidP="00F22225">
      <w:pPr>
        <w:pStyle w:val="Para0"/>
        <w:numPr>
          <w:ilvl w:val="0"/>
          <w:numId w:val="84"/>
        </w:numPr>
      </w:pPr>
      <w:r>
        <w:t xml:space="preserve">that outcomes are </w:t>
      </w:r>
      <w:r w:rsidR="000F6953">
        <w:t>monitored,</w:t>
      </w:r>
      <w:r>
        <w:t xml:space="preserve"> and an adaptive management approach is used to improve future outcomes</w:t>
      </w:r>
    </w:p>
    <w:p w14:paraId="39EB323E" w14:textId="77777777" w:rsidR="00577309" w:rsidRDefault="009D70E8" w:rsidP="00F22225">
      <w:pPr>
        <w:pStyle w:val="Para0"/>
        <w:numPr>
          <w:ilvl w:val="0"/>
          <w:numId w:val="84"/>
        </w:numPr>
      </w:pPr>
      <w:r>
        <w:t>provides a mechanism for communicating the objectives and for seeking support for resources</w:t>
      </w:r>
    </w:p>
    <w:p w14:paraId="3F4B8197" w14:textId="44214178" w:rsidR="009D70E8" w:rsidRDefault="009D70E8" w:rsidP="00F22225">
      <w:pPr>
        <w:pStyle w:val="Para0"/>
        <w:numPr>
          <w:ilvl w:val="0"/>
          <w:numId w:val="84"/>
        </w:numPr>
      </w:pPr>
      <w:r>
        <w:t>provides a strong evidence</w:t>
      </w:r>
      <w:r w:rsidR="000F6953">
        <w:t>-</w:t>
      </w:r>
      <w:r>
        <w:t>based approach that can be compared to other plans in the prioritisation of funding at a Basin scale.</w:t>
      </w:r>
    </w:p>
    <w:p w14:paraId="03F0D817" w14:textId="676E9DA5" w:rsidR="00E65826" w:rsidRDefault="00E65826" w:rsidP="00E230DF">
      <w:pPr>
        <w:pStyle w:val="Para0"/>
      </w:pPr>
      <w:r>
        <w:t xml:space="preserve">A site management plan should be developed that incorporates </w:t>
      </w:r>
      <w:r w:rsidR="00577309">
        <w:t>all</w:t>
      </w:r>
      <w:r>
        <w:t xml:space="preserve"> the Framework steps including background information and maps. The site management plan forms part of the </w:t>
      </w:r>
      <w:r w:rsidR="005B199B">
        <w:t xml:space="preserve">business case </w:t>
      </w:r>
      <w:r>
        <w:t xml:space="preserve">for </w:t>
      </w:r>
      <w:r w:rsidR="00577309">
        <w:t xml:space="preserve">the investment of </w:t>
      </w:r>
      <w:r w:rsidR="000F6953">
        <w:t>resources</w:t>
      </w:r>
      <w:r w:rsidR="00577309">
        <w:t xml:space="preserve">, for example </w:t>
      </w:r>
      <w:r>
        <w:t>environmental water or</w:t>
      </w:r>
      <w:r w:rsidR="005B199B">
        <w:t xml:space="preserve"> </w:t>
      </w:r>
      <w:r w:rsidR="00577309">
        <w:t>funding</w:t>
      </w:r>
      <w:r>
        <w:t xml:space="preserve"> to undertake earthworks or infrastructure development. </w:t>
      </w:r>
    </w:p>
    <w:p w14:paraId="700BDD22" w14:textId="77777777" w:rsidR="009D70E8" w:rsidRDefault="009D70E8" w:rsidP="009D70E8">
      <w:pPr>
        <w:pStyle w:val="Para0"/>
      </w:pPr>
    </w:p>
    <w:p w14:paraId="11CAE33D" w14:textId="327CD7AF" w:rsidR="0054034A" w:rsidRDefault="0054034A">
      <w:pPr>
        <w:spacing w:after="0" w:line="240" w:lineRule="auto"/>
        <w:rPr>
          <w:rFonts w:eastAsiaTheme="majorEastAsia" w:cstheme="majorBidi"/>
          <w:b/>
          <w:bCs/>
          <w:color w:val="00338D"/>
          <w:sz w:val="24"/>
          <w:szCs w:val="26"/>
        </w:rPr>
      </w:pPr>
    </w:p>
    <w:p w14:paraId="2FCF45D2" w14:textId="77777777" w:rsidR="005972ED" w:rsidRPr="005972ED" w:rsidRDefault="005972ED" w:rsidP="005972ED">
      <w:pPr>
        <w:pStyle w:val="Para0"/>
        <w:sectPr w:rsidR="005972ED" w:rsidRPr="005972ED" w:rsidSect="00D576AA">
          <w:pgSz w:w="11901" w:h="16840" w:code="9"/>
          <w:pgMar w:top="567" w:right="851" w:bottom="851" w:left="1134" w:header="567" w:footer="370" w:gutter="0"/>
          <w:cols w:space="0"/>
          <w:formProt w:val="0"/>
          <w:docGrid w:linePitch="360"/>
        </w:sectPr>
      </w:pPr>
      <w:bookmarkStart w:id="231" w:name="_Toc505261776"/>
      <w:bookmarkStart w:id="232" w:name="_Toc505262039"/>
      <w:bookmarkStart w:id="233" w:name="_Toc505262292"/>
      <w:bookmarkEnd w:id="231"/>
      <w:bookmarkEnd w:id="232"/>
      <w:bookmarkEnd w:id="233"/>
    </w:p>
    <w:p w14:paraId="72427DF1" w14:textId="3C14A1AE" w:rsidR="00C927AF" w:rsidRDefault="003E058B" w:rsidP="00987F93">
      <w:pPr>
        <w:pStyle w:val="Para0bold"/>
      </w:pPr>
      <w:bookmarkStart w:id="234" w:name="_Ref504548382"/>
      <w:r>
        <w:rPr>
          <w:noProof/>
          <w:lang w:eastAsia="en-AU"/>
        </w:rPr>
        <mc:AlternateContent>
          <mc:Choice Requires="wps">
            <w:drawing>
              <wp:anchor distT="45720" distB="45720" distL="114300" distR="114300" simplePos="0" relativeHeight="251674624" behindDoc="0" locked="0" layoutInCell="1" allowOverlap="1" wp14:anchorId="7E8B5F1B" wp14:editId="4C5BFAF6">
                <wp:simplePos x="0" y="0"/>
                <wp:positionH relativeFrom="column">
                  <wp:posOffset>430286</wp:posOffset>
                </wp:positionH>
                <wp:positionV relativeFrom="paragraph">
                  <wp:posOffset>501699</wp:posOffset>
                </wp:positionV>
                <wp:extent cx="4457700" cy="140462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1404620"/>
                        </a:xfrm>
                        <a:prstGeom prst="rect">
                          <a:avLst/>
                        </a:prstGeom>
                        <a:noFill/>
                        <a:ln w="9525">
                          <a:noFill/>
                          <a:miter lim="800000"/>
                          <a:headEnd/>
                          <a:tailEnd/>
                        </a:ln>
                      </wps:spPr>
                      <wps:txbx>
                        <w:txbxContent>
                          <w:p w14:paraId="6980290F" w14:textId="34D72E71" w:rsidR="00CF0933" w:rsidRPr="00244456" w:rsidRDefault="00CF0933" w:rsidP="003E058B">
                            <w:pPr>
                              <w:rPr>
                                <w:b/>
                                <w:color w:val="FFFFFF" w:themeColor="background1"/>
                                <w:sz w:val="56"/>
                                <w:szCs w:val="56"/>
                                <w14:shadow w14:blurRad="50800" w14:dist="38100" w14:dir="2700000" w14:sx="100000" w14:sy="100000" w14:kx="0" w14:ky="0" w14:algn="tl">
                                  <w14:srgbClr w14:val="000000">
                                    <w14:alpha w14:val="60000"/>
                                  </w14:srgbClr>
                                </w14:shadow>
                              </w:rPr>
                            </w:pPr>
                            <w:r w:rsidRPr="00244456">
                              <w:rPr>
                                <w:b/>
                                <w:color w:val="FFFFFF" w:themeColor="background1"/>
                                <w:sz w:val="56"/>
                                <w:szCs w:val="56"/>
                                <w14:shadow w14:blurRad="50800" w14:dist="38100" w14:dir="2700000" w14:sx="100000" w14:sy="100000" w14:kx="0" w14:ky="0" w14:algn="tl">
                                  <w14:srgbClr w14:val="000000">
                                    <w14:alpha w14:val="60000"/>
                                  </w14:srgbClr>
                                </w14:shadow>
                              </w:rPr>
                              <w:t xml:space="preserve">PART </w:t>
                            </w:r>
                            <w:r>
                              <w:rPr>
                                <w:b/>
                                <w:color w:val="FFFFFF" w:themeColor="background1"/>
                                <w:sz w:val="56"/>
                                <w:szCs w:val="56"/>
                                <w14:shadow w14:blurRad="50800" w14:dist="38100" w14:dir="2700000" w14:sx="100000" w14:sy="100000" w14:kx="0" w14:ky="0" w14:algn="tl">
                                  <w14:srgbClr w14:val="000000">
                                    <w14:alpha w14:val="60000"/>
                                  </w14:srgbClr>
                                </w14:shadow>
                              </w:rPr>
                              <w:t>C</w:t>
                            </w:r>
                            <w:r w:rsidRPr="00244456">
                              <w:rPr>
                                <w:b/>
                                <w:color w:val="FFFFFF" w:themeColor="background1"/>
                                <w:sz w:val="56"/>
                                <w:szCs w:val="56"/>
                                <w14:shadow w14:blurRad="50800" w14:dist="38100" w14:dir="2700000" w14:sx="100000" w14:sy="100000" w14:kx="0" w14:ky="0" w14:algn="tl">
                                  <w14:srgbClr w14:val="000000">
                                    <w14:alpha w14:val="60000"/>
                                  </w14:srgbClr>
                                </w14:shadow>
                              </w:rPr>
                              <w:t xml:space="preserve">: </w:t>
                            </w:r>
                            <w:r>
                              <w:rPr>
                                <w:b/>
                                <w:color w:val="FFFFFF" w:themeColor="background1"/>
                                <w:sz w:val="56"/>
                                <w:szCs w:val="56"/>
                                <w14:shadow w14:blurRad="50800" w14:dist="38100" w14:dir="2700000" w14:sx="100000" w14:sy="100000" w14:kx="0" w14:ky="0" w14:algn="tl">
                                  <w14:srgbClr w14:val="000000">
                                    <w14:alpha w14:val="60000"/>
                                  </w14:srgbClr>
                                </w14:shadow>
                              </w:rPr>
                              <w:t>MANAGING FOR BASIN SCALE IMPROVEMENT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8B5F1B" id="_x0000_s1034" type="#_x0000_t202" style="position:absolute;margin-left:33.9pt;margin-top:39.5pt;width:351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" filled="f" stroked="f">
                <v:textbox style="mso-fit-shape-to-text:t">
                  <w:txbxContent>
                    <w:p w14:paraId="6980290F" w14:textId="34D72E71" w:rsidR="00CF0933" w:rsidRPr="00244456" w:rsidRDefault="00CF0933" w:rsidP="003E058B">
                      <w:pPr>
                        <w:rPr>
                          <w:b/>
                          <w:color w:val="FFFFFF" w:themeColor="background1"/>
                          <w:sz w:val="56"/>
                          <w:szCs w:val="56"/>
                          <w14:shadow w14:blurRad="50800" w14:dist="38100" w14:dir="2700000" w14:sx="100000" w14:sy="100000" w14:kx="0" w14:ky="0" w14:algn="tl">
                            <w14:srgbClr w14:val="000000">
                              <w14:alpha w14:val="60000"/>
                            </w14:srgbClr>
                          </w14:shadow>
                        </w:rPr>
                      </w:pPr>
                      <w:r w:rsidRPr="00244456">
                        <w:rPr>
                          <w:b/>
                          <w:color w:val="FFFFFF" w:themeColor="background1"/>
                          <w:sz w:val="56"/>
                          <w:szCs w:val="56"/>
                          <w14:shadow w14:blurRad="50800" w14:dist="38100" w14:dir="2700000" w14:sx="100000" w14:sy="100000" w14:kx="0" w14:ky="0" w14:algn="tl">
                            <w14:srgbClr w14:val="000000">
                              <w14:alpha w14:val="60000"/>
                            </w14:srgbClr>
                          </w14:shadow>
                        </w:rPr>
                        <w:t xml:space="preserve">PART </w:t>
                      </w:r>
                      <w:r>
                        <w:rPr>
                          <w:b/>
                          <w:color w:val="FFFFFF" w:themeColor="background1"/>
                          <w:sz w:val="56"/>
                          <w:szCs w:val="56"/>
                          <w14:shadow w14:blurRad="50800" w14:dist="38100" w14:dir="2700000" w14:sx="100000" w14:sy="100000" w14:kx="0" w14:ky="0" w14:algn="tl">
                            <w14:srgbClr w14:val="000000">
                              <w14:alpha w14:val="60000"/>
                            </w14:srgbClr>
                          </w14:shadow>
                        </w:rPr>
                        <w:t>C</w:t>
                      </w:r>
                      <w:r w:rsidRPr="00244456">
                        <w:rPr>
                          <w:b/>
                          <w:color w:val="FFFFFF" w:themeColor="background1"/>
                          <w:sz w:val="56"/>
                          <w:szCs w:val="56"/>
                          <w14:shadow w14:blurRad="50800" w14:dist="38100" w14:dir="2700000" w14:sx="100000" w14:sy="100000" w14:kx="0" w14:ky="0" w14:algn="tl">
                            <w14:srgbClr w14:val="000000">
                              <w14:alpha w14:val="60000"/>
                            </w14:srgbClr>
                          </w14:shadow>
                        </w:rPr>
                        <w:t xml:space="preserve">: </w:t>
                      </w:r>
                      <w:r>
                        <w:rPr>
                          <w:b/>
                          <w:color w:val="FFFFFF" w:themeColor="background1"/>
                          <w:sz w:val="56"/>
                          <w:szCs w:val="56"/>
                          <w14:shadow w14:blurRad="50800" w14:dist="38100" w14:dir="2700000" w14:sx="100000" w14:sy="100000" w14:kx="0" w14:ky="0" w14:algn="tl">
                            <w14:srgbClr w14:val="000000">
                              <w14:alpha w14:val="60000"/>
                            </w14:srgbClr>
                          </w14:shadow>
                        </w:rPr>
                        <w:t>MANAGING FOR BASIN SCALE IMPROVEMENT</w:t>
                      </w:r>
                    </w:p>
                  </w:txbxContent>
                </v:textbox>
              </v:shape>
            </w:pict>
          </mc:Fallback>
        </mc:AlternateContent>
      </w:r>
      <w:r w:rsidR="00987F93">
        <w:rPr>
          <w:noProof/>
          <w:lang w:eastAsia="en-AU"/>
        </w:rPr>
        <w:drawing>
          <wp:inline distT="0" distB="0" distL="0" distR="0" wp14:anchorId="35B4178A" wp14:editId="410AF1C6">
            <wp:extent cx="6304034" cy="8398510"/>
            <wp:effectExtent l="0" t="0" r="1905" b="254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DSC01895v2.jpg"/>
                    <pic:cNvPicPr/>
                  </pic:nvPicPr>
                  <pic:blipFill>
                    <a:blip r:embed="rId71" cstate="email">
                      <a:extLst>
                        <a:ext uri="{28A0092B-C50C-407E-A947-70E740481C1C}">
                          <a14:useLocalDpi xmlns:a14="http://schemas.microsoft.com/office/drawing/2010/main"/>
                        </a:ext>
                      </a:extLst>
                    </a:blip>
                    <a:stretch>
                      <a:fillRect/>
                    </a:stretch>
                  </pic:blipFill>
                  <pic:spPr>
                    <a:xfrm>
                      <a:off x="0" y="0"/>
                      <a:ext cx="6310139" cy="8406644"/>
                    </a:xfrm>
                    <a:prstGeom prst="rect">
                      <a:avLst/>
                    </a:prstGeom>
                  </pic:spPr>
                </pic:pic>
              </a:graphicData>
            </a:graphic>
          </wp:inline>
        </w:drawing>
      </w:r>
    </w:p>
    <w:p w14:paraId="3DB6580A" w14:textId="3373D846" w:rsidR="00843E90" w:rsidRDefault="00D65017" w:rsidP="00843E90">
      <w:pPr>
        <w:pStyle w:val="Heading1"/>
        <w:rPr>
          <w:color w:val="65876D" w:themeColor="accent4" w:themeShade="BF"/>
        </w:rPr>
      </w:pPr>
      <w:bookmarkStart w:id="235" w:name="_Ref506215027"/>
      <w:bookmarkStart w:id="236" w:name="_Ref506285445"/>
      <w:bookmarkStart w:id="237" w:name="_Ref506322803"/>
      <w:bookmarkStart w:id="238" w:name="_Toc514018007"/>
      <w:r>
        <w:rPr>
          <w:color w:val="65876D" w:themeColor="accent4" w:themeShade="BF"/>
        </w:rPr>
        <w:t xml:space="preserve">Part C: </w:t>
      </w:r>
      <w:bookmarkEnd w:id="234"/>
      <w:bookmarkEnd w:id="235"/>
      <w:bookmarkEnd w:id="236"/>
      <w:bookmarkEnd w:id="237"/>
      <w:r w:rsidR="00AD0E29">
        <w:rPr>
          <w:color w:val="65876D" w:themeColor="accent4" w:themeShade="BF"/>
        </w:rPr>
        <w:t>Managing for Basin Scale Improvement</w:t>
      </w:r>
      <w:bookmarkEnd w:id="238"/>
    </w:p>
    <w:p w14:paraId="56C49BBA" w14:textId="778AF4C6" w:rsidR="00C354CD" w:rsidRDefault="00C354CD" w:rsidP="00A40029">
      <w:pPr>
        <w:pStyle w:val="Para0number"/>
        <w:numPr>
          <w:ilvl w:val="0"/>
          <w:numId w:val="0"/>
        </w:numPr>
        <w:rPr>
          <w:highlight w:val="yellow"/>
        </w:rPr>
      </w:pPr>
      <w:r w:rsidRPr="00B12E91">
        <w:t xml:space="preserve">Chapter 5 </w:t>
      </w:r>
      <w:r>
        <w:t>applies the steps of the Framework to a regional and a basin scale. These analyses are intended as case studies to investigate the Framework’s applicability at different scales, to demonstrate h</w:t>
      </w:r>
      <w:r w:rsidRPr="004A2419">
        <w:t xml:space="preserve">ow the Framework can be used to inform decision making on Black Box management and prioritising </w:t>
      </w:r>
      <w:r>
        <w:t>the investment of resources</w:t>
      </w:r>
      <w:r w:rsidRPr="004A2419">
        <w:t>.</w:t>
      </w:r>
      <w:r>
        <w:t xml:space="preserve"> The regional and basin scale analyses provide </w:t>
      </w:r>
      <w:r w:rsidRPr="00AC08CE">
        <w:t xml:space="preserve">results </w:t>
      </w:r>
      <w:r w:rsidRPr="00B12E91">
        <w:t>of Black Box location, condition, influence of stressors and vulnerability</w:t>
      </w:r>
      <w:r>
        <w:t>, based on currently available spatial datasets</w:t>
      </w:r>
      <w:r w:rsidRPr="00B12E91">
        <w:t>.</w:t>
      </w:r>
      <w:r>
        <w:rPr>
          <w:rFonts w:asciiTheme="minorHAnsi" w:hAnsiTheme="minorHAnsi" w:cstheme="minorHAnsi"/>
          <w:sz w:val="22"/>
          <w:szCs w:val="22"/>
        </w:rPr>
        <w:t xml:space="preserve"> </w:t>
      </w:r>
      <w:r w:rsidRPr="00B12E91">
        <w:t xml:space="preserve">These results will provide </w:t>
      </w:r>
      <w:r>
        <w:t>resource managers</w:t>
      </w:r>
      <w:r w:rsidRPr="00B12E91">
        <w:t xml:space="preserve"> with a good basis for assessing basin wide strategies for Black Box management</w:t>
      </w:r>
      <w:r w:rsidR="009F586C">
        <w:t xml:space="preserve">, and land managers a broader context for </w:t>
      </w:r>
      <w:r w:rsidR="00577309">
        <w:t>site-based</w:t>
      </w:r>
      <w:r w:rsidR="009F586C">
        <w:t xml:space="preserve"> interventions</w:t>
      </w:r>
      <w:r w:rsidRPr="00B12E91">
        <w:t>.</w:t>
      </w:r>
      <w:r>
        <w:t xml:space="preserve"> A discussion of the applicability of the Framework to multiple scales ranging </w:t>
      </w:r>
      <w:r w:rsidRPr="00B12E91">
        <w:t xml:space="preserve">from patch, floodplain, reach, region and basin is also presented. </w:t>
      </w:r>
    </w:p>
    <w:p w14:paraId="4F970916" w14:textId="77777777" w:rsidR="00C354CD" w:rsidRPr="007C0060" w:rsidRDefault="00C354CD" w:rsidP="00C354CD">
      <w:pPr>
        <w:pStyle w:val="Heading2"/>
        <w:rPr>
          <w:color w:val="65876D" w:themeColor="accent4" w:themeShade="BF"/>
        </w:rPr>
      </w:pPr>
      <w:bookmarkStart w:id="239" w:name="_Toc514018008"/>
      <w:r w:rsidRPr="007C0060">
        <w:rPr>
          <w:color w:val="65876D" w:themeColor="accent4" w:themeShade="BF"/>
        </w:rPr>
        <w:t>Applicability of the Framework to Different Scales</w:t>
      </w:r>
      <w:bookmarkEnd w:id="239"/>
    </w:p>
    <w:p w14:paraId="70446249" w14:textId="7B889790" w:rsidR="00C354CD" w:rsidRPr="00895B67" w:rsidRDefault="00C354CD" w:rsidP="00C354CD">
      <w:pPr>
        <w:pStyle w:val="Para0"/>
      </w:pPr>
      <w:r>
        <w:t xml:space="preserve">Approaching the issue of Black Box management at different scales provides insights and issues that differ when considering a small patch of trees, for example, </w:t>
      </w:r>
      <w:r w:rsidR="00E335F1">
        <w:t xml:space="preserve">from when </w:t>
      </w:r>
      <w:r>
        <w:t>considering the entire Murray-Darling Basin. The terms used for different scales below are not prescriptive and do not have distinct threshold sizes that classify areas into specific scales.</w:t>
      </w:r>
    </w:p>
    <w:p w14:paraId="0A7B8DCC" w14:textId="77777777" w:rsidR="00C354CD" w:rsidRPr="00DF1DE3" w:rsidRDefault="00C354CD" w:rsidP="00C354CD">
      <w:pPr>
        <w:pStyle w:val="Heading3"/>
      </w:pPr>
      <w:r>
        <w:t>Small Scales: Patch and F</w:t>
      </w:r>
      <w:r w:rsidRPr="00DF1DE3">
        <w:t>loodplain</w:t>
      </w:r>
    </w:p>
    <w:p w14:paraId="40FB8794" w14:textId="0C7AAE58" w:rsidR="00C354CD" w:rsidRDefault="00C354CD" w:rsidP="00C354CD">
      <w:pPr>
        <w:pStyle w:val="Para0"/>
      </w:pPr>
      <w:r>
        <w:t>The Framework process has been applied at a site scale (Calperum Station, Chapter 3). In this case, local knowledge and detailed site investigations could be used to identify the condition, stressors and management options on small patches of trees (management units). The concept of the management unit needs to be expanded beyond a cluster of trees (a few hectares) to something more appropriate for the scale being considered</w:t>
      </w:r>
      <w:r w:rsidR="009F586C">
        <w:t xml:space="preserve"> for interventions</w:t>
      </w:r>
      <w:r>
        <w:t>.</w:t>
      </w:r>
    </w:p>
    <w:p w14:paraId="0C8D02A6" w14:textId="77777777" w:rsidR="00C354CD" w:rsidRDefault="00C354CD" w:rsidP="00C354CD">
      <w:pPr>
        <w:pStyle w:val="Para0"/>
      </w:pPr>
      <w:r>
        <w:t>This scale allows Black Box management to focus on:</w:t>
      </w:r>
    </w:p>
    <w:p w14:paraId="18AB5188" w14:textId="21CDA8E4" w:rsidR="00C354CD" w:rsidRDefault="00C354CD" w:rsidP="00F22225">
      <w:pPr>
        <w:pStyle w:val="Para0"/>
        <w:numPr>
          <w:ilvl w:val="0"/>
          <w:numId w:val="90"/>
        </w:numPr>
      </w:pPr>
      <w:r>
        <w:t>Small patches of trees (the framework does not encourage condition assessment or management actions targeting individual trees)</w:t>
      </w:r>
      <w:r w:rsidR="00577309">
        <w:t>.</w:t>
      </w:r>
    </w:p>
    <w:p w14:paraId="7F637CDC" w14:textId="77777777" w:rsidR="00C354CD" w:rsidRDefault="00C354CD" w:rsidP="00F22225">
      <w:pPr>
        <w:pStyle w:val="Para0"/>
        <w:numPr>
          <w:ilvl w:val="0"/>
          <w:numId w:val="90"/>
        </w:numPr>
      </w:pPr>
      <w:r>
        <w:t>Site specific management actions, for example individual environmental watering actions, groundwater bores, channel earthworks, etc.</w:t>
      </w:r>
    </w:p>
    <w:p w14:paraId="26B9F571" w14:textId="77777777" w:rsidR="00C354CD" w:rsidRDefault="00C354CD" w:rsidP="00C354CD">
      <w:pPr>
        <w:pStyle w:val="Para0"/>
      </w:pPr>
      <w:r>
        <w:t>The Framework provides guidance on managing patches of Black Box and developing a site management plan based on prioritising management actions.</w:t>
      </w:r>
    </w:p>
    <w:p w14:paraId="4709AAB8" w14:textId="1150B833" w:rsidR="00C354CD" w:rsidRDefault="00C354CD" w:rsidP="00C354CD">
      <w:pPr>
        <w:pStyle w:val="Para0"/>
      </w:pPr>
      <w:r>
        <w:t xml:space="preserve">The previous chapters have focussed on the small floodplain </w:t>
      </w:r>
      <w:r w:rsidR="00AD6010">
        <w:t>scale,</w:t>
      </w:r>
      <w:r>
        <w:t xml:space="preserve"> so this will not be discussed further. The following discussion on reach, region and basin scales provides a framework for supporting evidence-based decision-making to strategically target interventions and prioritising multiple floodplain/site investment proposals.</w:t>
      </w:r>
    </w:p>
    <w:p w14:paraId="58E7374C" w14:textId="77777777" w:rsidR="00C354CD" w:rsidRDefault="00C354CD" w:rsidP="00C354CD">
      <w:pPr>
        <w:pStyle w:val="Para0"/>
        <w:jc w:val="center"/>
      </w:pPr>
      <w:r>
        <w:rPr>
          <w:noProof/>
          <w:lang w:eastAsia="en-AU"/>
        </w:rPr>
        <w:drawing>
          <wp:inline distT="0" distB="0" distL="0" distR="0" wp14:anchorId="5829C56A" wp14:editId="558754B0">
            <wp:extent cx="5134022" cy="3420094"/>
            <wp:effectExtent l="0" t="0" r="0" b="9525"/>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lose up on Chowilla-Calperum floodplain.PNG"/>
                    <pic:cNvPicPr/>
                  </pic:nvPicPr>
                  <pic:blipFill>
                    <a:blip r:embed="rId72" cstate="email">
                      <a:extLst>
                        <a:ext uri="{28A0092B-C50C-407E-A947-70E740481C1C}">
                          <a14:useLocalDpi xmlns:a14="http://schemas.microsoft.com/office/drawing/2010/main"/>
                        </a:ext>
                      </a:extLst>
                    </a:blip>
                    <a:stretch>
                      <a:fillRect/>
                    </a:stretch>
                  </pic:blipFill>
                  <pic:spPr>
                    <a:xfrm>
                      <a:off x="0" y="0"/>
                      <a:ext cx="5138846" cy="3423308"/>
                    </a:xfrm>
                    <a:prstGeom prst="rect">
                      <a:avLst/>
                    </a:prstGeom>
                  </pic:spPr>
                </pic:pic>
              </a:graphicData>
            </a:graphic>
          </wp:inline>
        </w:drawing>
      </w:r>
    </w:p>
    <w:p w14:paraId="39415260" w14:textId="20934176" w:rsidR="00C354CD" w:rsidRDefault="00C354CD" w:rsidP="00EA581E">
      <w:pPr>
        <w:pStyle w:val="Caption"/>
        <w:jc w:val="center"/>
      </w:pPr>
      <w:bookmarkStart w:id="240" w:name="_Toc514018094"/>
      <w:r>
        <w:t xml:space="preserve">Figure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Figure \* ARABIC \s 1 </w:instrText>
      </w:r>
      <w:r>
        <w:fldChar w:fldCharType="separate"/>
      </w:r>
      <w:r w:rsidR="00BF015B">
        <w:rPr>
          <w:noProof/>
        </w:rPr>
        <w:t>1</w:t>
      </w:r>
      <w:r>
        <w:fldChar w:fldCharType="end"/>
      </w:r>
      <w:r>
        <w:t xml:space="preserve">: Example of a </w:t>
      </w:r>
      <w:r w:rsidR="00577309">
        <w:t>f</w:t>
      </w:r>
      <w:r>
        <w:t xml:space="preserve">loodplain </w:t>
      </w:r>
      <w:r w:rsidR="00577309">
        <w:t>s</w:t>
      </w:r>
      <w:r>
        <w:t>cale (Chowilla/Calperum Floodplain)</w:t>
      </w:r>
      <w:bookmarkEnd w:id="240"/>
    </w:p>
    <w:p w14:paraId="1A01F8B4" w14:textId="77777777" w:rsidR="00C354CD" w:rsidRDefault="00C354CD" w:rsidP="00C354CD">
      <w:pPr>
        <w:pStyle w:val="Para0"/>
      </w:pPr>
    </w:p>
    <w:p w14:paraId="58AEE456" w14:textId="77777777" w:rsidR="00C354CD" w:rsidRPr="00DF1DE3" w:rsidRDefault="00C354CD" w:rsidP="00C354CD">
      <w:pPr>
        <w:pStyle w:val="Heading3"/>
      </w:pPr>
      <w:r>
        <w:t>Medium Scales: R</w:t>
      </w:r>
      <w:r w:rsidRPr="00DF1DE3">
        <w:t>each</w:t>
      </w:r>
      <w:r>
        <w:t xml:space="preserve"> and R</w:t>
      </w:r>
      <w:r w:rsidRPr="00DF1DE3">
        <w:t>egion</w:t>
      </w:r>
    </w:p>
    <w:p w14:paraId="487A9401" w14:textId="139175FA" w:rsidR="00C354CD" w:rsidRDefault="00C354CD" w:rsidP="00C354CD">
      <w:pPr>
        <w:pStyle w:val="Para0"/>
      </w:pPr>
      <w:r>
        <w:t xml:space="preserve">In the case of a reach or region, the management unit is best considered as a much larger area of Black Box vegetation that is impacted by regional processes such as groundwater depth and salinity. Even these stressors can change in very small distances leading to changes in tree health in neighbouring </w:t>
      </w:r>
      <w:r w:rsidR="00577309">
        <w:t>patches</w:t>
      </w:r>
      <w:r>
        <w:t xml:space="preserve"> due to local differences in soil properties or infrastructure, for example. Flooding frequency is influenced by topography and this has a very local dynamic nature. Broad flooding frequency patterns are determined by </w:t>
      </w:r>
      <w:r w:rsidR="009F586C">
        <w:t>weir pool</w:t>
      </w:r>
      <w:r>
        <w:t xml:space="preserve"> levels with local variation within that area.</w:t>
      </w:r>
    </w:p>
    <w:p w14:paraId="218CBF42" w14:textId="77777777" w:rsidR="00C354CD" w:rsidRDefault="00C354CD" w:rsidP="00C354CD">
      <w:pPr>
        <w:pStyle w:val="Para0"/>
      </w:pPr>
      <w:r>
        <w:t>Reach and regional scales allows Black Box management to focus on:</w:t>
      </w:r>
    </w:p>
    <w:p w14:paraId="2F921919" w14:textId="1158ED77" w:rsidR="00C354CD" w:rsidRDefault="00C354CD" w:rsidP="00F22225">
      <w:pPr>
        <w:pStyle w:val="Para0"/>
        <w:numPr>
          <w:ilvl w:val="0"/>
          <w:numId w:val="90"/>
        </w:numPr>
      </w:pPr>
      <w:r>
        <w:t>Large patches of trees and groups of patches. This means that areas of Black Box are treated in a similar way</w:t>
      </w:r>
      <w:r w:rsidR="00577309">
        <w:t>.</w:t>
      </w:r>
    </w:p>
    <w:p w14:paraId="12D9B0EC" w14:textId="3AAAB064" w:rsidR="00C354CD" w:rsidRDefault="00C354CD" w:rsidP="00F22225">
      <w:pPr>
        <w:pStyle w:val="Para0"/>
        <w:numPr>
          <w:ilvl w:val="0"/>
          <w:numId w:val="90"/>
        </w:numPr>
      </w:pPr>
      <w:r>
        <w:t>Connectivity of Black Box forests and woodlands to allow flora and fauna exchange</w:t>
      </w:r>
      <w:r w:rsidR="00577309">
        <w:t>.</w:t>
      </w:r>
    </w:p>
    <w:p w14:paraId="4465033C" w14:textId="5914035C" w:rsidR="00C354CD" w:rsidRDefault="00C354CD" w:rsidP="00F22225">
      <w:pPr>
        <w:pStyle w:val="Para0"/>
        <w:numPr>
          <w:ilvl w:val="0"/>
          <w:numId w:val="90"/>
        </w:numPr>
      </w:pPr>
      <w:r>
        <w:t>Composition of reaches to ensure representation of different Black Box communities (including understorey types)</w:t>
      </w:r>
      <w:r w:rsidR="00577309">
        <w:t>.</w:t>
      </w:r>
    </w:p>
    <w:p w14:paraId="7239E2CB" w14:textId="21C01EEF" w:rsidR="00C354CD" w:rsidRDefault="00F65FF1" w:rsidP="00F22225">
      <w:pPr>
        <w:pStyle w:val="Para0"/>
        <w:numPr>
          <w:ilvl w:val="0"/>
          <w:numId w:val="90"/>
        </w:numPr>
      </w:pPr>
      <w:r>
        <w:t>D</w:t>
      </w:r>
      <w:r w:rsidR="00C354CD">
        <w:t>istribution of Black Box protected in the reach</w:t>
      </w:r>
      <w:r w:rsidR="00577309">
        <w:t>.</w:t>
      </w:r>
    </w:p>
    <w:p w14:paraId="31BE8952" w14:textId="77777777" w:rsidR="00C354CD" w:rsidRDefault="00C354CD" w:rsidP="00F22225">
      <w:pPr>
        <w:pStyle w:val="Para0"/>
        <w:numPr>
          <w:ilvl w:val="0"/>
          <w:numId w:val="90"/>
        </w:numPr>
      </w:pPr>
      <w:r>
        <w:t>Broad management actions such as salt interception schemes and weir raising events.</w:t>
      </w:r>
    </w:p>
    <w:p w14:paraId="75A6E720" w14:textId="7389ED94" w:rsidR="00C354CD" w:rsidRDefault="00C354CD" w:rsidP="00C354CD">
      <w:pPr>
        <w:pStyle w:val="Para0"/>
      </w:pPr>
      <w:r>
        <w:t xml:space="preserve">The Framework, although targeted at site investigations, still provides guidance at a reach scale by considering the vulnerability of Black Box and the range of management options required to protect given areas. Refer chapter </w:t>
      </w:r>
      <w:r>
        <w:fldChar w:fldCharType="begin"/>
      </w:r>
      <w:r>
        <w:instrText xml:space="preserve"> REF _Ref507510483 \r \h </w:instrText>
      </w:r>
      <w:r>
        <w:fldChar w:fldCharType="separate"/>
      </w:r>
      <w:r w:rsidR="00BF015B">
        <w:t>5.2</w:t>
      </w:r>
      <w:r>
        <w:fldChar w:fldCharType="end"/>
      </w:r>
      <w:r>
        <w:t xml:space="preserve"> for an application of the Framework to the reach scale. </w:t>
      </w:r>
    </w:p>
    <w:p w14:paraId="1EFDBCC0" w14:textId="77777777" w:rsidR="00C354CD" w:rsidRDefault="00C354CD" w:rsidP="00C354CD">
      <w:pPr>
        <w:pStyle w:val="Para0"/>
      </w:pPr>
    </w:p>
    <w:p w14:paraId="073ECAA0" w14:textId="77777777" w:rsidR="00C354CD" w:rsidRDefault="00C354CD" w:rsidP="00C354CD">
      <w:pPr>
        <w:pStyle w:val="Para0"/>
        <w:jc w:val="center"/>
      </w:pPr>
      <w:r>
        <w:rPr>
          <w:noProof/>
          <w:lang w:eastAsia="en-AU"/>
        </w:rPr>
        <w:drawing>
          <wp:inline distT="0" distB="0" distL="0" distR="0" wp14:anchorId="43C8D454" wp14:editId="0A86860B">
            <wp:extent cx="5897008" cy="3918857"/>
            <wp:effectExtent l="0" t="0" r="8890" b="5715"/>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ach-Lock 4 to 8.PNG"/>
                    <pic:cNvPicPr/>
                  </pic:nvPicPr>
                  <pic:blipFill>
                    <a:blip r:embed="rId73" cstate="email">
                      <a:extLst>
                        <a:ext uri="{28A0092B-C50C-407E-A947-70E740481C1C}">
                          <a14:useLocalDpi xmlns:a14="http://schemas.microsoft.com/office/drawing/2010/main"/>
                        </a:ext>
                      </a:extLst>
                    </a:blip>
                    <a:stretch>
                      <a:fillRect/>
                    </a:stretch>
                  </pic:blipFill>
                  <pic:spPr>
                    <a:xfrm>
                      <a:off x="0" y="0"/>
                      <a:ext cx="5909654" cy="3927261"/>
                    </a:xfrm>
                    <a:prstGeom prst="rect">
                      <a:avLst/>
                    </a:prstGeom>
                  </pic:spPr>
                </pic:pic>
              </a:graphicData>
            </a:graphic>
          </wp:inline>
        </w:drawing>
      </w:r>
    </w:p>
    <w:p w14:paraId="0EF00A6F" w14:textId="4BEB7E03" w:rsidR="00C354CD" w:rsidRDefault="00C354CD" w:rsidP="00EA581E">
      <w:pPr>
        <w:pStyle w:val="Caption"/>
        <w:jc w:val="center"/>
      </w:pPr>
      <w:bookmarkStart w:id="241" w:name="_Toc514018095"/>
      <w:r>
        <w:t xml:space="preserve">Figure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Figure \* ARABIC \s 1 </w:instrText>
      </w:r>
      <w:r>
        <w:fldChar w:fldCharType="separate"/>
      </w:r>
      <w:r w:rsidR="00BF015B">
        <w:rPr>
          <w:noProof/>
        </w:rPr>
        <w:t>2</w:t>
      </w:r>
      <w:r>
        <w:fldChar w:fldCharType="end"/>
      </w:r>
      <w:r>
        <w:t xml:space="preserve">: Example of a </w:t>
      </w:r>
      <w:r w:rsidR="00577309">
        <w:t>r</w:t>
      </w:r>
      <w:r>
        <w:t xml:space="preserve">each </w:t>
      </w:r>
      <w:r w:rsidR="00577309">
        <w:t>s</w:t>
      </w:r>
      <w:r>
        <w:t>cale (River Murray from Lock 4 to Lock 8)</w:t>
      </w:r>
      <w:bookmarkEnd w:id="241"/>
    </w:p>
    <w:p w14:paraId="29CD018B" w14:textId="77777777" w:rsidR="00C354CD" w:rsidRDefault="00C354CD" w:rsidP="00C354CD">
      <w:pPr>
        <w:pStyle w:val="Para0"/>
        <w:rPr>
          <w:i/>
        </w:rPr>
      </w:pPr>
    </w:p>
    <w:p w14:paraId="38C0F455" w14:textId="77777777" w:rsidR="00C354CD" w:rsidRPr="00DF1DE3" w:rsidRDefault="00C354CD" w:rsidP="00C354CD">
      <w:pPr>
        <w:pStyle w:val="Heading3"/>
      </w:pPr>
      <w:r>
        <w:t>Large Scales: Large Regions and B</w:t>
      </w:r>
      <w:r w:rsidRPr="00DF1DE3">
        <w:t>asin</w:t>
      </w:r>
    </w:p>
    <w:p w14:paraId="5D6A3B9E" w14:textId="48F02156" w:rsidR="00C354CD" w:rsidRDefault="00C354CD" w:rsidP="00C354CD">
      <w:pPr>
        <w:pStyle w:val="Para0"/>
      </w:pPr>
      <w:r>
        <w:t xml:space="preserve">When considering the Framework at a large reach or region scale it is also important to bring in other management options that consider connectivity of Black Box patches. At </w:t>
      </w:r>
      <w:r w:rsidR="00577309">
        <w:t xml:space="preserve">the </w:t>
      </w:r>
      <w:r>
        <w:t>basin scale</w:t>
      </w:r>
      <w:r w:rsidR="00577309">
        <w:t>,</w:t>
      </w:r>
      <w:r>
        <w:t xml:space="preserve"> the key considerations include representation of different Black Box communities, as well as distribution of the community across a broad geographic area. </w:t>
      </w:r>
    </w:p>
    <w:p w14:paraId="4F7DF4F7" w14:textId="77777777" w:rsidR="00C354CD" w:rsidRDefault="00C354CD" w:rsidP="00C354CD">
      <w:pPr>
        <w:pStyle w:val="Para0"/>
      </w:pPr>
      <w:r>
        <w:t>This large scale allows Black Box management to focus on:</w:t>
      </w:r>
    </w:p>
    <w:p w14:paraId="2E2B7608" w14:textId="43415239" w:rsidR="00C354CD" w:rsidRDefault="00C91B4C" w:rsidP="00F22225">
      <w:pPr>
        <w:pStyle w:val="Para0"/>
        <w:numPr>
          <w:ilvl w:val="0"/>
          <w:numId w:val="90"/>
        </w:numPr>
      </w:pPr>
      <w:r>
        <w:t>d</w:t>
      </w:r>
      <w:r w:rsidR="00C354CD">
        <w:t>ifferent reaches having representation of Black Box to ensure basin wide distribution</w:t>
      </w:r>
    </w:p>
    <w:p w14:paraId="545BE3A0" w14:textId="45C0C695" w:rsidR="00C354CD" w:rsidRDefault="00C354CD" w:rsidP="00F22225">
      <w:pPr>
        <w:pStyle w:val="Para0"/>
        <w:numPr>
          <w:ilvl w:val="0"/>
          <w:numId w:val="90"/>
        </w:numPr>
      </w:pPr>
      <w:r>
        <w:t>Black Box communities distributed across environmental variables such as rainfall, temperature, groundwater salinity, groundwater depth, so that shifts in climate can be buffered within the range of Black Box tolerances</w:t>
      </w:r>
    </w:p>
    <w:p w14:paraId="64385F58" w14:textId="12082683" w:rsidR="00C354CD" w:rsidRDefault="00C91B4C" w:rsidP="00F22225">
      <w:pPr>
        <w:pStyle w:val="Para0"/>
        <w:numPr>
          <w:ilvl w:val="0"/>
          <w:numId w:val="90"/>
        </w:numPr>
      </w:pPr>
      <w:r>
        <w:t>d</w:t>
      </w:r>
      <w:r w:rsidR="00C354CD">
        <w:t>istribution of resources to strategically target across the basin</w:t>
      </w:r>
    </w:p>
    <w:p w14:paraId="61AE9439" w14:textId="683A756E" w:rsidR="00C354CD" w:rsidRDefault="00C91B4C" w:rsidP="00F22225">
      <w:pPr>
        <w:pStyle w:val="Para0"/>
        <w:numPr>
          <w:ilvl w:val="0"/>
          <w:numId w:val="90"/>
        </w:numPr>
      </w:pPr>
      <w:r>
        <w:t>b</w:t>
      </w:r>
      <w:r w:rsidR="00813E42">
        <w:t>road</w:t>
      </w:r>
      <w:r w:rsidR="00C354CD">
        <w:t xml:space="preserve"> management actions to ensure sustainable Black Box communities </w:t>
      </w:r>
      <w:r w:rsidR="00813E42">
        <w:t>across</w:t>
      </w:r>
      <w:r w:rsidR="00C354CD">
        <w:t xml:space="preserve"> the basin.</w:t>
      </w:r>
    </w:p>
    <w:p w14:paraId="01794612" w14:textId="202CDE23" w:rsidR="00C354CD" w:rsidRDefault="00C354CD" w:rsidP="00C354CD">
      <w:pPr>
        <w:pStyle w:val="Para0"/>
      </w:pPr>
      <w:r>
        <w:t xml:space="preserve">The Framework, although targeted at site investigations, still provides guidance at a basin scale by considering the vulnerability of Black Box and the range of stressors that act on local scales and large scales across the basin. The basin scale use of the Framework is to provide a transparent approach to prioritising investment proposals across the basin to ensure that vulnerability, geographic distribution and ecological processes are considered. Refer chapter </w:t>
      </w:r>
      <w:r>
        <w:fldChar w:fldCharType="begin"/>
      </w:r>
      <w:r>
        <w:instrText xml:space="preserve"> REF _Ref507486044 \r \h </w:instrText>
      </w:r>
      <w:r>
        <w:fldChar w:fldCharType="separate"/>
      </w:r>
      <w:r w:rsidR="00BF015B">
        <w:t>5.3</w:t>
      </w:r>
      <w:r>
        <w:fldChar w:fldCharType="end"/>
      </w:r>
      <w:r>
        <w:t xml:space="preserve"> for an application of the Framework to the basin scale.</w:t>
      </w:r>
    </w:p>
    <w:p w14:paraId="2481E194" w14:textId="7D85F5A0" w:rsidR="00C354CD" w:rsidRDefault="00E9067D" w:rsidP="00C354CD">
      <w:pPr>
        <w:pStyle w:val="Para0"/>
        <w:jc w:val="center"/>
      </w:pPr>
      <w:r>
        <w:rPr>
          <w:noProof/>
          <w:lang w:eastAsia="en-AU"/>
        </w:rPr>
        <w:drawing>
          <wp:inline distT="0" distB="0" distL="0" distR="0" wp14:anchorId="172CFB68" wp14:editId="1D7AA2F4">
            <wp:extent cx="5683395" cy="495413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5.3 Murray Darling Basin.PNG"/>
                    <pic:cNvPicPr/>
                  </pic:nvPicPr>
                  <pic:blipFill>
                    <a:blip r:embed="rId74" cstate="email">
                      <a:extLst>
                        <a:ext uri="{28A0092B-C50C-407E-A947-70E740481C1C}">
                          <a14:useLocalDpi xmlns:a14="http://schemas.microsoft.com/office/drawing/2010/main"/>
                        </a:ext>
                      </a:extLst>
                    </a:blip>
                    <a:stretch>
                      <a:fillRect/>
                    </a:stretch>
                  </pic:blipFill>
                  <pic:spPr>
                    <a:xfrm>
                      <a:off x="0" y="0"/>
                      <a:ext cx="5686292" cy="4956663"/>
                    </a:xfrm>
                    <a:prstGeom prst="rect">
                      <a:avLst/>
                    </a:prstGeom>
                  </pic:spPr>
                </pic:pic>
              </a:graphicData>
            </a:graphic>
          </wp:inline>
        </w:drawing>
      </w:r>
    </w:p>
    <w:p w14:paraId="25B7B7B8" w14:textId="0B248D54" w:rsidR="00C354CD" w:rsidRDefault="00C354CD" w:rsidP="00EA581E">
      <w:pPr>
        <w:pStyle w:val="Caption"/>
        <w:jc w:val="center"/>
      </w:pPr>
      <w:bookmarkStart w:id="242" w:name="_Toc514018096"/>
      <w:r>
        <w:t xml:space="preserve">Figure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Figure \* ARABIC \s 1 </w:instrText>
      </w:r>
      <w:r>
        <w:fldChar w:fldCharType="separate"/>
      </w:r>
      <w:r w:rsidR="00BF015B">
        <w:rPr>
          <w:noProof/>
        </w:rPr>
        <w:t>3</w:t>
      </w:r>
      <w:r>
        <w:fldChar w:fldCharType="end"/>
      </w:r>
      <w:r>
        <w:t>: The Murray Darling Basin</w:t>
      </w:r>
      <w:bookmarkEnd w:id="242"/>
    </w:p>
    <w:p w14:paraId="140FE1BB" w14:textId="77777777" w:rsidR="00C354CD" w:rsidRDefault="00C354CD" w:rsidP="00C354CD">
      <w:pPr>
        <w:spacing w:after="0" w:line="240" w:lineRule="auto"/>
      </w:pPr>
      <w:r>
        <w:br w:type="page"/>
      </w:r>
    </w:p>
    <w:p w14:paraId="40537087" w14:textId="77777777" w:rsidR="00C354CD" w:rsidRPr="00AC08CE" w:rsidRDefault="00C354CD" w:rsidP="00C354CD">
      <w:pPr>
        <w:pStyle w:val="Heading2"/>
        <w:spacing w:before="320"/>
        <w:rPr>
          <w:color w:val="65876D" w:themeColor="accent4" w:themeShade="BF"/>
        </w:rPr>
      </w:pPr>
      <w:bookmarkStart w:id="243" w:name="_Ref507510483"/>
      <w:bookmarkStart w:id="244" w:name="_Toc514018009"/>
      <w:r w:rsidRPr="00AC08CE">
        <w:rPr>
          <w:color w:val="65876D" w:themeColor="accent4" w:themeShade="BF"/>
        </w:rPr>
        <w:t xml:space="preserve">Application of the Framework to a </w:t>
      </w:r>
      <w:r>
        <w:rPr>
          <w:color w:val="65876D" w:themeColor="accent4" w:themeShade="BF"/>
        </w:rPr>
        <w:t xml:space="preserve">Reach or </w:t>
      </w:r>
      <w:r w:rsidRPr="00AC08CE">
        <w:rPr>
          <w:color w:val="65876D" w:themeColor="accent4" w:themeShade="BF"/>
        </w:rPr>
        <w:t>Regional Scale</w:t>
      </w:r>
      <w:bookmarkEnd w:id="243"/>
      <w:bookmarkEnd w:id="244"/>
    </w:p>
    <w:p w14:paraId="5C10C5F8" w14:textId="77777777" w:rsidR="00C354CD" w:rsidRPr="00B45B54" w:rsidRDefault="00C354CD" w:rsidP="00C354CD">
      <w:pPr>
        <w:pStyle w:val="Para0"/>
        <w:rPr>
          <w:color w:val="000000" w:themeColor="text1"/>
        </w:rPr>
      </w:pPr>
      <w:r w:rsidRPr="00B45B54">
        <w:t xml:space="preserve">This section extends </w:t>
      </w:r>
      <w:r>
        <w:t xml:space="preserve">the </w:t>
      </w:r>
      <w:r w:rsidRPr="00B45B54">
        <w:t>application of the Framework beyond the floodplain</w:t>
      </w:r>
      <w:r>
        <w:t>/site</w:t>
      </w:r>
      <w:r w:rsidRPr="00B45B54">
        <w:t xml:space="preserve"> scale, to a regional scale. </w:t>
      </w:r>
      <w:r w:rsidRPr="00B45B54">
        <w:rPr>
          <w:color w:val="000000" w:themeColor="text1"/>
        </w:rPr>
        <w:t xml:space="preserve">The analysis provides a spatial overview of predicted Black Box extent and condition, flooding frequency and soil salinity. It also provides some further analysis on the varying importance and/or interaction of each of these factors. A short discussion of how the outputs of the spatial analyses can be used to inform basin scale management of Black Box, with associated assumptions, is also provided. </w:t>
      </w:r>
    </w:p>
    <w:p w14:paraId="0A8791DD" w14:textId="1DCBD7C6" w:rsidR="00C354CD" w:rsidRPr="00B45B54" w:rsidRDefault="00C354CD" w:rsidP="00C354CD">
      <w:pPr>
        <w:pStyle w:val="Para0"/>
        <w:rPr>
          <w:rFonts w:cs="Arial"/>
          <w:color w:val="000000" w:themeColor="text1"/>
        </w:rPr>
      </w:pPr>
      <w:r w:rsidRPr="00B45B54">
        <w:t>The Framework is applied</w:t>
      </w:r>
      <w:r>
        <w:t xml:space="preserve"> using regional level data for r</w:t>
      </w:r>
      <w:r w:rsidRPr="00B45B54">
        <w:t>iver reach zones defined by River Murray Floodplain Inundation Model (R</w:t>
      </w:r>
      <w:r w:rsidR="00FC650B">
        <w:t>i</w:t>
      </w:r>
      <w:r w:rsidRPr="00B45B54">
        <w:t>M</w:t>
      </w:r>
      <w:r w:rsidR="00FC650B">
        <w:t>-</w:t>
      </w:r>
      <w:r w:rsidRPr="00B45B54">
        <w:t xml:space="preserve">FIM) data </w:t>
      </w:r>
      <w:r>
        <w:t>along</w:t>
      </w:r>
      <w:r w:rsidRPr="00B45B54">
        <w:t xml:space="preserve"> the </w:t>
      </w:r>
      <w:r>
        <w:t xml:space="preserve">River </w:t>
      </w:r>
      <w:r w:rsidRPr="00B45B54">
        <w:t xml:space="preserve">Murray. Usually, a regional analysis would be applied to one or several of these zones, however the analysis in this chapter has included all zones for which </w:t>
      </w:r>
      <w:r w:rsidRPr="00B45B54">
        <w:rPr>
          <w:rFonts w:cs="Arial"/>
          <w:color w:val="000000" w:themeColor="text1"/>
        </w:rPr>
        <w:t>all key data sets (Black Box extent and predicted condition, flooding frequency, inundation maps and soil salinity) are available</w:t>
      </w:r>
      <w:r w:rsidRPr="00B45B54">
        <w:t xml:space="preserve">. These data sources provide a lower level of detail than the data used for the floodplain scale analysis at Calperum </w:t>
      </w:r>
      <w:r w:rsidR="00AD6010" w:rsidRPr="00B45B54">
        <w:t>Stat</w:t>
      </w:r>
      <w:r w:rsidR="00AD6010">
        <w:t>i</w:t>
      </w:r>
      <w:r w:rsidR="00AD6010" w:rsidRPr="00B45B54">
        <w:t>on</w:t>
      </w:r>
      <w:r w:rsidR="00AD6010">
        <w:t xml:space="preserve"> but</w:t>
      </w:r>
      <w:r w:rsidRPr="00B45B54">
        <w:t xml:space="preserve"> are more detailed than the data used for the basin scale analysis (Chapter </w:t>
      </w:r>
      <w:r w:rsidRPr="00B45B54">
        <w:fldChar w:fldCharType="begin"/>
      </w:r>
      <w:r w:rsidRPr="00B45B54">
        <w:instrText xml:space="preserve"> REF _Ref507486044 \r \h </w:instrText>
      </w:r>
      <w:r>
        <w:instrText xml:space="preserve"> \* MERGEFORMAT </w:instrText>
      </w:r>
      <w:r w:rsidRPr="00B45B54">
        <w:fldChar w:fldCharType="separate"/>
      </w:r>
      <w:r w:rsidR="00BF015B">
        <w:t>5.3</w:t>
      </w:r>
      <w:r w:rsidRPr="00B45B54">
        <w:fldChar w:fldCharType="end"/>
      </w:r>
      <w:r w:rsidRPr="00B45B54">
        <w:t xml:space="preserve">).  </w:t>
      </w:r>
    </w:p>
    <w:p w14:paraId="0DF38BCD" w14:textId="7086E1CE" w:rsidR="00C354CD" w:rsidRDefault="00C354CD" w:rsidP="00C354CD">
      <w:pPr>
        <w:pStyle w:val="Para0"/>
      </w:pPr>
      <w:r w:rsidRPr="00B45B54">
        <w:t>The 22 reaches of the River Murray below Hume Dam, taken from the BWS (MDBA 2014)</w:t>
      </w:r>
      <w:r>
        <w:t>,</w:t>
      </w:r>
      <w:r w:rsidRPr="00B45B54">
        <w:t xml:space="preserve"> are presented in </w:t>
      </w:r>
      <w:r w:rsidRPr="00B45B54">
        <w:fldChar w:fldCharType="begin"/>
      </w:r>
      <w:r w:rsidRPr="00B45B54">
        <w:instrText xml:space="preserve"> REF _Ref468702321 \h  \* MERGEFORMAT </w:instrText>
      </w:r>
      <w:r w:rsidRPr="00B45B54">
        <w:fldChar w:fldCharType="separate"/>
      </w:r>
      <w:r w:rsidR="00BF015B" w:rsidRPr="002A7882">
        <w:t xml:space="preserve">Figure </w:t>
      </w:r>
      <w:r w:rsidR="00BF015B">
        <w:t>5</w:t>
      </w:r>
      <w:r w:rsidR="00BF015B">
        <w:noBreakHyphen/>
        <w:t>4</w:t>
      </w:r>
      <w:r w:rsidRPr="00B45B54">
        <w:fldChar w:fldCharType="end"/>
      </w:r>
      <w:r w:rsidRPr="00B45B54">
        <w:t xml:space="preserve">. Reaches 7 to 18 inclusive have been adopted for the following spatial analysis of flow and salinity stress as only these reaches have </w:t>
      </w:r>
      <w:r w:rsidR="00AD6010" w:rsidRPr="00B45B54">
        <w:t>all</w:t>
      </w:r>
      <w:r w:rsidRPr="00B45B54">
        <w:t xml:space="preserve"> the key data sets available.</w:t>
      </w:r>
      <w:r w:rsidRPr="00D02CF6">
        <w:t xml:space="preserve"> </w:t>
      </w:r>
    </w:p>
    <w:p w14:paraId="3C2C194E" w14:textId="7CAAD4AA" w:rsidR="00830A6A" w:rsidRDefault="00830A6A" w:rsidP="00C354CD">
      <w:pPr>
        <w:pStyle w:val="Para0"/>
        <w:sectPr w:rsidR="00830A6A" w:rsidSect="00D576AA">
          <w:footerReference w:type="default" r:id="rId75"/>
          <w:pgSz w:w="11906" w:h="16838"/>
          <w:pgMar w:top="567" w:right="851" w:bottom="851" w:left="1134" w:header="708" w:footer="708" w:gutter="0"/>
          <w:cols w:space="708"/>
          <w:docGrid w:linePitch="360"/>
        </w:sectPr>
      </w:pPr>
      <w:r>
        <w:fldChar w:fldCharType="begin"/>
      </w:r>
      <w:r>
        <w:instrText xml:space="preserve"> REF _Ref467583609 \h  \* MERGEFORMAT </w:instrText>
      </w:r>
      <w:r>
        <w:fldChar w:fldCharType="separate"/>
      </w:r>
      <w:r w:rsidR="00BF015B" w:rsidRPr="001B3FEE">
        <w:t xml:space="preserve">Table </w:t>
      </w:r>
      <w:r w:rsidR="00BF015B">
        <w:t>5</w:t>
      </w:r>
      <w:r w:rsidR="00BF015B" w:rsidRPr="00D7130D">
        <w:noBreakHyphen/>
      </w:r>
      <w:r w:rsidR="00BF015B">
        <w:t>1</w:t>
      </w:r>
      <w:r>
        <w:fldChar w:fldCharType="end"/>
      </w:r>
      <w:r>
        <w:t xml:space="preserve"> provides a summary of the data used for the reach scale analysis, including a confidence assessment score for each data source. Refer chapter </w:t>
      </w:r>
      <w:r>
        <w:fldChar w:fldCharType="begin"/>
      </w:r>
      <w:r>
        <w:instrText xml:space="preserve"> REF _Ref505673858 \r \h </w:instrText>
      </w:r>
      <w:r>
        <w:fldChar w:fldCharType="separate"/>
      </w:r>
      <w:r w:rsidR="00BF015B">
        <w:t>3.2</w:t>
      </w:r>
      <w:r>
        <w:fldChar w:fldCharType="end"/>
      </w:r>
      <w:r>
        <w:t xml:space="preserve">  for an explanation of the confidence assessment process. </w:t>
      </w:r>
      <w:r w:rsidR="008C20D1">
        <w:t xml:space="preserve">  Confidence assessment at a reach or regional scale differs from the small floodplain scale as it is generally not possible to collect detailed field data for such large areas, and as such, there is likely to be an increased reliance on remotely collected data when compared to small floodplain scale site investigations.  This is even more the case for data available at the basin scale. </w:t>
      </w:r>
    </w:p>
    <w:p w14:paraId="64F203F4" w14:textId="77777777" w:rsidR="00C354CD" w:rsidRDefault="00C354CD" w:rsidP="00C354CD">
      <w:pPr>
        <w:pStyle w:val="Para0"/>
        <w:spacing w:before="0" w:after="0"/>
        <w:jc w:val="center"/>
        <w:rPr>
          <w:color w:val="000000" w:themeColor="text1"/>
        </w:rPr>
      </w:pPr>
      <w:r>
        <w:rPr>
          <w:noProof/>
          <w:color w:val="000000" w:themeColor="text1"/>
          <w:lang w:eastAsia="en-AU"/>
        </w:rPr>
        <w:drawing>
          <wp:inline distT="0" distB="0" distL="0" distR="0" wp14:anchorId="4B0F893B" wp14:editId="449C5C96">
            <wp:extent cx="12556275" cy="830803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2615579" cy="8347274"/>
                    </a:xfrm>
                    <a:prstGeom prst="rect">
                      <a:avLst/>
                    </a:prstGeom>
                    <a:noFill/>
                  </pic:spPr>
                </pic:pic>
              </a:graphicData>
            </a:graphic>
          </wp:inline>
        </w:drawing>
      </w:r>
    </w:p>
    <w:p w14:paraId="338E90B1" w14:textId="3E82AAC2" w:rsidR="00C354CD" w:rsidRDefault="00C354CD" w:rsidP="00C354CD">
      <w:pPr>
        <w:pStyle w:val="Caption"/>
        <w:keepNext w:val="0"/>
        <w:spacing w:before="0"/>
        <w:jc w:val="center"/>
        <w:sectPr w:rsidR="00C354CD" w:rsidSect="00E9067D">
          <w:pgSz w:w="23811" w:h="16838" w:orient="landscape" w:code="8"/>
          <w:pgMar w:top="1134" w:right="567" w:bottom="851" w:left="851" w:header="708" w:footer="708" w:gutter="0"/>
          <w:cols w:space="708"/>
          <w:docGrid w:linePitch="360"/>
        </w:sectPr>
      </w:pPr>
      <w:bookmarkStart w:id="245" w:name="_Ref468702321"/>
      <w:bookmarkStart w:id="246" w:name="_Toc470108623"/>
      <w:bookmarkStart w:id="247" w:name="_Toc514018097"/>
      <w:r w:rsidRPr="002A7882">
        <w:t xml:space="preserve">Figure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Figure \* ARABIC \s 1 </w:instrText>
      </w:r>
      <w:r>
        <w:fldChar w:fldCharType="separate"/>
      </w:r>
      <w:r w:rsidR="00BF015B">
        <w:rPr>
          <w:noProof/>
        </w:rPr>
        <w:t>4</w:t>
      </w:r>
      <w:r>
        <w:fldChar w:fldCharType="end"/>
      </w:r>
      <w:bookmarkEnd w:id="245"/>
      <w:r w:rsidRPr="00B3777C">
        <w:t xml:space="preserve">: </w:t>
      </w:r>
      <w:bookmarkEnd w:id="246"/>
      <w:r>
        <w:t xml:space="preserve">Regional </w:t>
      </w:r>
      <w:r w:rsidR="00C91B4C">
        <w:t>s</w:t>
      </w:r>
      <w:r>
        <w:t xml:space="preserve">cale </w:t>
      </w:r>
      <w:r w:rsidR="00C91B4C">
        <w:t>a</w:t>
      </w:r>
      <w:r>
        <w:t xml:space="preserve">nalysis: </w:t>
      </w:r>
      <w:r w:rsidR="00C91B4C">
        <w:t>e</w:t>
      </w:r>
      <w:r>
        <w:t>xtent of River Murray R</w:t>
      </w:r>
      <w:r w:rsidR="00FC650B">
        <w:t>i</w:t>
      </w:r>
      <w:r>
        <w:t>M</w:t>
      </w:r>
      <w:r w:rsidR="00FC650B">
        <w:t>-</w:t>
      </w:r>
      <w:r>
        <w:t>FIM zones</w:t>
      </w:r>
      <w:bookmarkEnd w:id="247"/>
    </w:p>
    <w:p w14:paraId="7F51A319" w14:textId="45694F33" w:rsidR="00C354CD" w:rsidRPr="00D7130D" w:rsidRDefault="00C354CD" w:rsidP="00A40029">
      <w:pPr>
        <w:pStyle w:val="Caption"/>
      </w:pPr>
      <w:bookmarkStart w:id="248" w:name="_Ref467583609"/>
      <w:bookmarkStart w:id="249" w:name="_Toc470108602"/>
      <w:bookmarkStart w:id="250" w:name="_Toc514068789"/>
      <w:r w:rsidRPr="001B3FEE">
        <w:t xml:space="preserve">Table </w:t>
      </w:r>
      <w:r w:rsidRPr="00A40029">
        <w:fldChar w:fldCharType="begin"/>
      </w:r>
      <w:r w:rsidRPr="00D7130D">
        <w:instrText xml:space="preserve"> STYLEREF 1 \s </w:instrText>
      </w:r>
      <w:r w:rsidRPr="00A40029">
        <w:fldChar w:fldCharType="separate"/>
      </w:r>
      <w:r w:rsidR="00BF015B">
        <w:rPr>
          <w:noProof/>
        </w:rPr>
        <w:t>5</w:t>
      </w:r>
      <w:r w:rsidRPr="00A40029">
        <w:fldChar w:fldCharType="end"/>
      </w:r>
      <w:r w:rsidRPr="00D7130D">
        <w:noBreakHyphen/>
      </w:r>
      <w:r w:rsidRPr="00A40029">
        <w:fldChar w:fldCharType="begin"/>
      </w:r>
      <w:r w:rsidRPr="00D7130D">
        <w:instrText xml:space="preserve"> SEQ Table \* ARABIC \s 1 </w:instrText>
      </w:r>
      <w:r w:rsidRPr="00A40029">
        <w:fldChar w:fldCharType="separate"/>
      </w:r>
      <w:r w:rsidR="00BF015B">
        <w:rPr>
          <w:noProof/>
        </w:rPr>
        <w:t>1</w:t>
      </w:r>
      <w:r w:rsidRPr="00A40029">
        <w:fldChar w:fldCharType="end"/>
      </w:r>
      <w:bookmarkEnd w:id="248"/>
      <w:r w:rsidRPr="00D7130D">
        <w:t xml:space="preserve">: Summary of </w:t>
      </w:r>
      <w:r w:rsidR="00C91B4C">
        <w:t>d</w:t>
      </w:r>
      <w:r w:rsidRPr="00D7130D">
        <w:t xml:space="preserve">ata used in the </w:t>
      </w:r>
      <w:bookmarkEnd w:id="249"/>
      <w:r w:rsidR="00C91B4C">
        <w:t>r</w:t>
      </w:r>
      <w:r w:rsidRPr="00D7130D">
        <w:t xml:space="preserve">egional </w:t>
      </w:r>
      <w:r w:rsidR="00C91B4C">
        <w:t>a</w:t>
      </w:r>
      <w:r w:rsidRPr="00D7130D">
        <w:t>nalysis</w:t>
      </w:r>
      <w:bookmarkEnd w:id="250"/>
    </w:p>
    <w:tbl>
      <w:tblPr>
        <w:tblStyle w:val="TableGrid"/>
        <w:tblW w:w="9776" w:type="dxa"/>
        <w:tblLook w:val="04A0" w:firstRow="1" w:lastRow="0" w:firstColumn="1" w:lastColumn="0" w:noHBand="0" w:noVBand="1"/>
      </w:tblPr>
      <w:tblGrid>
        <w:gridCol w:w="1255"/>
        <w:gridCol w:w="1167"/>
        <w:gridCol w:w="4209"/>
        <w:gridCol w:w="1748"/>
        <w:gridCol w:w="1397"/>
      </w:tblGrid>
      <w:tr w:rsidR="00830A6A" w:rsidRPr="00D02CF6" w14:paraId="4E936681" w14:textId="469511D2" w:rsidTr="00A22B6D">
        <w:trPr>
          <w:trHeight w:val="163"/>
        </w:trPr>
        <w:tc>
          <w:tcPr>
            <w:tcW w:w="1264" w:type="dxa"/>
            <w:shd w:val="clear" w:color="auto" w:fill="65876D"/>
            <w:vAlign w:val="center"/>
          </w:tcPr>
          <w:p w14:paraId="79EAFD40" w14:textId="77777777" w:rsidR="00830A6A" w:rsidRPr="00D02CF6" w:rsidRDefault="00830A6A" w:rsidP="00AD0E29">
            <w:pPr>
              <w:pStyle w:val="Tableheading"/>
              <w:rPr>
                <w:color w:val="FFFFFF" w:themeColor="background1"/>
              </w:rPr>
            </w:pPr>
            <w:r w:rsidRPr="00D02CF6">
              <w:rPr>
                <w:color w:val="FFFFFF" w:themeColor="background1"/>
              </w:rPr>
              <w:t>Data Name</w:t>
            </w:r>
          </w:p>
        </w:tc>
        <w:tc>
          <w:tcPr>
            <w:tcW w:w="1167" w:type="dxa"/>
            <w:shd w:val="clear" w:color="auto" w:fill="65876D"/>
            <w:vAlign w:val="center"/>
          </w:tcPr>
          <w:p w14:paraId="4702742A" w14:textId="77777777" w:rsidR="00830A6A" w:rsidRPr="00D02CF6" w:rsidRDefault="00830A6A" w:rsidP="00AD0E29">
            <w:pPr>
              <w:pStyle w:val="Tableheading"/>
              <w:rPr>
                <w:color w:val="FFFFFF" w:themeColor="background1"/>
              </w:rPr>
            </w:pPr>
            <w:r w:rsidRPr="00D02CF6">
              <w:rPr>
                <w:color w:val="FFFFFF" w:themeColor="background1"/>
              </w:rPr>
              <w:t>Source</w:t>
            </w:r>
          </w:p>
        </w:tc>
        <w:tc>
          <w:tcPr>
            <w:tcW w:w="4428" w:type="dxa"/>
            <w:shd w:val="clear" w:color="auto" w:fill="65876D"/>
            <w:vAlign w:val="center"/>
          </w:tcPr>
          <w:p w14:paraId="442F4919" w14:textId="77777777" w:rsidR="00830A6A" w:rsidRPr="00D02CF6" w:rsidRDefault="00830A6A" w:rsidP="00AD0E29">
            <w:pPr>
              <w:pStyle w:val="Tableheading"/>
              <w:rPr>
                <w:color w:val="FFFFFF" w:themeColor="background1"/>
              </w:rPr>
            </w:pPr>
            <w:r w:rsidRPr="00D02CF6">
              <w:rPr>
                <w:color w:val="FFFFFF" w:themeColor="background1"/>
              </w:rPr>
              <w:t>Description</w:t>
            </w:r>
          </w:p>
        </w:tc>
        <w:tc>
          <w:tcPr>
            <w:tcW w:w="1786" w:type="dxa"/>
            <w:shd w:val="clear" w:color="auto" w:fill="65876D"/>
            <w:vAlign w:val="center"/>
          </w:tcPr>
          <w:p w14:paraId="651415C0" w14:textId="77777777" w:rsidR="00830A6A" w:rsidRPr="00D02CF6" w:rsidRDefault="00830A6A" w:rsidP="00AD0E29">
            <w:pPr>
              <w:pStyle w:val="Tableheading"/>
              <w:rPr>
                <w:color w:val="FFFFFF" w:themeColor="background1"/>
              </w:rPr>
            </w:pPr>
            <w:r w:rsidRPr="00D02CF6">
              <w:rPr>
                <w:color w:val="FFFFFF" w:themeColor="background1"/>
              </w:rPr>
              <w:t>Coverage</w:t>
            </w:r>
          </w:p>
        </w:tc>
        <w:tc>
          <w:tcPr>
            <w:tcW w:w="1131" w:type="dxa"/>
            <w:shd w:val="clear" w:color="auto" w:fill="65876D"/>
          </w:tcPr>
          <w:p w14:paraId="5FD9820C" w14:textId="4DDFE028" w:rsidR="00830A6A" w:rsidRPr="00D02CF6" w:rsidRDefault="00830A6A" w:rsidP="00830A6A">
            <w:pPr>
              <w:pStyle w:val="Tableheading"/>
              <w:rPr>
                <w:color w:val="FFFFFF" w:themeColor="background1"/>
              </w:rPr>
            </w:pPr>
            <w:r>
              <w:rPr>
                <w:color w:val="FFFFFF" w:themeColor="background1"/>
              </w:rPr>
              <w:t xml:space="preserve">Level of Confidence </w:t>
            </w:r>
          </w:p>
        </w:tc>
      </w:tr>
      <w:tr w:rsidR="00830A6A" w:rsidRPr="00D02CF6" w14:paraId="2625D526" w14:textId="365F019E" w:rsidTr="00A22B6D">
        <w:trPr>
          <w:trHeight w:val="1557"/>
        </w:trPr>
        <w:tc>
          <w:tcPr>
            <w:tcW w:w="1264" w:type="dxa"/>
          </w:tcPr>
          <w:p w14:paraId="07D03118" w14:textId="77777777" w:rsidR="00830A6A" w:rsidRPr="00D02CF6" w:rsidRDefault="00830A6A" w:rsidP="00AD0E29">
            <w:pPr>
              <w:pStyle w:val="Tablesmalltext"/>
              <w:rPr>
                <w:sz w:val="18"/>
                <w:szCs w:val="18"/>
              </w:rPr>
            </w:pPr>
            <w:r w:rsidRPr="00D02CF6">
              <w:rPr>
                <w:sz w:val="18"/>
                <w:szCs w:val="18"/>
              </w:rPr>
              <w:t>Extent and condition of Black Box vegetation</w:t>
            </w:r>
          </w:p>
        </w:tc>
        <w:tc>
          <w:tcPr>
            <w:tcW w:w="1167" w:type="dxa"/>
          </w:tcPr>
          <w:p w14:paraId="58F80B1B" w14:textId="77777777" w:rsidR="00830A6A" w:rsidRPr="00D02CF6" w:rsidRDefault="00830A6A" w:rsidP="00AD0E29">
            <w:pPr>
              <w:pStyle w:val="Tablesmalltext"/>
              <w:rPr>
                <w:sz w:val="18"/>
                <w:szCs w:val="18"/>
              </w:rPr>
            </w:pPr>
            <w:r w:rsidRPr="00D02CF6">
              <w:rPr>
                <w:sz w:val="18"/>
                <w:szCs w:val="18"/>
              </w:rPr>
              <w:t>MDBA</w:t>
            </w:r>
          </w:p>
        </w:tc>
        <w:tc>
          <w:tcPr>
            <w:tcW w:w="4428" w:type="dxa"/>
          </w:tcPr>
          <w:p w14:paraId="3ECEFD26" w14:textId="77777777" w:rsidR="00830A6A" w:rsidRPr="00D02CF6" w:rsidRDefault="00830A6A" w:rsidP="00AD0E29">
            <w:pPr>
              <w:pStyle w:val="Tablesmalltext"/>
              <w:rPr>
                <w:sz w:val="18"/>
                <w:szCs w:val="18"/>
              </w:rPr>
            </w:pPr>
            <w:r w:rsidRPr="00D02CF6">
              <w:rPr>
                <w:sz w:val="18"/>
                <w:szCs w:val="18"/>
              </w:rPr>
              <w:t xml:space="preserve">The MDBA commissioned a vegetation condition assessment model (as at 2013) of water-dependent trees for the development of the BWS. Vegetation extent and condition mapping using remote sensing was combined with the modelled inundation extent to determine the area of River Red Gum, Black Box and Coolibah across the managed floodplain. A remote sensing approach was used to map vegetation extent and condition to provide a consistent set of metrics across the Basin. </w:t>
            </w:r>
          </w:p>
        </w:tc>
        <w:tc>
          <w:tcPr>
            <w:tcW w:w="1786" w:type="dxa"/>
          </w:tcPr>
          <w:p w14:paraId="25D27BB0" w14:textId="77777777" w:rsidR="00830A6A" w:rsidRPr="00D02CF6" w:rsidRDefault="00830A6A" w:rsidP="00AD0E29">
            <w:pPr>
              <w:pStyle w:val="Tablesmalltext"/>
              <w:rPr>
                <w:sz w:val="18"/>
                <w:szCs w:val="18"/>
              </w:rPr>
            </w:pPr>
            <w:r w:rsidRPr="00D02CF6">
              <w:rPr>
                <w:sz w:val="18"/>
                <w:szCs w:val="18"/>
              </w:rPr>
              <w:t>Basin Wide for extent</w:t>
            </w:r>
            <w:r>
              <w:rPr>
                <w:sz w:val="18"/>
                <w:szCs w:val="18"/>
              </w:rPr>
              <w:t xml:space="preserve"> (data used for both regional and basin scale analysis)</w:t>
            </w:r>
          </w:p>
          <w:p w14:paraId="16DFE376" w14:textId="77777777" w:rsidR="00830A6A" w:rsidRPr="00D02CF6" w:rsidRDefault="00830A6A" w:rsidP="00AD0E29">
            <w:pPr>
              <w:pStyle w:val="Tablesmalltext"/>
              <w:rPr>
                <w:sz w:val="18"/>
                <w:szCs w:val="18"/>
              </w:rPr>
            </w:pPr>
            <w:r w:rsidRPr="00D02CF6">
              <w:rPr>
                <w:sz w:val="18"/>
                <w:szCs w:val="18"/>
              </w:rPr>
              <w:t>Southern Basin only for condition.</w:t>
            </w:r>
          </w:p>
        </w:tc>
        <w:tc>
          <w:tcPr>
            <w:tcW w:w="1131" w:type="dxa"/>
            <w:shd w:val="clear" w:color="auto" w:fill="FFAD1C" w:themeFill="accent5"/>
          </w:tcPr>
          <w:p w14:paraId="626A7071" w14:textId="77777777" w:rsidR="00830A6A" w:rsidRDefault="00830A6A" w:rsidP="00AD0E29">
            <w:pPr>
              <w:pStyle w:val="Tablesmalltext"/>
              <w:rPr>
                <w:sz w:val="18"/>
                <w:szCs w:val="18"/>
              </w:rPr>
            </w:pPr>
            <w:r>
              <w:rPr>
                <w:sz w:val="18"/>
                <w:szCs w:val="18"/>
              </w:rPr>
              <w:t>Low/Moderate</w:t>
            </w:r>
          </w:p>
          <w:p w14:paraId="24C93269" w14:textId="77777777" w:rsidR="00830A6A" w:rsidRDefault="00830A6A" w:rsidP="00AD0E29">
            <w:pPr>
              <w:pStyle w:val="Tablesmalltext"/>
              <w:rPr>
                <w:sz w:val="18"/>
                <w:szCs w:val="18"/>
              </w:rPr>
            </w:pPr>
          </w:p>
          <w:p w14:paraId="75CDDC84" w14:textId="1A6F471C" w:rsidR="00830A6A" w:rsidRPr="00D02CF6" w:rsidRDefault="00830A6A" w:rsidP="00830A6A">
            <w:pPr>
              <w:pStyle w:val="Tablesmalltext"/>
              <w:rPr>
                <w:sz w:val="18"/>
                <w:szCs w:val="18"/>
              </w:rPr>
            </w:pPr>
            <w:r>
              <w:rPr>
                <w:sz w:val="18"/>
                <w:szCs w:val="18"/>
              </w:rPr>
              <w:t>Remote sensing approach</w:t>
            </w:r>
            <w:r w:rsidR="008C20D1">
              <w:rPr>
                <w:sz w:val="18"/>
                <w:szCs w:val="18"/>
              </w:rPr>
              <w:t xml:space="preserve"> introduces uncertainties</w:t>
            </w:r>
            <w:r>
              <w:rPr>
                <w:sz w:val="18"/>
                <w:szCs w:val="18"/>
              </w:rPr>
              <w:t>, condition data missing for many regions</w:t>
            </w:r>
          </w:p>
        </w:tc>
      </w:tr>
      <w:tr w:rsidR="00830A6A" w:rsidRPr="00D02CF6" w14:paraId="20AEC0EE" w14:textId="7591B726" w:rsidTr="00A22B6D">
        <w:tc>
          <w:tcPr>
            <w:tcW w:w="1264" w:type="dxa"/>
          </w:tcPr>
          <w:p w14:paraId="146EDDE3" w14:textId="21F085E9" w:rsidR="00830A6A" w:rsidRPr="00D02CF6" w:rsidRDefault="00830A6A" w:rsidP="00830A6A">
            <w:pPr>
              <w:pStyle w:val="Tablesmalltext"/>
              <w:rPr>
                <w:sz w:val="18"/>
                <w:szCs w:val="18"/>
              </w:rPr>
            </w:pPr>
            <w:r w:rsidRPr="00D02CF6">
              <w:rPr>
                <w:sz w:val="18"/>
                <w:szCs w:val="18"/>
              </w:rPr>
              <w:t xml:space="preserve">Inundation frequency </w:t>
            </w:r>
            <w:r>
              <w:rPr>
                <w:sz w:val="18"/>
                <w:szCs w:val="18"/>
              </w:rPr>
              <w:t>(R</w:t>
            </w:r>
            <w:r w:rsidR="0022098F">
              <w:rPr>
                <w:sz w:val="18"/>
                <w:szCs w:val="18"/>
              </w:rPr>
              <w:t>i</w:t>
            </w:r>
            <w:r>
              <w:rPr>
                <w:sz w:val="18"/>
                <w:szCs w:val="18"/>
              </w:rPr>
              <w:t>M</w:t>
            </w:r>
            <w:r w:rsidR="0022098F">
              <w:rPr>
                <w:sz w:val="18"/>
                <w:szCs w:val="18"/>
              </w:rPr>
              <w:t>-</w:t>
            </w:r>
            <w:r>
              <w:rPr>
                <w:sz w:val="18"/>
                <w:szCs w:val="18"/>
              </w:rPr>
              <w:t>FIM)</w:t>
            </w:r>
          </w:p>
        </w:tc>
        <w:tc>
          <w:tcPr>
            <w:tcW w:w="1167" w:type="dxa"/>
          </w:tcPr>
          <w:p w14:paraId="7C430116" w14:textId="77777777" w:rsidR="00830A6A" w:rsidRPr="00D02CF6" w:rsidRDefault="00830A6A" w:rsidP="00830A6A">
            <w:pPr>
              <w:pStyle w:val="Tablesmalltext"/>
              <w:rPr>
                <w:sz w:val="18"/>
                <w:szCs w:val="18"/>
              </w:rPr>
            </w:pPr>
            <w:r w:rsidRPr="00D02CF6">
              <w:rPr>
                <w:sz w:val="18"/>
                <w:szCs w:val="18"/>
              </w:rPr>
              <w:t>MDBA and CSIRO</w:t>
            </w:r>
          </w:p>
        </w:tc>
        <w:tc>
          <w:tcPr>
            <w:tcW w:w="4428" w:type="dxa"/>
          </w:tcPr>
          <w:p w14:paraId="318DAEF7" w14:textId="77777777" w:rsidR="00830A6A" w:rsidRPr="00D02CF6" w:rsidRDefault="00830A6A" w:rsidP="00830A6A">
            <w:pPr>
              <w:pStyle w:val="Tablesmalltext"/>
              <w:rPr>
                <w:sz w:val="18"/>
                <w:szCs w:val="18"/>
              </w:rPr>
            </w:pPr>
            <w:r w:rsidRPr="00D02CF6">
              <w:rPr>
                <w:sz w:val="18"/>
                <w:szCs w:val="18"/>
              </w:rPr>
              <w:t>To determine the extent of the total and managed floodplain a toolkit has been developed consisting of:</w:t>
            </w:r>
          </w:p>
          <w:p w14:paraId="237E0AE1" w14:textId="77777777" w:rsidR="00830A6A" w:rsidRPr="00D02CF6" w:rsidRDefault="00830A6A" w:rsidP="00F22225">
            <w:pPr>
              <w:pStyle w:val="Tablesmalltext"/>
              <w:numPr>
                <w:ilvl w:val="0"/>
                <w:numId w:val="30"/>
              </w:numPr>
              <w:ind w:left="378"/>
              <w:rPr>
                <w:sz w:val="18"/>
                <w:szCs w:val="18"/>
              </w:rPr>
            </w:pPr>
            <w:r w:rsidRPr="00D02CF6">
              <w:rPr>
                <w:sz w:val="18"/>
                <w:szCs w:val="18"/>
              </w:rPr>
              <w:t xml:space="preserve">Water resource models that include representation of: </w:t>
            </w:r>
          </w:p>
          <w:p w14:paraId="357428B7" w14:textId="77777777" w:rsidR="00830A6A" w:rsidRPr="00D02CF6" w:rsidRDefault="00830A6A" w:rsidP="00F22225">
            <w:pPr>
              <w:pStyle w:val="Tablesmalltext"/>
              <w:numPr>
                <w:ilvl w:val="0"/>
                <w:numId w:val="47"/>
              </w:numPr>
              <w:rPr>
                <w:sz w:val="18"/>
                <w:szCs w:val="18"/>
              </w:rPr>
            </w:pPr>
            <w:r w:rsidRPr="00D02CF6">
              <w:rPr>
                <w:sz w:val="18"/>
                <w:szCs w:val="18"/>
              </w:rPr>
              <w:t>the natural system (i.e. no-development scenario)</w:t>
            </w:r>
          </w:p>
          <w:p w14:paraId="444AB931" w14:textId="77777777" w:rsidR="00830A6A" w:rsidRPr="00D02CF6" w:rsidRDefault="00830A6A" w:rsidP="00F22225">
            <w:pPr>
              <w:pStyle w:val="Tablesmalltext"/>
              <w:numPr>
                <w:ilvl w:val="0"/>
                <w:numId w:val="47"/>
              </w:numPr>
              <w:rPr>
                <w:sz w:val="18"/>
                <w:szCs w:val="18"/>
              </w:rPr>
            </w:pPr>
            <w:r w:rsidRPr="00D02CF6">
              <w:rPr>
                <w:sz w:val="18"/>
                <w:szCs w:val="18"/>
              </w:rPr>
              <w:t>water resource development pre-Basin Plan (consumptive use, operational rules and water sharing arrangements as at 2009)</w:t>
            </w:r>
          </w:p>
          <w:p w14:paraId="01AF55EF" w14:textId="77777777" w:rsidR="00830A6A" w:rsidRPr="00D02CF6" w:rsidRDefault="00830A6A" w:rsidP="00F22225">
            <w:pPr>
              <w:pStyle w:val="Tablesmalltext"/>
              <w:numPr>
                <w:ilvl w:val="0"/>
                <w:numId w:val="47"/>
              </w:numPr>
              <w:rPr>
                <w:sz w:val="18"/>
                <w:szCs w:val="18"/>
              </w:rPr>
            </w:pPr>
            <w:r w:rsidRPr="00D02CF6">
              <w:rPr>
                <w:sz w:val="18"/>
                <w:szCs w:val="18"/>
              </w:rPr>
              <w:t xml:space="preserve">water resource management under the Basin Plan (2,750 GL water for the environment with the operational rules as at 2009) </w:t>
            </w:r>
          </w:p>
          <w:p w14:paraId="3E807017" w14:textId="03F75A9B" w:rsidR="00830A6A" w:rsidRPr="00D02CF6" w:rsidRDefault="00830A6A" w:rsidP="00F22225">
            <w:pPr>
              <w:pStyle w:val="Tablesmalltext"/>
              <w:numPr>
                <w:ilvl w:val="0"/>
                <w:numId w:val="30"/>
              </w:numPr>
              <w:ind w:left="379"/>
              <w:rPr>
                <w:sz w:val="18"/>
                <w:szCs w:val="18"/>
              </w:rPr>
            </w:pPr>
            <w:r w:rsidRPr="00D02CF6">
              <w:rPr>
                <w:sz w:val="18"/>
                <w:szCs w:val="18"/>
              </w:rPr>
              <w:t xml:space="preserve">Inundation model(s) are used to relate a river flow rate to the extent/area of the local floodplain that is inundated. The River Murray Floodplain Inundation Model </w:t>
            </w:r>
            <w:r>
              <w:rPr>
                <w:sz w:val="18"/>
                <w:szCs w:val="18"/>
              </w:rPr>
              <w:t>(R</w:t>
            </w:r>
            <w:r w:rsidR="0022098F">
              <w:rPr>
                <w:sz w:val="18"/>
                <w:szCs w:val="18"/>
              </w:rPr>
              <w:t>i</w:t>
            </w:r>
            <w:r>
              <w:rPr>
                <w:sz w:val="18"/>
                <w:szCs w:val="18"/>
              </w:rPr>
              <w:t>M</w:t>
            </w:r>
            <w:r w:rsidR="0022098F">
              <w:rPr>
                <w:sz w:val="18"/>
                <w:szCs w:val="18"/>
              </w:rPr>
              <w:t>-</w:t>
            </w:r>
            <w:r>
              <w:rPr>
                <w:sz w:val="18"/>
                <w:szCs w:val="18"/>
              </w:rPr>
              <w:t xml:space="preserve">FIM) </w:t>
            </w:r>
            <w:r w:rsidRPr="00D02CF6">
              <w:rPr>
                <w:sz w:val="18"/>
                <w:szCs w:val="18"/>
              </w:rPr>
              <w:t>was used for the lower River Murray (Overton, 2006).</w:t>
            </w:r>
          </w:p>
          <w:p w14:paraId="6058FA06" w14:textId="77777777" w:rsidR="00830A6A" w:rsidRPr="00D02CF6" w:rsidRDefault="00830A6A" w:rsidP="00830A6A">
            <w:pPr>
              <w:pStyle w:val="Tablesmalltext"/>
              <w:rPr>
                <w:sz w:val="18"/>
                <w:szCs w:val="18"/>
              </w:rPr>
            </w:pPr>
            <w:r w:rsidRPr="00D02CF6">
              <w:rPr>
                <w:sz w:val="18"/>
                <w:szCs w:val="18"/>
              </w:rPr>
              <w:t>The tool kit was used to predict the difference in the inundation extents, frequency and durations for each scenario in the water resource model.</w:t>
            </w:r>
          </w:p>
        </w:tc>
        <w:tc>
          <w:tcPr>
            <w:tcW w:w="1786" w:type="dxa"/>
          </w:tcPr>
          <w:p w14:paraId="507C9697" w14:textId="77777777" w:rsidR="00830A6A" w:rsidRPr="00D02CF6" w:rsidRDefault="00830A6A" w:rsidP="00830A6A">
            <w:pPr>
              <w:pStyle w:val="Tablesmalltext"/>
              <w:rPr>
                <w:sz w:val="18"/>
                <w:szCs w:val="18"/>
              </w:rPr>
            </w:pPr>
            <w:r w:rsidRPr="00D02CF6">
              <w:rPr>
                <w:sz w:val="18"/>
                <w:szCs w:val="18"/>
              </w:rPr>
              <w:t>Basin Wide for water resource models.</w:t>
            </w:r>
          </w:p>
          <w:p w14:paraId="56A9F399" w14:textId="77777777" w:rsidR="00830A6A" w:rsidRPr="00D02CF6" w:rsidRDefault="00830A6A" w:rsidP="00830A6A">
            <w:pPr>
              <w:pStyle w:val="Tablesmalltext"/>
              <w:rPr>
                <w:sz w:val="18"/>
                <w:szCs w:val="18"/>
              </w:rPr>
            </w:pPr>
            <w:r w:rsidRPr="00D02CF6">
              <w:rPr>
                <w:sz w:val="18"/>
                <w:szCs w:val="18"/>
              </w:rPr>
              <w:t>River Murray, Lower Darling, Edward-Wakool and upper Murrumbidgee for inundation models.</w:t>
            </w:r>
          </w:p>
          <w:p w14:paraId="50F31F21" w14:textId="77777777" w:rsidR="00830A6A" w:rsidRPr="00D02CF6" w:rsidRDefault="00830A6A" w:rsidP="00830A6A">
            <w:pPr>
              <w:pStyle w:val="Tablesmalltext"/>
              <w:rPr>
                <w:sz w:val="18"/>
                <w:szCs w:val="18"/>
              </w:rPr>
            </w:pPr>
          </w:p>
          <w:p w14:paraId="19FE1A12" w14:textId="77777777" w:rsidR="00830A6A" w:rsidRPr="00D02CF6" w:rsidRDefault="00830A6A" w:rsidP="00830A6A">
            <w:pPr>
              <w:pStyle w:val="Tablesmalltext"/>
              <w:rPr>
                <w:sz w:val="18"/>
                <w:szCs w:val="18"/>
              </w:rPr>
            </w:pPr>
          </w:p>
          <w:p w14:paraId="443AD94A" w14:textId="77777777" w:rsidR="00830A6A" w:rsidRPr="00D02CF6" w:rsidRDefault="00830A6A" w:rsidP="00830A6A">
            <w:pPr>
              <w:pStyle w:val="Tablesmalltext"/>
              <w:rPr>
                <w:sz w:val="18"/>
                <w:szCs w:val="18"/>
              </w:rPr>
            </w:pPr>
          </w:p>
        </w:tc>
        <w:tc>
          <w:tcPr>
            <w:tcW w:w="1131" w:type="dxa"/>
            <w:shd w:val="clear" w:color="auto" w:fill="92D050"/>
          </w:tcPr>
          <w:p w14:paraId="7BB0E05B" w14:textId="60CD6F9D" w:rsidR="00830A6A" w:rsidRDefault="00830A6A" w:rsidP="00830A6A">
            <w:pPr>
              <w:pStyle w:val="Tablesmalltext"/>
              <w:rPr>
                <w:sz w:val="18"/>
                <w:szCs w:val="18"/>
              </w:rPr>
            </w:pPr>
            <w:r>
              <w:rPr>
                <w:sz w:val="18"/>
                <w:szCs w:val="18"/>
              </w:rPr>
              <w:t>Moderate</w:t>
            </w:r>
            <w:r w:rsidR="008C20D1">
              <w:rPr>
                <w:sz w:val="18"/>
                <w:szCs w:val="18"/>
              </w:rPr>
              <w:t>/High</w:t>
            </w:r>
          </w:p>
          <w:p w14:paraId="4B9C05E2" w14:textId="77777777" w:rsidR="00830A6A" w:rsidRDefault="00830A6A" w:rsidP="00830A6A">
            <w:pPr>
              <w:pStyle w:val="Tablesmalltext"/>
              <w:rPr>
                <w:sz w:val="18"/>
                <w:szCs w:val="18"/>
              </w:rPr>
            </w:pPr>
          </w:p>
          <w:p w14:paraId="722C2F1A" w14:textId="7E688143" w:rsidR="00830A6A" w:rsidRPr="00D02CF6" w:rsidRDefault="00830A6A" w:rsidP="00830A6A">
            <w:pPr>
              <w:pStyle w:val="Tablesmalltext"/>
              <w:rPr>
                <w:sz w:val="18"/>
                <w:szCs w:val="18"/>
              </w:rPr>
            </w:pPr>
            <w:r>
              <w:rPr>
                <w:sz w:val="18"/>
                <w:szCs w:val="18"/>
              </w:rPr>
              <w:t>Data accurate for the reaches that it covers</w:t>
            </w:r>
          </w:p>
        </w:tc>
      </w:tr>
      <w:tr w:rsidR="00830A6A" w:rsidRPr="00D02CF6" w14:paraId="29D08D28" w14:textId="2417F3DB" w:rsidTr="00A22B6D">
        <w:tc>
          <w:tcPr>
            <w:tcW w:w="1264" w:type="dxa"/>
          </w:tcPr>
          <w:p w14:paraId="6B2C2427" w14:textId="77777777" w:rsidR="00830A6A" w:rsidRPr="00D02CF6" w:rsidRDefault="00830A6A" w:rsidP="00AD0E29">
            <w:pPr>
              <w:pStyle w:val="Tablesmalltext"/>
              <w:rPr>
                <w:sz w:val="18"/>
                <w:szCs w:val="18"/>
              </w:rPr>
            </w:pPr>
            <w:r w:rsidRPr="00D02CF6">
              <w:rPr>
                <w:sz w:val="18"/>
                <w:szCs w:val="18"/>
              </w:rPr>
              <w:t>Soil salinity in the unsaturated zone.</w:t>
            </w:r>
          </w:p>
        </w:tc>
        <w:tc>
          <w:tcPr>
            <w:tcW w:w="1167" w:type="dxa"/>
          </w:tcPr>
          <w:p w14:paraId="1773E721" w14:textId="77777777" w:rsidR="00830A6A" w:rsidRPr="00D02CF6" w:rsidRDefault="00830A6A" w:rsidP="00AD0E29">
            <w:pPr>
              <w:pStyle w:val="Tablesmalltext"/>
              <w:rPr>
                <w:sz w:val="18"/>
                <w:szCs w:val="18"/>
              </w:rPr>
            </w:pPr>
            <w:r w:rsidRPr="00D02CF6">
              <w:rPr>
                <w:sz w:val="18"/>
                <w:szCs w:val="18"/>
              </w:rPr>
              <w:t>Geoscience Australia, DEWNR</w:t>
            </w:r>
          </w:p>
        </w:tc>
        <w:tc>
          <w:tcPr>
            <w:tcW w:w="4428" w:type="dxa"/>
          </w:tcPr>
          <w:p w14:paraId="5476934F" w14:textId="77777777" w:rsidR="00830A6A" w:rsidRPr="00D02CF6" w:rsidRDefault="00830A6A" w:rsidP="00AD0E29">
            <w:pPr>
              <w:pStyle w:val="Tablesmalltext"/>
              <w:rPr>
                <w:sz w:val="18"/>
                <w:szCs w:val="18"/>
              </w:rPr>
            </w:pPr>
            <w:r w:rsidRPr="00D02CF6">
              <w:rPr>
                <w:sz w:val="18"/>
                <w:szCs w:val="18"/>
              </w:rPr>
              <w:t xml:space="preserve">Airborne Electromagnetic (AEM) surveys along the length of the River Murray have been used to characterise the salinity of the soil in depth slice intervals relative to the natural surface. </w:t>
            </w:r>
          </w:p>
        </w:tc>
        <w:tc>
          <w:tcPr>
            <w:tcW w:w="1786" w:type="dxa"/>
          </w:tcPr>
          <w:p w14:paraId="63FE31FC" w14:textId="77777777" w:rsidR="00830A6A" w:rsidRPr="00D02CF6" w:rsidRDefault="00830A6A" w:rsidP="00AD0E29">
            <w:pPr>
              <w:pStyle w:val="Tablesmalltext"/>
              <w:rPr>
                <w:sz w:val="18"/>
                <w:szCs w:val="18"/>
              </w:rPr>
            </w:pPr>
            <w:r w:rsidRPr="00D02CF6">
              <w:rPr>
                <w:sz w:val="18"/>
                <w:szCs w:val="18"/>
              </w:rPr>
              <w:t>River Murray from Barmah in Victoria to Katarapko Island in SA</w:t>
            </w:r>
          </w:p>
        </w:tc>
        <w:tc>
          <w:tcPr>
            <w:tcW w:w="1131" w:type="dxa"/>
            <w:shd w:val="clear" w:color="auto" w:fill="92D050"/>
          </w:tcPr>
          <w:p w14:paraId="6467AD88" w14:textId="7B191DA4" w:rsidR="00830A6A" w:rsidRDefault="00830A6A" w:rsidP="00AD0E29">
            <w:pPr>
              <w:pStyle w:val="Tablesmalltext"/>
              <w:rPr>
                <w:sz w:val="18"/>
                <w:szCs w:val="18"/>
              </w:rPr>
            </w:pPr>
            <w:r>
              <w:rPr>
                <w:sz w:val="18"/>
                <w:szCs w:val="18"/>
              </w:rPr>
              <w:t>Moderate</w:t>
            </w:r>
            <w:r w:rsidR="008C20D1">
              <w:rPr>
                <w:sz w:val="18"/>
                <w:szCs w:val="18"/>
              </w:rPr>
              <w:t>/High</w:t>
            </w:r>
          </w:p>
          <w:p w14:paraId="45F2D254" w14:textId="5649B522" w:rsidR="00830A6A" w:rsidRPr="00D02CF6" w:rsidRDefault="00830A6A" w:rsidP="00AD0E29">
            <w:pPr>
              <w:pStyle w:val="Tablesmalltext"/>
              <w:rPr>
                <w:sz w:val="18"/>
                <w:szCs w:val="18"/>
              </w:rPr>
            </w:pPr>
            <w:r>
              <w:rPr>
                <w:sz w:val="18"/>
                <w:szCs w:val="18"/>
              </w:rPr>
              <w:t>Data accurate for the reaches that it covers</w:t>
            </w:r>
          </w:p>
        </w:tc>
      </w:tr>
    </w:tbl>
    <w:p w14:paraId="40C3EDA1" w14:textId="239A7BAA" w:rsidR="009C0ECA" w:rsidRDefault="009C0ECA" w:rsidP="00C354CD">
      <w:pPr>
        <w:pStyle w:val="Para0bullet"/>
        <w:numPr>
          <w:ilvl w:val="0"/>
          <w:numId w:val="0"/>
        </w:numPr>
        <w:tabs>
          <w:tab w:val="clear" w:pos="851"/>
        </w:tabs>
        <w:spacing w:after="0"/>
      </w:pPr>
    </w:p>
    <w:p w14:paraId="788700CC" w14:textId="77777777" w:rsidR="009C0ECA" w:rsidRDefault="009C0ECA">
      <w:pPr>
        <w:spacing w:after="0" w:line="240" w:lineRule="auto"/>
      </w:pPr>
      <w:r>
        <w:br w:type="page"/>
      </w:r>
    </w:p>
    <w:p w14:paraId="4847059E" w14:textId="77777777" w:rsidR="00C354CD" w:rsidRDefault="00C354CD" w:rsidP="00C354CD">
      <w:pPr>
        <w:pStyle w:val="Heading3"/>
      </w:pPr>
      <w:r>
        <w:t>The Concept of the Managed Floodplain</w:t>
      </w:r>
    </w:p>
    <w:p w14:paraId="67AF59BC" w14:textId="77777777" w:rsidR="00C354CD" w:rsidRDefault="00C354CD" w:rsidP="00C354CD">
      <w:pPr>
        <w:pStyle w:val="Para0"/>
      </w:pPr>
      <w:r>
        <w:t xml:space="preserve">The reach scale analysis uses the concept of the </w:t>
      </w:r>
      <w:r w:rsidRPr="008007A3">
        <w:rPr>
          <w:b/>
        </w:rPr>
        <w:t>managed</w:t>
      </w:r>
      <w:r>
        <w:t xml:space="preserve"> floodplain, which is presented within the BWS as a basis for quantifying the targeted environmental outcomes.</w:t>
      </w:r>
      <w:r w:rsidRPr="00D10E66">
        <w:t xml:space="preserve"> </w:t>
      </w:r>
      <w:r>
        <w:t xml:space="preserve">The concept was introduced to differentiate between </w:t>
      </w:r>
      <w:r w:rsidRPr="004155EC">
        <w:t xml:space="preserve">the extent to which </w:t>
      </w:r>
      <w:r>
        <w:t>river flows can be</w:t>
      </w:r>
      <w:r w:rsidRPr="004155EC">
        <w:t xml:space="preserve"> </w:t>
      </w:r>
      <w:r w:rsidRPr="004155EC">
        <w:rPr>
          <w:i/>
          <w:iCs/>
        </w:rPr>
        <w:t xml:space="preserve">actively </w:t>
      </w:r>
      <w:r w:rsidRPr="004155EC">
        <w:t>manage</w:t>
      </w:r>
      <w:r>
        <w:t>d</w:t>
      </w:r>
      <w:r w:rsidRPr="004155EC">
        <w:t xml:space="preserve"> </w:t>
      </w:r>
      <w:r>
        <w:t>to create broad scale inundation of</w:t>
      </w:r>
      <w:r w:rsidRPr="004155EC">
        <w:t xml:space="preserve"> the floodplain</w:t>
      </w:r>
      <w:r>
        <w:t>,</w:t>
      </w:r>
      <w:r w:rsidRPr="004155EC">
        <w:t xml:space="preserve"> verses </w:t>
      </w:r>
      <w:r>
        <w:t xml:space="preserve">those </w:t>
      </w:r>
      <w:r w:rsidRPr="004155EC">
        <w:t xml:space="preserve">areas which </w:t>
      </w:r>
      <w:r>
        <w:t>are</w:t>
      </w:r>
      <w:r w:rsidRPr="004155EC">
        <w:t xml:space="preserve"> out of scope for active </w:t>
      </w:r>
      <w:r>
        <w:t xml:space="preserve">flow </w:t>
      </w:r>
      <w:r w:rsidRPr="004155EC">
        <w:t>management</w:t>
      </w:r>
      <w:r>
        <w:t xml:space="preserve"> and reliant on other forms of management intervention or natural processes</w:t>
      </w:r>
      <w:r w:rsidRPr="004155EC">
        <w:t xml:space="preserve">. </w:t>
      </w:r>
    </w:p>
    <w:p w14:paraId="4D126B3F" w14:textId="5E642B34" w:rsidR="00C354CD" w:rsidRDefault="00C354CD" w:rsidP="00C354CD">
      <w:pPr>
        <w:pStyle w:val="Para0"/>
      </w:pPr>
      <w:r w:rsidRPr="006621BB">
        <w:t xml:space="preserve">The </w:t>
      </w:r>
      <w:r>
        <w:t xml:space="preserve">area of </w:t>
      </w:r>
      <w:r w:rsidRPr="00D1327C">
        <w:rPr>
          <w:bCs/>
        </w:rPr>
        <w:t xml:space="preserve">managed </w:t>
      </w:r>
      <w:r w:rsidRPr="00D1327C">
        <w:t>floodplain</w:t>
      </w:r>
      <w:r w:rsidRPr="006621BB">
        <w:t xml:space="preserve"> </w:t>
      </w:r>
      <w:r>
        <w:t xml:space="preserve">documented in the BWS (2015) </w:t>
      </w:r>
      <w:r w:rsidRPr="006621BB">
        <w:t xml:space="preserve">is an estimate of </w:t>
      </w:r>
      <w:r w:rsidRPr="00B01B0E">
        <w:t xml:space="preserve">the </w:t>
      </w:r>
      <w:r>
        <w:t>area</w:t>
      </w:r>
      <w:r w:rsidRPr="00B01B0E">
        <w:t xml:space="preserve"> of</w:t>
      </w:r>
      <w:r>
        <w:t xml:space="preserve"> the</w:t>
      </w:r>
      <w:r w:rsidRPr="00B01B0E">
        <w:t xml:space="preserve"> floodplain which could be</w:t>
      </w:r>
      <w:r w:rsidRPr="008007A3">
        <w:t xml:space="preserve"> </w:t>
      </w:r>
      <w:r w:rsidRPr="008007A3">
        <w:rPr>
          <w:bCs/>
        </w:rPr>
        <w:t>feasibly</w:t>
      </w:r>
      <w:r>
        <w:rPr>
          <w:b/>
          <w:bCs/>
        </w:rPr>
        <w:t xml:space="preserve"> </w:t>
      </w:r>
      <w:r>
        <w:t>watered with</w:t>
      </w:r>
      <w:r w:rsidRPr="00DD30F6">
        <w:t xml:space="preserve"> river operations</w:t>
      </w:r>
      <w:r>
        <w:t xml:space="preserve"> and</w:t>
      </w:r>
      <w:r w:rsidRPr="00DD30F6">
        <w:t xml:space="preserve"> </w:t>
      </w:r>
      <w:r>
        <w:t xml:space="preserve">using environmental water, </w:t>
      </w:r>
      <w:r w:rsidRPr="00DD30F6">
        <w:t>within the existing operational constraints across the Basin</w:t>
      </w:r>
      <w:r w:rsidRPr="006621BB">
        <w:t xml:space="preserve">. The area of the managed floodplain for the River Murray </w:t>
      </w:r>
      <w:r>
        <w:t xml:space="preserve">also </w:t>
      </w:r>
      <w:r w:rsidRPr="006621BB">
        <w:t xml:space="preserve">includes those areas that can be inundated </w:t>
      </w:r>
      <w:r>
        <w:t>using floodplain infrastructure</w:t>
      </w:r>
      <w:r w:rsidRPr="006621BB">
        <w:t xml:space="preserve"> </w:t>
      </w:r>
      <w:r>
        <w:t>constructed under T</w:t>
      </w:r>
      <w:r w:rsidRPr="006621BB">
        <w:t>he Living Murray ‘environmental works’</w:t>
      </w:r>
      <w:r>
        <w:t xml:space="preserve"> (</w:t>
      </w:r>
      <w:r w:rsidRPr="006621BB">
        <w:t>channels, levees, flow regulators and pumping stations).</w:t>
      </w:r>
      <w:r w:rsidRPr="006527C6">
        <w:t xml:space="preserve"> </w:t>
      </w:r>
      <w:r>
        <w:t xml:space="preserve">The ‘managed’ floodplain will vary over time and between rivers </w:t>
      </w:r>
      <w:r w:rsidRPr="004155EC">
        <w:t xml:space="preserve">depending on the current </w:t>
      </w:r>
      <w:r>
        <w:t xml:space="preserve">operating </w:t>
      </w:r>
      <w:r w:rsidRPr="004155EC">
        <w:t>rules and practices for managing water</w:t>
      </w:r>
      <w:r>
        <w:t xml:space="preserve">, and the establishment of new options (infrastructure) for enhancing the use of water for the environment. </w:t>
      </w:r>
    </w:p>
    <w:p w14:paraId="56A92395" w14:textId="77777777" w:rsidR="00C354CD" w:rsidRDefault="00C354CD" w:rsidP="00C354CD">
      <w:pPr>
        <w:pStyle w:val="Para0"/>
      </w:pPr>
      <w:r>
        <w:t>T</w:t>
      </w:r>
      <w:r w:rsidRPr="004155EC">
        <w:t xml:space="preserve">he </w:t>
      </w:r>
      <w:r w:rsidRPr="002F4394">
        <w:rPr>
          <w:b/>
        </w:rPr>
        <w:t>unmanaged</w:t>
      </w:r>
      <w:r w:rsidRPr="002F4394">
        <w:t xml:space="preserve"> </w:t>
      </w:r>
      <w:r w:rsidRPr="004155EC">
        <w:t xml:space="preserve">floodplain under the </w:t>
      </w:r>
      <w:r>
        <w:t xml:space="preserve">BWS </w:t>
      </w:r>
      <w:r w:rsidRPr="004155EC">
        <w:t>includes</w:t>
      </w:r>
      <w:r>
        <w:t xml:space="preserve"> the </w:t>
      </w:r>
      <w:r w:rsidRPr="004155EC">
        <w:t xml:space="preserve">floodplain </w:t>
      </w:r>
      <w:r>
        <w:t xml:space="preserve">area </w:t>
      </w:r>
      <w:r w:rsidRPr="004155EC">
        <w:t>beyond the scope of environmental watering</w:t>
      </w:r>
      <w:r>
        <w:t xml:space="preserve"> (augmenting river flows) and</w:t>
      </w:r>
      <w:r w:rsidRPr="004155EC">
        <w:t xml:space="preserve"> is generally reliant on </w:t>
      </w:r>
      <w:r>
        <w:t>l</w:t>
      </w:r>
      <w:r w:rsidRPr="002F4394">
        <w:t>a</w:t>
      </w:r>
      <w:r>
        <w:t xml:space="preserve">rge-scale </w:t>
      </w:r>
      <w:r w:rsidRPr="004155EC">
        <w:t>natural</w:t>
      </w:r>
      <w:r>
        <w:t xml:space="preserve"> events to inundate this part of the</w:t>
      </w:r>
      <w:r w:rsidRPr="002F4394">
        <w:t xml:space="preserve"> floodplain. These </w:t>
      </w:r>
      <w:r>
        <w:t xml:space="preserve">events </w:t>
      </w:r>
      <w:r w:rsidRPr="002F4394">
        <w:t>occur only during very wet years and cannot</w:t>
      </w:r>
      <w:r>
        <w:t xml:space="preserve"> </w:t>
      </w:r>
      <w:r w:rsidRPr="002F4394">
        <w:t>be actively managed</w:t>
      </w:r>
      <w:r>
        <w:t xml:space="preserve"> (surface water management)</w:t>
      </w:r>
      <w:r w:rsidRPr="002F4394">
        <w:t>.</w:t>
      </w:r>
      <w:r w:rsidRPr="00141FCA">
        <w:t xml:space="preserve"> </w:t>
      </w:r>
      <w:r>
        <w:t>The floodplain can still be actively managed using alternative strategies to environmental watering such as groundwater management, grazing control, and the installation of new regulating infrastructure that extends the area that can be inundated at low-medium flows.</w:t>
      </w:r>
    </w:p>
    <w:p w14:paraId="31C6E0D9" w14:textId="77777777" w:rsidR="00C354CD" w:rsidRPr="005C34A5" w:rsidRDefault="00C354CD" w:rsidP="00C354CD">
      <w:pPr>
        <w:pStyle w:val="Para0"/>
        <w:rPr>
          <w:rFonts w:eastAsiaTheme="minorHAnsi"/>
        </w:rPr>
      </w:pPr>
      <w:r>
        <w:rPr>
          <w:rFonts w:eastAsiaTheme="minorHAnsi"/>
        </w:rPr>
        <w:t xml:space="preserve">The MDBA have developed a toolkit (MDBA 2014b) to differentiate between the managed and unmanaged floodplain from an environmental watering perspective. This </w:t>
      </w:r>
      <w:r w:rsidRPr="005C34A5">
        <w:rPr>
          <w:rFonts w:eastAsiaTheme="minorHAnsi"/>
        </w:rPr>
        <w:t xml:space="preserve">consists of: </w:t>
      </w:r>
    </w:p>
    <w:p w14:paraId="35ACB6E1" w14:textId="77777777" w:rsidR="00C354CD" w:rsidRPr="00F00CE9" w:rsidRDefault="00C354CD" w:rsidP="00F22225">
      <w:pPr>
        <w:pStyle w:val="Para0bullet"/>
        <w:numPr>
          <w:ilvl w:val="0"/>
          <w:numId w:val="89"/>
        </w:numPr>
        <w:tabs>
          <w:tab w:val="clear" w:pos="851"/>
        </w:tabs>
        <w:spacing w:after="0"/>
        <w:ind w:left="850"/>
      </w:pPr>
      <w:r>
        <w:t>hydrologic models of the b</w:t>
      </w:r>
      <w:r w:rsidRPr="00F00CE9">
        <w:t>asin</w:t>
      </w:r>
    </w:p>
    <w:p w14:paraId="3DF0AB9B" w14:textId="77777777" w:rsidR="00C354CD" w:rsidRPr="00F00CE9" w:rsidRDefault="00C354CD" w:rsidP="00F22225">
      <w:pPr>
        <w:pStyle w:val="Para0bullet"/>
        <w:numPr>
          <w:ilvl w:val="0"/>
          <w:numId w:val="89"/>
        </w:numPr>
        <w:tabs>
          <w:tab w:val="clear" w:pos="851"/>
        </w:tabs>
        <w:spacing w:after="0"/>
        <w:ind w:left="850"/>
      </w:pPr>
      <w:r w:rsidRPr="00F00CE9">
        <w:t>inundation model(s) for the floodplain</w:t>
      </w:r>
    </w:p>
    <w:p w14:paraId="54F4394A" w14:textId="77777777" w:rsidR="00C354CD" w:rsidRPr="00F00CE9" w:rsidRDefault="00C354CD" w:rsidP="00F22225">
      <w:pPr>
        <w:pStyle w:val="Para0bullet"/>
        <w:numPr>
          <w:ilvl w:val="0"/>
          <w:numId w:val="89"/>
        </w:numPr>
        <w:tabs>
          <w:tab w:val="clear" w:pos="851"/>
        </w:tabs>
        <w:spacing w:after="0"/>
        <w:ind w:left="850"/>
      </w:pPr>
      <w:r w:rsidRPr="00F00CE9">
        <w:t>predicted vegetation extent and condition layers.</w:t>
      </w:r>
    </w:p>
    <w:p w14:paraId="3846BFDF" w14:textId="77777777" w:rsidR="00C354CD" w:rsidRPr="005D60CF" w:rsidRDefault="00C354CD" w:rsidP="00C354CD">
      <w:pPr>
        <w:pStyle w:val="Para0"/>
        <w:rPr>
          <w:rFonts w:eastAsiaTheme="minorHAnsi"/>
          <w:b/>
        </w:rPr>
      </w:pPr>
      <w:r>
        <w:rPr>
          <w:rFonts w:eastAsiaTheme="minorHAnsi"/>
        </w:rPr>
        <w:t>The hydrology and inundation models of the toolkit</w:t>
      </w:r>
      <w:r w:rsidRPr="005C34A5">
        <w:rPr>
          <w:rFonts w:eastAsiaTheme="minorHAnsi"/>
        </w:rPr>
        <w:t xml:space="preserve"> can be used to predict the difference in the inundation extents for </w:t>
      </w:r>
      <w:r>
        <w:rPr>
          <w:rFonts w:eastAsiaTheme="minorHAnsi"/>
        </w:rPr>
        <w:t>flow related management activities</w:t>
      </w:r>
      <w:r w:rsidRPr="005C34A5">
        <w:rPr>
          <w:rFonts w:eastAsiaTheme="minorHAnsi"/>
        </w:rPr>
        <w:t xml:space="preserve"> </w:t>
      </w:r>
      <w:r>
        <w:rPr>
          <w:rFonts w:eastAsiaTheme="minorHAnsi"/>
        </w:rPr>
        <w:t xml:space="preserve">compared to a “do nothing” scenario. </w:t>
      </w:r>
      <w:r w:rsidRPr="005C34A5">
        <w:rPr>
          <w:rFonts w:eastAsiaTheme="minorHAnsi"/>
        </w:rPr>
        <w:t xml:space="preserve">This can be translated into a change in the </w:t>
      </w:r>
      <w:r>
        <w:rPr>
          <w:rFonts w:eastAsiaTheme="minorHAnsi"/>
        </w:rPr>
        <w:t xml:space="preserve">area of </w:t>
      </w:r>
      <w:r w:rsidRPr="005C34A5">
        <w:rPr>
          <w:rFonts w:eastAsiaTheme="minorHAnsi"/>
        </w:rPr>
        <w:t>managed floodplain</w:t>
      </w:r>
      <w:r>
        <w:rPr>
          <w:rFonts w:eastAsiaTheme="minorHAnsi"/>
        </w:rPr>
        <w:t>. Through combining the inundation model with the vegetation model, the area of vegetation types that are able to be inundated can be determined. The frequency and duration of watering can also be compared with the water requirements for that vegetation type to determine the potential for improvement (or decline) in vegetation condition</w:t>
      </w:r>
      <w:r>
        <w:t xml:space="preserve">. </w:t>
      </w:r>
    </w:p>
    <w:p w14:paraId="0D3BAEBF" w14:textId="42B46F5B" w:rsidR="00C354CD" w:rsidRDefault="00C354CD" w:rsidP="00C354CD">
      <w:pPr>
        <w:pStyle w:val="Para0"/>
        <w:rPr>
          <w:rFonts w:eastAsiaTheme="minorHAnsi"/>
        </w:rPr>
      </w:pPr>
      <w:r>
        <w:rPr>
          <w:rFonts w:eastAsiaTheme="minorHAnsi"/>
        </w:rPr>
        <w:t>Different attributes of e</w:t>
      </w:r>
      <w:r w:rsidRPr="0083700C">
        <w:rPr>
          <w:rFonts w:eastAsiaTheme="minorHAnsi"/>
        </w:rPr>
        <w:t>nvironmental watering</w:t>
      </w:r>
      <w:r>
        <w:rPr>
          <w:rFonts w:eastAsiaTheme="minorHAnsi"/>
        </w:rPr>
        <w:t xml:space="preserve"> can be </w:t>
      </w:r>
      <w:r w:rsidRPr="0083700C">
        <w:rPr>
          <w:rFonts w:eastAsiaTheme="minorHAnsi"/>
        </w:rPr>
        <w:t>applied</w:t>
      </w:r>
      <w:r>
        <w:rPr>
          <w:rFonts w:eastAsiaTheme="minorHAnsi"/>
        </w:rPr>
        <w:t xml:space="preserve"> within the models, providing a</w:t>
      </w:r>
      <w:r w:rsidRPr="0083700C">
        <w:rPr>
          <w:rFonts w:eastAsiaTheme="minorHAnsi"/>
        </w:rPr>
        <w:t xml:space="preserve"> range of </w:t>
      </w:r>
      <w:r>
        <w:rPr>
          <w:rFonts w:eastAsiaTheme="minorHAnsi"/>
        </w:rPr>
        <w:t xml:space="preserve">river </w:t>
      </w:r>
      <w:r w:rsidRPr="0083700C">
        <w:rPr>
          <w:rFonts w:eastAsiaTheme="minorHAnsi"/>
        </w:rPr>
        <w:t xml:space="preserve">flow scenarios </w:t>
      </w:r>
      <w:r>
        <w:rPr>
          <w:rFonts w:eastAsiaTheme="minorHAnsi"/>
        </w:rPr>
        <w:t>with floodplain inundation regimes of d</w:t>
      </w:r>
      <w:r w:rsidRPr="0083700C">
        <w:rPr>
          <w:rFonts w:eastAsiaTheme="minorHAnsi"/>
        </w:rPr>
        <w:t xml:space="preserve">ifferent </w:t>
      </w:r>
      <w:r>
        <w:rPr>
          <w:rFonts w:eastAsiaTheme="minorHAnsi"/>
        </w:rPr>
        <w:t xml:space="preserve">extents, frequencies and durations. Each flow scenario results in a change in the managed floodplain </w:t>
      </w:r>
      <w:r w:rsidR="00AD6010">
        <w:rPr>
          <w:rFonts w:eastAsiaTheme="minorHAnsi"/>
        </w:rPr>
        <w:t xml:space="preserve">area </w:t>
      </w:r>
      <w:r>
        <w:rPr>
          <w:rFonts w:eastAsiaTheme="minorHAnsi"/>
        </w:rPr>
        <w:t xml:space="preserve">and therefore presents different </w:t>
      </w:r>
      <w:r w:rsidRPr="0083700C">
        <w:rPr>
          <w:rFonts w:eastAsiaTheme="minorHAnsi"/>
        </w:rPr>
        <w:t xml:space="preserve">ecological outcomes </w:t>
      </w:r>
      <w:r>
        <w:rPr>
          <w:rFonts w:eastAsiaTheme="minorHAnsi"/>
        </w:rPr>
        <w:t>in the model outputs</w:t>
      </w:r>
      <w:r w:rsidRPr="0083700C">
        <w:rPr>
          <w:rFonts w:eastAsiaTheme="minorHAnsi"/>
        </w:rPr>
        <w:t>.</w:t>
      </w:r>
    </w:p>
    <w:p w14:paraId="45AB9BF8" w14:textId="77DDFCB5" w:rsidR="00C354CD" w:rsidRDefault="00C354CD" w:rsidP="00C354CD">
      <w:pPr>
        <w:pStyle w:val="Para0"/>
        <w:rPr>
          <w:rFonts w:eastAsiaTheme="minorHAnsi"/>
        </w:rPr>
      </w:pPr>
      <w:r>
        <w:rPr>
          <w:rFonts w:eastAsiaTheme="minorHAnsi"/>
        </w:rPr>
        <w:fldChar w:fldCharType="begin"/>
      </w:r>
      <w:r>
        <w:rPr>
          <w:rFonts w:eastAsiaTheme="minorHAnsi"/>
        </w:rPr>
        <w:instrText xml:space="preserve"> REF _Ref507486399 \h </w:instrText>
      </w:r>
      <w:r>
        <w:rPr>
          <w:rFonts w:eastAsiaTheme="minorHAnsi"/>
        </w:rPr>
      </w:r>
      <w:r>
        <w:rPr>
          <w:rFonts w:eastAsiaTheme="minorHAnsi"/>
        </w:rPr>
        <w:fldChar w:fldCharType="separate"/>
      </w:r>
      <w:r w:rsidR="00BF015B" w:rsidRPr="002A7882">
        <w:t xml:space="preserve">Figure </w:t>
      </w:r>
      <w:r w:rsidR="00BF015B">
        <w:rPr>
          <w:noProof/>
        </w:rPr>
        <w:t>5</w:t>
      </w:r>
      <w:r w:rsidR="00BF015B">
        <w:noBreakHyphen/>
      </w:r>
      <w:r w:rsidR="00BF015B">
        <w:rPr>
          <w:noProof/>
        </w:rPr>
        <w:t>5</w:t>
      </w:r>
      <w:r>
        <w:rPr>
          <w:rFonts w:eastAsiaTheme="minorHAnsi"/>
        </w:rPr>
        <w:fldChar w:fldCharType="end"/>
      </w:r>
      <w:r>
        <w:rPr>
          <w:rFonts w:eastAsiaTheme="minorHAnsi"/>
        </w:rPr>
        <w:t xml:space="preserve"> </w:t>
      </w:r>
      <w:r w:rsidRPr="0083700C">
        <w:rPr>
          <w:rFonts w:eastAsiaTheme="minorHAnsi"/>
        </w:rPr>
        <w:t xml:space="preserve">shows the </w:t>
      </w:r>
      <w:r>
        <w:rPr>
          <w:rFonts w:eastAsiaTheme="minorHAnsi"/>
        </w:rPr>
        <w:t xml:space="preserve">change in area </w:t>
      </w:r>
      <w:r w:rsidRPr="0083700C">
        <w:rPr>
          <w:rFonts w:eastAsiaTheme="minorHAnsi"/>
        </w:rPr>
        <w:t>of vegetation inundat</w:t>
      </w:r>
      <w:r>
        <w:rPr>
          <w:rFonts w:eastAsiaTheme="minorHAnsi"/>
        </w:rPr>
        <w:t>ed</w:t>
      </w:r>
      <w:r w:rsidRPr="0083700C">
        <w:rPr>
          <w:rFonts w:eastAsiaTheme="minorHAnsi"/>
        </w:rPr>
        <w:t xml:space="preserve"> </w:t>
      </w:r>
      <w:r>
        <w:rPr>
          <w:rFonts w:eastAsiaTheme="minorHAnsi"/>
        </w:rPr>
        <w:t xml:space="preserve">under </w:t>
      </w:r>
      <w:r w:rsidRPr="0083700C">
        <w:rPr>
          <w:rFonts w:eastAsiaTheme="minorHAnsi"/>
        </w:rPr>
        <w:t xml:space="preserve">different </w:t>
      </w:r>
      <w:r>
        <w:rPr>
          <w:rFonts w:eastAsiaTheme="minorHAnsi"/>
        </w:rPr>
        <w:t xml:space="preserve">river flow conditions, as measured </w:t>
      </w:r>
      <w:r w:rsidRPr="00647BA2">
        <w:rPr>
          <w:rFonts w:eastAsiaTheme="minorHAnsi"/>
        </w:rPr>
        <w:t>along the South Australian River Murray at different flow rates</w:t>
      </w:r>
      <w:r w:rsidDel="00990512">
        <w:rPr>
          <w:rFonts w:eastAsiaTheme="minorHAnsi"/>
        </w:rPr>
        <w:t xml:space="preserve"> </w:t>
      </w:r>
      <w:r>
        <w:rPr>
          <w:rFonts w:eastAsiaTheme="minorHAnsi"/>
        </w:rPr>
        <w:t>(MDBA, 2015)</w:t>
      </w:r>
      <w:r w:rsidRPr="0083700C">
        <w:rPr>
          <w:rFonts w:eastAsiaTheme="minorHAnsi"/>
        </w:rPr>
        <w:t>.</w:t>
      </w:r>
      <w:r>
        <w:rPr>
          <w:rFonts w:eastAsiaTheme="minorHAnsi"/>
        </w:rPr>
        <w:t xml:space="preserve"> Average daily river flow rates of 60,000 ML/day and 80,000 ML/day are highlighted within the graph as they represent key markers for river operations. </w:t>
      </w:r>
      <w:r w:rsidRPr="0083700C">
        <w:rPr>
          <w:rFonts w:eastAsiaTheme="minorHAnsi"/>
        </w:rPr>
        <w:t>As flows are increased from 60,000</w:t>
      </w:r>
      <w:r>
        <w:rPr>
          <w:rFonts w:eastAsiaTheme="minorHAnsi"/>
        </w:rPr>
        <w:t> ML/day</w:t>
      </w:r>
      <w:r w:rsidRPr="0083700C">
        <w:rPr>
          <w:rFonts w:eastAsiaTheme="minorHAnsi"/>
        </w:rPr>
        <w:t xml:space="preserve"> to 80,000 </w:t>
      </w:r>
      <w:r>
        <w:rPr>
          <w:rFonts w:eastAsiaTheme="minorHAnsi"/>
        </w:rPr>
        <w:t>ML/day</w:t>
      </w:r>
      <w:r w:rsidRPr="0083700C">
        <w:rPr>
          <w:rFonts w:eastAsiaTheme="minorHAnsi"/>
        </w:rPr>
        <w:t xml:space="preserve"> an extra 30,000 ha of floodplain is inundated and the proportion of the wetlands, waterbodies and flood dependent vegetation inundated </w:t>
      </w:r>
      <w:r>
        <w:rPr>
          <w:rFonts w:eastAsiaTheme="minorHAnsi"/>
        </w:rPr>
        <w:t xml:space="preserve">in this section of the River Murray </w:t>
      </w:r>
      <w:r w:rsidRPr="0083700C">
        <w:rPr>
          <w:rFonts w:eastAsiaTheme="minorHAnsi"/>
        </w:rPr>
        <w:t>increases from ~40</w:t>
      </w:r>
      <w:r>
        <w:rPr>
          <w:rFonts w:eastAsiaTheme="minorHAnsi"/>
        </w:rPr>
        <w:t xml:space="preserve"> per cent</w:t>
      </w:r>
      <w:r w:rsidRPr="0083700C">
        <w:rPr>
          <w:rFonts w:eastAsiaTheme="minorHAnsi"/>
        </w:rPr>
        <w:t xml:space="preserve"> to ~75</w:t>
      </w:r>
      <w:r>
        <w:rPr>
          <w:rFonts w:eastAsiaTheme="minorHAnsi"/>
        </w:rPr>
        <w:t xml:space="preserve"> per cent.</w:t>
      </w:r>
      <w:r w:rsidRPr="00990512">
        <w:rPr>
          <w:rFonts w:eastAsiaTheme="minorHAnsi"/>
        </w:rPr>
        <w:t xml:space="preserve"> </w:t>
      </w:r>
    </w:p>
    <w:p w14:paraId="638B56FA" w14:textId="77777777" w:rsidR="00C354CD" w:rsidRDefault="00C354CD" w:rsidP="00C354CD">
      <w:pPr>
        <w:pStyle w:val="Para0"/>
        <w:rPr>
          <w:rFonts w:eastAsiaTheme="minorHAnsi"/>
        </w:rPr>
      </w:pPr>
    </w:p>
    <w:p w14:paraId="7394A582" w14:textId="77777777" w:rsidR="00C354CD" w:rsidRDefault="00C354CD" w:rsidP="00C354CD">
      <w:pPr>
        <w:pStyle w:val="Para0"/>
      </w:pPr>
      <w:r>
        <w:rPr>
          <w:rFonts w:eastAsiaTheme="minorHAnsi"/>
          <w:noProof/>
          <w:lang w:eastAsia="en-AU"/>
        </w:rPr>
        <w:drawing>
          <wp:inline distT="0" distB="0" distL="0" distR="0" wp14:anchorId="48682F2C" wp14:editId="5FE67995">
            <wp:extent cx="5867400" cy="372606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877758" cy="3732643"/>
                    </a:xfrm>
                    <a:prstGeom prst="rect">
                      <a:avLst/>
                    </a:prstGeom>
                    <a:noFill/>
                  </pic:spPr>
                </pic:pic>
              </a:graphicData>
            </a:graphic>
          </wp:inline>
        </w:drawing>
      </w:r>
    </w:p>
    <w:p w14:paraId="289E73A0" w14:textId="6FA925FE" w:rsidR="00C354CD" w:rsidRDefault="00C354CD" w:rsidP="00EA581E">
      <w:pPr>
        <w:pStyle w:val="Caption"/>
        <w:keepNext w:val="0"/>
        <w:spacing w:before="0" w:after="240"/>
        <w:jc w:val="center"/>
      </w:pPr>
      <w:bookmarkStart w:id="251" w:name="_Ref507486399"/>
      <w:bookmarkStart w:id="252" w:name="_Toc470108622"/>
      <w:bookmarkStart w:id="253" w:name="_Toc514018098"/>
      <w:r w:rsidRPr="002A7882">
        <w:t xml:space="preserve">Figure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Figure \* ARABIC \s 1 </w:instrText>
      </w:r>
      <w:r>
        <w:fldChar w:fldCharType="separate"/>
      </w:r>
      <w:r w:rsidR="00BF015B">
        <w:rPr>
          <w:noProof/>
        </w:rPr>
        <w:t>5</w:t>
      </w:r>
      <w:r>
        <w:fldChar w:fldCharType="end"/>
      </w:r>
      <w:bookmarkEnd w:id="251"/>
      <w:r w:rsidRPr="00B3777C">
        <w:t xml:space="preserve">: Change </w:t>
      </w:r>
      <w:r>
        <w:t xml:space="preserve">in the </w:t>
      </w:r>
      <w:r w:rsidRPr="00B3777C">
        <w:t xml:space="preserve">inundated area of floodplain </w:t>
      </w:r>
      <w:r>
        <w:t>on the River Murray relative to</w:t>
      </w:r>
      <w:r w:rsidRPr="00B3777C">
        <w:t xml:space="preserve"> increasing flows </w:t>
      </w:r>
      <w:r>
        <w:t xml:space="preserve">measured </w:t>
      </w:r>
      <w:r w:rsidRPr="00B3777C">
        <w:t xml:space="preserve">at the </w:t>
      </w:r>
      <w:r>
        <w:t>South Australian border</w:t>
      </w:r>
      <w:bookmarkEnd w:id="252"/>
      <w:r>
        <w:t xml:space="preserve"> (MDBA 2015)</w:t>
      </w:r>
      <w:bookmarkEnd w:id="253"/>
    </w:p>
    <w:p w14:paraId="61C67D4A" w14:textId="77777777" w:rsidR="00C354CD" w:rsidRDefault="00C354CD" w:rsidP="00C354CD">
      <w:pPr>
        <w:pStyle w:val="Para0"/>
      </w:pPr>
    </w:p>
    <w:p w14:paraId="16C17A9E" w14:textId="77777777" w:rsidR="00C354CD" w:rsidRPr="00AC08CE" w:rsidRDefault="00C354CD" w:rsidP="00C354CD">
      <w:pPr>
        <w:pStyle w:val="Heading3"/>
      </w:pPr>
      <w:bookmarkStart w:id="254" w:name="_Toc474693024"/>
      <w:r>
        <w:t>Regional Analysis of Flow S</w:t>
      </w:r>
      <w:r w:rsidRPr="00AC08CE">
        <w:t>tress for the River Murray</w:t>
      </w:r>
      <w:bookmarkEnd w:id="254"/>
    </w:p>
    <w:p w14:paraId="1789C71C" w14:textId="77777777" w:rsidR="00C354CD" w:rsidRPr="00D02CF6" w:rsidRDefault="00C354CD" w:rsidP="00C354CD">
      <w:pPr>
        <w:pStyle w:val="Para0bullet"/>
        <w:numPr>
          <w:ilvl w:val="0"/>
          <w:numId w:val="0"/>
        </w:numPr>
        <w:tabs>
          <w:tab w:val="clear" w:pos="851"/>
        </w:tabs>
        <w:spacing w:after="0"/>
      </w:pPr>
      <w:r w:rsidRPr="00D02CF6">
        <w:t xml:space="preserve">To assess the effect of changes in river flow rates on Black Box vegetation, daily flows </w:t>
      </w:r>
      <w:r>
        <w:t xml:space="preserve">at a reach scale </w:t>
      </w:r>
      <w:r w:rsidRPr="00D02CF6">
        <w:t>along the River Murray have been modelled by the MDBA for the following three scenarios: natural (no development); pre</w:t>
      </w:r>
      <w:r>
        <w:t>-</w:t>
      </w:r>
      <w:r w:rsidRPr="00D02CF6">
        <w:t xml:space="preserve">Basin Plan; and Basin Plan. </w:t>
      </w:r>
    </w:p>
    <w:p w14:paraId="1BA82A22" w14:textId="77777777" w:rsidR="00C354CD" w:rsidRPr="00D02CF6" w:rsidRDefault="00C354CD" w:rsidP="00C354CD">
      <w:pPr>
        <w:pStyle w:val="Para0bullet"/>
        <w:numPr>
          <w:ilvl w:val="0"/>
          <w:numId w:val="0"/>
        </w:numPr>
        <w:tabs>
          <w:tab w:val="clear" w:pos="851"/>
        </w:tabs>
        <w:spacing w:after="0"/>
      </w:pPr>
    </w:p>
    <w:p w14:paraId="1D650D3B" w14:textId="6B97BE37" w:rsidR="00C354CD" w:rsidRPr="00D02CF6" w:rsidRDefault="00C354CD" w:rsidP="00C354CD">
      <w:pPr>
        <w:pStyle w:val="Para0bullet"/>
        <w:keepNext/>
        <w:keepLines/>
        <w:numPr>
          <w:ilvl w:val="0"/>
          <w:numId w:val="0"/>
        </w:numPr>
        <w:tabs>
          <w:tab w:val="clear" w:pos="851"/>
        </w:tabs>
        <w:spacing w:after="0"/>
      </w:pPr>
      <w:r w:rsidRPr="00D02CF6">
        <w:t xml:space="preserve">The percentage of time a flow rate (ML/day) is exceeded at the South Australian border based on the modelled daily flows is presented in </w:t>
      </w:r>
      <w:r w:rsidRPr="00D02CF6">
        <w:fldChar w:fldCharType="begin"/>
      </w:r>
      <w:r w:rsidRPr="00D02CF6">
        <w:instrText xml:space="preserve"> REF _Ref469218619 \h  \* MERGEFORMAT </w:instrText>
      </w:r>
      <w:r w:rsidRPr="00D02CF6">
        <w:fldChar w:fldCharType="separate"/>
      </w:r>
      <w:r w:rsidR="00BF015B" w:rsidRPr="00D02CF6">
        <w:t xml:space="preserve">Figure </w:t>
      </w:r>
      <w:r w:rsidR="00BF015B">
        <w:rPr>
          <w:noProof/>
        </w:rPr>
        <w:t>5</w:t>
      </w:r>
      <w:r w:rsidR="00BF015B" w:rsidRPr="00D02CF6">
        <w:rPr>
          <w:noProof/>
        </w:rPr>
        <w:noBreakHyphen/>
      </w:r>
      <w:r w:rsidR="00BF015B">
        <w:rPr>
          <w:noProof/>
        </w:rPr>
        <w:t>6</w:t>
      </w:r>
      <w:r w:rsidRPr="00D02CF6">
        <w:fldChar w:fldCharType="end"/>
      </w:r>
      <w:r w:rsidRPr="00D02CF6">
        <w:t>. This shows that the occurrence of river flow rates up to 60,000 ML/day are increased under the Basin Plan scenari</w:t>
      </w:r>
      <w:r>
        <w:t>o compared with pre-Basin Plan</w:t>
      </w:r>
      <w:r w:rsidRPr="00D02CF6">
        <w:t>.</w:t>
      </w:r>
      <w:r>
        <w:t xml:space="preserve"> </w:t>
      </w:r>
      <w:r w:rsidRPr="00D02CF6">
        <w:t>Between 60,000 ML/day and 80,000 ML/day</w:t>
      </w:r>
      <w:r w:rsidRPr="00D02CF6" w:rsidDel="00716159">
        <w:t xml:space="preserve"> </w:t>
      </w:r>
      <w:r w:rsidRPr="00D02CF6">
        <w:t xml:space="preserve">there is only a marginal increase in the occurrence these flows. Flows </w:t>
      </w:r>
      <w:r w:rsidR="00AD6010">
        <w:t>greater than</w:t>
      </w:r>
      <w:r w:rsidRPr="00D02CF6">
        <w:t xml:space="preserve"> 80</w:t>
      </w:r>
      <w:r w:rsidRPr="003708BD">
        <w:t>,</w:t>
      </w:r>
      <w:r w:rsidRPr="00D02CF6">
        <w:t>000</w:t>
      </w:r>
      <w:r>
        <w:t> </w:t>
      </w:r>
      <w:r w:rsidRPr="00D02CF6">
        <w:t>ML/day are reliant on infrequent large natural events.</w:t>
      </w:r>
    </w:p>
    <w:p w14:paraId="48B950B9" w14:textId="77777777" w:rsidR="00C354CD" w:rsidRPr="00D02CF6" w:rsidRDefault="00C354CD" w:rsidP="00C354CD">
      <w:pPr>
        <w:pStyle w:val="Para0bullet"/>
        <w:numPr>
          <w:ilvl w:val="0"/>
          <w:numId w:val="0"/>
        </w:numPr>
        <w:tabs>
          <w:tab w:val="clear" w:pos="851"/>
        </w:tabs>
        <w:spacing w:after="0"/>
      </w:pPr>
    </w:p>
    <w:p w14:paraId="085A9D35" w14:textId="28F85F58" w:rsidR="00C354CD" w:rsidRPr="00D02CF6" w:rsidRDefault="00C354CD" w:rsidP="00C354CD">
      <w:pPr>
        <w:pStyle w:val="Para0bullet"/>
        <w:numPr>
          <w:ilvl w:val="0"/>
          <w:numId w:val="0"/>
        </w:numPr>
        <w:tabs>
          <w:tab w:val="clear" w:pos="851"/>
        </w:tabs>
        <w:spacing w:after="0"/>
      </w:pPr>
      <w:r w:rsidRPr="00D02CF6">
        <w:t xml:space="preserve">The frequency of river flows exceeding 60,000 ML/day and 80,000 ML/day under the Basin Plan scenario is 1 in 3 years and 1 in 6 years respectively at the South Australian border; refer to </w:t>
      </w:r>
      <w:r>
        <w:fldChar w:fldCharType="begin"/>
      </w:r>
      <w:r>
        <w:instrText xml:space="preserve"> REF _Ref467580128 \h  \* MERGEFORMAT </w:instrText>
      </w:r>
      <w:r>
        <w:fldChar w:fldCharType="separate"/>
      </w:r>
      <w:r w:rsidR="00BF015B" w:rsidRPr="001B3FEE">
        <w:t xml:space="preserve">Table </w:t>
      </w:r>
      <w:r w:rsidR="00BF015B">
        <w:t>5</w:t>
      </w:r>
      <w:r w:rsidR="00BF015B" w:rsidRPr="00D7130D">
        <w:noBreakHyphen/>
      </w:r>
      <w:r w:rsidR="00BF015B">
        <w:t>2</w:t>
      </w:r>
      <w:r>
        <w:fldChar w:fldCharType="end"/>
      </w:r>
      <w:r>
        <w:t xml:space="preserve"> </w:t>
      </w:r>
      <w:r w:rsidRPr="00D02CF6">
        <w:t xml:space="preserve">and </w:t>
      </w:r>
      <w:r>
        <w:fldChar w:fldCharType="begin"/>
      </w:r>
      <w:r>
        <w:instrText xml:space="preserve"> REF _Ref468562528 \h  \* MERGEFORMAT </w:instrText>
      </w:r>
      <w:r>
        <w:fldChar w:fldCharType="separate"/>
      </w:r>
      <w:r w:rsidR="00BF015B" w:rsidRPr="001B3FEE">
        <w:t xml:space="preserve">Table </w:t>
      </w:r>
      <w:r w:rsidR="00BF015B">
        <w:t>5</w:t>
      </w:r>
      <w:r w:rsidR="00BF015B" w:rsidRPr="00D7130D">
        <w:noBreakHyphen/>
      </w:r>
      <w:r w:rsidR="00BF015B">
        <w:t>3</w:t>
      </w:r>
      <w:r>
        <w:fldChar w:fldCharType="end"/>
      </w:r>
      <w:r w:rsidRPr="00D02CF6">
        <w:t xml:space="preserve">. </w:t>
      </w:r>
    </w:p>
    <w:p w14:paraId="174D9F1F" w14:textId="77777777" w:rsidR="00C354CD" w:rsidRPr="00D02CF6" w:rsidRDefault="00C354CD" w:rsidP="00C354CD">
      <w:pPr>
        <w:pStyle w:val="Para0"/>
        <w:jc w:val="center"/>
      </w:pPr>
      <w:r w:rsidRPr="00D02CF6">
        <w:rPr>
          <w:noProof/>
          <w:lang w:eastAsia="en-AU"/>
        </w:rPr>
        <w:drawing>
          <wp:inline distT="0" distB="0" distL="0" distR="0" wp14:anchorId="27D337BA" wp14:editId="6D0D91F1">
            <wp:extent cx="5891842" cy="3064040"/>
            <wp:effectExtent l="19050" t="19050" r="13970" b="222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cstate="email">
                      <a:extLst>
                        <a:ext uri="{BEBA8EAE-BF5A-486C-A8C5-ECC9F3942E4B}">
                          <a14:imgProps xmlns:a14="http://schemas.microsoft.com/office/drawing/2010/main">
                            <a14:imgLayer r:embed="rId79">
                              <a14:imgEffect>
                                <a14:sharpenSoften amount="25000"/>
                              </a14:imgEffect>
                            </a14:imgLayer>
                          </a14:imgProps>
                        </a:ext>
                        <a:ext uri="{28A0092B-C50C-407E-A947-70E740481C1C}">
                          <a14:useLocalDpi xmlns:a14="http://schemas.microsoft.com/office/drawing/2010/main"/>
                        </a:ext>
                      </a:extLst>
                    </a:blip>
                    <a:srcRect l="1635" t="1981" r="1486" b="2103"/>
                    <a:stretch/>
                  </pic:blipFill>
                  <pic:spPr bwMode="auto">
                    <a:xfrm>
                      <a:off x="0" y="0"/>
                      <a:ext cx="5908326" cy="3072612"/>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17DE29D4" w14:textId="39624978" w:rsidR="00C354CD" w:rsidRPr="00D02CF6" w:rsidRDefault="00C354CD" w:rsidP="00EA581E">
      <w:pPr>
        <w:pStyle w:val="Caption"/>
        <w:spacing w:after="400"/>
        <w:jc w:val="center"/>
      </w:pPr>
      <w:bookmarkStart w:id="255" w:name="_Ref469218619"/>
      <w:bookmarkStart w:id="256" w:name="_Toc470108624"/>
      <w:bookmarkStart w:id="257" w:name="_Toc514018099"/>
      <w:r w:rsidRPr="00D02CF6">
        <w:t xml:space="preserve">Figure </w:t>
      </w:r>
      <w:r w:rsidRPr="00D02CF6">
        <w:fldChar w:fldCharType="begin"/>
      </w:r>
      <w:r w:rsidRPr="00D02CF6">
        <w:instrText xml:space="preserve"> STYLEREF 1 \s </w:instrText>
      </w:r>
      <w:r w:rsidRPr="00D02CF6">
        <w:fldChar w:fldCharType="separate"/>
      </w:r>
      <w:r w:rsidR="00BF015B">
        <w:rPr>
          <w:noProof/>
        </w:rPr>
        <w:t>5</w:t>
      </w:r>
      <w:r w:rsidRPr="00D02CF6">
        <w:fldChar w:fldCharType="end"/>
      </w:r>
      <w:r w:rsidRPr="00D02CF6">
        <w:noBreakHyphen/>
      </w:r>
      <w:r w:rsidRPr="00D02CF6">
        <w:fldChar w:fldCharType="begin"/>
      </w:r>
      <w:r w:rsidRPr="00D02CF6">
        <w:instrText xml:space="preserve"> SEQ Figure \* ARABIC \s 1 </w:instrText>
      </w:r>
      <w:r w:rsidRPr="00D02CF6">
        <w:fldChar w:fldCharType="separate"/>
      </w:r>
      <w:r w:rsidR="00BF015B">
        <w:rPr>
          <w:noProof/>
        </w:rPr>
        <w:t>6</w:t>
      </w:r>
      <w:r w:rsidRPr="00D02CF6">
        <w:fldChar w:fldCharType="end"/>
      </w:r>
      <w:bookmarkEnd w:id="255"/>
      <w:r w:rsidRPr="00D02CF6">
        <w:t>: Percentage of time that a daily flow occurs at the South Australian border for three scenarios (natural, pre-basin Plan and Basin Plan).</w:t>
      </w:r>
      <w:bookmarkEnd w:id="256"/>
      <w:bookmarkEnd w:id="257"/>
    </w:p>
    <w:p w14:paraId="40F75B05" w14:textId="77777777" w:rsidR="00C354CD" w:rsidRPr="00D02CF6" w:rsidRDefault="00C354CD" w:rsidP="00C354CD">
      <w:pPr>
        <w:pStyle w:val="Heading4"/>
      </w:pPr>
      <w:bookmarkStart w:id="258" w:name="_Toc474693026"/>
      <w:r>
        <w:t>Area of Black Box Inundated by R</w:t>
      </w:r>
      <w:r w:rsidRPr="00D02CF6">
        <w:t>each</w:t>
      </w:r>
      <w:bookmarkEnd w:id="258"/>
    </w:p>
    <w:p w14:paraId="6C6BA0B6" w14:textId="48C4EF7B" w:rsidR="00C354CD" w:rsidRPr="00D02CF6" w:rsidRDefault="00C354CD" w:rsidP="00C354CD">
      <w:pPr>
        <w:pStyle w:val="Para0"/>
      </w:pPr>
      <w:r w:rsidRPr="00D02CF6">
        <w:rPr>
          <w:rFonts w:cs="Arial"/>
        </w:rPr>
        <w:t xml:space="preserve">The area of inundation for reaches 7 to 18, relative to river flows of 60,000 ML/day and 80,000 ML/day at the South Australian border, have been analysed using the Basin Plan model scenario and the results are presented in </w:t>
      </w:r>
      <w:r w:rsidRPr="00D02CF6">
        <w:rPr>
          <w:rFonts w:cs="Arial"/>
        </w:rPr>
        <w:fldChar w:fldCharType="begin"/>
      </w:r>
      <w:r w:rsidRPr="00D02CF6">
        <w:rPr>
          <w:rFonts w:cs="Arial"/>
        </w:rPr>
        <w:instrText xml:space="preserve"> REF _Ref467580128 \h  \* MERGEFORMAT </w:instrText>
      </w:r>
      <w:r w:rsidRPr="00D02CF6">
        <w:rPr>
          <w:rFonts w:cs="Arial"/>
        </w:rPr>
      </w:r>
      <w:r w:rsidRPr="00D02CF6">
        <w:rPr>
          <w:rFonts w:cs="Arial"/>
        </w:rPr>
        <w:fldChar w:fldCharType="separate"/>
      </w:r>
      <w:r w:rsidR="00BF015B" w:rsidRPr="00BF015B">
        <w:rPr>
          <w:rFonts w:cs="Arial"/>
        </w:rPr>
        <w:t xml:space="preserve">Table </w:t>
      </w:r>
      <w:r w:rsidR="00BF015B" w:rsidRPr="00BF015B">
        <w:rPr>
          <w:rFonts w:cs="Arial"/>
          <w:noProof/>
        </w:rPr>
        <w:t>5</w:t>
      </w:r>
      <w:r w:rsidR="00BF015B" w:rsidRPr="00BF015B">
        <w:rPr>
          <w:rFonts w:cs="Arial"/>
          <w:noProof/>
        </w:rPr>
        <w:noBreakHyphen/>
        <w:t>2</w:t>
      </w:r>
      <w:r w:rsidRPr="00D02CF6">
        <w:rPr>
          <w:rFonts w:cs="Arial"/>
        </w:rPr>
        <w:fldChar w:fldCharType="end"/>
      </w:r>
      <w:r w:rsidRPr="00D02CF6">
        <w:rPr>
          <w:rFonts w:cs="Arial"/>
        </w:rPr>
        <w:t xml:space="preserve"> and </w:t>
      </w:r>
      <w:r w:rsidRPr="00D02CF6">
        <w:rPr>
          <w:rFonts w:cs="Arial"/>
        </w:rPr>
        <w:fldChar w:fldCharType="begin"/>
      </w:r>
      <w:r w:rsidRPr="00D02CF6">
        <w:rPr>
          <w:rFonts w:cs="Arial"/>
        </w:rPr>
        <w:instrText xml:space="preserve"> REF _Ref468562528 \h  \* MERGEFORMAT </w:instrText>
      </w:r>
      <w:r w:rsidRPr="00D02CF6">
        <w:rPr>
          <w:rFonts w:cs="Arial"/>
        </w:rPr>
      </w:r>
      <w:r w:rsidRPr="00D02CF6">
        <w:rPr>
          <w:rFonts w:cs="Arial"/>
        </w:rPr>
        <w:fldChar w:fldCharType="separate"/>
      </w:r>
      <w:r w:rsidR="00BF015B" w:rsidRPr="00BF015B">
        <w:rPr>
          <w:rFonts w:cs="Arial"/>
        </w:rPr>
        <w:t xml:space="preserve">Table </w:t>
      </w:r>
      <w:r w:rsidR="00BF015B" w:rsidRPr="00BF015B">
        <w:rPr>
          <w:rFonts w:cs="Arial"/>
          <w:noProof/>
        </w:rPr>
        <w:t>5</w:t>
      </w:r>
      <w:r w:rsidR="00BF015B" w:rsidRPr="00BF015B">
        <w:rPr>
          <w:rFonts w:cs="Arial"/>
          <w:noProof/>
        </w:rPr>
        <w:noBreakHyphen/>
        <w:t>3</w:t>
      </w:r>
      <w:r w:rsidRPr="00D02CF6">
        <w:rPr>
          <w:rFonts w:cs="Arial"/>
        </w:rPr>
        <w:fldChar w:fldCharType="end"/>
      </w:r>
      <w:r w:rsidRPr="00D02CF6">
        <w:rPr>
          <w:rFonts w:cs="Arial"/>
        </w:rPr>
        <w:t xml:space="preserve">, respectively. </w:t>
      </w:r>
    </w:p>
    <w:p w14:paraId="78015469" w14:textId="77777777" w:rsidR="00C354CD" w:rsidRPr="00D02CF6" w:rsidRDefault="00C354CD" w:rsidP="00C354CD">
      <w:pPr>
        <w:pStyle w:val="Para0"/>
        <w:rPr>
          <w:rFonts w:cs="Arial"/>
          <w:color w:val="000000" w:themeColor="text1"/>
        </w:rPr>
      </w:pPr>
      <w:r w:rsidRPr="00D02CF6">
        <w:rPr>
          <w:rFonts w:cs="Arial"/>
          <w:color w:val="000000" w:themeColor="text1"/>
        </w:rPr>
        <w:t xml:space="preserve">The flow rates being targeted at the South Australian border (reach 16) are generated from a combination of tributary flows from the Goulburn and Murrumbidgee rivers, and storage releases from Hume Dam, Lake Victoria and Menindee Lakes. The river flows presented in the following tables for the upstream River Murray reaches (refer to column 5) vary from the targeted flow rate due to this combination of tributary inflows, flow attenuation, river losses, and off-stream diversions. </w:t>
      </w:r>
    </w:p>
    <w:p w14:paraId="6610285E" w14:textId="77777777" w:rsidR="00C354CD" w:rsidRPr="00D02CF6" w:rsidRDefault="00C354CD" w:rsidP="00C354CD">
      <w:pPr>
        <w:pStyle w:val="Para0"/>
        <w:rPr>
          <w:rFonts w:cs="Arial"/>
          <w:color w:val="000000" w:themeColor="text1"/>
        </w:rPr>
        <w:sectPr w:rsidR="00C354CD" w:rsidRPr="00D02CF6" w:rsidSect="00D576AA">
          <w:pgSz w:w="11906" w:h="16838"/>
          <w:pgMar w:top="567" w:right="851" w:bottom="851" w:left="1134" w:header="708" w:footer="708" w:gutter="0"/>
          <w:cols w:space="708"/>
          <w:docGrid w:linePitch="360"/>
        </w:sectPr>
      </w:pPr>
    </w:p>
    <w:p w14:paraId="14E99177" w14:textId="15F0BB63" w:rsidR="00C354CD" w:rsidRPr="001B3FEE" w:rsidRDefault="00C354CD" w:rsidP="00A40029">
      <w:pPr>
        <w:pStyle w:val="Caption"/>
      </w:pPr>
      <w:bookmarkStart w:id="259" w:name="_Ref467580128"/>
      <w:bookmarkStart w:id="260" w:name="_Toc470108603"/>
      <w:bookmarkStart w:id="261" w:name="_Toc514068790"/>
      <w:r w:rsidRPr="001B3FEE">
        <w:t xml:space="preserve">Table </w:t>
      </w:r>
      <w:r w:rsidRPr="00A40029">
        <w:fldChar w:fldCharType="begin"/>
      </w:r>
      <w:r w:rsidRPr="00D7130D">
        <w:instrText xml:space="preserve"> STYLEREF 1 \s </w:instrText>
      </w:r>
      <w:r w:rsidRPr="00A40029">
        <w:fldChar w:fldCharType="separate"/>
      </w:r>
      <w:r w:rsidR="00BF015B">
        <w:rPr>
          <w:noProof/>
        </w:rPr>
        <w:t>5</w:t>
      </w:r>
      <w:r w:rsidRPr="00A40029">
        <w:fldChar w:fldCharType="end"/>
      </w:r>
      <w:r w:rsidRPr="00D7130D">
        <w:noBreakHyphen/>
      </w:r>
      <w:r w:rsidRPr="00A40029">
        <w:fldChar w:fldCharType="begin"/>
      </w:r>
      <w:r w:rsidRPr="00D7130D">
        <w:instrText xml:space="preserve"> SEQ Table \* ARABIC \s 1 </w:instrText>
      </w:r>
      <w:r w:rsidRPr="00A40029">
        <w:fldChar w:fldCharType="separate"/>
      </w:r>
      <w:r w:rsidR="00BF015B">
        <w:rPr>
          <w:noProof/>
        </w:rPr>
        <w:t>2</w:t>
      </w:r>
      <w:r w:rsidRPr="00A40029">
        <w:fldChar w:fldCharType="end"/>
      </w:r>
      <w:bookmarkEnd w:id="259"/>
      <w:r w:rsidRPr="00D7130D">
        <w:t xml:space="preserve">: Regional analysis of Black Box inundated and flow frequency for </w:t>
      </w:r>
      <w:r w:rsidRPr="00A40029">
        <w:t>60,000 ML/day</w:t>
      </w:r>
      <w:r w:rsidRPr="001B3FEE">
        <w:t xml:space="preserve"> flow at the South Australian border based on spatial datasets and flow time series supplied by MDBA.</w:t>
      </w:r>
      <w:bookmarkEnd w:id="260"/>
      <w:bookmarkEnd w:id="261"/>
    </w:p>
    <w:tbl>
      <w:tblPr>
        <w:tblW w:w="139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35"/>
        <w:gridCol w:w="2268"/>
        <w:gridCol w:w="1559"/>
        <w:gridCol w:w="1559"/>
        <w:gridCol w:w="1702"/>
        <w:gridCol w:w="1559"/>
        <w:gridCol w:w="1559"/>
        <w:gridCol w:w="1559"/>
        <w:gridCol w:w="1559"/>
      </w:tblGrid>
      <w:tr w:rsidR="00C354CD" w:rsidRPr="00931D70" w14:paraId="36B4DEB2" w14:textId="77777777" w:rsidTr="00A22B6D">
        <w:trPr>
          <w:trHeight w:val="625"/>
          <w:jc w:val="center"/>
        </w:trPr>
        <w:tc>
          <w:tcPr>
            <w:tcW w:w="635" w:type="dxa"/>
            <w:vMerge w:val="restart"/>
            <w:shd w:val="clear" w:color="auto" w:fill="65876D"/>
            <w:noWrap/>
            <w:vAlign w:val="center"/>
            <w:hideMark/>
          </w:tcPr>
          <w:p w14:paraId="5F7E4A9C" w14:textId="77777777" w:rsidR="00C354CD" w:rsidRPr="003B5DBB" w:rsidRDefault="00C354CD" w:rsidP="00AD0E29">
            <w:pPr>
              <w:pStyle w:val="Tableheading"/>
              <w:jc w:val="center"/>
              <w:rPr>
                <w:color w:val="FFFFFF" w:themeColor="background1"/>
              </w:rPr>
            </w:pPr>
            <w:r w:rsidRPr="003B5DBB">
              <w:rPr>
                <w:color w:val="FFFFFF" w:themeColor="background1"/>
              </w:rPr>
              <w:t xml:space="preserve">Reach </w:t>
            </w:r>
            <w:r>
              <w:rPr>
                <w:color w:val="FFFFFF" w:themeColor="background1"/>
              </w:rPr>
              <w:t>#</w:t>
            </w:r>
          </w:p>
        </w:tc>
        <w:tc>
          <w:tcPr>
            <w:tcW w:w="2268" w:type="dxa"/>
            <w:vMerge w:val="restart"/>
            <w:shd w:val="clear" w:color="auto" w:fill="65876D"/>
            <w:noWrap/>
            <w:vAlign w:val="center"/>
            <w:hideMark/>
          </w:tcPr>
          <w:p w14:paraId="0B012E59" w14:textId="77777777" w:rsidR="00C354CD" w:rsidRPr="003B5DBB" w:rsidRDefault="00C354CD" w:rsidP="00AD0E29">
            <w:pPr>
              <w:pStyle w:val="Tableheading"/>
              <w:jc w:val="center"/>
              <w:rPr>
                <w:color w:val="FFFFFF" w:themeColor="background1"/>
              </w:rPr>
            </w:pPr>
            <w:r w:rsidRPr="003B5DBB">
              <w:rPr>
                <w:color w:val="FFFFFF" w:themeColor="background1"/>
              </w:rPr>
              <w:t>Reach name</w:t>
            </w:r>
          </w:p>
        </w:tc>
        <w:tc>
          <w:tcPr>
            <w:tcW w:w="1559" w:type="dxa"/>
            <w:vMerge w:val="restart"/>
            <w:shd w:val="clear" w:color="auto" w:fill="65876D"/>
            <w:vAlign w:val="center"/>
          </w:tcPr>
          <w:p w14:paraId="475BC07B" w14:textId="77777777" w:rsidR="00C354CD" w:rsidRPr="003B5DBB" w:rsidRDefault="00C354CD" w:rsidP="00AD0E29">
            <w:pPr>
              <w:pStyle w:val="Tableheading"/>
              <w:jc w:val="center"/>
              <w:rPr>
                <w:color w:val="FFFFFF" w:themeColor="background1"/>
              </w:rPr>
            </w:pPr>
            <w:r>
              <w:rPr>
                <w:color w:val="FFFFFF" w:themeColor="background1"/>
              </w:rPr>
              <w:t>Total areas of Floodplain within the reach (h</w:t>
            </w:r>
            <w:r w:rsidRPr="003B5DBB">
              <w:rPr>
                <w:color w:val="FFFFFF" w:themeColor="background1"/>
              </w:rPr>
              <w:t>a)</w:t>
            </w:r>
          </w:p>
        </w:tc>
        <w:tc>
          <w:tcPr>
            <w:tcW w:w="1559" w:type="dxa"/>
            <w:vMerge w:val="restart"/>
            <w:shd w:val="clear" w:color="auto" w:fill="65876D"/>
            <w:vAlign w:val="center"/>
          </w:tcPr>
          <w:p w14:paraId="25F418B6" w14:textId="77777777" w:rsidR="00C354CD" w:rsidRPr="003B5DBB" w:rsidRDefault="00C354CD" w:rsidP="00AD0E29">
            <w:pPr>
              <w:pStyle w:val="Tableheading"/>
              <w:jc w:val="center"/>
              <w:rPr>
                <w:color w:val="FFFFFF" w:themeColor="background1"/>
              </w:rPr>
            </w:pPr>
            <w:r>
              <w:rPr>
                <w:color w:val="FFFFFF" w:themeColor="background1"/>
              </w:rPr>
              <w:t>Total area of Black Box within the reach (h</w:t>
            </w:r>
            <w:r w:rsidRPr="003B5DBB">
              <w:rPr>
                <w:color w:val="FFFFFF" w:themeColor="background1"/>
              </w:rPr>
              <w:t>a)</w:t>
            </w:r>
          </w:p>
        </w:tc>
        <w:tc>
          <w:tcPr>
            <w:tcW w:w="1702" w:type="dxa"/>
            <w:vMerge w:val="restart"/>
            <w:shd w:val="clear" w:color="auto" w:fill="65876D"/>
            <w:vAlign w:val="center"/>
          </w:tcPr>
          <w:p w14:paraId="2064B26B" w14:textId="77777777" w:rsidR="00C354CD" w:rsidRPr="003B5DBB" w:rsidRDefault="00C354CD" w:rsidP="00AD0E29">
            <w:pPr>
              <w:pStyle w:val="Tableheading"/>
              <w:jc w:val="center"/>
              <w:rPr>
                <w:color w:val="FFFFFF" w:themeColor="background1"/>
              </w:rPr>
            </w:pPr>
            <w:r w:rsidRPr="003B5DBB">
              <w:rPr>
                <w:color w:val="FFFFFF" w:themeColor="background1"/>
              </w:rPr>
              <w:t>Flow</w:t>
            </w:r>
            <w:r>
              <w:rPr>
                <w:color w:val="FFFFFF" w:themeColor="background1"/>
              </w:rPr>
              <w:t xml:space="preserve"> </w:t>
            </w:r>
            <w:r w:rsidRPr="003B5DBB">
              <w:rPr>
                <w:color w:val="FFFFFF" w:themeColor="background1"/>
              </w:rPr>
              <w:t xml:space="preserve">rate </w:t>
            </w:r>
            <w:r>
              <w:rPr>
                <w:color w:val="FFFFFF" w:themeColor="background1"/>
              </w:rPr>
              <w:t>for the reaches along the River Murray</w:t>
            </w:r>
            <w:r w:rsidRPr="003B5DBB">
              <w:rPr>
                <w:color w:val="FFFFFF" w:themeColor="background1"/>
              </w:rPr>
              <w:t xml:space="preserve"> (</w:t>
            </w:r>
            <w:r>
              <w:rPr>
                <w:color w:val="FFFFFF" w:themeColor="background1"/>
              </w:rPr>
              <w:t>ML/day</w:t>
            </w:r>
            <w:r w:rsidRPr="003B5DBB">
              <w:rPr>
                <w:color w:val="FFFFFF" w:themeColor="background1"/>
              </w:rPr>
              <w:t>)</w:t>
            </w:r>
            <w:r>
              <w:rPr>
                <w:color w:val="FFFFFF" w:themeColor="background1"/>
              </w:rPr>
              <w:t xml:space="preserve"> </w:t>
            </w:r>
            <w:r w:rsidRPr="003B5DBB">
              <w:rPr>
                <w:color w:val="FFFFFF" w:themeColor="background1"/>
              </w:rPr>
              <w:t>(</w:t>
            </w:r>
            <w:r w:rsidRPr="00DB13BB">
              <w:rPr>
                <w:color w:val="FFFFFF" w:themeColor="background1"/>
              </w:rPr>
              <w:t>A</w:t>
            </w:r>
            <w:r w:rsidRPr="003B5DBB">
              <w:rPr>
                <w:color w:val="FFFFFF" w:themeColor="background1"/>
              </w:rPr>
              <w:t>)</w:t>
            </w:r>
          </w:p>
        </w:tc>
        <w:tc>
          <w:tcPr>
            <w:tcW w:w="1559" w:type="dxa"/>
            <w:vMerge w:val="restart"/>
            <w:shd w:val="clear" w:color="auto" w:fill="65876D"/>
            <w:vAlign w:val="center"/>
          </w:tcPr>
          <w:p w14:paraId="521D8478" w14:textId="77777777" w:rsidR="00C354CD" w:rsidRPr="003B5DBB" w:rsidRDefault="00C354CD" w:rsidP="00AD0E29">
            <w:pPr>
              <w:pStyle w:val="Tableheading"/>
              <w:jc w:val="center"/>
              <w:rPr>
                <w:color w:val="FFFFFF" w:themeColor="background1"/>
              </w:rPr>
            </w:pPr>
            <w:r w:rsidRPr="003B5DBB">
              <w:rPr>
                <w:color w:val="FFFFFF" w:themeColor="background1"/>
              </w:rPr>
              <w:t>Flow frequency under Basin plan scenario</w:t>
            </w:r>
            <w:r>
              <w:rPr>
                <w:color w:val="FFFFFF" w:themeColor="background1"/>
              </w:rPr>
              <w:t xml:space="preserve"> (years)</w:t>
            </w:r>
          </w:p>
        </w:tc>
        <w:tc>
          <w:tcPr>
            <w:tcW w:w="1559" w:type="dxa"/>
            <w:vMerge w:val="restart"/>
            <w:shd w:val="clear" w:color="auto" w:fill="65876D"/>
            <w:vAlign w:val="center"/>
          </w:tcPr>
          <w:p w14:paraId="516FC204" w14:textId="77777777" w:rsidR="00C354CD" w:rsidRPr="003B5DBB" w:rsidRDefault="00C354CD" w:rsidP="00AD0E29">
            <w:pPr>
              <w:pStyle w:val="Tableheading"/>
              <w:jc w:val="center"/>
              <w:rPr>
                <w:color w:val="FFFFFF" w:themeColor="background1"/>
              </w:rPr>
            </w:pPr>
            <w:r w:rsidRPr="003B5DBB">
              <w:rPr>
                <w:color w:val="FFFFFF" w:themeColor="background1"/>
              </w:rPr>
              <w:t>Longest period where flows did not exceed (A) (years)</w:t>
            </w:r>
          </w:p>
        </w:tc>
        <w:tc>
          <w:tcPr>
            <w:tcW w:w="1559" w:type="dxa"/>
            <w:vMerge w:val="restart"/>
            <w:shd w:val="clear" w:color="auto" w:fill="65876D"/>
            <w:vAlign w:val="center"/>
          </w:tcPr>
          <w:p w14:paraId="4772E5CD" w14:textId="77777777" w:rsidR="00C354CD" w:rsidRPr="003B5DBB" w:rsidRDefault="00C354CD" w:rsidP="00AD0E29">
            <w:pPr>
              <w:pStyle w:val="Tableheading"/>
              <w:jc w:val="center"/>
              <w:rPr>
                <w:color w:val="FFFFFF" w:themeColor="background1"/>
              </w:rPr>
            </w:pPr>
            <w:r>
              <w:rPr>
                <w:color w:val="FFFFFF" w:themeColor="background1"/>
              </w:rPr>
              <w:t xml:space="preserve">Area of floodplain </w:t>
            </w:r>
            <w:r w:rsidRPr="003B5DBB">
              <w:rPr>
                <w:color w:val="FFFFFF" w:themeColor="background1"/>
              </w:rPr>
              <w:t>inundated (</w:t>
            </w:r>
            <w:r>
              <w:rPr>
                <w:color w:val="FFFFFF" w:themeColor="background1"/>
              </w:rPr>
              <w:t>h</w:t>
            </w:r>
            <w:r w:rsidRPr="003B5DBB">
              <w:rPr>
                <w:color w:val="FFFFFF" w:themeColor="background1"/>
              </w:rPr>
              <w:t>a)</w:t>
            </w:r>
          </w:p>
        </w:tc>
        <w:tc>
          <w:tcPr>
            <w:tcW w:w="1559" w:type="dxa"/>
            <w:vMerge w:val="restart"/>
            <w:shd w:val="clear" w:color="auto" w:fill="65876D"/>
            <w:vAlign w:val="center"/>
          </w:tcPr>
          <w:p w14:paraId="1DE6B4DA" w14:textId="77777777" w:rsidR="00C354CD" w:rsidRPr="003B5DBB" w:rsidRDefault="00C354CD" w:rsidP="00AD0E29">
            <w:pPr>
              <w:pStyle w:val="Tableheading"/>
              <w:jc w:val="center"/>
              <w:rPr>
                <w:color w:val="FFFFFF" w:themeColor="background1"/>
              </w:rPr>
            </w:pPr>
            <w:r>
              <w:rPr>
                <w:color w:val="FFFFFF" w:themeColor="background1"/>
              </w:rPr>
              <w:t>Area of Black Box inundated (h</w:t>
            </w:r>
            <w:r w:rsidRPr="003B5DBB">
              <w:rPr>
                <w:color w:val="FFFFFF" w:themeColor="background1"/>
              </w:rPr>
              <w:t>a)</w:t>
            </w:r>
          </w:p>
        </w:tc>
      </w:tr>
      <w:tr w:rsidR="00C354CD" w:rsidRPr="00931D70" w14:paraId="75E50A43" w14:textId="77777777" w:rsidTr="00A22B6D">
        <w:trPr>
          <w:trHeight w:val="230"/>
          <w:jc w:val="center"/>
        </w:trPr>
        <w:tc>
          <w:tcPr>
            <w:tcW w:w="635" w:type="dxa"/>
            <w:vMerge/>
            <w:shd w:val="clear" w:color="auto" w:fill="65876D"/>
            <w:vAlign w:val="center"/>
            <w:hideMark/>
          </w:tcPr>
          <w:p w14:paraId="53D021CA" w14:textId="77777777" w:rsidR="00C354CD" w:rsidRPr="00B90323" w:rsidRDefault="00C354CD" w:rsidP="00AD0E29">
            <w:pPr>
              <w:spacing w:after="0" w:line="240" w:lineRule="auto"/>
              <w:jc w:val="center"/>
              <w:rPr>
                <w:rFonts w:ascii="Calibri" w:eastAsia="Times New Roman" w:hAnsi="Calibri" w:cs="Times New Roman"/>
                <w:color w:val="FFFFFF" w:themeColor="background1"/>
                <w:sz w:val="16"/>
                <w:szCs w:val="16"/>
                <w:lang w:eastAsia="en-AU"/>
              </w:rPr>
            </w:pPr>
          </w:p>
        </w:tc>
        <w:tc>
          <w:tcPr>
            <w:tcW w:w="2268" w:type="dxa"/>
            <w:vMerge/>
            <w:shd w:val="clear" w:color="auto" w:fill="65876D"/>
            <w:vAlign w:val="center"/>
            <w:hideMark/>
          </w:tcPr>
          <w:p w14:paraId="72AD1507" w14:textId="77777777" w:rsidR="00C354CD" w:rsidRPr="00B90323" w:rsidRDefault="00C354CD" w:rsidP="00AD0E29">
            <w:pPr>
              <w:spacing w:after="0" w:line="240" w:lineRule="auto"/>
              <w:rPr>
                <w:rFonts w:ascii="Calibri" w:eastAsia="Times New Roman" w:hAnsi="Calibri" w:cs="Times New Roman"/>
                <w:color w:val="FFFFFF" w:themeColor="background1"/>
                <w:sz w:val="16"/>
                <w:szCs w:val="16"/>
                <w:lang w:eastAsia="en-AU"/>
              </w:rPr>
            </w:pPr>
          </w:p>
        </w:tc>
        <w:tc>
          <w:tcPr>
            <w:tcW w:w="1559" w:type="dxa"/>
            <w:vMerge/>
            <w:shd w:val="clear" w:color="auto" w:fill="65876D"/>
          </w:tcPr>
          <w:p w14:paraId="750C94CB" w14:textId="77777777" w:rsidR="00C354CD" w:rsidRPr="009A2EAE" w:rsidRDefault="00C354CD" w:rsidP="00AD0E29">
            <w:pPr>
              <w:pStyle w:val="Tableheading"/>
              <w:rPr>
                <w:color w:val="FFFFFF" w:themeColor="background1"/>
              </w:rPr>
            </w:pPr>
          </w:p>
        </w:tc>
        <w:tc>
          <w:tcPr>
            <w:tcW w:w="1559" w:type="dxa"/>
            <w:vMerge/>
            <w:shd w:val="clear" w:color="auto" w:fill="65876D"/>
          </w:tcPr>
          <w:p w14:paraId="7EB51545" w14:textId="77777777" w:rsidR="00C354CD" w:rsidRPr="009A2EAE" w:rsidRDefault="00C354CD" w:rsidP="00AD0E29">
            <w:pPr>
              <w:pStyle w:val="Tableheading"/>
              <w:rPr>
                <w:color w:val="FFFFFF" w:themeColor="background1"/>
              </w:rPr>
            </w:pPr>
          </w:p>
        </w:tc>
        <w:tc>
          <w:tcPr>
            <w:tcW w:w="1702" w:type="dxa"/>
            <w:vMerge/>
            <w:shd w:val="clear" w:color="auto" w:fill="65876D"/>
          </w:tcPr>
          <w:p w14:paraId="03FDFD11" w14:textId="77777777" w:rsidR="00C354CD" w:rsidRPr="009A2EAE" w:rsidRDefault="00C354CD" w:rsidP="00AD0E29">
            <w:pPr>
              <w:pStyle w:val="Tableheading"/>
              <w:rPr>
                <w:color w:val="FFFFFF" w:themeColor="background1"/>
              </w:rPr>
            </w:pPr>
          </w:p>
        </w:tc>
        <w:tc>
          <w:tcPr>
            <w:tcW w:w="1559" w:type="dxa"/>
            <w:vMerge/>
            <w:shd w:val="clear" w:color="auto" w:fill="65876D"/>
          </w:tcPr>
          <w:p w14:paraId="41E23889" w14:textId="77777777" w:rsidR="00C354CD" w:rsidRPr="009A2EAE" w:rsidRDefault="00C354CD" w:rsidP="00AD0E29">
            <w:pPr>
              <w:pStyle w:val="Tableheading"/>
              <w:rPr>
                <w:color w:val="FFFFFF" w:themeColor="background1"/>
              </w:rPr>
            </w:pPr>
          </w:p>
        </w:tc>
        <w:tc>
          <w:tcPr>
            <w:tcW w:w="1559" w:type="dxa"/>
            <w:vMerge/>
            <w:shd w:val="clear" w:color="auto" w:fill="65876D"/>
          </w:tcPr>
          <w:p w14:paraId="1E9FC4ED" w14:textId="77777777" w:rsidR="00C354CD" w:rsidRPr="009A2EAE" w:rsidRDefault="00C354CD" w:rsidP="00AD0E29">
            <w:pPr>
              <w:pStyle w:val="Tableheading"/>
              <w:rPr>
                <w:color w:val="FFFFFF" w:themeColor="background1"/>
              </w:rPr>
            </w:pPr>
          </w:p>
        </w:tc>
        <w:tc>
          <w:tcPr>
            <w:tcW w:w="1559" w:type="dxa"/>
            <w:vMerge/>
            <w:shd w:val="clear" w:color="auto" w:fill="65876D"/>
          </w:tcPr>
          <w:p w14:paraId="725273D0" w14:textId="77777777" w:rsidR="00C354CD" w:rsidRPr="009A2EAE" w:rsidRDefault="00C354CD" w:rsidP="00AD0E29">
            <w:pPr>
              <w:pStyle w:val="Tableheading"/>
              <w:rPr>
                <w:color w:val="FFFFFF" w:themeColor="background1"/>
              </w:rPr>
            </w:pPr>
          </w:p>
        </w:tc>
        <w:tc>
          <w:tcPr>
            <w:tcW w:w="1559" w:type="dxa"/>
            <w:vMerge/>
            <w:shd w:val="clear" w:color="auto" w:fill="65876D"/>
          </w:tcPr>
          <w:p w14:paraId="6031E9D9" w14:textId="77777777" w:rsidR="00C354CD" w:rsidRPr="009A2EAE" w:rsidRDefault="00C354CD" w:rsidP="00AD0E29">
            <w:pPr>
              <w:pStyle w:val="Tableheading"/>
              <w:rPr>
                <w:color w:val="FFFFFF" w:themeColor="background1"/>
              </w:rPr>
            </w:pPr>
          </w:p>
        </w:tc>
      </w:tr>
      <w:tr w:rsidR="00C354CD" w:rsidRPr="00D50A44" w14:paraId="2CB5C178" w14:textId="77777777" w:rsidTr="00A22B6D">
        <w:trPr>
          <w:trHeight w:val="300"/>
          <w:jc w:val="center"/>
        </w:trPr>
        <w:tc>
          <w:tcPr>
            <w:tcW w:w="635" w:type="dxa"/>
            <w:shd w:val="clear" w:color="auto" w:fill="auto"/>
            <w:noWrap/>
            <w:vAlign w:val="center"/>
          </w:tcPr>
          <w:p w14:paraId="6EC7A3C6" w14:textId="77777777" w:rsidR="00C354CD" w:rsidRPr="003B5DBB" w:rsidRDefault="00C354CD" w:rsidP="00AD0E29">
            <w:pPr>
              <w:pStyle w:val="Tablesmalltext"/>
              <w:jc w:val="center"/>
            </w:pPr>
            <w:r w:rsidRPr="003B5DBB">
              <w:t>7</w:t>
            </w:r>
          </w:p>
        </w:tc>
        <w:tc>
          <w:tcPr>
            <w:tcW w:w="2268" w:type="dxa"/>
            <w:shd w:val="clear" w:color="auto" w:fill="auto"/>
            <w:vAlign w:val="center"/>
          </w:tcPr>
          <w:p w14:paraId="7BE2D172" w14:textId="77777777" w:rsidR="00C354CD" w:rsidRPr="003B5DBB" w:rsidRDefault="00C354CD" w:rsidP="00AD0E29">
            <w:pPr>
              <w:pStyle w:val="Tablesmalltext"/>
            </w:pPr>
            <w:r w:rsidRPr="003B5DBB">
              <w:t>Lock 26 (Torrumbarry to downstream of Gunbower</w:t>
            </w:r>
            <w:r>
              <w:t xml:space="preserve"> forest)</w:t>
            </w:r>
          </w:p>
        </w:tc>
        <w:tc>
          <w:tcPr>
            <w:tcW w:w="1559" w:type="dxa"/>
            <w:vAlign w:val="center"/>
          </w:tcPr>
          <w:p w14:paraId="4789FF9E" w14:textId="77777777" w:rsidR="00C354CD" w:rsidRPr="009A2EAE" w:rsidRDefault="00C354CD" w:rsidP="00AD0E29">
            <w:pPr>
              <w:pStyle w:val="Tablesmalltext"/>
              <w:jc w:val="center"/>
            </w:pPr>
            <w:r w:rsidRPr="00CE4218">
              <w:t>88,244</w:t>
            </w:r>
          </w:p>
        </w:tc>
        <w:tc>
          <w:tcPr>
            <w:tcW w:w="1559" w:type="dxa"/>
            <w:vAlign w:val="center"/>
          </w:tcPr>
          <w:p w14:paraId="14203E52" w14:textId="77777777" w:rsidR="00C354CD" w:rsidRPr="009A2EAE" w:rsidRDefault="00C354CD" w:rsidP="00AD0E29">
            <w:pPr>
              <w:pStyle w:val="Tablesmalltext"/>
              <w:jc w:val="center"/>
            </w:pPr>
            <w:r w:rsidRPr="009A2EAE">
              <w:t>17,495</w:t>
            </w:r>
          </w:p>
        </w:tc>
        <w:tc>
          <w:tcPr>
            <w:tcW w:w="1702" w:type="dxa"/>
            <w:vAlign w:val="center"/>
          </w:tcPr>
          <w:p w14:paraId="3403952C" w14:textId="77777777" w:rsidR="00C354CD" w:rsidRPr="009A2EAE" w:rsidRDefault="00C354CD" w:rsidP="00AD0E29">
            <w:pPr>
              <w:pStyle w:val="Tablesmalltext"/>
              <w:jc w:val="center"/>
            </w:pPr>
            <w:r w:rsidRPr="009A2EAE">
              <w:t>20,000</w:t>
            </w:r>
          </w:p>
        </w:tc>
        <w:tc>
          <w:tcPr>
            <w:tcW w:w="1559" w:type="dxa"/>
            <w:vAlign w:val="center"/>
          </w:tcPr>
          <w:p w14:paraId="087E9A78" w14:textId="77777777" w:rsidR="00C354CD" w:rsidRPr="009A2EAE" w:rsidRDefault="00C354CD" w:rsidP="00AD0E29">
            <w:pPr>
              <w:pStyle w:val="Tablesmalltext"/>
              <w:jc w:val="center"/>
            </w:pPr>
            <w:r w:rsidRPr="009A2EAE">
              <w:t>1 in 1.2</w:t>
            </w:r>
          </w:p>
        </w:tc>
        <w:tc>
          <w:tcPr>
            <w:tcW w:w="1559" w:type="dxa"/>
            <w:vAlign w:val="center"/>
          </w:tcPr>
          <w:p w14:paraId="7BF8AD21" w14:textId="77777777" w:rsidR="00C354CD" w:rsidRPr="009A2EAE" w:rsidRDefault="00C354CD" w:rsidP="00AD0E29">
            <w:pPr>
              <w:pStyle w:val="Tablesmalltext"/>
              <w:jc w:val="center"/>
            </w:pPr>
            <w:r w:rsidRPr="009A2EAE">
              <w:t>3</w:t>
            </w:r>
          </w:p>
        </w:tc>
        <w:tc>
          <w:tcPr>
            <w:tcW w:w="1559" w:type="dxa"/>
            <w:vAlign w:val="center"/>
          </w:tcPr>
          <w:p w14:paraId="0E16CC65" w14:textId="77777777" w:rsidR="00C354CD" w:rsidRPr="009A2EAE" w:rsidRDefault="00C354CD" w:rsidP="00AD0E29">
            <w:pPr>
              <w:pStyle w:val="Tablesmalltext"/>
              <w:jc w:val="center"/>
            </w:pPr>
            <w:r w:rsidRPr="009A2EAE">
              <w:t>10,048</w:t>
            </w:r>
          </w:p>
        </w:tc>
        <w:tc>
          <w:tcPr>
            <w:tcW w:w="1559" w:type="dxa"/>
            <w:vAlign w:val="center"/>
          </w:tcPr>
          <w:p w14:paraId="1BABE67B" w14:textId="77777777" w:rsidR="00C354CD" w:rsidRPr="009A2EAE" w:rsidRDefault="00C354CD" w:rsidP="00AD0E29">
            <w:pPr>
              <w:pStyle w:val="Tablesmalltext"/>
              <w:jc w:val="center"/>
            </w:pPr>
            <w:r w:rsidRPr="009A2EAE">
              <w:t>1,656</w:t>
            </w:r>
          </w:p>
        </w:tc>
      </w:tr>
      <w:tr w:rsidR="00C354CD" w:rsidRPr="00266A0F" w14:paraId="701286CF" w14:textId="77777777" w:rsidTr="00A22B6D">
        <w:trPr>
          <w:trHeight w:val="300"/>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CBE8B1" w14:textId="77777777" w:rsidR="00C354CD" w:rsidRPr="003B5DBB" w:rsidRDefault="00C354CD" w:rsidP="00AD0E29">
            <w:pPr>
              <w:pStyle w:val="Tablesmalltext"/>
              <w:jc w:val="center"/>
            </w:pPr>
            <w:r w:rsidRPr="003B5DBB">
              <w:t>8</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50AAAECF" w14:textId="77777777" w:rsidR="00C354CD" w:rsidRPr="003B5DBB" w:rsidRDefault="00C354CD" w:rsidP="00AD0E29">
            <w:pPr>
              <w:pStyle w:val="Tablesmalltext"/>
            </w:pPr>
            <w:r w:rsidRPr="003B5DBB">
              <w:t xml:space="preserve">Downstream of Gunbower </w:t>
            </w:r>
            <w:r>
              <w:t xml:space="preserve">forest </w:t>
            </w:r>
            <w:r w:rsidRPr="003B5DBB">
              <w:t xml:space="preserve">to Swan Hill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F01133E" w14:textId="77777777" w:rsidR="00C354CD" w:rsidRPr="009A2EAE" w:rsidRDefault="00C354CD" w:rsidP="00AD0E29">
            <w:pPr>
              <w:pStyle w:val="Tablesmalltext"/>
              <w:jc w:val="center"/>
            </w:pPr>
            <w:r w:rsidRPr="00CE4218">
              <w:t>40,254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74BF569" w14:textId="77777777" w:rsidR="00C354CD" w:rsidRPr="009A2EAE" w:rsidRDefault="00C354CD" w:rsidP="00AD0E29">
            <w:pPr>
              <w:pStyle w:val="Tablesmalltext"/>
              <w:jc w:val="center"/>
            </w:pPr>
            <w:r w:rsidRPr="009A2EAE">
              <w:t>4,462</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2812865A" w14:textId="77777777" w:rsidR="00C354CD" w:rsidRPr="009A2EAE" w:rsidRDefault="00C354CD" w:rsidP="00AD0E29">
            <w:pPr>
              <w:pStyle w:val="Tablesmalltext"/>
              <w:jc w:val="center"/>
            </w:pPr>
            <w:r w:rsidRPr="009A2EAE">
              <w:t>48,000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9B8EFED" w14:textId="77777777" w:rsidR="00C354CD" w:rsidRPr="009A2EAE" w:rsidRDefault="00C354CD" w:rsidP="00AD0E29">
            <w:pPr>
              <w:pStyle w:val="Tablesmalltext"/>
              <w:jc w:val="center"/>
            </w:pPr>
            <w:r w:rsidRPr="009A2EAE">
              <w:t>1 in 2.4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6D95101" w14:textId="77777777" w:rsidR="00C354CD" w:rsidRPr="009A2EAE" w:rsidRDefault="00C354CD" w:rsidP="00AD0E29">
            <w:pPr>
              <w:pStyle w:val="Tablesmalltext"/>
              <w:jc w:val="center"/>
            </w:pPr>
            <w:r w:rsidRPr="009A2EAE">
              <w:t>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A058183" w14:textId="77777777" w:rsidR="00C354CD" w:rsidRPr="009A2EAE" w:rsidRDefault="00C354CD" w:rsidP="00AD0E29">
            <w:pPr>
              <w:pStyle w:val="Tablesmalltext"/>
              <w:jc w:val="center"/>
            </w:pPr>
            <w:r w:rsidRPr="009A2EAE">
              <w:t>8,934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04632AB" w14:textId="77777777" w:rsidR="00C354CD" w:rsidRPr="009A2EAE" w:rsidRDefault="00C354CD" w:rsidP="00AD0E29">
            <w:pPr>
              <w:pStyle w:val="Tablesmalltext"/>
              <w:jc w:val="center"/>
            </w:pPr>
            <w:r w:rsidRPr="009A2EAE">
              <w:t>1,062</w:t>
            </w:r>
          </w:p>
        </w:tc>
      </w:tr>
      <w:tr w:rsidR="00C354CD" w:rsidRPr="00266A0F" w14:paraId="4151B325" w14:textId="77777777" w:rsidTr="00A22B6D">
        <w:trPr>
          <w:trHeight w:val="300"/>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CAB85A" w14:textId="77777777" w:rsidR="00C354CD" w:rsidRPr="003B5DBB" w:rsidRDefault="00C354CD" w:rsidP="00AD0E29">
            <w:pPr>
              <w:pStyle w:val="Tablesmalltext"/>
              <w:jc w:val="center"/>
            </w:pPr>
            <w:r w:rsidRPr="003B5DBB">
              <w:t>9</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90EFFA2" w14:textId="77777777" w:rsidR="00C354CD" w:rsidRPr="003B5DBB" w:rsidRDefault="00C354CD" w:rsidP="00AD0E29">
            <w:pPr>
              <w:pStyle w:val="Tablesmalltext"/>
            </w:pPr>
            <w:r>
              <w:t>Swan Hill to Murray/Wakool j</w:t>
            </w:r>
            <w:r w:rsidRPr="003B5DBB">
              <w:t>unction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F71A066" w14:textId="77777777" w:rsidR="00C354CD" w:rsidRPr="009A2EAE" w:rsidRDefault="00C354CD" w:rsidP="00AD0E29">
            <w:pPr>
              <w:pStyle w:val="Tablesmalltext"/>
              <w:jc w:val="center"/>
            </w:pPr>
            <w:r w:rsidRPr="00CE4218">
              <w:t>25,139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5234BE4" w14:textId="77777777" w:rsidR="00C354CD" w:rsidRPr="009A2EAE" w:rsidRDefault="00C354CD" w:rsidP="00AD0E29">
            <w:pPr>
              <w:pStyle w:val="Tablesmalltext"/>
              <w:jc w:val="center"/>
            </w:pPr>
            <w:r w:rsidRPr="009A2EAE">
              <w:t>3,815</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36230D58" w14:textId="77777777" w:rsidR="00C354CD" w:rsidRPr="00CE4218" w:rsidRDefault="00C354CD" w:rsidP="00AD0E29">
            <w:pPr>
              <w:pStyle w:val="Tablesmalltext"/>
              <w:jc w:val="center"/>
            </w:pPr>
            <w:r w:rsidRPr="009A2EAE">
              <w:t>22,000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9C3C68D" w14:textId="77777777" w:rsidR="00C354CD" w:rsidRPr="009A2EAE" w:rsidRDefault="00C354CD" w:rsidP="00AD0E29">
            <w:pPr>
              <w:pStyle w:val="Tablesmalltext"/>
              <w:jc w:val="center"/>
            </w:pPr>
            <w:r w:rsidRPr="009A2EAE">
              <w:t>1 in 2.0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6A50A67" w14:textId="77777777" w:rsidR="00C354CD" w:rsidRPr="009A2EAE" w:rsidRDefault="00C354CD" w:rsidP="00AD0E29">
            <w:pPr>
              <w:pStyle w:val="Tablesmalltext"/>
              <w:jc w:val="center"/>
            </w:pPr>
            <w:r w:rsidRPr="009A2EAE">
              <w:t>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48D02EF" w14:textId="77777777" w:rsidR="00C354CD" w:rsidRPr="009A2EAE" w:rsidRDefault="00C354CD" w:rsidP="00AD0E29">
            <w:pPr>
              <w:pStyle w:val="Tablesmalltext"/>
              <w:jc w:val="center"/>
            </w:pPr>
            <w:r w:rsidRPr="009A2EAE">
              <w:t>2,721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0B66BC9" w14:textId="77777777" w:rsidR="00C354CD" w:rsidRPr="009A2EAE" w:rsidRDefault="00C354CD" w:rsidP="00AD0E29">
            <w:pPr>
              <w:pStyle w:val="Tablesmalltext"/>
              <w:jc w:val="center"/>
            </w:pPr>
            <w:r w:rsidRPr="009A2EAE">
              <w:t>211</w:t>
            </w:r>
          </w:p>
        </w:tc>
      </w:tr>
      <w:tr w:rsidR="00C354CD" w:rsidRPr="00266A0F" w14:paraId="0794E7B1" w14:textId="77777777" w:rsidTr="00A22B6D">
        <w:trPr>
          <w:trHeight w:val="300"/>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5263F6" w14:textId="77777777" w:rsidR="00C354CD" w:rsidRPr="003B5DBB" w:rsidRDefault="00C354CD" w:rsidP="00AD0E29">
            <w:pPr>
              <w:pStyle w:val="Tablesmalltext"/>
              <w:jc w:val="center"/>
            </w:pPr>
            <w:r w:rsidRPr="003B5DBB">
              <w:t>10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51D1C62F" w14:textId="77777777" w:rsidR="00C354CD" w:rsidRPr="003B5DBB" w:rsidRDefault="00C354CD" w:rsidP="00AD0E29">
            <w:pPr>
              <w:pStyle w:val="Tablesmalltext"/>
            </w:pPr>
            <w:r w:rsidRPr="003B5DBB">
              <w:t>Murray/Wakool junction to Murray/Murrumbidgee junction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7ACCF9D" w14:textId="77777777" w:rsidR="00C354CD" w:rsidRPr="009A2EAE" w:rsidRDefault="00C354CD" w:rsidP="00AD0E29">
            <w:pPr>
              <w:pStyle w:val="Tablesmalltext"/>
              <w:jc w:val="center"/>
            </w:pPr>
            <w:r w:rsidRPr="00CE4218">
              <w:t>13,287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BA5B25F" w14:textId="77777777" w:rsidR="00C354CD" w:rsidRPr="009A2EAE" w:rsidRDefault="00C354CD" w:rsidP="00AD0E29">
            <w:pPr>
              <w:pStyle w:val="Tablesmalltext"/>
              <w:jc w:val="center"/>
            </w:pPr>
            <w:r w:rsidRPr="009A2EAE">
              <w:t>7,126</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5EB8B58F" w14:textId="77777777" w:rsidR="00C354CD" w:rsidRPr="009A2EAE" w:rsidRDefault="00C354CD" w:rsidP="00AD0E29">
            <w:pPr>
              <w:pStyle w:val="Tablesmalltext"/>
              <w:jc w:val="center"/>
            </w:pPr>
            <w:r w:rsidRPr="009A2EAE">
              <w:t>47,000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F1A20FD" w14:textId="77777777" w:rsidR="00C354CD" w:rsidRPr="009A2EAE" w:rsidRDefault="00C354CD" w:rsidP="00AD0E29">
            <w:pPr>
              <w:pStyle w:val="Tablesmalltext"/>
              <w:jc w:val="center"/>
            </w:pPr>
            <w:r w:rsidRPr="009A2EAE">
              <w:t>1 in 2.7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8707548" w14:textId="77777777" w:rsidR="00C354CD" w:rsidRPr="009A2EAE" w:rsidRDefault="00C354CD" w:rsidP="00AD0E29">
            <w:pPr>
              <w:pStyle w:val="Tablesmalltext"/>
              <w:jc w:val="center"/>
            </w:pPr>
            <w:r w:rsidRPr="009A2EAE">
              <w:t>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D50303B" w14:textId="77777777" w:rsidR="00C354CD" w:rsidRPr="009A2EAE" w:rsidRDefault="00C354CD" w:rsidP="00AD0E29">
            <w:pPr>
              <w:pStyle w:val="Tablesmalltext"/>
              <w:jc w:val="center"/>
            </w:pPr>
            <w:r w:rsidRPr="009A2EAE">
              <w:t>2,510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85748E9" w14:textId="77777777" w:rsidR="00C354CD" w:rsidRPr="009A2EAE" w:rsidRDefault="00C354CD" w:rsidP="00AD0E29">
            <w:pPr>
              <w:pStyle w:val="Tablesmalltext"/>
              <w:jc w:val="center"/>
            </w:pPr>
            <w:r w:rsidRPr="009A2EAE">
              <w:t>948</w:t>
            </w:r>
          </w:p>
        </w:tc>
      </w:tr>
      <w:tr w:rsidR="00C354CD" w:rsidRPr="00266A0F" w14:paraId="59A7593F" w14:textId="77777777" w:rsidTr="00A22B6D">
        <w:trPr>
          <w:trHeight w:val="300"/>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892AFE" w14:textId="77777777" w:rsidR="00C354CD" w:rsidRPr="003B5DBB" w:rsidRDefault="00C354CD" w:rsidP="00AD0E29">
            <w:pPr>
              <w:pStyle w:val="Tablesmalltext"/>
              <w:jc w:val="center"/>
            </w:pPr>
            <w:r w:rsidRPr="003B5DBB">
              <w:t>11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07434D3C" w14:textId="77777777" w:rsidR="00C354CD" w:rsidRPr="003B5DBB" w:rsidRDefault="00C354CD" w:rsidP="00AD0E29">
            <w:pPr>
              <w:pStyle w:val="Tablesmalltext"/>
            </w:pPr>
            <w:r w:rsidRPr="003B5DBB">
              <w:t xml:space="preserve">Murrumbidgee/Murray junction to Lock 15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BF6AD1F" w14:textId="77777777" w:rsidR="00C354CD" w:rsidRPr="009A2EAE" w:rsidRDefault="00C354CD" w:rsidP="00AD0E29">
            <w:pPr>
              <w:pStyle w:val="Tablesmalltext"/>
              <w:jc w:val="center"/>
            </w:pPr>
            <w:r w:rsidRPr="00CE4218">
              <w:t>47,532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15C4C31" w14:textId="77777777" w:rsidR="00C354CD" w:rsidRPr="009A2EAE" w:rsidRDefault="00C354CD" w:rsidP="00AD0E29">
            <w:pPr>
              <w:pStyle w:val="Tablesmalltext"/>
              <w:jc w:val="center"/>
            </w:pPr>
            <w:r w:rsidRPr="009A2EAE">
              <w:t>23,864</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4CE3A3AE" w14:textId="77777777" w:rsidR="00C354CD" w:rsidRPr="009A2EAE" w:rsidRDefault="00C354CD" w:rsidP="00AD0E29">
            <w:pPr>
              <w:pStyle w:val="Tablesmalltext"/>
              <w:jc w:val="center"/>
            </w:pPr>
            <w:r w:rsidRPr="009A2EAE">
              <w:t>63,000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40B26AC" w14:textId="77777777" w:rsidR="00C354CD" w:rsidRPr="009A2EAE" w:rsidRDefault="00C354CD" w:rsidP="00AD0E29">
            <w:pPr>
              <w:pStyle w:val="Tablesmalltext"/>
              <w:jc w:val="center"/>
            </w:pPr>
            <w:r w:rsidRPr="009A2EAE">
              <w:t>1 in 3.0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AD77F55" w14:textId="77777777" w:rsidR="00C354CD" w:rsidRPr="009A2EAE" w:rsidRDefault="00C354CD" w:rsidP="00AD0E29">
            <w:pPr>
              <w:pStyle w:val="Tablesmalltext"/>
              <w:jc w:val="center"/>
            </w:pPr>
            <w:r w:rsidRPr="009A2EAE">
              <w:t>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83CBA78" w14:textId="77777777" w:rsidR="00C354CD" w:rsidRPr="009A2EAE" w:rsidRDefault="00C354CD" w:rsidP="00AD0E29">
            <w:pPr>
              <w:pStyle w:val="Tablesmalltext"/>
              <w:jc w:val="center"/>
            </w:pPr>
            <w:r w:rsidRPr="009A2EAE">
              <w:t>4,435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CCA5839" w14:textId="77777777" w:rsidR="00C354CD" w:rsidRPr="009A2EAE" w:rsidRDefault="00C354CD" w:rsidP="00AD0E29">
            <w:pPr>
              <w:pStyle w:val="Tablesmalltext"/>
              <w:jc w:val="center"/>
            </w:pPr>
            <w:r w:rsidRPr="009A2EAE">
              <w:t>1,127</w:t>
            </w:r>
          </w:p>
        </w:tc>
      </w:tr>
      <w:tr w:rsidR="00C354CD" w:rsidRPr="00266A0F" w14:paraId="56AF86BA" w14:textId="77777777" w:rsidTr="00A22B6D">
        <w:trPr>
          <w:trHeight w:val="39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17BE3A" w14:textId="77777777" w:rsidR="00C354CD" w:rsidRPr="003B5DBB" w:rsidRDefault="00C354CD" w:rsidP="00AD0E29">
            <w:pPr>
              <w:pStyle w:val="Tablesmalltext"/>
              <w:jc w:val="center"/>
            </w:pPr>
            <w:r w:rsidRPr="003B5DBB">
              <w:t>12</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1DE95F9C" w14:textId="77777777" w:rsidR="00C354CD" w:rsidRPr="003B5DBB" w:rsidRDefault="00C354CD" w:rsidP="00AD0E29">
            <w:pPr>
              <w:pStyle w:val="Tablesmalltext"/>
            </w:pPr>
            <w:r w:rsidRPr="003B5DBB">
              <w:t>Lock 15 to Lock 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D05A16A" w14:textId="77777777" w:rsidR="00C354CD" w:rsidRPr="009A2EAE" w:rsidRDefault="00C354CD" w:rsidP="00AD0E29">
            <w:pPr>
              <w:pStyle w:val="Tablesmalltext"/>
              <w:jc w:val="center"/>
            </w:pPr>
            <w:r w:rsidRPr="00CE4218">
              <w:t>92,590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C0E2CC1" w14:textId="77777777" w:rsidR="00C354CD" w:rsidRPr="009A2EAE" w:rsidRDefault="00C354CD" w:rsidP="00AD0E29">
            <w:pPr>
              <w:pStyle w:val="Tablesmalltext"/>
              <w:jc w:val="center"/>
            </w:pPr>
            <w:r w:rsidRPr="009A2EAE">
              <w:t>47,154</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46D7F2BB" w14:textId="77777777" w:rsidR="00C354CD" w:rsidRPr="009A2EAE" w:rsidRDefault="00C354CD" w:rsidP="00AD0E29">
            <w:pPr>
              <w:pStyle w:val="Tablesmalltext"/>
              <w:jc w:val="center"/>
            </w:pPr>
            <w:r w:rsidRPr="009A2EAE">
              <w:t>63,000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587CB45" w14:textId="77777777" w:rsidR="00C354CD" w:rsidRPr="009A2EAE" w:rsidRDefault="00C354CD" w:rsidP="00AD0E29">
            <w:pPr>
              <w:pStyle w:val="Tablesmalltext"/>
              <w:jc w:val="center"/>
            </w:pPr>
            <w:r w:rsidRPr="009A2EAE">
              <w:t>1 in 3.2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58E0004" w14:textId="77777777" w:rsidR="00C354CD" w:rsidRPr="009A2EAE" w:rsidRDefault="00C354CD" w:rsidP="00AD0E29">
            <w:pPr>
              <w:pStyle w:val="Tablesmalltext"/>
              <w:jc w:val="center"/>
            </w:pPr>
            <w:r w:rsidRPr="009A2EAE">
              <w:t>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3A36D26" w14:textId="77777777" w:rsidR="00C354CD" w:rsidRPr="009A2EAE" w:rsidRDefault="00C354CD" w:rsidP="00AD0E29">
            <w:pPr>
              <w:pStyle w:val="Tablesmalltext"/>
              <w:jc w:val="center"/>
            </w:pPr>
            <w:r w:rsidRPr="009A2EAE">
              <w:t>11,314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F9F2086" w14:textId="77777777" w:rsidR="00C354CD" w:rsidRPr="009A2EAE" w:rsidRDefault="00C354CD" w:rsidP="00AD0E29">
            <w:pPr>
              <w:pStyle w:val="Tablesmalltext"/>
              <w:jc w:val="center"/>
            </w:pPr>
            <w:r w:rsidRPr="009A2EAE">
              <w:t>3,345</w:t>
            </w:r>
          </w:p>
        </w:tc>
      </w:tr>
      <w:tr w:rsidR="00C354CD" w:rsidRPr="00266A0F" w14:paraId="5408D5BF" w14:textId="77777777" w:rsidTr="00A22B6D">
        <w:trPr>
          <w:trHeight w:val="39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D06371" w14:textId="77777777" w:rsidR="00C354CD" w:rsidRPr="003B5DBB" w:rsidRDefault="00C354CD" w:rsidP="00AD0E29">
            <w:pPr>
              <w:pStyle w:val="Tablesmalltext"/>
              <w:jc w:val="center"/>
            </w:pPr>
            <w:r w:rsidRPr="003B5DBB">
              <w:t>13</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3839FAC" w14:textId="77777777" w:rsidR="00C354CD" w:rsidRPr="003B5DBB" w:rsidRDefault="00C354CD" w:rsidP="00AD0E29">
            <w:pPr>
              <w:pStyle w:val="Tablesmalltext"/>
            </w:pPr>
            <w:r w:rsidRPr="003B5DBB">
              <w:t xml:space="preserve">Lock 10 to Lock 9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B91571D" w14:textId="77777777" w:rsidR="00C354CD" w:rsidRPr="009A2EAE" w:rsidRDefault="00C354CD" w:rsidP="00AD0E29">
            <w:pPr>
              <w:pStyle w:val="Tablesmalltext"/>
              <w:jc w:val="center"/>
            </w:pPr>
            <w:r w:rsidRPr="00CE4218">
              <w:t>38,199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1C7ADE7" w14:textId="77777777" w:rsidR="00C354CD" w:rsidRPr="009A2EAE" w:rsidRDefault="00C354CD" w:rsidP="00AD0E29">
            <w:pPr>
              <w:pStyle w:val="Tablesmalltext"/>
              <w:jc w:val="center"/>
            </w:pPr>
            <w:r w:rsidRPr="009A2EAE">
              <w:t>22,080</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446763DD" w14:textId="77777777" w:rsidR="00C354CD" w:rsidRPr="009A2EAE" w:rsidRDefault="00C354CD" w:rsidP="00AD0E29">
            <w:pPr>
              <w:pStyle w:val="Tablesmalltext"/>
              <w:jc w:val="center"/>
            </w:pPr>
            <w:r w:rsidRPr="009A2EAE">
              <w:t>68,000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D6EF32B" w14:textId="77777777" w:rsidR="00C354CD" w:rsidRPr="009A2EAE" w:rsidRDefault="00C354CD" w:rsidP="00AD0E29">
            <w:pPr>
              <w:pStyle w:val="Tablesmalltext"/>
              <w:jc w:val="center"/>
            </w:pPr>
            <w:r w:rsidRPr="009A2EAE">
              <w:t>1 in 3.3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473A950" w14:textId="77777777" w:rsidR="00C354CD" w:rsidRPr="009A2EAE" w:rsidRDefault="00C354CD" w:rsidP="00AD0E29">
            <w:pPr>
              <w:pStyle w:val="Tablesmalltext"/>
              <w:jc w:val="center"/>
            </w:pPr>
            <w:r w:rsidRPr="009A2EAE">
              <w:t>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4334318" w14:textId="77777777" w:rsidR="00C354CD" w:rsidRPr="009A2EAE" w:rsidRDefault="00C354CD" w:rsidP="00AD0E29">
            <w:pPr>
              <w:pStyle w:val="Tablesmalltext"/>
              <w:jc w:val="center"/>
            </w:pPr>
            <w:r w:rsidRPr="009A2EAE">
              <w:t>4,067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DA1D22D" w14:textId="77777777" w:rsidR="00C354CD" w:rsidRPr="009A2EAE" w:rsidRDefault="00C354CD" w:rsidP="00AD0E29">
            <w:pPr>
              <w:pStyle w:val="Tablesmalltext"/>
              <w:jc w:val="center"/>
            </w:pPr>
            <w:r w:rsidRPr="009A2EAE">
              <w:t>1,332</w:t>
            </w:r>
          </w:p>
        </w:tc>
      </w:tr>
      <w:tr w:rsidR="00C354CD" w:rsidRPr="00266A0F" w14:paraId="500C1C3D" w14:textId="77777777" w:rsidTr="00A22B6D">
        <w:trPr>
          <w:trHeight w:val="39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FCF293" w14:textId="77777777" w:rsidR="00C354CD" w:rsidRPr="003B5DBB" w:rsidRDefault="00C354CD" w:rsidP="00AD0E29">
            <w:pPr>
              <w:pStyle w:val="Tablesmalltext"/>
              <w:jc w:val="center"/>
            </w:pPr>
            <w:r w:rsidRPr="003B5DBB">
              <w:t>14</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0FF2EAB7" w14:textId="77777777" w:rsidR="00C354CD" w:rsidRPr="003B5DBB" w:rsidRDefault="00C354CD" w:rsidP="00AD0E29">
            <w:pPr>
              <w:pStyle w:val="Tablesmalltext"/>
            </w:pPr>
            <w:r w:rsidRPr="003B5DBB">
              <w:t xml:space="preserve">Lock 9 to Lock 8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52324F3" w14:textId="77777777" w:rsidR="00C354CD" w:rsidRPr="009A2EAE" w:rsidRDefault="00C354CD" w:rsidP="00AD0E29">
            <w:pPr>
              <w:pStyle w:val="Tablesmalltext"/>
              <w:jc w:val="center"/>
            </w:pPr>
            <w:r w:rsidRPr="00CE4218">
              <w:t>21,422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04D8080" w14:textId="77777777" w:rsidR="00C354CD" w:rsidRPr="009A2EAE" w:rsidRDefault="00C354CD" w:rsidP="00AD0E29">
            <w:pPr>
              <w:pStyle w:val="Tablesmalltext"/>
              <w:jc w:val="center"/>
            </w:pPr>
            <w:r w:rsidRPr="009A2EAE">
              <w:t>12,270</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1847A304" w14:textId="77777777" w:rsidR="00C354CD" w:rsidRPr="009A2EAE" w:rsidRDefault="00C354CD" w:rsidP="00AD0E29">
            <w:pPr>
              <w:pStyle w:val="Tablesmalltext"/>
              <w:jc w:val="center"/>
            </w:pPr>
            <w:r w:rsidRPr="009A2EAE">
              <w:t>60,000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F45953E" w14:textId="77777777" w:rsidR="00C354CD" w:rsidRPr="009A2EAE" w:rsidRDefault="00C354CD" w:rsidP="00AD0E29">
            <w:pPr>
              <w:pStyle w:val="Tablesmalltext"/>
              <w:jc w:val="center"/>
            </w:pPr>
            <w:r w:rsidRPr="009A2EAE">
              <w:t>1 in 3.0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B7B1541" w14:textId="77777777" w:rsidR="00C354CD" w:rsidRPr="009A2EAE" w:rsidRDefault="00C354CD" w:rsidP="00AD0E29">
            <w:pPr>
              <w:pStyle w:val="Tablesmalltext"/>
              <w:jc w:val="center"/>
            </w:pPr>
            <w:r w:rsidRPr="009A2EAE">
              <w:t>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BEB657C" w14:textId="77777777" w:rsidR="00C354CD" w:rsidRPr="009A2EAE" w:rsidRDefault="00C354CD" w:rsidP="00AD0E29">
            <w:pPr>
              <w:pStyle w:val="Tablesmalltext"/>
              <w:jc w:val="center"/>
            </w:pPr>
            <w:r w:rsidRPr="009A2EAE">
              <w:t>2,636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0A11E16" w14:textId="77777777" w:rsidR="00C354CD" w:rsidRPr="009A2EAE" w:rsidRDefault="00C354CD" w:rsidP="00AD0E29">
            <w:pPr>
              <w:pStyle w:val="Tablesmalltext"/>
              <w:jc w:val="center"/>
            </w:pPr>
            <w:r w:rsidRPr="009A2EAE">
              <w:t>648</w:t>
            </w:r>
          </w:p>
        </w:tc>
      </w:tr>
      <w:tr w:rsidR="00C354CD" w:rsidRPr="00266A0F" w14:paraId="617AE26F" w14:textId="77777777" w:rsidTr="00A22B6D">
        <w:trPr>
          <w:trHeight w:val="39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A43FBA" w14:textId="77777777" w:rsidR="00C354CD" w:rsidRPr="003B5DBB" w:rsidRDefault="00C354CD" w:rsidP="00AD0E29">
            <w:pPr>
              <w:pStyle w:val="Tablesmalltext"/>
              <w:jc w:val="center"/>
            </w:pPr>
            <w:r w:rsidRPr="003B5DBB">
              <w:t>15</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72DAE2A" w14:textId="77777777" w:rsidR="00C354CD" w:rsidRPr="003B5DBB" w:rsidRDefault="00C354CD" w:rsidP="00AD0E29">
            <w:pPr>
              <w:pStyle w:val="Tablesmalltext"/>
            </w:pPr>
            <w:r w:rsidRPr="003B5DBB">
              <w:t xml:space="preserve">Lock 8 to Lock 7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E7F7B2A" w14:textId="77777777" w:rsidR="00C354CD" w:rsidRPr="009A2EAE" w:rsidRDefault="00C354CD" w:rsidP="00AD0E29">
            <w:pPr>
              <w:pStyle w:val="Tablesmalltext"/>
              <w:jc w:val="center"/>
            </w:pPr>
            <w:r w:rsidRPr="00CE4218">
              <w:t>30,732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BA4E867" w14:textId="77777777" w:rsidR="00C354CD" w:rsidRPr="009A2EAE" w:rsidRDefault="00C354CD" w:rsidP="00AD0E29">
            <w:pPr>
              <w:pStyle w:val="Tablesmalltext"/>
              <w:jc w:val="center"/>
            </w:pPr>
            <w:r w:rsidRPr="009A2EAE">
              <w:t>9,410</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607491B4" w14:textId="77777777" w:rsidR="00C354CD" w:rsidRPr="009A2EAE" w:rsidRDefault="00C354CD" w:rsidP="00AD0E29">
            <w:pPr>
              <w:pStyle w:val="Tablesmalltext"/>
              <w:jc w:val="center"/>
            </w:pPr>
            <w:r w:rsidRPr="009A2EAE">
              <w:t>60,000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306A1DF" w14:textId="77777777" w:rsidR="00C354CD" w:rsidRPr="009A2EAE" w:rsidRDefault="00C354CD" w:rsidP="00AD0E29">
            <w:pPr>
              <w:pStyle w:val="Tablesmalltext"/>
              <w:jc w:val="center"/>
            </w:pPr>
            <w:r w:rsidRPr="009A2EAE">
              <w:t>1 in 3.0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07CCF09" w14:textId="77777777" w:rsidR="00C354CD" w:rsidRPr="009A2EAE" w:rsidRDefault="00C354CD" w:rsidP="00AD0E29">
            <w:pPr>
              <w:pStyle w:val="Tablesmalltext"/>
              <w:jc w:val="center"/>
            </w:pPr>
            <w:r w:rsidRPr="009A2EAE">
              <w:t>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F1F832F" w14:textId="77777777" w:rsidR="00C354CD" w:rsidRPr="009A2EAE" w:rsidRDefault="00C354CD" w:rsidP="00AD0E29">
            <w:pPr>
              <w:pStyle w:val="Tablesmalltext"/>
              <w:jc w:val="center"/>
            </w:pPr>
            <w:r w:rsidRPr="009A2EAE">
              <w:t>12,791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6F85FAA" w14:textId="77777777" w:rsidR="00C354CD" w:rsidRPr="009A2EAE" w:rsidRDefault="00C354CD" w:rsidP="00AD0E29">
            <w:pPr>
              <w:pStyle w:val="Tablesmalltext"/>
              <w:jc w:val="center"/>
            </w:pPr>
            <w:r w:rsidRPr="009A2EAE">
              <w:t>626</w:t>
            </w:r>
          </w:p>
        </w:tc>
      </w:tr>
      <w:tr w:rsidR="00C354CD" w:rsidRPr="00266A0F" w14:paraId="6D41798F" w14:textId="77777777" w:rsidTr="00A22B6D">
        <w:trPr>
          <w:trHeight w:val="39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4DA8D2" w14:textId="77777777" w:rsidR="00C354CD" w:rsidRPr="003B5DBB" w:rsidRDefault="00C354CD" w:rsidP="00AD0E29">
            <w:pPr>
              <w:pStyle w:val="Tablesmalltext"/>
              <w:jc w:val="center"/>
            </w:pPr>
            <w:r w:rsidRPr="003B5DBB">
              <w:t>16</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38525ABA" w14:textId="77777777" w:rsidR="00C354CD" w:rsidRPr="003B5DBB" w:rsidRDefault="00C354CD" w:rsidP="00AD0E29">
            <w:pPr>
              <w:pStyle w:val="Tablesmalltext"/>
            </w:pPr>
            <w:r w:rsidRPr="003B5DBB">
              <w:t>Lock 7 to Lock 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A6F74A0" w14:textId="77777777" w:rsidR="00C354CD" w:rsidRPr="009A2EAE" w:rsidRDefault="00C354CD" w:rsidP="00AD0E29">
            <w:pPr>
              <w:pStyle w:val="Tablesmalltext"/>
              <w:jc w:val="center"/>
            </w:pPr>
            <w:r w:rsidRPr="00CE4218">
              <w:t>35,398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0D9FCE9" w14:textId="77777777" w:rsidR="00C354CD" w:rsidRPr="009A2EAE" w:rsidRDefault="00C354CD" w:rsidP="00AD0E29">
            <w:pPr>
              <w:pStyle w:val="Tablesmalltext"/>
              <w:jc w:val="center"/>
            </w:pPr>
            <w:r w:rsidRPr="009A2EAE">
              <w:t>16,601</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35C847DE" w14:textId="77777777" w:rsidR="00C354CD" w:rsidRPr="009A2EAE" w:rsidRDefault="00C354CD" w:rsidP="00AD0E29">
            <w:pPr>
              <w:pStyle w:val="Tablesmalltext"/>
              <w:jc w:val="center"/>
            </w:pPr>
            <w:r w:rsidRPr="009A2EAE">
              <w:t>60,000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F79E597" w14:textId="77777777" w:rsidR="00C354CD" w:rsidRPr="009A2EAE" w:rsidRDefault="00C354CD" w:rsidP="00AD0E29">
            <w:pPr>
              <w:pStyle w:val="Tablesmalltext"/>
              <w:jc w:val="center"/>
            </w:pPr>
            <w:r w:rsidRPr="009A2EAE">
              <w:t>1 in 3.1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269B8CE" w14:textId="77777777" w:rsidR="00C354CD" w:rsidRPr="009A2EAE" w:rsidRDefault="00C354CD" w:rsidP="00AD0E29">
            <w:pPr>
              <w:pStyle w:val="Tablesmalltext"/>
              <w:jc w:val="center"/>
            </w:pPr>
            <w:r w:rsidRPr="009A2EAE">
              <w:t>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CE3A6B5" w14:textId="77777777" w:rsidR="00C354CD" w:rsidRPr="009A2EAE" w:rsidRDefault="00C354CD" w:rsidP="00AD0E29">
            <w:pPr>
              <w:pStyle w:val="Tablesmalltext"/>
              <w:jc w:val="center"/>
            </w:pPr>
            <w:r w:rsidRPr="009A2EAE">
              <w:t>9,391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47F2880" w14:textId="77777777" w:rsidR="00C354CD" w:rsidRPr="009A2EAE" w:rsidRDefault="00C354CD" w:rsidP="00AD0E29">
            <w:pPr>
              <w:pStyle w:val="Tablesmalltext"/>
              <w:jc w:val="center"/>
            </w:pPr>
            <w:r w:rsidRPr="009A2EAE">
              <w:t>3,052</w:t>
            </w:r>
          </w:p>
        </w:tc>
      </w:tr>
      <w:tr w:rsidR="00C354CD" w:rsidRPr="00266A0F" w14:paraId="671BAD8E" w14:textId="77777777" w:rsidTr="00A22B6D">
        <w:trPr>
          <w:trHeight w:val="39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E15299" w14:textId="77777777" w:rsidR="00C354CD" w:rsidRPr="003B5DBB" w:rsidRDefault="00C354CD" w:rsidP="00AD0E29">
            <w:pPr>
              <w:pStyle w:val="Tablesmalltext"/>
              <w:jc w:val="center"/>
            </w:pPr>
            <w:r w:rsidRPr="003B5DBB">
              <w:t>17</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762A5D91" w14:textId="77777777" w:rsidR="00C354CD" w:rsidRPr="003B5DBB" w:rsidRDefault="00C354CD" w:rsidP="00AD0E29">
            <w:pPr>
              <w:pStyle w:val="Tablesmalltext"/>
            </w:pPr>
            <w:r w:rsidRPr="003B5DBB">
              <w:t xml:space="preserve">Lock 6 to Lock 5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2548766" w14:textId="77777777" w:rsidR="00C354CD" w:rsidRPr="009A2EAE" w:rsidRDefault="00C354CD" w:rsidP="00AD0E29">
            <w:pPr>
              <w:pStyle w:val="Tablesmalltext"/>
              <w:jc w:val="center"/>
            </w:pPr>
            <w:r w:rsidRPr="00CE4218">
              <w:t>19,655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FDB3A7C" w14:textId="77777777" w:rsidR="00C354CD" w:rsidRPr="009A2EAE" w:rsidRDefault="00C354CD" w:rsidP="00AD0E29">
            <w:pPr>
              <w:pStyle w:val="Tablesmalltext"/>
              <w:jc w:val="center"/>
            </w:pPr>
            <w:r w:rsidRPr="009A2EAE">
              <w:t>6,786</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685F6622" w14:textId="77777777" w:rsidR="00C354CD" w:rsidRPr="009A2EAE" w:rsidRDefault="00C354CD" w:rsidP="00AD0E29">
            <w:pPr>
              <w:pStyle w:val="Tablesmalltext"/>
              <w:jc w:val="center"/>
            </w:pPr>
            <w:r w:rsidRPr="009A2EAE">
              <w:t>60,000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EDE244F" w14:textId="77777777" w:rsidR="00C354CD" w:rsidRPr="009A2EAE" w:rsidRDefault="00C354CD" w:rsidP="00AD0E29">
            <w:pPr>
              <w:pStyle w:val="Tablesmalltext"/>
              <w:jc w:val="center"/>
            </w:pPr>
            <w:r w:rsidRPr="009A2EAE">
              <w:t>1 in 2.8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B23AB24" w14:textId="77777777" w:rsidR="00C354CD" w:rsidRPr="009A2EAE" w:rsidRDefault="00C354CD" w:rsidP="00AD0E29">
            <w:pPr>
              <w:pStyle w:val="Tablesmalltext"/>
              <w:jc w:val="center"/>
            </w:pPr>
            <w:r w:rsidRPr="009A2EAE">
              <w:t>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2693FA5" w14:textId="77777777" w:rsidR="00C354CD" w:rsidRPr="009A2EAE" w:rsidRDefault="00C354CD" w:rsidP="00AD0E29">
            <w:pPr>
              <w:pStyle w:val="Tablesmalltext"/>
              <w:jc w:val="center"/>
            </w:pPr>
            <w:r w:rsidRPr="009A2EAE">
              <w:t>12,206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ABB864A" w14:textId="77777777" w:rsidR="00C354CD" w:rsidRPr="009A2EAE" w:rsidRDefault="00C354CD" w:rsidP="00AD0E29">
            <w:pPr>
              <w:pStyle w:val="Tablesmalltext"/>
              <w:jc w:val="center"/>
            </w:pPr>
            <w:r w:rsidRPr="009A2EAE">
              <w:t>3,349</w:t>
            </w:r>
          </w:p>
        </w:tc>
      </w:tr>
      <w:tr w:rsidR="00C354CD" w:rsidRPr="00266A0F" w14:paraId="066AB3B1" w14:textId="77777777" w:rsidTr="00A22B6D">
        <w:trPr>
          <w:trHeight w:val="39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DE1746" w14:textId="77777777" w:rsidR="00C354CD" w:rsidRPr="003B5DBB" w:rsidRDefault="00C354CD" w:rsidP="00AD0E29">
            <w:pPr>
              <w:pStyle w:val="Tablesmalltext"/>
              <w:jc w:val="center"/>
            </w:pPr>
            <w:r w:rsidRPr="003B5DBB">
              <w:t>18</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022FA77C" w14:textId="77777777" w:rsidR="00C354CD" w:rsidRPr="003B5DBB" w:rsidRDefault="00C354CD" w:rsidP="00AD0E29">
            <w:pPr>
              <w:pStyle w:val="Tablesmalltext"/>
            </w:pPr>
            <w:r w:rsidRPr="003B5DBB">
              <w:t xml:space="preserve">Lock 5 to Lock 4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938E55C" w14:textId="77777777" w:rsidR="00C354CD" w:rsidRPr="009A2EAE" w:rsidRDefault="00C354CD" w:rsidP="00AD0E29">
            <w:pPr>
              <w:pStyle w:val="Tablesmalltext"/>
              <w:jc w:val="center"/>
            </w:pPr>
            <w:r w:rsidRPr="00CE4218">
              <w:t>14,643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6C3E5CD" w14:textId="77777777" w:rsidR="00C354CD" w:rsidRPr="009A2EAE" w:rsidRDefault="00C354CD" w:rsidP="00AD0E29">
            <w:pPr>
              <w:pStyle w:val="Tablesmalltext"/>
              <w:jc w:val="center"/>
            </w:pPr>
            <w:r w:rsidRPr="009A2EAE">
              <w:t>4,611</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745398C0" w14:textId="77777777" w:rsidR="00C354CD" w:rsidRPr="009A2EAE" w:rsidRDefault="00C354CD" w:rsidP="00AD0E29">
            <w:pPr>
              <w:pStyle w:val="Tablesmalltext"/>
              <w:jc w:val="center"/>
            </w:pPr>
            <w:r w:rsidRPr="009A2EAE">
              <w:t>60,000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617EF31" w14:textId="77777777" w:rsidR="00C354CD" w:rsidRPr="009A2EAE" w:rsidRDefault="00C354CD" w:rsidP="00AD0E29">
            <w:pPr>
              <w:pStyle w:val="Tablesmalltext"/>
              <w:jc w:val="center"/>
            </w:pPr>
            <w:r w:rsidRPr="009A2EAE">
              <w:t>1 in 2.9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F4004F1" w14:textId="77777777" w:rsidR="00C354CD" w:rsidRPr="009A2EAE" w:rsidRDefault="00C354CD" w:rsidP="00AD0E29">
            <w:pPr>
              <w:pStyle w:val="Tablesmalltext"/>
              <w:jc w:val="center"/>
            </w:pPr>
            <w:r w:rsidRPr="009A2EAE">
              <w:t>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60A58BB" w14:textId="77777777" w:rsidR="00C354CD" w:rsidRPr="009A2EAE" w:rsidRDefault="00C354CD" w:rsidP="00AD0E29">
            <w:pPr>
              <w:pStyle w:val="Tablesmalltext"/>
              <w:jc w:val="center"/>
            </w:pPr>
            <w:r w:rsidRPr="009A2EAE">
              <w:t>5,456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5FAED35" w14:textId="77777777" w:rsidR="00C354CD" w:rsidRPr="009A2EAE" w:rsidRDefault="00C354CD" w:rsidP="00AD0E29">
            <w:pPr>
              <w:pStyle w:val="Tablesmalltext"/>
              <w:jc w:val="center"/>
            </w:pPr>
            <w:r w:rsidRPr="009A2EAE">
              <w:t>721</w:t>
            </w:r>
          </w:p>
        </w:tc>
      </w:tr>
      <w:tr w:rsidR="00C354CD" w:rsidRPr="00266A0F" w14:paraId="021FF949" w14:textId="77777777" w:rsidTr="00A22B6D">
        <w:trPr>
          <w:trHeight w:val="300"/>
          <w:jc w:val="center"/>
        </w:trPr>
        <w:tc>
          <w:tcPr>
            <w:tcW w:w="29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67C51EF" w14:textId="77777777" w:rsidR="00C354CD" w:rsidRPr="00011451" w:rsidRDefault="00C354CD" w:rsidP="00AD0E29">
            <w:pPr>
              <w:pStyle w:val="Tablesmalltext"/>
              <w:jc w:val="center"/>
              <w:rPr>
                <w:b/>
              </w:rPr>
            </w:pPr>
            <w:r w:rsidRPr="00011451">
              <w:rPr>
                <w:b/>
              </w:rPr>
              <w:t>Total</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A60265A" w14:textId="77777777" w:rsidR="00C354CD" w:rsidRPr="00011451" w:rsidRDefault="00C354CD" w:rsidP="00AD0E29">
            <w:pPr>
              <w:pStyle w:val="Tablesmalltext"/>
              <w:jc w:val="center"/>
              <w:rPr>
                <w:b/>
              </w:rPr>
            </w:pPr>
            <w:r w:rsidRPr="00011451">
              <w:rPr>
                <w:b/>
              </w:rPr>
              <w:fldChar w:fldCharType="begin"/>
            </w:r>
            <w:r w:rsidRPr="00011451">
              <w:rPr>
                <w:b/>
              </w:rPr>
              <w:instrText xml:space="preserve"> =SUM(ABOVE) </w:instrText>
            </w:r>
            <w:r w:rsidRPr="00011451">
              <w:rPr>
                <w:b/>
              </w:rPr>
              <w:fldChar w:fldCharType="separate"/>
            </w:r>
            <w:r w:rsidRPr="00011451">
              <w:rPr>
                <w:b/>
              </w:rPr>
              <w:t>467,095</w:t>
            </w:r>
            <w:r w:rsidRPr="00011451">
              <w:rPr>
                <w:b/>
              </w:rPr>
              <w:fldChar w:fldCharType="end"/>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5AC0D15" w14:textId="77777777" w:rsidR="00C354CD" w:rsidRPr="00011451" w:rsidRDefault="00C354CD" w:rsidP="00AD0E29">
            <w:pPr>
              <w:pStyle w:val="Tablesmalltext"/>
              <w:jc w:val="center"/>
              <w:rPr>
                <w:b/>
              </w:rPr>
            </w:pPr>
            <w:r w:rsidRPr="00011451">
              <w:rPr>
                <w:b/>
              </w:rPr>
              <w:fldChar w:fldCharType="begin"/>
            </w:r>
            <w:r w:rsidRPr="00011451">
              <w:rPr>
                <w:b/>
              </w:rPr>
              <w:instrText xml:space="preserve"> =SUM(ABOVE) </w:instrText>
            </w:r>
            <w:r w:rsidRPr="00011451">
              <w:rPr>
                <w:b/>
              </w:rPr>
              <w:fldChar w:fldCharType="separate"/>
            </w:r>
            <w:r w:rsidRPr="00011451">
              <w:rPr>
                <w:b/>
              </w:rPr>
              <w:t>175,674</w:t>
            </w:r>
            <w:r w:rsidRPr="00011451">
              <w:rPr>
                <w:b/>
              </w:rPr>
              <w:fldChar w:fldCharType="end"/>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747EB5EB" w14:textId="77777777" w:rsidR="00C354CD" w:rsidRPr="00011451" w:rsidRDefault="00C354CD" w:rsidP="00AD0E29">
            <w:pPr>
              <w:pStyle w:val="Tablesmalltext"/>
              <w:jc w:val="center"/>
              <w:rPr>
                <w:b/>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C15E9AA" w14:textId="77777777" w:rsidR="00C354CD" w:rsidRPr="00011451" w:rsidRDefault="00C354CD" w:rsidP="00AD0E29">
            <w:pPr>
              <w:pStyle w:val="Tablesmalltext"/>
              <w:jc w:val="center"/>
              <w:rPr>
                <w:b/>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FB1EAD0" w14:textId="77777777" w:rsidR="00C354CD" w:rsidRPr="00011451" w:rsidRDefault="00C354CD" w:rsidP="00AD0E29">
            <w:pPr>
              <w:pStyle w:val="Tablesmalltext"/>
              <w:jc w:val="center"/>
              <w:rPr>
                <w:b/>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789EF0C" w14:textId="77777777" w:rsidR="00C354CD" w:rsidRPr="00011451" w:rsidRDefault="00C354CD" w:rsidP="00AD0E29">
            <w:pPr>
              <w:pStyle w:val="Tablesmalltext"/>
              <w:jc w:val="center"/>
              <w:rPr>
                <w:b/>
              </w:rPr>
            </w:pPr>
            <w:r w:rsidRPr="00011451">
              <w:rPr>
                <w:b/>
              </w:rPr>
              <w:fldChar w:fldCharType="begin"/>
            </w:r>
            <w:r w:rsidRPr="00011451">
              <w:rPr>
                <w:b/>
              </w:rPr>
              <w:instrText xml:space="preserve"> =SUM(ABOVE) </w:instrText>
            </w:r>
            <w:r w:rsidRPr="00011451">
              <w:rPr>
                <w:b/>
              </w:rPr>
              <w:fldChar w:fldCharType="separate"/>
            </w:r>
            <w:r w:rsidRPr="00011451">
              <w:rPr>
                <w:b/>
              </w:rPr>
              <w:t>86,509</w:t>
            </w:r>
            <w:r w:rsidRPr="00011451">
              <w:rPr>
                <w:b/>
              </w:rPr>
              <w:fldChar w:fldCharType="end"/>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1A4961E" w14:textId="77777777" w:rsidR="00C354CD" w:rsidRPr="00011451" w:rsidRDefault="00C354CD" w:rsidP="00AD0E29">
            <w:pPr>
              <w:pStyle w:val="Tablesmalltext"/>
              <w:jc w:val="center"/>
              <w:rPr>
                <w:b/>
              </w:rPr>
            </w:pPr>
            <w:r w:rsidRPr="00011451">
              <w:rPr>
                <w:b/>
              </w:rPr>
              <w:fldChar w:fldCharType="begin"/>
            </w:r>
            <w:r w:rsidRPr="00011451">
              <w:rPr>
                <w:b/>
              </w:rPr>
              <w:instrText xml:space="preserve"> =SUM(ABOVE) </w:instrText>
            </w:r>
            <w:r w:rsidRPr="00011451">
              <w:rPr>
                <w:b/>
              </w:rPr>
              <w:fldChar w:fldCharType="separate"/>
            </w:r>
            <w:r w:rsidRPr="00011451">
              <w:rPr>
                <w:b/>
              </w:rPr>
              <w:t>18,077</w:t>
            </w:r>
            <w:r w:rsidRPr="00011451">
              <w:rPr>
                <w:b/>
              </w:rPr>
              <w:fldChar w:fldCharType="end"/>
            </w:r>
          </w:p>
        </w:tc>
      </w:tr>
    </w:tbl>
    <w:p w14:paraId="7F2D5FDD" w14:textId="3B3080CD" w:rsidR="00C354CD" w:rsidRPr="0034564B" w:rsidRDefault="00C354CD" w:rsidP="00A40029">
      <w:pPr>
        <w:pStyle w:val="Caption"/>
      </w:pPr>
      <w:bookmarkStart w:id="262" w:name="_Ref468562528"/>
      <w:bookmarkStart w:id="263" w:name="_Toc470108604"/>
      <w:bookmarkStart w:id="264" w:name="_Toc514068791"/>
      <w:r w:rsidRPr="001B3FEE">
        <w:t xml:space="preserve">Table </w:t>
      </w:r>
      <w:r w:rsidRPr="00A40029">
        <w:fldChar w:fldCharType="begin"/>
      </w:r>
      <w:r w:rsidRPr="00D7130D">
        <w:instrText xml:space="preserve"> STYLEREF 1 \s </w:instrText>
      </w:r>
      <w:r w:rsidRPr="00A40029">
        <w:fldChar w:fldCharType="separate"/>
      </w:r>
      <w:r w:rsidR="00BF015B">
        <w:rPr>
          <w:noProof/>
        </w:rPr>
        <w:t>5</w:t>
      </w:r>
      <w:r w:rsidRPr="00A40029">
        <w:fldChar w:fldCharType="end"/>
      </w:r>
      <w:r w:rsidRPr="00D7130D">
        <w:noBreakHyphen/>
      </w:r>
      <w:r w:rsidRPr="00A40029">
        <w:fldChar w:fldCharType="begin"/>
      </w:r>
      <w:r w:rsidRPr="00D7130D">
        <w:instrText xml:space="preserve"> SEQ Table \* ARABIC \s 1 </w:instrText>
      </w:r>
      <w:r w:rsidRPr="00A40029">
        <w:fldChar w:fldCharType="separate"/>
      </w:r>
      <w:r w:rsidR="00BF015B">
        <w:rPr>
          <w:noProof/>
        </w:rPr>
        <w:t>3</w:t>
      </w:r>
      <w:r w:rsidRPr="00A40029">
        <w:fldChar w:fldCharType="end"/>
      </w:r>
      <w:bookmarkEnd w:id="262"/>
      <w:r w:rsidRPr="00D7130D">
        <w:t xml:space="preserve">: Regional analysis of Black Box inundated and flow frequency for </w:t>
      </w:r>
      <w:r w:rsidRPr="00A40029">
        <w:t>80,000 ML/day</w:t>
      </w:r>
      <w:r w:rsidRPr="001B3FEE">
        <w:t xml:space="preserve"> flow at th</w:t>
      </w:r>
      <w:r w:rsidRPr="0034564B">
        <w:t>e South Australian border based on spatial datasets and flow time series supplied by MDBA.</w:t>
      </w:r>
      <w:bookmarkEnd w:id="263"/>
      <w:bookmarkEnd w:id="264"/>
    </w:p>
    <w:tbl>
      <w:tblPr>
        <w:tblW w:w="139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35"/>
        <w:gridCol w:w="2268"/>
        <w:gridCol w:w="1559"/>
        <w:gridCol w:w="1559"/>
        <w:gridCol w:w="1702"/>
        <w:gridCol w:w="1559"/>
        <w:gridCol w:w="1559"/>
        <w:gridCol w:w="1559"/>
        <w:gridCol w:w="1559"/>
      </w:tblGrid>
      <w:tr w:rsidR="00C354CD" w:rsidRPr="00C85724" w14:paraId="0D3621BF" w14:textId="77777777" w:rsidTr="00A22B6D">
        <w:trPr>
          <w:trHeight w:val="625"/>
          <w:jc w:val="center"/>
        </w:trPr>
        <w:tc>
          <w:tcPr>
            <w:tcW w:w="635" w:type="dxa"/>
            <w:vMerge w:val="restart"/>
            <w:shd w:val="clear" w:color="auto" w:fill="65876D"/>
            <w:noWrap/>
            <w:vAlign w:val="center"/>
            <w:hideMark/>
          </w:tcPr>
          <w:p w14:paraId="0AC399C6" w14:textId="77777777" w:rsidR="00C354CD" w:rsidRPr="00D0107E" w:rsidRDefault="00C354CD" w:rsidP="00AD0E29">
            <w:pPr>
              <w:pStyle w:val="Tableheading"/>
              <w:jc w:val="center"/>
              <w:rPr>
                <w:color w:val="FFFFFF" w:themeColor="background1"/>
              </w:rPr>
            </w:pPr>
            <w:r w:rsidRPr="00D0107E">
              <w:rPr>
                <w:color w:val="FFFFFF" w:themeColor="background1"/>
              </w:rPr>
              <w:t xml:space="preserve">Reach </w:t>
            </w:r>
            <w:r>
              <w:rPr>
                <w:color w:val="FFFFFF" w:themeColor="background1"/>
              </w:rPr>
              <w:t>#</w:t>
            </w:r>
          </w:p>
        </w:tc>
        <w:tc>
          <w:tcPr>
            <w:tcW w:w="2268" w:type="dxa"/>
            <w:vMerge w:val="restart"/>
            <w:shd w:val="clear" w:color="auto" w:fill="65876D"/>
            <w:noWrap/>
            <w:vAlign w:val="center"/>
            <w:hideMark/>
          </w:tcPr>
          <w:p w14:paraId="0CEEF768" w14:textId="77777777" w:rsidR="00C354CD" w:rsidRPr="00D0107E" w:rsidRDefault="00C354CD" w:rsidP="00AD0E29">
            <w:pPr>
              <w:pStyle w:val="Tableheading"/>
              <w:jc w:val="center"/>
              <w:rPr>
                <w:color w:val="FFFFFF" w:themeColor="background1"/>
              </w:rPr>
            </w:pPr>
            <w:r w:rsidRPr="00D0107E">
              <w:rPr>
                <w:color w:val="FFFFFF" w:themeColor="background1"/>
              </w:rPr>
              <w:t>Reach name</w:t>
            </w:r>
          </w:p>
        </w:tc>
        <w:tc>
          <w:tcPr>
            <w:tcW w:w="1559" w:type="dxa"/>
            <w:vMerge w:val="restart"/>
            <w:shd w:val="clear" w:color="auto" w:fill="65876D"/>
            <w:vAlign w:val="center"/>
          </w:tcPr>
          <w:p w14:paraId="46960648" w14:textId="77777777" w:rsidR="00C354CD" w:rsidRPr="00D0107E" w:rsidRDefault="00C354CD" w:rsidP="00AD0E29">
            <w:pPr>
              <w:pStyle w:val="Tableheading"/>
              <w:jc w:val="center"/>
              <w:rPr>
                <w:color w:val="FFFFFF" w:themeColor="background1"/>
              </w:rPr>
            </w:pPr>
            <w:r>
              <w:rPr>
                <w:color w:val="FFFFFF" w:themeColor="background1"/>
              </w:rPr>
              <w:t>Total areas of Floodplain within the reach (h</w:t>
            </w:r>
            <w:r w:rsidRPr="00D0107E">
              <w:rPr>
                <w:color w:val="FFFFFF" w:themeColor="background1"/>
              </w:rPr>
              <w:t>a)</w:t>
            </w:r>
          </w:p>
        </w:tc>
        <w:tc>
          <w:tcPr>
            <w:tcW w:w="1559" w:type="dxa"/>
            <w:vMerge w:val="restart"/>
            <w:shd w:val="clear" w:color="auto" w:fill="65876D"/>
            <w:vAlign w:val="center"/>
          </w:tcPr>
          <w:p w14:paraId="047BC629" w14:textId="77777777" w:rsidR="00C354CD" w:rsidRPr="00D0107E" w:rsidRDefault="00C354CD" w:rsidP="00AD0E29">
            <w:pPr>
              <w:pStyle w:val="Tableheading"/>
              <w:jc w:val="center"/>
              <w:rPr>
                <w:color w:val="FFFFFF" w:themeColor="background1"/>
              </w:rPr>
            </w:pPr>
            <w:r>
              <w:rPr>
                <w:color w:val="FFFFFF" w:themeColor="background1"/>
              </w:rPr>
              <w:t>Total area of Black Box within the reach (h</w:t>
            </w:r>
            <w:r w:rsidRPr="00D0107E">
              <w:rPr>
                <w:color w:val="FFFFFF" w:themeColor="background1"/>
              </w:rPr>
              <w:t>a)</w:t>
            </w:r>
          </w:p>
        </w:tc>
        <w:tc>
          <w:tcPr>
            <w:tcW w:w="1702" w:type="dxa"/>
            <w:vMerge w:val="restart"/>
            <w:shd w:val="clear" w:color="auto" w:fill="65876D"/>
            <w:vAlign w:val="center"/>
          </w:tcPr>
          <w:p w14:paraId="1B6DC9BF" w14:textId="77777777" w:rsidR="00C354CD" w:rsidRPr="00D0107E" w:rsidRDefault="00C354CD" w:rsidP="00AD0E29">
            <w:pPr>
              <w:pStyle w:val="Tableheading"/>
              <w:jc w:val="center"/>
              <w:rPr>
                <w:color w:val="FFFFFF" w:themeColor="background1"/>
              </w:rPr>
            </w:pPr>
            <w:r w:rsidRPr="00D0107E">
              <w:rPr>
                <w:color w:val="FFFFFF" w:themeColor="background1"/>
              </w:rPr>
              <w:t>Flow</w:t>
            </w:r>
            <w:r>
              <w:rPr>
                <w:color w:val="FFFFFF" w:themeColor="background1"/>
              </w:rPr>
              <w:t xml:space="preserve"> </w:t>
            </w:r>
            <w:r w:rsidRPr="00D0107E">
              <w:rPr>
                <w:color w:val="FFFFFF" w:themeColor="background1"/>
              </w:rPr>
              <w:t xml:space="preserve">rate </w:t>
            </w:r>
            <w:r>
              <w:rPr>
                <w:color w:val="FFFFFF" w:themeColor="background1"/>
              </w:rPr>
              <w:t>for the reaches along the River Murray</w:t>
            </w:r>
            <w:r w:rsidRPr="003B5DBB">
              <w:rPr>
                <w:color w:val="FFFFFF" w:themeColor="background1"/>
              </w:rPr>
              <w:t xml:space="preserve"> </w:t>
            </w:r>
            <w:r w:rsidRPr="00D0107E">
              <w:rPr>
                <w:color w:val="FFFFFF" w:themeColor="background1"/>
              </w:rPr>
              <w:t>(</w:t>
            </w:r>
            <w:r>
              <w:rPr>
                <w:color w:val="FFFFFF" w:themeColor="background1"/>
              </w:rPr>
              <w:t>ML/day</w:t>
            </w:r>
            <w:r w:rsidRPr="00D0107E">
              <w:rPr>
                <w:color w:val="FFFFFF" w:themeColor="background1"/>
              </w:rPr>
              <w:t>)</w:t>
            </w:r>
            <w:r>
              <w:rPr>
                <w:color w:val="FFFFFF" w:themeColor="background1"/>
              </w:rPr>
              <w:t xml:space="preserve"> </w:t>
            </w:r>
            <w:r w:rsidRPr="00D0107E">
              <w:rPr>
                <w:color w:val="FFFFFF" w:themeColor="background1"/>
              </w:rPr>
              <w:t>(A)</w:t>
            </w:r>
          </w:p>
        </w:tc>
        <w:tc>
          <w:tcPr>
            <w:tcW w:w="1559" w:type="dxa"/>
            <w:vMerge w:val="restart"/>
            <w:shd w:val="clear" w:color="auto" w:fill="65876D"/>
            <w:vAlign w:val="center"/>
          </w:tcPr>
          <w:p w14:paraId="5DE1565D" w14:textId="77777777" w:rsidR="00C354CD" w:rsidRPr="00D0107E" w:rsidRDefault="00C354CD" w:rsidP="00AD0E29">
            <w:pPr>
              <w:pStyle w:val="Tableheading"/>
              <w:jc w:val="center"/>
              <w:rPr>
                <w:color w:val="FFFFFF" w:themeColor="background1"/>
              </w:rPr>
            </w:pPr>
            <w:r w:rsidRPr="00D0107E">
              <w:rPr>
                <w:color w:val="FFFFFF" w:themeColor="background1"/>
              </w:rPr>
              <w:t>Flow frequency under Basin plan scenario</w:t>
            </w:r>
            <w:r>
              <w:rPr>
                <w:color w:val="FFFFFF" w:themeColor="background1"/>
              </w:rPr>
              <w:t xml:space="preserve"> (years)</w:t>
            </w:r>
          </w:p>
        </w:tc>
        <w:tc>
          <w:tcPr>
            <w:tcW w:w="1559" w:type="dxa"/>
            <w:vMerge w:val="restart"/>
            <w:shd w:val="clear" w:color="auto" w:fill="65876D"/>
            <w:vAlign w:val="center"/>
          </w:tcPr>
          <w:p w14:paraId="28BB0D8C" w14:textId="77777777" w:rsidR="00C354CD" w:rsidRPr="00D0107E" w:rsidRDefault="00C354CD" w:rsidP="00AD0E29">
            <w:pPr>
              <w:pStyle w:val="Tableheading"/>
              <w:jc w:val="center"/>
              <w:rPr>
                <w:color w:val="FFFFFF" w:themeColor="background1"/>
              </w:rPr>
            </w:pPr>
            <w:r w:rsidRPr="00D0107E">
              <w:rPr>
                <w:color w:val="FFFFFF" w:themeColor="background1"/>
              </w:rPr>
              <w:t>Longest period where flows did not exceed (A) (years)</w:t>
            </w:r>
          </w:p>
        </w:tc>
        <w:tc>
          <w:tcPr>
            <w:tcW w:w="1559" w:type="dxa"/>
            <w:vMerge w:val="restart"/>
            <w:shd w:val="clear" w:color="auto" w:fill="65876D"/>
            <w:vAlign w:val="center"/>
          </w:tcPr>
          <w:p w14:paraId="2B036C95" w14:textId="77777777" w:rsidR="00C354CD" w:rsidRPr="00D0107E" w:rsidRDefault="00C354CD" w:rsidP="00AD0E29">
            <w:pPr>
              <w:pStyle w:val="Tableheading"/>
              <w:jc w:val="center"/>
              <w:rPr>
                <w:color w:val="FFFFFF" w:themeColor="background1"/>
              </w:rPr>
            </w:pPr>
            <w:r>
              <w:rPr>
                <w:color w:val="FFFFFF" w:themeColor="background1"/>
              </w:rPr>
              <w:t>Area of floodplain inundated (h</w:t>
            </w:r>
            <w:r w:rsidRPr="00D0107E">
              <w:rPr>
                <w:color w:val="FFFFFF" w:themeColor="background1"/>
              </w:rPr>
              <w:t>a)</w:t>
            </w:r>
          </w:p>
        </w:tc>
        <w:tc>
          <w:tcPr>
            <w:tcW w:w="1559" w:type="dxa"/>
            <w:vMerge w:val="restart"/>
            <w:shd w:val="clear" w:color="auto" w:fill="65876D"/>
            <w:vAlign w:val="center"/>
          </w:tcPr>
          <w:p w14:paraId="3D6956DD" w14:textId="77777777" w:rsidR="00C354CD" w:rsidRPr="00D0107E" w:rsidRDefault="00C354CD" w:rsidP="00AD0E29">
            <w:pPr>
              <w:pStyle w:val="Tableheading"/>
              <w:jc w:val="center"/>
              <w:rPr>
                <w:color w:val="FFFFFF" w:themeColor="background1"/>
              </w:rPr>
            </w:pPr>
            <w:r>
              <w:rPr>
                <w:color w:val="FFFFFF" w:themeColor="background1"/>
              </w:rPr>
              <w:t>Area of Black Box inundated (h</w:t>
            </w:r>
            <w:r w:rsidRPr="00D0107E">
              <w:rPr>
                <w:color w:val="FFFFFF" w:themeColor="background1"/>
              </w:rPr>
              <w:t>a)</w:t>
            </w:r>
          </w:p>
        </w:tc>
      </w:tr>
      <w:tr w:rsidR="00C354CD" w:rsidRPr="00B90323" w14:paraId="59452776" w14:textId="77777777" w:rsidTr="00A22B6D">
        <w:trPr>
          <w:trHeight w:val="230"/>
          <w:jc w:val="center"/>
        </w:trPr>
        <w:tc>
          <w:tcPr>
            <w:tcW w:w="635" w:type="dxa"/>
            <w:vMerge/>
            <w:shd w:val="clear" w:color="auto" w:fill="65876D"/>
            <w:vAlign w:val="center"/>
            <w:hideMark/>
          </w:tcPr>
          <w:p w14:paraId="70B95E79" w14:textId="77777777" w:rsidR="00C354CD" w:rsidRPr="00B90323" w:rsidRDefault="00C354CD" w:rsidP="00AD0E29">
            <w:pPr>
              <w:spacing w:after="0" w:line="240" w:lineRule="auto"/>
              <w:jc w:val="center"/>
              <w:rPr>
                <w:rFonts w:ascii="Calibri" w:eastAsia="Times New Roman" w:hAnsi="Calibri" w:cs="Times New Roman"/>
                <w:color w:val="FFFFFF" w:themeColor="background1"/>
                <w:sz w:val="16"/>
                <w:szCs w:val="16"/>
                <w:lang w:eastAsia="en-AU"/>
              </w:rPr>
            </w:pPr>
          </w:p>
        </w:tc>
        <w:tc>
          <w:tcPr>
            <w:tcW w:w="2268" w:type="dxa"/>
            <w:vMerge/>
            <w:shd w:val="clear" w:color="auto" w:fill="65876D"/>
            <w:vAlign w:val="center"/>
            <w:hideMark/>
          </w:tcPr>
          <w:p w14:paraId="126A29BE" w14:textId="77777777" w:rsidR="00C354CD" w:rsidRPr="00B90323" w:rsidRDefault="00C354CD" w:rsidP="00AD0E29">
            <w:pPr>
              <w:spacing w:after="0" w:line="240" w:lineRule="auto"/>
              <w:rPr>
                <w:rFonts w:ascii="Calibri" w:eastAsia="Times New Roman" w:hAnsi="Calibri" w:cs="Times New Roman"/>
                <w:color w:val="FFFFFF" w:themeColor="background1"/>
                <w:sz w:val="16"/>
                <w:szCs w:val="16"/>
                <w:lang w:eastAsia="en-AU"/>
              </w:rPr>
            </w:pPr>
          </w:p>
        </w:tc>
        <w:tc>
          <w:tcPr>
            <w:tcW w:w="1559" w:type="dxa"/>
            <w:vMerge/>
            <w:shd w:val="clear" w:color="auto" w:fill="65876D"/>
          </w:tcPr>
          <w:p w14:paraId="0DD01327" w14:textId="77777777" w:rsidR="00C354CD" w:rsidRPr="00B90323" w:rsidRDefault="00C354CD" w:rsidP="00AD0E29">
            <w:pPr>
              <w:spacing w:after="0" w:line="240" w:lineRule="auto"/>
              <w:rPr>
                <w:rFonts w:ascii="Calibri" w:eastAsia="Times New Roman" w:hAnsi="Calibri" w:cs="Times New Roman"/>
                <w:color w:val="FFFFFF" w:themeColor="background1"/>
                <w:sz w:val="16"/>
                <w:szCs w:val="16"/>
                <w:lang w:eastAsia="en-AU"/>
              </w:rPr>
            </w:pPr>
          </w:p>
        </w:tc>
        <w:tc>
          <w:tcPr>
            <w:tcW w:w="1559" w:type="dxa"/>
            <w:vMerge/>
            <w:shd w:val="clear" w:color="auto" w:fill="65876D"/>
          </w:tcPr>
          <w:p w14:paraId="027B6A55" w14:textId="77777777" w:rsidR="00C354CD" w:rsidRPr="00B90323" w:rsidRDefault="00C354CD" w:rsidP="00AD0E29">
            <w:pPr>
              <w:spacing w:after="0" w:line="240" w:lineRule="auto"/>
              <w:rPr>
                <w:rFonts w:ascii="Calibri" w:eastAsia="Times New Roman" w:hAnsi="Calibri" w:cs="Times New Roman"/>
                <w:color w:val="FFFFFF" w:themeColor="background1"/>
                <w:sz w:val="16"/>
                <w:szCs w:val="16"/>
                <w:lang w:eastAsia="en-AU"/>
              </w:rPr>
            </w:pPr>
          </w:p>
        </w:tc>
        <w:tc>
          <w:tcPr>
            <w:tcW w:w="1702" w:type="dxa"/>
            <w:vMerge/>
            <w:shd w:val="clear" w:color="auto" w:fill="65876D"/>
          </w:tcPr>
          <w:p w14:paraId="53AAE3F8" w14:textId="77777777" w:rsidR="00C354CD" w:rsidRPr="00B90323" w:rsidRDefault="00C354CD" w:rsidP="00AD0E29">
            <w:pPr>
              <w:spacing w:after="0" w:line="240" w:lineRule="auto"/>
              <w:rPr>
                <w:rFonts w:ascii="Calibri" w:eastAsia="Times New Roman" w:hAnsi="Calibri" w:cs="Times New Roman"/>
                <w:color w:val="FFFFFF" w:themeColor="background1"/>
                <w:sz w:val="16"/>
                <w:szCs w:val="16"/>
                <w:lang w:eastAsia="en-AU"/>
              </w:rPr>
            </w:pPr>
          </w:p>
        </w:tc>
        <w:tc>
          <w:tcPr>
            <w:tcW w:w="1559" w:type="dxa"/>
            <w:vMerge/>
            <w:shd w:val="clear" w:color="auto" w:fill="65876D"/>
          </w:tcPr>
          <w:p w14:paraId="5DF87790" w14:textId="77777777" w:rsidR="00C354CD" w:rsidRPr="00B90323" w:rsidRDefault="00C354CD" w:rsidP="00AD0E29">
            <w:pPr>
              <w:spacing w:after="0" w:line="240" w:lineRule="auto"/>
              <w:rPr>
                <w:rFonts w:ascii="Calibri" w:eastAsia="Times New Roman" w:hAnsi="Calibri" w:cs="Times New Roman"/>
                <w:color w:val="FFFFFF" w:themeColor="background1"/>
                <w:sz w:val="16"/>
                <w:szCs w:val="16"/>
                <w:lang w:eastAsia="en-AU"/>
              </w:rPr>
            </w:pPr>
          </w:p>
        </w:tc>
        <w:tc>
          <w:tcPr>
            <w:tcW w:w="1559" w:type="dxa"/>
            <w:vMerge/>
            <w:shd w:val="clear" w:color="auto" w:fill="65876D"/>
          </w:tcPr>
          <w:p w14:paraId="200FB152" w14:textId="77777777" w:rsidR="00C354CD" w:rsidRPr="00B90323" w:rsidRDefault="00C354CD" w:rsidP="00AD0E29">
            <w:pPr>
              <w:spacing w:after="0" w:line="240" w:lineRule="auto"/>
              <w:rPr>
                <w:rFonts w:ascii="Calibri" w:eastAsia="Times New Roman" w:hAnsi="Calibri" w:cs="Times New Roman"/>
                <w:color w:val="FFFFFF" w:themeColor="background1"/>
                <w:sz w:val="16"/>
                <w:szCs w:val="16"/>
                <w:lang w:eastAsia="en-AU"/>
              </w:rPr>
            </w:pPr>
          </w:p>
        </w:tc>
        <w:tc>
          <w:tcPr>
            <w:tcW w:w="1559" w:type="dxa"/>
            <w:vMerge/>
            <w:shd w:val="clear" w:color="auto" w:fill="65876D"/>
          </w:tcPr>
          <w:p w14:paraId="151260BF" w14:textId="77777777" w:rsidR="00C354CD" w:rsidRPr="00B90323" w:rsidRDefault="00C354CD" w:rsidP="00AD0E29">
            <w:pPr>
              <w:spacing w:after="0" w:line="240" w:lineRule="auto"/>
              <w:rPr>
                <w:rFonts w:ascii="Calibri" w:eastAsia="Times New Roman" w:hAnsi="Calibri" w:cs="Times New Roman"/>
                <w:color w:val="FFFFFF" w:themeColor="background1"/>
                <w:sz w:val="16"/>
                <w:szCs w:val="16"/>
                <w:lang w:eastAsia="en-AU"/>
              </w:rPr>
            </w:pPr>
          </w:p>
        </w:tc>
        <w:tc>
          <w:tcPr>
            <w:tcW w:w="1559" w:type="dxa"/>
            <w:vMerge/>
            <w:shd w:val="clear" w:color="auto" w:fill="65876D"/>
          </w:tcPr>
          <w:p w14:paraId="7D163D93" w14:textId="77777777" w:rsidR="00C354CD" w:rsidRPr="00B90323" w:rsidRDefault="00C354CD" w:rsidP="00AD0E29">
            <w:pPr>
              <w:spacing w:after="0" w:line="240" w:lineRule="auto"/>
              <w:rPr>
                <w:rFonts w:ascii="Calibri" w:eastAsia="Times New Roman" w:hAnsi="Calibri" w:cs="Times New Roman"/>
                <w:color w:val="FFFFFF" w:themeColor="background1"/>
                <w:sz w:val="16"/>
                <w:szCs w:val="16"/>
                <w:lang w:eastAsia="en-AU"/>
              </w:rPr>
            </w:pPr>
          </w:p>
        </w:tc>
      </w:tr>
      <w:tr w:rsidR="00C354CD" w:rsidRPr="00A3366F" w14:paraId="47BAA44E" w14:textId="77777777" w:rsidTr="00A22B6D">
        <w:trPr>
          <w:trHeight w:val="300"/>
          <w:jc w:val="center"/>
        </w:trPr>
        <w:tc>
          <w:tcPr>
            <w:tcW w:w="635" w:type="dxa"/>
            <w:shd w:val="clear" w:color="auto" w:fill="auto"/>
            <w:noWrap/>
            <w:vAlign w:val="center"/>
          </w:tcPr>
          <w:p w14:paraId="4D07CBD5" w14:textId="77777777" w:rsidR="00C354CD" w:rsidRPr="00D0107E" w:rsidRDefault="00C354CD" w:rsidP="00AD0E29">
            <w:pPr>
              <w:pStyle w:val="Tablesmalltext"/>
              <w:jc w:val="center"/>
            </w:pPr>
            <w:r w:rsidRPr="00D0107E">
              <w:t>7</w:t>
            </w:r>
          </w:p>
        </w:tc>
        <w:tc>
          <w:tcPr>
            <w:tcW w:w="2268" w:type="dxa"/>
            <w:shd w:val="clear" w:color="auto" w:fill="auto"/>
            <w:vAlign w:val="center"/>
          </w:tcPr>
          <w:p w14:paraId="3F238EC8" w14:textId="77777777" w:rsidR="00C354CD" w:rsidRPr="00D0107E" w:rsidRDefault="00C354CD" w:rsidP="00AD0E29">
            <w:pPr>
              <w:pStyle w:val="Tablesmalltext"/>
            </w:pPr>
            <w:r w:rsidRPr="00D0107E">
              <w:t>Lock 26 (Torrumbarry to downstream of Gunbower</w:t>
            </w:r>
            <w:r>
              <w:t xml:space="preserve"> forest)</w:t>
            </w:r>
          </w:p>
        </w:tc>
        <w:tc>
          <w:tcPr>
            <w:tcW w:w="1559" w:type="dxa"/>
            <w:vAlign w:val="center"/>
          </w:tcPr>
          <w:p w14:paraId="522977C8" w14:textId="77777777" w:rsidR="00C354CD" w:rsidRPr="00D0107E" w:rsidRDefault="00C354CD" w:rsidP="00AD0E29">
            <w:pPr>
              <w:pStyle w:val="Tablesmalltext"/>
              <w:jc w:val="center"/>
            </w:pPr>
            <w:r w:rsidRPr="00D0107E">
              <w:t>88,244</w:t>
            </w:r>
          </w:p>
        </w:tc>
        <w:tc>
          <w:tcPr>
            <w:tcW w:w="1559" w:type="dxa"/>
            <w:vAlign w:val="center"/>
          </w:tcPr>
          <w:p w14:paraId="1BE5076E" w14:textId="77777777" w:rsidR="00C354CD" w:rsidRPr="00D0107E" w:rsidRDefault="00C354CD" w:rsidP="00AD0E29">
            <w:pPr>
              <w:pStyle w:val="Tablesmalltext"/>
              <w:jc w:val="center"/>
            </w:pPr>
            <w:r w:rsidRPr="00D0107E">
              <w:t>17,495</w:t>
            </w:r>
          </w:p>
        </w:tc>
        <w:tc>
          <w:tcPr>
            <w:tcW w:w="1702" w:type="dxa"/>
            <w:vAlign w:val="center"/>
          </w:tcPr>
          <w:p w14:paraId="3C5ABD49" w14:textId="77777777" w:rsidR="00C354CD" w:rsidRPr="00D0107E" w:rsidRDefault="00C354CD" w:rsidP="00AD0E29">
            <w:pPr>
              <w:pStyle w:val="Tablesmalltext"/>
              <w:jc w:val="center"/>
            </w:pPr>
            <w:r w:rsidRPr="00D0107E">
              <w:t>21,000</w:t>
            </w:r>
          </w:p>
        </w:tc>
        <w:tc>
          <w:tcPr>
            <w:tcW w:w="1559" w:type="dxa"/>
            <w:vAlign w:val="center"/>
          </w:tcPr>
          <w:p w14:paraId="001C6773" w14:textId="77777777" w:rsidR="00C354CD" w:rsidRPr="00D0107E" w:rsidRDefault="00C354CD" w:rsidP="00AD0E29">
            <w:pPr>
              <w:pStyle w:val="Tablesmalltext"/>
              <w:jc w:val="center"/>
            </w:pPr>
            <w:r w:rsidRPr="00D0107E">
              <w:t>1 in 1.2</w:t>
            </w:r>
          </w:p>
        </w:tc>
        <w:tc>
          <w:tcPr>
            <w:tcW w:w="1559" w:type="dxa"/>
            <w:vAlign w:val="center"/>
          </w:tcPr>
          <w:p w14:paraId="5CB956A8" w14:textId="77777777" w:rsidR="00C354CD" w:rsidRPr="00D0107E" w:rsidRDefault="00C354CD" w:rsidP="00AD0E29">
            <w:pPr>
              <w:pStyle w:val="Tablesmalltext"/>
              <w:jc w:val="center"/>
            </w:pPr>
            <w:r w:rsidRPr="00D0107E">
              <w:t>3</w:t>
            </w:r>
          </w:p>
        </w:tc>
        <w:tc>
          <w:tcPr>
            <w:tcW w:w="1559" w:type="dxa"/>
            <w:vAlign w:val="center"/>
          </w:tcPr>
          <w:p w14:paraId="4D3E477E" w14:textId="77777777" w:rsidR="00C354CD" w:rsidRPr="00D0107E" w:rsidRDefault="00C354CD" w:rsidP="00AD0E29">
            <w:pPr>
              <w:pStyle w:val="Tablesmalltext"/>
              <w:jc w:val="center"/>
            </w:pPr>
            <w:r w:rsidRPr="00D0107E">
              <w:t>10,824</w:t>
            </w:r>
          </w:p>
        </w:tc>
        <w:tc>
          <w:tcPr>
            <w:tcW w:w="1559" w:type="dxa"/>
            <w:vAlign w:val="center"/>
          </w:tcPr>
          <w:p w14:paraId="69499A8B" w14:textId="77777777" w:rsidR="00C354CD" w:rsidRPr="00D0107E" w:rsidRDefault="00C354CD" w:rsidP="00AD0E29">
            <w:pPr>
              <w:pStyle w:val="Tablesmalltext"/>
              <w:jc w:val="center"/>
            </w:pPr>
            <w:r w:rsidRPr="00D0107E">
              <w:t>1,727</w:t>
            </w:r>
          </w:p>
        </w:tc>
      </w:tr>
      <w:tr w:rsidR="00C354CD" w:rsidRPr="00266A0F" w14:paraId="3FB2F4CE" w14:textId="77777777" w:rsidTr="00A22B6D">
        <w:trPr>
          <w:trHeight w:val="300"/>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3E2E0F" w14:textId="77777777" w:rsidR="00C354CD" w:rsidRPr="00D0107E" w:rsidRDefault="00C354CD" w:rsidP="00AD0E29">
            <w:pPr>
              <w:pStyle w:val="Tablesmalltext"/>
              <w:jc w:val="center"/>
            </w:pPr>
            <w:r w:rsidRPr="00D0107E">
              <w:t>8</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1279DA9B" w14:textId="77777777" w:rsidR="00C354CD" w:rsidRPr="00D0107E" w:rsidRDefault="00C354CD" w:rsidP="00AD0E29">
            <w:pPr>
              <w:pStyle w:val="Tablesmalltext"/>
            </w:pPr>
            <w:r w:rsidRPr="00D0107E">
              <w:t xml:space="preserve">Downstream of Gunbower </w:t>
            </w:r>
            <w:r>
              <w:t xml:space="preserve">forest </w:t>
            </w:r>
            <w:r w:rsidRPr="00D0107E">
              <w:t xml:space="preserve">to Swan Hill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7C42806" w14:textId="77777777" w:rsidR="00C354CD" w:rsidRPr="00D0107E" w:rsidRDefault="00C354CD" w:rsidP="00AD0E29">
            <w:pPr>
              <w:pStyle w:val="Tablesmalltext"/>
              <w:jc w:val="center"/>
            </w:pPr>
            <w:r w:rsidRPr="00D0107E">
              <w:t>40,254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B406577" w14:textId="77777777" w:rsidR="00C354CD" w:rsidRPr="00D0107E" w:rsidRDefault="00C354CD" w:rsidP="00AD0E29">
            <w:pPr>
              <w:pStyle w:val="Tablesmalltext"/>
              <w:jc w:val="center"/>
            </w:pPr>
            <w:r w:rsidRPr="00D0107E">
              <w:t>4,462</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208166AA" w14:textId="77777777" w:rsidR="00C354CD" w:rsidRPr="00D0107E" w:rsidRDefault="00C354CD" w:rsidP="00AD0E29">
            <w:pPr>
              <w:pStyle w:val="Tablesmalltext"/>
              <w:jc w:val="center"/>
            </w:pPr>
            <w:r w:rsidRPr="00D0107E">
              <w:t>52,000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F4C58E8" w14:textId="77777777" w:rsidR="00C354CD" w:rsidRPr="00D0107E" w:rsidRDefault="00C354CD" w:rsidP="00AD0E29">
            <w:pPr>
              <w:pStyle w:val="Tablesmalltext"/>
              <w:jc w:val="center"/>
            </w:pPr>
            <w:r w:rsidRPr="00D0107E">
              <w:t>1 in 3.2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EFB8B41" w14:textId="77777777" w:rsidR="00C354CD" w:rsidRPr="00D0107E" w:rsidRDefault="00C354CD" w:rsidP="00AD0E29">
            <w:pPr>
              <w:pStyle w:val="Tablesmalltext"/>
              <w:jc w:val="center"/>
            </w:pPr>
            <w:r w:rsidRPr="00D0107E">
              <w:t>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31A27B0" w14:textId="77777777" w:rsidR="00C354CD" w:rsidRPr="00D0107E" w:rsidRDefault="00C354CD" w:rsidP="00AD0E29">
            <w:pPr>
              <w:pStyle w:val="Tablesmalltext"/>
              <w:jc w:val="center"/>
            </w:pPr>
            <w:r w:rsidRPr="00D0107E">
              <w:t>11,123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D715411" w14:textId="77777777" w:rsidR="00C354CD" w:rsidRPr="00D0107E" w:rsidRDefault="00C354CD" w:rsidP="00AD0E29">
            <w:pPr>
              <w:pStyle w:val="Tablesmalltext"/>
              <w:jc w:val="center"/>
            </w:pPr>
            <w:r w:rsidRPr="00D0107E">
              <w:t>1,230</w:t>
            </w:r>
          </w:p>
        </w:tc>
      </w:tr>
      <w:tr w:rsidR="00C354CD" w:rsidRPr="00266A0F" w14:paraId="39AAD21A" w14:textId="77777777" w:rsidTr="00A22B6D">
        <w:trPr>
          <w:trHeight w:val="300"/>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665A80" w14:textId="77777777" w:rsidR="00C354CD" w:rsidRPr="00D0107E" w:rsidRDefault="00C354CD" w:rsidP="00AD0E29">
            <w:pPr>
              <w:pStyle w:val="Tablesmalltext"/>
              <w:jc w:val="center"/>
            </w:pPr>
            <w:r w:rsidRPr="00D0107E">
              <w:t>9</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4AACE46" w14:textId="77777777" w:rsidR="00C354CD" w:rsidRPr="00D0107E" w:rsidRDefault="00C354CD" w:rsidP="00AD0E29">
            <w:pPr>
              <w:pStyle w:val="Tablesmalltext"/>
            </w:pPr>
            <w:r w:rsidRPr="00D0107E">
              <w:t>Swan Hill to Murray/Wakool junction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7B80AE0" w14:textId="77777777" w:rsidR="00C354CD" w:rsidRPr="00D0107E" w:rsidRDefault="00C354CD" w:rsidP="00AD0E29">
            <w:pPr>
              <w:pStyle w:val="Tablesmalltext"/>
              <w:jc w:val="center"/>
            </w:pPr>
            <w:r w:rsidRPr="00D0107E">
              <w:t>25,139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A861D18" w14:textId="77777777" w:rsidR="00C354CD" w:rsidRPr="00D0107E" w:rsidRDefault="00C354CD" w:rsidP="00AD0E29">
            <w:pPr>
              <w:pStyle w:val="Tablesmalltext"/>
              <w:jc w:val="center"/>
            </w:pPr>
            <w:r w:rsidRPr="00D0107E">
              <w:t>3,815</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06172D3D" w14:textId="77777777" w:rsidR="00C354CD" w:rsidRPr="00D0107E" w:rsidRDefault="00C354CD" w:rsidP="00AD0E29">
            <w:pPr>
              <w:pStyle w:val="Tablesmalltext"/>
              <w:jc w:val="center"/>
            </w:pPr>
            <w:r w:rsidRPr="00D0107E">
              <w:t>25,000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22F3907" w14:textId="77777777" w:rsidR="00C354CD" w:rsidRPr="00D0107E" w:rsidRDefault="00C354CD" w:rsidP="00AD0E29">
            <w:pPr>
              <w:pStyle w:val="Tablesmalltext"/>
              <w:jc w:val="center"/>
            </w:pPr>
            <w:r w:rsidRPr="00D0107E">
              <w:t>1 in 3.3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8ABA067" w14:textId="77777777" w:rsidR="00C354CD" w:rsidRPr="00D0107E" w:rsidRDefault="00C354CD" w:rsidP="00AD0E29">
            <w:pPr>
              <w:pStyle w:val="Tablesmalltext"/>
              <w:jc w:val="center"/>
            </w:pPr>
            <w:r w:rsidRPr="00D0107E">
              <w:t>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B35679B" w14:textId="77777777" w:rsidR="00C354CD" w:rsidRPr="00D0107E" w:rsidRDefault="00C354CD" w:rsidP="00AD0E29">
            <w:pPr>
              <w:pStyle w:val="Tablesmalltext"/>
              <w:jc w:val="center"/>
            </w:pPr>
            <w:r w:rsidRPr="00D0107E">
              <w:t>3,014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AD49D7F" w14:textId="77777777" w:rsidR="00C354CD" w:rsidRPr="00D0107E" w:rsidRDefault="00C354CD" w:rsidP="00AD0E29">
            <w:pPr>
              <w:pStyle w:val="Tablesmalltext"/>
              <w:jc w:val="center"/>
            </w:pPr>
            <w:r w:rsidRPr="00D0107E">
              <w:t>252</w:t>
            </w:r>
          </w:p>
        </w:tc>
      </w:tr>
      <w:tr w:rsidR="00C354CD" w:rsidRPr="00266A0F" w14:paraId="24A1A257" w14:textId="77777777" w:rsidTr="00A22B6D">
        <w:trPr>
          <w:trHeight w:val="300"/>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4AF56D" w14:textId="77777777" w:rsidR="00C354CD" w:rsidRPr="00D0107E" w:rsidRDefault="00C354CD" w:rsidP="00AD0E29">
            <w:pPr>
              <w:pStyle w:val="Tablesmalltext"/>
              <w:jc w:val="center"/>
            </w:pPr>
            <w:r w:rsidRPr="00D0107E">
              <w:t>10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7BB64976" w14:textId="77777777" w:rsidR="00C354CD" w:rsidRPr="00D0107E" w:rsidRDefault="00C354CD" w:rsidP="00AD0E29">
            <w:pPr>
              <w:pStyle w:val="Tablesmalltext"/>
            </w:pPr>
            <w:r w:rsidRPr="00D0107E">
              <w:t>Murray/Wakool junction to Murray/Murrumbidgee junction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B2D1F2B" w14:textId="77777777" w:rsidR="00C354CD" w:rsidRPr="00D0107E" w:rsidRDefault="00C354CD" w:rsidP="00AD0E29">
            <w:pPr>
              <w:pStyle w:val="Tablesmalltext"/>
              <w:jc w:val="center"/>
            </w:pPr>
            <w:r w:rsidRPr="00D0107E">
              <w:t>13,287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D116C4B" w14:textId="77777777" w:rsidR="00C354CD" w:rsidRPr="00D0107E" w:rsidRDefault="00C354CD" w:rsidP="00AD0E29">
            <w:pPr>
              <w:pStyle w:val="Tablesmalltext"/>
              <w:jc w:val="center"/>
            </w:pPr>
            <w:r w:rsidRPr="00D0107E">
              <w:t>7,126</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10745184" w14:textId="77777777" w:rsidR="00C354CD" w:rsidRPr="00D0107E" w:rsidRDefault="00C354CD" w:rsidP="00AD0E29">
            <w:pPr>
              <w:pStyle w:val="Tablesmalltext"/>
              <w:jc w:val="center"/>
            </w:pPr>
            <w:r w:rsidRPr="00D0107E">
              <w:t>75,000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967E761" w14:textId="77777777" w:rsidR="00C354CD" w:rsidRPr="00D0107E" w:rsidRDefault="00C354CD" w:rsidP="00AD0E29">
            <w:pPr>
              <w:pStyle w:val="Tablesmalltext"/>
              <w:jc w:val="center"/>
            </w:pPr>
            <w:r w:rsidRPr="00D0107E">
              <w:t>1 in 6.3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2245773" w14:textId="77777777" w:rsidR="00C354CD" w:rsidRPr="00D0107E" w:rsidRDefault="00C354CD" w:rsidP="00AD0E29">
            <w:pPr>
              <w:pStyle w:val="Tablesmalltext"/>
              <w:jc w:val="center"/>
            </w:pPr>
            <w:r w:rsidRPr="00D0107E">
              <w:t>21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73B76C6" w14:textId="77777777" w:rsidR="00C354CD" w:rsidRPr="00D0107E" w:rsidRDefault="00C354CD" w:rsidP="00AD0E29">
            <w:pPr>
              <w:pStyle w:val="Tablesmalltext"/>
              <w:jc w:val="center"/>
            </w:pPr>
            <w:r w:rsidRPr="00D0107E">
              <w:t>3,010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F4852E9" w14:textId="77777777" w:rsidR="00C354CD" w:rsidRPr="00D0107E" w:rsidRDefault="00C354CD" w:rsidP="00AD0E29">
            <w:pPr>
              <w:pStyle w:val="Tablesmalltext"/>
              <w:jc w:val="center"/>
            </w:pPr>
            <w:r w:rsidRPr="00D0107E">
              <w:t>1,257</w:t>
            </w:r>
          </w:p>
        </w:tc>
      </w:tr>
      <w:tr w:rsidR="00C354CD" w:rsidRPr="00266A0F" w14:paraId="0EED9254" w14:textId="77777777" w:rsidTr="00A22B6D">
        <w:trPr>
          <w:trHeight w:val="300"/>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DDBA72" w14:textId="77777777" w:rsidR="00C354CD" w:rsidRPr="00D0107E" w:rsidRDefault="00C354CD" w:rsidP="00AD0E29">
            <w:pPr>
              <w:pStyle w:val="Tablesmalltext"/>
              <w:jc w:val="center"/>
            </w:pPr>
            <w:r w:rsidRPr="00D0107E">
              <w:t>11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0469542" w14:textId="77777777" w:rsidR="00C354CD" w:rsidRPr="00D0107E" w:rsidRDefault="00C354CD" w:rsidP="00AD0E29">
            <w:pPr>
              <w:pStyle w:val="Tablesmalltext"/>
            </w:pPr>
            <w:r w:rsidRPr="00D0107E">
              <w:t xml:space="preserve">Murrumbidgee/Murray junction to Lock 15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ED8E9C1" w14:textId="77777777" w:rsidR="00C354CD" w:rsidRPr="00D0107E" w:rsidRDefault="00C354CD" w:rsidP="00AD0E29">
            <w:pPr>
              <w:pStyle w:val="Tablesmalltext"/>
              <w:jc w:val="center"/>
            </w:pPr>
            <w:r w:rsidRPr="00D0107E">
              <w:t>47,532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28C76B8" w14:textId="77777777" w:rsidR="00C354CD" w:rsidRPr="00D0107E" w:rsidRDefault="00C354CD" w:rsidP="00AD0E29">
            <w:pPr>
              <w:pStyle w:val="Tablesmalltext"/>
              <w:jc w:val="center"/>
            </w:pPr>
            <w:r w:rsidRPr="00D0107E">
              <w:t>23,864</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31B33002" w14:textId="77777777" w:rsidR="00C354CD" w:rsidRPr="00D0107E" w:rsidRDefault="00C354CD" w:rsidP="00AD0E29">
            <w:pPr>
              <w:pStyle w:val="Tablesmalltext"/>
              <w:jc w:val="center"/>
            </w:pPr>
            <w:r w:rsidRPr="00D0107E">
              <w:t>92,000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2459B49" w14:textId="77777777" w:rsidR="00C354CD" w:rsidRPr="00D0107E" w:rsidRDefault="00C354CD" w:rsidP="00AD0E29">
            <w:pPr>
              <w:pStyle w:val="Tablesmalltext"/>
              <w:jc w:val="center"/>
            </w:pPr>
            <w:r w:rsidRPr="00D0107E">
              <w:t>1 in 6.0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3632234" w14:textId="77777777" w:rsidR="00C354CD" w:rsidRPr="00D0107E" w:rsidRDefault="00C354CD" w:rsidP="00AD0E29">
            <w:pPr>
              <w:pStyle w:val="Tablesmalltext"/>
              <w:jc w:val="center"/>
            </w:pPr>
            <w:r w:rsidRPr="00D0107E">
              <w:t>17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D23E0D6" w14:textId="77777777" w:rsidR="00C354CD" w:rsidRPr="00D0107E" w:rsidRDefault="00C354CD" w:rsidP="00AD0E29">
            <w:pPr>
              <w:pStyle w:val="Tablesmalltext"/>
              <w:jc w:val="center"/>
            </w:pPr>
            <w:r w:rsidRPr="00D0107E">
              <w:t>7,551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4753135" w14:textId="77777777" w:rsidR="00C354CD" w:rsidRPr="00D0107E" w:rsidRDefault="00C354CD" w:rsidP="00AD0E29">
            <w:pPr>
              <w:pStyle w:val="Tablesmalltext"/>
              <w:jc w:val="center"/>
            </w:pPr>
            <w:r w:rsidRPr="00D0107E">
              <w:t>2,408</w:t>
            </w:r>
          </w:p>
        </w:tc>
      </w:tr>
      <w:tr w:rsidR="00C354CD" w:rsidRPr="00266A0F" w14:paraId="2F43AF35" w14:textId="77777777" w:rsidTr="00A22B6D">
        <w:trPr>
          <w:trHeight w:val="39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134C59" w14:textId="77777777" w:rsidR="00C354CD" w:rsidRPr="00D0107E" w:rsidRDefault="00C354CD" w:rsidP="00AD0E29">
            <w:pPr>
              <w:pStyle w:val="Tablesmalltext"/>
              <w:jc w:val="center"/>
            </w:pPr>
            <w:r w:rsidRPr="00D0107E">
              <w:t>12</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3E64D623" w14:textId="77777777" w:rsidR="00C354CD" w:rsidRPr="00D0107E" w:rsidRDefault="00C354CD" w:rsidP="00AD0E29">
            <w:pPr>
              <w:pStyle w:val="Tablesmalltext"/>
            </w:pPr>
            <w:r w:rsidRPr="00D0107E">
              <w:t>Lock 15 to Lock 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D77D475" w14:textId="77777777" w:rsidR="00C354CD" w:rsidRPr="00D0107E" w:rsidRDefault="00C354CD" w:rsidP="00AD0E29">
            <w:pPr>
              <w:pStyle w:val="Tablesmalltext"/>
              <w:jc w:val="center"/>
            </w:pPr>
            <w:r w:rsidRPr="00D0107E">
              <w:t>92,590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91E5AE1" w14:textId="77777777" w:rsidR="00C354CD" w:rsidRPr="00D0107E" w:rsidRDefault="00C354CD" w:rsidP="00AD0E29">
            <w:pPr>
              <w:pStyle w:val="Tablesmalltext"/>
              <w:jc w:val="center"/>
            </w:pPr>
            <w:r w:rsidRPr="00D0107E">
              <w:t>47,154</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5C91436D" w14:textId="77777777" w:rsidR="00C354CD" w:rsidRPr="00D0107E" w:rsidRDefault="00C354CD" w:rsidP="00AD0E29">
            <w:pPr>
              <w:pStyle w:val="Tablesmalltext"/>
              <w:jc w:val="center"/>
            </w:pPr>
            <w:r w:rsidRPr="00D0107E">
              <w:t>92,000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BD496B2" w14:textId="77777777" w:rsidR="00C354CD" w:rsidRPr="00D0107E" w:rsidRDefault="00C354CD" w:rsidP="00AD0E29">
            <w:pPr>
              <w:pStyle w:val="Tablesmalltext"/>
              <w:jc w:val="center"/>
            </w:pPr>
            <w:r w:rsidRPr="00D0107E">
              <w:t>1 in 6.7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5A60C4C" w14:textId="77777777" w:rsidR="00C354CD" w:rsidRPr="00D0107E" w:rsidRDefault="00C354CD" w:rsidP="00AD0E29">
            <w:pPr>
              <w:pStyle w:val="Tablesmalltext"/>
              <w:jc w:val="center"/>
            </w:pPr>
            <w:r w:rsidRPr="00D0107E">
              <w:t>21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E328D16" w14:textId="77777777" w:rsidR="00C354CD" w:rsidRPr="00D0107E" w:rsidRDefault="00C354CD" w:rsidP="00AD0E29">
            <w:pPr>
              <w:pStyle w:val="Tablesmalltext"/>
              <w:jc w:val="center"/>
            </w:pPr>
            <w:r w:rsidRPr="00D0107E">
              <w:t>26,615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45B57CA" w14:textId="77777777" w:rsidR="00C354CD" w:rsidRPr="00D0107E" w:rsidRDefault="00C354CD" w:rsidP="00AD0E29">
            <w:pPr>
              <w:pStyle w:val="Tablesmalltext"/>
              <w:jc w:val="center"/>
            </w:pPr>
            <w:r w:rsidRPr="00D0107E">
              <w:t>11,940</w:t>
            </w:r>
          </w:p>
        </w:tc>
      </w:tr>
      <w:tr w:rsidR="00C354CD" w:rsidRPr="00266A0F" w14:paraId="578AAB63" w14:textId="77777777" w:rsidTr="00A22B6D">
        <w:trPr>
          <w:trHeight w:val="39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A56164" w14:textId="77777777" w:rsidR="00C354CD" w:rsidRPr="00D0107E" w:rsidRDefault="00C354CD" w:rsidP="00AD0E29">
            <w:pPr>
              <w:pStyle w:val="Tablesmalltext"/>
              <w:jc w:val="center"/>
            </w:pPr>
            <w:r w:rsidRPr="00D0107E">
              <w:t>13</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D960AB4" w14:textId="77777777" w:rsidR="00C354CD" w:rsidRPr="00D0107E" w:rsidRDefault="00C354CD" w:rsidP="00AD0E29">
            <w:pPr>
              <w:pStyle w:val="Tablesmalltext"/>
            </w:pPr>
            <w:r w:rsidRPr="00D0107E">
              <w:t xml:space="preserve">Lock 10 to Lock 9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02558E7" w14:textId="77777777" w:rsidR="00C354CD" w:rsidRPr="00D0107E" w:rsidRDefault="00C354CD" w:rsidP="00AD0E29">
            <w:pPr>
              <w:pStyle w:val="Tablesmalltext"/>
              <w:jc w:val="center"/>
            </w:pPr>
            <w:r w:rsidRPr="00D0107E">
              <w:t>38,199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3D09AFD" w14:textId="77777777" w:rsidR="00C354CD" w:rsidRPr="00D0107E" w:rsidRDefault="00C354CD" w:rsidP="00AD0E29">
            <w:pPr>
              <w:pStyle w:val="Tablesmalltext"/>
              <w:jc w:val="center"/>
            </w:pPr>
            <w:r w:rsidRPr="00D0107E">
              <w:t>22,080</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54D6CC87" w14:textId="77777777" w:rsidR="00C354CD" w:rsidRPr="00D0107E" w:rsidRDefault="00C354CD" w:rsidP="00AD0E29">
            <w:pPr>
              <w:pStyle w:val="Tablesmalltext"/>
              <w:jc w:val="center"/>
            </w:pPr>
            <w:r w:rsidRPr="00D0107E">
              <w:t>98,000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F71311B" w14:textId="77777777" w:rsidR="00C354CD" w:rsidRPr="00D0107E" w:rsidRDefault="00C354CD" w:rsidP="00AD0E29">
            <w:pPr>
              <w:pStyle w:val="Tablesmalltext"/>
              <w:jc w:val="center"/>
            </w:pPr>
            <w:r w:rsidRPr="00D0107E">
              <w:t>1 in 6.7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475BF63" w14:textId="77777777" w:rsidR="00C354CD" w:rsidRPr="00D0107E" w:rsidRDefault="00C354CD" w:rsidP="00AD0E29">
            <w:pPr>
              <w:pStyle w:val="Tablesmalltext"/>
              <w:jc w:val="center"/>
            </w:pPr>
            <w:r w:rsidRPr="00D0107E">
              <w:t>21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43C05FD" w14:textId="77777777" w:rsidR="00C354CD" w:rsidRPr="00D0107E" w:rsidRDefault="00C354CD" w:rsidP="00AD0E29">
            <w:pPr>
              <w:pStyle w:val="Tablesmalltext"/>
              <w:jc w:val="center"/>
            </w:pPr>
            <w:r w:rsidRPr="00D0107E">
              <w:t>11,282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DBEB09F" w14:textId="77777777" w:rsidR="00C354CD" w:rsidRPr="00D0107E" w:rsidRDefault="00C354CD" w:rsidP="00AD0E29">
            <w:pPr>
              <w:pStyle w:val="Tablesmalltext"/>
              <w:jc w:val="center"/>
            </w:pPr>
            <w:r w:rsidRPr="00D0107E">
              <w:t>4,999</w:t>
            </w:r>
          </w:p>
        </w:tc>
      </w:tr>
      <w:tr w:rsidR="00C354CD" w:rsidRPr="00266A0F" w14:paraId="67C52CF1" w14:textId="77777777" w:rsidTr="00A22B6D">
        <w:trPr>
          <w:trHeight w:val="39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DDD6D1" w14:textId="77777777" w:rsidR="00C354CD" w:rsidRPr="00D0107E" w:rsidRDefault="00C354CD" w:rsidP="00AD0E29">
            <w:pPr>
              <w:pStyle w:val="Tablesmalltext"/>
              <w:jc w:val="center"/>
            </w:pPr>
            <w:r w:rsidRPr="00D0107E">
              <w:t>14</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28718AC" w14:textId="77777777" w:rsidR="00C354CD" w:rsidRPr="00D0107E" w:rsidRDefault="00C354CD" w:rsidP="00AD0E29">
            <w:pPr>
              <w:pStyle w:val="Tablesmalltext"/>
            </w:pPr>
            <w:r w:rsidRPr="00D0107E">
              <w:t xml:space="preserve">Lock 9 to Lock 8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3CA44FE" w14:textId="77777777" w:rsidR="00C354CD" w:rsidRPr="00D0107E" w:rsidRDefault="00C354CD" w:rsidP="00AD0E29">
            <w:pPr>
              <w:pStyle w:val="Tablesmalltext"/>
              <w:jc w:val="center"/>
            </w:pPr>
            <w:r w:rsidRPr="00D0107E">
              <w:t>21,422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1C59B32" w14:textId="77777777" w:rsidR="00C354CD" w:rsidRPr="00D0107E" w:rsidRDefault="00C354CD" w:rsidP="00AD0E29">
            <w:pPr>
              <w:pStyle w:val="Tablesmalltext"/>
              <w:jc w:val="center"/>
            </w:pPr>
            <w:r w:rsidRPr="00D0107E">
              <w:t>12,270</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64DF7540" w14:textId="77777777" w:rsidR="00C354CD" w:rsidRPr="00D0107E" w:rsidRDefault="00C354CD" w:rsidP="00AD0E29">
            <w:pPr>
              <w:pStyle w:val="Tablesmalltext"/>
              <w:jc w:val="center"/>
            </w:pPr>
            <w:r w:rsidRPr="00D0107E">
              <w:t>80,000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BA1F8E8" w14:textId="77777777" w:rsidR="00C354CD" w:rsidRPr="00D0107E" w:rsidRDefault="00C354CD" w:rsidP="00AD0E29">
            <w:pPr>
              <w:pStyle w:val="Tablesmalltext"/>
              <w:jc w:val="center"/>
            </w:pPr>
            <w:r w:rsidRPr="00D0107E">
              <w:t>1 in 6.0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FD6C242" w14:textId="77777777" w:rsidR="00C354CD" w:rsidRPr="00D0107E" w:rsidRDefault="00C354CD" w:rsidP="00AD0E29">
            <w:pPr>
              <w:pStyle w:val="Tablesmalltext"/>
              <w:jc w:val="center"/>
            </w:pPr>
            <w:r w:rsidRPr="00D0107E">
              <w:t>21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CE7400F" w14:textId="77777777" w:rsidR="00C354CD" w:rsidRPr="00D0107E" w:rsidRDefault="00C354CD" w:rsidP="00AD0E29">
            <w:pPr>
              <w:pStyle w:val="Tablesmalltext"/>
              <w:jc w:val="center"/>
            </w:pPr>
            <w:r w:rsidRPr="00D0107E">
              <w:t>6,159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E91505F" w14:textId="77777777" w:rsidR="00C354CD" w:rsidRPr="00D0107E" w:rsidRDefault="00C354CD" w:rsidP="00AD0E29">
            <w:pPr>
              <w:pStyle w:val="Tablesmalltext"/>
              <w:jc w:val="center"/>
            </w:pPr>
            <w:r w:rsidRPr="00D0107E">
              <w:t>2,447</w:t>
            </w:r>
          </w:p>
        </w:tc>
      </w:tr>
      <w:tr w:rsidR="00C354CD" w:rsidRPr="00266A0F" w14:paraId="24FE0C4B" w14:textId="77777777" w:rsidTr="00A22B6D">
        <w:trPr>
          <w:trHeight w:val="39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5A10FD" w14:textId="77777777" w:rsidR="00C354CD" w:rsidRPr="00D0107E" w:rsidRDefault="00C354CD" w:rsidP="00AD0E29">
            <w:pPr>
              <w:pStyle w:val="Tablesmalltext"/>
              <w:jc w:val="center"/>
            </w:pPr>
            <w:r w:rsidRPr="00D0107E">
              <w:t>15</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44A81EB" w14:textId="77777777" w:rsidR="00C354CD" w:rsidRPr="00D0107E" w:rsidRDefault="00C354CD" w:rsidP="00AD0E29">
            <w:pPr>
              <w:pStyle w:val="Tablesmalltext"/>
            </w:pPr>
            <w:r w:rsidRPr="00D0107E">
              <w:t xml:space="preserve">Lock 8 to Lock 7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966DD33" w14:textId="77777777" w:rsidR="00C354CD" w:rsidRPr="00D0107E" w:rsidRDefault="00C354CD" w:rsidP="00AD0E29">
            <w:pPr>
              <w:pStyle w:val="Tablesmalltext"/>
              <w:jc w:val="center"/>
            </w:pPr>
            <w:r w:rsidRPr="00D0107E">
              <w:t>30,732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A40DCA5" w14:textId="77777777" w:rsidR="00C354CD" w:rsidRPr="00D0107E" w:rsidRDefault="00C354CD" w:rsidP="00AD0E29">
            <w:pPr>
              <w:pStyle w:val="Tablesmalltext"/>
              <w:jc w:val="center"/>
            </w:pPr>
            <w:r w:rsidRPr="00D0107E">
              <w:t>9,410</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055D8E18" w14:textId="77777777" w:rsidR="00C354CD" w:rsidRPr="00D0107E" w:rsidRDefault="00C354CD" w:rsidP="00AD0E29">
            <w:pPr>
              <w:pStyle w:val="Tablesmalltext"/>
              <w:jc w:val="center"/>
            </w:pPr>
            <w:r w:rsidRPr="00D0107E">
              <w:t>80,000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120F4A0" w14:textId="77777777" w:rsidR="00C354CD" w:rsidRPr="00D0107E" w:rsidRDefault="00C354CD" w:rsidP="00AD0E29">
            <w:pPr>
              <w:pStyle w:val="Tablesmalltext"/>
              <w:jc w:val="center"/>
            </w:pPr>
            <w:r w:rsidRPr="00D0107E">
              <w:t>1 in 6.3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8558A06" w14:textId="77777777" w:rsidR="00C354CD" w:rsidRPr="00D0107E" w:rsidRDefault="00C354CD" w:rsidP="00AD0E29">
            <w:pPr>
              <w:pStyle w:val="Tablesmalltext"/>
              <w:jc w:val="center"/>
            </w:pPr>
            <w:r w:rsidRPr="00D0107E">
              <w:t>21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49CD13D" w14:textId="77777777" w:rsidR="00C354CD" w:rsidRPr="00D0107E" w:rsidRDefault="00C354CD" w:rsidP="00AD0E29">
            <w:pPr>
              <w:pStyle w:val="Tablesmalltext"/>
              <w:jc w:val="center"/>
            </w:pPr>
            <w:r w:rsidRPr="00D0107E">
              <w:t>17,057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F13C875" w14:textId="77777777" w:rsidR="00C354CD" w:rsidRPr="00D0107E" w:rsidRDefault="00C354CD" w:rsidP="00AD0E29">
            <w:pPr>
              <w:pStyle w:val="Tablesmalltext"/>
              <w:jc w:val="center"/>
            </w:pPr>
            <w:r w:rsidRPr="00D0107E">
              <w:t>2,080</w:t>
            </w:r>
          </w:p>
        </w:tc>
      </w:tr>
      <w:tr w:rsidR="00C354CD" w:rsidRPr="00266A0F" w14:paraId="341E1B17" w14:textId="77777777" w:rsidTr="00A22B6D">
        <w:trPr>
          <w:trHeight w:val="39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2A6047" w14:textId="77777777" w:rsidR="00C354CD" w:rsidRPr="00D0107E" w:rsidRDefault="00C354CD" w:rsidP="00AD0E29">
            <w:pPr>
              <w:pStyle w:val="Tablesmalltext"/>
              <w:jc w:val="center"/>
            </w:pPr>
            <w:r w:rsidRPr="00D0107E">
              <w:t>16</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11BC6521" w14:textId="77777777" w:rsidR="00C354CD" w:rsidRPr="00D0107E" w:rsidRDefault="00C354CD" w:rsidP="00AD0E29">
            <w:pPr>
              <w:pStyle w:val="Tablesmalltext"/>
            </w:pPr>
            <w:r w:rsidRPr="00D0107E">
              <w:t>Lock 7 to Lock 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3805498" w14:textId="77777777" w:rsidR="00C354CD" w:rsidRPr="00D0107E" w:rsidRDefault="00C354CD" w:rsidP="00AD0E29">
            <w:pPr>
              <w:pStyle w:val="Tablesmalltext"/>
              <w:jc w:val="center"/>
            </w:pPr>
            <w:r w:rsidRPr="00D0107E">
              <w:t>35,398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D3A0822" w14:textId="77777777" w:rsidR="00C354CD" w:rsidRPr="00D0107E" w:rsidRDefault="00C354CD" w:rsidP="00AD0E29">
            <w:pPr>
              <w:pStyle w:val="Tablesmalltext"/>
              <w:jc w:val="center"/>
            </w:pPr>
            <w:r w:rsidRPr="00D0107E">
              <w:t>16,601</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6656F40A" w14:textId="77777777" w:rsidR="00C354CD" w:rsidRPr="00D0107E" w:rsidRDefault="00C354CD" w:rsidP="00AD0E29">
            <w:pPr>
              <w:pStyle w:val="Tablesmalltext"/>
              <w:jc w:val="center"/>
            </w:pPr>
            <w:r w:rsidRPr="00D0107E">
              <w:t>80,000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0DD0EDB" w14:textId="77777777" w:rsidR="00C354CD" w:rsidRPr="00D0107E" w:rsidRDefault="00C354CD" w:rsidP="00AD0E29">
            <w:pPr>
              <w:pStyle w:val="Tablesmalltext"/>
              <w:jc w:val="center"/>
            </w:pPr>
            <w:r w:rsidRPr="00D0107E">
              <w:t>1 in 6.3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B8FBEA0" w14:textId="77777777" w:rsidR="00C354CD" w:rsidRPr="00D0107E" w:rsidRDefault="00C354CD" w:rsidP="00AD0E29">
            <w:pPr>
              <w:pStyle w:val="Tablesmalltext"/>
              <w:jc w:val="center"/>
            </w:pPr>
            <w:r w:rsidRPr="00D0107E">
              <w:t>21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490DC83" w14:textId="77777777" w:rsidR="00C354CD" w:rsidRPr="00D0107E" w:rsidRDefault="00C354CD" w:rsidP="00AD0E29">
            <w:pPr>
              <w:pStyle w:val="Tablesmalltext"/>
              <w:jc w:val="center"/>
            </w:pPr>
            <w:r w:rsidRPr="00D0107E">
              <w:t>23,825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4686602" w14:textId="77777777" w:rsidR="00C354CD" w:rsidRPr="00D0107E" w:rsidRDefault="00C354CD" w:rsidP="00AD0E29">
            <w:pPr>
              <w:pStyle w:val="Tablesmalltext"/>
              <w:jc w:val="center"/>
            </w:pPr>
            <w:r w:rsidRPr="00D0107E">
              <w:t>9,221</w:t>
            </w:r>
          </w:p>
        </w:tc>
      </w:tr>
      <w:tr w:rsidR="00C354CD" w:rsidRPr="00266A0F" w14:paraId="56558E02" w14:textId="77777777" w:rsidTr="00A22B6D">
        <w:trPr>
          <w:trHeight w:val="39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021C53" w14:textId="77777777" w:rsidR="00C354CD" w:rsidRPr="00D0107E" w:rsidRDefault="00C354CD" w:rsidP="00AD0E29">
            <w:pPr>
              <w:pStyle w:val="Tablesmalltext"/>
              <w:jc w:val="center"/>
            </w:pPr>
            <w:r w:rsidRPr="00D0107E">
              <w:t>17</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6053CE6" w14:textId="77777777" w:rsidR="00C354CD" w:rsidRPr="00D0107E" w:rsidRDefault="00C354CD" w:rsidP="00AD0E29">
            <w:pPr>
              <w:pStyle w:val="Tablesmalltext"/>
            </w:pPr>
            <w:r w:rsidRPr="00D0107E">
              <w:t xml:space="preserve">Lock 6 to Lock 5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1FE057F" w14:textId="77777777" w:rsidR="00C354CD" w:rsidRPr="00D0107E" w:rsidRDefault="00C354CD" w:rsidP="00AD0E29">
            <w:pPr>
              <w:pStyle w:val="Tablesmalltext"/>
              <w:jc w:val="center"/>
            </w:pPr>
            <w:r w:rsidRPr="00D0107E">
              <w:t>19,655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9259D9E" w14:textId="77777777" w:rsidR="00C354CD" w:rsidRPr="00D0107E" w:rsidRDefault="00C354CD" w:rsidP="00AD0E29">
            <w:pPr>
              <w:pStyle w:val="Tablesmalltext"/>
              <w:jc w:val="center"/>
            </w:pPr>
            <w:r w:rsidRPr="00D0107E">
              <w:t>6,786</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331CB75A" w14:textId="77777777" w:rsidR="00C354CD" w:rsidRPr="00D0107E" w:rsidRDefault="00C354CD" w:rsidP="00AD0E29">
            <w:pPr>
              <w:pStyle w:val="Tablesmalltext"/>
              <w:jc w:val="center"/>
            </w:pPr>
            <w:r w:rsidRPr="00D0107E">
              <w:t>80,000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FB2C265" w14:textId="77777777" w:rsidR="00C354CD" w:rsidRPr="00D0107E" w:rsidRDefault="00C354CD" w:rsidP="00AD0E29">
            <w:pPr>
              <w:pStyle w:val="Tablesmalltext"/>
              <w:jc w:val="center"/>
            </w:pPr>
            <w:r w:rsidRPr="00D0107E">
              <w:t>1 in 6.3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7D8A091" w14:textId="77777777" w:rsidR="00C354CD" w:rsidRPr="00D0107E" w:rsidRDefault="00C354CD" w:rsidP="00AD0E29">
            <w:pPr>
              <w:pStyle w:val="Tablesmalltext"/>
              <w:jc w:val="center"/>
            </w:pPr>
            <w:r w:rsidRPr="00D0107E">
              <w:t>21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C94A888" w14:textId="77777777" w:rsidR="00C354CD" w:rsidRPr="00D0107E" w:rsidRDefault="00C354CD" w:rsidP="00AD0E29">
            <w:pPr>
              <w:pStyle w:val="Tablesmalltext"/>
              <w:jc w:val="center"/>
            </w:pPr>
            <w:r w:rsidRPr="00D0107E">
              <w:t>13,748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E121251" w14:textId="77777777" w:rsidR="00C354CD" w:rsidRPr="00D0107E" w:rsidRDefault="00C354CD" w:rsidP="00AD0E29">
            <w:pPr>
              <w:pStyle w:val="Tablesmalltext"/>
              <w:jc w:val="center"/>
            </w:pPr>
            <w:r w:rsidRPr="00D0107E">
              <w:t>3,861</w:t>
            </w:r>
          </w:p>
        </w:tc>
      </w:tr>
      <w:tr w:rsidR="00C354CD" w:rsidRPr="00266A0F" w14:paraId="298A9C48" w14:textId="77777777" w:rsidTr="00A22B6D">
        <w:trPr>
          <w:trHeight w:val="39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35C1BD" w14:textId="77777777" w:rsidR="00C354CD" w:rsidRPr="00D0107E" w:rsidRDefault="00C354CD" w:rsidP="00AD0E29">
            <w:pPr>
              <w:pStyle w:val="Tablesmalltext"/>
              <w:jc w:val="center"/>
            </w:pPr>
            <w:r w:rsidRPr="00D0107E">
              <w:t>18</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8562F6D" w14:textId="77777777" w:rsidR="00C354CD" w:rsidRPr="00D0107E" w:rsidRDefault="00C354CD" w:rsidP="00AD0E29">
            <w:pPr>
              <w:pStyle w:val="Tablesmalltext"/>
            </w:pPr>
            <w:r w:rsidRPr="00D0107E">
              <w:t xml:space="preserve">Lock 5 to Lock 4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D66322E" w14:textId="77777777" w:rsidR="00C354CD" w:rsidRPr="00D0107E" w:rsidRDefault="00C354CD" w:rsidP="00AD0E29">
            <w:pPr>
              <w:pStyle w:val="Tablesmalltext"/>
              <w:jc w:val="center"/>
            </w:pPr>
            <w:r w:rsidRPr="00D0107E">
              <w:t>14,643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49FD06C" w14:textId="77777777" w:rsidR="00C354CD" w:rsidRPr="00D0107E" w:rsidRDefault="00C354CD" w:rsidP="00AD0E29">
            <w:pPr>
              <w:pStyle w:val="Tablesmalltext"/>
              <w:jc w:val="center"/>
            </w:pPr>
            <w:r w:rsidRPr="00D0107E">
              <w:t>4,611</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420BA48A" w14:textId="77777777" w:rsidR="00C354CD" w:rsidRPr="00D0107E" w:rsidRDefault="00C354CD" w:rsidP="00AD0E29">
            <w:pPr>
              <w:pStyle w:val="Tablesmalltext"/>
              <w:jc w:val="center"/>
            </w:pPr>
            <w:r w:rsidRPr="00D0107E">
              <w:t>80,000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3B40BC9" w14:textId="77777777" w:rsidR="00C354CD" w:rsidRPr="00D0107E" w:rsidRDefault="00C354CD" w:rsidP="00AD0E29">
            <w:pPr>
              <w:pStyle w:val="Tablesmalltext"/>
              <w:jc w:val="center"/>
            </w:pPr>
            <w:r w:rsidRPr="00D0107E">
              <w:t>1 in 6.3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D350D10" w14:textId="77777777" w:rsidR="00C354CD" w:rsidRPr="00D0107E" w:rsidRDefault="00C354CD" w:rsidP="00AD0E29">
            <w:pPr>
              <w:pStyle w:val="Tablesmalltext"/>
              <w:jc w:val="center"/>
            </w:pPr>
            <w:r w:rsidRPr="00D0107E">
              <w:t>21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742FFFF" w14:textId="77777777" w:rsidR="00C354CD" w:rsidRPr="00D0107E" w:rsidRDefault="00C354CD" w:rsidP="00AD0E29">
            <w:pPr>
              <w:pStyle w:val="Tablesmalltext"/>
              <w:jc w:val="center"/>
            </w:pPr>
            <w:r w:rsidRPr="00D0107E">
              <w:t>10,581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063A3AB" w14:textId="77777777" w:rsidR="00C354CD" w:rsidRPr="00D0107E" w:rsidRDefault="00C354CD" w:rsidP="00AD0E29">
            <w:pPr>
              <w:pStyle w:val="Tablesmalltext"/>
              <w:jc w:val="center"/>
            </w:pPr>
            <w:r w:rsidRPr="00D0107E">
              <w:t>2,105</w:t>
            </w:r>
          </w:p>
        </w:tc>
      </w:tr>
      <w:tr w:rsidR="00C354CD" w:rsidRPr="00266A0F" w14:paraId="40025995" w14:textId="77777777" w:rsidTr="00A22B6D">
        <w:trPr>
          <w:trHeight w:val="300"/>
          <w:jc w:val="center"/>
        </w:trPr>
        <w:tc>
          <w:tcPr>
            <w:tcW w:w="29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59A42BC" w14:textId="77777777" w:rsidR="00C354CD" w:rsidRPr="00011451" w:rsidRDefault="00C354CD" w:rsidP="00AD0E29">
            <w:pPr>
              <w:pStyle w:val="Tablesmalltext"/>
              <w:jc w:val="center"/>
              <w:rPr>
                <w:b/>
              </w:rPr>
            </w:pPr>
            <w:r w:rsidRPr="00011451">
              <w:rPr>
                <w:b/>
              </w:rPr>
              <w:t>Total</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9FEF233" w14:textId="77777777" w:rsidR="00C354CD" w:rsidRPr="00011451" w:rsidRDefault="00C354CD" w:rsidP="00AD0E29">
            <w:pPr>
              <w:pStyle w:val="Tablesmalltext"/>
              <w:jc w:val="center"/>
              <w:rPr>
                <w:b/>
              </w:rPr>
            </w:pPr>
            <w:r w:rsidRPr="00011451">
              <w:rPr>
                <w:b/>
              </w:rPr>
              <w:fldChar w:fldCharType="begin"/>
            </w:r>
            <w:r w:rsidRPr="00011451">
              <w:rPr>
                <w:b/>
              </w:rPr>
              <w:instrText xml:space="preserve"> =SUM(ABOVE) </w:instrText>
            </w:r>
            <w:r w:rsidRPr="00011451">
              <w:rPr>
                <w:b/>
              </w:rPr>
              <w:fldChar w:fldCharType="separate"/>
            </w:r>
            <w:r w:rsidRPr="00011451">
              <w:rPr>
                <w:b/>
                <w:noProof/>
              </w:rPr>
              <w:t>467,095</w:t>
            </w:r>
            <w:r w:rsidRPr="00011451">
              <w:rPr>
                <w:b/>
              </w:rPr>
              <w:fldChar w:fldCharType="end"/>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49E6871" w14:textId="77777777" w:rsidR="00C354CD" w:rsidRPr="00011451" w:rsidRDefault="00C354CD" w:rsidP="00AD0E29">
            <w:pPr>
              <w:pStyle w:val="Tablesmalltext"/>
              <w:jc w:val="center"/>
              <w:rPr>
                <w:b/>
              </w:rPr>
            </w:pPr>
            <w:r w:rsidRPr="00011451">
              <w:rPr>
                <w:b/>
              </w:rPr>
              <w:fldChar w:fldCharType="begin"/>
            </w:r>
            <w:r w:rsidRPr="00011451">
              <w:rPr>
                <w:b/>
              </w:rPr>
              <w:instrText xml:space="preserve"> =SUM(ABOVE) </w:instrText>
            </w:r>
            <w:r w:rsidRPr="00011451">
              <w:rPr>
                <w:b/>
              </w:rPr>
              <w:fldChar w:fldCharType="separate"/>
            </w:r>
            <w:r w:rsidRPr="00011451">
              <w:rPr>
                <w:b/>
                <w:noProof/>
              </w:rPr>
              <w:t>175,674</w:t>
            </w:r>
            <w:r w:rsidRPr="00011451">
              <w:rPr>
                <w:b/>
              </w:rPr>
              <w:fldChar w:fldCharType="end"/>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5C198FB1" w14:textId="77777777" w:rsidR="00C354CD" w:rsidRPr="00011451" w:rsidRDefault="00C354CD" w:rsidP="00AD0E29">
            <w:pPr>
              <w:pStyle w:val="Tablesmalltext"/>
              <w:jc w:val="center"/>
              <w:rPr>
                <w:b/>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BAA4E91" w14:textId="77777777" w:rsidR="00C354CD" w:rsidRPr="00011451" w:rsidRDefault="00C354CD" w:rsidP="00AD0E29">
            <w:pPr>
              <w:pStyle w:val="Tablesmalltext"/>
              <w:jc w:val="center"/>
              <w:rPr>
                <w:b/>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F9505A4" w14:textId="77777777" w:rsidR="00C354CD" w:rsidRPr="00011451" w:rsidRDefault="00C354CD" w:rsidP="00AD0E29">
            <w:pPr>
              <w:pStyle w:val="Tablesmalltext"/>
              <w:jc w:val="center"/>
              <w:rPr>
                <w:b/>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3062CD0" w14:textId="77777777" w:rsidR="00C354CD" w:rsidRPr="00011451" w:rsidRDefault="00C354CD" w:rsidP="00AD0E29">
            <w:pPr>
              <w:pStyle w:val="Tablesmalltext"/>
              <w:jc w:val="center"/>
              <w:rPr>
                <w:b/>
              </w:rPr>
            </w:pPr>
            <w:r w:rsidRPr="00011451">
              <w:rPr>
                <w:b/>
              </w:rPr>
              <w:fldChar w:fldCharType="begin"/>
            </w:r>
            <w:r w:rsidRPr="00011451">
              <w:rPr>
                <w:b/>
              </w:rPr>
              <w:instrText xml:space="preserve"> =SUM(ABOVE) </w:instrText>
            </w:r>
            <w:r w:rsidRPr="00011451">
              <w:rPr>
                <w:b/>
              </w:rPr>
              <w:fldChar w:fldCharType="separate"/>
            </w:r>
            <w:r w:rsidRPr="00011451">
              <w:rPr>
                <w:b/>
                <w:noProof/>
              </w:rPr>
              <w:t>144,789</w:t>
            </w:r>
            <w:r w:rsidRPr="00011451">
              <w:rPr>
                <w:b/>
              </w:rPr>
              <w:fldChar w:fldCharType="end"/>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EF1DEF0" w14:textId="77777777" w:rsidR="00C354CD" w:rsidRPr="00011451" w:rsidRDefault="00C354CD" w:rsidP="00AD0E29">
            <w:pPr>
              <w:pStyle w:val="Tablesmalltext"/>
              <w:jc w:val="center"/>
              <w:rPr>
                <w:b/>
              </w:rPr>
            </w:pPr>
            <w:r w:rsidRPr="00011451">
              <w:rPr>
                <w:b/>
              </w:rPr>
              <w:fldChar w:fldCharType="begin"/>
            </w:r>
            <w:r w:rsidRPr="00011451">
              <w:rPr>
                <w:b/>
              </w:rPr>
              <w:instrText xml:space="preserve"> =SUM(ABOVE) </w:instrText>
            </w:r>
            <w:r w:rsidRPr="00011451">
              <w:rPr>
                <w:b/>
              </w:rPr>
              <w:fldChar w:fldCharType="separate"/>
            </w:r>
            <w:r w:rsidRPr="00011451">
              <w:rPr>
                <w:b/>
                <w:noProof/>
              </w:rPr>
              <w:t>43,527</w:t>
            </w:r>
            <w:r w:rsidRPr="00011451">
              <w:rPr>
                <w:b/>
              </w:rPr>
              <w:fldChar w:fldCharType="end"/>
            </w:r>
          </w:p>
        </w:tc>
      </w:tr>
    </w:tbl>
    <w:p w14:paraId="3533830B" w14:textId="77777777" w:rsidR="00C354CD" w:rsidRPr="00A147A1" w:rsidRDefault="00C354CD" w:rsidP="00C354CD">
      <w:pPr>
        <w:pStyle w:val="Para0"/>
        <w:sectPr w:rsidR="00C354CD" w:rsidRPr="00A147A1" w:rsidSect="002A06A6">
          <w:footerReference w:type="default" r:id="rId80"/>
          <w:pgSz w:w="16838" w:h="11906" w:orient="landscape"/>
          <w:pgMar w:top="1134" w:right="567" w:bottom="851" w:left="851" w:header="708" w:footer="708" w:gutter="0"/>
          <w:cols w:space="708"/>
          <w:docGrid w:linePitch="360"/>
        </w:sectPr>
      </w:pPr>
    </w:p>
    <w:p w14:paraId="143715A4" w14:textId="7D5C9D4B" w:rsidR="00C354CD" w:rsidRPr="00D02CF6" w:rsidRDefault="00C354CD" w:rsidP="00C354CD">
      <w:pPr>
        <w:pStyle w:val="Para0"/>
        <w:keepNext/>
        <w:rPr>
          <w:rFonts w:cs="Arial"/>
          <w:color w:val="000000" w:themeColor="text1"/>
        </w:rPr>
      </w:pPr>
      <w:r w:rsidRPr="00D02CF6">
        <w:rPr>
          <w:color w:val="000000"/>
        </w:rPr>
        <w:t xml:space="preserve">The analysis demonstrates that the area of Black Box inundated by the targeted flow rates is small in comparison to the </w:t>
      </w:r>
      <w:r w:rsidR="00C91B4C">
        <w:rPr>
          <w:color w:val="000000"/>
        </w:rPr>
        <w:t xml:space="preserve">total </w:t>
      </w:r>
      <w:r w:rsidRPr="00D02CF6">
        <w:rPr>
          <w:color w:val="000000"/>
        </w:rPr>
        <w:t>area of Black Box</w:t>
      </w:r>
      <w:r w:rsidR="00C91B4C">
        <w:rPr>
          <w:color w:val="000000"/>
        </w:rPr>
        <w:t xml:space="preserve"> for each reach</w:t>
      </w:r>
      <w:r w:rsidRPr="00D02CF6">
        <w:rPr>
          <w:color w:val="000000"/>
        </w:rPr>
        <w:t xml:space="preserve">. This highlights the importance of implementing a broad range of complementary management options, particularly options that provide alternate sources of water accessible for Black Box trees. </w:t>
      </w:r>
    </w:p>
    <w:p w14:paraId="2045E37C" w14:textId="77777777" w:rsidR="00C354CD" w:rsidRPr="00D02CF6" w:rsidRDefault="00C354CD" w:rsidP="00C354CD">
      <w:pPr>
        <w:pStyle w:val="Para0"/>
        <w:keepNext/>
        <w:spacing w:after="0"/>
        <w:rPr>
          <w:rFonts w:cs="Arial"/>
          <w:color w:val="000000" w:themeColor="text1"/>
        </w:rPr>
      </w:pPr>
      <w:r w:rsidRPr="00D02CF6">
        <w:rPr>
          <w:rFonts w:cs="Arial"/>
          <w:color w:val="000000" w:themeColor="text1"/>
        </w:rPr>
        <w:t>A summary of key findings from the analysis are listed below based on the Basin Plan model scenario:</w:t>
      </w:r>
    </w:p>
    <w:p w14:paraId="3434DAA6" w14:textId="77777777" w:rsidR="00C354CD" w:rsidRPr="00D02CF6" w:rsidRDefault="00C354CD" w:rsidP="00F22225">
      <w:pPr>
        <w:pStyle w:val="Para0"/>
        <w:keepNext/>
        <w:numPr>
          <w:ilvl w:val="0"/>
          <w:numId w:val="50"/>
        </w:numPr>
        <w:rPr>
          <w:rFonts w:cs="Arial"/>
          <w:color w:val="000000" w:themeColor="text1"/>
        </w:rPr>
      </w:pPr>
      <w:r w:rsidRPr="00D02CF6">
        <w:rPr>
          <w:rFonts w:cs="Arial"/>
          <w:color w:val="000000" w:themeColor="text1"/>
        </w:rPr>
        <w:t>For a flow of 60,000 ML/day at the South Australian border:</w:t>
      </w:r>
    </w:p>
    <w:p w14:paraId="6AB4DA89" w14:textId="3148A844" w:rsidR="00C354CD" w:rsidRPr="00D02CF6" w:rsidRDefault="00C354CD" w:rsidP="00F22225">
      <w:pPr>
        <w:pStyle w:val="Para0bullet"/>
        <w:numPr>
          <w:ilvl w:val="0"/>
          <w:numId w:val="48"/>
        </w:numPr>
        <w:tabs>
          <w:tab w:val="clear" w:pos="851"/>
        </w:tabs>
        <w:spacing w:after="0"/>
      </w:pPr>
      <w:r w:rsidRPr="00D02CF6">
        <w:rPr>
          <w:rFonts w:eastAsiaTheme="minorHAnsi"/>
        </w:rPr>
        <w:t>~</w:t>
      </w:r>
      <w:r w:rsidRPr="00D02CF6">
        <w:t>18,000 ha (10 percent) of Black Box is inundated out of a total area of ~176,000 ha</w:t>
      </w:r>
      <w:r>
        <w:t xml:space="preserve"> in reaches </w:t>
      </w:r>
      <w:r w:rsidR="00E443D6">
        <w:t>7 – 18 comb</w:t>
      </w:r>
      <w:r>
        <w:t xml:space="preserve">ined. </w:t>
      </w:r>
      <w:r w:rsidRPr="00D02CF6">
        <w:t xml:space="preserve"> </w:t>
      </w:r>
    </w:p>
    <w:p w14:paraId="37309781" w14:textId="77777777" w:rsidR="00C354CD" w:rsidRPr="00D02CF6" w:rsidRDefault="00C354CD" w:rsidP="00F22225">
      <w:pPr>
        <w:pStyle w:val="Para0bullet"/>
        <w:numPr>
          <w:ilvl w:val="0"/>
          <w:numId w:val="48"/>
        </w:numPr>
        <w:tabs>
          <w:tab w:val="clear" w:pos="851"/>
        </w:tabs>
        <w:spacing w:after="0"/>
      </w:pPr>
      <w:r w:rsidRPr="00D02CF6">
        <w:t>this flow corresponds to an inundation frequency (maximum extent) of approximately 1 in 3 years</w:t>
      </w:r>
    </w:p>
    <w:p w14:paraId="5E31129E" w14:textId="7A93C662" w:rsidR="00C354CD" w:rsidRPr="00D02CF6" w:rsidRDefault="00C354CD" w:rsidP="00F22225">
      <w:pPr>
        <w:pStyle w:val="Para0bullet"/>
        <w:numPr>
          <w:ilvl w:val="0"/>
          <w:numId w:val="48"/>
        </w:numPr>
        <w:tabs>
          <w:tab w:val="clear" w:pos="851"/>
        </w:tabs>
        <w:spacing w:after="0"/>
      </w:pPr>
      <w:r w:rsidRPr="00D02CF6">
        <w:t xml:space="preserve">the longest period where river flows did not exceed this flow rate in the </w:t>
      </w:r>
      <w:r w:rsidR="00AD6010" w:rsidRPr="00D02CF6">
        <w:t>114-year</w:t>
      </w:r>
      <w:r w:rsidRPr="00D02CF6">
        <w:t xml:space="preserve"> m</w:t>
      </w:r>
      <w:r>
        <w:t>odelled period was 12 years.  B</w:t>
      </w:r>
      <w:r w:rsidRPr="00D02CF6">
        <w:t xml:space="preserve">ased on the Transition model (Overton </w:t>
      </w:r>
      <w:r w:rsidRPr="00D02CF6">
        <w:rPr>
          <w:i/>
        </w:rPr>
        <w:t>et al.</w:t>
      </w:r>
      <w:r w:rsidR="003F2755">
        <w:rPr>
          <w:i/>
        </w:rPr>
        <w:t>,</w:t>
      </w:r>
      <w:r w:rsidRPr="00D02CF6">
        <w:t xml:space="preserve"> 2014) this period is likely to result in significant stress for mature Black Box and a reliance on access to other suitable sources of water.</w:t>
      </w:r>
    </w:p>
    <w:p w14:paraId="1BA420AD" w14:textId="77777777" w:rsidR="00C354CD" w:rsidRPr="00D02CF6" w:rsidRDefault="00C354CD" w:rsidP="00F22225">
      <w:pPr>
        <w:pStyle w:val="Para0"/>
        <w:numPr>
          <w:ilvl w:val="0"/>
          <w:numId w:val="51"/>
        </w:numPr>
        <w:rPr>
          <w:rFonts w:cs="Arial"/>
          <w:color w:val="000000" w:themeColor="text1"/>
        </w:rPr>
      </w:pPr>
      <w:r w:rsidRPr="00D02CF6">
        <w:rPr>
          <w:rFonts w:cs="Arial"/>
          <w:color w:val="000000" w:themeColor="text1"/>
        </w:rPr>
        <w:t>For a flow of 80,000 ML/day at the South Australian border:</w:t>
      </w:r>
    </w:p>
    <w:p w14:paraId="02864832" w14:textId="44EF2C63" w:rsidR="00C354CD" w:rsidRPr="00D02CF6" w:rsidRDefault="00C354CD" w:rsidP="00F22225">
      <w:pPr>
        <w:pStyle w:val="Para0bullet"/>
        <w:numPr>
          <w:ilvl w:val="0"/>
          <w:numId w:val="49"/>
        </w:numPr>
        <w:tabs>
          <w:tab w:val="clear" w:pos="851"/>
        </w:tabs>
        <w:spacing w:after="0"/>
      </w:pPr>
      <w:r w:rsidRPr="00D02CF6">
        <w:t>~44,000 ha (25 percent) of Black Box is inundated out of a total area of ~176,000 ha</w:t>
      </w:r>
      <w:r>
        <w:t xml:space="preserve"> in reaches </w:t>
      </w:r>
      <w:r w:rsidR="00E443D6">
        <w:t>7 – 18 combined</w:t>
      </w:r>
      <w:r>
        <w:t>.</w:t>
      </w:r>
    </w:p>
    <w:p w14:paraId="748C543E" w14:textId="77777777" w:rsidR="00C354CD" w:rsidRPr="00D02CF6" w:rsidRDefault="00C354CD" w:rsidP="00F22225">
      <w:pPr>
        <w:pStyle w:val="Para0bullet"/>
        <w:numPr>
          <w:ilvl w:val="0"/>
          <w:numId w:val="49"/>
        </w:numPr>
        <w:tabs>
          <w:tab w:val="clear" w:pos="851"/>
        </w:tabs>
        <w:spacing w:after="0"/>
      </w:pPr>
      <w:r w:rsidRPr="00D02CF6">
        <w:t xml:space="preserve">this flow corresponds to an inundation frequency (maximum extent) of approximately 1 in 6 years </w:t>
      </w:r>
    </w:p>
    <w:p w14:paraId="4688C390" w14:textId="5506A462" w:rsidR="00C354CD" w:rsidRPr="00D02CF6" w:rsidRDefault="00C354CD" w:rsidP="00F22225">
      <w:pPr>
        <w:pStyle w:val="Para0bullet"/>
        <w:numPr>
          <w:ilvl w:val="0"/>
          <w:numId w:val="49"/>
        </w:numPr>
        <w:tabs>
          <w:tab w:val="clear" w:pos="851"/>
        </w:tabs>
        <w:spacing w:after="0"/>
      </w:pPr>
      <w:r w:rsidRPr="00D02CF6">
        <w:t xml:space="preserve">the longest period where flows did not exceed this flow rate in the </w:t>
      </w:r>
      <w:r w:rsidR="00AD6010" w:rsidRPr="00D02CF6">
        <w:t>114-year</w:t>
      </w:r>
      <w:r w:rsidRPr="00D02CF6">
        <w:t xml:space="preserve"> m</w:t>
      </w:r>
      <w:r>
        <w:t>odelled period was 21 years.  B</w:t>
      </w:r>
      <w:r w:rsidRPr="00D02CF6">
        <w:t xml:space="preserve">ased on the Transition model (Overton </w:t>
      </w:r>
      <w:r w:rsidRPr="00D02CF6">
        <w:rPr>
          <w:i/>
        </w:rPr>
        <w:t>et al.</w:t>
      </w:r>
      <w:r w:rsidR="003F2755">
        <w:rPr>
          <w:i/>
        </w:rPr>
        <w:t>,</w:t>
      </w:r>
      <w:r w:rsidRPr="00D02CF6">
        <w:t xml:space="preserve"> 2014) this period is likely to result in critical condition for mature Black Box unless it </w:t>
      </w:r>
      <w:r w:rsidR="00C91B4C" w:rsidRPr="00D02CF6">
        <w:t>can</w:t>
      </w:r>
      <w:r w:rsidRPr="00D02CF6">
        <w:t xml:space="preserve"> access to other suitable sources of water i.e. rainfall and groundwater.</w:t>
      </w:r>
    </w:p>
    <w:p w14:paraId="07C35198" w14:textId="77777777" w:rsidR="00C354CD" w:rsidRPr="00D02CF6" w:rsidRDefault="00C354CD" w:rsidP="00C354CD">
      <w:pPr>
        <w:pStyle w:val="Heading3"/>
      </w:pPr>
      <w:bookmarkStart w:id="265" w:name="_Toc474693027"/>
      <w:r w:rsidRPr="00D02CF6">
        <w:t>Areas of flow stress only, flow and salinity stress, salinity stress only and low stress</w:t>
      </w:r>
      <w:bookmarkEnd w:id="265"/>
    </w:p>
    <w:p w14:paraId="6B1DE55F" w14:textId="77777777" w:rsidR="00C354CD" w:rsidRPr="00D02CF6" w:rsidRDefault="00C354CD" w:rsidP="00C354CD">
      <w:pPr>
        <w:pStyle w:val="Para0"/>
        <w:keepNext/>
        <w:rPr>
          <w:rFonts w:cs="Arial"/>
          <w:color w:val="000000" w:themeColor="text1"/>
        </w:rPr>
      </w:pPr>
      <w:r w:rsidRPr="00D02CF6">
        <w:rPr>
          <w:rFonts w:cs="Arial"/>
          <w:color w:val="000000" w:themeColor="text1"/>
        </w:rPr>
        <w:t>For each</w:t>
      </w:r>
      <w:r>
        <w:rPr>
          <w:rFonts w:cs="Arial"/>
          <w:color w:val="000000" w:themeColor="text1"/>
        </w:rPr>
        <w:t xml:space="preserve"> of the 3 River Murray reaches, </w:t>
      </w:r>
      <w:r w:rsidRPr="00D02CF6">
        <w:rPr>
          <w:rFonts w:cs="Arial"/>
          <w:color w:val="000000" w:themeColor="text1"/>
        </w:rPr>
        <w:t>the area of inundated Black Box has been divided into one of the following four categories, for determining the appropriateness of management options to address key stressors:</w:t>
      </w:r>
    </w:p>
    <w:p w14:paraId="74F54D58" w14:textId="77777777" w:rsidR="00C354CD" w:rsidRPr="00D02CF6" w:rsidRDefault="00C354CD" w:rsidP="00F22225">
      <w:pPr>
        <w:pStyle w:val="Para0bullet"/>
        <w:numPr>
          <w:ilvl w:val="0"/>
          <w:numId w:val="45"/>
        </w:numPr>
        <w:tabs>
          <w:tab w:val="clear" w:pos="851"/>
        </w:tabs>
        <w:spacing w:after="0"/>
      </w:pPr>
      <w:r w:rsidRPr="00D02CF6">
        <w:t xml:space="preserve">flow stressed only (inundated less frequently than 1 in 5 years </w:t>
      </w:r>
      <w:r>
        <w:t>and</w:t>
      </w:r>
      <w:r w:rsidRPr="00D02CF6">
        <w:t xml:space="preserve"> soil salinity &lt;39,000 mg/L)</w:t>
      </w:r>
    </w:p>
    <w:p w14:paraId="01A50F1A" w14:textId="77777777" w:rsidR="00C354CD" w:rsidRPr="00D02CF6" w:rsidRDefault="00C354CD" w:rsidP="00F22225">
      <w:pPr>
        <w:pStyle w:val="Para0bullet"/>
        <w:numPr>
          <w:ilvl w:val="0"/>
          <w:numId w:val="45"/>
        </w:numPr>
        <w:tabs>
          <w:tab w:val="clear" w:pos="851"/>
        </w:tabs>
        <w:spacing w:after="0"/>
      </w:pPr>
      <w:r w:rsidRPr="00D02CF6">
        <w:t xml:space="preserve">salinity stress only (inundated more frequently than 1 in 5 years </w:t>
      </w:r>
      <w:r>
        <w:t xml:space="preserve">and </w:t>
      </w:r>
      <w:r w:rsidRPr="00D02CF6">
        <w:t>soil salinity &gt;39,000 mg/L)</w:t>
      </w:r>
    </w:p>
    <w:p w14:paraId="3440FBBD" w14:textId="77777777" w:rsidR="00C354CD" w:rsidRPr="00D02CF6" w:rsidRDefault="00C354CD" w:rsidP="00F22225">
      <w:pPr>
        <w:pStyle w:val="Para0bullet"/>
        <w:numPr>
          <w:ilvl w:val="0"/>
          <w:numId w:val="45"/>
        </w:numPr>
        <w:tabs>
          <w:tab w:val="clear" w:pos="851"/>
        </w:tabs>
        <w:spacing w:after="0"/>
      </w:pPr>
      <w:r w:rsidRPr="00D02CF6">
        <w:t xml:space="preserve">flow and salinity stress (inundated less frequently than 1 in 5 years </w:t>
      </w:r>
      <w:r>
        <w:t>and</w:t>
      </w:r>
      <w:r w:rsidRPr="00D02CF6">
        <w:t xml:space="preserve"> soil salinity &gt;39,000 mg/L)</w:t>
      </w:r>
    </w:p>
    <w:p w14:paraId="3C064A58" w14:textId="77777777" w:rsidR="00C354CD" w:rsidRPr="00D02CF6" w:rsidRDefault="00C354CD" w:rsidP="00F22225">
      <w:pPr>
        <w:pStyle w:val="Para0bullet"/>
        <w:numPr>
          <w:ilvl w:val="0"/>
          <w:numId w:val="45"/>
        </w:numPr>
        <w:tabs>
          <w:tab w:val="clear" w:pos="851"/>
        </w:tabs>
        <w:spacing w:after="0"/>
      </w:pPr>
      <w:r w:rsidRPr="00D02CF6">
        <w:t xml:space="preserve">low stress (inundated more frequently than 1 in 5 years </w:t>
      </w:r>
      <w:r>
        <w:t>and</w:t>
      </w:r>
      <w:r w:rsidRPr="00D02CF6">
        <w:t xml:space="preserve"> soil salinity &lt;39,000 mg/L).</w:t>
      </w:r>
    </w:p>
    <w:p w14:paraId="585ED84A" w14:textId="77777777" w:rsidR="00C354CD" w:rsidRPr="00D02CF6" w:rsidRDefault="00C354CD" w:rsidP="00C354CD">
      <w:pPr>
        <w:pStyle w:val="Para0"/>
        <w:ind w:left="425"/>
        <w:rPr>
          <w:rFonts w:cs="Arial"/>
          <w:i/>
          <w:color w:val="000000" w:themeColor="text1"/>
        </w:rPr>
      </w:pPr>
      <w:r w:rsidRPr="00D02CF6">
        <w:rPr>
          <w:rFonts w:cs="Arial"/>
          <w:i/>
          <w:color w:val="000000" w:themeColor="text1"/>
        </w:rPr>
        <w:t>Note: The use of long term inundation frequencies to assess flow stress at a locality must be done with due caution as this will not predict either the current level of flow stress or the longest period without flood inundation experienced by Black Box vegetation.</w:t>
      </w:r>
    </w:p>
    <w:p w14:paraId="499C6799" w14:textId="626A23C1" w:rsidR="00C354CD" w:rsidRPr="00D02CF6" w:rsidRDefault="00C354CD" w:rsidP="00C354CD">
      <w:pPr>
        <w:pStyle w:val="Para0"/>
        <w:rPr>
          <w:rFonts w:cs="Arial"/>
          <w:color w:val="000000" w:themeColor="text1"/>
        </w:rPr>
      </w:pPr>
      <w:r w:rsidRPr="00D02CF6">
        <w:rPr>
          <w:rFonts w:cs="Arial"/>
          <w:color w:val="000000" w:themeColor="text1"/>
        </w:rPr>
        <w:t>These categories have been assessed for a 60,000 ML/day and an 80,000 ML/day flow at the South Australian border</w:t>
      </w:r>
      <w:r w:rsidRPr="00D02CF6">
        <w:t xml:space="preserve"> using the Basin Plan model scenario</w:t>
      </w:r>
      <w:r w:rsidRPr="00D02CF6">
        <w:rPr>
          <w:rFonts w:cs="Arial"/>
          <w:color w:val="000000" w:themeColor="text1"/>
        </w:rPr>
        <w:t xml:space="preserve">.  The derivation of the salinity threshold is discussed in section 3.2.2. The detailed results of the GIS analysis are provided in Table </w:t>
      </w:r>
      <w:r w:rsidR="0014514F">
        <w:rPr>
          <w:rFonts w:cs="Arial"/>
          <w:color w:val="000000" w:themeColor="text1"/>
        </w:rPr>
        <w:t>K</w:t>
      </w:r>
      <w:r w:rsidRPr="00D02CF6">
        <w:rPr>
          <w:rFonts w:cs="Arial"/>
          <w:color w:val="000000" w:themeColor="text1"/>
        </w:rPr>
        <w:t xml:space="preserve">.1 and Table </w:t>
      </w:r>
      <w:r w:rsidR="0014514F">
        <w:rPr>
          <w:rFonts w:cs="Arial"/>
          <w:color w:val="000000" w:themeColor="text1"/>
        </w:rPr>
        <w:t>K</w:t>
      </w:r>
      <w:r w:rsidRPr="00D02CF6">
        <w:rPr>
          <w:rFonts w:cs="Arial"/>
          <w:color w:val="000000" w:themeColor="text1"/>
        </w:rPr>
        <w:t xml:space="preserve">.2 (Appendix </w:t>
      </w:r>
      <w:r w:rsidR="0014514F">
        <w:rPr>
          <w:rFonts w:cs="Arial"/>
          <w:color w:val="000000" w:themeColor="text1"/>
        </w:rPr>
        <w:t>K</w:t>
      </w:r>
      <w:r w:rsidRPr="00D02CF6">
        <w:rPr>
          <w:rFonts w:cs="Arial"/>
          <w:color w:val="000000" w:themeColor="text1"/>
        </w:rPr>
        <w:t xml:space="preserve">), respectively for reaches 7 to 18. </w:t>
      </w:r>
      <w:r w:rsidRPr="00D02CF6">
        <w:rPr>
          <w:rFonts w:cs="Arial"/>
          <w:color w:val="000000" w:themeColor="text1"/>
        </w:rPr>
        <w:fldChar w:fldCharType="begin"/>
      </w:r>
      <w:r w:rsidRPr="00D02CF6">
        <w:rPr>
          <w:rFonts w:cs="Arial"/>
          <w:color w:val="000000" w:themeColor="text1"/>
        </w:rPr>
        <w:instrText xml:space="preserve"> REF _Ref469071254 \h  \* MERGEFORMAT </w:instrText>
      </w:r>
      <w:r w:rsidRPr="00D02CF6">
        <w:rPr>
          <w:rFonts w:cs="Arial"/>
          <w:color w:val="000000" w:themeColor="text1"/>
        </w:rPr>
      </w:r>
      <w:r w:rsidRPr="00D02CF6">
        <w:rPr>
          <w:rFonts w:cs="Arial"/>
          <w:color w:val="000000" w:themeColor="text1"/>
        </w:rPr>
        <w:fldChar w:fldCharType="separate"/>
      </w:r>
      <w:r w:rsidR="00BF015B" w:rsidRPr="00BF015B">
        <w:rPr>
          <w:rFonts w:cs="Arial"/>
        </w:rPr>
        <w:t xml:space="preserve">Figure </w:t>
      </w:r>
      <w:r w:rsidR="00BF015B" w:rsidRPr="00BF015B">
        <w:rPr>
          <w:rFonts w:cs="Arial"/>
          <w:noProof/>
        </w:rPr>
        <w:t>5</w:t>
      </w:r>
      <w:r w:rsidR="00BF015B" w:rsidRPr="00BF015B">
        <w:rPr>
          <w:rFonts w:cs="Arial"/>
          <w:noProof/>
        </w:rPr>
        <w:noBreakHyphen/>
        <w:t>7</w:t>
      </w:r>
      <w:r w:rsidRPr="00D02CF6">
        <w:rPr>
          <w:rFonts w:cs="Arial"/>
          <w:color w:val="000000" w:themeColor="text1"/>
        </w:rPr>
        <w:fldChar w:fldCharType="end"/>
      </w:r>
      <w:r w:rsidRPr="00D02CF6">
        <w:rPr>
          <w:rFonts w:cs="Arial"/>
          <w:color w:val="000000" w:themeColor="text1"/>
        </w:rPr>
        <w:t xml:space="preserve"> illustrate</w:t>
      </w:r>
      <w:r>
        <w:rPr>
          <w:rFonts w:cs="Arial"/>
          <w:color w:val="000000" w:themeColor="text1"/>
        </w:rPr>
        <w:t>s</w:t>
      </w:r>
      <w:r w:rsidRPr="00D02CF6">
        <w:rPr>
          <w:rFonts w:cs="Arial"/>
          <w:color w:val="000000" w:themeColor="text1"/>
        </w:rPr>
        <w:t xml:space="preserve"> the outcome of this analysis </w:t>
      </w:r>
      <w:r w:rsidRPr="00D02CF6">
        <w:t xml:space="preserve">for Zone 13.  </w:t>
      </w:r>
    </w:p>
    <w:p w14:paraId="103F34D2" w14:textId="77777777" w:rsidR="00C354CD" w:rsidRPr="00D02CF6" w:rsidRDefault="00C354CD" w:rsidP="00C354CD">
      <w:pPr>
        <w:pStyle w:val="Para0"/>
        <w:rPr>
          <w:rFonts w:cs="Arial"/>
          <w:color w:val="000000" w:themeColor="text1"/>
        </w:rPr>
      </w:pPr>
      <w:r w:rsidRPr="00D02CF6">
        <w:rPr>
          <w:rFonts w:cs="Arial"/>
          <w:color w:val="000000" w:themeColor="text1"/>
        </w:rPr>
        <w:t>In its most simplistic form, the GIS analysis presented below can be used to:</w:t>
      </w:r>
    </w:p>
    <w:p w14:paraId="63DA26C4" w14:textId="77777777" w:rsidR="00C354CD" w:rsidRPr="00D02CF6" w:rsidRDefault="00C354CD" w:rsidP="00F22225">
      <w:pPr>
        <w:pStyle w:val="Para0bullet"/>
        <w:numPr>
          <w:ilvl w:val="0"/>
          <w:numId w:val="89"/>
        </w:numPr>
        <w:tabs>
          <w:tab w:val="clear" w:pos="851"/>
        </w:tabs>
        <w:spacing w:after="0"/>
        <w:ind w:left="720"/>
        <w:rPr>
          <w:rFonts w:cs="Arial"/>
          <w:color w:val="000000" w:themeColor="text1"/>
        </w:rPr>
      </w:pPr>
      <w:r w:rsidRPr="00D02CF6">
        <w:rPr>
          <w:rFonts w:cs="Arial"/>
          <w:color w:val="000000" w:themeColor="text1"/>
        </w:rPr>
        <w:t>infer those areas that are potentially “flow stressed” only, and within which viable Black Box could be reasonably expected to respond positively to an increased frequency of watering</w:t>
      </w:r>
    </w:p>
    <w:p w14:paraId="430E1C2C" w14:textId="77777777" w:rsidR="00C354CD" w:rsidRPr="00D02CF6" w:rsidRDefault="00C354CD" w:rsidP="00F22225">
      <w:pPr>
        <w:pStyle w:val="Para0bullet"/>
        <w:numPr>
          <w:ilvl w:val="0"/>
          <w:numId w:val="89"/>
        </w:numPr>
        <w:tabs>
          <w:tab w:val="clear" w:pos="851"/>
        </w:tabs>
        <w:spacing w:after="0"/>
        <w:ind w:left="720"/>
        <w:rPr>
          <w:rFonts w:cs="Arial"/>
          <w:color w:val="000000" w:themeColor="text1"/>
        </w:rPr>
      </w:pPr>
      <w:r w:rsidRPr="00D02CF6">
        <w:rPr>
          <w:rFonts w:cs="Arial"/>
          <w:color w:val="000000" w:themeColor="text1"/>
        </w:rPr>
        <w:t>infer those areas that are potentially “salinity” stressed only, and within which active salinity management is required to increase the viability of Black Box</w:t>
      </w:r>
    </w:p>
    <w:p w14:paraId="0F5B9E34" w14:textId="77777777" w:rsidR="00C354CD" w:rsidRPr="00D02CF6" w:rsidRDefault="00C354CD" w:rsidP="00F22225">
      <w:pPr>
        <w:pStyle w:val="Para0bullet"/>
        <w:numPr>
          <w:ilvl w:val="0"/>
          <w:numId w:val="89"/>
        </w:numPr>
        <w:tabs>
          <w:tab w:val="clear" w:pos="851"/>
        </w:tabs>
        <w:spacing w:after="0"/>
        <w:ind w:left="720"/>
        <w:rPr>
          <w:rFonts w:cs="Arial"/>
          <w:color w:val="000000" w:themeColor="text1"/>
        </w:rPr>
      </w:pPr>
      <w:r w:rsidRPr="00D02CF6">
        <w:rPr>
          <w:rFonts w:cs="Arial"/>
          <w:color w:val="000000" w:themeColor="text1"/>
        </w:rPr>
        <w:t>infer those areas that are potentially “flow and salinity stressed,” where increased environmental watering may have a limited impact on viable Black Box unless salinity stress is also actively managed</w:t>
      </w:r>
    </w:p>
    <w:p w14:paraId="48D0D8AD" w14:textId="77777777" w:rsidR="00C354CD" w:rsidRPr="00D02CF6" w:rsidRDefault="00C354CD" w:rsidP="00F22225">
      <w:pPr>
        <w:pStyle w:val="Para0bullet"/>
        <w:numPr>
          <w:ilvl w:val="0"/>
          <w:numId w:val="89"/>
        </w:numPr>
        <w:tabs>
          <w:tab w:val="clear" w:pos="851"/>
        </w:tabs>
        <w:spacing w:after="0"/>
        <w:ind w:left="720"/>
        <w:rPr>
          <w:rFonts w:cs="Arial"/>
          <w:color w:val="000000" w:themeColor="text1"/>
        </w:rPr>
      </w:pPr>
      <w:r w:rsidRPr="00D02CF6">
        <w:rPr>
          <w:rFonts w:cs="Arial"/>
          <w:color w:val="000000" w:themeColor="text1"/>
        </w:rPr>
        <w:t>infer those areas that have “low flow and low salinity stress”, and where poorer condition trees in these locations are most likely to be linked to factors other than salinity and soil water availability.</w:t>
      </w:r>
    </w:p>
    <w:p w14:paraId="0F155000" w14:textId="7DF4ECBD" w:rsidR="00C354CD" w:rsidRPr="00D02CF6" w:rsidRDefault="00C354CD" w:rsidP="00C354CD">
      <w:pPr>
        <w:pStyle w:val="Para0"/>
        <w:keepNext/>
        <w:spacing w:after="0"/>
        <w:rPr>
          <w:rFonts w:cs="Arial"/>
          <w:color w:val="000000" w:themeColor="text1"/>
        </w:rPr>
      </w:pPr>
      <w:r w:rsidRPr="00D02CF6">
        <w:rPr>
          <w:rFonts w:cs="Arial"/>
          <w:color w:val="000000" w:themeColor="text1"/>
        </w:rPr>
        <w:t xml:space="preserve">A summary of key findings from the </w:t>
      </w:r>
      <w:r w:rsidRPr="00D142BA">
        <w:rPr>
          <w:rFonts w:cs="Arial"/>
          <w:color w:val="000000" w:themeColor="text1"/>
        </w:rPr>
        <w:t xml:space="preserve">analysis </w:t>
      </w:r>
      <w:r w:rsidRPr="00A40029">
        <w:rPr>
          <w:rFonts w:cs="Arial"/>
          <w:color w:val="000000" w:themeColor="text1"/>
        </w:rPr>
        <w:t xml:space="preserve">in Table </w:t>
      </w:r>
      <w:r w:rsidR="0014514F" w:rsidRPr="00A40029">
        <w:rPr>
          <w:rFonts w:cs="Arial"/>
          <w:color w:val="000000" w:themeColor="text1"/>
        </w:rPr>
        <w:t>K</w:t>
      </w:r>
      <w:r w:rsidRPr="00A40029">
        <w:rPr>
          <w:rFonts w:cs="Arial"/>
          <w:color w:val="000000" w:themeColor="text1"/>
        </w:rPr>
        <w:t xml:space="preserve">.1 and Table </w:t>
      </w:r>
      <w:r w:rsidR="0014514F" w:rsidRPr="00A40029">
        <w:rPr>
          <w:rFonts w:cs="Arial"/>
          <w:color w:val="000000" w:themeColor="text1"/>
        </w:rPr>
        <w:t>K</w:t>
      </w:r>
      <w:r w:rsidRPr="00A40029">
        <w:rPr>
          <w:rFonts w:cs="Arial"/>
          <w:color w:val="000000" w:themeColor="text1"/>
        </w:rPr>
        <w:t>.2</w:t>
      </w:r>
      <w:r w:rsidRPr="00D142BA">
        <w:rPr>
          <w:rFonts w:cs="Arial"/>
          <w:color w:val="000000" w:themeColor="text1"/>
        </w:rPr>
        <w:t xml:space="preserve"> are</w:t>
      </w:r>
      <w:r w:rsidRPr="00D02CF6">
        <w:rPr>
          <w:rFonts w:cs="Arial"/>
          <w:color w:val="000000" w:themeColor="text1"/>
        </w:rPr>
        <w:t xml:space="preserve"> listed below (river reaches 7-18).</w:t>
      </w:r>
    </w:p>
    <w:p w14:paraId="3FAAB9BC" w14:textId="77777777" w:rsidR="00C354CD" w:rsidRPr="00D02CF6" w:rsidRDefault="00C354CD" w:rsidP="00C01A13">
      <w:pPr>
        <w:pStyle w:val="Para0"/>
        <w:rPr>
          <w:rFonts w:cs="Arial"/>
          <w:color w:val="000000" w:themeColor="text1"/>
        </w:rPr>
      </w:pPr>
      <w:r w:rsidRPr="00D02CF6">
        <w:rPr>
          <w:rFonts w:cs="Arial"/>
          <w:color w:val="000000" w:themeColor="text1"/>
        </w:rPr>
        <w:t>For the total floodplain inundated by a 60,000 ML/day flow measured at the South Australian border:</w:t>
      </w:r>
    </w:p>
    <w:p w14:paraId="13A441CF" w14:textId="77777777" w:rsidR="00C354CD" w:rsidRPr="00D02CF6" w:rsidRDefault="00C354CD" w:rsidP="00F22225">
      <w:pPr>
        <w:pStyle w:val="Para0bullet"/>
        <w:numPr>
          <w:ilvl w:val="0"/>
          <w:numId w:val="97"/>
        </w:numPr>
        <w:tabs>
          <w:tab w:val="clear" w:pos="851"/>
        </w:tabs>
        <w:spacing w:after="0"/>
        <w:rPr>
          <w:rFonts w:eastAsiaTheme="minorHAnsi"/>
        </w:rPr>
      </w:pPr>
      <w:r w:rsidRPr="00D02CF6">
        <w:rPr>
          <w:rFonts w:eastAsiaTheme="minorHAnsi"/>
        </w:rPr>
        <w:t xml:space="preserve">The frequency of inundation of a 60,000 ML/day flow (1 in 3 years) is likely to maintain the condition of the limited area of Black Box i.e. 18,000 Ha (10 percent of the total Black Box area). </w:t>
      </w:r>
    </w:p>
    <w:p w14:paraId="1F7D53E1" w14:textId="77777777" w:rsidR="00C354CD" w:rsidRPr="00D02CF6" w:rsidRDefault="00C354CD" w:rsidP="00F22225">
      <w:pPr>
        <w:pStyle w:val="Para0bullet"/>
        <w:numPr>
          <w:ilvl w:val="0"/>
          <w:numId w:val="97"/>
        </w:numPr>
        <w:tabs>
          <w:tab w:val="clear" w:pos="851"/>
        </w:tabs>
        <w:spacing w:after="0"/>
        <w:rPr>
          <w:rFonts w:eastAsiaTheme="minorHAnsi"/>
        </w:rPr>
      </w:pPr>
      <w:r w:rsidRPr="00D02CF6">
        <w:rPr>
          <w:rFonts w:eastAsiaTheme="minorHAnsi"/>
        </w:rPr>
        <w:t xml:space="preserve">A total of </w:t>
      </w:r>
      <w:bookmarkStart w:id="266" w:name="OLE_LINK1"/>
      <w:r w:rsidRPr="00D02CF6">
        <w:rPr>
          <w:rFonts w:eastAsiaTheme="minorHAnsi"/>
        </w:rPr>
        <w:t xml:space="preserve">9,957 </w:t>
      </w:r>
      <w:bookmarkEnd w:id="266"/>
      <w:r w:rsidRPr="00D02CF6">
        <w:rPr>
          <w:rFonts w:eastAsiaTheme="minorHAnsi"/>
        </w:rPr>
        <w:t xml:space="preserve">ha (55 percent) has been assessed as likely to have both “low flow and low salinity stress” and the proportion of Black Box in moderate/good condition (66 percent) is higher than the proportion in poor condition (34 percent) within the limits of the data (since only 38 percent of the 9,957 ha has condition data). </w:t>
      </w:r>
    </w:p>
    <w:p w14:paraId="2607A2A0" w14:textId="77777777" w:rsidR="00C354CD" w:rsidRPr="00D02CF6" w:rsidRDefault="00C354CD" w:rsidP="00F22225">
      <w:pPr>
        <w:pStyle w:val="Para0bullet"/>
        <w:numPr>
          <w:ilvl w:val="0"/>
          <w:numId w:val="97"/>
        </w:numPr>
        <w:tabs>
          <w:tab w:val="clear" w:pos="851"/>
        </w:tabs>
        <w:spacing w:after="0"/>
        <w:rPr>
          <w:rFonts w:eastAsiaTheme="minorHAnsi"/>
        </w:rPr>
      </w:pPr>
      <w:r w:rsidRPr="00D02CF6">
        <w:rPr>
          <w:rFonts w:eastAsiaTheme="minorHAnsi"/>
        </w:rPr>
        <w:t>The Black Box is however expected to experience significant stress where the maximum period between inundation events extends up to 12 years.</w:t>
      </w:r>
    </w:p>
    <w:p w14:paraId="0DF69D55" w14:textId="7C2C159A" w:rsidR="00C354CD" w:rsidRPr="00D02CF6" w:rsidRDefault="00C354CD" w:rsidP="00F22225">
      <w:pPr>
        <w:pStyle w:val="Para0bullet"/>
        <w:numPr>
          <w:ilvl w:val="0"/>
          <w:numId w:val="97"/>
        </w:numPr>
        <w:tabs>
          <w:tab w:val="clear" w:pos="851"/>
        </w:tabs>
        <w:spacing w:after="0"/>
        <w:rPr>
          <w:rFonts w:eastAsiaTheme="minorHAnsi"/>
        </w:rPr>
      </w:pPr>
      <w:r w:rsidRPr="00D02CF6">
        <w:rPr>
          <w:rFonts w:eastAsiaTheme="minorHAnsi"/>
        </w:rPr>
        <w:t xml:space="preserve">A total of 3,392 ha (19 percent) has been assessed as potentially being “salinity” stressed. The proportion of Black Box in poor condition (75 percent) is significantly higher than the proportion in moderate/good condition (25 percent) within the limits of the data (since only 11 percent of the 3,392 ha has condition data). The majority of the “salinity” stressed Black Box (being 2,214 ha) </w:t>
      </w:r>
      <w:r w:rsidR="00AD6010" w:rsidRPr="00D02CF6">
        <w:rPr>
          <w:rFonts w:eastAsiaTheme="minorHAnsi"/>
        </w:rPr>
        <w:t>is in</w:t>
      </w:r>
      <w:r w:rsidRPr="00D02CF6">
        <w:rPr>
          <w:rFonts w:eastAsiaTheme="minorHAnsi"/>
        </w:rPr>
        <w:t xml:space="preserve"> reaches 16 and 17 (i.e. from Lock 7 to Lock 5).</w:t>
      </w:r>
    </w:p>
    <w:p w14:paraId="48FE8B1D" w14:textId="62257C28" w:rsidR="00C354CD" w:rsidRPr="00D02CF6" w:rsidRDefault="00C354CD" w:rsidP="00F22225">
      <w:pPr>
        <w:pStyle w:val="Para0bullet"/>
        <w:numPr>
          <w:ilvl w:val="0"/>
          <w:numId w:val="97"/>
        </w:numPr>
        <w:tabs>
          <w:tab w:val="clear" w:pos="851"/>
        </w:tabs>
        <w:spacing w:after="0"/>
        <w:rPr>
          <w:rFonts w:eastAsiaTheme="minorHAnsi"/>
        </w:rPr>
      </w:pPr>
      <w:r w:rsidRPr="00D02CF6">
        <w:rPr>
          <w:rFonts w:eastAsiaTheme="minorHAnsi"/>
        </w:rPr>
        <w:t>A total of 4,728 ha (26 percent) has no salinity data (predominantly in reaches 7, 8 and 12) and cannot be classified at this time</w:t>
      </w:r>
      <w:r>
        <w:rPr>
          <w:rFonts w:eastAsiaTheme="minorHAnsi"/>
        </w:rPr>
        <w:t xml:space="preserve"> and therefore</w:t>
      </w:r>
      <w:r w:rsidR="0014514F">
        <w:rPr>
          <w:rFonts w:eastAsiaTheme="minorHAnsi"/>
        </w:rPr>
        <w:t xml:space="preserve"> a confidence score of “</w:t>
      </w:r>
      <w:r w:rsidR="00AD6010">
        <w:rPr>
          <w:rFonts w:eastAsiaTheme="minorHAnsi"/>
        </w:rPr>
        <w:t xml:space="preserve">Low” </w:t>
      </w:r>
      <w:r w:rsidR="00AD6010" w:rsidRPr="00D142BA">
        <w:rPr>
          <w:rFonts w:eastAsiaTheme="minorHAnsi"/>
        </w:rPr>
        <w:t>can</w:t>
      </w:r>
      <w:r w:rsidRPr="00D142BA">
        <w:rPr>
          <w:rFonts w:eastAsiaTheme="minorHAnsi"/>
        </w:rPr>
        <w:t xml:space="preserve"> be attributed</w:t>
      </w:r>
      <w:r>
        <w:rPr>
          <w:rFonts w:eastAsiaTheme="minorHAnsi"/>
        </w:rPr>
        <w:t xml:space="preserve"> to this undefined area of floodplain</w:t>
      </w:r>
      <w:r w:rsidRPr="00D02CF6">
        <w:rPr>
          <w:rFonts w:eastAsiaTheme="minorHAnsi"/>
        </w:rPr>
        <w:t>.</w:t>
      </w:r>
    </w:p>
    <w:p w14:paraId="682BAB14" w14:textId="77777777" w:rsidR="00C354CD" w:rsidRPr="00D02CF6" w:rsidRDefault="00C354CD" w:rsidP="00C354CD">
      <w:pPr>
        <w:pStyle w:val="Para0"/>
        <w:keepNext/>
        <w:rPr>
          <w:rFonts w:cs="Arial"/>
          <w:color w:val="000000" w:themeColor="text1"/>
        </w:rPr>
      </w:pPr>
      <w:r w:rsidRPr="00D02CF6">
        <w:rPr>
          <w:rFonts w:cs="Arial"/>
          <w:color w:val="000000" w:themeColor="text1"/>
        </w:rPr>
        <w:t>For the additional 25,468 ha of floodplain inundated between a 60,000 ML/day and an 80,000 ML/day flow at the South Australian border:</w:t>
      </w:r>
    </w:p>
    <w:p w14:paraId="6E4F0C68" w14:textId="090751C8" w:rsidR="00C354CD" w:rsidRPr="00D02CF6" w:rsidRDefault="00C354CD" w:rsidP="00F22225">
      <w:pPr>
        <w:pStyle w:val="Para0bullet"/>
        <w:numPr>
          <w:ilvl w:val="0"/>
          <w:numId w:val="89"/>
        </w:numPr>
        <w:tabs>
          <w:tab w:val="clear" w:pos="851"/>
        </w:tabs>
        <w:spacing w:after="0"/>
        <w:ind w:left="720"/>
      </w:pPr>
      <w:r w:rsidRPr="00D02CF6">
        <w:t xml:space="preserve">The frequency of inundation of an 80,000 ML/day flow (1 in 6 years and a </w:t>
      </w:r>
      <w:r w:rsidR="00AD6010" w:rsidRPr="00D02CF6">
        <w:t>21-year</w:t>
      </w:r>
      <w:r w:rsidRPr="00D02CF6">
        <w:t xml:space="preserve"> period where flows did not exceed this amount) is unlikely to maintain the condition of the Black Box without having access to other sources of </w:t>
      </w:r>
      <w:r w:rsidR="00C91B4C">
        <w:t>low salinity</w:t>
      </w:r>
      <w:r w:rsidR="00AD6010">
        <w:t>/ “</w:t>
      </w:r>
      <w:r w:rsidRPr="00D02CF6">
        <w:t>fresh</w:t>
      </w:r>
      <w:r>
        <w:t>”</w:t>
      </w:r>
      <w:r w:rsidRPr="00D02CF6">
        <w:t xml:space="preserve"> water.</w:t>
      </w:r>
    </w:p>
    <w:p w14:paraId="699BF26E" w14:textId="77777777" w:rsidR="00C354CD" w:rsidRPr="00D02CF6" w:rsidRDefault="00C354CD" w:rsidP="00F22225">
      <w:pPr>
        <w:pStyle w:val="Para0bullet"/>
        <w:numPr>
          <w:ilvl w:val="0"/>
          <w:numId w:val="89"/>
        </w:numPr>
        <w:tabs>
          <w:tab w:val="clear" w:pos="851"/>
        </w:tabs>
        <w:spacing w:after="0"/>
        <w:ind w:left="720"/>
        <w:rPr>
          <w:rFonts w:eastAsiaTheme="minorHAnsi"/>
        </w:rPr>
      </w:pPr>
      <w:r w:rsidRPr="00D02CF6">
        <w:rPr>
          <w:rFonts w:eastAsiaTheme="minorHAnsi"/>
        </w:rPr>
        <w:t>A total of 4,646 ha (18 percent) has been assessed as potentially “flow” stressed and the proportion of Black Box in moderate/good condition (72 percent) is higher than the proportion in poor condition (28 percent) within the limits of the data (since only 9 percent of this area has condition data)</w:t>
      </w:r>
    </w:p>
    <w:p w14:paraId="1EB06185" w14:textId="77777777" w:rsidR="00C354CD" w:rsidRPr="00D02CF6" w:rsidRDefault="00C354CD" w:rsidP="00F22225">
      <w:pPr>
        <w:pStyle w:val="Para0bullet"/>
        <w:numPr>
          <w:ilvl w:val="0"/>
          <w:numId w:val="89"/>
        </w:numPr>
        <w:tabs>
          <w:tab w:val="clear" w:pos="851"/>
        </w:tabs>
        <w:spacing w:after="0"/>
        <w:ind w:left="720"/>
        <w:rPr>
          <w:rFonts w:eastAsiaTheme="minorHAnsi"/>
        </w:rPr>
      </w:pPr>
      <w:r w:rsidRPr="00D02CF6">
        <w:rPr>
          <w:rFonts w:eastAsiaTheme="minorHAnsi"/>
        </w:rPr>
        <w:t>A total of 3,849 ha (15 percent) has been assessed as likely to be “salinity” stressed and the proportion of Black Box in poor condition (86 percent) is significantly higher than the proportion in moderate/good condition (14 percent) within the limits of the data (since only 5 percent of this area has condition data)</w:t>
      </w:r>
    </w:p>
    <w:p w14:paraId="6F99F2F2" w14:textId="77777777" w:rsidR="00C354CD" w:rsidRPr="00D02CF6" w:rsidRDefault="00C354CD" w:rsidP="00F22225">
      <w:pPr>
        <w:pStyle w:val="Para0bullet"/>
        <w:numPr>
          <w:ilvl w:val="0"/>
          <w:numId w:val="89"/>
        </w:numPr>
        <w:tabs>
          <w:tab w:val="clear" w:pos="851"/>
        </w:tabs>
        <w:spacing w:after="0"/>
        <w:ind w:left="720"/>
        <w:rPr>
          <w:rFonts w:eastAsiaTheme="minorHAnsi"/>
        </w:rPr>
      </w:pPr>
      <w:r w:rsidRPr="00D02CF6">
        <w:rPr>
          <w:rFonts w:eastAsiaTheme="minorHAnsi"/>
        </w:rPr>
        <w:t>A total of 3,278 ha (13 percent) has been assessed as being potentially both “flow and salinity” stressed and the proportion of Black Box in poor condition (64 percent) is higher than the proportion in moderate/good condition (36 percent) within the limits of the data (since only 2 percent of this area has condition data)</w:t>
      </w:r>
    </w:p>
    <w:p w14:paraId="000A20A2" w14:textId="77777777" w:rsidR="00C354CD" w:rsidRPr="00D02CF6" w:rsidRDefault="00C354CD" w:rsidP="00F22225">
      <w:pPr>
        <w:pStyle w:val="Para0bullet"/>
        <w:numPr>
          <w:ilvl w:val="0"/>
          <w:numId w:val="89"/>
        </w:numPr>
        <w:tabs>
          <w:tab w:val="clear" w:pos="851"/>
        </w:tabs>
        <w:spacing w:after="0"/>
        <w:ind w:left="720"/>
        <w:rPr>
          <w:rFonts w:eastAsiaTheme="minorHAnsi"/>
        </w:rPr>
      </w:pPr>
      <w:r w:rsidRPr="00D02CF6">
        <w:rPr>
          <w:rFonts w:eastAsiaTheme="minorHAnsi"/>
        </w:rPr>
        <w:t>A total of 8,413 ha (33 per cent) has been assessed as likely to have “low flow and low salinity stress” and the proportion of Black Box in moderate/good condition (70 percent) is higher than the proportion in poor condition (30 percent) within the limits of the data (since only 16 percent of this area has condition data)</w:t>
      </w:r>
    </w:p>
    <w:p w14:paraId="1F929DED" w14:textId="77777777" w:rsidR="00C354CD" w:rsidRPr="00D02CF6" w:rsidRDefault="00C354CD" w:rsidP="00F22225">
      <w:pPr>
        <w:pStyle w:val="Para0bullet"/>
        <w:numPr>
          <w:ilvl w:val="0"/>
          <w:numId w:val="89"/>
        </w:numPr>
        <w:tabs>
          <w:tab w:val="clear" w:pos="851"/>
        </w:tabs>
        <w:spacing w:after="0"/>
        <w:ind w:left="720"/>
        <w:rPr>
          <w:rFonts w:eastAsiaTheme="minorHAnsi"/>
        </w:rPr>
      </w:pPr>
      <w:r w:rsidRPr="00D02CF6">
        <w:rPr>
          <w:rFonts w:eastAsiaTheme="minorHAnsi"/>
        </w:rPr>
        <w:t>A total of 5,264 ha (21 per cent) has no salinity data (predominantly in zone 12) and cannot be classified at this time.</w:t>
      </w:r>
    </w:p>
    <w:p w14:paraId="56C153FB" w14:textId="77777777" w:rsidR="00C354CD" w:rsidRPr="00D02CF6" w:rsidRDefault="00C354CD" w:rsidP="00C354CD">
      <w:pPr>
        <w:pStyle w:val="Para0"/>
      </w:pPr>
      <w:r w:rsidRPr="00D02CF6">
        <w:t>For the remaining 334,000 ha of floodplain in reaches 7 to 16 that are inundated at flows above 80,000 ML/day at the South Australian border under the Basin Plan (2,750 GL) scenario:</w:t>
      </w:r>
    </w:p>
    <w:p w14:paraId="51BFA537" w14:textId="77777777" w:rsidR="00C354CD" w:rsidRPr="00D02CF6" w:rsidRDefault="00C354CD" w:rsidP="00F22225">
      <w:pPr>
        <w:pStyle w:val="Para0bullet"/>
        <w:numPr>
          <w:ilvl w:val="0"/>
          <w:numId w:val="89"/>
        </w:numPr>
        <w:tabs>
          <w:tab w:val="clear" w:pos="851"/>
        </w:tabs>
        <w:spacing w:after="0"/>
        <w:ind w:left="720"/>
      </w:pPr>
      <w:r w:rsidRPr="00D02CF6">
        <w:t>there is an additional 132,000 ha of Black Box vegetation on the floodplain</w:t>
      </w:r>
    </w:p>
    <w:p w14:paraId="40321170" w14:textId="77777777" w:rsidR="00C354CD" w:rsidRPr="00D02CF6" w:rsidRDefault="00C354CD" w:rsidP="00F22225">
      <w:pPr>
        <w:pStyle w:val="Para0bullet"/>
        <w:numPr>
          <w:ilvl w:val="0"/>
          <w:numId w:val="89"/>
        </w:numPr>
        <w:tabs>
          <w:tab w:val="clear" w:pos="851"/>
        </w:tabs>
        <w:spacing w:after="0"/>
        <w:ind w:left="720"/>
      </w:pPr>
      <w:r w:rsidRPr="00D02CF6">
        <w:t>52,000 ha has been assessed as being “flow stressed” only</w:t>
      </w:r>
    </w:p>
    <w:p w14:paraId="5BD3C316" w14:textId="77777777" w:rsidR="00C354CD" w:rsidRPr="00D02CF6" w:rsidRDefault="00C354CD" w:rsidP="00F22225">
      <w:pPr>
        <w:pStyle w:val="Para0bullet"/>
        <w:numPr>
          <w:ilvl w:val="0"/>
          <w:numId w:val="89"/>
        </w:numPr>
        <w:tabs>
          <w:tab w:val="clear" w:pos="851"/>
        </w:tabs>
        <w:spacing w:after="0"/>
        <w:ind w:left="720"/>
      </w:pPr>
      <w:r w:rsidRPr="00D02CF6">
        <w:t>32,000 ha has been assessed as being both “flow and salinity” stressed with the bulk of the area (24,000 ha) being located between reaches 13 to 18</w:t>
      </w:r>
    </w:p>
    <w:p w14:paraId="65F0152E" w14:textId="77777777" w:rsidR="00C354CD" w:rsidRPr="00D02CF6" w:rsidRDefault="00C354CD" w:rsidP="00F22225">
      <w:pPr>
        <w:pStyle w:val="Para0bullet"/>
        <w:numPr>
          <w:ilvl w:val="0"/>
          <w:numId w:val="89"/>
        </w:numPr>
        <w:tabs>
          <w:tab w:val="clear" w:pos="851"/>
        </w:tabs>
        <w:spacing w:after="0"/>
        <w:ind w:left="720"/>
      </w:pPr>
      <w:r w:rsidRPr="00D02CF6">
        <w:t>50,000 ha of floodplain has no soil salinity data and cannot be classified at this time</w:t>
      </w:r>
    </w:p>
    <w:p w14:paraId="46697F05" w14:textId="08371066" w:rsidR="00C354CD" w:rsidRDefault="00C354CD" w:rsidP="00C354CD">
      <w:pPr>
        <w:pStyle w:val="Para0"/>
        <w:rPr>
          <w:rFonts w:cs="Arial"/>
          <w:color w:val="000000" w:themeColor="text1"/>
        </w:rPr>
      </w:pPr>
      <w:r w:rsidRPr="00D02CF6">
        <w:t>The analysis suggests that the assessment of salinity stress (and the salinity thresh</w:t>
      </w:r>
      <w:r>
        <w:t>olds) is a reasonable predictor</w:t>
      </w:r>
      <w:r w:rsidRPr="00D02CF6">
        <w:t xml:space="preserve"> for increasing amounts of Black Box in poor condition (despite the </w:t>
      </w:r>
      <w:r w:rsidRPr="00D02CF6">
        <w:rPr>
          <w:rFonts w:cs="Arial"/>
          <w:color w:val="000000" w:themeColor="text1"/>
        </w:rPr>
        <w:t xml:space="preserve">analysis being limited by relatively low coverage of Black Box condition data particularly for higher floodplain areas). For example, for the 4,534 ha of Black Box that are predicted to be “salinity stressed” for a flow of 60,000ML/day at the South Australian border, only 517 ha had condition data available, and the remaining 4,017 ha had no condition information. </w:t>
      </w:r>
      <w:r w:rsidR="0014514F">
        <w:rPr>
          <w:rFonts w:cs="Arial"/>
          <w:color w:val="000000" w:themeColor="text1"/>
        </w:rPr>
        <w:t xml:space="preserve">As provided in </w:t>
      </w:r>
      <w:r w:rsidR="0014514F">
        <w:rPr>
          <w:rFonts w:cs="Arial"/>
          <w:color w:val="000000" w:themeColor="text1"/>
        </w:rPr>
        <w:fldChar w:fldCharType="begin"/>
      </w:r>
      <w:r w:rsidR="0014514F">
        <w:rPr>
          <w:rFonts w:cs="Arial"/>
          <w:color w:val="000000" w:themeColor="text1"/>
        </w:rPr>
        <w:instrText xml:space="preserve"> REF _Ref467583609 \h </w:instrText>
      </w:r>
      <w:r w:rsidR="0014514F">
        <w:rPr>
          <w:rFonts w:cs="Arial"/>
          <w:color w:val="000000" w:themeColor="text1"/>
        </w:rPr>
      </w:r>
      <w:r w:rsidR="0014514F">
        <w:rPr>
          <w:rFonts w:cs="Arial"/>
          <w:color w:val="000000" w:themeColor="text1"/>
        </w:rPr>
        <w:fldChar w:fldCharType="separate"/>
      </w:r>
      <w:r w:rsidR="00BF015B" w:rsidRPr="001B3FEE">
        <w:t xml:space="preserve">Table </w:t>
      </w:r>
      <w:r w:rsidR="00BF015B">
        <w:rPr>
          <w:noProof/>
        </w:rPr>
        <w:t>5</w:t>
      </w:r>
      <w:r w:rsidR="00BF015B" w:rsidRPr="00D7130D">
        <w:noBreakHyphen/>
      </w:r>
      <w:r w:rsidR="00BF015B">
        <w:rPr>
          <w:noProof/>
        </w:rPr>
        <w:t>1</w:t>
      </w:r>
      <w:r w:rsidR="0014514F">
        <w:rPr>
          <w:rFonts w:cs="Arial"/>
          <w:color w:val="000000" w:themeColor="text1"/>
        </w:rPr>
        <w:fldChar w:fldCharType="end"/>
      </w:r>
      <w:r w:rsidR="0014514F">
        <w:rPr>
          <w:rFonts w:cs="Arial"/>
          <w:color w:val="000000" w:themeColor="text1"/>
        </w:rPr>
        <w:t xml:space="preserve">, the condition data has a confidence rating of “low/moderate”, partly because it is based on a remote sensing/modelled technique which has identified uncertainties, and partly because there are many reaches for which the data is missing. As further calibration and modelling of the remotely sensed data improves, and the data is extended to other areas, the confidence in the condition dataset will be increased. </w:t>
      </w:r>
    </w:p>
    <w:p w14:paraId="4E0FDE2F" w14:textId="408917D6" w:rsidR="0014514F" w:rsidRPr="0014514F" w:rsidRDefault="0014514F" w:rsidP="00A40029">
      <w:pPr>
        <w:pStyle w:val="Heading3"/>
      </w:pPr>
      <w:r>
        <w:t>Summary of Reach Scale Analysis</w:t>
      </w:r>
    </w:p>
    <w:p w14:paraId="7BDA0424" w14:textId="521DDAD2" w:rsidR="00D142BA" w:rsidRPr="00A40029" w:rsidRDefault="00D142BA" w:rsidP="00D142BA">
      <w:pPr>
        <w:pStyle w:val="Para0"/>
        <w:rPr>
          <w:rFonts w:cs="Arial"/>
          <w:color w:val="000000" w:themeColor="text1"/>
        </w:rPr>
      </w:pPr>
      <w:r>
        <w:rPr>
          <w:rFonts w:cs="Arial"/>
          <w:color w:val="000000" w:themeColor="text1"/>
        </w:rPr>
        <w:t xml:space="preserve">The reach scale analysis has </w:t>
      </w:r>
      <w:r>
        <w:t xml:space="preserve">estimated that there is a total of 175,674 ha of Black Box </w:t>
      </w:r>
      <w:r w:rsidR="00CF2B56">
        <w:t xml:space="preserve">within the </w:t>
      </w:r>
      <w:r>
        <w:t>floodplain across reaches 7 to 18, however the area of Black Box inundated is estimated to be 18,077 ha for a 60,000 ML/day flow at the So</w:t>
      </w:r>
      <w:r w:rsidR="00E443D6">
        <w:t>uth Australian border and 43,527</w:t>
      </w:r>
      <w:r>
        <w:t xml:space="preserve"> ha for an 80,000 ML/day flow at the South Australian border.</w:t>
      </w:r>
    </w:p>
    <w:p w14:paraId="75DDD0A9" w14:textId="77777777" w:rsidR="00D142BA" w:rsidRDefault="00D142BA" w:rsidP="00D142BA">
      <w:pPr>
        <w:pStyle w:val="CommentText"/>
      </w:pPr>
      <w:r>
        <w:t>Strategies for achieving outcomes within the 18,077 ha of Black Box floodplain inundated by a 60,000 ML/day should include:</w:t>
      </w:r>
    </w:p>
    <w:p w14:paraId="599ADFB3" w14:textId="77777777" w:rsidR="00D142BA" w:rsidRDefault="00D142BA" w:rsidP="00F22225">
      <w:pPr>
        <w:pStyle w:val="CommentText"/>
        <w:numPr>
          <w:ilvl w:val="0"/>
          <w:numId w:val="52"/>
        </w:numPr>
      </w:pPr>
      <w:r>
        <w:t>Where there is low salinity and low flow stress has been identified, promoting management strategies that reduce grazing pressure is expected to enhance an estimated 3,400 ha of Black Box that are in poor condition and maintain an estimated 6,600 ha currently in moderate/good condition.</w:t>
      </w:r>
    </w:p>
    <w:p w14:paraId="2584BD0E" w14:textId="537287A8" w:rsidR="00D142BA" w:rsidRDefault="00D142BA" w:rsidP="00F22225">
      <w:pPr>
        <w:pStyle w:val="CommentText"/>
        <w:numPr>
          <w:ilvl w:val="0"/>
          <w:numId w:val="52"/>
        </w:numPr>
      </w:pPr>
      <w:r>
        <w:t>In areas where salinity stress is determined, implementing complementary management interventions targeting salinity and groundwater processes is required to ensure the long</w:t>
      </w:r>
      <w:r w:rsidR="00CF2B56">
        <w:t>-</w:t>
      </w:r>
      <w:r>
        <w:t>term effectiveness of environmental watering actions; this combination of interventions is estimated to enhance an estimated 2,500 ha of Black Box that are currently in poor condition and maintaining an estimated 800 ha of Black Box in moderate/good condition.</w:t>
      </w:r>
    </w:p>
    <w:p w14:paraId="7055928E" w14:textId="2DE361BE" w:rsidR="00D142BA" w:rsidRDefault="00D142BA" w:rsidP="00D142BA">
      <w:pPr>
        <w:pStyle w:val="CommentText"/>
      </w:pPr>
      <w:r w:rsidRPr="002F50FE">
        <w:t>Strategie</w:t>
      </w:r>
      <w:r>
        <w:t xml:space="preserve">s for achieving outcomes for </w:t>
      </w:r>
      <w:r w:rsidRPr="002F50FE">
        <w:t xml:space="preserve">the </w:t>
      </w:r>
      <w:r>
        <w:t>additional 2</w:t>
      </w:r>
      <w:r w:rsidR="00E443D6">
        <w:t>5,450</w:t>
      </w:r>
      <w:r>
        <w:t xml:space="preserve"> ha of Black Box floodplain inundated between the </w:t>
      </w:r>
      <w:r w:rsidRPr="002F50FE">
        <w:t xml:space="preserve">60,000 </w:t>
      </w:r>
      <w:r>
        <w:t xml:space="preserve">to 80,000 </w:t>
      </w:r>
      <w:r w:rsidRPr="002F50FE">
        <w:t xml:space="preserve">ML/day </w:t>
      </w:r>
      <w:r>
        <w:t xml:space="preserve">flows </w:t>
      </w:r>
      <w:r w:rsidRPr="002F50FE">
        <w:t>should include:</w:t>
      </w:r>
    </w:p>
    <w:p w14:paraId="1DE454F0" w14:textId="5307BE14" w:rsidR="00D142BA" w:rsidRDefault="009F68CC" w:rsidP="00F22225">
      <w:pPr>
        <w:pStyle w:val="CommentText"/>
        <w:numPr>
          <w:ilvl w:val="0"/>
          <w:numId w:val="53"/>
        </w:numPr>
      </w:pPr>
      <w:r>
        <w:t>Where</w:t>
      </w:r>
      <w:r w:rsidR="00D142BA">
        <w:t xml:space="preserve"> low salinity and low flow stress has been identified, promoting management strategies that reduce grazing pressure is expected to enhance an estimated 2,500 ha of Black Box that are currently in poor condition and maintain an estimated 5,900 ha of Black Box in moderate/good condition.</w:t>
      </w:r>
    </w:p>
    <w:p w14:paraId="5B9B3EB2" w14:textId="77777777" w:rsidR="00D142BA" w:rsidRPr="00254218" w:rsidRDefault="00D142BA" w:rsidP="00F22225">
      <w:pPr>
        <w:pStyle w:val="CommentText"/>
        <w:numPr>
          <w:ilvl w:val="0"/>
          <w:numId w:val="53"/>
        </w:numPr>
      </w:pPr>
      <w:r w:rsidRPr="00254218">
        <w:t>Environmental watering to address areas identified as flow stress only, is estimated to maintain approximately 3,300 ha in moderate/good condition and enhance an estimated 1,300 ha of Black Box currently assessed in poor condition.</w:t>
      </w:r>
    </w:p>
    <w:p w14:paraId="6DC125C0" w14:textId="77777777" w:rsidR="00D142BA" w:rsidRPr="00915C26" w:rsidRDefault="00D142BA" w:rsidP="00F22225">
      <w:pPr>
        <w:pStyle w:val="CommentText"/>
        <w:numPr>
          <w:ilvl w:val="0"/>
          <w:numId w:val="53"/>
        </w:numPr>
      </w:pPr>
      <w:r>
        <w:t>Implementing</w:t>
      </w:r>
      <w:r w:rsidRPr="00915C26">
        <w:t xml:space="preserve"> </w:t>
      </w:r>
      <w:r>
        <w:t xml:space="preserve">management interventions targeting salinity and groundwater processes is required to address areas identified under </w:t>
      </w:r>
      <w:r w:rsidRPr="00915C26">
        <w:t xml:space="preserve">salinity stress </w:t>
      </w:r>
      <w:r>
        <w:t>but with low</w:t>
      </w:r>
      <w:r w:rsidRPr="00915C26">
        <w:t xml:space="preserve"> flow stress, </w:t>
      </w:r>
      <w:r>
        <w:t>is expected to</w:t>
      </w:r>
      <w:r w:rsidRPr="00915C26">
        <w:t xml:space="preserve"> enhanc</w:t>
      </w:r>
      <w:r>
        <w:t>e</w:t>
      </w:r>
      <w:r w:rsidRPr="00915C26">
        <w:t xml:space="preserve"> an estimated </w:t>
      </w:r>
      <w:r>
        <w:t xml:space="preserve">3,300 </w:t>
      </w:r>
      <w:r w:rsidRPr="00915C26">
        <w:t xml:space="preserve">ha of Black Box that are </w:t>
      </w:r>
      <w:r>
        <w:t xml:space="preserve">currently </w:t>
      </w:r>
      <w:r w:rsidRPr="00915C26">
        <w:t xml:space="preserve">in poor condition </w:t>
      </w:r>
      <w:r>
        <w:t>and maintaining an estimated 500</w:t>
      </w:r>
      <w:r w:rsidRPr="00915C26">
        <w:t xml:space="preserve"> ha of Black Box in moderate/good condition.</w:t>
      </w:r>
    </w:p>
    <w:p w14:paraId="25D236F4" w14:textId="43D2ACF9" w:rsidR="00D142BA" w:rsidRDefault="00D142BA" w:rsidP="00F22225">
      <w:pPr>
        <w:pStyle w:val="CommentText"/>
        <w:numPr>
          <w:ilvl w:val="0"/>
          <w:numId w:val="53"/>
        </w:numPr>
      </w:pPr>
      <w:r>
        <w:t xml:space="preserve">Addressing areas that are experiencing both flow and salinity stress, require </w:t>
      </w:r>
      <w:r w:rsidRPr="00055EDF">
        <w:rPr>
          <w:b/>
        </w:rPr>
        <w:t>both</w:t>
      </w:r>
      <w:r>
        <w:t xml:space="preserve"> environmental watering and complimentary salinity management options are need</w:t>
      </w:r>
      <w:r w:rsidR="00CF2B56">
        <w:t>ed</w:t>
      </w:r>
      <w:r>
        <w:t xml:space="preserve"> to be effective and sustainable;</w:t>
      </w:r>
      <w:r w:rsidRPr="00915C26">
        <w:t xml:space="preserve"> enhancing an estimated </w:t>
      </w:r>
      <w:r>
        <w:t xml:space="preserve">2,100 </w:t>
      </w:r>
      <w:r w:rsidRPr="00915C26">
        <w:t xml:space="preserve">ha of Black Box that are </w:t>
      </w:r>
      <w:r>
        <w:t xml:space="preserve">currently </w:t>
      </w:r>
      <w:r w:rsidRPr="00915C26">
        <w:t xml:space="preserve">in poor condition </w:t>
      </w:r>
      <w:r>
        <w:t>and maintaining an estimated 1,200</w:t>
      </w:r>
      <w:r w:rsidRPr="00915C26">
        <w:t xml:space="preserve"> ha of Black Box in moderate/good condition.</w:t>
      </w:r>
    </w:p>
    <w:p w14:paraId="0C930064" w14:textId="77777777" w:rsidR="00D142BA" w:rsidRDefault="00D142BA" w:rsidP="00D142BA">
      <w:pPr>
        <w:pStyle w:val="Para0"/>
      </w:pPr>
      <w:r>
        <w:t xml:space="preserve">The spatial analysis presented in this Framework identifies the river reaches framed by Locks 4-7; Lock 8-9; and Lock 9-10 as experiencing highest salinity risk and therefore require strategies that seek specifically to mitigate this stress; including but not exclusive to environmental water management.  </w:t>
      </w:r>
    </w:p>
    <w:p w14:paraId="2EB200C6" w14:textId="7CEDCA73" w:rsidR="00D142BA" w:rsidRDefault="00D142BA" w:rsidP="00C354CD">
      <w:pPr>
        <w:pStyle w:val="Para0"/>
        <w:rPr>
          <w:rFonts w:cs="Arial"/>
          <w:color w:val="000000" w:themeColor="text1"/>
        </w:rPr>
        <w:sectPr w:rsidR="00D142BA" w:rsidSect="00D576AA">
          <w:footerReference w:type="default" r:id="rId81"/>
          <w:pgSz w:w="11906" w:h="16838"/>
          <w:pgMar w:top="567" w:right="851" w:bottom="851" w:left="1134" w:header="708" w:footer="708" w:gutter="0"/>
          <w:cols w:space="708"/>
          <w:docGrid w:linePitch="360"/>
        </w:sectPr>
      </w:pPr>
      <w:r>
        <w:t xml:space="preserve">The reach scale analysis highlights the need for complementary/alternative management options in realising long term outcomes for Black Box vegetation particularly for the large proportion (&gt;75 percent) of the Black Box that is outside the managed floodplain. </w:t>
      </w:r>
      <w:r w:rsidR="009C0ECA">
        <w:rPr>
          <w:rFonts w:cs="Arial"/>
          <w:color w:val="000000" w:themeColor="text1"/>
        </w:rPr>
        <w:t>Confidence in the re</w:t>
      </w:r>
      <w:r>
        <w:rPr>
          <w:rFonts w:cs="Arial"/>
          <w:color w:val="000000" w:themeColor="text1"/>
        </w:rPr>
        <w:t xml:space="preserve">ach scale analysis could be improved through expanding the Black Box condition data to represent a larger proportion of the Black Box. This is currently limiting the analysis for reaches where the data is incomplete. </w:t>
      </w:r>
    </w:p>
    <w:p w14:paraId="4F4CD684" w14:textId="77777777" w:rsidR="00C354CD" w:rsidRPr="00D02CF6" w:rsidRDefault="00C354CD" w:rsidP="001B3FEE">
      <w:pPr>
        <w:pStyle w:val="Bodysubheading"/>
        <w:spacing w:before="0" w:after="0"/>
        <w:ind w:left="0"/>
        <w:jc w:val="center"/>
      </w:pPr>
      <w:r w:rsidRPr="00D02CF6">
        <w:rPr>
          <w:noProof/>
          <w:lang w:eastAsia="en-AU"/>
        </w:rPr>
        <w:drawing>
          <wp:inline distT="0" distB="0" distL="0" distR="0" wp14:anchorId="3CA4AD4F" wp14:editId="668D0667">
            <wp:extent cx="11982893" cy="813488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 13 80000 SA Border.png"/>
                    <pic:cNvPicPr preferRelativeResize="0"/>
                  </pic:nvPicPr>
                  <pic:blipFill rotWithShape="1">
                    <a:blip r:embed="rId82" cstate="email">
                      <a:extLst>
                        <a:ext uri="{28A0092B-C50C-407E-A947-70E740481C1C}">
                          <a14:useLocalDpi xmlns:a14="http://schemas.microsoft.com/office/drawing/2010/main"/>
                        </a:ext>
                      </a:extLst>
                    </a:blip>
                    <a:srcRect/>
                    <a:stretch/>
                  </pic:blipFill>
                  <pic:spPr bwMode="auto">
                    <a:xfrm>
                      <a:off x="0" y="0"/>
                      <a:ext cx="12024774" cy="8163316"/>
                    </a:xfrm>
                    <a:prstGeom prst="rect">
                      <a:avLst/>
                    </a:prstGeom>
                    <a:ln>
                      <a:noFill/>
                    </a:ln>
                    <a:extLst>
                      <a:ext uri="{53640926-AAD7-44D8-BBD7-CCE9431645EC}">
                        <a14:shadowObscured xmlns:a14="http://schemas.microsoft.com/office/drawing/2010/main"/>
                      </a:ext>
                    </a:extLst>
                  </pic:spPr>
                </pic:pic>
              </a:graphicData>
            </a:graphic>
          </wp:inline>
        </w:drawing>
      </w:r>
    </w:p>
    <w:p w14:paraId="51CE62CA" w14:textId="0B9925E9" w:rsidR="00C354CD" w:rsidRPr="00D7130D" w:rsidRDefault="00C354CD" w:rsidP="00A40029">
      <w:pPr>
        <w:pStyle w:val="Caption"/>
        <w:spacing w:after="400"/>
        <w:jc w:val="center"/>
      </w:pPr>
      <w:bookmarkStart w:id="267" w:name="_Ref469071254"/>
      <w:bookmarkStart w:id="268" w:name="_Toc470108626"/>
      <w:bookmarkStart w:id="269" w:name="_Toc514018100"/>
      <w:r w:rsidRPr="001B3FEE">
        <w:t xml:space="preserve">Figure </w:t>
      </w:r>
      <w:r w:rsidRPr="00A40029">
        <w:fldChar w:fldCharType="begin"/>
      </w:r>
      <w:r w:rsidRPr="00D7130D">
        <w:instrText xml:space="preserve"> STYLEREF 1 \s </w:instrText>
      </w:r>
      <w:r w:rsidRPr="00A40029">
        <w:fldChar w:fldCharType="separate"/>
      </w:r>
      <w:r w:rsidR="00BF015B">
        <w:rPr>
          <w:noProof/>
        </w:rPr>
        <w:t>5</w:t>
      </w:r>
      <w:r w:rsidRPr="00A40029">
        <w:fldChar w:fldCharType="end"/>
      </w:r>
      <w:r w:rsidRPr="00D7130D">
        <w:noBreakHyphen/>
      </w:r>
      <w:r w:rsidRPr="00A40029">
        <w:fldChar w:fldCharType="begin"/>
      </w:r>
      <w:r w:rsidRPr="00D7130D">
        <w:instrText xml:space="preserve"> SEQ Figure \* ARABIC \s 1 </w:instrText>
      </w:r>
      <w:r w:rsidRPr="00A40029">
        <w:fldChar w:fldCharType="separate"/>
      </w:r>
      <w:r w:rsidR="00BF015B">
        <w:rPr>
          <w:noProof/>
        </w:rPr>
        <w:t>7</w:t>
      </w:r>
      <w:r w:rsidRPr="00A40029">
        <w:fldChar w:fldCharType="end"/>
      </w:r>
      <w:bookmarkEnd w:id="267"/>
      <w:r w:rsidRPr="00D7130D">
        <w:t>: The four categ</w:t>
      </w:r>
      <w:r w:rsidR="00E443D6">
        <w:t>ories of stress for Zone 13 for</w:t>
      </w:r>
      <w:r w:rsidRPr="00D7130D">
        <w:t xml:space="preserve"> 80,000 ML/day flow at the South Australian border.</w:t>
      </w:r>
      <w:bookmarkEnd w:id="268"/>
      <w:bookmarkEnd w:id="269"/>
    </w:p>
    <w:p w14:paraId="75B0BB3E" w14:textId="77777777" w:rsidR="00C354CD" w:rsidRDefault="00C354CD" w:rsidP="00C354CD">
      <w:pPr>
        <w:pStyle w:val="Para0"/>
        <w:spacing w:before="0" w:after="0"/>
        <w:rPr>
          <w:noProof/>
          <w:lang w:eastAsia="en-AU"/>
        </w:rPr>
        <w:sectPr w:rsidR="00C354CD" w:rsidSect="00D43DDD">
          <w:pgSz w:w="23811" w:h="16838" w:orient="landscape" w:code="8"/>
          <w:pgMar w:top="1134" w:right="567" w:bottom="851" w:left="851" w:header="708" w:footer="708" w:gutter="0"/>
          <w:cols w:space="708"/>
          <w:docGrid w:linePitch="360"/>
        </w:sectPr>
      </w:pPr>
    </w:p>
    <w:p w14:paraId="180C2DE4" w14:textId="77777777" w:rsidR="00C354CD" w:rsidRPr="00D216CB" w:rsidRDefault="00C354CD" w:rsidP="00C354CD">
      <w:pPr>
        <w:pStyle w:val="Heading2"/>
        <w:spacing w:before="320"/>
        <w:rPr>
          <w:color w:val="65876D" w:themeColor="accent4" w:themeShade="BF"/>
        </w:rPr>
      </w:pPr>
      <w:bookmarkStart w:id="270" w:name="_Ref507486044"/>
      <w:bookmarkStart w:id="271" w:name="_Toc514018010"/>
      <w:r>
        <w:rPr>
          <w:color w:val="65876D" w:themeColor="accent4" w:themeShade="BF"/>
        </w:rPr>
        <w:t>Application of the Framework at the Basin Scale</w:t>
      </w:r>
      <w:bookmarkEnd w:id="270"/>
      <w:bookmarkEnd w:id="271"/>
    </w:p>
    <w:p w14:paraId="26493AC1" w14:textId="521C5546" w:rsidR="00C354CD" w:rsidRDefault="00C354CD" w:rsidP="00C354CD">
      <w:pPr>
        <w:pStyle w:val="Para0"/>
        <w:sectPr w:rsidR="00C354CD" w:rsidSect="00D576AA">
          <w:footerReference w:type="default" r:id="rId83"/>
          <w:pgSz w:w="11906" w:h="16838"/>
          <w:pgMar w:top="567" w:right="851" w:bottom="851" w:left="1134" w:header="708" w:footer="708" w:gutter="0"/>
          <w:cols w:space="708"/>
          <w:docGrid w:linePitch="360"/>
        </w:sectPr>
      </w:pPr>
      <w:r>
        <w:t>In this section, the steps of the Framework are applied at the Basin Scale. This analysis is intended to demonstrate h</w:t>
      </w:r>
      <w:r w:rsidRPr="004A2419">
        <w:t xml:space="preserve">ow the Framework can be used to inform decision making on Black Box management and on prioritising applications </w:t>
      </w:r>
      <w:r>
        <w:t xml:space="preserve">for resources </w:t>
      </w:r>
      <w:r w:rsidRPr="004A2419">
        <w:t xml:space="preserve">at the Basin Scale. </w:t>
      </w:r>
      <w:r>
        <w:fldChar w:fldCharType="begin"/>
      </w:r>
      <w:r>
        <w:instrText xml:space="preserve"> REF _Ref507408701 \h  \* MERGEFORMAT </w:instrText>
      </w:r>
      <w:r>
        <w:fldChar w:fldCharType="separate"/>
      </w:r>
      <w:r w:rsidR="00BF015B" w:rsidRPr="00BF015B">
        <w:t>Figure 5</w:t>
      </w:r>
      <w:r w:rsidR="00BF015B" w:rsidRPr="00BF015B">
        <w:noBreakHyphen/>
        <w:t>8</w:t>
      </w:r>
      <w:r>
        <w:fldChar w:fldCharType="end"/>
      </w:r>
      <w:r>
        <w:t xml:space="preserve"> shows the entire basin and the regions it is broken down into for the analysis. </w:t>
      </w:r>
      <w:r>
        <w:fldChar w:fldCharType="begin"/>
      </w:r>
      <w:r>
        <w:instrText xml:space="preserve"> REF _Ref507408992 \h </w:instrText>
      </w:r>
      <w:r>
        <w:fldChar w:fldCharType="separate"/>
      </w:r>
      <w:r w:rsidR="00BF015B">
        <w:t xml:space="preserve">Table </w:t>
      </w:r>
      <w:r w:rsidR="00BF015B">
        <w:rPr>
          <w:noProof/>
        </w:rPr>
        <w:t>5</w:t>
      </w:r>
      <w:r w:rsidR="00BF015B">
        <w:noBreakHyphen/>
      </w:r>
      <w:r w:rsidR="00BF015B">
        <w:rPr>
          <w:noProof/>
        </w:rPr>
        <w:t>4</w:t>
      </w:r>
      <w:r>
        <w:fldChar w:fldCharType="end"/>
      </w:r>
      <w:r>
        <w:t xml:space="preserve"> summarises the data used for the basin scale application of the Framework. </w:t>
      </w:r>
    </w:p>
    <w:p w14:paraId="625FB70F" w14:textId="3FDC1583" w:rsidR="00C354CD" w:rsidRPr="00331D81" w:rsidRDefault="00D43DDD" w:rsidP="00C354CD">
      <w:pPr>
        <w:pStyle w:val="Bodysubheading"/>
        <w:spacing w:before="0" w:after="0"/>
        <w:ind w:left="0"/>
        <w:jc w:val="center"/>
        <w:rPr>
          <w:noProof/>
          <w:lang w:eastAsia="en-AU"/>
        </w:rPr>
      </w:pPr>
      <w:r>
        <w:rPr>
          <w:noProof/>
          <w:lang w:eastAsia="en-AU"/>
        </w:rPr>
        <w:drawing>
          <wp:inline distT="0" distB="0" distL="0" distR="0" wp14:anchorId="79321994" wp14:editId="7554DCBB">
            <wp:extent cx="13542579" cy="8243391"/>
            <wp:effectExtent l="0" t="0" r="2540" b="5715"/>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Fig5.8 Locality Map.png"/>
                    <pic:cNvPicPr/>
                  </pic:nvPicPr>
                  <pic:blipFill rotWithShape="1">
                    <a:blip r:embed="rId84" cstate="email">
                      <a:extLst>
                        <a:ext uri="{28A0092B-C50C-407E-A947-70E740481C1C}">
                          <a14:useLocalDpi xmlns:a14="http://schemas.microsoft.com/office/drawing/2010/main"/>
                        </a:ext>
                      </a:extLst>
                    </a:blip>
                    <a:srcRect/>
                    <a:stretch/>
                  </pic:blipFill>
                  <pic:spPr bwMode="auto">
                    <a:xfrm>
                      <a:off x="0" y="0"/>
                      <a:ext cx="13554912" cy="8250898"/>
                    </a:xfrm>
                    <a:prstGeom prst="rect">
                      <a:avLst/>
                    </a:prstGeom>
                    <a:ln>
                      <a:noFill/>
                    </a:ln>
                    <a:extLst>
                      <a:ext uri="{53640926-AAD7-44D8-BBD7-CCE9431645EC}">
                        <a14:shadowObscured xmlns:a14="http://schemas.microsoft.com/office/drawing/2010/main"/>
                      </a:ext>
                    </a:extLst>
                  </pic:spPr>
                </pic:pic>
              </a:graphicData>
            </a:graphic>
          </wp:inline>
        </w:drawing>
      </w:r>
    </w:p>
    <w:p w14:paraId="0CFE9617" w14:textId="125452B0" w:rsidR="00C354CD" w:rsidRDefault="00C354CD" w:rsidP="00C354CD">
      <w:pPr>
        <w:pStyle w:val="Bodysubheading"/>
        <w:spacing w:before="0" w:after="0"/>
        <w:ind w:left="0"/>
        <w:jc w:val="center"/>
        <w:rPr>
          <w:rFonts w:ascii="Arial Narrow" w:hAnsi="Arial Narrow"/>
          <w:b w:val="0"/>
        </w:rPr>
      </w:pPr>
      <w:bookmarkStart w:id="272" w:name="_Ref507408701"/>
      <w:bookmarkStart w:id="273" w:name="_Toc514018101"/>
      <w:r w:rsidRPr="00331D81">
        <w:rPr>
          <w:rFonts w:ascii="Arial Narrow" w:hAnsi="Arial Narrow"/>
        </w:rPr>
        <w:t xml:space="preserve">Figure </w:t>
      </w:r>
      <w:r>
        <w:rPr>
          <w:rFonts w:ascii="Arial Narrow" w:hAnsi="Arial Narrow"/>
        </w:rPr>
        <w:fldChar w:fldCharType="begin"/>
      </w:r>
      <w:r>
        <w:rPr>
          <w:rFonts w:ascii="Arial Narrow" w:hAnsi="Arial Narrow"/>
        </w:rPr>
        <w:instrText xml:space="preserve"> STYLEREF 1 \s </w:instrText>
      </w:r>
      <w:r>
        <w:rPr>
          <w:rFonts w:ascii="Arial Narrow" w:hAnsi="Arial Narrow"/>
        </w:rPr>
        <w:fldChar w:fldCharType="separate"/>
      </w:r>
      <w:r w:rsidR="00BF015B">
        <w:rPr>
          <w:rFonts w:ascii="Arial Narrow" w:hAnsi="Arial Narrow"/>
          <w:noProof/>
        </w:rPr>
        <w:t>5</w:t>
      </w:r>
      <w:r>
        <w:rPr>
          <w:rFonts w:ascii="Arial Narrow" w:hAnsi="Arial Narrow"/>
        </w:rPr>
        <w:fldChar w:fldCharType="end"/>
      </w:r>
      <w:r>
        <w:rPr>
          <w:rFonts w:ascii="Arial Narrow" w:hAnsi="Arial Narrow"/>
        </w:rPr>
        <w:noBreakHyphen/>
      </w:r>
      <w:r>
        <w:rPr>
          <w:rFonts w:ascii="Arial Narrow" w:hAnsi="Arial Narrow"/>
        </w:rPr>
        <w:fldChar w:fldCharType="begin"/>
      </w:r>
      <w:r>
        <w:rPr>
          <w:rFonts w:ascii="Arial Narrow" w:hAnsi="Arial Narrow"/>
        </w:rPr>
        <w:instrText xml:space="preserve"> SEQ Figure \* ARABIC \s 1 </w:instrText>
      </w:r>
      <w:r>
        <w:rPr>
          <w:rFonts w:ascii="Arial Narrow" w:hAnsi="Arial Narrow"/>
        </w:rPr>
        <w:fldChar w:fldCharType="separate"/>
      </w:r>
      <w:r w:rsidR="00BF015B">
        <w:rPr>
          <w:rFonts w:ascii="Arial Narrow" w:hAnsi="Arial Narrow"/>
          <w:noProof/>
        </w:rPr>
        <w:t>8</w:t>
      </w:r>
      <w:r>
        <w:rPr>
          <w:rFonts w:ascii="Arial Narrow" w:hAnsi="Arial Narrow"/>
        </w:rPr>
        <w:fldChar w:fldCharType="end"/>
      </w:r>
      <w:bookmarkEnd w:id="272"/>
      <w:r w:rsidRPr="00331D81">
        <w:rPr>
          <w:rFonts w:ascii="Arial Narrow" w:hAnsi="Arial Narrow"/>
        </w:rPr>
        <w:t xml:space="preserve">: </w:t>
      </w:r>
      <w:bookmarkStart w:id="274" w:name="_Ref507408904"/>
      <w:r>
        <w:rPr>
          <w:rFonts w:ascii="Arial Narrow" w:hAnsi="Arial Narrow"/>
        </w:rPr>
        <w:t xml:space="preserve">Locality map for the Basin and Basin Plan </w:t>
      </w:r>
      <w:r w:rsidR="00CF2B56">
        <w:rPr>
          <w:rFonts w:ascii="Arial Narrow" w:hAnsi="Arial Narrow"/>
        </w:rPr>
        <w:t>r</w:t>
      </w:r>
      <w:r>
        <w:rPr>
          <w:rFonts w:ascii="Arial Narrow" w:hAnsi="Arial Narrow"/>
        </w:rPr>
        <w:t>egions</w:t>
      </w:r>
      <w:bookmarkEnd w:id="273"/>
    </w:p>
    <w:p w14:paraId="1DD0A974" w14:textId="77777777" w:rsidR="00C354CD" w:rsidRDefault="00C354CD" w:rsidP="00C354CD">
      <w:pPr>
        <w:pStyle w:val="Bodysubheading"/>
        <w:spacing w:before="0" w:after="0"/>
        <w:ind w:left="0"/>
        <w:jc w:val="center"/>
        <w:sectPr w:rsidR="00C354CD" w:rsidSect="00D43DDD">
          <w:pgSz w:w="23811" w:h="16838" w:orient="landscape" w:code="8"/>
          <w:pgMar w:top="1134" w:right="567" w:bottom="851" w:left="851" w:header="708" w:footer="708" w:gutter="0"/>
          <w:cols w:space="708"/>
          <w:docGrid w:linePitch="360"/>
        </w:sectPr>
      </w:pPr>
    </w:p>
    <w:p w14:paraId="69018A59" w14:textId="4E05D229" w:rsidR="00C354CD" w:rsidRPr="00F20C7B" w:rsidRDefault="00C354CD" w:rsidP="00C354CD">
      <w:pPr>
        <w:pStyle w:val="Caption"/>
        <w:spacing w:before="0" w:after="0"/>
      </w:pPr>
      <w:bookmarkStart w:id="275" w:name="_Ref507408992"/>
      <w:bookmarkStart w:id="276" w:name="_Toc514068792"/>
      <w:r>
        <w:t xml:space="preserve">Table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Table \* ARABIC \s 1 </w:instrText>
      </w:r>
      <w:r>
        <w:fldChar w:fldCharType="separate"/>
      </w:r>
      <w:r w:rsidR="00BF015B">
        <w:rPr>
          <w:noProof/>
        </w:rPr>
        <w:t>4</w:t>
      </w:r>
      <w:r>
        <w:fldChar w:fldCharType="end"/>
      </w:r>
      <w:bookmarkEnd w:id="275"/>
      <w:r>
        <w:t xml:space="preserve">: </w:t>
      </w:r>
      <w:r w:rsidRPr="00F20C7B">
        <w:t>Data used in the basin scale application of the Framework</w:t>
      </w:r>
      <w:bookmarkEnd w:id="276"/>
    </w:p>
    <w:tbl>
      <w:tblPr>
        <w:tblStyle w:val="TableGrid"/>
        <w:tblW w:w="9918" w:type="dxa"/>
        <w:tblLook w:val="04A0" w:firstRow="1" w:lastRow="0" w:firstColumn="1" w:lastColumn="0" w:noHBand="0" w:noVBand="1"/>
      </w:tblPr>
      <w:tblGrid>
        <w:gridCol w:w="1271"/>
        <w:gridCol w:w="992"/>
        <w:gridCol w:w="3969"/>
        <w:gridCol w:w="1418"/>
        <w:gridCol w:w="2268"/>
      </w:tblGrid>
      <w:tr w:rsidR="00B50121" w:rsidRPr="00F20C7B" w14:paraId="7153CD85" w14:textId="00C684DA" w:rsidTr="00A22B6D">
        <w:trPr>
          <w:trHeight w:val="163"/>
        </w:trPr>
        <w:tc>
          <w:tcPr>
            <w:tcW w:w="1271" w:type="dxa"/>
            <w:shd w:val="clear" w:color="auto" w:fill="65876D"/>
            <w:vAlign w:val="center"/>
          </w:tcPr>
          <w:p w14:paraId="7B2575E9" w14:textId="77777777" w:rsidR="00B50121" w:rsidRPr="00B45B54" w:rsidRDefault="00B50121" w:rsidP="00AD0E29">
            <w:pPr>
              <w:pStyle w:val="Tableheading"/>
              <w:rPr>
                <w:color w:val="FFFFFF" w:themeColor="background1"/>
              </w:rPr>
            </w:pPr>
            <w:r w:rsidRPr="00B45B54">
              <w:rPr>
                <w:color w:val="FFFFFF" w:themeColor="background1"/>
              </w:rPr>
              <w:t>Data Name</w:t>
            </w:r>
          </w:p>
        </w:tc>
        <w:tc>
          <w:tcPr>
            <w:tcW w:w="992" w:type="dxa"/>
            <w:shd w:val="clear" w:color="auto" w:fill="65876D"/>
            <w:vAlign w:val="center"/>
          </w:tcPr>
          <w:p w14:paraId="672955F7" w14:textId="77777777" w:rsidR="00B50121" w:rsidRPr="00B45B54" w:rsidRDefault="00B50121" w:rsidP="00AD0E29">
            <w:pPr>
              <w:pStyle w:val="Tableheading"/>
              <w:rPr>
                <w:color w:val="FFFFFF" w:themeColor="background1"/>
              </w:rPr>
            </w:pPr>
            <w:r w:rsidRPr="00B45B54">
              <w:rPr>
                <w:color w:val="FFFFFF" w:themeColor="background1"/>
              </w:rPr>
              <w:t>Source</w:t>
            </w:r>
          </w:p>
        </w:tc>
        <w:tc>
          <w:tcPr>
            <w:tcW w:w="3969" w:type="dxa"/>
            <w:shd w:val="clear" w:color="auto" w:fill="65876D"/>
            <w:vAlign w:val="center"/>
          </w:tcPr>
          <w:p w14:paraId="37D3DB58" w14:textId="77777777" w:rsidR="00B50121" w:rsidRPr="00B45B54" w:rsidRDefault="00B50121" w:rsidP="00AD0E29">
            <w:pPr>
              <w:pStyle w:val="Tableheading"/>
              <w:rPr>
                <w:color w:val="FFFFFF" w:themeColor="background1"/>
              </w:rPr>
            </w:pPr>
            <w:r w:rsidRPr="00B45B54">
              <w:rPr>
                <w:color w:val="FFFFFF" w:themeColor="background1"/>
              </w:rPr>
              <w:t>Description</w:t>
            </w:r>
            <w:r>
              <w:rPr>
                <w:color w:val="FFFFFF" w:themeColor="background1"/>
              </w:rPr>
              <w:t xml:space="preserve"> / Reference</w:t>
            </w:r>
          </w:p>
        </w:tc>
        <w:tc>
          <w:tcPr>
            <w:tcW w:w="1418" w:type="dxa"/>
            <w:shd w:val="clear" w:color="auto" w:fill="65876D"/>
            <w:vAlign w:val="center"/>
          </w:tcPr>
          <w:p w14:paraId="5592870C" w14:textId="77777777" w:rsidR="00B50121" w:rsidRPr="00B45B54" w:rsidRDefault="00B50121" w:rsidP="00AD0E29">
            <w:pPr>
              <w:pStyle w:val="Tableheading"/>
              <w:rPr>
                <w:color w:val="FFFFFF" w:themeColor="background1"/>
              </w:rPr>
            </w:pPr>
            <w:r w:rsidRPr="00B45B54">
              <w:rPr>
                <w:color w:val="FFFFFF" w:themeColor="background1"/>
              </w:rPr>
              <w:t>Coverage</w:t>
            </w:r>
          </w:p>
        </w:tc>
        <w:tc>
          <w:tcPr>
            <w:tcW w:w="2268" w:type="dxa"/>
            <w:shd w:val="clear" w:color="auto" w:fill="65876D"/>
          </w:tcPr>
          <w:p w14:paraId="5AE33FB6" w14:textId="721A35BC" w:rsidR="00B50121" w:rsidRPr="00B45B54" w:rsidRDefault="00B50121" w:rsidP="00AD0E29">
            <w:pPr>
              <w:pStyle w:val="Tableheading"/>
              <w:rPr>
                <w:color w:val="FFFFFF" w:themeColor="background1"/>
              </w:rPr>
            </w:pPr>
            <w:r>
              <w:rPr>
                <w:color w:val="FFFFFF" w:themeColor="background1"/>
              </w:rPr>
              <w:t>Confidence Level</w:t>
            </w:r>
          </w:p>
        </w:tc>
      </w:tr>
      <w:tr w:rsidR="00B50121" w:rsidRPr="00F20C7B" w14:paraId="2D1B809D" w14:textId="5B1022E0" w:rsidTr="00CF2B56">
        <w:trPr>
          <w:trHeight w:val="1557"/>
        </w:trPr>
        <w:tc>
          <w:tcPr>
            <w:tcW w:w="1271" w:type="dxa"/>
          </w:tcPr>
          <w:p w14:paraId="37005251" w14:textId="77777777" w:rsidR="00B50121" w:rsidRPr="00B45B54" w:rsidRDefault="00B50121" w:rsidP="00AD0E29">
            <w:pPr>
              <w:pStyle w:val="Tablesmalltext"/>
              <w:rPr>
                <w:sz w:val="18"/>
                <w:szCs w:val="18"/>
              </w:rPr>
            </w:pPr>
            <w:r w:rsidRPr="00B45B54">
              <w:rPr>
                <w:sz w:val="18"/>
                <w:szCs w:val="18"/>
              </w:rPr>
              <w:t>Extent and condition of Black Box vegetation</w:t>
            </w:r>
          </w:p>
        </w:tc>
        <w:tc>
          <w:tcPr>
            <w:tcW w:w="992" w:type="dxa"/>
          </w:tcPr>
          <w:p w14:paraId="2262AF97" w14:textId="77777777" w:rsidR="00B50121" w:rsidRPr="00B45B54" w:rsidRDefault="00B50121" w:rsidP="00AD0E29">
            <w:pPr>
              <w:pStyle w:val="Tablesmalltext"/>
              <w:rPr>
                <w:sz w:val="18"/>
                <w:szCs w:val="18"/>
              </w:rPr>
            </w:pPr>
            <w:r w:rsidRPr="00B45B54">
              <w:rPr>
                <w:sz w:val="18"/>
                <w:szCs w:val="18"/>
              </w:rPr>
              <w:t>MDBA</w:t>
            </w:r>
          </w:p>
        </w:tc>
        <w:tc>
          <w:tcPr>
            <w:tcW w:w="3969" w:type="dxa"/>
          </w:tcPr>
          <w:p w14:paraId="3EF6F63E" w14:textId="77777777" w:rsidR="00B50121" w:rsidRPr="00B45B54" w:rsidRDefault="00B50121" w:rsidP="00AD0E29">
            <w:pPr>
              <w:pStyle w:val="Tablesmalltext"/>
              <w:rPr>
                <w:sz w:val="18"/>
                <w:szCs w:val="18"/>
              </w:rPr>
            </w:pPr>
            <w:r w:rsidRPr="00B45B54">
              <w:rPr>
                <w:sz w:val="18"/>
                <w:szCs w:val="18"/>
              </w:rPr>
              <w:t xml:space="preserve">The MDBA commissioned a vegetation condition assessment model (as at 2013) of water-dependent trees for the development of the BWS. Vegetation extent and condition mapping using remote sensing was combined with the modelled inundation extent to determine the area of River Red Gum, Black Box and Coolibah across the managed floodplain. A remote sensing approach was used to map vegetation extent and condition to provide a consistent set of metrics across the Basin. </w:t>
            </w:r>
          </w:p>
        </w:tc>
        <w:tc>
          <w:tcPr>
            <w:tcW w:w="1418" w:type="dxa"/>
          </w:tcPr>
          <w:p w14:paraId="23517FD1" w14:textId="77777777" w:rsidR="00B50121" w:rsidRPr="00B45B54" w:rsidRDefault="00B50121" w:rsidP="00AD0E29">
            <w:pPr>
              <w:pStyle w:val="Tablesmalltext"/>
              <w:rPr>
                <w:sz w:val="18"/>
                <w:szCs w:val="18"/>
              </w:rPr>
            </w:pPr>
            <w:r w:rsidRPr="00B45B54">
              <w:rPr>
                <w:sz w:val="18"/>
                <w:szCs w:val="18"/>
              </w:rPr>
              <w:t>Basin Wide for extent</w:t>
            </w:r>
          </w:p>
          <w:p w14:paraId="08A13FDC" w14:textId="77777777" w:rsidR="00B50121" w:rsidRPr="00B45B54" w:rsidRDefault="00B50121" w:rsidP="00AD0E29">
            <w:pPr>
              <w:pStyle w:val="Tablesmalltext"/>
              <w:rPr>
                <w:sz w:val="18"/>
                <w:szCs w:val="18"/>
              </w:rPr>
            </w:pPr>
            <w:r w:rsidRPr="00B45B54">
              <w:rPr>
                <w:sz w:val="18"/>
                <w:szCs w:val="18"/>
              </w:rPr>
              <w:t>Southern Basin only for condition.</w:t>
            </w:r>
          </w:p>
        </w:tc>
        <w:tc>
          <w:tcPr>
            <w:tcW w:w="2268" w:type="dxa"/>
            <w:shd w:val="clear" w:color="auto" w:fill="FFC000"/>
          </w:tcPr>
          <w:p w14:paraId="781A0F64" w14:textId="307FFB57" w:rsidR="00B50121" w:rsidRDefault="00CF2B56" w:rsidP="00AD0E29">
            <w:pPr>
              <w:pStyle w:val="Tablesmalltext"/>
              <w:rPr>
                <w:sz w:val="18"/>
                <w:szCs w:val="18"/>
              </w:rPr>
            </w:pPr>
            <w:r>
              <w:rPr>
                <w:sz w:val="18"/>
                <w:szCs w:val="18"/>
              </w:rPr>
              <w:t>Low/Moderate</w:t>
            </w:r>
          </w:p>
          <w:p w14:paraId="677BA8AF" w14:textId="77777777" w:rsidR="00B50121" w:rsidRDefault="00B50121" w:rsidP="00AD0E29">
            <w:pPr>
              <w:pStyle w:val="Tablesmalltext"/>
              <w:rPr>
                <w:sz w:val="18"/>
                <w:szCs w:val="18"/>
              </w:rPr>
            </w:pPr>
          </w:p>
          <w:p w14:paraId="79D0EC45" w14:textId="77777777" w:rsidR="00B50121" w:rsidRDefault="00B50121" w:rsidP="00B50121">
            <w:pPr>
              <w:pStyle w:val="Tablesmalltext"/>
              <w:rPr>
                <w:sz w:val="18"/>
                <w:szCs w:val="18"/>
              </w:rPr>
            </w:pPr>
            <w:r>
              <w:rPr>
                <w:sz w:val="18"/>
                <w:szCs w:val="18"/>
              </w:rPr>
              <w:t>No condition score available for 86% of Black Box in basin</w:t>
            </w:r>
          </w:p>
          <w:p w14:paraId="0D061A73" w14:textId="77777777" w:rsidR="005C176C" w:rsidRDefault="005C176C" w:rsidP="00B50121">
            <w:pPr>
              <w:pStyle w:val="Tablesmalltext"/>
              <w:rPr>
                <w:sz w:val="18"/>
                <w:szCs w:val="18"/>
              </w:rPr>
            </w:pPr>
            <w:r>
              <w:rPr>
                <w:sz w:val="18"/>
                <w:szCs w:val="18"/>
              </w:rPr>
              <w:t>Those areas that are mapped have a Moderate confidence level</w:t>
            </w:r>
          </w:p>
          <w:p w14:paraId="1516D70D" w14:textId="10F473AB" w:rsidR="005C176C" w:rsidRPr="00B45B54" w:rsidRDefault="005C176C" w:rsidP="00B50121">
            <w:pPr>
              <w:pStyle w:val="Tablesmalltext"/>
              <w:rPr>
                <w:sz w:val="18"/>
                <w:szCs w:val="18"/>
              </w:rPr>
            </w:pPr>
          </w:p>
        </w:tc>
      </w:tr>
      <w:tr w:rsidR="00B50121" w:rsidRPr="00F20C7B" w14:paraId="434AB3C9" w14:textId="2844C1E0" w:rsidTr="00A22B6D">
        <w:tc>
          <w:tcPr>
            <w:tcW w:w="1271" w:type="dxa"/>
          </w:tcPr>
          <w:p w14:paraId="1321C887" w14:textId="77777777" w:rsidR="00B50121" w:rsidRPr="00B46A7C" w:rsidRDefault="00B50121" w:rsidP="00AD0E29">
            <w:pPr>
              <w:pStyle w:val="Tablesmalltext"/>
              <w:rPr>
                <w:sz w:val="18"/>
                <w:szCs w:val="18"/>
              </w:rPr>
            </w:pPr>
            <w:r w:rsidRPr="00B46A7C">
              <w:rPr>
                <w:sz w:val="18"/>
                <w:szCs w:val="18"/>
              </w:rPr>
              <w:t xml:space="preserve">Inundation frequency </w:t>
            </w:r>
          </w:p>
        </w:tc>
        <w:tc>
          <w:tcPr>
            <w:tcW w:w="992" w:type="dxa"/>
          </w:tcPr>
          <w:p w14:paraId="12168D15" w14:textId="77777777" w:rsidR="00B50121" w:rsidRPr="00B46A7C" w:rsidRDefault="00B50121" w:rsidP="00AD0E29">
            <w:pPr>
              <w:pStyle w:val="Tablesmalltext"/>
              <w:rPr>
                <w:sz w:val="18"/>
                <w:szCs w:val="18"/>
              </w:rPr>
            </w:pPr>
            <w:r w:rsidRPr="00B46A7C">
              <w:rPr>
                <w:sz w:val="18"/>
                <w:szCs w:val="18"/>
              </w:rPr>
              <w:t>MDBA and CSIRO</w:t>
            </w:r>
          </w:p>
        </w:tc>
        <w:tc>
          <w:tcPr>
            <w:tcW w:w="3969" w:type="dxa"/>
          </w:tcPr>
          <w:p w14:paraId="062F0E4A" w14:textId="3A30CFF7" w:rsidR="00B50121" w:rsidRPr="00B46A7C" w:rsidRDefault="00B50121" w:rsidP="00AD0E29">
            <w:pPr>
              <w:autoSpaceDE w:val="0"/>
              <w:autoSpaceDN w:val="0"/>
              <w:adjustRightInd w:val="0"/>
              <w:spacing w:after="0" w:line="240" w:lineRule="auto"/>
              <w:rPr>
                <w:sz w:val="18"/>
                <w:szCs w:val="18"/>
              </w:rPr>
            </w:pPr>
            <w:r>
              <w:rPr>
                <w:sz w:val="18"/>
                <w:szCs w:val="18"/>
              </w:rPr>
              <w:t>Murray Darling Basin Frequency of Inundation Model (MDB</w:t>
            </w:r>
            <w:r w:rsidR="005C176C">
              <w:rPr>
                <w:sz w:val="18"/>
                <w:szCs w:val="18"/>
              </w:rPr>
              <w:t>-</w:t>
            </w:r>
            <w:r>
              <w:rPr>
                <w:sz w:val="18"/>
                <w:szCs w:val="18"/>
              </w:rPr>
              <w:t xml:space="preserve">FIM) was developed by CSIRO. It </w:t>
            </w:r>
            <w:r w:rsidR="00CF2B56">
              <w:rPr>
                <w:sz w:val="18"/>
                <w:szCs w:val="18"/>
              </w:rPr>
              <w:t>provides a</w:t>
            </w:r>
            <w:r>
              <w:rPr>
                <w:sz w:val="18"/>
                <w:szCs w:val="18"/>
              </w:rPr>
              <w:t xml:space="preserve"> </w:t>
            </w:r>
            <w:r w:rsidRPr="00344241">
              <w:rPr>
                <w:sz w:val="18"/>
                <w:szCs w:val="18"/>
              </w:rPr>
              <w:t>historical account of floodplain inundation produced from satellite imagery and other available floodplain and wetlands inundation mapping. It is a predictive tool for mapping floodplain inundation under different river flows and wetland connectivity.</w:t>
            </w:r>
          </w:p>
          <w:p w14:paraId="5643CE13" w14:textId="77777777" w:rsidR="00B50121" w:rsidRPr="00B46A7C" w:rsidRDefault="00B50121" w:rsidP="00AD0E29">
            <w:pPr>
              <w:pStyle w:val="Tablesmalltext"/>
              <w:rPr>
                <w:sz w:val="18"/>
                <w:szCs w:val="18"/>
              </w:rPr>
            </w:pPr>
            <w:r w:rsidRPr="00B46A7C">
              <w:rPr>
                <w:sz w:val="18"/>
                <w:szCs w:val="18"/>
              </w:rPr>
              <w:t>Overton IC, Doody TM, Pollock D, Guerschman JP, Warren G, Jin W and Wurcker B (2010) The Murray-Darling Basin Floodplain Inundation Model (MDB-FIM). Water for a Healthy Country Flagship Technical Report. CSIRO, Adelaide.</w:t>
            </w:r>
          </w:p>
        </w:tc>
        <w:tc>
          <w:tcPr>
            <w:tcW w:w="1418" w:type="dxa"/>
          </w:tcPr>
          <w:p w14:paraId="02459AA7" w14:textId="77777777" w:rsidR="00B50121" w:rsidRPr="00B46A7C" w:rsidRDefault="00B50121" w:rsidP="00AD0E29">
            <w:pPr>
              <w:pStyle w:val="Tablesmalltext"/>
              <w:rPr>
                <w:sz w:val="18"/>
                <w:szCs w:val="18"/>
              </w:rPr>
            </w:pPr>
            <w:r w:rsidRPr="00B46A7C">
              <w:rPr>
                <w:sz w:val="18"/>
                <w:szCs w:val="18"/>
              </w:rPr>
              <w:t>Basin Wide</w:t>
            </w:r>
          </w:p>
        </w:tc>
        <w:tc>
          <w:tcPr>
            <w:tcW w:w="2268" w:type="dxa"/>
            <w:shd w:val="clear" w:color="auto" w:fill="FFC000"/>
          </w:tcPr>
          <w:p w14:paraId="6C998AE2" w14:textId="5C5CE523" w:rsidR="00B50121" w:rsidRDefault="000B3BF2" w:rsidP="00AD0E29">
            <w:pPr>
              <w:pStyle w:val="Tablesmalltext"/>
              <w:rPr>
                <w:sz w:val="18"/>
                <w:szCs w:val="18"/>
              </w:rPr>
            </w:pPr>
            <w:r>
              <w:rPr>
                <w:sz w:val="18"/>
                <w:szCs w:val="18"/>
              </w:rPr>
              <w:t>Low/Moderate</w:t>
            </w:r>
          </w:p>
          <w:p w14:paraId="09DFC55F" w14:textId="77777777" w:rsidR="00B50121" w:rsidRDefault="00B50121" w:rsidP="00AD0E29">
            <w:pPr>
              <w:pStyle w:val="Tablesmalltext"/>
              <w:rPr>
                <w:sz w:val="18"/>
                <w:szCs w:val="18"/>
              </w:rPr>
            </w:pPr>
          </w:p>
          <w:p w14:paraId="70CE7208" w14:textId="15487E22" w:rsidR="00B50121" w:rsidRPr="00B46A7C" w:rsidRDefault="00B50121" w:rsidP="00AD0E29">
            <w:pPr>
              <w:pStyle w:val="Tablesmalltext"/>
              <w:rPr>
                <w:sz w:val="18"/>
                <w:szCs w:val="18"/>
              </w:rPr>
            </w:pPr>
            <w:r>
              <w:rPr>
                <w:sz w:val="18"/>
                <w:szCs w:val="18"/>
              </w:rPr>
              <w:t>All of basin is included. Coarser level of accuracy than R</w:t>
            </w:r>
            <w:r w:rsidR="00FC650B">
              <w:rPr>
                <w:sz w:val="18"/>
                <w:szCs w:val="18"/>
              </w:rPr>
              <w:t>i</w:t>
            </w:r>
            <w:r>
              <w:rPr>
                <w:sz w:val="18"/>
                <w:szCs w:val="18"/>
              </w:rPr>
              <w:t>M</w:t>
            </w:r>
            <w:r w:rsidR="00FC650B">
              <w:rPr>
                <w:sz w:val="18"/>
                <w:szCs w:val="18"/>
              </w:rPr>
              <w:t>-</w:t>
            </w:r>
            <w:r>
              <w:rPr>
                <w:sz w:val="18"/>
                <w:szCs w:val="18"/>
              </w:rPr>
              <w:t>FIM.</w:t>
            </w:r>
          </w:p>
        </w:tc>
      </w:tr>
      <w:tr w:rsidR="00B50121" w:rsidRPr="00344241" w14:paraId="335155F7" w14:textId="3AF99DEF" w:rsidTr="00A22B6D">
        <w:tc>
          <w:tcPr>
            <w:tcW w:w="1271" w:type="dxa"/>
          </w:tcPr>
          <w:p w14:paraId="23E00BED" w14:textId="77777777" w:rsidR="00B50121" w:rsidRPr="00344241" w:rsidRDefault="00B50121" w:rsidP="00AD0E29">
            <w:pPr>
              <w:pStyle w:val="Tablesmalltext"/>
              <w:rPr>
                <w:sz w:val="18"/>
                <w:szCs w:val="18"/>
              </w:rPr>
            </w:pPr>
            <w:r w:rsidRPr="00344241">
              <w:rPr>
                <w:sz w:val="18"/>
                <w:szCs w:val="18"/>
              </w:rPr>
              <w:t>Groundwater Salinity</w:t>
            </w:r>
          </w:p>
        </w:tc>
        <w:tc>
          <w:tcPr>
            <w:tcW w:w="992" w:type="dxa"/>
          </w:tcPr>
          <w:p w14:paraId="65364EC6" w14:textId="77777777" w:rsidR="00B50121" w:rsidRPr="00344241" w:rsidRDefault="00B50121" w:rsidP="00AD0E29">
            <w:pPr>
              <w:pStyle w:val="Tablesmalltext"/>
              <w:rPr>
                <w:sz w:val="18"/>
                <w:szCs w:val="18"/>
              </w:rPr>
            </w:pPr>
            <w:r w:rsidRPr="00344241">
              <w:rPr>
                <w:sz w:val="18"/>
                <w:szCs w:val="18"/>
              </w:rPr>
              <w:t>MDBA</w:t>
            </w:r>
          </w:p>
        </w:tc>
        <w:tc>
          <w:tcPr>
            <w:tcW w:w="3969" w:type="dxa"/>
          </w:tcPr>
          <w:p w14:paraId="6F78ED4D" w14:textId="77777777" w:rsidR="00B50121" w:rsidRPr="00344241" w:rsidRDefault="00B50121" w:rsidP="00AD0E29">
            <w:pPr>
              <w:pStyle w:val="Tablesmalltext"/>
              <w:rPr>
                <w:sz w:val="18"/>
                <w:szCs w:val="18"/>
              </w:rPr>
            </w:pPr>
            <w:r w:rsidRPr="00344241">
              <w:rPr>
                <w:sz w:val="18"/>
                <w:szCs w:val="18"/>
              </w:rPr>
              <w:t xml:space="preserve">Groundwater salinity throughout the basin, provided by the MDBA from their Basin in a Box dataset. </w:t>
            </w:r>
          </w:p>
        </w:tc>
        <w:tc>
          <w:tcPr>
            <w:tcW w:w="1418" w:type="dxa"/>
          </w:tcPr>
          <w:p w14:paraId="0D3487FB" w14:textId="77777777" w:rsidR="00B50121" w:rsidRPr="00344241" w:rsidRDefault="00B50121" w:rsidP="00AD0E29">
            <w:pPr>
              <w:pStyle w:val="Tablesmalltext"/>
              <w:rPr>
                <w:sz w:val="18"/>
                <w:szCs w:val="18"/>
              </w:rPr>
            </w:pPr>
            <w:r w:rsidRPr="00344241">
              <w:rPr>
                <w:sz w:val="18"/>
                <w:szCs w:val="18"/>
              </w:rPr>
              <w:t>Basin Wide</w:t>
            </w:r>
          </w:p>
        </w:tc>
        <w:tc>
          <w:tcPr>
            <w:tcW w:w="2268" w:type="dxa"/>
            <w:shd w:val="clear" w:color="auto" w:fill="FFC000"/>
          </w:tcPr>
          <w:p w14:paraId="1A4155CF" w14:textId="5F0A9384" w:rsidR="00B50121" w:rsidRDefault="004D7631" w:rsidP="00B50121">
            <w:pPr>
              <w:pStyle w:val="Tablesmalltext"/>
              <w:rPr>
                <w:sz w:val="18"/>
                <w:szCs w:val="18"/>
              </w:rPr>
            </w:pPr>
            <w:r>
              <w:rPr>
                <w:sz w:val="18"/>
                <w:szCs w:val="18"/>
              </w:rPr>
              <w:t>Low/</w:t>
            </w:r>
            <w:r w:rsidR="00B50121">
              <w:rPr>
                <w:sz w:val="18"/>
                <w:szCs w:val="18"/>
              </w:rPr>
              <w:t>Moderate</w:t>
            </w:r>
          </w:p>
          <w:p w14:paraId="152CAB93" w14:textId="6067FCAD" w:rsidR="00B50121" w:rsidRPr="00344241" w:rsidRDefault="00B50121" w:rsidP="004D7631">
            <w:pPr>
              <w:pStyle w:val="Tablesmalltext"/>
              <w:rPr>
                <w:sz w:val="18"/>
                <w:szCs w:val="18"/>
              </w:rPr>
            </w:pPr>
            <w:r>
              <w:rPr>
                <w:sz w:val="18"/>
                <w:szCs w:val="18"/>
              </w:rPr>
              <w:t xml:space="preserve">Covers basin, but </w:t>
            </w:r>
            <w:r w:rsidR="004D7631">
              <w:rPr>
                <w:sz w:val="18"/>
                <w:szCs w:val="18"/>
              </w:rPr>
              <w:t>data is not continuous and provides limited information at Black Box stressor threshold.</w:t>
            </w:r>
          </w:p>
        </w:tc>
      </w:tr>
      <w:tr w:rsidR="00B50121" w:rsidRPr="00F20C7B" w14:paraId="56800F92" w14:textId="6DBEE065" w:rsidTr="00A22B6D">
        <w:tc>
          <w:tcPr>
            <w:tcW w:w="1271" w:type="dxa"/>
          </w:tcPr>
          <w:p w14:paraId="525BBDE5" w14:textId="77777777" w:rsidR="00B50121" w:rsidRPr="00344241" w:rsidRDefault="00B50121" w:rsidP="00AD0E29">
            <w:pPr>
              <w:pStyle w:val="Tablesmalltext"/>
              <w:rPr>
                <w:sz w:val="18"/>
                <w:szCs w:val="18"/>
              </w:rPr>
            </w:pPr>
            <w:r w:rsidRPr="00344241">
              <w:rPr>
                <w:sz w:val="18"/>
                <w:szCs w:val="18"/>
              </w:rPr>
              <w:t>Groundwater depth</w:t>
            </w:r>
          </w:p>
        </w:tc>
        <w:tc>
          <w:tcPr>
            <w:tcW w:w="992" w:type="dxa"/>
          </w:tcPr>
          <w:p w14:paraId="2490D9E0" w14:textId="77777777" w:rsidR="00B50121" w:rsidRPr="00344241" w:rsidRDefault="00B50121" w:rsidP="00AD0E29">
            <w:pPr>
              <w:pStyle w:val="Tablesmalltext"/>
              <w:rPr>
                <w:sz w:val="18"/>
                <w:szCs w:val="18"/>
              </w:rPr>
            </w:pPr>
            <w:r w:rsidRPr="00344241">
              <w:rPr>
                <w:sz w:val="18"/>
                <w:szCs w:val="18"/>
              </w:rPr>
              <w:t>MDBA</w:t>
            </w:r>
          </w:p>
        </w:tc>
        <w:tc>
          <w:tcPr>
            <w:tcW w:w="3969" w:type="dxa"/>
          </w:tcPr>
          <w:p w14:paraId="64033E7D" w14:textId="77777777" w:rsidR="00B50121" w:rsidRPr="00344241" w:rsidRDefault="00B50121" w:rsidP="00AD0E29">
            <w:pPr>
              <w:pStyle w:val="Tablesmalltext"/>
              <w:rPr>
                <w:sz w:val="18"/>
                <w:szCs w:val="18"/>
              </w:rPr>
            </w:pPr>
            <w:r w:rsidRPr="00344241">
              <w:rPr>
                <w:sz w:val="18"/>
                <w:szCs w:val="18"/>
              </w:rPr>
              <w:t>Groundwater depth throughout the basin, provided by the MDBA from their Basin in a Box dataset.</w:t>
            </w:r>
          </w:p>
        </w:tc>
        <w:tc>
          <w:tcPr>
            <w:tcW w:w="1418" w:type="dxa"/>
          </w:tcPr>
          <w:p w14:paraId="6B8132A0" w14:textId="77777777" w:rsidR="00B50121" w:rsidRPr="00344241" w:rsidRDefault="00B50121" w:rsidP="00AD0E29">
            <w:pPr>
              <w:pStyle w:val="Tablesmalltext"/>
              <w:rPr>
                <w:sz w:val="18"/>
                <w:szCs w:val="18"/>
              </w:rPr>
            </w:pPr>
            <w:r w:rsidRPr="00344241">
              <w:rPr>
                <w:sz w:val="18"/>
                <w:szCs w:val="18"/>
              </w:rPr>
              <w:t>Basin Wide</w:t>
            </w:r>
          </w:p>
        </w:tc>
        <w:tc>
          <w:tcPr>
            <w:tcW w:w="2268" w:type="dxa"/>
            <w:shd w:val="clear" w:color="auto" w:fill="FFC000"/>
          </w:tcPr>
          <w:p w14:paraId="3F2E4BBC" w14:textId="0DB9D803" w:rsidR="00B50121" w:rsidRDefault="00A00AAE" w:rsidP="00B50121">
            <w:pPr>
              <w:pStyle w:val="Tablesmalltext"/>
              <w:rPr>
                <w:sz w:val="18"/>
                <w:szCs w:val="18"/>
              </w:rPr>
            </w:pPr>
            <w:r>
              <w:rPr>
                <w:sz w:val="18"/>
                <w:szCs w:val="18"/>
              </w:rPr>
              <w:t>Low/</w:t>
            </w:r>
            <w:r w:rsidR="00B50121">
              <w:rPr>
                <w:sz w:val="18"/>
                <w:szCs w:val="18"/>
              </w:rPr>
              <w:t>Moderate</w:t>
            </w:r>
          </w:p>
          <w:p w14:paraId="4EB37329" w14:textId="2978AE13" w:rsidR="00B50121" w:rsidRPr="00344241" w:rsidRDefault="00B50121" w:rsidP="00A00AAE">
            <w:pPr>
              <w:pStyle w:val="Tablesmalltext"/>
              <w:rPr>
                <w:sz w:val="18"/>
                <w:szCs w:val="18"/>
              </w:rPr>
            </w:pPr>
            <w:r>
              <w:rPr>
                <w:sz w:val="18"/>
                <w:szCs w:val="18"/>
              </w:rPr>
              <w:t xml:space="preserve">Covers basin, but </w:t>
            </w:r>
            <w:r w:rsidR="00A00AAE">
              <w:rPr>
                <w:sz w:val="18"/>
                <w:szCs w:val="18"/>
              </w:rPr>
              <w:t>data not continuous and provides limited information at Black Box stressor threshold level (6m depth).</w:t>
            </w:r>
          </w:p>
        </w:tc>
      </w:tr>
    </w:tbl>
    <w:p w14:paraId="09E2402A" w14:textId="68B1EF08" w:rsidR="00A22B6D" w:rsidRDefault="00A22B6D" w:rsidP="00C354CD">
      <w:pPr>
        <w:pStyle w:val="Para0bullet"/>
        <w:numPr>
          <w:ilvl w:val="0"/>
          <w:numId w:val="0"/>
        </w:numPr>
        <w:tabs>
          <w:tab w:val="clear" w:pos="851"/>
        </w:tabs>
        <w:spacing w:after="0"/>
        <w:rPr>
          <w:highlight w:val="yellow"/>
        </w:rPr>
      </w:pPr>
    </w:p>
    <w:p w14:paraId="0D2BE7FE" w14:textId="77777777" w:rsidR="00A22B6D" w:rsidRDefault="00A22B6D">
      <w:pPr>
        <w:spacing w:after="0" w:line="240" w:lineRule="auto"/>
        <w:rPr>
          <w:highlight w:val="yellow"/>
        </w:rPr>
      </w:pPr>
      <w:r>
        <w:rPr>
          <w:highlight w:val="yellow"/>
        </w:rPr>
        <w:br w:type="page"/>
      </w:r>
    </w:p>
    <w:p w14:paraId="47C442DB" w14:textId="77777777" w:rsidR="00C354CD" w:rsidRDefault="00C354CD" w:rsidP="00C354CD">
      <w:pPr>
        <w:pStyle w:val="Heading4"/>
      </w:pPr>
      <w:r>
        <w:t>Black Box Condition Across the Basin</w:t>
      </w:r>
    </w:p>
    <w:p w14:paraId="3C9F5A78" w14:textId="4465A43E" w:rsidR="00C354CD" w:rsidRDefault="00C354CD" w:rsidP="00C354CD">
      <w:pPr>
        <w:pStyle w:val="Para0"/>
      </w:pPr>
      <w:r>
        <w:t xml:space="preserve">MDBA modelled Black Box extent and condition data (Cunningham et al., 2016) was used to gain an understanding of the current Black Box condition throughout the Basin. As outlined in </w:t>
      </w:r>
      <w:r>
        <w:fldChar w:fldCharType="begin"/>
      </w:r>
      <w:r>
        <w:instrText xml:space="preserve"> REF _Ref507152538 \h </w:instrText>
      </w:r>
      <w:r>
        <w:fldChar w:fldCharType="separate"/>
      </w:r>
      <w:r w:rsidR="00BF015B">
        <w:t xml:space="preserve">Table </w:t>
      </w:r>
      <w:r w:rsidR="00BF015B">
        <w:rPr>
          <w:noProof/>
        </w:rPr>
        <w:t>5</w:t>
      </w:r>
      <w:r w:rsidR="00BF015B">
        <w:noBreakHyphen/>
      </w:r>
      <w:r w:rsidR="00BF015B">
        <w:rPr>
          <w:noProof/>
        </w:rPr>
        <w:t>5</w:t>
      </w:r>
      <w:r>
        <w:fldChar w:fldCharType="end"/>
      </w:r>
      <w:r>
        <w:t xml:space="preserve"> and </w:t>
      </w:r>
      <w:r>
        <w:fldChar w:fldCharType="begin"/>
      </w:r>
      <w:r>
        <w:instrText xml:space="preserve"> REF _Ref507426129 \h </w:instrText>
      </w:r>
      <w:r>
        <w:fldChar w:fldCharType="separate"/>
      </w:r>
      <w:r w:rsidR="00BF015B">
        <w:t xml:space="preserve">Figure </w:t>
      </w:r>
      <w:r w:rsidR="00BF015B">
        <w:rPr>
          <w:noProof/>
        </w:rPr>
        <w:t>5</w:t>
      </w:r>
      <w:r w:rsidR="00BF015B">
        <w:noBreakHyphen/>
      </w:r>
      <w:r w:rsidR="00BF015B">
        <w:rPr>
          <w:noProof/>
        </w:rPr>
        <w:t>9</w:t>
      </w:r>
      <w:r>
        <w:fldChar w:fldCharType="end"/>
      </w:r>
      <w:r>
        <w:t xml:space="preserve">, only a small proportion of the total area of Black Box throughout the Basin has been assigned a condition category, which limits the ability to interpret the results at a Basin Scale. </w:t>
      </w:r>
      <w:r w:rsidR="00B50121">
        <w:t xml:space="preserve">As a result, the data is assigned a “Low” confidence score, as shown in </w:t>
      </w:r>
      <w:r w:rsidR="00B50121">
        <w:fldChar w:fldCharType="begin"/>
      </w:r>
      <w:r w:rsidR="00B50121">
        <w:instrText xml:space="preserve"> REF _Ref507408992 \h </w:instrText>
      </w:r>
      <w:r w:rsidR="00B50121">
        <w:fldChar w:fldCharType="separate"/>
      </w:r>
      <w:r w:rsidR="00BF015B">
        <w:t xml:space="preserve">Table </w:t>
      </w:r>
      <w:r w:rsidR="00BF015B">
        <w:rPr>
          <w:noProof/>
        </w:rPr>
        <w:t>5</w:t>
      </w:r>
      <w:r w:rsidR="00BF015B">
        <w:noBreakHyphen/>
      </w:r>
      <w:r w:rsidR="00BF015B">
        <w:rPr>
          <w:noProof/>
        </w:rPr>
        <w:t>4</w:t>
      </w:r>
      <w:r w:rsidR="00B50121">
        <w:fldChar w:fldCharType="end"/>
      </w:r>
      <w:r w:rsidR="00B50121">
        <w:t xml:space="preserve">. </w:t>
      </w:r>
      <w:r>
        <w:t>To</w:t>
      </w:r>
      <w:r w:rsidR="00B50121">
        <w:t xml:space="preserve"> increase the confidence score and</w:t>
      </w:r>
      <w:r>
        <w:t xml:space="preserve"> improve the ability to interpret the Black Box condition throughout the Basin, a more complete Basin Scale condition layer should be developed. </w:t>
      </w:r>
    </w:p>
    <w:p w14:paraId="485E906D" w14:textId="4C2953EE" w:rsidR="00C354CD" w:rsidRDefault="00C354CD" w:rsidP="00C354CD">
      <w:pPr>
        <w:pStyle w:val="Caption"/>
      </w:pPr>
      <w:bookmarkStart w:id="277" w:name="_Ref507152538"/>
      <w:bookmarkStart w:id="278" w:name="_Toc514068793"/>
      <w:r>
        <w:t xml:space="preserve">Table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Table \* ARABIC \s 1 </w:instrText>
      </w:r>
      <w:r>
        <w:fldChar w:fldCharType="separate"/>
      </w:r>
      <w:r w:rsidR="00BF015B">
        <w:rPr>
          <w:noProof/>
        </w:rPr>
        <w:t>5</w:t>
      </w:r>
      <w:r>
        <w:fldChar w:fldCharType="end"/>
      </w:r>
      <w:bookmarkEnd w:id="277"/>
      <w:r>
        <w:t>: Proportion of Black Box of different condition classes throughout the Basin</w:t>
      </w:r>
      <w:bookmarkEnd w:id="278"/>
    </w:p>
    <w:tbl>
      <w:tblPr>
        <w:tblStyle w:val="TableGrid"/>
        <w:tblW w:w="7366" w:type="dxa"/>
        <w:jc w:val="center"/>
        <w:tblCellMar>
          <w:top w:w="57" w:type="dxa"/>
          <w:bottom w:w="57" w:type="dxa"/>
        </w:tblCellMar>
        <w:tblLook w:val="04A0" w:firstRow="1" w:lastRow="0" w:firstColumn="1" w:lastColumn="0" w:noHBand="0" w:noVBand="1"/>
      </w:tblPr>
      <w:tblGrid>
        <w:gridCol w:w="3256"/>
        <w:gridCol w:w="2126"/>
        <w:gridCol w:w="1984"/>
      </w:tblGrid>
      <w:tr w:rsidR="00C354CD" w:rsidRPr="00331D81" w14:paraId="66C65D78" w14:textId="77777777" w:rsidTr="00AD0E29">
        <w:trPr>
          <w:trHeight w:val="163"/>
          <w:tblHeader/>
          <w:jc w:val="center"/>
        </w:trPr>
        <w:tc>
          <w:tcPr>
            <w:tcW w:w="3256" w:type="dxa"/>
            <w:shd w:val="clear" w:color="auto" w:fill="65876D"/>
          </w:tcPr>
          <w:p w14:paraId="6ED76F79" w14:textId="5CE1C2C5" w:rsidR="00C354CD" w:rsidRPr="00331D81" w:rsidRDefault="00C354CD" w:rsidP="00AD0E29">
            <w:pPr>
              <w:pStyle w:val="Tableheading"/>
              <w:jc w:val="center"/>
              <w:rPr>
                <w:b/>
                <w:color w:val="FFFFFF" w:themeColor="background1"/>
              </w:rPr>
            </w:pPr>
            <w:r>
              <w:rPr>
                <w:b/>
                <w:color w:val="FFFFFF" w:themeColor="background1"/>
              </w:rPr>
              <w:t xml:space="preserve">Black Box Condition </w:t>
            </w:r>
          </w:p>
        </w:tc>
        <w:tc>
          <w:tcPr>
            <w:tcW w:w="2126" w:type="dxa"/>
            <w:shd w:val="clear" w:color="auto" w:fill="65876D"/>
          </w:tcPr>
          <w:p w14:paraId="59DC78E8" w14:textId="77777777" w:rsidR="00C354CD" w:rsidRPr="00331D81" w:rsidRDefault="00C354CD" w:rsidP="00AD0E29">
            <w:pPr>
              <w:pStyle w:val="Tableheading"/>
              <w:jc w:val="center"/>
              <w:rPr>
                <w:b/>
                <w:color w:val="FFFFFF" w:themeColor="background1"/>
              </w:rPr>
            </w:pPr>
            <w:r>
              <w:rPr>
                <w:b/>
                <w:color w:val="FFFFFF" w:themeColor="background1"/>
              </w:rPr>
              <w:t>Area (Ha)</w:t>
            </w:r>
          </w:p>
        </w:tc>
        <w:tc>
          <w:tcPr>
            <w:tcW w:w="1984" w:type="dxa"/>
            <w:shd w:val="clear" w:color="auto" w:fill="65876D"/>
          </w:tcPr>
          <w:p w14:paraId="7A17312C" w14:textId="77777777" w:rsidR="00C354CD" w:rsidRPr="00331D81" w:rsidRDefault="00C354CD" w:rsidP="00AD0E29">
            <w:pPr>
              <w:pStyle w:val="Tableheading"/>
              <w:jc w:val="center"/>
              <w:rPr>
                <w:b/>
                <w:color w:val="FFFFFF" w:themeColor="background1"/>
              </w:rPr>
            </w:pPr>
            <w:r>
              <w:rPr>
                <w:b/>
                <w:color w:val="FFFFFF" w:themeColor="background1"/>
              </w:rPr>
              <w:t>%</w:t>
            </w:r>
          </w:p>
        </w:tc>
      </w:tr>
      <w:tr w:rsidR="00C354CD" w:rsidRPr="00331D81" w14:paraId="6E4C93E0" w14:textId="77777777" w:rsidTr="00AD0E29">
        <w:trPr>
          <w:trHeight w:val="20"/>
          <w:jc w:val="center"/>
        </w:trPr>
        <w:tc>
          <w:tcPr>
            <w:tcW w:w="3256" w:type="dxa"/>
          </w:tcPr>
          <w:p w14:paraId="62FCA16E" w14:textId="77777777" w:rsidR="00C354CD" w:rsidRPr="00B46A7C" w:rsidRDefault="00C354CD" w:rsidP="00AD0E29">
            <w:pPr>
              <w:spacing w:after="0" w:line="240" w:lineRule="auto"/>
              <w:rPr>
                <w:sz w:val="18"/>
                <w:szCs w:val="18"/>
              </w:rPr>
            </w:pPr>
            <w:r w:rsidRPr="00B46A7C">
              <w:rPr>
                <w:sz w:val="18"/>
                <w:szCs w:val="18"/>
              </w:rPr>
              <w:t xml:space="preserve">Good </w:t>
            </w:r>
          </w:p>
        </w:tc>
        <w:tc>
          <w:tcPr>
            <w:tcW w:w="2126" w:type="dxa"/>
          </w:tcPr>
          <w:p w14:paraId="10C9D4D4" w14:textId="77777777" w:rsidR="00C354CD" w:rsidRPr="00B46A7C" w:rsidRDefault="00C354CD" w:rsidP="00AD0E29">
            <w:pPr>
              <w:spacing w:after="0" w:line="240" w:lineRule="auto"/>
              <w:jc w:val="right"/>
              <w:rPr>
                <w:sz w:val="18"/>
                <w:szCs w:val="18"/>
              </w:rPr>
            </w:pPr>
            <w:r w:rsidRPr="00B46A7C">
              <w:rPr>
                <w:sz w:val="18"/>
                <w:szCs w:val="18"/>
              </w:rPr>
              <w:t>67,291</w:t>
            </w:r>
          </w:p>
        </w:tc>
        <w:tc>
          <w:tcPr>
            <w:tcW w:w="1984" w:type="dxa"/>
          </w:tcPr>
          <w:p w14:paraId="29F670A8" w14:textId="77777777" w:rsidR="00C354CD" w:rsidRPr="00B46A7C" w:rsidRDefault="00C354CD" w:rsidP="00AD0E29">
            <w:pPr>
              <w:spacing w:after="0" w:line="240" w:lineRule="auto"/>
              <w:jc w:val="right"/>
              <w:rPr>
                <w:sz w:val="18"/>
                <w:szCs w:val="18"/>
              </w:rPr>
            </w:pPr>
            <w:r w:rsidRPr="00B46A7C">
              <w:rPr>
                <w:sz w:val="18"/>
                <w:szCs w:val="18"/>
              </w:rPr>
              <w:t>5%</w:t>
            </w:r>
          </w:p>
        </w:tc>
      </w:tr>
      <w:tr w:rsidR="00C354CD" w:rsidRPr="00331D81" w14:paraId="14C6DC54" w14:textId="77777777" w:rsidTr="00AD0E29">
        <w:trPr>
          <w:trHeight w:val="20"/>
          <w:jc w:val="center"/>
        </w:trPr>
        <w:tc>
          <w:tcPr>
            <w:tcW w:w="3256" w:type="dxa"/>
          </w:tcPr>
          <w:p w14:paraId="0AD1F715" w14:textId="77777777" w:rsidR="00C354CD" w:rsidRPr="00B46A7C" w:rsidRDefault="00C354CD" w:rsidP="00AD0E29">
            <w:pPr>
              <w:spacing w:after="0" w:line="240" w:lineRule="auto"/>
              <w:rPr>
                <w:sz w:val="18"/>
                <w:szCs w:val="18"/>
              </w:rPr>
            </w:pPr>
            <w:r w:rsidRPr="00B46A7C">
              <w:rPr>
                <w:sz w:val="18"/>
                <w:szCs w:val="18"/>
              </w:rPr>
              <w:t>Poor</w:t>
            </w:r>
          </w:p>
        </w:tc>
        <w:tc>
          <w:tcPr>
            <w:tcW w:w="2126" w:type="dxa"/>
          </w:tcPr>
          <w:p w14:paraId="34009A1A" w14:textId="77777777" w:rsidR="00C354CD" w:rsidRPr="00B46A7C" w:rsidRDefault="00C354CD" w:rsidP="00AD0E29">
            <w:pPr>
              <w:spacing w:after="0" w:line="240" w:lineRule="auto"/>
              <w:jc w:val="right"/>
              <w:rPr>
                <w:sz w:val="18"/>
                <w:szCs w:val="18"/>
              </w:rPr>
            </w:pPr>
            <w:r w:rsidRPr="00B46A7C">
              <w:rPr>
                <w:sz w:val="18"/>
                <w:szCs w:val="18"/>
              </w:rPr>
              <w:t>128,004</w:t>
            </w:r>
          </w:p>
        </w:tc>
        <w:tc>
          <w:tcPr>
            <w:tcW w:w="1984" w:type="dxa"/>
          </w:tcPr>
          <w:p w14:paraId="16249723" w14:textId="77777777" w:rsidR="00C354CD" w:rsidRPr="00B46A7C" w:rsidRDefault="00C354CD" w:rsidP="00AD0E29">
            <w:pPr>
              <w:spacing w:after="0" w:line="240" w:lineRule="auto"/>
              <w:jc w:val="right"/>
              <w:rPr>
                <w:sz w:val="18"/>
                <w:szCs w:val="18"/>
              </w:rPr>
            </w:pPr>
            <w:r w:rsidRPr="00B46A7C">
              <w:rPr>
                <w:sz w:val="18"/>
                <w:szCs w:val="18"/>
              </w:rPr>
              <w:t>9%</w:t>
            </w:r>
          </w:p>
        </w:tc>
      </w:tr>
      <w:tr w:rsidR="00C354CD" w:rsidRPr="00331D81" w14:paraId="24BA7B64" w14:textId="77777777" w:rsidTr="00AD0E29">
        <w:trPr>
          <w:trHeight w:val="20"/>
          <w:jc w:val="center"/>
        </w:trPr>
        <w:tc>
          <w:tcPr>
            <w:tcW w:w="3256" w:type="dxa"/>
          </w:tcPr>
          <w:p w14:paraId="2BFF485A" w14:textId="77777777" w:rsidR="00C354CD" w:rsidRPr="00B46A7C" w:rsidRDefault="00C354CD" w:rsidP="00AD0E29">
            <w:pPr>
              <w:spacing w:after="0" w:line="240" w:lineRule="auto"/>
              <w:rPr>
                <w:sz w:val="18"/>
                <w:szCs w:val="18"/>
              </w:rPr>
            </w:pPr>
            <w:r w:rsidRPr="00B46A7C">
              <w:rPr>
                <w:sz w:val="18"/>
                <w:szCs w:val="18"/>
              </w:rPr>
              <w:t>Not measured</w:t>
            </w:r>
          </w:p>
        </w:tc>
        <w:tc>
          <w:tcPr>
            <w:tcW w:w="2126" w:type="dxa"/>
          </w:tcPr>
          <w:p w14:paraId="7B876342" w14:textId="77777777" w:rsidR="00C354CD" w:rsidRPr="00B46A7C" w:rsidRDefault="00C354CD" w:rsidP="00AD0E29">
            <w:pPr>
              <w:spacing w:after="0" w:line="240" w:lineRule="auto"/>
              <w:jc w:val="right"/>
              <w:rPr>
                <w:sz w:val="18"/>
                <w:szCs w:val="18"/>
              </w:rPr>
            </w:pPr>
            <w:r w:rsidRPr="00B46A7C">
              <w:rPr>
                <w:sz w:val="18"/>
                <w:szCs w:val="18"/>
              </w:rPr>
              <w:t>1,202,197</w:t>
            </w:r>
          </w:p>
        </w:tc>
        <w:tc>
          <w:tcPr>
            <w:tcW w:w="1984" w:type="dxa"/>
          </w:tcPr>
          <w:p w14:paraId="13F7CE85" w14:textId="77777777" w:rsidR="00C354CD" w:rsidRPr="00B46A7C" w:rsidRDefault="00C354CD" w:rsidP="00AD0E29">
            <w:pPr>
              <w:spacing w:after="0" w:line="240" w:lineRule="auto"/>
              <w:jc w:val="right"/>
              <w:rPr>
                <w:sz w:val="18"/>
                <w:szCs w:val="18"/>
              </w:rPr>
            </w:pPr>
            <w:r w:rsidRPr="00B46A7C">
              <w:rPr>
                <w:sz w:val="18"/>
                <w:szCs w:val="18"/>
              </w:rPr>
              <w:t>86%</w:t>
            </w:r>
          </w:p>
        </w:tc>
      </w:tr>
      <w:tr w:rsidR="00C354CD" w:rsidRPr="00331D81" w14:paraId="47CB2A24" w14:textId="77777777" w:rsidTr="00AD0E29">
        <w:trPr>
          <w:trHeight w:val="20"/>
          <w:jc w:val="center"/>
        </w:trPr>
        <w:tc>
          <w:tcPr>
            <w:tcW w:w="3256" w:type="dxa"/>
          </w:tcPr>
          <w:p w14:paraId="211C7236" w14:textId="77777777" w:rsidR="00C354CD" w:rsidRPr="00B46A7C" w:rsidRDefault="00C354CD" w:rsidP="00AD0E29">
            <w:pPr>
              <w:spacing w:after="0" w:line="240" w:lineRule="auto"/>
              <w:rPr>
                <w:sz w:val="18"/>
                <w:szCs w:val="18"/>
              </w:rPr>
            </w:pPr>
            <w:r w:rsidRPr="00B46A7C">
              <w:rPr>
                <w:sz w:val="18"/>
                <w:szCs w:val="18"/>
              </w:rPr>
              <w:t>Total</w:t>
            </w:r>
          </w:p>
        </w:tc>
        <w:tc>
          <w:tcPr>
            <w:tcW w:w="2126" w:type="dxa"/>
          </w:tcPr>
          <w:p w14:paraId="5B565503" w14:textId="77777777" w:rsidR="00C354CD" w:rsidRPr="00B46A7C" w:rsidDel="005745FD" w:rsidRDefault="00C354CD" w:rsidP="00AD0E29">
            <w:pPr>
              <w:spacing w:after="0" w:line="240" w:lineRule="auto"/>
              <w:jc w:val="right"/>
              <w:rPr>
                <w:sz w:val="18"/>
                <w:szCs w:val="18"/>
              </w:rPr>
            </w:pPr>
            <w:r w:rsidRPr="00B46A7C">
              <w:rPr>
                <w:sz w:val="18"/>
                <w:szCs w:val="18"/>
              </w:rPr>
              <w:t>1,397,492</w:t>
            </w:r>
          </w:p>
        </w:tc>
        <w:tc>
          <w:tcPr>
            <w:tcW w:w="1984" w:type="dxa"/>
          </w:tcPr>
          <w:p w14:paraId="1A08344D" w14:textId="77777777" w:rsidR="00C354CD" w:rsidRPr="00B46A7C" w:rsidDel="005745FD" w:rsidRDefault="00C354CD" w:rsidP="00AD0E29">
            <w:pPr>
              <w:spacing w:after="0" w:line="240" w:lineRule="auto"/>
              <w:jc w:val="right"/>
              <w:rPr>
                <w:sz w:val="18"/>
                <w:szCs w:val="18"/>
              </w:rPr>
            </w:pPr>
            <w:r w:rsidRPr="00B46A7C">
              <w:rPr>
                <w:sz w:val="18"/>
                <w:szCs w:val="18"/>
              </w:rPr>
              <w:t>100%</w:t>
            </w:r>
          </w:p>
        </w:tc>
      </w:tr>
      <w:bookmarkEnd w:id="274"/>
    </w:tbl>
    <w:p w14:paraId="57B8B27C" w14:textId="77777777" w:rsidR="00C354CD" w:rsidRDefault="00C354CD" w:rsidP="00C354CD">
      <w:pPr>
        <w:pStyle w:val="Para0"/>
        <w:sectPr w:rsidR="00C354CD" w:rsidSect="00D576AA">
          <w:pgSz w:w="11906" w:h="16838"/>
          <w:pgMar w:top="567" w:right="851" w:bottom="851" w:left="1134" w:header="708" w:footer="708" w:gutter="0"/>
          <w:cols w:space="708"/>
          <w:docGrid w:linePitch="360"/>
        </w:sectPr>
      </w:pPr>
    </w:p>
    <w:p w14:paraId="63A4125E" w14:textId="0C480959" w:rsidR="00C354CD" w:rsidRPr="005745FD" w:rsidRDefault="00D43DDD" w:rsidP="00C354CD">
      <w:pPr>
        <w:pStyle w:val="Para0"/>
        <w:spacing w:before="0" w:after="0"/>
        <w:jc w:val="center"/>
      </w:pPr>
      <w:r>
        <w:rPr>
          <w:noProof/>
          <w:lang w:eastAsia="en-AU"/>
        </w:rPr>
        <w:drawing>
          <wp:inline distT="0" distB="0" distL="0" distR="0" wp14:anchorId="429B57A6" wp14:editId="6AF66188">
            <wp:extent cx="13407192" cy="8150773"/>
            <wp:effectExtent l="0" t="0" r="4445" b="3175"/>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Fig5.9 BB extent and condition.png"/>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13420854" cy="8159079"/>
                    </a:xfrm>
                    <a:prstGeom prst="rect">
                      <a:avLst/>
                    </a:prstGeom>
                    <a:ln>
                      <a:noFill/>
                    </a:ln>
                    <a:extLst>
                      <a:ext uri="{53640926-AAD7-44D8-BBD7-CCE9431645EC}">
                        <a14:shadowObscured xmlns:a14="http://schemas.microsoft.com/office/drawing/2010/main"/>
                      </a:ext>
                    </a:extLst>
                  </pic:spPr>
                </pic:pic>
              </a:graphicData>
            </a:graphic>
          </wp:inline>
        </w:drawing>
      </w:r>
    </w:p>
    <w:p w14:paraId="28617964" w14:textId="74A41352" w:rsidR="00C354CD" w:rsidRDefault="00C354CD" w:rsidP="00C354CD">
      <w:pPr>
        <w:pStyle w:val="Caption"/>
        <w:spacing w:before="0" w:after="0"/>
        <w:jc w:val="center"/>
      </w:pPr>
      <w:bookmarkStart w:id="279" w:name="_Ref507152558"/>
      <w:bookmarkStart w:id="280" w:name="_Ref507426129"/>
      <w:bookmarkStart w:id="281" w:name="_Toc514018102"/>
      <w:r>
        <w:t xml:space="preserve">Figure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Figure \* ARABIC \s 1 </w:instrText>
      </w:r>
      <w:r>
        <w:fldChar w:fldCharType="separate"/>
      </w:r>
      <w:r w:rsidR="00BF015B">
        <w:rPr>
          <w:noProof/>
        </w:rPr>
        <w:t>9</w:t>
      </w:r>
      <w:r>
        <w:fldChar w:fldCharType="end"/>
      </w:r>
      <w:bookmarkEnd w:id="279"/>
      <w:bookmarkEnd w:id="280"/>
      <w:r>
        <w:t>: Black Box extent and condition throughout the Basin</w:t>
      </w:r>
      <w:bookmarkEnd w:id="281"/>
    </w:p>
    <w:p w14:paraId="3E7AB19E" w14:textId="77777777" w:rsidR="00C354CD" w:rsidRDefault="00C354CD" w:rsidP="00C354CD">
      <w:pPr>
        <w:pStyle w:val="Para0"/>
        <w:spacing w:before="0" w:after="0"/>
        <w:sectPr w:rsidR="00C354CD" w:rsidSect="00D43DDD">
          <w:pgSz w:w="23811" w:h="16838" w:orient="landscape" w:code="8"/>
          <w:pgMar w:top="1134" w:right="567" w:bottom="851" w:left="851" w:header="708" w:footer="708" w:gutter="0"/>
          <w:cols w:space="708"/>
          <w:docGrid w:linePitch="360"/>
        </w:sectPr>
      </w:pPr>
    </w:p>
    <w:p w14:paraId="03FCCE66" w14:textId="77777777" w:rsidR="00C354CD" w:rsidRDefault="00C354CD" w:rsidP="00C354CD">
      <w:pPr>
        <w:pStyle w:val="Heading4"/>
      </w:pPr>
      <w:bookmarkStart w:id="282" w:name="_Ref507161872"/>
      <w:bookmarkStart w:id="283" w:name="_Ref507494109"/>
      <w:r>
        <w:t>Black Box Stressors</w:t>
      </w:r>
      <w:bookmarkEnd w:id="282"/>
      <w:r>
        <w:t xml:space="preserve"> across the Basin</w:t>
      </w:r>
      <w:bookmarkEnd w:id="283"/>
    </w:p>
    <w:p w14:paraId="1486C3EC" w14:textId="77777777" w:rsidR="00C354CD" w:rsidRDefault="00C354CD" w:rsidP="00C354CD">
      <w:pPr>
        <w:pStyle w:val="Para0"/>
      </w:pPr>
      <w:r>
        <w:t xml:space="preserve">As outlined in </w:t>
      </w:r>
      <w:r w:rsidRPr="00707667">
        <w:t>Chapter 3.5,</w:t>
      </w:r>
      <w:r>
        <w:t xml:space="preserve"> there are a range of stressors that impact on Black Box vegetation. At a Basin scale, the key stressors of: </w:t>
      </w:r>
    </w:p>
    <w:p w14:paraId="1116F64D" w14:textId="546A794D" w:rsidR="00C354CD" w:rsidRDefault="00C354CD" w:rsidP="00F22225">
      <w:pPr>
        <w:pStyle w:val="Para0"/>
        <w:numPr>
          <w:ilvl w:val="0"/>
          <w:numId w:val="86"/>
        </w:numPr>
      </w:pPr>
      <w:r>
        <w:t>Flooding frequency</w:t>
      </w:r>
    </w:p>
    <w:p w14:paraId="38F398FA" w14:textId="13BC596A" w:rsidR="00C354CD" w:rsidRDefault="00C354CD" w:rsidP="00F22225">
      <w:pPr>
        <w:pStyle w:val="Para0"/>
        <w:numPr>
          <w:ilvl w:val="0"/>
          <w:numId w:val="86"/>
        </w:numPr>
      </w:pPr>
      <w:r>
        <w:t>Groundwater salinity</w:t>
      </w:r>
    </w:p>
    <w:p w14:paraId="744080B7" w14:textId="77777777" w:rsidR="00C354CD" w:rsidRDefault="00C354CD" w:rsidP="00F22225">
      <w:pPr>
        <w:pStyle w:val="Para0"/>
        <w:numPr>
          <w:ilvl w:val="0"/>
          <w:numId w:val="86"/>
        </w:numPr>
      </w:pPr>
      <w:r>
        <w:t>Groundwater depth.</w:t>
      </w:r>
    </w:p>
    <w:p w14:paraId="6996DAC6" w14:textId="0560AEDA" w:rsidR="00C354CD" w:rsidRDefault="00C354CD" w:rsidP="00C354CD">
      <w:pPr>
        <w:pStyle w:val="Para0"/>
      </w:pPr>
      <w:r>
        <w:t xml:space="preserve">These stressors have been assessed throughout this sub-section </w:t>
      </w:r>
      <w:r w:rsidR="00AD6010">
        <w:t>to</w:t>
      </w:r>
      <w:r>
        <w:t xml:space="preserve"> develop an understanding of the distribution and severity of stressors throughout the Basin. </w:t>
      </w:r>
    </w:p>
    <w:p w14:paraId="5B53C627" w14:textId="77777777" w:rsidR="00C354CD" w:rsidRDefault="00C354CD" w:rsidP="00C354CD">
      <w:pPr>
        <w:pStyle w:val="Bodyheading"/>
        <w:ind w:left="0"/>
      </w:pPr>
    </w:p>
    <w:p w14:paraId="37E5B969" w14:textId="77777777" w:rsidR="00C354CD" w:rsidRDefault="00C354CD" w:rsidP="00C354CD">
      <w:pPr>
        <w:pStyle w:val="Bodynarrow"/>
        <w:ind w:left="0"/>
        <w:rPr>
          <w:b/>
          <w:u w:val="single"/>
        </w:rPr>
      </w:pPr>
      <w:r w:rsidRPr="004A2419">
        <w:rPr>
          <w:b/>
          <w:u w:val="single"/>
        </w:rPr>
        <w:t>Flooding Freq</w:t>
      </w:r>
      <w:r>
        <w:rPr>
          <w:b/>
          <w:u w:val="single"/>
        </w:rPr>
        <w:t>u</w:t>
      </w:r>
      <w:r w:rsidRPr="004A2419">
        <w:rPr>
          <w:b/>
          <w:u w:val="single"/>
        </w:rPr>
        <w:t>ency</w:t>
      </w:r>
    </w:p>
    <w:p w14:paraId="0306B290" w14:textId="13C25BBC" w:rsidR="00C354CD" w:rsidRDefault="00C354CD" w:rsidP="00C354CD">
      <w:pPr>
        <w:pStyle w:val="Bodynarrow"/>
        <w:ind w:left="0"/>
      </w:pPr>
      <w:r>
        <w:t xml:space="preserve">The Murray-Darling Basin Floodplain Inundation Model (MDB-FIM) (Overton </w:t>
      </w:r>
      <w:r>
        <w:rPr>
          <w:i/>
        </w:rPr>
        <w:t>et al.</w:t>
      </w:r>
      <w:r>
        <w:t xml:space="preserve">, 2016) was used </w:t>
      </w:r>
      <w:r w:rsidRPr="000813CD">
        <w:t>to produce a series of flooding extent maps throughout the Basin</w:t>
      </w:r>
      <w:r>
        <w:t xml:space="preserve">. </w:t>
      </w:r>
      <w:r w:rsidRPr="000813CD">
        <w:fldChar w:fldCharType="begin"/>
      </w:r>
      <w:r w:rsidRPr="000813CD">
        <w:instrText xml:space="preserve"> REF _Ref507166973 \h </w:instrText>
      </w:r>
      <w:r>
        <w:instrText xml:space="preserve"> \* MERGEFORMAT </w:instrText>
      </w:r>
      <w:r w:rsidRPr="000813CD">
        <w:fldChar w:fldCharType="separate"/>
      </w:r>
      <w:r w:rsidR="00BF015B">
        <w:t xml:space="preserve">Figure </w:t>
      </w:r>
      <w:r w:rsidR="00BF015B">
        <w:rPr>
          <w:noProof/>
        </w:rPr>
        <w:t>5</w:t>
      </w:r>
      <w:r w:rsidR="00BF015B">
        <w:rPr>
          <w:noProof/>
        </w:rPr>
        <w:noBreakHyphen/>
        <w:t>10</w:t>
      </w:r>
      <w:r w:rsidRPr="000813CD">
        <w:fldChar w:fldCharType="end"/>
      </w:r>
      <w:r>
        <w:t xml:space="preserve"> shows the basin extent, and two maps showing a greater level of detail in selected areas of the Murray and Darling systems are </w:t>
      </w:r>
      <w:r w:rsidRPr="00694F5B">
        <w:t xml:space="preserve">provided in </w:t>
      </w:r>
      <w:r w:rsidR="00A00AAE">
        <w:fldChar w:fldCharType="begin"/>
      </w:r>
      <w:r w:rsidR="00A00AAE">
        <w:instrText xml:space="preserve"> REF _Ref507426282 \r \h </w:instrText>
      </w:r>
      <w:r w:rsidR="00A00AAE">
        <w:fldChar w:fldCharType="separate"/>
      </w:r>
      <w:r w:rsidR="00BF015B">
        <w:t>Appendix M</w:t>
      </w:r>
      <w:r w:rsidR="00A00AAE">
        <w:fldChar w:fldCharType="end"/>
      </w:r>
      <w:r w:rsidRPr="00694F5B">
        <w:t xml:space="preserve"> Data from MDB-FIM version 2 was provided by the CSIRO. These provide an indication of th</w:t>
      </w:r>
      <w:r>
        <w:t xml:space="preserve">e areas of inundation of the floodplain and wetlands for different frequencies. </w:t>
      </w:r>
    </w:p>
    <w:p w14:paraId="32FCE161" w14:textId="77777777" w:rsidR="00C354CD" w:rsidRDefault="00C354CD" w:rsidP="00C354CD">
      <w:pPr>
        <w:pStyle w:val="Bodynarrow"/>
        <w:ind w:left="0"/>
      </w:pPr>
      <w:r>
        <w:t>The threshold value for flooding frequency used in the analysis was 1 in 10 years</w:t>
      </w:r>
      <w:r w:rsidRPr="00A0598E">
        <w:t>. Jolly and Walker (1995)</w:t>
      </w:r>
      <w:r>
        <w:t xml:space="preserve"> used a 1 in 10-year regime as the threshold for Black Box health. A 1 in 2-year regime has been used as well to indicate the areas of the floodplain that are low lying and therefore potential areas of being influenced by weir raising, channel modification or small environmental pumping actions.</w:t>
      </w:r>
    </w:p>
    <w:p w14:paraId="2A5F2062" w14:textId="77777777" w:rsidR="00C354CD" w:rsidRDefault="00C354CD" w:rsidP="00C354CD">
      <w:pPr>
        <w:pStyle w:val="Bodynarrow"/>
        <w:ind w:left="0"/>
        <w:sectPr w:rsidR="00C354CD" w:rsidSect="00D576AA">
          <w:pgSz w:w="11906" w:h="16838"/>
          <w:pgMar w:top="567" w:right="851" w:bottom="851" w:left="1134" w:header="708" w:footer="708" w:gutter="0"/>
          <w:cols w:space="708"/>
          <w:docGrid w:linePitch="360"/>
        </w:sectPr>
      </w:pPr>
    </w:p>
    <w:p w14:paraId="1E6A076D" w14:textId="127A5E84" w:rsidR="00C354CD" w:rsidRDefault="005612DA" w:rsidP="00C354CD">
      <w:pPr>
        <w:pStyle w:val="Bodynarrow"/>
        <w:spacing w:after="0"/>
        <w:ind w:left="0"/>
        <w:jc w:val="center"/>
      </w:pPr>
      <w:r>
        <w:rPr>
          <w:noProof/>
          <w:sz w:val="16"/>
          <w:szCs w:val="16"/>
          <w:lang w:eastAsia="en-AU"/>
        </w:rPr>
        <w:drawing>
          <wp:inline distT="0" distB="0" distL="0" distR="0" wp14:anchorId="7B88ADF0" wp14:editId="5EE0BADB">
            <wp:extent cx="13508410" cy="8217725"/>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Fig5.10 Flood Frequencies.png"/>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13517561" cy="8223292"/>
                    </a:xfrm>
                    <a:prstGeom prst="rect">
                      <a:avLst/>
                    </a:prstGeom>
                    <a:ln>
                      <a:noFill/>
                    </a:ln>
                    <a:extLst>
                      <a:ext uri="{53640926-AAD7-44D8-BBD7-CCE9431645EC}">
                        <a14:shadowObscured xmlns:a14="http://schemas.microsoft.com/office/drawing/2010/main"/>
                      </a:ext>
                    </a:extLst>
                  </pic:spPr>
                </pic:pic>
              </a:graphicData>
            </a:graphic>
          </wp:inline>
        </w:drawing>
      </w:r>
    </w:p>
    <w:p w14:paraId="64ABA06F" w14:textId="060D86D4" w:rsidR="00C354CD" w:rsidRDefault="00C354CD" w:rsidP="00C354CD">
      <w:pPr>
        <w:pStyle w:val="Caption"/>
        <w:spacing w:before="0"/>
        <w:jc w:val="center"/>
        <w:sectPr w:rsidR="00C354CD" w:rsidSect="005612DA">
          <w:pgSz w:w="23811" w:h="16838" w:orient="landscape" w:code="8"/>
          <w:pgMar w:top="1134" w:right="567" w:bottom="851" w:left="851" w:header="708" w:footer="708" w:gutter="0"/>
          <w:cols w:space="708"/>
          <w:docGrid w:linePitch="360"/>
        </w:sectPr>
      </w:pPr>
      <w:bookmarkStart w:id="284" w:name="_Ref507166973"/>
      <w:bookmarkStart w:id="285" w:name="_Toc514018103"/>
      <w:r>
        <w:t xml:space="preserve">Figure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Figure \* ARABIC \s 1 </w:instrText>
      </w:r>
      <w:r>
        <w:fldChar w:fldCharType="separate"/>
      </w:r>
      <w:r w:rsidR="00BF015B">
        <w:rPr>
          <w:noProof/>
        </w:rPr>
        <w:t>10</w:t>
      </w:r>
      <w:r>
        <w:fldChar w:fldCharType="end"/>
      </w:r>
      <w:bookmarkEnd w:id="284"/>
      <w:r>
        <w:t>: Flood frequency map: Basin Scale</w:t>
      </w:r>
      <w:bookmarkEnd w:id="285"/>
    </w:p>
    <w:p w14:paraId="2736B93D" w14:textId="77777777" w:rsidR="00C354CD" w:rsidRDefault="00C354CD" w:rsidP="00C354CD">
      <w:pPr>
        <w:pStyle w:val="Bodynarrow"/>
        <w:ind w:left="0"/>
      </w:pPr>
      <w:r>
        <w:t xml:space="preserve">Overlaying the flooding frequency data with the extent of Black Box vegetation throughout the Basin provides an analysis of how frequently Black Box are likely to be inundated based on their location relative to the flood extent layers. </w:t>
      </w:r>
    </w:p>
    <w:p w14:paraId="796D16BF" w14:textId="7B0A2AED" w:rsidR="00C354CD" w:rsidRDefault="00C354CD" w:rsidP="00C354CD">
      <w:pPr>
        <w:pStyle w:val="Bodynarrow"/>
        <w:ind w:left="0"/>
      </w:pPr>
      <w:r w:rsidRPr="000813CD">
        <w:fldChar w:fldCharType="begin"/>
      </w:r>
      <w:r w:rsidRPr="000813CD">
        <w:instrText xml:space="preserve"> REF _Ref507167003 \h </w:instrText>
      </w:r>
      <w:r>
        <w:instrText xml:space="preserve"> \* MERGEFORMAT </w:instrText>
      </w:r>
      <w:r w:rsidRPr="000813CD">
        <w:fldChar w:fldCharType="separate"/>
      </w:r>
      <w:r w:rsidR="00BF015B">
        <w:t xml:space="preserve">Table </w:t>
      </w:r>
      <w:r w:rsidR="00BF015B">
        <w:rPr>
          <w:noProof/>
        </w:rPr>
        <w:t>5</w:t>
      </w:r>
      <w:r w:rsidR="00BF015B">
        <w:rPr>
          <w:noProof/>
        </w:rPr>
        <w:noBreakHyphen/>
        <w:t>6</w:t>
      </w:r>
      <w:r w:rsidRPr="000813CD">
        <w:fldChar w:fldCharType="end"/>
      </w:r>
      <w:r w:rsidRPr="000813CD">
        <w:t xml:space="preserve"> and </w:t>
      </w:r>
      <w:r w:rsidRPr="000813CD">
        <w:fldChar w:fldCharType="begin"/>
      </w:r>
      <w:r w:rsidRPr="000813CD">
        <w:instrText xml:space="preserve"> REF _Ref507167108 \h </w:instrText>
      </w:r>
      <w:r>
        <w:instrText xml:space="preserve"> \* MERGEFORMAT </w:instrText>
      </w:r>
      <w:r w:rsidRPr="000813CD">
        <w:fldChar w:fldCharType="separate"/>
      </w:r>
      <w:r w:rsidR="00BF015B">
        <w:t xml:space="preserve">Figure </w:t>
      </w:r>
      <w:r w:rsidR="00BF015B">
        <w:rPr>
          <w:noProof/>
        </w:rPr>
        <w:t>5</w:t>
      </w:r>
      <w:r w:rsidR="00BF015B">
        <w:rPr>
          <w:noProof/>
        </w:rPr>
        <w:noBreakHyphen/>
        <w:t>11</w:t>
      </w:r>
      <w:r w:rsidRPr="000813CD">
        <w:fldChar w:fldCharType="end"/>
      </w:r>
      <w:r w:rsidRPr="000813CD">
        <w:t xml:space="preserve"> provide</w:t>
      </w:r>
      <w:r>
        <w:t xml:space="preserve"> the proportion of Black Box throughout the Basin that are: </w:t>
      </w:r>
    </w:p>
    <w:p w14:paraId="690EA96D" w14:textId="3440D30D" w:rsidR="00C354CD" w:rsidRDefault="00C354CD" w:rsidP="00F22225">
      <w:pPr>
        <w:pStyle w:val="Bodynarrow"/>
        <w:numPr>
          <w:ilvl w:val="0"/>
          <w:numId w:val="87"/>
        </w:numPr>
      </w:pPr>
      <w:r>
        <w:t xml:space="preserve">Within the 1 in 2-year flood extent. These areas of Black Box are manageable </w:t>
      </w:r>
      <w:r w:rsidR="00AD6010">
        <w:t>using</w:t>
      </w:r>
      <w:r>
        <w:t xml:space="preserve"> environmental watering and other management measures, within the current constraints. They are not considered at risk from flooding frequency (as Black Box can survive with inundation as infrequently as once per 10 years).</w:t>
      </w:r>
    </w:p>
    <w:p w14:paraId="7286A72A" w14:textId="2AB0E4D4" w:rsidR="00C354CD" w:rsidRDefault="00C354CD" w:rsidP="00F22225">
      <w:pPr>
        <w:pStyle w:val="Bodynarrow"/>
        <w:numPr>
          <w:ilvl w:val="0"/>
          <w:numId w:val="87"/>
        </w:numPr>
      </w:pPr>
      <w:r>
        <w:t>Between the 1 in 2 years and 1 in 10-year flood extents. These areas of Black Box are considered outside the areas that can be readily managed, however they are not considered at risk from flooding frequency (as Black Box can survive with inundation as infrequently as once per 10 years).</w:t>
      </w:r>
    </w:p>
    <w:p w14:paraId="32C7FE07" w14:textId="68F6A83E" w:rsidR="00C354CD" w:rsidRDefault="00C354CD" w:rsidP="00F22225">
      <w:pPr>
        <w:pStyle w:val="Bodynarrow"/>
        <w:numPr>
          <w:ilvl w:val="0"/>
          <w:numId w:val="87"/>
        </w:numPr>
      </w:pPr>
      <w:r>
        <w:t xml:space="preserve">Outside the 1 in 10-year flood extent, but within the total floodplain area. </w:t>
      </w:r>
      <w:r w:rsidR="008476F5">
        <w:t>For this analysis, t</w:t>
      </w:r>
      <w:r>
        <w:t>hese areas of Black Box are considered at risk from flooding frequency (as Black Box that are inundated less frequently than once per 10 years are considered water-stressed</w:t>
      </w:r>
      <w:r w:rsidR="008476F5">
        <w:t>, unless the trees have access to other sources of water</w:t>
      </w:r>
      <w:r>
        <w:t xml:space="preserve">). </w:t>
      </w:r>
    </w:p>
    <w:p w14:paraId="3D69317A" w14:textId="233033FF" w:rsidR="00C354CD" w:rsidRDefault="00C354CD" w:rsidP="00C354CD">
      <w:pPr>
        <w:pStyle w:val="Bodynarrow"/>
        <w:ind w:left="0"/>
      </w:pPr>
      <w:r w:rsidRPr="00A0598E">
        <w:t xml:space="preserve">Additional maps showing a greater level of detail in selected areas of the Murray and Darling systems are </w:t>
      </w:r>
      <w:r w:rsidRPr="00A00AAE">
        <w:t xml:space="preserve">provided in </w:t>
      </w:r>
      <w:r w:rsidR="00A00AAE" w:rsidRPr="00A00AAE">
        <w:fldChar w:fldCharType="begin"/>
      </w:r>
      <w:r w:rsidR="00A00AAE" w:rsidRPr="00A00AAE">
        <w:instrText xml:space="preserve"> REF _Ref507426282 \r \h  \* MERGEFORMAT </w:instrText>
      </w:r>
      <w:r w:rsidR="00A00AAE" w:rsidRPr="00A00AAE">
        <w:fldChar w:fldCharType="separate"/>
      </w:r>
      <w:r w:rsidR="00BF015B">
        <w:t>Appendix M</w:t>
      </w:r>
      <w:r w:rsidR="00A00AAE" w:rsidRPr="00A00AAE">
        <w:fldChar w:fldCharType="end"/>
      </w:r>
      <w:r w:rsidRPr="00A00AAE">
        <w:t>.</w:t>
      </w:r>
    </w:p>
    <w:p w14:paraId="079BF47C" w14:textId="77777777" w:rsidR="00C354CD" w:rsidRDefault="00C354CD" w:rsidP="00C354CD">
      <w:pPr>
        <w:pStyle w:val="Bodynarrow"/>
        <w:ind w:left="0"/>
      </w:pPr>
    </w:p>
    <w:p w14:paraId="04FEE063" w14:textId="648D10A9" w:rsidR="00C354CD" w:rsidRDefault="00C354CD" w:rsidP="00C354CD">
      <w:pPr>
        <w:pStyle w:val="Caption"/>
      </w:pPr>
      <w:bookmarkStart w:id="286" w:name="_Ref507167003"/>
      <w:bookmarkStart w:id="287" w:name="_Toc514068794"/>
      <w:r>
        <w:t xml:space="preserve">Table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Table \* ARABIC \s 1 </w:instrText>
      </w:r>
      <w:r>
        <w:fldChar w:fldCharType="separate"/>
      </w:r>
      <w:r w:rsidR="00BF015B">
        <w:rPr>
          <w:noProof/>
        </w:rPr>
        <w:t>6</w:t>
      </w:r>
      <w:r>
        <w:fldChar w:fldCharType="end"/>
      </w:r>
      <w:bookmarkEnd w:id="286"/>
      <w:r>
        <w:t xml:space="preserve">: Proportion of Black Box in </w:t>
      </w:r>
      <w:r w:rsidR="008476F5">
        <w:t>a</w:t>
      </w:r>
      <w:r>
        <w:t xml:space="preserve">reas of </w:t>
      </w:r>
      <w:r w:rsidR="008476F5">
        <w:t>d</w:t>
      </w:r>
      <w:r>
        <w:t xml:space="preserve">ifferent </w:t>
      </w:r>
      <w:r w:rsidR="008476F5">
        <w:t>f</w:t>
      </w:r>
      <w:r>
        <w:t xml:space="preserve">lood </w:t>
      </w:r>
      <w:r w:rsidR="008476F5">
        <w:t>f</w:t>
      </w:r>
      <w:r>
        <w:t xml:space="preserve">requency for each </w:t>
      </w:r>
      <w:r w:rsidR="008476F5">
        <w:t>r</w:t>
      </w:r>
      <w:r>
        <w:t>egion of the Basin</w:t>
      </w:r>
      <w:bookmarkEnd w:id="287"/>
    </w:p>
    <w:tbl>
      <w:tblPr>
        <w:tblW w:w="9781" w:type="dxa"/>
        <w:tblInd w:w="-5" w:type="dxa"/>
        <w:tblLook w:val="04A0" w:firstRow="1" w:lastRow="0" w:firstColumn="1" w:lastColumn="0" w:noHBand="0" w:noVBand="1"/>
      </w:tblPr>
      <w:tblGrid>
        <w:gridCol w:w="1960"/>
        <w:gridCol w:w="1301"/>
        <w:gridCol w:w="1134"/>
        <w:gridCol w:w="1417"/>
        <w:gridCol w:w="1276"/>
        <w:gridCol w:w="1417"/>
        <w:gridCol w:w="1276"/>
      </w:tblGrid>
      <w:tr w:rsidR="00C354CD" w:rsidRPr="00D62DD6" w14:paraId="2B6CFE38" w14:textId="77777777" w:rsidTr="00AD0E29">
        <w:trPr>
          <w:trHeight w:val="863"/>
        </w:trPr>
        <w:tc>
          <w:tcPr>
            <w:tcW w:w="1960" w:type="dxa"/>
            <w:tcBorders>
              <w:top w:val="single" w:sz="4" w:space="0" w:color="auto"/>
              <w:left w:val="single" w:sz="4" w:space="0" w:color="auto"/>
              <w:bottom w:val="single" w:sz="4" w:space="0" w:color="auto"/>
              <w:right w:val="single" w:sz="4" w:space="0" w:color="auto"/>
            </w:tcBorders>
            <w:shd w:val="clear" w:color="000000" w:fill="65876D"/>
            <w:vAlign w:val="center"/>
            <w:hideMark/>
          </w:tcPr>
          <w:p w14:paraId="40F2F74D" w14:textId="77777777" w:rsidR="00C354CD" w:rsidRPr="00D62DD6" w:rsidRDefault="00C354CD" w:rsidP="00AD0E29">
            <w:pPr>
              <w:spacing w:after="0" w:line="240" w:lineRule="auto"/>
              <w:jc w:val="center"/>
              <w:rPr>
                <w:rFonts w:ascii="Arial Black" w:eastAsia="Times New Roman" w:hAnsi="Arial Black" w:cs="Arial"/>
                <w:b/>
                <w:bCs/>
                <w:color w:val="FFFFFF"/>
                <w:sz w:val="16"/>
                <w:szCs w:val="16"/>
                <w:lang w:eastAsia="en-AU"/>
              </w:rPr>
            </w:pPr>
            <w:r w:rsidRPr="00D62DD6">
              <w:rPr>
                <w:rFonts w:ascii="Arial Black" w:eastAsia="Times New Roman" w:hAnsi="Arial Black" w:cs="Arial"/>
                <w:b/>
                <w:bCs/>
                <w:color w:val="FFFFFF" w:themeColor="background1"/>
                <w:sz w:val="16"/>
                <w:szCs w:val="16"/>
                <w:lang w:eastAsia="en-AU"/>
              </w:rPr>
              <w:t>Basin Plan Regions</w:t>
            </w:r>
          </w:p>
        </w:tc>
        <w:tc>
          <w:tcPr>
            <w:tcW w:w="2435" w:type="dxa"/>
            <w:gridSpan w:val="2"/>
            <w:tcBorders>
              <w:top w:val="single" w:sz="4" w:space="0" w:color="auto"/>
              <w:left w:val="nil"/>
              <w:bottom w:val="single" w:sz="4" w:space="0" w:color="auto"/>
              <w:right w:val="single" w:sz="4" w:space="0" w:color="000000"/>
            </w:tcBorders>
            <w:shd w:val="clear" w:color="000000" w:fill="65876D"/>
            <w:vAlign w:val="center"/>
            <w:hideMark/>
          </w:tcPr>
          <w:p w14:paraId="44062DCC" w14:textId="77777777" w:rsidR="00C354CD" w:rsidRPr="00D62DD6" w:rsidRDefault="00C354CD" w:rsidP="00AD0E29">
            <w:pPr>
              <w:spacing w:after="0" w:line="240" w:lineRule="auto"/>
              <w:jc w:val="center"/>
              <w:rPr>
                <w:rFonts w:ascii="Arial Black" w:eastAsia="Times New Roman" w:hAnsi="Arial Black" w:cs="Arial"/>
                <w:b/>
                <w:bCs/>
                <w:color w:val="FFFFFF"/>
                <w:sz w:val="16"/>
                <w:szCs w:val="16"/>
                <w:lang w:eastAsia="en-AU"/>
              </w:rPr>
            </w:pPr>
            <w:r w:rsidRPr="00D62DD6">
              <w:rPr>
                <w:rFonts w:ascii="Arial Black" w:eastAsia="Times New Roman" w:hAnsi="Arial Black" w:cs="Arial"/>
                <w:b/>
                <w:bCs/>
                <w:color w:val="FFFFFF" w:themeColor="background1"/>
                <w:sz w:val="16"/>
                <w:szCs w:val="16"/>
                <w:lang w:eastAsia="en-AU"/>
              </w:rPr>
              <w:t>Black Box within 1 in 2 Flood Frequency zone</w:t>
            </w:r>
          </w:p>
        </w:tc>
        <w:tc>
          <w:tcPr>
            <w:tcW w:w="2693" w:type="dxa"/>
            <w:gridSpan w:val="2"/>
            <w:tcBorders>
              <w:top w:val="single" w:sz="4" w:space="0" w:color="auto"/>
              <w:left w:val="nil"/>
              <w:bottom w:val="single" w:sz="4" w:space="0" w:color="auto"/>
              <w:right w:val="single" w:sz="4" w:space="0" w:color="000000"/>
            </w:tcBorders>
            <w:shd w:val="clear" w:color="000000" w:fill="65876D"/>
            <w:vAlign w:val="center"/>
            <w:hideMark/>
          </w:tcPr>
          <w:p w14:paraId="3C17C95F" w14:textId="77777777" w:rsidR="00C354CD" w:rsidRPr="00D62DD6" w:rsidRDefault="00C354CD" w:rsidP="00AD0E29">
            <w:pPr>
              <w:spacing w:after="0" w:line="240" w:lineRule="auto"/>
              <w:jc w:val="center"/>
              <w:rPr>
                <w:rFonts w:ascii="Arial Black" w:eastAsia="Times New Roman" w:hAnsi="Arial Black" w:cs="Arial"/>
                <w:b/>
                <w:bCs/>
                <w:color w:val="FFFFFF"/>
                <w:sz w:val="16"/>
                <w:szCs w:val="16"/>
                <w:lang w:eastAsia="en-AU"/>
              </w:rPr>
            </w:pPr>
            <w:r w:rsidRPr="00D62DD6">
              <w:rPr>
                <w:rFonts w:ascii="Arial Black" w:eastAsia="Times New Roman" w:hAnsi="Arial Black" w:cs="Arial"/>
                <w:b/>
                <w:bCs/>
                <w:color w:val="FFFFFF" w:themeColor="background1"/>
                <w:sz w:val="16"/>
                <w:szCs w:val="16"/>
                <w:lang w:eastAsia="en-AU"/>
              </w:rPr>
              <w:t>Black Box between the 1 in 2 and 1 in 10 Flood Frequency Zones</w:t>
            </w:r>
          </w:p>
        </w:tc>
        <w:tc>
          <w:tcPr>
            <w:tcW w:w="2693" w:type="dxa"/>
            <w:gridSpan w:val="2"/>
            <w:tcBorders>
              <w:top w:val="single" w:sz="4" w:space="0" w:color="auto"/>
              <w:left w:val="nil"/>
              <w:bottom w:val="single" w:sz="4" w:space="0" w:color="auto"/>
              <w:right w:val="single" w:sz="4" w:space="0" w:color="000000"/>
            </w:tcBorders>
            <w:shd w:val="clear" w:color="000000" w:fill="65876D"/>
            <w:vAlign w:val="center"/>
            <w:hideMark/>
          </w:tcPr>
          <w:p w14:paraId="77950851" w14:textId="77777777" w:rsidR="00C354CD" w:rsidRPr="00D62DD6" w:rsidRDefault="00C354CD" w:rsidP="00AD0E29">
            <w:pPr>
              <w:spacing w:after="0" w:line="240" w:lineRule="auto"/>
              <w:jc w:val="center"/>
              <w:rPr>
                <w:rFonts w:ascii="Arial Black" w:eastAsia="Times New Roman" w:hAnsi="Arial Black" w:cs="Arial"/>
                <w:b/>
                <w:bCs/>
                <w:color w:val="FFFFFF"/>
                <w:sz w:val="16"/>
                <w:szCs w:val="16"/>
                <w:lang w:eastAsia="en-AU"/>
              </w:rPr>
            </w:pPr>
            <w:r w:rsidRPr="00D62DD6">
              <w:rPr>
                <w:rFonts w:ascii="Arial Black" w:eastAsia="Times New Roman" w:hAnsi="Arial Black" w:cs="Arial"/>
                <w:b/>
                <w:bCs/>
                <w:color w:val="FFFFFF" w:themeColor="background1"/>
                <w:sz w:val="16"/>
                <w:szCs w:val="16"/>
                <w:lang w:eastAsia="en-AU"/>
              </w:rPr>
              <w:t>Black Box outside the 1 in 10 Flood Frequency Zone</w:t>
            </w:r>
          </w:p>
        </w:tc>
      </w:tr>
      <w:tr w:rsidR="00C354CD" w:rsidRPr="00D62DD6" w14:paraId="40733EDE" w14:textId="77777777" w:rsidTr="00AD0E29">
        <w:trPr>
          <w:trHeight w:val="510"/>
        </w:trPr>
        <w:tc>
          <w:tcPr>
            <w:tcW w:w="1960" w:type="dxa"/>
            <w:tcBorders>
              <w:top w:val="nil"/>
              <w:left w:val="single" w:sz="4" w:space="0" w:color="auto"/>
              <w:bottom w:val="single" w:sz="4" w:space="0" w:color="auto"/>
              <w:right w:val="single" w:sz="4" w:space="0" w:color="auto"/>
            </w:tcBorders>
            <w:shd w:val="clear" w:color="000000" w:fill="65876D"/>
            <w:vAlign w:val="center"/>
            <w:hideMark/>
          </w:tcPr>
          <w:p w14:paraId="0F616850" w14:textId="77777777" w:rsidR="00C354CD" w:rsidRPr="00D62DD6" w:rsidRDefault="00C354CD" w:rsidP="00AD0E29">
            <w:pPr>
              <w:spacing w:after="0" w:line="240" w:lineRule="auto"/>
              <w:jc w:val="center"/>
              <w:rPr>
                <w:rFonts w:ascii="Arial Black" w:eastAsia="Times New Roman" w:hAnsi="Arial Black" w:cs="Arial"/>
                <w:b/>
                <w:bCs/>
                <w:color w:val="FFFFFF"/>
                <w:sz w:val="16"/>
                <w:szCs w:val="16"/>
                <w:lang w:eastAsia="en-AU"/>
              </w:rPr>
            </w:pPr>
            <w:r w:rsidRPr="00D62DD6">
              <w:rPr>
                <w:rFonts w:ascii="Arial Black" w:eastAsia="Times New Roman" w:hAnsi="Arial Black" w:cs="Arial"/>
                <w:b/>
                <w:bCs/>
                <w:color w:val="FFFFFF" w:themeColor="background1"/>
                <w:sz w:val="16"/>
                <w:szCs w:val="16"/>
                <w:lang w:eastAsia="en-AU"/>
              </w:rPr>
              <w:t> </w:t>
            </w:r>
          </w:p>
        </w:tc>
        <w:tc>
          <w:tcPr>
            <w:tcW w:w="1301" w:type="dxa"/>
            <w:tcBorders>
              <w:top w:val="nil"/>
              <w:left w:val="nil"/>
              <w:bottom w:val="single" w:sz="4" w:space="0" w:color="auto"/>
              <w:right w:val="single" w:sz="4" w:space="0" w:color="auto"/>
            </w:tcBorders>
            <w:shd w:val="clear" w:color="000000" w:fill="65876D"/>
            <w:vAlign w:val="center"/>
            <w:hideMark/>
          </w:tcPr>
          <w:p w14:paraId="26EB80DB" w14:textId="77777777" w:rsidR="00C354CD" w:rsidRPr="00D62DD6" w:rsidRDefault="00C354CD" w:rsidP="00AD0E29">
            <w:pPr>
              <w:spacing w:after="0" w:line="240" w:lineRule="auto"/>
              <w:jc w:val="center"/>
              <w:rPr>
                <w:rFonts w:ascii="Arial Black" w:eastAsia="Times New Roman" w:hAnsi="Arial Black" w:cs="Arial"/>
                <w:b/>
                <w:bCs/>
                <w:color w:val="FFFFFF"/>
                <w:sz w:val="16"/>
                <w:szCs w:val="16"/>
                <w:lang w:eastAsia="en-AU"/>
              </w:rPr>
            </w:pPr>
            <w:r w:rsidRPr="00D62DD6">
              <w:rPr>
                <w:rFonts w:ascii="Arial Black" w:eastAsia="Times New Roman" w:hAnsi="Arial Black" w:cs="Arial"/>
                <w:b/>
                <w:bCs/>
                <w:color w:val="FFFFFF" w:themeColor="background1"/>
                <w:sz w:val="16"/>
                <w:szCs w:val="16"/>
                <w:lang w:eastAsia="en-AU"/>
              </w:rPr>
              <w:t>Area (Ha)</w:t>
            </w:r>
          </w:p>
        </w:tc>
        <w:tc>
          <w:tcPr>
            <w:tcW w:w="1134" w:type="dxa"/>
            <w:tcBorders>
              <w:top w:val="nil"/>
              <w:left w:val="nil"/>
              <w:bottom w:val="single" w:sz="4" w:space="0" w:color="auto"/>
              <w:right w:val="single" w:sz="4" w:space="0" w:color="auto"/>
            </w:tcBorders>
            <w:shd w:val="clear" w:color="000000" w:fill="65876D"/>
            <w:vAlign w:val="center"/>
            <w:hideMark/>
          </w:tcPr>
          <w:p w14:paraId="33BB2973" w14:textId="77777777" w:rsidR="00C354CD" w:rsidRPr="00D62DD6" w:rsidRDefault="00C354CD" w:rsidP="00AD0E29">
            <w:pPr>
              <w:spacing w:after="0" w:line="240" w:lineRule="auto"/>
              <w:jc w:val="center"/>
              <w:rPr>
                <w:rFonts w:ascii="Arial Black" w:eastAsia="Times New Roman" w:hAnsi="Arial Black" w:cs="Arial"/>
                <w:b/>
                <w:bCs/>
                <w:color w:val="FFFFFF"/>
                <w:sz w:val="16"/>
                <w:szCs w:val="16"/>
                <w:lang w:eastAsia="en-AU"/>
              </w:rPr>
            </w:pPr>
            <w:r w:rsidRPr="00D62DD6">
              <w:rPr>
                <w:rFonts w:ascii="Arial Black" w:eastAsia="Times New Roman" w:hAnsi="Arial Black" w:cs="Arial"/>
                <w:b/>
                <w:bCs/>
                <w:color w:val="FFFFFF" w:themeColor="background1"/>
                <w:sz w:val="16"/>
                <w:szCs w:val="16"/>
                <w:lang w:eastAsia="en-AU"/>
              </w:rPr>
              <w:t>%</w:t>
            </w:r>
          </w:p>
        </w:tc>
        <w:tc>
          <w:tcPr>
            <w:tcW w:w="1417" w:type="dxa"/>
            <w:tcBorders>
              <w:top w:val="nil"/>
              <w:left w:val="nil"/>
              <w:bottom w:val="single" w:sz="4" w:space="0" w:color="auto"/>
              <w:right w:val="single" w:sz="4" w:space="0" w:color="auto"/>
            </w:tcBorders>
            <w:shd w:val="clear" w:color="000000" w:fill="65876D"/>
            <w:vAlign w:val="center"/>
            <w:hideMark/>
          </w:tcPr>
          <w:p w14:paraId="2E31FD17" w14:textId="77777777" w:rsidR="00C354CD" w:rsidRPr="00D62DD6" w:rsidRDefault="00C354CD" w:rsidP="00AD0E29">
            <w:pPr>
              <w:spacing w:after="0" w:line="240" w:lineRule="auto"/>
              <w:jc w:val="center"/>
              <w:rPr>
                <w:rFonts w:ascii="Arial Black" w:eastAsia="Times New Roman" w:hAnsi="Arial Black" w:cs="Arial"/>
                <w:b/>
                <w:bCs/>
                <w:color w:val="FFFFFF"/>
                <w:sz w:val="16"/>
                <w:szCs w:val="16"/>
                <w:lang w:eastAsia="en-AU"/>
              </w:rPr>
            </w:pPr>
            <w:r w:rsidRPr="00D62DD6">
              <w:rPr>
                <w:rFonts w:ascii="Arial Black" w:eastAsia="Times New Roman" w:hAnsi="Arial Black" w:cs="Arial"/>
                <w:b/>
                <w:bCs/>
                <w:color w:val="FFFFFF" w:themeColor="background1"/>
                <w:sz w:val="16"/>
                <w:szCs w:val="16"/>
                <w:lang w:eastAsia="en-AU"/>
              </w:rPr>
              <w:t>Area (Ha)</w:t>
            </w:r>
          </w:p>
        </w:tc>
        <w:tc>
          <w:tcPr>
            <w:tcW w:w="1276" w:type="dxa"/>
            <w:tcBorders>
              <w:top w:val="nil"/>
              <w:left w:val="nil"/>
              <w:bottom w:val="single" w:sz="4" w:space="0" w:color="auto"/>
              <w:right w:val="single" w:sz="4" w:space="0" w:color="auto"/>
            </w:tcBorders>
            <w:shd w:val="clear" w:color="000000" w:fill="65876D"/>
            <w:vAlign w:val="center"/>
            <w:hideMark/>
          </w:tcPr>
          <w:p w14:paraId="4EC72CCD" w14:textId="77777777" w:rsidR="00C354CD" w:rsidRPr="00D62DD6" w:rsidRDefault="00C354CD" w:rsidP="00AD0E29">
            <w:pPr>
              <w:spacing w:after="0" w:line="240" w:lineRule="auto"/>
              <w:jc w:val="center"/>
              <w:rPr>
                <w:rFonts w:ascii="Arial Black" w:eastAsia="Times New Roman" w:hAnsi="Arial Black" w:cs="Arial"/>
                <w:b/>
                <w:bCs/>
                <w:color w:val="FFFFFF"/>
                <w:sz w:val="16"/>
                <w:szCs w:val="16"/>
                <w:lang w:eastAsia="en-AU"/>
              </w:rPr>
            </w:pPr>
            <w:r w:rsidRPr="00D62DD6">
              <w:rPr>
                <w:rFonts w:ascii="Arial Black" w:eastAsia="Times New Roman" w:hAnsi="Arial Black" w:cs="Arial"/>
                <w:b/>
                <w:bCs/>
                <w:color w:val="FFFFFF" w:themeColor="background1"/>
                <w:sz w:val="16"/>
                <w:szCs w:val="16"/>
                <w:lang w:eastAsia="en-AU"/>
              </w:rPr>
              <w:t>%</w:t>
            </w:r>
          </w:p>
        </w:tc>
        <w:tc>
          <w:tcPr>
            <w:tcW w:w="1417" w:type="dxa"/>
            <w:tcBorders>
              <w:top w:val="nil"/>
              <w:left w:val="nil"/>
              <w:bottom w:val="single" w:sz="4" w:space="0" w:color="auto"/>
              <w:right w:val="single" w:sz="4" w:space="0" w:color="auto"/>
            </w:tcBorders>
            <w:shd w:val="clear" w:color="000000" w:fill="65876D"/>
            <w:vAlign w:val="center"/>
            <w:hideMark/>
          </w:tcPr>
          <w:p w14:paraId="4A0E9F52" w14:textId="77777777" w:rsidR="00C354CD" w:rsidRPr="00D62DD6" w:rsidRDefault="00C354CD" w:rsidP="00AD0E29">
            <w:pPr>
              <w:spacing w:after="0" w:line="240" w:lineRule="auto"/>
              <w:jc w:val="center"/>
              <w:rPr>
                <w:rFonts w:ascii="Arial Black" w:eastAsia="Times New Roman" w:hAnsi="Arial Black" w:cs="Arial"/>
                <w:b/>
                <w:bCs/>
                <w:color w:val="FFFFFF"/>
                <w:sz w:val="16"/>
                <w:szCs w:val="16"/>
                <w:lang w:eastAsia="en-AU"/>
              </w:rPr>
            </w:pPr>
            <w:r w:rsidRPr="00D62DD6">
              <w:rPr>
                <w:rFonts w:ascii="Arial Black" w:eastAsia="Times New Roman" w:hAnsi="Arial Black" w:cs="Arial"/>
                <w:b/>
                <w:bCs/>
                <w:color w:val="FFFFFF" w:themeColor="background1"/>
                <w:sz w:val="16"/>
                <w:szCs w:val="16"/>
                <w:lang w:eastAsia="en-AU"/>
              </w:rPr>
              <w:t>Area (Ha)</w:t>
            </w:r>
          </w:p>
        </w:tc>
        <w:tc>
          <w:tcPr>
            <w:tcW w:w="1276" w:type="dxa"/>
            <w:tcBorders>
              <w:top w:val="nil"/>
              <w:left w:val="nil"/>
              <w:bottom w:val="single" w:sz="4" w:space="0" w:color="auto"/>
              <w:right w:val="single" w:sz="4" w:space="0" w:color="auto"/>
            </w:tcBorders>
            <w:shd w:val="clear" w:color="000000" w:fill="65876D"/>
            <w:vAlign w:val="center"/>
            <w:hideMark/>
          </w:tcPr>
          <w:p w14:paraId="2E02E761" w14:textId="77777777" w:rsidR="00C354CD" w:rsidRPr="00D62DD6" w:rsidRDefault="00C354CD" w:rsidP="00AD0E29">
            <w:pPr>
              <w:spacing w:after="0" w:line="240" w:lineRule="auto"/>
              <w:jc w:val="center"/>
              <w:rPr>
                <w:rFonts w:ascii="Arial Black" w:eastAsia="Times New Roman" w:hAnsi="Arial Black" w:cs="Arial"/>
                <w:b/>
                <w:bCs/>
                <w:color w:val="FFFFFF"/>
                <w:sz w:val="16"/>
                <w:szCs w:val="16"/>
                <w:lang w:eastAsia="en-AU"/>
              </w:rPr>
            </w:pPr>
            <w:r w:rsidRPr="00D62DD6">
              <w:rPr>
                <w:rFonts w:ascii="Arial Black" w:eastAsia="Times New Roman" w:hAnsi="Arial Black" w:cs="Arial"/>
                <w:b/>
                <w:bCs/>
                <w:color w:val="FFFFFF" w:themeColor="background1"/>
                <w:sz w:val="16"/>
                <w:szCs w:val="16"/>
                <w:lang w:eastAsia="en-AU"/>
              </w:rPr>
              <w:t>%</w:t>
            </w:r>
          </w:p>
        </w:tc>
      </w:tr>
      <w:tr w:rsidR="00C354CD" w:rsidRPr="00D62DD6" w14:paraId="7FBF45C8"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03FA131" w14:textId="7777777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Barwon-Darling</w:t>
            </w:r>
          </w:p>
        </w:tc>
        <w:tc>
          <w:tcPr>
            <w:tcW w:w="1301" w:type="dxa"/>
            <w:tcBorders>
              <w:top w:val="nil"/>
              <w:left w:val="nil"/>
              <w:bottom w:val="single" w:sz="4" w:space="0" w:color="auto"/>
              <w:right w:val="single" w:sz="4" w:space="0" w:color="auto"/>
            </w:tcBorders>
            <w:shd w:val="clear" w:color="auto" w:fill="auto"/>
            <w:vAlign w:val="center"/>
            <w:hideMark/>
          </w:tcPr>
          <w:p w14:paraId="4417A6C6"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4,420</w:t>
            </w:r>
          </w:p>
        </w:tc>
        <w:tc>
          <w:tcPr>
            <w:tcW w:w="1134" w:type="dxa"/>
            <w:tcBorders>
              <w:top w:val="nil"/>
              <w:left w:val="nil"/>
              <w:bottom w:val="single" w:sz="4" w:space="0" w:color="auto"/>
              <w:right w:val="single" w:sz="4" w:space="0" w:color="auto"/>
            </w:tcBorders>
            <w:shd w:val="clear" w:color="auto" w:fill="auto"/>
            <w:vAlign w:val="center"/>
            <w:hideMark/>
          </w:tcPr>
          <w:p w14:paraId="5A65C8D4"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7%</w:t>
            </w:r>
          </w:p>
        </w:tc>
        <w:tc>
          <w:tcPr>
            <w:tcW w:w="1417" w:type="dxa"/>
            <w:tcBorders>
              <w:top w:val="nil"/>
              <w:left w:val="nil"/>
              <w:bottom w:val="single" w:sz="4" w:space="0" w:color="auto"/>
              <w:right w:val="single" w:sz="4" w:space="0" w:color="auto"/>
            </w:tcBorders>
            <w:shd w:val="clear" w:color="auto" w:fill="auto"/>
            <w:vAlign w:val="center"/>
            <w:hideMark/>
          </w:tcPr>
          <w:p w14:paraId="0DD65120"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31,190</w:t>
            </w:r>
          </w:p>
        </w:tc>
        <w:tc>
          <w:tcPr>
            <w:tcW w:w="1276" w:type="dxa"/>
            <w:tcBorders>
              <w:top w:val="nil"/>
              <w:left w:val="nil"/>
              <w:bottom w:val="single" w:sz="4" w:space="0" w:color="auto"/>
              <w:right w:val="single" w:sz="4" w:space="0" w:color="auto"/>
            </w:tcBorders>
            <w:shd w:val="clear" w:color="auto" w:fill="auto"/>
            <w:vAlign w:val="center"/>
            <w:hideMark/>
          </w:tcPr>
          <w:p w14:paraId="71F2DF83"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50%</w:t>
            </w:r>
          </w:p>
        </w:tc>
        <w:tc>
          <w:tcPr>
            <w:tcW w:w="1417" w:type="dxa"/>
            <w:tcBorders>
              <w:top w:val="nil"/>
              <w:left w:val="nil"/>
              <w:bottom w:val="single" w:sz="4" w:space="0" w:color="auto"/>
              <w:right w:val="single" w:sz="4" w:space="0" w:color="auto"/>
            </w:tcBorders>
            <w:shd w:val="clear" w:color="auto" w:fill="auto"/>
            <w:vAlign w:val="center"/>
            <w:hideMark/>
          </w:tcPr>
          <w:p w14:paraId="0D7588D9"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26,250</w:t>
            </w:r>
          </w:p>
        </w:tc>
        <w:tc>
          <w:tcPr>
            <w:tcW w:w="1276" w:type="dxa"/>
            <w:tcBorders>
              <w:top w:val="nil"/>
              <w:left w:val="nil"/>
              <w:bottom w:val="single" w:sz="4" w:space="0" w:color="auto"/>
              <w:right w:val="single" w:sz="4" w:space="0" w:color="auto"/>
            </w:tcBorders>
            <w:shd w:val="clear" w:color="auto" w:fill="auto"/>
            <w:vAlign w:val="center"/>
            <w:hideMark/>
          </w:tcPr>
          <w:p w14:paraId="710FA1CE"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42%</w:t>
            </w:r>
          </w:p>
        </w:tc>
      </w:tr>
      <w:tr w:rsidR="00C354CD" w:rsidRPr="00D62DD6" w14:paraId="3DF396C2"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67E503DD" w14:textId="7777777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Moonie</w:t>
            </w:r>
          </w:p>
        </w:tc>
        <w:tc>
          <w:tcPr>
            <w:tcW w:w="1301" w:type="dxa"/>
            <w:tcBorders>
              <w:top w:val="nil"/>
              <w:left w:val="nil"/>
              <w:bottom w:val="single" w:sz="4" w:space="0" w:color="auto"/>
              <w:right w:val="single" w:sz="4" w:space="0" w:color="auto"/>
            </w:tcBorders>
            <w:shd w:val="clear" w:color="auto" w:fill="auto"/>
            <w:vAlign w:val="center"/>
            <w:hideMark/>
          </w:tcPr>
          <w:p w14:paraId="57D21903"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370</w:t>
            </w:r>
          </w:p>
        </w:tc>
        <w:tc>
          <w:tcPr>
            <w:tcW w:w="1134" w:type="dxa"/>
            <w:tcBorders>
              <w:top w:val="nil"/>
              <w:left w:val="nil"/>
              <w:bottom w:val="single" w:sz="4" w:space="0" w:color="auto"/>
              <w:right w:val="single" w:sz="4" w:space="0" w:color="auto"/>
            </w:tcBorders>
            <w:shd w:val="clear" w:color="auto" w:fill="auto"/>
            <w:vAlign w:val="center"/>
            <w:hideMark/>
          </w:tcPr>
          <w:p w14:paraId="32167F3A"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4%</w:t>
            </w:r>
          </w:p>
        </w:tc>
        <w:tc>
          <w:tcPr>
            <w:tcW w:w="1417" w:type="dxa"/>
            <w:tcBorders>
              <w:top w:val="nil"/>
              <w:left w:val="nil"/>
              <w:bottom w:val="single" w:sz="4" w:space="0" w:color="auto"/>
              <w:right w:val="single" w:sz="4" w:space="0" w:color="auto"/>
            </w:tcBorders>
            <w:shd w:val="clear" w:color="auto" w:fill="auto"/>
            <w:vAlign w:val="center"/>
            <w:hideMark/>
          </w:tcPr>
          <w:p w14:paraId="241BA692"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1,420</w:t>
            </w:r>
          </w:p>
        </w:tc>
        <w:tc>
          <w:tcPr>
            <w:tcW w:w="1276" w:type="dxa"/>
            <w:tcBorders>
              <w:top w:val="nil"/>
              <w:left w:val="nil"/>
              <w:bottom w:val="single" w:sz="4" w:space="0" w:color="auto"/>
              <w:right w:val="single" w:sz="4" w:space="0" w:color="auto"/>
            </w:tcBorders>
            <w:shd w:val="clear" w:color="auto" w:fill="auto"/>
            <w:vAlign w:val="center"/>
            <w:hideMark/>
          </w:tcPr>
          <w:p w14:paraId="53D1E1FD"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17%</w:t>
            </w:r>
          </w:p>
        </w:tc>
        <w:tc>
          <w:tcPr>
            <w:tcW w:w="1417" w:type="dxa"/>
            <w:tcBorders>
              <w:top w:val="nil"/>
              <w:left w:val="nil"/>
              <w:bottom w:val="single" w:sz="4" w:space="0" w:color="auto"/>
              <w:right w:val="single" w:sz="4" w:space="0" w:color="auto"/>
            </w:tcBorders>
            <w:shd w:val="clear" w:color="auto" w:fill="auto"/>
            <w:vAlign w:val="center"/>
            <w:hideMark/>
          </w:tcPr>
          <w:p w14:paraId="35D79488"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6,610</w:t>
            </w:r>
          </w:p>
        </w:tc>
        <w:tc>
          <w:tcPr>
            <w:tcW w:w="1276" w:type="dxa"/>
            <w:tcBorders>
              <w:top w:val="nil"/>
              <w:left w:val="nil"/>
              <w:bottom w:val="single" w:sz="4" w:space="0" w:color="auto"/>
              <w:right w:val="single" w:sz="4" w:space="0" w:color="auto"/>
            </w:tcBorders>
            <w:shd w:val="clear" w:color="auto" w:fill="auto"/>
            <w:vAlign w:val="center"/>
            <w:hideMark/>
          </w:tcPr>
          <w:p w14:paraId="2A69F548"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79%</w:t>
            </w:r>
          </w:p>
        </w:tc>
      </w:tr>
      <w:tr w:rsidR="00C354CD" w:rsidRPr="00D62DD6" w14:paraId="20312336"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4EB74E1" w14:textId="7777777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Campaspe</w:t>
            </w:r>
          </w:p>
        </w:tc>
        <w:tc>
          <w:tcPr>
            <w:tcW w:w="1301" w:type="dxa"/>
            <w:tcBorders>
              <w:top w:val="nil"/>
              <w:left w:val="nil"/>
              <w:bottom w:val="single" w:sz="4" w:space="0" w:color="auto"/>
              <w:right w:val="single" w:sz="4" w:space="0" w:color="auto"/>
            </w:tcBorders>
            <w:shd w:val="clear" w:color="auto" w:fill="auto"/>
            <w:vAlign w:val="center"/>
            <w:hideMark/>
          </w:tcPr>
          <w:p w14:paraId="17EFC4DE"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6460260E"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0%</w:t>
            </w:r>
          </w:p>
        </w:tc>
        <w:tc>
          <w:tcPr>
            <w:tcW w:w="1417" w:type="dxa"/>
            <w:tcBorders>
              <w:top w:val="nil"/>
              <w:left w:val="nil"/>
              <w:bottom w:val="single" w:sz="4" w:space="0" w:color="auto"/>
              <w:right w:val="single" w:sz="4" w:space="0" w:color="auto"/>
            </w:tcBorders>
            <w:shd w:val="clear" w:color="auto" w:fill="auto"/>
            <w:vAlign w:val="center"/>
            <w:hideMark/>
          </w:tcPr>
          <w:p w14:paraId="57A0C3C5"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10</w:t>
            </w:r>
          </w:p>
        </w:tc>
        <w:tc>
          <w:tcPr>
            <w:tcW w:w="1276" w:type="dxa"/>
            <w:tcBorders>
              <w:top w:val="nil"/>
              <w:left w:val="nil"/>
              <w:bottom w:val="single" w:sz="4" w:space="0" w:color="auto"/>
              <w:right w:val="single" w:sz="4" w:space="0" w:color="auto"/>
            </w:tcBorders>
            <w:shd w:val="clear" w:color="auto" w:fill="auto"/>
            <w:vAlign w:val="center"/>
            <w:hideMark/>
          </w:tcPr>
          <w:p w14:paraId="4D8350DB"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3%</w:t>
            </w:r>
          </w:p>
        </w:tc>
        <w:tc>
          <w:tcPr>
            <w:tcW w:w="1417" w:type="dxa"/>
            <w:tcBorders>
              <w:top w:val="nil"/>
              <w:left w:val="nil"/>
              <w:bottom w:val="single" w:sz="4" w:space="0" w:color="auto"/>
              <w:right w:val="single" w:sz="4" w:space="0" w:color="auto"/>
            </w:tcBorders>
            <w:shd w:val="clear" w:color="auto" w:fill="auto"/>
            <w:vAlign w:val="center"/>
            <w:hideMark/>
          </w:tcPr>
          <w:p w14:paraId="41C1B7CD"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290</w:t>
            </w:r>
          </w:p>
        </w:tc>
        <w:tc>
          <w:tcPr>
            <w:tcW w:w="1276" w:type="dxa"/>
            <w:tcBorders>
              <w:top w:val="nil"/>
              <w:left w:val="nil"/>
              <w:bottom w:val="single" w:sz="4" w:space="0" w:color="auto"/>
              <w:right w:val="single" w:sz="4" w:space="0" w:color="auto"/>
            </w:tcBorders>
            <w:shd w:val="clear" w:color="auto" w:fill="auto"/>
            <w:vAlign w:val="center"/>
            <w:hideMark/>
          </w:tcPr>
          <w:p w14:paraId="3FB50FEF"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97%</w:t>
            </w:r>
          </w:p>
        </w:tc>
      </w:tr>
      <w:tr w:rsidR="00C354CD" w:rsidRPr="00D62DD6" w14:paraId="0EED2940" w14:textId="77777777" w:rsidTr="00AD0E29">
        <w:trPr>
          <w:trHeight w:val="51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8208ADD" w14:textId="7777777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Macquarie-Castle</w:t>
            </w:r>
            <w:r>
              <w:rPr>
                <w:rFonts w:eastAsia="Times New Roman" w:cs="Arial"/>
                <w:szCs w:val="20"/>
                <w:lang w:eastAsia="en-AU"/>
              </w:rPr>
              <w:t>r</w:t>
            </w:r>
            <w:r w:rsidRPr="00D62DD6">
              <w:rPr>
                <w:rFonts w:eastAsia="Times New Roman" w:cs="Arial"/>
                <w:szCs w:val="20"/>
                <w:lang w:eastAsia="en-AU"/>
              </w:rPr>
              <w:t>eagh</w:t>
            </w:r>
          </w:p>
        </w:tc>
        <w:tc>
          <w:tcPr>
            <w:tcW w:w="1301" w:type="dxa"/>
            <w:tcBorders>
              <w:top w:val="nil"/>
              <w:left w:val="nil"/>
              <w:bottom w:val="single" w:sz="4" w:space="0" w:color="auto"/>
              <w:right w:val="single" w:sz="4" w:space="0" w:color="auto"/>
            </w:tcBorders>
            <w:shd w:val="clear" w:color="auto" w:fill="auto"/>
            <w:vAlign w:val="center"/>
            <w:hideMark/>
          </w:tcPr>
          <w:p w14:paraId="337BF543"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4,220</w:t>
            </w:r>
          </w:p>
        </w:tc>
        <w:tc>
          <w:tcPr>
            <w:tcW w:w="1134" w:type="dxa"/>
            <w:tcBorders>
              <w:top w:val="nil"/>
              <w:left w:val="nil"/>
              <w:bottom w:val="single" w:sz="4" w:space="0" w:color="auto"/>
              <w:right w:val="single" w:sz="4" w:space="0" w:color="auto"/>
            </w:tcBorders>
            <w:shd w:val="clear" w:color="auto" w:fill="auto"/>
            <w:vAlign w:val="center"/>
            <w:hideMark/>
          </w:tcPr>
          <w:p w14:paraId="357CCEED"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2%</w:t>
            </w:r>
          </w:p>
        </w:tc>
        <w:tc>
          <w:tcPr>
            <w:tcW w:w="1417" w:type="dxa"/>
            <w:tcBorders>
              <w:top w:val="nil"/>
              <w:left w:val="nil"/>
              <w:bottom w:val="single" w:sz="4" w:space="0" w:color="auto"/>
              <w:right w:val="single" w:sz="4" w:space="0" w:color="auto"/>
            </w:tcBorders>
            <w:shd w:val="clear" w:color="auto" w:fill="auto"/>
            <w:vAlign w:val="center"/>
            <w:hideMark/>
          </w:tcPr>
          <w:p w14:paraId="101B2DCC"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22,060</w:t>
            </w:r>
          </w:p>
        </w:tc>
        <w:tc>
          <w:tcPr>
            <w:tcW w:w="1276" w:type="dxa"/>
            <w:tcBorders>
              <w:top w:val="nil"/>
              <w:left w:val="nil"/>
              <w:bottom w:val="single" w:sz="4" w:space="0" w:color="auto"/>
              <w:right w:val="single" w:sz="4" w:space="0" w:color="auto"/>
            </w:tcBorders>
            <w:shd w:val="clear" w:color="auto" w:fill="auto"/>
            <w:vAlign w:val="center"/>
            <w:hideMark/>
          </w:tcPr>
          <w:p w14:paraId="7DB89A76"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12%</w:t>
            </w:r>
          </w:p>
        </w:tc>
        <w:tc>
          <w:tcPr>
            <w:tcW w:w="1417" w:type="dxa"/>
            <w:tcBorders>
              <w:top w:val="nil"/>
              <w:left w:val="nil"/>
              <w:bottom w:val="single" w:sz="4" w:space="0" w:color="auto"/>
              <w:right w:val="single" w:sz="4" w:space="0" w:color="auto"/>
            </w:tcBorders>
            <w:shd w:val="clear" w:color="auto" w:fill="auto"/>
            <w:vAlign w:val="center"/>
            <w:hideMark/>
          </w:tcPr>
          <w:p w14:paraId="2E0A9947"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160,940</w:t>
            </w:r>
          </w:p>
        </w:tc>
        <w:tc>
          <w:tcPr>
            <w:tcW w:w="1276" w:type="dxa"/>
            <w:tcBorders>
              <w:top w:val="nil"/>
              <w:left w:val="nil"/>
              <w:bottom w:val="single" w:sz="4" w:space="0" w:color="auto"/>
              <w:right w:val="single" w:sz="4" w:space="0" w:color="auto"/>
            </w:tcBorders>
            <w:shd w:val="clear" w:color="auto" w:fill="auto"/>
            <w:vAlign w:val="center"/>
            <w:hideMark/>
          </w:tcPr>
          <w:p w14:paraId="67A70EBC"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86%</w:t>
            </w:r>
          </w:p>
        </w:tc>
      </w:tr>
      <w:tr w:rsidR="00C354CD" w:rsidRPr="00D62DD6" w14:paraId="142BB58A"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3B5445C1" w14:textId="7777777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Lachlan</w:t>
            </w:r>
          </w:p>
        </w:tc>
        <w:tc>
          <w:tcPr>
            <w:tcW w:w="1301" w:type="dxa"/>
            <w:tcBorders>
              <w:top w:val="nil"/>
              <w:left w:val="nil"/>
              <w:bottom w:val="single" w:sz="4" w:space="0" w:color="auto"/>
              <w:right w:val="single" w:sz="4" w:space="0" w:color="auto"/>
            </w:tcBorders>
            <w:shd w:val="clear" w:color="auto" w:fill="auto"/>
            <w:vAlign w:val="center"/>
            <w:hideMark/>
          </w:tcPr>
          <w:p w14:paraId="2B04DE39"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5,400</w:t>
            </w:r>
          </w:p>
        </w:tc>
        <w:tc>
          <w:tcPr>
            <w:tcW w:w="1134" w:type="dxa"/>
            <w:tcBorders>
              <w:top w:val="nil"/>
              <w:left w:val="nil"/>
              <w:bottom w:val="single" w:sz="4" w:space="0" w:color="auto"/>
              <w:right w:val="single" w:sz="4" w:space="0" w:color="auto"/>
            </w:tcBorders>
            <w:shd w:val="clear" w:color="auto" w:fill="auto"/>
            <w:vAlign w:val="center"/>
            <w:hideMark/>
          </w:tcPr>
          <w:p w14:paraId="74CDF3C4"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7%</w:t>
            </w:r>
          </w:p>
        </w:tc>
        <w:tc>
          <w:tcPr>
            <w:tcW w:w="1417" w:type="dxa"/>
            <w:tcBorders>
              <w:top w:val="nil"/>
              <w:left w:val="nil"/>
              <w:bottom w:val="single" w:sz="4" w:space="0" w:color="auto"/>
              <w:right w:val="single" w:sz="4" w:space="0" w:color="auto"/>
            </w:tcBorders>
            <w:shd w:val="clear" w:color="auto" w:fill="auto"/>
            <w:vAlign w:val="center"/>
            <w:hideMark/>
          </w:tcPr>
          <w:p w14:paraId="1C0D95D9"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20</w:t>
            </w:r>
          </w:p>
        </w:tc>
        <w:tc>
          <w:tcPr>
            <w:tcW w:w="1276" w:type="dxa"/>
            <w:tcBorders>
              <w:top w:val="nil"/>
              <w:left w:val="nil"/>
              <w:bottom w:val="single" w:sz="4" w:space="0" w:color="auto"/>
              <w:right w:val="single" w:sz="4" w:space="0" w:color="auto"/>
            </w:tcBorders>
            <w:shd w:val="clear" w:color="auto" w:fill="auto"/>
            <w:vAlign w:val="center"/>
            <w:hideMark/>
          </w:tcPr>
          <w:p w14:paraId="503A722F"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0%</w:t>
            </w:r>
          </w:p>
        </w:tc>
        <w:tc>
          <w:tcPr>
            <w:tcW w:w="1417" w:type="dxa"/>
            <w:tcBorders>
              <w:top w:val="nil"/>
              <w:left w:val="nil"/>
              <w:bottom w:val="single" w:sz="4" w:space="0" w:color="auto"/>
              <w:right w:val="single" w:sz="4" w:space="0" w:color="auto"/>
            </w:tcBorders>
            <w:shd w:val="clear" w:color="auto" w:fill="auto"/>
            <w:vAlign w:val="center"/>
            <w:hideMark/>
          </w:tcPr>
          <w:p w14:paraId="6D3B526F"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73,050</w:t>
            </w:r>
          </w:p>
        </w:tc>
        <w:tc>
          <w:tcPr>
            <w:tcW w:w="1276" w:type="dxa"/>
            <w:tcBorders>
              <w:top w:val="nil"/>
              <w:left w:val="nil"/>
              <w:bottom w:val="single" w:sz="4" w:space="0" w:color="auto"/>
              <w:right w:val="single" w:sz="4" w:space="0" w:color="auto"/>
            </w:tcBorders>
            <w:shd w:val="clear" w:color="auto" w:fill="auto"/>
            <w:vAlign w:val="center"/>
            <w:hideMark/>
          </w:tcPr>
          <w:p w14:paraId="17D6529B"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93%</w:t>
            </w:r>
          </w:p>
        </w:tc>
      </w:tr>
      <w:tr w:rsidR="00C354CD" w:rsidRPr="00D62DD6" w14:paraId="29FF46CF" w14:textId="77777777" w:rsidTr="00AD0E29">
        <w:trPr>
          <w:trHeight w:val="51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6BE02F92" w14:textId="7777777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Eastern Mt Lofty Ranges</w:t>
            </w:r>
          </w:p>
        </w:tc>
        <w:tc>
          <w:tcPr>
            <w:tcW w:w="1301" w:type="dxa"/>
            <w:tcBorders>
              <w:top w:val="nil"/>
              <w:left w:val="nil"/>
              <w:bottom w:val="single" w:sz="4" w:space="0" w:color="auto"/>
              <w:right w:val="single" w:sz="4" w:space="0" w:color="auto"/>
            </w:tcBorders>
            <w:shd w:val="clear" w:color="auto" w:fill="auto"/>
            <w:vAlign w:val="center"/>
            <w:hideMark/>
          </w:tcPr>
          <w:p w14:paraId="128DD5F9"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100</w:t>
            </w:r>
          </w:p>
        </w:tc>
        <w:tc>
          <w:tcPr>
            <w:tcW w:w="1134" w:type="dxa"/>
            <w:tcBorders>
              <w:top w:val="nil"/>
              <w:left w:val="nil"/>
              <w:bottom w:val="single" w:sz="4" w:space="0" w:color="auto"/>
              <w:right w:val="single" w:sz="4" w:space="0" w:color="auto"/>
            </w:tcBorders>
            <w:shd w:val="clear" w:color="auto" w:fill="auto"/>
            <w:vAlign w:val="center"/>
            <w:hideMark/>
          </w:tcPr>
          <w:p w14:paraId="66567484"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25%</w:t>
            </w:r>
          </w:p>
        </w:tc>
        <w:tc>
          <w:tcPr>
            <w:tcW w:w="1417" w:type="dxa"/>
            <w:tcBorders>
              <w:top w:val="nil"/>
              <w:left w:val="nil"/>
              <w:bottom w:val="single" w:sz="4" w:space="0" w:color="auto"/>
              <w:right w:val="single" w:sz="4" w:space="0" w:color="auto"/>
            </w:tcBorders>
            <w:shd w:val="clear" w:color="auto" w:fill="auto"/>
            <w:vAlign w:val="center"/>
            <w:hideMark/>
          </w:tcPr>
          <w:p w14:paraId="1DC0DB99"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0</w:t>
            </w:r>
          </w:p>
        </w:tc>
        <w:tc>
          <w:tcPr>
            <w:tcW w:w="1276" w:type="dxa"/>
            <w:tcBorders>
              <w:top w:val="nil"/>
              <w:left w:val="nil"/>
              <w:bottom w:val="single" w:sz="4" w:space="0" w:color="auto"/>
              <w:right w:val="single" w:sz="4" w:space="0" w:color="auto"/>
            </w:tcBorders>
            <w:shd w:val="clear" w:color="auto" w:fill="auto"/>
            <w:vAlign w:val="center"/>
            <w:hideMark/>
          </w:tcPr>
          <w:p w14:paraId="0AB548CA"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0%</w:t>
            </w:r>
          </w:p>
        </w:tc>
        <w:tc>
          <w:tcPr>
            <w:tcW w:w="1417" w:type="dxa"/>
            <w:tcBorders>
              <w:top w:val="nil"/>
              <w:left w:val="nil"/>
              <w:bottom w:val="single" w:sz="4" w:space="0" w:color="auto"/>
              <w:right w:val="single" w:sz="4" w:space="0" w:color="auto"/>
            </w:tcBorders>
            <w:shd w:val="clear" w:color="auto" w:fill="auto"/>
            <w:vAlign w:val="center"/>
            <w:hideMark/>
          </w:tcPr>
          <w:p w14:paraId="67B61671"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300</w:t>
            </w:r>
          </w:p>
        </w:tc>
        <w:tc>
          <w:tcPr>
            <w:tcW w:w="1276" w:type="dxa"/>
            <w:tcBorders>
              <w:top w:val="nil"/>
              <w:left w:val="nil"/>
              <w:bottom w:val="single" w:sz="4" w:space="0" w:color="auto"/>
              <w:right w:val="single" w:sz="4" w:space="0" w:color="auto"/>
            </w:tcBorders>
            <w:shd w:val="clear" w:color="auto" w:fill="auto"/>
            <w:vAlign w:val="center"/>
            <w:hideMark/>
          </w:tcPr>
          <w:p w14:paraId="4F87DB92"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75%</w:t>
            </w:r>
          </w:p>
        </w:tc>
      </w:tr>
      <w:tr w:rsidR="00C354CD" w:rsidRPr="00D62DD6" w14:paraId="03BA2187"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14C33B6" w14:textId="7777777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Murrumbidgee</w:t>
            </w:r>
          </w:p>
        </w:tc>
        <w:tc>
          <w:tcPr>
            <w:tcW w:w="1301" w:type="dxa"/>
            <w:tcBorders>
              <w:top w:val="nil"/>
              <w:left w:val="nil"/>
              <w:bottom w:val="single" w:sz="4" w:space="0" w:color="auto"/>
              <w:right w:val="single" w:sz="4" w:space="0" w:color="auto"/>
            </w:tcBorders>
            <w:shd w:val="clear" w:color="auto" w:fill="auto"/>
            <w:vAlign w:val="center"/>
            <w:hideMark/>
          </w:tcPr>
          <w:p w14:paraId="2368B605"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5,390</w:t>
            </w:r>
          </w:p>
        </w:tc>
        <w:tc>
          <w:tcPr>
            <w:tcW w:w="1134" w:type="dxa"/>
            <w:tcBorders>
              <w:top w:val="nil"/>
              <w:left w:val="nil"/>
              <w:bottom w:val="single" w:sz="4" w:space="0" w:color="auto"/>
              <w:right w:val="single" w:sz="4" w:space="0" w:color="auto"/>
            </w:tcBorders>
            <w:shd w:val="clear" w:color="auto" w:fill="auto"/>
            <w:vAlign w:val="center"/>
            <w:hideMark/>
          </w:tcPr>
          <w:p w14:paraId="031B9CAF"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7%</w:t>
            </w:r>
          </w:p>
        </w:tc>
        <w:tc>
          <w:tcPr>
            <w:tcW w:w="1417" w:type="dxa"/>
            <w:tcBorders>
              <w:top w:val="nil"/>
              <w:left w:val="nil"/>
              <w:bottom w:val="single" w:sz="4" w:space="0" w:color="auto"/>
              <w:right w:val="single" w:sz="4" w:space="0" w:color="auto"/>
            </w:tcBorders>
            <w:shd w:val="clear" w:color="auto" w:fill="auto"/>
            <w:vAlign w:val="center"/>
            <w:hideMark/>
          </w:tcPr>
          <w:p w14:paraId="5556A842"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9,120</w:t>
            </w:r>
          </w:p>
        </w:tc>
        <w:tc>
          <w:tcPr>
            <w:tcW w:w="1276" w:type="dxa"/>
            <w:tcBorders>
              <w:top w:val="nil"/>
              <w:left w:val="nil"/>
              <w:bottom w:val="single" w:sz="4" w:space="0" w:color="auto"/>
              <w:right w:val="single" w:sz="4" w:space="0" w:color="auto"/>
            </w:tcBorders>
            <w:shd w:val="clear" w:color="auto" w:fill="auto"/>
            <w:vAlign w:val="center"/>
            <w:hideMark/>
          </w:tcPr>
          <w:p w14:paraId="7881DF24"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12%</w:t>
            </w:r>
          </w:p>
        </w:tc>
        <w:tc>
          <w:tcPr>
            <w:tcW w:w="1417" w:type="dxa"/>
            <w:tcBorders>
              <w:top w:val="nil"/>
              <w:left w:val="nil"/>
              <w:bottom w:val="single" w:sz="4" w:space="0" w:color="auto"/>
              <w:right w:val="single" w:sz="4" w:space="0" w:color="auto"/>
            </w:tcBorders>
            <w:shd w:val="clear" w:color="auto" w:fill="auto"/>
            <w:vAlign w:val="center"/>
            <w:hideMark/>
          </w:tcPr>
          <w:p w14:paraId="295A5FE4"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60,940</w:t>
            </w:r>
          </w:p>
        </w:tc>
        <w:tc>
          <w:tcPr>
            <w:tcW w:w="1276" w:type="dxa"/>
            <w:tcBorders>
              <w:top w:val="nil"/>
              <w:left w:val="nil"/>
              <w:bottom w:val="single" w:sz="4" w:space="0" w:color="auto"/>
              <w:right w:val="single" w:sz="4" w:space="0" w:color="auto"/>
            </w:tcBorders>
            <w:shd w:val="clear" w:color="auto" w:fill="auto"/>
            <w:vAlign w:val="center"/>
            <w:hideMark/>
          </w:tcPr>
          <w:p w14:paraId="0B1D7264"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81%</w:t>
            </w:r>
          </w:p>
        </w:tc>
      </w:tr>
      <w:tr w:rsidR="00C354CD" w:rsidRPr="00D62DD6" w14:paraId="03D94429"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6A4D831" w14:textId="7777777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Loddon</w:t>
            </w:r>
          </w:p>
        </w:tc>
        <w:tc>
          <w:tcPr>
            <w:tcW w:w="1301" w:type="dxa"/>
            <w:tcBorders>
              <w:top w:val="nil"/>
              <w:left w:val="nil"/>
              <w:bottom w:val="single" w:sz="4" w:space="0" w:color="auto"/>
              <w:right w:val="single" w:sz="4" w:space="0" w:color="auto"/>
            </w:tcBorders>
            <w:shd w:val="clear" w:color="auto" w:fill="auto"/>
            <w:vAlign w:val="center"/>
            <w:hideMark/>
          </w:tcPr>
          <w:p w14:paraId="4D06805B"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250</w:t>
            </w:r>
          </w:p>
        </w:tc>
        <w:tc>
          <w:tcPr>
            <w:tcW w:w="1134" w:type="dxa"/>
            <w:tcBorders>
              <w:top w:val="nil"/>
              <w:left w:val="nil"/>
              <w:bottom w:val="single" w:sz="4" w:space="0" w:color="auto"/>
              <w:right w:val="single" w:sz="4" w:space="0" w:color="auto"/>
            </w:tcBorders>
            <w:shd w:val="clear" w:color="auto" w:fill="auto"/>
            <w:vAlign w:val="center"/>
            <w:hideMark/>
          </w:tcPr>
          <w:p w14:paraId="0D76F183"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4%</w:t>
            </w:r>
          </w:p>
        </w:tc>
        <w:tc>
          <w:tcPr>
            <w:tcW w:w="1417" w:type="dxa"/>
            <w:tcBorders>
              <w:top w:val="nil"/>
              <w:left w:val="nil"/>
              <w:bottom w:val="single" w:sz="4" w:space="0" w:color="auto"/>
              <w:right w:val="single" w:sz="4" w:space="0" w:color="auto"/>
            </w:tcBorders>
            <w:shd w:val="clear" w:color="auto" w:fill="auto"/>
            <w:vAlign w:val="center"/>
            <w:hideMark/>
          </w:tcPr>
          <w:p w14:paraId="271BE8E3"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110</w:t>
            </w:r>
          </w:p>
        </w:tc>
        <w:tc>
          <w:tcPr>
            <w:tcW w:w="1276" w:type="dxa"/>
            <w:tcBorders>
              <w:top w:val="nil"/>
              <w:left w:val="nil"/>
              <w:bottom w:val="single" w:sz="4" w:space="0" w:color="auto"/>
              <w:right w:val="single" w:sz="4" w:space="0" w:color="auto"/>
            </w:tcBorders>
            <w:shd w:val="clear" w:color="auto" w:fill="auto"/>
            <w:vAlign w:val="center"/>
            <w:hideMark/>
          </w:tcPr>
          <w:p w14:paraId="74C20C13"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2%</w:t>
            </w:r>
          </w:p>
        </w:tc>
        <w:tc>
          <w:tcPr>
            <w:tcW w:w="1417" w:type="dxa"/>
            <w:tcBorders>
              <w:top w:val="nil"/>
              <w:left w:val="nil"/>
              <w:bottom w:val="single" w:sz="4" w:space="0" w:color="auto"/>
              <w:right w:val="single" w:sz="4" w:space="0" w:color="auto"/>
            </w:tcBorders>
            <w:shd w:val="clear" w:color="auto" w:fill="auto"/>
            <w:vAlign w:val="center"/>
            <w:hideMark/>
          </w:tcPr>
          <w:p w14:paraId="53563D45"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5,320</w:t>
            </w:r>
          </w:p>
        </w:tc>
        <w:tc>
          <w:tcPr>
            <w:tcW w:w="1276" w:type="dxa"/>
            <w:tcBorders>
              <w:top w:val="nil"/>
              <w:left w:val="nil"/>
              <w:bottom w:val="single" w:sz="4" w:space="0" w:color="auto"/>
              <w:right w:val="single" w:sz="4" w:space="0" w:color="auto"/>
            </w:tcBorders>
            <w:shd w:val="clear" w:color="auto" w:fill="auto"/>
            <w:vAlign w:val="center"/>
            <w:hideMark/>
          </w:tcPr>
          <w:p w14:paraId="2E797063"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94%</w:t>
            </w:r>
          </w:p>
        </w:tc>
      </w:tr>
      <w:tr w:rsidR="00C354CD" w:rsidRPr="00D62DD6" w14:paraId="654C9994"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118833B" w14:textId="7777777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Lower Darling</w:t>
            </w:r>
          </w:p>
        </w:tc>
        <w:tc>
          <w:tcPr>
            <w:tcW w:w="1301" w:type="dxa"/>
            <w:tcBorders>
              <w:top w:val="nil"/>
              <w:left w:val="nil"/>
              <w:bottom w:val="single" w:sz="4" w:space="0" w:color="auto"/>
              <w:right w:val="single" w:sz="4" w:space="0" w:color="auto"/>
            </w:tcBorders>
            <w:shd w:val="clear" w:color="auto" w:fill="auto"/>
            <w:vAlign w:val="center"/>
            <w:hideMark/>
          </w:tcPr>
          <w:p w14:paraId="646F39F6"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14,650</w:t>
            </w:r>
          </w:p>
        </w:tc>
        <w:tc>
          <w:tcPr>
            <w:tcW w:w="1134" w:type="dxa"/>
            <w:tcBorders>
              <w:top w:val="nil"/>
              <w:left w:val="nil"/>
              <w:bottom w:val="single" w:sz="4" w:space="0" w:color="auto"/>
              <w:right w:val="single" w:sz="4" w:space="0" w:color="auto"/>
            </w:tcBorders>
            <w:shd w:val="clear" w:color="auto" w:fill="auto"/>
            <w:vAlign w:val="center"/>
            <w:hideMark/>
          </w:tcPr>
          <w:p w14:paraId="1A0F6FCE"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7%</w:t>
            </w:r>
          </w:p>
        </w:tc>
        <w:tc>
          <w:tcPr>
            <w:tcW w:w="1417" w:type="dxa"/>
            <w:tcBorders>
              <w:top w:val="nil"/>
              <w:left w:val="nil"/>
              <w:bottom w:val="single" w:sz="4" w:space="0" w:color="auto"/>
              <w:right w:val="single" w:sz="4" w:space="0" w:color="auto"/>
            </w:tcBorders>
            <w:shd w:val="clear" w:color="auto" w:fill="auto"/>
            <w:vAlign w:val="center"/>
            <w:hideMark/>
          </w:tcPr>
          <w:p w14:paraId="5D40F8B7"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14,680</w:t>
            </w:r>
          </w:p>
        </w:tc>
        <w:tc>
          <w:tcPr>
            <w:tcW w:w="1276" w:type="dxa"/>
            <w:tcBorders>
              <w:top w:val="nil"/>
              <w:left w:val="nil"/>
              <w:bottom w:val="single" w:sz="4" w:space="0" w:color="auto"/>
              <w:right w:val="single" w:sz="4" w:space="0" w:color="auto"/>
            </w:tcBorders>
            <w:shd w:val="clear" w:color="auto" w:fill="auto"/>
            <w:vAlign w:val="center"/>
            <w:hideMark/>
          </w:tcPr>
          <w:p w14:paraId="20927E3E"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7%</w:t>
            </w:r>
          </w:p>
        </w:tc>
        <w:tc>
          <w:tcPr>
            <w:tcW w:w="1417" w:type="dxa"/>
            <w:tcBorders>
              <w:top w:val="nil"/>
              <w:left w:val="nil"/>
              <w:bottom w:val="single" w:sz="4" w:space="0" w:color="auto"/>
              <w:right w:val="single" w:sz="4" w:space="0" w:color="auto"/>
            </w:tcBorders>
            <w:shd w:val="clear" w:color="auto" w:fill="auto"/>
            <w:vAlign w:val="center"/>
            <w:hideMark/>
          </w:tcPr>
          <w:p w14:paraId="2F01CA5F"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180,990</w:t>
            </w:r>
          </w:p>
        </w:tc>
        <w:tc>
          <w:tcPr>
            <w:tcW w:w="1276" w:type="dxa"/>
            <w:tcBorders>
              <w:top w:val="nil"/>
              <w:left w:val="nil"/>
              <w:bottom w:val="single" w:sz="4" w:space="0" w:color="auto"/>
              <w:right w:val="single" w:sz="4" w:space="0" w:color="auto"/>
            </w:tcBorders>
            <w:shd w:val="clear" w:color="auto" w:fill="auto"/>
            <w:vAlign w:val="center"/>
            <w:hideMark/>
          </w:tcPr>
          <w:p w14:paraId="72BD5AAD"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86%</w:t>
            </w:r>
          </w:p>
        </w:tc>
      </w:tr>
      <w:tr w:rsidR="00C354CD" w:rsidRPr="00D62DD6" w14:paraId="4B949634"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6ACB0FC" w14:textId="7777777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Gwydir</w:t>
            </w:r>
          </w:p>
        </w:tc>
        <w:tc>
          <w:tcPr>
            <w:tcW w:w="1301" w:type="dxa"/>
            <w:tcBorders>
              <w:top w:val="nil"/>
              <w:left w:val="nil"/>
              <w:bottom w:val="single" w:sz="4" w:space="0" w:color="auto"/>
              <w:right w:val="single" w:sz="4" w:space="0" w:color="auto"/>
            </w:tcBorders>
            <w:shd w:val="clear" w:color="auto" w:fill="auto"/>
            <w:vAlign w:val="center"/>
            <w:hideMark/>
          </w:tcPr>
          <w:p w14:paraId="6A0E94CD"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970</w:t>
            </w:r>
          </w:p>
        </w:tc>
        <w:tc>
          <w:tcPr>
            <w:tcW w:w="1134" w:type="dxa"/>
            <w:tcBorders>
              <w:top w:val="nil"/>
              <w:left w:val="nil"/>
              <w:bottom w:val="single" w:sz="4" w:space="0" w:color="auto"/>
              <w:right w:val="single" w:sz="4" w:space="0" w:color="auto"/>
            </w:tcBorders>
            <w:shd w:val="clear" w:color="auto" w:fill="auto"/>
            <w:vAlign w:val="center"/>
            <w:hideMark/>
          </w:tcPr>
          <w:p w14:paraId="4C6F73D5"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10%</w:t>
            </w:r>
          </w:p>
        </w:tc>
        <w:tc>
          <w:tcPr>
            <w:tcW w:w="1417" w:type="dxa"/>
            <w:tcBorders>
              <w:top w:val="nil"/>
              <w:left w:val="nil"/>
              <w:bottom w:val="single" w:sz="4" w:space="0" w:color="auto"/>
              <w:right w:val="single" w:sz="4" w:space="0" w:color="auto"/>
            </w:tcBorders>
            <w:shd w:val="clear" w:color="auto" w:fill="auto"/>
            <w:vAlign w:val="center"/>
            <w:hideMark/>
          </w:tcPr>
          <w:p w14:paraId="6ABB99C7"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490</w:t>
            </w:r>
          </w:p>
        </w:tc>
        <w:tc>
          <w:tcPr>
            <w:tcW w:w="1276" w:type="dxa"/>
            <w:tcBorders>
              <w:top w:val="nil"/>
              <w:left w:val="nil"/>
              <w:bottom w:val="single" w:sz="4" w:space="0" w:color="auto"/>
              <w:right w:val="single" w:sz="4" w:space="0" w:color="auto"/>
            </w:tcBorders>
            <w:shd w:val="clear" w:color="auto" w:fill="auto"/>
            <w:vAlign w:val="center"/>
            <w:hideMark/>
          </w:tcPr>
          <w:p w14:paraId="3A075A9C"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5%</w:t>
            </w:r>
          </w:p>
        </w:tc>
        <w:tc>
          <w:tcPr>
            <w:tcW w:w="1417" w:type="dxa"/>
            <w:tcBorders>
              <w:top w:val="nil"/>
              <w:left w:val="nil"/>
              <w:bottom w:val="single" w:sz="4" w:space="0" w:color="auto"/>
              <w:right w:val="single" w:sz="4" w:space="0" w:color="auto"/>
            </w:tcBorders>
            <w:shd w:val="clear" w:color="auto" w:fill="auto"/>
            <w:vAlign w:val="center"/>
            <w:hideMark/>
          </w:tcPr>
          <w:p w14:paraId="472BDB0D"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8,360</w:t>
            </w:r>
          </w:p>
        </w:tc>
        <w:tc>
          <w:tcPr>
            <w:tcW w:w="1276" w:type="dxa"/>
            <w:tcBorders>
              <w:top w:val="nil"/>
              <w:left w:val="nil"/>
              <w:bottom w:val="single" w:sz="4" w:space="0" w:color="auto"/>
              <w:right w:val="single" w:sz="4" w:space="0" w:color="auto"/>
            </w:tcBorders>
            <w:shd w:val="clear" w:color="auto" w:fill="auto"/>
            <w:vAlign w:val="center"/>
            <w:hideMark/>
          </w:tcPr>
          <w:p w14:paraId="787F6D64"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85%</w:t>
            </w:r>
          </w:p>
        </w:tc>
      </w:tr>
      <w:tr w:rsidR="00C354CD" w:rsidRPr="00D62DD6" w14:paraId="2AD47A82"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E5332EB" w14:textId="7777777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Border Rivers</w:t>
            </w:r>
          </w:p>
        </w:tc>
        <w:tc>
          <w:tcPr>
            <w:tcW w:w="1301" w:type="dxa"/>
            <w:tcBorders>
              <w:top w:val="nil"/>
              <w:left w:val="nil"/>
              <w:bottom w:val="single" w:sz="4" w:space="0" w:color="auto"/>
              <w:right w:val="single" w:sz="4" w:space="0" w:color="auto"/>
            </w:tcBorders>
            <w:shd w:val="clear" w:color="auto" w:fill="auto"/>
            <w:vAlign w:val="center"/>
            <w:hideMark/>
          </w:tcPr>
          <w:p w14:paraId="78D515AB"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2,140</w:t>
            </w:r>
          </w:p>
        </w:tc>
        <w:tc>
          <w:tcPr>
            <w:tcW w:w="1134" w:type="dxa"/>
            <w:tcBorders>
              <w:top w:val="nil"/>
              <w:left w:val="nil"/>
              <w:bottom w:val="single" w:sz="4" w:space="0" w:color="auto"/>
              <w:right w:val="single" w:sz="4" w:space="0" w:color="auto"/>
            </w:tcBorders>
            <w:shd w:val="clear" w:color="auto" w:fill="auto"/>
            <w:vAlign w:val="center"/>
            <w:hideMark/>
          </w:tcPr>
          <w:p w14:paraId="21AD3915"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19%</w:t>
            </w:r>
          </w:p>
        </w:tc>
        <w:tc>
          <w:tcPr>
            <w:tcW w:w="1417" w:type="dxa"/>
            <w:tcBorders>
              <w:top w:val="nil"/>
              <w:left w:val="nil"/>
              <w:bottom w:val="single" w:sz="4" w:space="0" w:color="auto"/>
              <w:right w:val="single" w:sz="4" w:space="0" w:color="auto"/>
            </w:tcBorders>
            <w:shd w:val="clear" w:color="auto" w:fill="auto"/>
            <w:vAlign w:val="center"/>
            <w:hideMark/>
          </w:tcPr>
          <w:p w14:paraId="0D73AD21"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1,340</w:t>
            </w:r>
          </w:p>
        </w:tc>
        <w:tc>
          <w:tcPr>
            <w:tcW w:w="1276" w:type="dxa"/>
            <w:tcBorders>
              <w:top w:val="nil"/>
              <w:left w:val="nil"/>
              <w:bottom w:val="single" w:sz="4" w:space="0" w:color="auto"/>
              <w:right w:val="single" w:sz="4" w:space="0" w:color="auto"/>
            </w:tcBorders>
            <w:shd w:val="clear" w:color="auto" w:fill="auto"/>
            <w:vAlign w:val="center"/>
            <w:hideMark/>
          </w:tcPr>
          <w:p w14:paraId="29C57DF1"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12%</w:t>
            </w:r>
          </w:p>
        </w:tc>
        <w:tc>
          <w:tcPr>
            <w:tcW w:w="1417" w:type="dxa"/>
            <w:tcBorders>
              <w:top w:val="nil"/>
              <w:left w:val="nil"/>
              <w:bottom w:val="single" w:sz="4" w:space="0" w:color="auto"/>
              <w:right w:val="single" w:sz="4" w:space="0" w:color="auto"/>
            </w:tcBorders>
            <w:shd w:val="clear" w:color="auto" w:fill="auto"/>
            <w:vAlign w:val="center"/>
            <w:hideMark/>
          </w:tcPr>
          <w:p w14:paraId="187D4DCF"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7,830</w:t>
            </w:r>
          </w:p>
        </w:tc>
        <w:tc>
          <w:tcPr>
            <w:tcW w:w="1276" w:type="dxa"/>
            <w:tcBorders>
              <w:top w:val="nil"/>
              <w:left w:val="nil"/>
              <w:bottom w:val="single" w:sz="4" w:space="0" w:color="auto"/>
              <w:right w:val="single" w:sz="4" w:space="0" w:color="auto"/>
            </w:tcBorders>
            <w:shd w:val="clear" w:color="auto" w:fill="auto"/>
            <w:vAlign w:val="center"/>
            <w:hideMark/>
          </w:tcPr>
          <w:p w14:paraId="1A1ECE13"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69%</w:t>
            </w:r>
          </w:p>
        </w:tc>
      </w:tr>
      <w:tr w:rsidR="00C354CD" w:rsidRPr="00D62DD6" w14:paraId="28308655"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346C8B45" w14:textId="41A351F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Nam</w:t>
            </w:r>
            <w:r w:rsidR="005C4005">
              <w:rPr>
                <w:rFonts w:eastAsia="Times New Roman" w:cs="Arial"/>
                <w:szCs w:val="20"/>
                <w:lang w:eastAsia="en-AU"/>
              </w:rPr>
              <w:t>o</w:t>
            </w:r>
            <w:r w:rsidRPr="00D62DD6">
              <w:rPr>
                <w:rFonts w:eastAsia="Times New Roman" w:cs="Arial"/>
                <w:szCs w:val="20"/>
                <w:lang w:eastAsia="en-AU"/>
              </w:rPr>
              <w:t>i</w:t>
            </w:r>
          </w:p>
        </w:tc>
        <w:tc>
          <w:tcPr>
            <w:tcW w:w="1301" w:type="dxa"/>
            <w:tcBorders>
              <w:top w:val="nil"/>
              <w:left w:val="nil"/>
              <w:bottom w:val="single" w:sz="4" w:space="0" w:color="auto"/>
              <w:right w:val="single" w:sz="4" w:space="0" w:color="auto"/>
            </w:tcBorders>
            <w:shd w:val="clear" w:color="auto" w:fill="auto"/>
            <w:vAlign w:val="center"/>
            <w:hideMark/>
          </w:tcPr>
          <w:p w14:paraId="432798D4"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1,020</w:t>
            </w:r>
          </w:p>
        </w:tc>
        <w:tc>
          <w:tcPr>
            <w:tcW w:w="1134" w:type="dxa"/>
            <w:tcBorders>
              <w:top w:val="nil"/>
              <w:left w:val="nil"/>
              <w:bottom w:val="single" w:sz="4" w:space="0" w:color="auto"/>
              <w:right w:val="single" w:sz="4" w:space="0" w:color="auto"/>
            </w:tcBorders>
            <w:shd w:val="clear" w:color="auto" w:fill="auto"/>
            <w:vAlign w:val="center"/>
            <w:hideMark/>
          </w:tcPr>
          <w:p w14:paraId="611ED0C9"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9%</w:t>
            </w:r>
          </w:p>
        </w:tc>
        <w:tc>
          <w:tcPr>
            <w:tcW w:w="1417" w:type="dxa"/>
            <w:tcBorders>
              <w:top w:val="nil"/>
              <w:left w:val="nil"/>
              <w:bottom w:val="single" w:sz="4" w:space="0" w:color="auto"/>
              <w:right w:val="single" w:sz="4" w:space="0" w:color="auto"/>
            </w:tcBorders>
            <w:shd w:val="clear" w:color="auto" w:fill="auto"/>
            <w:vAlign w:val="center"/>
            <w:hideMark/>
          </w:tcPr>
          <w:p w14:paraId="763C8BB4"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2,420</w:t>
            </w:r>
          </w:p>
        </w:tc>
        <w:tc>
          <w:tcPr>
            <w:tcW w:w="1276" w:type="dxa"/>
            <w:tcBorders>
              <w:top w:val="nil"/>
              <w:left w:val="nil"/>
              <w:bottom w:val="single" w:sz="4" w:space="0" w:color="auto"/>
              <w:right w:val="single" w:sz="4" w:space="0" w:color="auto"/>
            </w:tcBorders>
            <w:shd w:val="clear" w:color="auto" w:fill="auto"/>
            <w:vAlign w:val="center"/>
            <w:hideMark/>
          </w:tcPr>
          <w:p w14:paraId="0BC86CAF"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21%</w:t>
            </w:r>
          </w:p>
        </w:tc>
        <w:tc>
          <w:tcPr>
            <w:tcW w:w="1417" w:type="dxa"/>
            <w:tcBorders>
              <w:top w:val="nil"/>
              <w:left w:val="nil"/>
              <w:bottom w:val="single" w:sz="4" w:space="0" w:color="auto"/>
              <w:right w:val="single" w:sz="4" w:space="0" w:color="auto"/>
            </w:tcBorders>
            <w:shd w:val="clear" w:color="auto" w:fill="auto"/>
            <w:vAlign w:val="center"/>
            <w:hideMark/>
          </w:tcPr>
          <w:p w14:paraId="22FE2575"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8,140</w:t>
            </w:r>
          </w:p>
        </w:tc>
        <w:tc>
          <w:tcPr>
            <w:tcW w:w="1276" w:type="dxa"/>
            <w:tcBorders>
              <w:top w:val="nil"/>
              <w:left w:val="nil"/>
              <w:bottom w:val="single" w:sz="4" w:space="0" w:color="auto"/>
              <w:right w:val="single" w:sz="4" w:space="0" w:color="auto"/>
            </w:tcBorders>
            <w:shd w:val="clear" w:color="auto" w:fill="auto"/>
            <w:vAlign w:val="center"/>
            <w:hideMark/>
          </w:tcPr>
          <w:p w14:paraId="0AEFAF9B"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70%</w:t>
            </w:r>
          </w:p>
        </w:tc>
      </w:tr>
      <w:tr w:rsidR="00C354CD" w:rsidRPr="00D62DD6" w14:paraId="48F0C7E0"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689E271E" w14:textId="7777777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Murray</w:t>
            </w:r>
          </w:p>
        </w:tc>
        <w:tc>
          <w:tcPr>
            <w:tcW w:w="1301" w:type="dxa"/>
            <w:tcBorders>
              <w:top w:val="nil"/>
              <w:left w:val="nil"/>
              <w:bottom w:val="single" w:sz="4" w:space="0" w:color="auto"/>
              <w:right w:val="single" w:sz="4" w:space="0" w:color="auto"/>
            </w:tcBorders>
            <w:shd w:val="clear" w:color="auto" w:fill="auto"/>
            <w:vAlign w:val="center"/>
            <w:hideMark/>
          </w:tcPr>
          <w:p w14:paraId="164FAB9A"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38,610</w:t>
            </w:r>
          </w:p>
        </w:tc>
        <w:tc>
          <w:tcPr>
            <w:tcW w:w="1134" w:type="dxa"/>
            <w:tcBorders>
              <w:top w:val="nil"/>
              <w:left w:val="nil"/>
              <w:bottom w:val="single" w:sz="4" w:space="0" w:color="auto"/>
              <w:right w:val="single" w:sz="4" w:space="0" w:color="auto"/>
            </w:tcBorders>
            <w:shd w:val="clear" w:color="auto" w:fill="auto"/>
            <w:vAlign w:val="center"/>
            <w:hideMark/>
          </w:tcPr>
          <w:p w14:paraId="0976F689"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17%</w:t>
            </w:r>
          </w:p>
        </w:tc>
        <w:tc>
          <w:tcPr>
            <w:tcW w:w="1417" w:type="dxa"/>
            <w:tcBorders>
              <w:top w:val="nil"/>
              <w:left w:val="nil"/>
              <w:bottom w:val="single" w:sz="4" w:space="0" w:color="auto"/>
              <w:right w:val="single" w:sz="4" w:space="0" w:color="auto"/>
            </w:tcBorders>
            <w:shd w:val="clear" w:color="auto" w:fill="auto"/>
            <w:vAlign w:val="center"/>
            <w:hideMark/>
          </w:tcPr>
          <w:p w14:paraId="33DC931A"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43,190</w:t>
            </w:r>
          </w:p>
        </w:tc>
        <w:tc>
          <w:tcPr>
            <w:tcW w:w="1276" w:type="dxa"/>
            <w:tcBorders>
              <w:top w:val="nil"/>
              <w:left w:val="nil"/>
              <w:bottom w:val="single" w:sz="4" w:space="0" w:color="auto"/>
              <w:right w:val="single" w:sz="4" w:space="0" w:color="auto"/>
            </w:tcBorders>
            <w:shd w:val="clear" w:color="auto" w:fill="auto"/>
            <w:vAlign w:val="center"/>
            <w:hideMark/>
          </w:tcPr>
          <w:p w14:paraId="3004222A"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19%</w:t>
            </w:r>
          </w:p>
        </w:tc>
        <w:tc>
          <w:tcPr>
            <w:tcW w:w="1417" w:type="dxa"/>
            <w:tcBorders>
              <w:top w:val="nil"/>
              <w:left w:val="nil"/>
              <w:bottom w:val="single" w:sz="4" w:space="0" w:color="auto"/>
              <w:right w:val="single" w:sz="4" w:space="0" w:color="auto"/>
            </w:tcBorders>
            <w:shd w:val="clear" w:color="auto" w:fill="auto"/>
            <w:vAlign w:val="center"/>
            <w:hideMark/>
          </w:tcPr>
          <w:p w14:paraId="299F774E"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150,170</w:t>
            </w:r>
          </w:p>
        </w:tc>
        <w:tc>
          <w:tcPr>
            <w:tcW w:w="1276" w:type="dxa"/>
            <w:tcBorders>
              <w:top w:val="nil"/>
              <w:left w:val="nil"/>
              <w:bottom w:val="single" w:sz="4" w:space="0" w:color="auto"/>
              <w:right w:val="single" w:sz="4" w:space="0" w:color="auto"/>
            </w:tcBorders>
            <w:shd w:val="clear" w:color="auto" w:fill="auto"/>
            <w:vAlign w:val="center"/>
            <w:hideMark/>
          </w:tcPr>
          <w:p w14:paraId="65B0C134"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65%</w:t>
            </w:r>
          </w:p>
        </w:tc>
      </w:tr>
      <w:tr w:rsidR="00C354CD" w:rsidRPr="00D62DD6" w14:paraId="3DAEFE9A"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5830AA00" w14:textId="7777777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Condamine-Balonne</w:t>
            </w:r>
          </w:p>
        </w:tc>
        <w:tc>
          <w:tcPr>
            <w:tcW w:w="1301" w:type="dxa"/>
            <w:tcBorders>
              <w:top w:val="nil"/>
              <w:left w:val="nil"/>
              <w:bottom w:val="single" w:sz="4" w:space="0" w:color="auto"/>
              <w:right w:val="single" w:sz="4" w:space="0" w:color="auto"/>
            </w:tcBorders>
            <w:shd w:val="clear" w:color="auto" w:fill="auto"/>
            <w:vAlign w:val="center"/>
            <w:hideMark/>
          </w:tcPr>
          <w:p w14:paraId="5DF6A2BB"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76,430</w:t>
            </w:r>
          </w:p>
        </w:tc>
        <w:tc>
          <w:tcPr>
            <w:tcW w:w="1134" w:type="dxa"/>
            <w:tcBorders>
              <w:top w:val="nil"/>
              <w:left w:val="nil"/>
              <w:bottom w:val="single" w:sz="4" w:space="0" w:color="auto"/>
              <w:right w:val="single" w:sz="4" w:space="0" w:color="auto"/>
            </w:tcBorders>
            <w:shd w:val="clear" w:color="auto" w:fill="auto"/>
            <w:vAlign w:val="center"/>
            <w:hideMark/>
          </w:tcPr>
          <w:p w14:paraId="59CDCCE1"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28%</w:t>
            </w:r>
          </w:p>
        </w:tc>
        <w:tc>
          <w:tcPr>
            <w:tcW w:w="1417" w:type="dxa"/>
            <w:tcBorders>
              <w:top w:val="nil"/>
              <w:left w:val="nil"/>
              <w:bottom w:val="single" w:sz="4" w:space="0" w:color="auto"/>
              <w:right w:val="single" w:sz="4" w:space="0" w:color="auto"/>
            </w:tcBorders>
            <w:shd w:val="clear" w:color="auto" w:fill="auto"/>
            <w:vAlign w:val="center"/>
            <w:hideMark/>
          </w:tcPr>
          <w:p w14:paraId="4739B1A0"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51,480</w:t>
            </w:r>
          </w:p>
        </w:tc>
        <w:tc>
          <w:tcPr>
            <w:tcW w:w="1276" w:type="dxa"/>
            <w:tcBorders>
              <w:top w:val="nil"/>
              <w:left w:val="nil"/>
              <w:bottom w:val="single" w:sz="4" w:space="0" w:color="auto"/>
              <w:right w:val="single" w:sz="4" w:space="0" w:color="auto"/>
            </w:tcBorders>
            <w:shd w:val="clear" w:color="auto" w:fill="auto"/>
            <w:vAlign w:val="center"/>
            <w:hideMark/>
          </w:tcPr>
          <w:p w14:paraId="0B601175"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19%</w:t>
            </w:r>
          </w:p>
        </w:tc>
        <w:tc>
          <w:tcPr>
            <w:tcW w:w="1417" w:type="dxa"/>
            <w:tcBorders>
              <w:top w:val="nil"/>
              <w:left w:val="nil"/>
              <w:bottom w:val="single" w:sz="4" w:space="0" w:color="auto"/>
              <w:right w:val="single" w:sz="4" w:space="0" w:color="auto"/>
            </w:tcBorders>
            <w:shd w:val="clear" w:color="auto" w:fill="auto"/>
            <w:vAlign w:val="center"/>
            <w:hideMark/>
          </w:tcPr>
          <w:p w14:paraId="7F8A702B"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145,900</w:t>
            </w:r>
          </w:p>
        </w:tc>
        <w:tc>
          <w:tcPr>
            <w:tcW w:w="1276" w:type="dxa"/>
            <w:tcBorders>
              <w:top w:val="nil"/>
              <w:left w:val="nil"/>
              <w:bottom w:val="single" w:sz="4" w:space="0" w:color="auto"/>
              <w:right w:val="single" w:sz="4" w:space="0" w:color="auto"/>
            </w:tcBorders>
            <w:shd w:val="clear" w:color="auto" w:fill="auto"/>
            <w:vAlign w:val="center"/>
            <w:hideMark/>
          </w:tcPr>
          <w:p w14:paraId="7CFE2A70"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53%</w:t>
            </w:r>
          </w:p>
        </w:tc>
      </w:tr>
      <w:tr w:rsidR="00C354CD" w:rsidRPr="00D62DD6" w14:paraId="168ED114"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7D6A33C8" w14:textId="7777777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Paroo</w:t>
            </w:r>
          </w:p>
        </w:tc>
        <w:tc>
          <w:tcPr>
            <w:tcW w:w="1301" w:type="dxa"/>
            <w:tcBorders>
              <w:top w:val="nil"/>
              <w:left w:val="nil"/>
              <w:bottom w:val="single" w:sz="4" w:space="0" w:color="auto"/>
              <w:right w:val="single" w:sz="4" w:space="0" w:color="auto"/>
            </w:tcBorders>
            <w:shd w:val="clear" w:color="auto" w:fill="auto"/>
            <w:vAlign w:val="center"/>
            <w:hideMark/>
          </w:tcPr>
          <w:p w14:paraId="6E5177B0"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17,000</w:t>
            </w:r>
          </w:p>
        </w:tc>
        <w:tc>
          <w:tcPr>
            <w:tcW w:w="1134" w:type="dxa"/>
            <w:tcBorders>
              <w:top w:val="nil"/>
              <w:left w:val="nil"/>
              <w:bottom w:val="single" w:sz="4" w:space="0" w:color="auto"/>
              <w:right w:val="single" w:sz="4" w:space="0" w:color="auto"/>
            </w:tcBorders>
            <w:shd w:val="clear" w:color="auto" w:fill="auto"/>
            <w:vAlign w:val="center"/>
            <w:hideMark/>
          </w:tcPr>
          <w:p w14:paraId="46699AD7"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36%</w:t>
            </w:r>
          </w:p>
        </w:tc>
        <w:tc>
          <w:tcPr>
            <w:tcW w:w="1417" w:type="dxa"/>
            <w:tcBorders>
              <w:top w:val="nil"/>
              <w:left w:val="nil"/>
              <w:bottom w:val="single" w:sz="4" w:space="0" w:color="auto"/>
              <w:right w:val="single" w:sz="4" w:space="0" w:color="auto"/>
            </w:tcBorders>
            <w:shd w:val="clear" w:color="auto" w:fill="auto"/>
            <w:vAlign w:val="center"/>
            <w:hideMark/>
          </w:tcPr>
          <w:p w14:paraId="5C660657"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17,670</w:t>
            </w:r>
          </w:p>
        </w:tc>
        <w:tc>
          <w:tcPr>
            <w:tcW w:w="1276" w:type="dxa"/>
            <w:tcBorders>
              <w:top w:val="nil"/>
              <w:left w:val="nil"/>
              <w:bottom w:val="single" w:sz="4" w:space="0" w:color="auto"/>
              <w:right w:val="single" w:sz="4" w:space="0" w:color="auto"/>
            </w:tcBorders>
            <w:shd w:val="clear" w:color="auto" w:fill="auto"/>
            <w:vAlign w:val="center"/>
            <w:hideMark/>
          </w:tcPr>
          <w:p w14:paraId="510E2872"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37%</w:t>
            </w:r>
          </w:p>
        </w:tc>
        <w:tc>
          <w:tcPr>
            <w:tcW w:w="1417" w:type="dxa"/>
            <w:tcBorders>
              <w:top w:val="nil"/>
              <w:left w:val="nil"/>
              <w:bottom w:val="single" w:sz="4" w:space="0" w:color="auto"/>
              <w:right w:val="single" w:sz="4" w:space="0" w:color="auto"/>
            </w:tcBorders>
            <w:shd w:val="clear" w:color="auto" w:fill="auto"/>
            <w:vAlign w:val="center"/>
            <w:hideMark/>
          </w:tcPr>
          <w:p w14:paraId="27328C62"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12,750</w:t>
            </w:r>
          </w:p>
        </w:tc>
        <w:tc>
          <w:tcPr>
            <w:tcW w:w="1276" w:type="dxa"/>
            <w:tcBorders>
              <w:top w:val="nil"/>
              <w:left w:val="nil"/>
              <w:bottom w:val="single" w:sz="4" w:space="0" w:color="auto"/>
              <w:right w:val="single" w:sz="4" w:space="0" w:color="auto"/>
            </w:tcBorders>
            <w:shd w:val="clear" w:color="auto" w:fill="auto"/>
            <w:vAlign w:val="center"/>
            <w:hideMark/>
          </w:tcPr>
          <w:p w14:paraId="594065D0"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27%</w:t>
            </w:r>
          </w:p>
        </w:tc>
      </w:tr>
      <w:tr w:rsidR="00C354CD" w:rsidRPr="00D62DD6" w14:paraId="14173623"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7FF7B10C" w14:textId="7777777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Warrego</w:t>
            </w:r>
          </w:p>
        </w:tc>
        <w:tc>
          <w:tcPr>
            <w:tcW w:w="1301" w:type="dxa"/>
            <w:tcBorders>
              <w:top w:val="nil"/>
              <w:left w:val="nil"/>
              <w:bottom w:val="single" w:sz="4" w:space="0" w:color="auto"/>
              <w:right w:val="single" w:sz="4" w:space="0" w:color="auto"/>
            </w:tcBorders>
            <w:shd w:val="clear" w:color="auto" w:fill="auto"/>
            <w:vAlign w:val="center"/>
            <w:hideMark/>
          </w:tcPr>
          <w:p w14:paraId="5C500FD2"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10,420</w:t>
            </w:r>
          </w:p>
        </w:tc>
        <w:tc>
          <w:tcPr>
            <w:tcW w:w="1134" w:type="dxa"/>
            <w:tcBorders>
              <w:top w:val="nil"/>
              <w:left w:val="nil"/>
              <w:bottom w:val="single" w:sz="4" w:space="0" w:color="auto"/>
              <w:right w:val="single" w:sz="4" w:space="0" w:color="auto"/>
            </w:tcBorders>
            <w:shd w:val="clear" w:color="auto" w:fill="auto"/>
            <w:vAlign w:val="center"/>
            <w:hideMark/>
          </w:tcPr>
          <w:p w14:paraId="067BCBE0"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6%</w:t>
            </w:r>
          </w:p>
        </w:tc>
        <w:tc>
          <w:tcPr>
            <w:tcW w:w="1417" w:type="dxa"/>
            <w:tcBorders>
              <w:top w:val="nil"/>
              <w:left w:val="nil"/>
              <w:bottom w:val="single" w:sz="4" w:space="0" w:color="auto"/>
              <w:right w:val="single" w:sz="4" w:space="0" w:color="auto"/>
            </w:tcBorders>
            <w:shd w:val="clear" w:color="auto" w:fill="auto"/>
            <w:vAlign w:val="center"/>
            <w:hideMark/>
          </w:tcPr>
          <w:p w14:paraId="56490905"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26,590</w:t>
            </w:r>
          </w:p>
        </w:tc>
        <w:tc>
          <w:tcPr>
            <w:tcW w:w="1276" w:type="dxa"/>
            <w:tcBorders>
              <w:top w:val="nil"/>
              <w:left w:val="nil"/>
              <w:bottom w:val="single" w:sz="4" w:space="0" w:color="auto"/>
              <w:right w:val="single" w:sz="4" w:space="0" w:color="auto"/>
            </w:tcBorders>
            <w:shd w:val="clear" w:color="auto" w:fill="auto"/>
            <w:vAlign w:val="center"/>
            <w:hideMark/>
          </w:tcPr>
          <w:p w14:paraId="4AEBEAF1"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16%</w:t>
            </w:r>
          </w:p>
        </w:tc>
        <w:tc>
          <w:tcPr>
            <w:tcW w:w="1417" w:type="dxa"/>
            <w:tcBorders>
              <w:top w:val="nil"/>
              <w:left w:val="nil"/>
              <w:bottom w:val="single" w:sz="4" w:space="0" w:color="auto"/>
              <w:right w:val="single" w:sz="4" w:space="0" w:color="auto"/>
            </w:tcBorders>
            <w:shd w:val="clear" w:color="auto" w:fill="auto"/>
            <w:vAlign w:val="center"/>
            <w:hideMark/>
          </w:tcPr>
          <w:p w14:paraId="57A10F7E"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129,990</w:t>
            </w:r>
          </w:p>
        </w:tc>
        <w:tc>
          <w:tcPr>
            <w:tcW w:w="1276" w:type="dxa"/>
            <w:tcBorders>
              <w:top w:val="nil"/>
              <w:left w:val="nil"/>
              <w:bottom w:val="single" w:sz="4" w:space="0" w:color="auto"/>
              <w:right w:val="single" w:sz="4" w:space="0" w:color="auto"/>
            </w:tcBorders>
            <w:shd w:val="clear" w:color="auto" w:fill="auto"/>
            <w:vAlign w:val="center"/>
            <w:hideMark/>
          </w:tcPr>
          <w:p w14:paraId="58DC3CD9"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78%</w:t>
            </w:r>
          </w:p>
        </w:tc>
      </w:tr>
      <w:tr w:rsidR="00C354CD" w:rsidRPr="00D62DD6" w14:paraId="55F4D167"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5984A65E" w14:textId="7777777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Wimmera-Avoca</w:t>
            </w:r>
          </w:p>
        </w:tc>
        <w:tc>
          <w:tcPr>
            <w:tcW w:w="1301" w:type="dxa"/>
            <w:tcBorders>
              <w:top w:val="nil"/>
              <w:left w:val="nil"/>
              <w:bottom w:val="single" w:sz="4" w:space="0" w:color="auto"/>
              <w:right w:val="single" w:sz="4" w:space="0" w:color="auto"/>
            </w:tcBorders>
            <w:shd w:val="clear" w:color="auto" w:fill="auto"/>
            <w:vAlign w:val="center"/>
            <w:hideMark/>
          </w:tcPr>
          <w:p w14:paraId="50EF5331"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1,770</w:t>
            </w:r>
          </w:p>
        </w:tc>
        <w:tc>
          <w:tcPr>
            <w:tcW w:w="1134" w:type="dxa"/>
            <w:tcBorders>
              <w:top w:val="nil"/>
              <w:left w:val="nil"/>
              <w:bottom w:val="single" w:sz="4" w:space="0" w:color="auto"/>
              <w:right w:val="single" w:sz="4" w:space="0" w:color="auto"/>
            </w:tcBorders>
            <w:shd w:val="clear" w:color="auto" w:fill="auto"/>
            <w:vAlign w:val="center"/>
            <w:hideMark/>
          </w:tcPr>
          <w:p w14:paraId="08575FFD"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15%</w:t>
            </w:r>
          </w:p>
        </w:tc>
        <w:tc>
          <w:tcPr>
            <w:tcW w:w="1417" w:type="dxa"/>
            <w:tcBorders>
              <w:top w:val="nil"/>
              <w:left w:val="nil"/>
              <w:bottom w:val="single" w:sz="4" w:space="0" w:color="auto"/>
              <w:right w:val="single" w:sz="4" w:space="0" w:color="auto"/>
            </w:tcBorders>
            <w:shd w:val="clear" w:color="auto" w:fill="auto"/>
            <w:vAlign w:val="center"/>
            <w:hideMark/>
          </w:tcPr>
          <w:p w14:paraId="1B0A1094"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970</w:t>
            </w:r>
          </w:p>
        </w:tc>
        <w:tc>
          <w:tcPr>
            <w:tcW w:w="1276" w:type="dxa"/>
            <w:tcBorders>
              <w:top w:val="nil"/>
              <w:left w:val="nil"/>
              <w:bottom w:val="single" w:sz="4" w:space="0" w:color="auto"/>
              <w:right w:val="single" w:sz="4" w:space="0" w:color="auto"/>
            </w:tcBorders>
            <w:shd w:val="clear" w:color="auto" w:fill="auto"/>
            <w:vAlign w:val="center"/>
            <w:hideMark/>
          </w:tcPr>
          <w:p w14:paraId="6C2AC2EC"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8%</w:t>
            </w:r>
          </w:p>
        </w:tc>
        <w:tc>
          <w:tcPr>
            <w:tcW w:w="1417" w:type="dxa"/>
            <w:tcBorders>
              <w:top w:val="nil"/>
              <w:left w:val="nil"/>
              <w:bottom w:val="single" w:sz="4" w:space="0" w:color="auto"/>
              <w:right w:val="single" w:sz="4" w:space="0" w:color="auto"/>
            </w:tcBorders>
            <w:shd w:val="clear" w:color="auto" w:fill="auto"/>
            <w:vAlign w:val="center"/>
            <w:hideMark/>
          </w:tcPr>
          <w:p w14:paraId="3F84CAAD"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9,030</w:t>
            </w:r>
          </w:p>
        </w:tc>
        <w:tc>
          <w:tcPr>
            <w:tcW w:w="1276" w:type="dxa"/>
            <w:tcBorders>
              <w:top w:val="nil"/>
              <w:left w:val="nil"/>
              <w:bottom w:val="single" w:sz="4" w:space="0" w:color="auto"/>
              <w:right w:val="single" w:sz="4" w:space="0" w:color="auto"/>
            </w:tcBorders>
            <w:shd w:val="clear" w:color="auto" w:fill="auto"/>
            <w:vAlign w:val="center"/>
            <w:hideMark/>
          </w:tcPr>
          <w:p w14:paraId="64601AE6"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77%</w:t>
            </w:r>
          </w:p>
        </w:tc>
      </w:tr>
      <w:tr w:rsidR="00C354CD" w:rsidRPr="00D62DD6" w14:paraId="7D685B8A"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C12532E" w14:textId="7777777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Goulburn-Broken</w:t>
            </w:r>
          </w:p>
        </w:tc>
        <w:tc>
          <w:tcPr>
            <w:tcW w:w="1301" w:type="dxa"/>
            <w:tcBorders>
              <w:top w:val="nil"/>
              <w:left w:val="nil"/>
              <w:bottom w:val="single" w:sz="4" w:space="0" w:color="auto"/>
              <w:right w:val="single" w:sz="4" w:space="0" w:color="auto"/>
            </w:tcBorders>
            <w:shd w:val="clear" w:color="auto" w:fill="auto"/>
            <w:vAlign w:val="center"/>
            <w:hideMark/>
          </w:tcPr>
          <w:p w14:paraId="560DE1BA"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880</w:t>
            </w:r>
          </w:p>
        </w:tc>
        <w:tc>
          <w:tcPr>
            <w:tcW w:w="1134" w:type="dxa"/>
            <w:tcBorders>
              <w:top w:val="nil"/>
              <w:left w:val="nil"/>
              <w:bottom w:val="single" w:sz="4" w:space="0" w:color="auto"/>
              <w:right w:val="single" w:sz="4" w:space="0" w:color="auto"/>
            </w:tcBorders>
            <w:shd w:val="clear" w:color="auto" w:fill="auto"/>
            <w:vAlign w:val="center"/>
            <w:hideMark/>
          </w:tcPr>
          <w:p w14:paraId="6D998A7D"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20%</w:t>
            </w:r>
          </w:p>
        </w:tc>
        <w:tc>
          <w:tcPr>
            <w:tcW w:w="1417" w:type="dxa"/>
            <w:tcBorders>
              <w:top w:val="nil"/>
              <w:left w:val="nil"/>
              <w:bottom w:val="single" w:sz="4" w:space="0" w:color="auto"/>
              <w:right w:val="single" w:sz="4" w:space="0" w:color="auto"/>
            </w:tcBorders>
            <w:shd w:val="clear" w:color="auto" w:fill="auto"/>
            <w:vAlign w:val="center"/>
            <w:hideMark/>
          </w:tcPr>
          <w:p w14:paraId="3662C928"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580</w:t>
            </w:r>
          </w:p>
        </w:tc>
        <w:tc>
          <w:tcPr>
            <w:tcW w:w="1276" w:type="dxa"/>
            <w:tcBorders>
              <w:top w:val="nil"/>
              <w:left w:val="nil"/>
              <w:bottom w:val="single" w:sz="4" w:space="0" w:color="auto"/>
              <w:right w:val="single" w:sz="4" w:space="0" w:color="auto"/>
            </w:tcBorders>
            <w:shd w:val="clear" w:color="auto" w:fill="auto"/>
            <w:vAlign w:val="center"/>
            <w:hideMark/>
          </w:tcPr>
          <w:p w14:paraId="06CBE52B"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13%</w:t>
            </w:r>
          </w:p>
        </w:tc>
        <w:tc>
          <w:tcPr>
            <w:tcW w:w="1417" w:type="dxa"/>
            <w:tcBorders>
              <w:top w:val="nil"/>
              <w:left w:val="nil"/>
              <w:bottom w:val="single" w:sz="4" w:space="0" w:color="auto"/>
              <w:right w:val="single" w:sz="4" w:space="0" w:color="auto"/>
            </w:tcBorders>
            <w:shd w:val="clear" w:color="auto" w:fill="auto"/>
            <w:vAlign w:val="center"/>
            <w:hideMark/>
          </w:tcPr>
          <w:p w14:paraId="572349BC"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3,040</w:t>
            </w:r>
          </w:p>
        </w:tc>
        <w:tc>
          <w:tcPr>
            <w:tcW w:w="1276" w:type="dxa"/>
            <w:tcBorders>
              <w:top w:val="nil"/>
              <w:left w:val="nil"/>
              <w:bottom w:val="single" w:sz="4" w:space="0" w:color="auto"/>
              <w:right w:val="single" w:sz="4" w:space="0" w:color="auto"/>
            </w:tcBorders>
            <w:shd w:val="clear" w:color="auto" w:fill="auto"/>
            <w:vAlign w:val="center"/>
            <w:hideMark/>
          </w:tcPr>
          <w:p w14:paraId="7FD08417"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68%</w:t>
            </w:r>
          </w:p>
        </w:tc>
      </w:tr>
      <w:tr w:rsidR="00C354CD" w:rsidRPr="00D62DD6" w14:paraId="59AFB83B" w14:textId="77777777" w:rsidTr="00AD0E29">
        <w:trPr>
          <w:trHeight w:val="27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78CC0A2" w14:textId="77777777" w:rsidR="00C354CD" w:rsidRPr="00D62DD6" w:rsidRDefault="00C354CD" w:rsidP="00AD0E29">
            <w:pPr>
              <w:spacing w:after="0" w:line="240" w:lineRule="auto"/>
              <w:rPr>
                <w:rFonts w:eastAsia="Times New Roman" w:cs="Arial"/>
                <w:szCs w:val="20"/>
                <w:lang w:eastAsia="en-AU"/>
              </w:rPr>
            </w:pPr>
            <w:r w:rsidRPr="00D62DD6">
              <w:rPr>
                <w:rFonts w:eastAsia="Times New Roman" w:cs="Arial"/>
                <w:szCs w:val="20"/>
                <w:lang w:eastAsia="en-AU"/>
              </w:rPr>
              <w:t>Ovens</w:t>
            </w:r>
          </w:p>
        </w:tc>
        <w:tc>
          <w:tcPr>
            <w:tcW w:w="1301" w:type="dxa"/>
            <w:tcBorders>
              <w:top w:val="nil"/>
              <w:left w:val="nil"/>
              <w:bottom w:val="single" w:sz="4" w:space="0" w:color="auto"/>
              <w:right w:val="single" w:sz="4" w:space="0" w:color="auto"/>
            </w:tcBorders>
            <w:shd w:val="clear" w:color="auto" w:fill="auto"/>
            <w:vAlign w:val="center"/>
            <w:hideMark/>
          </w:tcPr>
          <w:p w14:paraId="5DC6D84C"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3064C675"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0%</w:t>
            </w:r>
          </w:p>
        </w:tc>
        <w:tc>
          <w:tcPr>
            <w:tcW w:w="1417" w:type="dxa"/>
            <w:tcBorders>
              <w:top w:val="nil"/>
              <w:left w:val="nil"/>
              <w:bottom w:val="single" w:sz="4" w:space="0" w:color="auto"/>
              <w:right w:val="single" w:sz="4" w:space="0" w:color="auto"/>
            </w:tcBorders>
            <w:shd w:val="clear" w:color="auto" w:fill="auto"/>
            <w:vAlign w:val="center"/>
            <w:hideMark/>
          </w:tcPr>
          <w:p w14:paraId="251E5118"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0</w:t>
            </w:r>
          </w:p>
        </w:tc>
        <w:tc>
          <w:tcPr>
            <w:tcW w:w="1276" w:type="dxa"/>
            <w:tcBorders>
              <w:top w:val="nil"/>
              <w:left w:val="nil"/>
              <w:bottom w:val="single" w:sz="4" w:space="0" w:color="auto"/>
              <w:right w:val="single" w:sz="4" w:space="0" w:color="auto"/>
            </w:tcBorders>
            <w:shd w:val="clear" w:color="auto" w:fill="auto"/>
            <w:vAlign w:val="center"/>
            <w:hideMark/>
          </w:tcPr>
          <w:p w14:paraId="1719D05A"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0%</w:t>
            </w:r>
          </w:p>
        </w:tc>
        <w:tc>
          <w:tcPr>
            <w:tcW w:w="1417" w:type="dxa"/>
            <w:tcBorders>
              <w:top w:val="nil"/>
              <w:left w:val="nil"/>
              <w:bottom w:val="single" w:sz="4" w:space="0" w:color="auto"/>
              <w:right w:val="single" w:sz="4" w:space="0" w:color="auto"/>
            </w:tcBorders>
            <w:shd w:val="clear" w:color="auto" w:fill="auto"/>
            <w:vAlign w:val="center"/>
            <w:hideMark/>
          </w:tcPr>
          <w:p w14:paraId="545ABCE0"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210</w:t>
            </w:r>
          </w:p>
        </w:tc>
        <w:tc>
          <w:tcPr>
            <w:tcW w:w="1276" w:type="dxa"/>
            <w:tcBorders>
              <w:top w:val="nil"/>
              <w:left w:val="nil"/>
              <w:bottom w:val="single" w:sz="4" w:space="0" w:color="auto"/>
              <w:right w:val="single" w:sz="4" w:space="0" w:color="auto"/>
            </w:tcBorders>
            <w:shd w:val="clear" w:color="auto" w:fill="auto"/>
            <w:vAlign w:val="center"/>
            <w:hideMark/>
          </w:tcPr>
          <w:p w14:paraId="380CAF59" w14:textId="77777777" w:rsidR="00C354CD" w:rsidRPr="00D62DD6" w:rsidRDefault="00C354CD" w:rsidP="00AD0E29">
            <w:pPr>
              <w:spacing w:after="0" w:line="240" w:lineRule="auto"/>
              <w:jc w:val="right"/>
              <w:rPr>
                <w:rFonts w:eastAsia="Times New Roman" w:cs="Arial"/>
                <w:szCs w:val="20"/>
                <w:lang w:eastAsia="en-AU"/>
              </w:rPr>
            </w:pPr>
            <w:r w:rsidRPr="00D62DD6">
              <w:rPr>
                <w:rFonts w:eastAsia="Times New Roman" w:cs="Arial"/>
                <w:szCs w:val="20"/>
                <w:lang w:eastAsia="en-AU"/>
              </w:rPr>
              <w:t>100%</w:t>
            </w:r>
          </w:p>
        </w:tc>
      </w:tr>
      <w:tr w:rsidR="00C354CD" w:rsidRPr="00D62DD6" w14:paraId="6EDEFBCF" w14:textId="77777777" w:rsidTr="00AD0E29">
        <w:trPr>
          <w:trHeight w:val="27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53B938A" w14:textId="77777777" w:rsidR="00C354CD" w:rsidRPr="00D62DD6" w:rsidRDefault="00C354CD" w:rsidP="00AD0E29">
            <w:pPr>
              <w:spacing w:after="0" w:line="240" w:lineRule="auto"/>
              <w:rPr>
                <w:rFonts w:eastAsia="Times New Roman" w:cs="Arial"/>
                <w:b/>
                <w:bCs/>
                <w:szCs w:val="20"/>
                <w:lang w:eastAsia="en-AU"/>
              </w:rPr>
            </w:pPr>
            <w:r w:rsidRPr="00D62DD6">
              <w:rPr>
                <w:rFonts w:eastAsia="Times New Roman" w:cs="Arial"/>
                <w:b/>
                <w:bCs/>
                <w:szCs w:val="20"/>
                <w:lang w:eastAsia="en-AU"/>
              </w:rPr>
              <w:t>TOTAL BASIN</w:t>
            </w:r>
          </w:p>
        </w:tc>
        <w:tc>
          <w:tcPr>
            <w:tcW w:w="1301" w:type="dxa"/>
            <w:tcBorders>
              <w:top w:val="nil"/>
              <w:left w:val="nil"/>
              <w:bottom w:val="single" w:sz="4" w:space="0" w:color="auto"/>
              <w:right w:val="single" w:sz="4" w:space="0" w:color="auto"/>
            </w:tcBorders>
            <w:shd w:val="clear" w:color="auto" w:fill="auto"/>
            <w:vAlign w:val="center"/>
            <w:hideMark/>
          </w:tcPr>
          <w:p w14:paraId="1997E263" w14:textId="77777777" w:rsidR="00C354CD" w:rsidRPr="00D62DD6" w:rsidRDefault="00C354CD" w:rsidP="00AD0E29">
            <w:pPr>
              <w:spacing w:after="0" w:line="240" w:lineRule="auto"/>
              <w:jc w:val="right"/>
              <w:rPr>
                <w:rFonts w:eastAsia="Times New Roman" w:cs="Arial"/>
                <w:b/>
                <w:bCs/>
                <w:szCs w:val="20"/>
                <w:lang w:eastAsia="en-AU"/>
              </w:rPr>
            </w:pPr>
            <w:r w:rsidRPr="00D62DD6">
              <w:rPr>
                <w:rFonts w:eastAsia="Times New Roman" w:cs="Arial"/>
                <w:b/>
                <w:bCs/>
                <w:szCs w:val="20"/>
                <w:lang w:eastAsia="en-AU"/>
              </w:rPr>
              <w:t>184,030</w:t>
            </w:r>
          </w:p>
        </w:tc>
        <w:tc>
          <w:tcPr>
            <w:tcW w:w="1134" w:type="dxa"/>
            <w:tcBorders>
              <w:top w:val="nil"/>
              <w:left w:val="nil"/>
              <w:bottom w:val="single" w:sz="4" w:space="0" w:color="auto"/>
              <w:right w:val="single" w:sz="4" w:space="0" w:color="auto"/>
            </w:tcBorders>
            <w:shd w:val="clear" w:color="auto" w:fill="auto"/>
            <w:vAlign w:val="center"/>
            <w:hideMark/>
          </w:tcPr>
          <w:p w14:paraId="72D4ADDA" w14:textId="77777777" w:rsidR="00C354CD" w:rsidRPr="00D62DD6" w:rsidRDefault="00C354CD" w:rsidP="00AD0E29">
            <w:pPr>
              <w:spacing w:after="0" w:line="240" w:lineRule="auto"/>
              <w:jc w:val="right"/>
              <w:rPr>
                <w:rFonts w:eastAsia="Times New Roman" w:cs="Arial"/>
                <w:b/>
                <w:bCs/>
                <w:szCs w:val="20"/>
                <w:lang w:eastAsia="en-AU"/>
              </w:rPr>
            </w:pPr>
            <w:r w:rsidRPr="00D62DD6">
              <w:rPr>
                <w:rFonts w:eastAsia="Times New Roman" w:cs="Arial"/>
                <w:b/>
                <w:bCs/>
                <w:szCs w:val="20"/>
                <w:lang w:eastAsia="en-AU"/>
              </w:rPr>
              <w:t>13%</w:t>
            </w:r>
          </w:p>
        </w:tc>
        <w:tc>
          <w:tcPr>
            <w:tcW w:w="1417" w:type="dxa"/>
            <w:tcBorders>
              <w:top w:val="nil"/>
              <w:left w:val="nil"/>
              <w:bottom w:val="single" w:sz="4" w:space="0" w:color="auto"/>
              <w:right w:val="single" w:sz="4" w:space="0" w:color="auto"/>
            </w:tcBorders>
            <w:shd w:val="clear" w:color="auto" w:fill="auto"/>
            <w:vAlign w:val="center"/>
            <w:hideMark/>
          </w:tcPr>
          <w:p w14:paraId="641E85BF" w14:textId="77777777" w:rsidR="00C354CD" w:rsidRPr="00D62DD6" w:rsidRDefault="00C354CD" w:rsidP="00AD0E29">
            <w:pPr>
              <w:spacing w:after="0" w:line="240" w:lineRule="auto"/>
              <w:jc w:val="right"/>
              <w:rPr>
                <w:rFonts w:eastAsia="Times New Roman" w:cs="Arial"/>
                <w:b/>
                <w:bCs/>
                <w:szCs w:val="20"/>
                <w:lang w:eastAsia="en-AU"/>
              </w:rPr>
            </w:pPr>
            <w:r w:rsidRPr="00D62DD6">
              <w:rPr>
                <w:rFonts w:eastAsia="Times New Roman" w:cs="Arial"/>
                <w:b/>
                <w:bCs/>
                <w:szCs w:val="20"/>
                <w:lang w:eastAsia="en-AU"/>
              </w:rPr>
              <w:t>223,350</w:t>
            </w:r>
          </w:p>
        </w:tc>
        <w:tc>
          <w:tcPr>
            <w:tcW w:w="1276" w:type="dxa"/>
            <w:tcBorders>
              <w:top w:val="nil"/>
              <w:left w:val="nil"/>
              <w:bottom w:val="single" w:sz="4" w:space="0" w:color="auto"/>
              <w:right w:val="single" w:sz="4" w:space="0" w:color="auto"/>
            </w:tcBorders>
            <w:shd w:val="clear" w:color="auto" w:fill="auto"/>
            <w:vAlign w:val="center"/>
            <w:hideMark/>
          </w:tcPr>
          <w:p w14:paraId="01FDCC7A" w14:textId="77777777" w:rsidR="00C354CD" w:rsidRPr="00D62DD6" w:rsidRDefault="00C354CD" w:rsidP="00AD0E29">
            <w:pPr>
              <w:spacing w:after="0" w:line="240" w:lineRule="auto"/>
              <w:jc w:val="right"/>
              <w:rPr>
                <w:rFonts w:eastAsia="Times New Roman" w:cs="Arial"/>
                <w:b/>
                <w:bCs/>
                <w:szCs w:val="20"/>
                <w:lang w:eastAsia="en-AU"/>
              </w:rPr>
            </w:pPr>
            <w:r w:rsidRPr="00D62DD6">
              <w:rPr>
                <w:rFonts w:eastAsia="Times New Roman" w:cs="Arial"/>
                <w:b/>
                <w:bCs/>
                <w:szCs w:val="20"/>
                <w:lang w:eastAsia="en-AU"/>
              </w:rPr>
              <w:t>16%</w:t>
            </w:r>
          </w:p>
        </w:tc>
        <w:tc>
          <w:tcPr>
            <w:tcW w:w="1417" w:type="dxa"/>
            <w:tcBorders>
              <w:top w:val="nil"/>
              <w:left w:val="nil"/>
              <w:bottom w:val="single" w:sz="4" w:space="0" w:color="auto"/>
              <w:right w:val="single" w:sz="4" w:space="0" w:color="auto"/>
            </w:tcBorders>
            <w:shd w:val="clear" w:color="auto" w:fill="auto"/>
            <w:vAlign w:val="center"/>
            <w:hideMark/>
          </w:tcPr>
          <w:p w14:paraId="009A20DE" w14:textId="77777777" w:rsidR="00C354CD" w:rsidRPr="00D62DD6" w:rsidRDefault="00C354CD" w:rsidP="00AD0E29">
            <w:pPr>
              <w:spacing w:after="0" w:line="240" w:lineRule="auto"/>
              <w:jc w:val="right"/>
              <w:rPr>
                <w:rFonts w:eastAsia="Times New Roman" w:cs="Arial"/>
                <w:b/>
                <w:bCs/>
                <w:szCs w:val="20"/>
                <w:lang w:eastAsia="en-AU"/>
              </w:rPr>
            </w:pPr>
            <w:r w:rsidRPr="00D62DD6">
              <w:rPr>
                <w:rFonts w:eastAsia="Times New Roman" w:cs="Arial"/>
                <w:b/>
                <w:bCs/>
                <w:szCs w:val="20"/>
                <w:lang w:eastAsia="en-AU"/>
              </w:rPr>
              <w:t>990,120</w:t>
            </w:r>
          </w:p>
        </w:tc>
        <w:tc>
          <w:tcPr>
            <w:tcW w:w="1276" w:type="dxa"/>
            <w:tcBorders>
              <w:top w:val="nil"/>
              <w:left w:val="nil"/>
              <w:bottom w:val="single" w:sz="4" w:space="0" w:color="auto"/>
              <w:right w:val="single" w:sz="4" w:space="0" w:color="auto"/>
            </w:tcBorders>
            <w:shd w:val="clear" w:color="auto" w:fill="auto"/>
            <w:vAlign w:val="center"/>
            <w:hideMark/>
          </w:tcPr>
          <w:p w14:paraId="33EB8F23" w14:textId="77777777" w:rsidR="00C354CD" w:rsidRPr="00D62DD6" w:rsidRDefault="00C354CD" w:rsidP="00AD0E29">
            <w:pPr>
              <w:spacing w:after="0" w:line="240" w:lineRule="auto"/>
              <w:jc w:val="right"/>
              <w:rPr>
                <w:rFonts w:eastAsia="Times New Roman" w:cs="Arial"/>
                <w:b/>
                <w:bCs/>
                <w:szCs w:val="20"/>
                <w:lang w:eastAsia="en-AU"/>
              </w:rPr>
            </w:pPr>
            <w:r w:rsidRPr="00D62DD6">
              <w:rPr>
                <w:rFonts w:eastAsia="Times New Roman" w:cs="Arial"/>
                <w:b/>
                <w:bCs/>
                <w:szCs w:val="20"/>
                <w:lang w:eastAsia="en-AU"/>
              </w:rPr>
              <w:t>71%</w:t>
            </w:r>
          </w:p>
        </w:tc>
      </w:tr>
    </w:tbl>
    <w:p w14:paraId="7B6F39E8" w14:textId="77777777" w:rsidR="00C354CD" w:rsidRDefault="00C354CD" w:rsidP="00C354CD">
      <w:pPr>
        <w:pStyle w:val="Bodynarrow"/>
        <w:ind w:left="0"/>
      </w:pPr>
    </w:p>
    <w:p w14:paraId="750D6BB2" w14:textId="77777777" w:rsidR="00C354CD" w:rsidRDefault="00C354CD" w:rsidP="00C354CD">
      <w:pPr>
        <w:pStyle w:val="Bodynarrow"/>
        <w:ind w:left="720"/>
        <w:sectPr w:rsidR="00C354CD" w:rsidSect="00AD0E29">
          <w:pgSz w:w="11906" w:h="16838"/>
          <w:pgMar w:top="567" w:right="851" w:bottom="851" w:left="1134" w:header="708" w:footer="708" w:gutter="0"/>
          <w:cols w:space="708"/>
          <w:docGrid w:linePitch="360"/>
        </w:sectPr>
      </w:pPr>
    </w:p>
    <w:p w14:paraId="1EE97398" w14:textId="7721C28A" w:rsidR="00C354CD" w:rsidRDefault="005612DA" w:rsidP="00C354CD">
      <w:pPr>
        <w:pStyle w:val="Bodynarrow"/>
        <w:spacing w:before="0" w:after="0"/>
        <w:ind w:left="720"/>
        <w:jc w:val="center"/>
      </w:pPr>
      <w:r>
        <w:rPr>
          <w:noProof/>
          <w:lang w:eastAsia="en-AU"/>
        </w:rPr>
        <w:drawing>
          <wp:inline distT="0" distB="0" distL="0" distR="0" wp14:anchorId="6531209E" wp14:editId="313F131A">
            <wp:extent cx="13062857" cy="8232342"/>
            <wp:effectExtent l="0" t="0" r="5715"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Fig5.11 Frequency of inundation of BB.png"/>
                    <pic:cNvPicPr/>
                  </pic:nvPicPr>
                  <pic:blipFill rotWithShape="1">
                    <a:blip r:embed="rId87" cstate="email">
                      <a:extLst>
                        <a:ext uri="{28A0092B-C50C-407E-A947-70E740481C1C}">
                          <a14:useLocalDpi xmlns:a14="http://schemas.microsoft.com/office/drawing/2010/main"/>
                        </a:ext>
                      </a:extLst>
                    </a:blip>
                    <a:srcRect/>
                    <a:stretch/>
                  </pic:blipFill>
                  <pic:spPr bwMode="auto">
                    <a:xfrm>
                      <a:off x="0" y="0"/>
                      <a:ext cx="13075856" cy="8240534"/>
                    </a:xfrm>
                    <a:prstGeom prst="rect">
                      <a:avLst/>
                    </a:prstGeom>
                    <a:ln>
                      <a:noFill/>
                    </a:ln>
                    <a:extLst>
                      <a:ext uri="{53640926-AAD7-44D8-BBD7-CCE9431645EC}">
                        <a14:shadowObscured xmlns:a14="http://schemas.microsoft.com/office/drawing/2010/main"/>
                      </a:ext>
                    </a:extLst>
                  </pic:spPr>
                </pic:pic>
              </a:graphicData>
            </a:graphic>
          </wp:inline>
        </w:drawing>
      </w:r>
    </w:p>
    <w:p w14:paraId="7D043F4B" w14:textId="67FA3FBE" w:rsidR="00C354CD" w:rsidRDefault="00C354CD" w:rsidP="00C354CD">
      <w:pPr>
        <w:pStyle w:val="Caption"/>
        <w:spacing w:before="0" w:after="0"/>
        <w:jc w:val="center"/>
      </w:pPr>
      <w:bookmarkStart w:id="288" w:name="_Ref507167108"/>
      <w:bookmarkStart w:id="289" w:name="_Toc514018104"/>
      <w:r>
        <w:t xml:space="preserve">Figure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Figure \* ARABIC \s 1 </w:instrText>
      </w:r>
      <w:r>
        <w:fldChar w:fldCharType="separate"/>
      </w:r>
      <w:r w:rsidR="00BF015B">
        <w:rPr>
          <w:noProof/>
        </w:rPr>
        <w:t>11</w:t>
      </w:r>
      <w:r>
        <w:fldChar w:fldCharType="end"/>
      </w:r>
      <w:bookmarkEnd w:id="288"/>
      <w:r>
        <w:t xml:space="preserve">: Frequency of </w:t>
      </w:r>
      <w:r w:rsidR="008344E6">
        <w:t>i</w:t>
      </w:r>
      <w:r>
        <w:t xml:space="preserve">nundation of Black Box: </w:t>
      </w:r>
      <w:r w:rsidR="008344E6">
        <w:t>b</w:t>
      </w:r>
      <w:r>
        <w:t xml:space="preserve">asin </w:t>
      </w:r>
      <w:r w:rsidR="008344E6">
        <w:t>s</w:t>
      </w:r>
      <w:r>
        <w:t>cale</w:t>
      </w:r>
      <w:bookmarkEnd w:id="289"/>
    </w:p>
    <w:p w14:paraId="26FD1F7A" w14:textId="77777777" w:rsidR="00C354CD" w:rsidRDefault="00C354CD" w:rsidP="00C354CD">
      <w:pPr>
        <w:pStyle w:val="Caption"/>
        <w:spacing w:before="0" w:after="0"/>
        <w:jc w:val="center"/>
        <w:sectPr w:rsidR="00C354CD" w:rsidSect="005612DA">
          <w:pgSz w:w="23811" w:h="16838" w:orient="landscape" w:code="8"/>
          <w:pgMar w:top="1134" w:right="567" w:bottom="851" w:left="851" w:header="708" w:footer="708" w:gutter="0"/>
          <w:cols w:space="708"/>
          <w:docGrid w:linePitch="360"/>
        </w:sectPr>
      </w:pPr>
    </w:p>
    <w:p w14:paraId="57AD4F47" w14:textId="77777777" w:rsidR="00C354CD" w:rsidRDefault="00C354CD" w:rsidP="00C354CD">
      <w:pPr>
        <w:pStyle w:val="Bodynarrow"/>
        <w:ind w:left="0"/>
        <w:rPr>
          <w:b/>
          <w:u w:val="single"/>
        </w:rPr>
      </w:pPr>
      <w:r>
        <w:rPr>
          <w:b/>
          <w:u w:val="single"/>
        </w:rPr>
        <w:t>Groundwater Salinity</w:t>
      </w:r>
    </w:p>
    <w:p w14:paraId="4F30EF2D" w14:textId="6385121C" w:rsidR="0023234A" w:rsidRDefault="00C354CD" w:rsidP="00C354CD">
      <w:pPr>
        <w:pStyle w:val="Bodynarrow"/>
        <w:ind w:left="0"/>
      </w:pPr>
      <w:r>
        <w:t xml:space="preserve">Groundwater salinity layers from the MDBA </w:t>
      </w:r>
      <w:r w:rsidRPr="004A2419">
        <w:rPr>
          <w:i/>
        </w:rPr>
        <w:t>Basin in a Box</w:t>
      </w:r>
      <w:r>
        <w:t xml:space="preserve"> dataset were used to produce a series of groundwater salinity maps throughout the Basin. </w:t>
      </w:r>
      <w:r w:rsidRPr="000813CD">
        <w:fldChar w:fldCharType="begin"/>
      </w:r>
      <w:r w:rsidRPr="000813CD">
        <w:instrText xml:space="preserve"> REF _Ref507167128 \h </w:instrText>
      </w:r>
      <w:r>
        <w:instrText xml:space="preserve"> \* MERGEFORMAT </w:instrText>
      </w:r>
      <w:r w:rsidRPr="000813CD">
        <w:fldChar w:fldCharType="separate"/>
      </w:r>
      <w:r w:rsidR="00BF015B">
        <w:t xml:space="preserve">Figure </w:t>
      </w:r>
      <w:r w:rsidR="00BF015B">
        <w:rPr>
          <w:noProof/>
        </w:rPr>
        <w:t>5</w:t>
      </w:r>
      <w:r w:rsidR="00BF015B">
        <w:rPr>
          <w:noProof/>
        </w:rPr>
        <w:noBreakHyphen/>
        <w:t>12</w:t>
      </w:r>
      <w:r w:rsidRPr="000813CD">
        <w:fldChar w:fldCharType="end"/>
      </w:r>
      <w:r>
        <w:t xml:space="preserve"> shows the basin extent, and two maps showing a greater level of detail in selected areas of the Murray and Darling river systems are </w:t>
      </w:r>
      <w:r w:rsidRPr="00640861">
        <w:t xml:space="preserve">provided in </w:t>
      </w:r>
      <w:r w:rsidRPr="00640861">
        <w:fldChar w:fldCharType="begin"/>
      </w:r>
      <w:r w:rsidRPr="00640861">
        <w:instrText xml:space="preserve"> REF _Ref507426282 \r \h  \* MERGEFORMAT </w:instrText>
      </w:r>
      <w:r w:rsidRPr="00640861">
        <w:fldChar w:fldCharType="separate"/>
      </w:r>
      <w:r w:rsidR="00BF015B">
        <w:t>Appendix M</w:t>
      </w:r>
      <w:r w:rsidRPr="00640861">
        <w:fldChar w:fldCharType="end"/>
      </w:r>
      <w:r w:rsidRPr="00640861">
        <w:t>.</w:t>
      </w:r>
      <w:r>
        <w:t xml:space="preserve">  These provide an indication of the areas throughout the Basin where groundwater is saline or not saline. </w:t>
      </w:r>
      <w:r w:rsidR="0023234A">
        <w:t xml:space="preserve">As described in chapter </w:t>
      </w:r>
      <w:r w:rsidR="0023234A">
        <w:fldChar w:fldCharType="begin"/>
      </w:r>
      <w:r w:rsidR="0023234A">
        <w:instrText xml:space="preserve"> REF _Ref508278614 \r \h </w:instrText>
      </w:r>
      <w:r w:rsidR="0023234A">
        <w:fldChar w:fldCharType="separate"/>
      </w:r>
      <w:r w:rsidR="00BF015B">
        <w:t>3.5.3</w:t>
      </w:r>
      <w:r w:rsidR="0023234A">
        <w:fldChar w:fldCharType="end"/>
      </w:r>
      <w:r w:rsidR="0023234A">
        <w:t>, the threshold for groundwater salinity stress for Black Box is 22,000</w:t>
      </w:r>
      <w:r w:rsidR="009E1514">
        <w:t xml:space="preserve"> </w:t>
      </w:r>
      <w:r w:rsidR="0023234A">
        <w:t xml:space="preserve">mg/L. The basin wide data available for groundwater salinity was not a continuous </w:t>
      </w:r>
      <w:r w:rsidR="00AD6010">
        <w:t>series but</w:t>
      </w:r>
      <w:r w:rsidR="0023234A">
        <w:t xml:space="preserve"> provided </w:t>
      </w:r>
      <w:r w:rsidR="00AD6010">
        <w:t xml:space="preserve">suitable </w:t>
      </w:r>
      <w:r w:rsidR="0023234A">
        <w:t>groundwater salinity intervals. The closest two intervals to the 22,000</w:t>
      </w:r>
      <w:r w:rsidR="009E1514">
        <w:t xml:space="preserve"> </w:t>
      </w:r>
      <w:r w:rsidR="0023234A">
        <w:t>mg/L threshold were 7,000-14,000</w:t>
      </w:r>
      <w:r w:rsidR="009E1514">
        <w:t xml:space="preserve"> </w:t>
      </w:r>
      <w:r w:rsidR="0023234A">
        <w:t>mg/L and 14,000 – 35,000</w:t>
      </w:r>
      <w:r w:rsidR="009E1514">
        <w:t xml:space="preserve"> </w:t>
      </w:r>
      <w:r w:rsidR="0023234A">
        <w:t>mg/L. Due to this constraint in the data, the threshold of 22,000mg/L could not be used and a threshold of 35,000</w:t>
      </w:r>
      <w:r w:rsidR="009E1514">
        <w:t xml:space="preserve"> </w:t>
      </w:r>
      <w:r w:rsidR="0023234A">
        <w:t xml:space="preserve">mg/L was selected for this analysis. As discussed in </w:t>
      </w:r>
      <w:r w:rsidR="0023234A">
        <w:fldChar w:fldCharType="begin"/>
      </w:r>
      <w:r w:rsidR="0023234A">
        <w:instrText xml:space="preserve"> REF _Ref507408992 \h </w:instrText>
      </w:r>
      <w:r w:rsidR="0023234A">
        <w:fldChar w:fldCharType="separate"/>
      </w:r>
      <w:r w:rsidR="00BF015B">
        <w:t xml:space="preserve">Table </w:t>
      </w:r>
      <w:r w:rsidR="00BF015B">
        <w:rPr>
          <w:noProof/>
        </w:rPr>
        <w:t>5</w:t>
      </w:r>
      <w:r w:rsidR="00BF015B">
        <w:noBreakHyphen/>
      </w:r>
      <w:r w:rsidR="00BF015B">
        <w:rPr>
          <w:noProof/>
        </w:rPr>
        <w:t>4</w:t>
      </w:r>
      <w:r w:rsidR="0023234A">
        <w:fldChar w:fldCharType="end"/>
      </w:r>
      <w:r w:rsidR="0023234A">
        <w:t>, the limitations associated with this data result in a “Low/Moderate” confidence score. Provision of basin wide groundwater salinity data in a continuous scale, so that the threshold of 22,000</w:t>
      </w:r>
      <w:r w:rsidR="009E1514">
        <w:t xml:space="preserve"> </w:t>
      </w:r>
      <w:r w:rsidR="0023234A">
        <w:t xml:space="preserve">mg/L can be used in the analysis would improve the level of confidence of the following analysis. </w:t>
      </w:r>
    </w:p>
    <w:p w14:paraId="04F2C574" w14:textId="77777777" w:rsidR="0023234A" w:rsidRDefault="0023234A" w:rsidP="00C354CD">
      <w:pPr>
        <w:pStyle w:val="Bodynarrow"/>
        <w:ind w:left="0"/>
      </w:pPr>
    </w:p>
    <w:p w14:paraId="2EEE76FE" w14:textId="77777777" w:rsidR="00C354CD" w:rsidRDefault="00C354CD" w:rsidP="00C354CD">
      <w:pPr>
        <w:pStyle w:val="Bodynarrow"/>
        <w:ind w:left="0"/>
        <w:rPr>
          <w:b/>
          <w:u w:val="single"/>
        </w:rPr>
        <w:sectPr w:rsidR="00C354CD" w:rsidSect="00AD0E29">
          <w:pgSz w:w="11906" w:h="16838"/>
          <w:pgMar w:top="567" w:right="851" w:bottom="851" w:left="1134" w:header="708" w:footer="708" w:gutter="0"/>
          <w:cols w:space="708"/>
          <w:docGrid w:linePitch="360"/>
        </w:sectPr>
      </w:pPr>
    </w:p>
    <w:p w14:paraId="0D57C232" w14:textId="77777777" w:rsidR="00C354CD" w:rsidRDefault="00C354CD" w:rsidP="00C354CD">
      <w:pPr>
        <w:pStyle w:val="Bodynarrow"/>
        <w:spacing w:before="0" w:after="0"/>
        <w:ind w:left="0"/>
        <w:jc w:val="center"/>
      </w:pPr>
      <w:r>
        <w:rPr>
          <w:noProof/>
          <w:lang w:eastAsia="en-AU"/>
        </w:rPr>
        <w:drawing>
          <wp:inline distT="0" distB="0" distL="0" distR="0" wp14:anchorId="1C2B9C89" wp14:editId="22D6868F">
            <wp:extent cx="13627198" cy="8265226"/>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FullBasin_Salinity.png"/>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13642179" cy="8274312"/>
                    </a:xfrm>
                    <a:prstGeom prst="rect">
                      <a:avLst/>
                    </a:prstGeom>
                    <a:ln>
                      <a:noFill/>
                    </a:ln>
                    <a:extLst>
                      <a:ext uri="{53640926-AAD7-44D8-BBD7-CCE9431645EC}">
                        <a14:shadowObscured xmlns:a14="http://schemas.microsoft.com/office/drawing/2010/main"/>
                      </a:ext>
                    </a:extLst>
                  </pic:spPr>
                </pic:pic>
              </a:graphicData>
            </a:graphic>
          </wp:inline>
        </w:drawing>
      </w:r>
    </w:p>
    <w:p w14:paraId="7AC1BC6C" w14:textId="7DC1C66C" w:rsidR="00C354CD" w:rsidRDefault="00C354CD" w:rsidP="00C354CD">
      <w:pPr>
        <w:pStyle w:val="Caption"/>
        <w:spacing w:before="0" w:after="0"/>
        <w:jc w:val="center"/>
      </w:pPr>
      <w:bookmarkStart w:id="290" w:name="_Ref507167128"/>
      <w:bookmarkStart w:id="291" w:name="_Toc514018105"/>
      <w:r>
        <w:t xml:space="preserve">Figure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Figure \* ARABIC \s 1 </w:instrText>
      </w:r>
      <w:r>
        <w:fldChar w:fldCharType="separate"/>
      </w:r>
      <w:r w:rsidR="00BF015B">
        <w:rPr>
          <w:noProof/>
        </w:rPr>
        <w:t>12</w:t>
      </w:r>
      <w:r>
        <w:fldChar w:fldCharType="end"/>
      </w:r>
      <w:bookmarkEnd w:id="290"/>
      <w:r>
        <w:t xml:space="preserve">: Groundwater </w:t>
      </w:r>
      <w:r w:rsidR="008344E6">
        <w:t>s</w:t>
      </w:r>
      <w:r>
        <w:t xml:space="preserve">alinity: </w:t>
      </w:r>
      <w:r w:rsidR="008344E6">
        <w:t>b</w:t>
      </w:r>
      <w:r>
        <w:t xml:space="preserve">asin </w:t>
      </w:r>
      <w:r w:rsidR="008344E6">
        <w:t>s</w:t>
      </w:r>
      <w:r>
        <w:t>cale</w:t>
      </w:r>
      <w:bookmarkEnd w:id="291"/>
    </w:p>
    <w:p w14:paraId="75666747" w14:textId="77777777" w:rsidR="00C354CD" w:rsidRDefault="00C354CD" w:rsidP="00C354CD">
      <w:pPr>
        <w:pStyle w:val="Bodynarrow"/>
        <w:ind w:left="0"/>
        <w:jc w:val="center"/>
        <w:sectPr w:rsidR="00C354CD" w:rsidSect="00CE0F1A">
          <w:pgSz w:w="23811" w:h="16838" w:orient="landscape" w:code="8"/>
          <w:pgMar w:top="1134" w:right="567" w:bottom="851" w:left="851" w:header="708" w:footer="708" w:gutter="0"/>
          <w:cols w:space="708"/>
          <w:docGrid w:linePitch="360"/>
        </w:sectPr>
      </w:pPr>
    </w:p>
    <w:p w14:paraId="74950C4C" w14:textId="6B58BC9D" w:rsidR="00C354CD" w:rsidRDefault="00C354CD" w:rsidP="00C354CD">
      <w:pPr>
        <w:pStyle w:val="Bodynarrow"/>
        <w:ind w:left="0"/>
      </w:pPr>
      <w:r>
        <w:t xml:space="preserve">Overlaying the groundwater salinity data with the extent of Black Box vegetation throughout the Basin provides an analysis of which areas of Black Box </w:t>
      </w:r>
      <w:r w:rsidR="005C4005">
        <w:t>are in</w:t>
      </w:r>
      <w:r>
        <w:t xml:space="preserve"> areas </w:t>
      </w:r>
      <w:r w:rsidR="005C4005">
        <w:t xml:space="preserve">exposed to </w:t>
      </w:r>
      <w:r>
        <w:t xml:space="preserve">saline groundwater. When paired with groundwater depth information, the groundwater salinity information contributes to the understanding of whether Black Box are likely to be stressed. </w:t>
      </w:r>
    </w:p>
    <w:p w14:paraId="1505A30B" w14:textId="6533FCE7" w:rsidR="00C354CD" w:rsidRDefault="00C354CD" w:rsidP="00C354CD">
      <w:pPr>
        <w:pStyle w:val="Bodynarrow"/>
        <w:ind w:left="0"/>
      </w:pPr>
      <w:r w:rsidRPr="000813CD">
        <w:fldChar w:fldCharType="begin"/>
      </w:r>
      <w:r w:rsidRPr="000813CD">
        <w:instrText xml:space="preserve"> REF _Ref507167159 \h </w:instrText>
      </w:r>
      <w:r>
        <w:instrText xml:space="preserve"> \* MERGEFORMAT </w:instrText>
      </w:r>
      <w:r w:rsidRPr="000813CD">
        <w:fldChar w:fldCharType="separate"/>
      </w:r>
      <w:r w:rsidR="00BF015B">
        <w:t xml:space="preserve">Table </w:t>
      </w:r>
      <w:r w:rsidR="00BF015B">
        <w:rPr>
          <w:noProof/>
        </w:rPr>
        <w:t>5</w:t>
      </w:r>
      <w:r w:rsidR="00BF015B">
        <w:rPr>
          <w:noProof/>
        </w:rPr>
        <w:noBreakHyphen/>
        <w:t>7</w:t>
      </w:r>
      <w:r w:rsidRPr="000813CD">
        <w:fldChar w:fldCharType="end"/>
      </w:r>
      <w:r w:rsidRPr="000813CD">
        <w:t xml:space="preserve"> and </w:t>
      </w:r>
      <w:r w:rsidRPr="000813CD">
        <w:fldChar w:fldCharType="begin"/>
      </w:r>
      <w:r w:rsidRPr="000813CD">
        <w:instrText xml:space="preserve"> REF _Ref507167172 \h </w:instrText>
      </w:r>
      <w:r>
        <w:instrText xml:space="preserve"> \* MERGEFORMAT </w:instrText>
      </w:r>
      <w:r w:rsidRPr="000813CD">
        <w:fldChar w:fldCharType="separate"/>
      </w:r>
      <w:r w:rsidR="00BF015B">
        <w:t xml:space="preserve">Figure </w:t>
      </w:r>
      <w:r w:rsidR="00BF015B">
        <w:rPr>
          <w:noProof/>
        </w:rPr>
        <w:t>5</w:t>
      </w:r>
      <w:r w:rsidR="00BF015B">
        <w:rPr>
          <w:noProof/>
        </w:rPr>
        <w:noBreakHyphen/>
        <w:t>13</w:t>
      </w:r>
      <w:r w:rsidRPr="000813CD">
        <w:fldChar w:fldCharType="end"/>
      </w:r>
      <w:r w:rsidRPr="000813CD">
        <w:t xml:space="preserve"> </w:t>
      </w:r>
      <w:r>
        <w:t>illustrate</w:t>
      </w:r>
      <w:r w:rsidRPr="000813CD">
        <w:t xml:space="preserve"> the</w:t>
      </w:r>
      <w:r>
        <w:t xml:space="preserve"> proportion of Black Box throughout the Basin that are: </w:t>
      </w:r>
    </w:p>
    <w:p w14:paraId="144C91F9" w14:textId="6A4733FA" w:rsidR="00C354CD" w:rsidRDefault="00C354CD" w:rsidP="00F22225">
      <w:pPr>
        <w:pStyle w:val="Bodynarrow"/>
        <w:numPr>
          <w:ilvl w:val="0"/>
          <w:numId w:val="88"/>
        </w:numPr>
      </w:pPr>
      <w:r>
        <w:t>in areas of saline groundwater (&gt;</w:t>
      </w:r>
      <w:r w:rsidR="0023234A" w:rsidRPr="00A40029">
        <w:t>35</w:t>
      </w:r>
      <w:r w:rsidRPr="00A40029">
        <w:t>,000mg</w:t>
      </w:r>
      <w:r w:rsidRPr="0023234A">
        <w:t>/L</w:t>
      </w:r>
      <w:r>
        <w:t xml:space="preserve">). If the groundwater is saline </w:t>
      </w:r>
      <w:r w:rsidR="005C4005">
        <w:t>and</w:t>
      </w:r>
      <w:r>
        <w:t xml:space="preserve"> shallow, the Black Box is considered to be at risk from salinit</w:t>
      </w:r>
      <w:r w:rsidR="00C01A13">
        <w:t>y</w:t>
      </w:r>
    </w:p>
    <w:p w14:paraId="5888C10B" w14:textId="48837851" w:rsidR="00C354CD" w:rsidRDefault="00C354CD" w:rsidP="00F22225">
      <w:pPr>
        <w:pStyle w:val="Bodynarrow"/>
        <w:numPr>
          <w:ilvl w:val="0"/>
          <w:numId w:val="88"/>
        </w:numPr>
      </w:pPr>
      <w:r>
        <w:t xml:space="preserve">in areas of non-saline (or tolerable) </w:t>
      </w:r>
      <w:r w:rsidRPr="0023234A">
        <w:t>groundwater (&lt;</w:t>
      </w:r>
      <w:r w:rsidR="0023234A" w:rsidRPr="00A40029">
        <w:t>35</w:t>
      </w:r>
      <w:r w:rsidRPr="00A40029">
        <w:t>,000mg</w:t>
      </w:r>
      <w:r w:rsidRPr="0023234A">
        <w:t>/L).</w:t>
      </w:r>
      <w:r>
        <w:t xml:space="preserve"> These Black Box are not likely to be at risk from salinity. </w:t>
      </w:r>
    </w:p>
    <w:p w14:paraId="116296B2" w14:textId="64EB98BF" w:rsidR="00C354CD" w:rsidRDefault="00C354CD" w:rsidP="00C354CD">
      <w:pPr>
        <w:pStyle w:val="Bodynarrow"/>
        <w:ind w:left="0"/>
      </w:pPr>
      <w:r w:rsidRPr="00640861">
        <w:t xml:space="preserve">Additional maps showing a greater level of detail in selected areas of the Murray and Darling systems are provided in </w:t>
      </w:r>
      <w:r w:rsidRPr="00640861">
        <w:fldChar w:fldCharType="begin"/>
      </w:r>
      <w:r w:rsidRPr="00640861">
        <w:instrText xml:space="preserve"> REF _Ref507426282 \r \h  \* MERGEFORMAT </w:instrText>
      </w:r>
      <w:r w:rsidRPr="00640861">
        <w:fldChar w:fldCharType="separate"/>
      </w:r>
      <w:r w:rsidR="00BF015B">
        <w:t>Appendix M</w:t>
      </w:r>
      <w:r w:rsidRPr="00640861">
        <w:fldChar w:fldCharType="end"/>
      </w:r>
      <w:r w:rsidRPr="00640861">
        <w:t>.</w:t>
      </w:r>
    </w:p>
    <w:p w14:paraId="0E3BDA06" w14:textId="1DBA04D2" w:rsidR="00C354CD" w:rsidRDefault="00C354CD" w:rsidP="00C354CD">
      <w:pPr>
        <w:pStyle w:val="Caption"/>
      </w:pPr>
      <w:bookmarkStart w:id="292" w:name="_Ref507167159"/>
      <w:bookmarkStart w:id="293" w:name="_Toc514068795"/>
      <w:r>
        <w:t xml:space="preserve">Table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Table \* ARABIC \s 1 </w:instrText>
      </w:r>
      <w:r>
        <w:fldChar w:fldCharType="separate"/>
      </w:r>
      <w:r w:rsidR="00BF015B">
        <w:rPr>
          <w:noProof/>
        </w:rPr>
        <w:t>7</w:t>
      </w:r>
      <w:r>
        <w:fldChar w:fldCharType="end"/>
      </w:r>
      <w:bookmarkEnd w:id="292"/>
      <w:r>
        <w:t xml:space="preserve">: Proportion of Black Box in </w:t>
      </w:r>
      <w:r w:rsidR="008344E6">
        <w:t>a</w:t>
      </w:r>
      <w:r>
        <w:t xml:space="preserve">reas of </w:t>
      </w:r>
      <w:r w:rsidR="008344E6">
        <w:t>s</w:t>
      </w:r>
      <w:r>
        <w:t xml:space="preserve">aline and </w:t>
      </w:r>
      <w:r w:rsidR="008344E6">
        <w:t>n</w:t>
      </w:r>
      <w:r>
        <w:t>on-</w:t>
      </w:r>
      <w:r w:rsidR="008344E6">
        <w:t>s</w:t>
      </w:r>
      <w:r>
        <w:t xml:space="preserve">aline </w:t>
      </w:r>
      <w:r w:rsidR="008344E6">
        <w:t>g</w:t>
      </w:r>
      <w:r>
        <w:t>roundwater</w:t>
      </w:r>
      <w:bookmarkEnd w:id="293"/>
    </w:p>
    <w:tbl>
      <w:tblPr>
        <w:tblW w:w="9498" w:type="dxa"/>
        <w:tblInd w:w="-5" w:type="dxa"/>
        <w:tblLook w:val="04A0" w:firstRow="1" w:lastRow="0" w:firstColumn="1" w:lastColumn="0" w:noHBand="0" w:noVBand="1"/>
      </w:tblPr>
      <w:tblGrid>
        <w:gridCol w:w="1960"/>
        <w:gridCol w:w="1442"/>
        <w:gridCol w:w="1276"/>
        <w:gridCol w:w="1276"/>
        <w:gridCol w:w="1134"/>
        <w:gridCol w:w="1276"/>
        <w:gridCol w:w="1134"/>
      </w:tblGrid>
      <w:tr w:rsidR="00C354CD" w:rsidRPr="00345650" w14:paraId="146D8C6D" w14:textId="77777777" w:rsidTr="00AD0E29">
        <w:trPr>
          <w:trHeight w:val="705"/>
        </w:trPr>
        <w:tc>
          <w:tcPr>
            <w:tcW w:w="1960" w:type="dxa"/>
            <w:tcBorders>
              <w:top w:val="single" w:sz="4" w:space="0" w:color="auto"/>
              <w:left w:val="single" w:sz="4" w:space="0" w:color="auto"/>
              <w:bottom w:val="single" w:sz="4" w:space="0" w:color="auto"/>
              <w:right w:val="single" w:sz="4" w:space="0" w:color="auto"/>
            </w:tcBorders>
            <w:shd w:val="clear" w:color="000000" w:fill="65876D"/>
            <w:vAlign w:val="center"/>
            <w:hideMark/>
          </w:tcPr>
          <w:p w14:paraId="2927C3DD" w14:textId="77777777" w:rsidR="00C354CD" w:rsidRPr="00345650" w:rsidRDefault="00C354CD" w:rsidP="00AD0E29">
            <w:pPr>
              <w:spacing w:after="0" w:line="240" w:lineRule="auto"/>
              <w:jc w:val="center"/>
              <w:rPr>
                <w:rFonts w:ascii="Arial Black" w:eastAsia="Times New Roman" w:hAnsi="Arial Black" w:cs="Arial"/>
                <w:b/>
                <w:bCs/>
                <w:color w:val="FFFFFF"/>
                <w:sz w:val="16"/>
                <w:szCs w:val="16"/>
                <w:lang w:eastAsia="en-AU"/>
              </w:rPr>
            </w:pPr>
            <w:r w:rsidRPr="00345650">
              <w:rPr>
                <w:rFonts w:ascii="Arial Black" w:eastAsia="Times New Roman" w:hAnsi="Arial Black" w:cs="Arial"/>
                <w:b/>
                <w:bCs/>
                <w:color w:val="FFFFFF" w:themeColor="background1"/>
                <w:sz w:val="16"/>
                <w:szCs w:val="16"/>
                <w:lang w:eastAsia="en-AU"/>
              </w:rPr>
              <w:t>Basin Plan Regions</w:t>
            </w:r>
          </w:p>
        </w:tc>
        <w:tc>
          <w:tcPr>
            <w:tcW w:w="2718" w:type="dxa"/>
            <w:gridSpan w:val="2"/>
            <w:tcBorders>
              <w:top w:val="single" w:sz="4" w:space="0" w:color="auto"/>
              <w:left w:val="nil"/>
              <w:bottom w:val="single" w:sz="4" w:space="0" w:color="auto"/>
              <w:right w:val="single" w:sz="4" w:space="0" w:color="000000"/>
            </w:tcBorders>
            <w:shd w:val="clear" w:color="000000" w:fill="65876D"/>
            <w:vAlign w:val="center"/>
            <w:hideMark/>
          </w:tcPr>
          <w:p w14:paraId="7591CB26" w14:textId="77777777" w:rsidR="00C354CD" w:rsidRPr="00345650" w:rsidRDefault="00C354CD" w:rsidP="00AD0E29">
            <w:pPr>
              <w:spacing w:after="0" w:line="240" w:lineRule="auto"/>
              <w:jc w:val="center"/>
              <w:rPr>
                <w:rFonts w:ascii="Arial Black" w:eastAsia="Times New Roman" w:hAnsi="Arial Black" w:cs="Arial"/>
                <w:b/>
                <w:bCs/>
                <w:color w:val="FFFFFF"/>
                <w:sz w:val="16"/>
                <w:szCs w:val="16"/>
                <w:lang w:eastAsia="en-AU"/>
              </w:rPr>
            </w:pPr>
            <w:r w:rsidRPr="00345650">
              <w:rPr>
                <w:rFonts w:ascii="Arial Black" w:eastAsia="Times New Roman" w:hAnsi="Arial Black" w:cs="Arial"/>
                <w:b/>
                <w:bCs/>
                <w:color w:val="FFFFFF" w:themeColor="background1"/>
                <w:sz w:val="16"/>
                <w:szCs w:val="16"/>
                <w:lang w:eastAsia="en-AU"/>
              </w:rPr>
              <w:t>Black Box in areas of Fresh (&lt;35,000mg/L) groundwater</w:t>
            </w:r>
          </w:p>
        </w:tc>
        <w:tc>
          <w:tcPr>
            <w:tcW w:w="2410" w:type="dxa"/>
            <w:gridSpan w:val="2"/>
            <w:tcBorders>
              <w:top w:val="single" w:sz="4" w:space="0" w:color="auto"/>
              <w:left w:val="nil"/>
              <w:bottom w:val="single" w:sz="4" w:space="0" w:color="auto"/>
              <w:right w:val="single" w:sz="4" w:space="0" w:color="000000"/>
            </w:tcBorders>
            <w:shd w:val="clear" w:color="000000" w:fill="65876D"/>
            <w:vAlign w:val="center"/>
            <w:hideMark/>
          </w:tcPr>
          <w:p w14:paraId="752B7726" w14:textId="77777777" w:rsidR="00C354CD" w:rsidRPr="00345650" w:rsidRDefault="00C354CD" w:rsidP="00AD0E29">
            <w:pPr>
              <w:spacing w:after="0" w:line="240" w:lineRule="auto"/>
              <w:jc w:val="center"/>
              <w:rPr>
                <w:rFonts w:ascii="Arial Black" w:eastAsia="Times New Roman" w:hAnsi="Arial Black" w:cs="Arial"/>
                <w:b/>
                <w:bCs/>
                <w:color w:val="FFFFFF"/>
                <w:sz w:val="16"/>
                <w:szCs w:val="16"/>
                <w:lang w:eastAsia="en-AU"/>
              </w:rPr>
            </w:pPr>
            <w:r w:rsidRPr="00345650">
              <w:rPr>
                <w:rFonts w:ascii="Arial Black" w:eastAsia="Times New Roman" w:hAnsi="Arial Black" w:cs="Arial"/>
                <w:b/>
                <w:bCs/>
                <w:color w:val="FFFFFF" w:themeColor="background1"/>
                <w:sz w:val="16"/>
                <w:szCs w:val="16"/>
                <w:lang w:eastAsia="en-AU"/>
              </w:rPr>
              <w:t>Black Box in areas of Saline (&gt;35,000mg/L) groundwater</w:t>
            </w:r>
          </w:p>
        </w:tc>
        <w:tc>
          <w:tcPr>
            <w:tcW w:w="2410" w:type="dxa"/>
            <w:gridSpan w:val="2"/>
            <w:tcBorders>
              <w:top w:val="single" w:sz="4" w:space="0" w:color="auto"/>
              <w:left w:val="nil"/>
              <w:bottom w:val="single" w:sz="4" w:space="0" w:color="auto"/>
              <w:right w:val="single" w:sz="4" w:space="0" w:color="000000"/>
            </w:tcBorders>
            <w:shd w:val="clear" w:color="000000" w:fill="65876D"/>
            <w:vAlign w:val="center"/>
            <w:hideMark/>
          </w:tcPr>
          <w:p w14:paraId="1F86E0DF" w14:textId="77777777" w:rsidR="00C354CD" w:rsidRPr="00345650" w:rsidRDefault="00C354CD" w:rsidP="00AD0E29">
            <w:pPr>
              <w:spacing w:after="0" w:line="240" w:lineRule="auto"/>
              <w:jc w:val="center"/>
              <w:rPr>
                <w:rFonts w:ascii="Arial Black" w:eastAsia="Times New Roman" w:hAnsi="Arial Black" w:cs="Arial"/>
                <w:b/>
                <w:bCs/>
                <w:color w:val="FFFFFF"/>
                <w:sz w:val="16"/>
                <w:szCs w:val="16"/>
                <w:lang w:eastAsia="en-AU"/>
              </w:rPr>
            </w:pPr>
            <w:r w:rsidRPr="00345650">
              <w:rPr>
                <w:rFonts w:ascii="Arial Black" w:eastAsia="Times New Roman" w:hAnsi="Arial Black" w:cs="Arial"/>
                <w:b/>
                <w:bCs/>
                <w:color w:val="FFFFFF" w:themeColor="background1"/>
                <w:sz w:val="16"/>
                <w:szCs w:val="16"/>
                <w:lang w:eastAsia="en-AU"/>
              </w:rPr>
              <w:t>Missing data</w:t>
            </w:r>
          </w:p>
        </w:tc>
      </w:tr>
      <w:tr w:rsidR="00C354CD" w:rsidRPr="00345650" w14:paraId="79979F4D" w14:textId="77777777" w:rsidTr="00AD0E29">
        <w:trPr>
          <w:trHeight w:val="255"/>
        </w:trPr>
        <w:tc>
          <w:tcPr>
            <w:tcW w:w="1960" w:type="dxa"/>
            <w:tcBorders>
              <w:top w:val="nil"/>
              <w:left w:val="single" w:sz="4" w:space="0" w:color="auto"/>
              <w:bottom w:val="single" w:sz="4" w:space="0" w:color="auto"/>
              <w:right w:val="single" w:sz="4" w:space="0" w:color="auto"/>
            </w:tcBorders>
            <w:shd w:val="clear" w:color="000000" w:fill="65876D"/>
            <w:vAlign w:val="center"/>
            <w:hideMark/>
          </w:tcPr>
          <w:p w14:paraId="49B0FB07" w14:textId="77777777" w:rsidR="00C354CD" w:rsidRPr="00345650" w:rsidRDefault="00C354CD" w:rsidP="00AD0E29">
            <w:pPr>
              <w:spacing w:after="0" w:line="240" w:lineRule="auto"/>
              <w:jc w:val="center"/>
              <w:rPr>
                <w:rFonts w:ascii="Arial Black" w:eastAsia="Times New Roman" w:hAnsi="Arial Black" w:cs="Arial"/>
                <w:b/>
                <w:bCs/>
                <w:color w:val="FFFFFF"/>
                <w:sz w:val="16"/>
                <w:szCs w:val="16"/>
                <w:lang w:eastAsia="en-AU"/>
              </w:rPr>
            </w:pPr>
            <w:r w:rsidRPr="00345650">
              <w:rPr>
                <w:rFonts w:ascii="Arial Black" w:eastAsia="Times New Roman" w:hAnsi="Arial Black" w:cs="Arial"/>
                <w:b/>
                <w:bCs/>
                <w:color w:val="FFFFFF" w:themeColor="background1"/>
                <w:sz w:val="16"/>
                <w:szCs w:val="16"/>
                <w:lang w:eastAsia="en-AU"/>
              </w:rPr>
              <w:t> </w:t>
            </w:r>
          </w:p>
        </w:tc>
        <w:tc>
          <w:tcPr>
            <w:tcW w:w="1442" w:type="dxa"/>
            <w:tcBorders>
              <w:top w:val="nil"/>
              <w:left w:val="nil"/>
              <w:bottom w:val="single" w:sz="4" w:space="0" w:color="auto"/>
              <w:right w:val="single" w:sz="4" w:space="0" w:color="auto"/>
            </w:tcBorders>
            <w:shd w:val="clear" w:color="000000" w:fill="65876D"/>
            <w:vAlign w:val="center"/>
            <w:hideMark/>
          </w:tcPr>
          <w:p w14:paraId="259B15AF" w14:textId="77777777" w:rsidR="00C354CD" w:rsidRPr="00345650" w:rsidRDefault="00C354CD" w:rsidP="00AD0E29">
            <w:pPr>
              <w:spacing w:after="0" w:line="240" w:lineRule="auto"/>
              <w:jc w:val="center"/>
              <w:rPr>
                <w:rFonts w:ascii="Arial Black" w:eastAsia="Times New Roman" w:hAnsi="Arial Black" w:cs="Arial"/>
                <w:b/>
                <w:bCs/>
                <w:color w:val="FFFFFF"/>
                <w:sz w:val="16"/>
                <w:szCs w:val="16"/>
                <w:lang w:eastAsia="en-AU"/>
              </w:rPr>
            </w:pPr>
            <w:r w:rsidRPr="00345650">
              <w:rPr>
                <w:rFonts w:ascii="Arial Black" w:eastAsia="Times New Roman" w:hAnsi="Arial Black" w:cs="Arial"/>
                <w:b/>
                <w:bCs/>
                <w:color w:val="FFFFFF" w:themeColor="background1"/>
                <w:sz w:val="16"/>
                <w:szCs w:val="16"/>
                <w:lang w:eastAsia="en-AU"/>
              </w:rPr>
              <w:t>Area (Ha)</w:t>
            </w:r>
          </w:p>
        </w:tc>
        <w:tc>
          <w:tcPr>
            <w:tcW w:w="1276" w:type="dxa"/>
            <w:tcBorders>
              <w:top w:val="nil"/>
              <w:left w:val="nil"/>
              <w:bottom w:val="single" w:sz="4" w:space="0" w:color="auto"/>
              <w:right w:val="single" w:sz="4" w:space="0" w:color="auto"/>
            </w:tcBorders>
            <w:shd w:val="clear" w:color="000000" w:fill="65876D"/>
            <w:vAlign w:val="center"/>
            <w:hideMark/>
          </w:tcPr>
          <w:p w14:paraId="499BA1C1" w14:textId="77777777" w:rsidR="00C354CD" w:rsidRPr="00345650" w:rsidRDefault="00C354CD" w:rsidP="00AD0E29">
            <w:pPr>
              <w:spacing w:after="0" w:line="240" w:lineRule="auto"/>
              <w:jc w:val="center"/>
              <w:rPr>
                <w:rFonts w:ascii="Arial Black" w:eastAsia="Times New Roman" w:hAnsi="Arial Black" w:cs="Arial"/>
                <w:b/>
                <w:bCs/>
                <w:color w:val="FFFFFF"/>
                <w:sz w:val="16"/>
                <w:szCs w:val="16"/>
                <w:lang w:eastAsia="en-AU"/>
              </w:rPr>
            </w:pPr>
            <w:r w:rsidRPr="00345650">
              <w:rPr>
                <w:rFonts w:ascii="Arial Black" w:eastAsia="Times New Roman" w:hAnsi="Arial Black" w:cs="Arial"/>
                <w:b/>
                <w:bCs/>
                <w:color w:val="FFFFFF" w:themeColor="background1"/>
                <w:sz w:val="16"/>
                <w:szCs w:val="16"/>
                <w:lang w:eastAsia="en-AU"/>
              </w:rPr>
              <w:t>%</w:t>
            </w:r>
          </w:p>
        </w:tc>
        <w:tc>
          <w:tcPr>
            <w:tcW w:w="1276" w:type="dxa"/>
            <w:tcBorders>
              <w:top w:val="nil"/>
              <w:left w:val="nil"/>
              <w:bottom w:val="single" w:sz="4" w:space="0" w:color="auto"/>
              <w:right w:val="single" w:sz="4" w:space="0" w:color="auto"/>
            </w:tcBorders>
            <w:shd w:val="clear" w:color="000000" w:fill="65876D"/>
            <w:vAlign w:val="center"/>
            <w:hideMark/>
          </w:tcPr>
          <w:p w14:paraId="72995861" w14:textId="77777777" w:rsidR="00C354CD" w:rsidRPr="00345650" w:rsidRDefault="00C354CD" w:rsidP="00AD0E29">
            <w:pPr>
              <w:spacing w:after="0" w:line="240" w:lineRule="auto"/>
              <w:jc w:val="center"/>
              <w:rPr>
                <w:rFonts w:ascii="Arial Black" w:eastAsia="Times New Roman" w:hAnsi="Arial Black" w:cs="Arial"/>
                <w:b/>
                <w:bCs/>
                <w:color w:val="FFFFFF"/>
                <w:sz w:val="16"/>
                <w:szCs w:val="16"/>
                <w:lang w:eastAsia="en-AU"/>
              </w:rPr>
            </w:pPr>
            <w:r w:rsidRPr="00345650">
              <w:rPr>
                <w:rFonts w:ascii="Arial Black" w:eastAsia="Times New Roman" w:hAnsi="Arial Black" w:cs="Arial"/>
                <w:b/>
                <w:bCs/>
                <w:color w:val="FFFFFF" w:themeColor="background1"/>
                <w:sz w:val="16"/>
                <w:szCs w:val="16"/>
                <w:lang w:eastAsia="en-AU"/>
              </w:rPr>
              <w:t>Area (Ha)</w:t>
            </w:r>
          </w:p>
        </w:tc>
        <w:tc>
          <w:tcPr>
            <w:tcW w:w="1134" w:type="dxa"/>
            <w:tcBorders>
              <w:top w:val="nil"/>
              <w:left w:val="nil"/>
              <w:bottom w:val="single" w:sz="4" w:space="0" w:color="auto"/>
              <w:right w:val="single" w:sz="4" w:space="0" w:color="auto"/>
            </w:tcBorders>
            <w:shd w:val="clear" w:color="000000" w:fill="65876D"/>
            <w:vAlign w:val="center"/>
            <w:hideMark/>
          </w:tcPr>
          <w:p w14:paraId="7FE07752" w14:textId="77777777" w:rsidR="00C354CD" w:rsidRPr="00345650" w:rsidRDefault="00C354CD" w:rsidP="00AD0E29">
            <w:pPr>
              <w:spacing w:after="0" w:line="240" w:lineRule="auto"/>
              <w:jc w:val="center"/>
              <w:rPr>
                <w:rFonts w:ascii="Arial Black" w:eastAsia="Times New Roman" w:hAnsi="Arial Black" w:cs="Arial"/>
                <w:b/>
                <w:bCs/>
                <w:color w:val="FFFFFF"/>
                <w:sz w:val="16"/>
                <w:szCs w:val="16"/>
                <w:lang w:eastAsia="en-AU"/>
              </w:rPr>
            </w:pPr>
            <w:r w:rsidRPr="00345650">
              <w:rPr>
                <w:rFonts w:ascii="Arial Black" w:eastAsia="Times New Roman" w:hAnsi="Arial Black" w:cs="Arial"/>
                <w:b/>
                <w:bCs/>
                <w:color w:val="FFFFFF" w:themeColor="background1"/>
                <w:sz w:val="16"/>
                <w:szCs w:val="16"/>
                <w:lang w:eastAsia="en-AU"/>
              </w:rPr>
              <w:t>%</w:t>
            </w:r>
          </w:p>
        </w:tc>
        <w:tc>
          <w:tcPr>
            <w:tcW w:w="1276" w:type="dxa"/>
            <w:tcBorders>
              <w:top w:val="nil"/>
              <w:left w:val="nil"/>
              <w:bottom w:val="single" w:sz="4" w:space="0" w:color="auto"/>
              <w:right w:val="single" w:sz="4" w:space="0" w:color="auto"/>
            </w:tcBorders>
            <w:shd w:val="clear" w:color="000000" w:fill="65876D"/>
            <w:vAlign w:val="center"/>
            <w:hideMark/>
          </w:tcPr>
          <w:p w14:paraId="614E8F2E" w14:textId="77777777" w:rsidR="00C354CD" w:rsidRPr="00345650" w:rsidRDefault="00C354CD" w:rsidP="00AD0E29">
            <w:pPr>
              <w:spacing w:after="0" w:line="240" w:lineRule="auto"/>
              <w:jc w:val="center"/>
              <w:rPr>
                <w:rFonts w:ascii="Arial Black" w:eastAsia="Times New Roman" w:hAnsi="Arial Black" w:cs="Arial"/>
                <w:b/>
                <w:bCs/>
                <w:color w:val="FFFFFF"/>
                <w:sz w:val="16"/>
                <w:szCs w:val="16"/>
                <w:lang w:eastAsia="en-AU"/>
              </w:rPr>
            </w:pPr>
            <w:r w:rsidRPr="00345650">
              <w:rPr>
                <w:rFonts w:ascii="Arial Black" w:eastAsia="Times New Roman" w:hAnsi="Arial Black" w:cs="Arial"/>
                <w:b/>
                <w:bCs/>
                <w:color w:val="FFFFFF" w:themeColor="background1"/>
                <w:sz w:val="16"/>
                <w:szCs w:val="16"/>
                <w:lang w:eastAsia="en-AU"/>
              </w:rPr>
              <w:t>Area (Ha)</w:t>
            </w:r>
          </w:p>
        </w:tc>
        <w:tc>
          <w:tcPr>
            <w:tcW w:w="1134" w:type="dxa"/>
            <w:tcBorders>
              <w:top w:val="nil"/>
              <w:left w:val="nil"/>
              <w:bottom w:val="single" w:sz="4" w:space="0" w:color="auto"/>
              <w:right w:val="single" w:sz="4" w:space="0" w:color="auto"/>
            </w:tcBorders>
            <w:shd w:val="clear" w:color="000000" w:fill="65876D"/>
            <w:vAlign w:val="center"/>
            <w:hideMark/>
          </w:tcPr>
          <w:p w14:paraId="1DD7C46F" w14:textId="77777777" w:rsidR="00C354CD" w:rsidRPr="00345650" w:rsidRDefault="00C354CD" w:rsidP="00AD0E29">
            <w:pPr>
              <w:spacing w:after="0" w:line="240" w:lineRule="auto"/>
              <w:jc w:val="center"/>
              <w:rPr>
                <w:rFonts w:ascii="Arial Black" w:eastAsia="Times New Roman" w:hAnsi="Arial Black" w:cs="Arial"/>
                <w:b/>
                <w:bCs/>
                <w:color w:val="FFFFFF"/>
                <w:sz w:val="16"/>
                <w:szCs w:val="16"/>
                <w:lang w:eastAsia="en-AU"/>
              </w:rPr>
            </w:pPr>
            <w:r w:rsidRPr="00345650">
              <w:rPr>
                <w:rFonts w:ascii="Arial Black" w:eastAsia="Times New Roman" w:hAnsi="Arial Black" w:cs="Arial"/>
                <w:b/>
                <w:bCs/>
                <w:color w:val="FFFFFF" w:themeColor="background1"/>
                <w:sz w:val="16"/>
                <w:szCs w:val="16"/>
                <w:lang w:eastAsia="en-AU"/>
              </w:rPr>
              <w:t>%</w:t>
            </w:r>
          </w:p>
        </w:tc>
      </w:tr>
      <w:tr w:rsidR="00C354CD" w:rsidRPr="00345650" w14:paraId="4C6916AF"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8C74A07" w14:textId="77777777"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Barwon-Darling</w:t>
            </w:r>
          </w:p>
        </w:tc>
        <w:tc>
          <w:tcPr>
            <w:tcW w:w="1442" w:type="dxa"/>
            <w:tcBorders>
              <w:top w:val="nil"/>
              <w:left w:val="nil"/>
              <w:bottom w:val="single" w:sz="4" w:space="0" w:color="auto"/>
              <w:right w:val="single" w:sz="4" w:space="0" w:color="auto"/>
            </w:tcBorders>
            <w:shd w:val="clear" w:color="auto" w:fill="auto"/>
            <w:vAlign w:val="center"/>
            <w:hideMark/>
          </w:tcPr>
          <w:p w14:paraId="206FCE87"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61,850</w:t>
            </w:r>
          </w:p>
        </w:tc>
        <w:tc>
          <w:tcPr>
            <w:tcW w:w="1276" w:type="dxa"/>
            <w:tcBorders>
              <w:top w:val="nil"/>
              <w:left w:val="nil"/>
              <w:bottom w:val="single" w:sz="4" w:space="0" w:color="auto"/>
              <w:right w:val="single" w:sz="4" w:space="0" w:color="auto"/>
            </w:tcBorders>
            <w:shd w:val="clear" w:color="auto" w:fill="auto"/>
            <w:vAlign w:val="center"/>
            <w:hideMark/>
          </w:tcPr>
          <w:p w14:paraId="7C52DEAA"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100%</w:t>
            </w:r>
          </w:p>
        </w:tc>
        <w:tc>
          <w:tcPr>
            <w:tcW w:w="1276" w:type="dxa"/>
            <w:tcBorders>
              <w:top w:val="nil"/>
              <w:left w:val="nil"/>
              <w:bottom w:val="single" w:sz="4" w:space="0" w:color="auto"/>
              <w:right w:val="single" w:sz="4" w:space="0" w:color="auto"/>
            </w:tcBorders>
            <w:shd w:val="clear" w:color="auto" w:fill="auto"/>
            <w:vAlign w:val="center"/>
            <w:hideMark/>
          </w:tcPr>
          <w:p w14:paraId="123526DB"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1C206638"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276" w:type="dxa"/>
            <w:tcBorders>
              <w:top w:val="nil"/>
              <w:left w:val="nil"/>
              <w:bottom w:val="single" w:sz="4" w:space="0" w:color="auto"/>
              <w:right w:val="single" w:sz="4" w:space="0" w:color="auto"/>
            </w:tcBorders>
            <w:shd w:val="clear" w:color="auto" w:fill="auto"/>
            <w:vAlign w:val="center"/>
            <w:hideMark/>
          </w:tcPr>
          <w:p w14:paraId="21FE30D6"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2FA447F4"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r>
      <w:tr w:rsidR="00C354CD" w:rsidRPr="00345650" w14:paraId="31BFC5B0"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76981681" w14:textId="77777777"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Moonie</w:t>
            </w:r>
          </w:p>
        </w:tc>
        <w:tc>
          <w:tcPr>
            <w:tcW w:w="1442" w:type="dxa"/>
            <w:tcBorders>
              <w:top w:val="nil"/>
              <w:left w:val="nil"/>
              <w:bottom w:val="single" w:sz="4" w:space="0" w:color="auto"/>
              <w:right w:val="single" w:sz="4" w:space="0" w:color="auto"/>
            </w:tcBorders>
            <w:shd w:val="clear" w:color="auto" w:fill="auto"/>
            <w:vAlign w:val="center"/>
            <w:hideMark/>
          </w:tcPr>
          <w:p w14:paraId="43A45863"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8,390</w:t>
            </w:r>
          </w:p>
        </w:tc>
        <w:tc>
          <w:tcPr>
            <w:tcW w:w="1276" w:type="dxa"/>
            <w:tcBorders>
              <w:top w:val="nil"/>
              <w:left w:val="nil"/>
              <w:bottom w:val="single" w:sz="4" w:space="0" w:color="auto"/>
              <w:right w:val="single" w:sz="4" w:space="0" w:color="auto"/>
            </w:tcBorders>
            <w:shd w:val="clear" w:color="auto" w:fill="auto"/>
            <w:vAlign w:val="center"/>
            <w:hideMark/>
          </w:tcPr>
          <w:p w14:paraId="12DF9BD2"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100%</w:t>
            </w:r>
          </w:p>
        </w:tc>
        <w:tc>
          <w:tcPr>
            <w:tcW w:w="1276" w:type="dxa"/>
            <w:tcBorders>
              <w:top w:val="nil"/>
              <w:left w:val="nil"/>
              <w:bottom w:val="single" w:sz="4" w:space="0" w:color="auto"/>
              <w:right w:val="single" w:sz="4" w:space="0" w:color="auto"/>
            </w:tcBorders>
            <w:shd w:val="clear" w:color="auto" w:fill="auto"/>
            <w:vAlign w:val="center"/>
            <w:hideMark/>
          </w:tcPr>
          <w:p w14:paraId="27697034"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1302351D"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276" w:type="dxa"/>
            <w:tcBorders>
              <w:top w:val="nil"/>
              <w:left w:val="nil"/>
              <w:bottom w:val="single" w:sz="4" w:space="0" w:color="auto"/>
              <w:right w:val="single" w:sz="4" w:space="0" w:color="auto"/>
            </w:tcBorders>
            <w:shd w:val="clear" w:color="auto" w:fill="auto"/>
            <w:vAlign w:val="center"/>
            <w:hideMark/>
          </w:tcPr>
          <w:p w14:paraId="56BC522E"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11A994D7"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r>
      <w:tr w:rsidR="00C354CD" w:rsidRPr="00345650" w14:paraId="1C97B77E"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50FB2A7" w14:textId="77777777"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Campaspe</w:t>
            </w:r>
          </w:p>
        </w:tc>
        <w:tc>
          <w:tcPr>
            <w:tcW w:w="1442" w:type="dxa"/>
            <w:tcBorders>
              <w:top w:val="nil"/>
              <w:left w:val="nil"/>
              <w:bottom w:val="single" w:sz="4" w:space="0" w:color="auto"/>
              <w:right w:val="single" w:sz="4" w:space="0" w:color="auto"/>
            </w:tcBorders>
            <w:shd w:val="clear" w:color="auto" w:fill="auto"/>
            <w:vAlign w:val="center"/>
            <w:hideMark/>
          </w:tcPr>
          <w:p w14:paraId="66456F9B"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310</w:t>
            </w:r>
          </w:p>
        </w:tc>
        <w:tc>
          <w:tcPr>
            <w:tcW w:w="1276" w:type="dxa"/>
            <w:tcBorders>
              <w:top w:val="nil"/>
              <w:left w:val="nil"/>
              <w:bottom w:val="single" w:sz="4" w:space="0" w:color="auto"/>
              <w:right w:val="single" w:sz="4" w:space="0" w:color="auto"/>
            </w:tcBorders>
            <w:shd w:val="clear" w:color="auto" w:fill="auto"/>
            <w:vAlign w:val="center"/>
            <w:hideMark/>
          </w:tcPr>
          <w:p w14:paraId="10D77D54"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100%</w:t>
            </w:r>
          </w:p>
        </w:tc>
        <w:tc>
          <w:tcPr>
            <w:tcW w:w="1276" w:type="dxa"/>
            <w:tcBorders>
              <w:top w:val="nil"/>
              <w:left w:val="nil"/>
              <w:bottom w:val="single" w:sz="4" w:space="0" w:color="auto"/>
              <w:right w:val="single" w:sz="4" w:space="0" w:color="auto"/>
            </w:tcBorders>
            <w:shd w:val="clear" w:color="auto" w:fill="auto"/>
            <w:vAlign w:val="center"/>
            <w:hideMark/>
          </w:tcPr>
          <w:p w14:paraId="35EFC832"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4AE00759"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276" w:type="dxa"/>
            <w:tcBorders>
              <w:top w:val="nil"/>
              <w:left w:val="nil"/>
              <w:bottom w:val="single" w:sz="4" w:space="0" w:color="auto"/>
              <w:right w:val="single" w:sz="4" w:space="0" w:color="auto"/>
            </w:tcBorders>
            <w:shd w:val="clear" w:color="auto" w:fill="auto"/>
            <w:vAlign w:val="center"/>
            <w:hideMark/>
          </w:tcPr>
          <w:p w14:paraId="0F86AB5D"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3C68D3F2"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r>
      <w:tr w:rsidR="00C354CD" w:rsidRPr="00345650" w14:paraId="655E7796" w14:textId="77777777" w:rsidTr="00AD0E29">
        <w:trPr>
          <w:trHeight w:val="51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036728AE" w14:textId="77777777"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Macquarie-Castle</w:t>
            </w:r>
            <w:r>
              <w:rPr>
                <w:rFonts w:eastAsia="Times New Roman" w:cs="Arial"/>
                <w:szCs w:val="20"/>
                <w:lang w:eastAsia="en-AU"/>
              </w:rPr>
              <w:t>r</w:t>
            </w:r>
            <w:r w:rsidRPr="00345650">
              <w:rPr>
                <w:rFonts w:eastAsia="Times New Roman" w:cs="Arial"/>
                <w:szCs w:val="20"/>
                <w:lang w:eastAsia="en-AU"/>
              </w:rPr>
              <w:t>eagh</w:t>
            </w:r>
          </w:p>
        </w:tc>
        <w:tc>
          <w:tcPr>
            <w:tcW w:w="1442" w:type="dxa"/>
            <w:tcBorders>
              <w:top w:val="nil"/>
              <w:left w:val="nil"/>
              <w:bottom w:val="single" w:sz="4" w:space="0" w:color="auto"/>
              <w:right w:val="single" w:sz="4" w:space="0" w:color="auto"/>
            </w:tcBorders>
            <w:shd w:val="clear" w:color="auto" w:fill="auto"/>
            <w:vAlign w:val="center"/>
            <w:hideMark/>
          </w:tcPr>
          <w:p w14:paraId="27904EC3"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159,140</w:t>
            </w:r>
          </w:p>
        </w:tc>
        <w:tc>
          <w:tcPr>
            <w:tcW w:w="1276" w:type="dxa"/>
            <w:tcBorders>
              <w:top w:val="nil"/>
              <w:left w:val="nil"/>
              <w:bottom w:val="single" w:sz="4" w:space="0" w:color="auto"/>
              <w:right w:val="single" w:sz="4" w:space="0" w:color="auto"/>
            </w:tcBorders>
            <w:shd w:val="clear" w:color="auto" w:fill="auto"/>
            <w:vAlign w:val="center"/>
            <w:hideMark/>
          </w:tcPr>
          <w:p w14:paraId="662A677A"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85%</w:t>
            </w:r>
          </w:p>
        </w:tc>
        <w:tc>
          <w:tcPr>
            <w:tcW w:w="1276" w:type="dxa"/>
            <w:tcBorders>
              <w:top w:val="nil"/>
              <w:left w:val="nil"/>
              <w:bottom w:val="single" w:sz="4" w:space="0" w:color="auto"/>
              <w:right w:val="single" w:sz="4" w:space="0" w:color="auto"/>
            </w:tcBorders>
            <w:shd w:val="clear" w:color="auto" w:fill="auto"/>
            <w:vAlign w:val="center"/>
            <w:hideMark/>
          </w:tcPr>
          <w:p w14:paraId="03D0AEF5"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28,070</w:t>
            </w:r>
          </w:p>
        </w:tc>
        <w:tc>
          <w:tcPr>
            <w:tcW w:w="1134" w:type="dxa"/>
            <w:tcBorders>
              <w:top w:val="nil"/>
              <w:left w:val="nil"/>
              <w:bottom w:val="single" w:sz="4" w:space="0" w:color="auto"/>
              <w:right w:val="single" w:sz="4" w:space="0" w:color="auto"/>
            </w:tcBorders>
            <w:shd w:val="clear" w:color="auto" w:fill="auto"/>
            <w:vAlign w:val="center"/>
            <w:hideMark/>
          </w:tcPr>
          <w:p w14:paraId="77D4953D"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15%</w:t>
            </w:r>
          </w:p>
        </w:tc>
        <w:tc>
          <w:tcPr>
            <w:tcW w:w="1276" w:type="dxa"/>
            <w:tcBorders>
              <w:top w:val="nil"/>
              <w:left w:val="nil"/>
              <w:bottom w:val="single" w:sz="4" w:space="0" w:color="auto"/>
              <w:right w:val="single" w:sz="4" w:space="0" w:color="auto"/>
            </w:tcBorders>
            <w:shd w:val="clear" w:color="auto" w:fill="auto"/>
            <w:vAlign w:val="center"/>
            <w:hideMark/>
          </w:tcPr>
          <w:p w14:paraId="316E33C1"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6BC450D9"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r>
      <w:tr w:rsidR="00C354CD" w:rsidRPr="00345650" w14:paraId="23B63033"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741E9EEA" w14:textId="77777777"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Lachlan</w:t>
            </w:r>
          </w:p>
        </w:tc>
        <w:tc>
          <w:tcPr>
            <w:tcW w:w="1442" w:type="dxa"/>
            <w:tcBorders>
              <w:top w:val="nil"/>
              <w:left w:val="nil"/>
              <w:bottom w:val="single" w:sz="4" w:space="0" w:color="auto"/>
              <w:right w:val="single" w:sz="4" w:space="0" w:color="auto"/>
            </w:tcBorders>
            <w:shd w:val="clear" w:color="auto" w:fill="auto"/>
            <w:vAlign w:val="center"/>
            <w:hideMark/>
          </w:tcPr>
          <w:p w14:paraId="55C366A6"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71,280</w:t>
            </w:r>
          </w:p>
        </w:tc>
        <w:tc>
          <w:tcPr>
            <w:tcW w:w="1276" w:type="dxa"/>
            <w:tcBorders>
              <w:top w:val="nil"/>
              <w:left w:val="nil"/>
              <w:bottom w:val="single" w:sz="4" w:space="0" w:color="auto"/>
              <w:right w:val="single" w:sz="4" w:space="0" w:color="auto"/>
            </w:tcBorders>
            <w:shd w:val="clear" w:color="auto" w:fill="auto"/>
            <w:vAlign w:val="center"/>
            <w:hideMark/>
          </w:tcPr>
          <w:p w14:paraId="4445E105"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91%</w:t>
            </w:r>
          </w:p>
        </w:tc>
        <w:tc>
          <w:tcPr>
            <w:tcW w:w="1276" w:type="dxa"/>
            <w:tcBorders>
              <w:top w:val="nil"/>
              <w:left w:val="nil"/>
              <w:bottom w:val="single" w:sz="4" w:space="0" w:color="auto"/>
              <w:right w:val="single" w:sz="4" w:space="0" w:color="auto"/>
            </w:tcBorders>
            <w:shd w:val="clear" w:color="auto" w:fill="auto"/>
            <w:vAlign w:val="center"/>
            <w:hideMark/>
          </w:tcPr>
          <w:p w14:paraId="47D65A2D"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350</w:t>
            </w:r>
          </w:p>
        </w:tc>
        <w:tc>
          <w:tcPr>
            <w:tcW w:w="1134" w:type="dxa"/>
            <w:tcBorders>
              <w:top w:val="nil"/>
              <w:left w:val="nil"/>
              <w:bottom w:val="single" w:sz="4" w:space="0" w:color="auto"/>
              <w:right w:val="single" w:sz="4" w:space="0" w:color="auto"/>
            </w:tcBorders>
            <w:shd w:val="clear" w:color="auto" w:fill="auto"/>
            <w:vAlign w:val="center"/>
            <w:hideMark/>
          </w:tcPr>
          <w:p w14:paraId="054E56A1"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276" w:type="dxa"/>
            <w:tcBorders>
              <w:top w:val="nil"/>
              <w:left w:val="nil"/>
              <w:bottom w:val="single" w:sz="4" w:space="0" w:color="auto"/>
              <w:right w:val="single" w:sz="4" w:space="0" w:color="auto"/>
            </w:tcBorders>
            <w:shd w:val="clear" w:color="auto" w:fill="auto"/>
            <w:vAlign w:val="center"/>
            <w:hideMark/>
          </w:tcPr>
          <w:p w14:paraId="295E0FA5"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6,830</w:t>
            </w:r>
          </w:p>
        </w:tc>
        <w:tc>
          <w:tcPr>
            <w:tcW w:w="1134" w:type="dxa"/>
            <w:tcBorders>
              <w:top w:val="nil"/>
              <w:left w:val="nil"/>
              <w:bottom w:val="single" w:sz="4" w:space="0" w:color="auto"/>
              <w:right w:val="single" w:sz="4" w:space="0" w:color="auto"/>
            </w:tcBorders>
            <w:shd w:val="clear" w:color="auto" w:fill="auto"/>
            <w:vAlign w:val="center"/>
            <w:hideMark/>
          </w:tcPr>
          <w:p w14:paraId="188AE66A"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9%</w:t>
            </w:r>
          </w:p>
        </w:tc>
      </w:tr>
      <w:tr w:rsidR="00C354CD" w:rsidRPr="00345650" w14:paraId="1BB656F5" w14:textId="77777777" w:rsidTr="00AD0E29">
        <w:trPr>
          <w:trHeight w:val="51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F63D724" w14:textId="77777777"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Eastern Mt Lofty Ranges</w:t>
            </w:r>
          </w:p>
        </w:tc>
        <w:tc>
          <w:tcPr>
            <w:tcW w:w="1442" w:type="dxa"/>
            <w:tcBorders>
              <w:top w:val="nil"/>
              <w:left w:val="nil"/>
              <w:bottom w:val="single" w:sz="4" w:space="0" w:color="auto"/>
              <w:right w:val="single" w:sz="4" w:space="0" w:color="auto"/>
            </w:tcBorders>
            <w:shd w:val="clear" w:color="auto" w:fill="auto"/>
            <w:vAlign w:val="center"/>
            <w:hideMark/>
          </w:tcPr>
          <w:p w14:paraId="544145E9"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380</w:t>
            </w:r>
          </w:p>
        </w:tc>
        <w:tc>
          <w:tcPr>
            <w:tcW w:w="1276" w:type="dxa"/>
            <w:tcBorders>
              <w:top w:val="nil"/>
              <w:left w:val="nil"/>
              <w:bottom w:val="single" w:sz="4" w:space="0" w:color="auto"/>
              <w:right w:val="single" w:sz="4" w:space="0" w:color="auto"/>
            </w:tcBorders>
            <w:shd w:val="clear" w:color="auto" w:fill="auto"/>
            <w:vAlign w:val="center"/>
            <w:hideMark/>
          </w:tcPr>
          <w:p w14:paraId="6723E092"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97%</w:t>
            </w:r>
          </w:p>
        </w:tc>
        <w:tc>
          <w:tcPr>
            <w:tcW w:w="1276" w:type="dxa"/>
            <w:tcBorders>
              <w:top w:val="nil"/>
              <w:left w:val="nil"/>
              <w:bottom w:val="single" w:sz="4" w:space="0" w:color="auto"/>
              <w:right w:val="single" w:sz="4" w:space="0" w:color="auto"/>
            </w:tcBorders>
            <w:shd w:val="clear" w:color="auto" w:fill="auto"/>
            <w:vAlign w:val="center"/>
            <w:hideMark/>
          </w:tcPr>
          <w:p w14:paraId="666B3494"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39CCEF0D"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276" w:type="dxa"/>
            <w:tcBorders>
              <w:top w:val="nil"/>
              <w:left w:val="nil"/>
              <w:bottom w:val="single" w:sz="4" w:space="0" w:color="auto"/>
              <w:right w:val="single" w:sz="4" w:space="0" w:color="auto"/>
            </w:tcBorders>
            <w:shd w:val="clear" w:color="auto" w:fill="auto"/>
            <w:vAlign w:val="center"/>
            <w:hideMark/>
          </w:tcPr>
          <w:p w14:paraId="05FBA509"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10</w:t>
            </w:r>
          </w:p>
        </w:tc>
        <w:tc>
          <w:tcPr>
            <w:tcW w:w="1134" w:type="dxa"/>
            <w:tcBorders>
              <w:top w:val="nil"/>
              <w:left w:val="nil"/>
              <w:bottom w:val="single" w:sz="4" w:space="0" w:color="auto"/>
              <w:right w:val="single" w:sz="4" w:space="0" w:color="auto"/>
            </w:tcBorders>
            <w:shd w:val="clear" w:color="auto" w:fill="auto"/>
            <w:vAlign w:val="center"/>
            <w:hideMark/>
          </w:tcPr>
          <w:p w14:paraId="21F6FF8C"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3%</w:t>
            </w:r>
          </w:p>
        </w:tc>
      </w:tr>
      <w:tr w:rsidR="00C354CD" w:rsidRPr="00345650" w14:paraId="72B8383C"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3D32B837" w14:textId="77777777"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Murrumbidgee</w:t>
            </w:r>
          </w:p>
        </w:tc>
        <w:tc>
          <w:tcPr>
            <w:tcW w:w="1442" w:type="dxa"/>
            <w:tcBorders>
              <w:top w:val="nil"/>
              <w:left w:val="nil"/>
              <w:bottom w:val="single" w:sz="4" w:space="0" w:color="auto"/>
              <w:right w:val="single" w:sz="4" w:space="0" w:color="auto"/>
            </w:tcBorders>
            <w:shd w:val="clear" w:color="auto" w:fill="auto"/>
            <w:vAlign w:val="center"/>
            <w:hideMark/>
          </w:tcPr>
          <w:p w14:paraId="5DD1ED32"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75,150</w:t>
            </w:r>
          </w:p>
        </w:tc>
        <w:tc>
          <w:tcPr>
            <w:tcW w:w="1276" w:type="dxa"/>
            <w:tcBorders>
              <w:top w:val="nil"/>
              <w:left w:val="nil"/>
              <w:bottom w:val="single" w:sz="4" w:space="0" w:color="auto"/>
              <w:right w:val="single" w:sz="4" w:space="0" w:color="auto"/>
            </w:tcBorders>
            <w:shd w:val="clear" w:color="auto" w:fill="auto"/>
            <w:vAlign w:val="center"/>
            <w:hideMark/>
          </w:tcPr>
          <w:p w14:paraId="5985817C"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100%</w:t>
            </w:r>
          </w:p>
        </w:tc>
        <w:tc>
          <w:tcPr>
            <w:tcW w:w="1276" w:type="dxa"/>
            <w:tcBorders>
              <w:top w:val="nil"/>
              <w:left w:val="nil"/>
              <w:bottom w:val="single" w:sz="4" w:space="0" w:color="auto"/>
              <w:right w:val="single" w:sz="4" w:space="0" w:color="auto"/>
            </w:tcBorders>
            <w:shd w:val="clear" w:color="auto" w:fill="auto"/>
            <w:vAlign w:val="center"/>
            <w:hideMark/>
          </w:tcPr>
          <w:p w14:paraId="71C56895"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20</w:t>
            </w:r>
          </w:p>
        </w:tc>
        <w:tc>
          <w:tcPr>
            <w:tcW w:w="1134" w:type="dxa"/>
            <w:tcBorders>
              <w:top w:val="nil"/>
              <w:left w:val="nil"/>
              <w:bottom w:val="single" w:sz="4" w:space="0" w:color="auto"/>
              <w:right w:val="single" w:sz="4" w:space="0" w:color="auto"/>
            </w:tcBorders>
            <w:shd w:val="clear" w:color="auto" w:fill="auto"/>
            <w:vAlign w:val="center"/>
            <w:hideMark/>
          </w:tcPr>
          <w:p w14:paraId="3D4A039B"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276" w:type="dxa"/>
            <w:tcBorders>
              <w:top w:val="nil"/>
              <w:left w:val="nil"/>
              <w:bottom w:val="single" w:sz="4" w:space="0" w:color="auto"/>
              <w:right w:val="single" w:sz="4" w:space="0" w:color="auto"/>
            </w:tcBorders>
            <w:shd w:val="clear" w:color="auto" w:fill="auto"/>
            <w:vAlign w:val="center"/>
            <w:hideMark/>
          </w:tcPr>
          <w:p w14:paraId="5B79254D"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280</w:t>
            </w:r>
          </w:p>
        </w:tc>
        <w:tc>
          <w:tcPr>
            <w:tcW w:w="1134" w:type="dxa"/>
            <w:tcBorders>
              <w:top w:val="nil"/>
              <w:left w:val="nil"/>
              <w:bottom w:val="single" w:sz="4" w:space="0" w:color="auto"/>
              <w:right w:val="single" w:sz="4" w:space="0" w:color="auto"/>
            </w:tcBorders>
            <w:shd w:val="clear" w:color="auto" w:fill="auto"/>
            <w:vAlign w:val="center"/>
            <w:hideMark/>
          </w:tcPr>
          <w:p w14:paraId="5198EC90"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r>
      <w:tr w:rsidR="00C354CD" w:rsidRPr="00345650" w14:paraId="35ABC188"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0525387" w14:textId="77777777"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Loddon</w:t>
            </w:r>
          </w:p>
        </w:tc>
        <w:tc>
          <w:tcPr>
            <w:tcW w:w="1442" w:type="dxa"/>
            <w:tcBorders>
              <w:top w:val="nil"/>
              <w:left w:val="nil"/>
              <w:bottom w:val="single" w:sz="4" w:space="0" w:color="auto"/>
              <w:right w:val="single" w:sz="4" w:space="0" w:color="auto"/>
            </w:tcBorders>
            <w:shd w:val="clear" w:color="auto" w:fill="auto"/>
            <w:vAlign w:val="center"/>
            <w:hideMark/>
          </w:tcPr>
          <w:p w14:paraId="115B3418"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5,180</w:t>
            </w:r>
          </w:p>
        </w:tc>
        <w:tc>
          <w:tcPr>
            <w:tcW w:w="1276" w:type="dxa"/>
            <w:tcBorders>
              <w:top w:val="nil"/>
              <w:left w:val="nil"/>
              <w:bottom w:val="single" w:sz="4" w:space="0" w:color="auto"/>
              <w:right w:val="single" w:sz="4" w:space="0" w:color="auto"/>
            </w:tcBorders>
            <w:shd w:val="clear" w:color="auto" w:fill="auto"/>
            <w:vAlign w:val="center"/>
            <w:hideMark/>
          </w:tcPr>
          <w:p w14:paraId="72EA2C38"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91%</w:t>
            </w:r>
          </w:p>
        </w:tc>
        <w:tc>
          <w:tcPr>
            <w:tcW w:w="1276" w:type="dxa"/>
            <w:tcBorders>
              <w:top w:val="nil"/>
              <w:left w:val="nil"/>
              <w:bottom w:val="single" w:sz="4" w:space="0" w:color="auto"/>
              <w:right w:val="single" w:sz="4" w:space="0" w:color="auto"/>
            </w:tcBorders>
            <w:shd w:val="clear" w:color="auto" w:fill="auto"/>
            <w:vAlign w:val="center"/>
            <w:hideMark/>
          </w:tcPr>
          <w:p w14:paraId="1CAF66B1"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500</w:t>
            </w:r>
          </w:p>
        </w:tc>
        <w:tc>
          <w:tcPr>
            <w:tcW w:w="1134" w:type="dxa"/>
            <w:tcBorders>
              <w:top w:val="nil"/>
              <w:left w:val="nil"/>
              <w:bottom w:val="single" w:sz="4" w:space="0" w:color="auto"/>
              <w:right w:val="single" w:sz="4" w:space="0" w:color="auto"/>
            </w:tcBorders>
            <w:shd w:val="clear" w:color="auto" w:fill="auto"/>
            <w:vAlign w:val="center"/>
            <w:hideMark/>
          </w:tcPr>
          <w:p w14:paraId="10036201"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9%</w:t>
            </w:r>
          </w:p>
        </w:tc>
        <w:tc>
          <w:tcPr>
            <w:tcW w:w="1276" w:type="dxa"/>
            <w:tcBorders>
              <w:top w:val="nil"/>
              <w:left w:val="nil"/>
              <w:bottom w:val="single" w:sz="4" w:space="0" w:color="auto"/>
              <w:right w:val="single" w:sz="4" w:space="0" w:color="auto"/>
            </w:tcBorders>
            <w:shd w:val="clear" w:color="auto" w:fill="auto"/>
            <w:vAlign w:val="center"/>
            <w:hideMark/>
          </w:tcPr>
          <w:p w14:paraId="6CD381B3"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092398DB"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r>
      <w:tr w:rsidR="00C354CD" w:rsidRPr="00345650" w14:paraId="1B731AF5"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92C4C2F" w14:textId="77777777"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Lower Darling</w:t>
            </w:r>
          </w:p>
        </w:tc>
        <w:tc>
          <w:tcPr>
            <w:tcW w:w="1442" w:type="dxa"/>
            <w:tcBorders>
              <w:top w:val="nil"/>
              <w:left w:val="nil"/>
              <w:bottom w:val="single" w:sz="4" w:space="0" w:color="auto"/>
              <w:right w:val="single" w:sz="4" w:space="0" w:color="auto"/>
            </w:tcBorders>
            <w:shd w:val="clear" w:color="auto" w:fill="auto"/>
            <w:vAlign w:val="center"/>
            <w:hideMark/>
          </w:tcPr>
          <w:p w14:paraId="53736F61"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206,850</w:t>
            </w:r>
          </w:p>
        </w:tc>
        <w:tc>
          <w:tcPr>
            <w:tcW w:w="1276" w:type="dxa"/>
            <w:tcBorders>
              <w:top w:val="nil"/>
              <w:left w:val="nil"/>
              <w:bottom w:val="single" w:sz="4" w:space="0" w:color="auto"/>
              <w:right w:val="single" w:sz="4" w:space="0" w:color="auto"/>
            </w:tcBorders>
            <w:shd w:val="clear" w:color="auto" w:fill="auto"/>
            <w:vAlign w:val="center"/>
            <w:hideMark/>
          </w:tcPr>
          <w:p w14:paraId="0E84C0F2"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98%</w:t>
            </w:r>
          </w:p>
        </w:tc>
        <w:tc>
          <w:tcPr>
            <w:tcW w:w="1276" w:type="dxa"/>
            <w:tcBorders>
              <w:top w:val="nil"/>
              <w:left w:val="nil"/>
              <w:bottom w:val="single" w:sz="4" w:space="0" w:color="auto"/>
              <w:right w:val="single" w:sz="4" w:space="0" w:color="auto"/>
            </w:tcBorders>
            <w:shd w:val="clear" w:color="auto" w:fill="auto"/>
            <w:vAlign w:val="center"/>
            <w:hideMark/>
          </w:tcPr>
          <w:p w14:paraId="15EABC30"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3,470</w:t>
            </w:r>
          </w:p>
        </w:tc>
        <w:tc>
          <w:tcPr>
            <w:tcW w:w="1134" w:type="dxa"/>
            <w:tcBorders>
              <w:top w:val="nil"/>
              <w:left w:val="nil"/>
              <w:bottom w:val="single" w:sz="4" w:space="0" w:color="auto"/>
              <w:right w:val="single" w:sz="4" w:space="0" w:color="auto"/>
            </w:tcBorders>
            <w:shd w:val="clear" w:color="auto" w:fill="auto"/>
            <w:vAlign w:val="center"/>
            <w:hideMark/>
          </w:tcPr>
          <w:p w14:paraId="694240B9"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2%</w:t>
            </w:r>
          </w:p>
        </w:tc>
        <w:tc>
          <w:tcPr>
            <w:tcW w:w="1276" w:type="dxa"/>
            <w:tcBorders>
              <w:top w:val="nil"/>
              <w:left w:val="nil"/>
              <w:bottom w:val="single" w:sz="4" w:space="0" w:color="auto"/>
              <w:right w:val="single" w:sz="4" w:space="0" w:color="auto"/>
            </w:tcBorders>
            <w:shd w:val="clear" w:color="auto" w:fill="auto"/>
            <w:vAlign w:val="center"/>
            <w:hideMark/>
          </w:tcPr>
          <w:p w14:paraId="2DB9D765"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4D88FD88"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r>
      <w:tr w:rsidR="00C354CD" w:rsidRPr="00345650" w14:paraId="45F1691D"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9DDE699" w14:textId="77777777"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Gwydir</w:t>
            </w:r>
          </w:p>
        </w:tc>
        <w:tc>
          <w:tcPr>
            <w:tcW w:w="1442" w:type="dxa"/>
            <w:tcBorders>
              <w:top w:val="nil"/>
              <w:left w:val="nil"/>
              <w:bottom w:val="single" w:sz="4" w:space="0" w:color="auto"/>
              <w:right w:val="single" w:sz="4" w:space="0" w:color="auto"/>
            </w:tcBorders>
            <w:shd w:val="clear" w:color="auto" w:fill="auto"/>
            <w:vAlign w:val="center"/>
            <w:hideMark/>
          </w:tcPr>
          <w:p w14:paraId="40E43AE6"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9,820</w:t>
            </w:r>
          </w:p>
        </w:tc>
        <w:tc>
          <w:tcPr>
            <w:tcW w:w="1276" w:type="dxa"/>
            <w:tcBorders>
              <w:top w:val="nil"/>
              <w:left w:val="nil"/>
              <w:bottom w:val="single" w:sz="4" w:space="0" w:color="auto"/>
              <w:right w:val="single" w:sz="4" w:space="0" w:color="auto"/>
            </w:tcBorders>
            <w:shd w:val="clear" w:color="auto" w:fill="auto"/>
            <w:vAlign w:val="center"/>
            <w:hideMark/>
          </w:tcPr>
          <w:p w14:paraId="0EB44FB1"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100%</w:t>
            </w:r>
          </w:p>
        </w:tc>
        <w:tc>
          <w:tcPr>
            <w:tcW w:w="1276" w:type="dxa"/>
            <w:tcBorders>
              <w:top w:val="nil"/>
              <w:left w:val="nil"/>
              <w:bottom w:val="single" w:sz="4" w:space="0" w:color="auto"/>
              <w:right w:val="single" w:sz="4" w:space="0" w:color="auto"/>
            </w:tcBorders>
            <w:shd w:val="clear" w:color="auto" w:fill="auto"/>
            <w:vAlign w:val="center"/>
            <w:hideMark/>
          </w:tcPr>
          <w:p w14:paraId="3661ED60"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65DC5EEE"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276" w:type="dxa"/>
            <w:tcBorders>
              <w:top w:val="nil"/>
              <w:left w:val="nil"/>
              <w:bottom w:val="single" w:sz="4" w:space="0" w:color="auto"/>
              <w:right w:val="single" w:sz="4" w:space="0" w:color="auto"/>
            </w:tcBorders>
            <w:shd w:val="clear" w:color="auto" w:fill="auto"/>
            <w:vAlign w:val="center"/>
            <w:hideMark/>
          </w:tcPr>
          <w:p w14:paraId="5232AF3F"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7D79D51B"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r>
      <w:tr w:rsidR="00C354CD" w:rsidRPr="00345650" w14:paraId="40B7B21E"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595A648F" w14:textId="77777777"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Border Rivers</w:t>
            </w:r>
          </w:p>
        </w:tc>
        <w:tc>
          <w:tcPr>
            <w:tcW w:w="1442" w:type="dxa"/>
            <w:tcBorders>
              <w:top w:val="nil"/>
              <w:left w:val="nil"/>
              <w:bottom w:val="single" w:sz="4" w:space="0" w:color="auto"/>
              <w:right w:val="single" w:sz="4" w:space="0" w:color="auto"/>
            </w:tcBorders>
            <w:shd w:val="clear" w:color="auto" w:fill="auto"/>
            <w:vAlign w:val="center"/>
            <w:hideMark/>
          </w:tcPr>
          <w:p w14:paraId="7BD0B8C8"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11,310</w:t>
            </w:r>
          </w:p>
        </w:tc>
        <w:tc>
          <w:tcPr>
            <w:tcW w:w="1276" w:type="dxa"/>
            <w:tcBorders>
              <w:top w:val="nil"/>
              <w:left w:val="nil"/>
              <w:bottom w:val="single" w:sz="4" w:space="0" w:color="auto"/>
              <w:right w:val="single" w:sz="4" w:space="0" w:color="auto"/>
            </w:tcBorders>
            <w:shd w:val="clear" w:color="auto" w:fill="auto"/>
            <w:vAlign w:val="center"/>
            <w:hideMark/>
          </w:tcPr>
          <w:p w14:paraId="114DD402"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100%</w:t>
            </w:r>
          </w:p>
        </w:tc>
        <w:tc>
          <w:tcPr>
            <w:tcW w:w="1276" w:type="dxa"/>
            <w:tcBorders>
              <w:top w:val="nil"/>
              <w:left w:val="nil"/>
              <w:bottom w:val="single" w:sz="4" w:space="0" w:color="auto"/>
              <w:right w:val="single" w:sz="4" w:space="0" w:color="auto"/>
            </w:tcBorders>
            <w:shd w:val="clear" w:color="auto" w:fill="auto"/>
            <w:vAlign w:val="center"/>
            <w:hideMark/>
          </w:tcPr>
          <w:p w14:paraId="71CB143C"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16D434E4"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276" w:type="dxa"/>
            <w:tcBorders>
              <w:top w:val="nil"/>
              <w:left w:val="nil"/>
              <w:bottom w:val="single" w:sz="4" w:space="0" w:color="auto"/>
              <w:right w:val="single" w:sz="4" w:space="0" w:color="auto"/>
            </w:tcBorders>
            <w:shd w:val="clear" w:color="auto" w:fill="auto"/>
            <w:vAlign w:val="center"/>
            <w:hideMark/>
          </w:tcPr>
          <w:p w14:paraId="65FDC24D"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5313FC02"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r>
      <w:tr w:rsidR="00C354CD" w:rsidRPr="00345650" w14:paraId="6FE90342"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6238F71F" w14:textId="7393385A"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Nam</w:t>
            </w:r>
            <w:r w:rsidR="008344E6">
              <w:rPr>
                <w:rFonts w:eastAsia="Times New Roman" w:cs="Arial"/>
                <w:szCs w:val="20"/>
                <w:lang w:eastAsia="en-AU"/>
              </w:rPr>
              <w:t>o</w:t>
            </w:r>
            <w:r w:rsidRPr="00345650">
              <w:rPr>
                <w:rFonts w:eastAsia="Times New Roman" w:cs="Arial"/>
                <w:szCs w:val="20"/>
                <w:lang w:eastAsia="en-AU"/>
              </w:rPr>
              <w:t>i</w:t>
            </w:r>
          </w:p>
        </w:tc>
        <w:tc>
          <w:tcPr>
            <w:tcW w:w="1442" w:type="dxa"/>
            <w:tcBorders>
              <w:top w:val="nil"/>
              <w:left w:val="nil"/>
              <w:bottom w:val="single" w:sz="4" w:space="0" w:color="auto"/>
              <w:right w:val="single" w:sz="4" w:space="0" w:color="auto"/>
            </w:tcBorders>
            <w:shd w:val="clear" w:color="auto" w:fill="auto"/>
            <w:vAlign w:val="center"/>
            <w:hideMark/>
          </w:tcPr>
          <w:p w14:paraId="3E6D5261"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11,580</w:t>
            </w:r>
          </w:p>
        </w:tc>
        <w:tc>
          <w:tcPr>
            <w:tcW w:w="1276" w:type="dxa"/>
            <w:tcBorders>
              <w:top w:val="nil"/>
              <w:left w:val="nil"/>
              <w:bottom w:val="single" w:sz="4" w:space="0" w:color="auto"/>
              <w:right w:val="single" w:sz="4" w:space="0" w:color="auto"/>
            </w:tcBorders>
            <w:shd w:val="clear" w:color="auto" w:fill="auto"/>
            <w:vAlign w:val="center"/>
            <w:hideMark/>
          </w:tcPr>
          <w:p w14:paraId="02FE1F38"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100%</w:t>
            </w:r>
          </w:p>
        </w:tc>
        <w:tc>
          <w:tcPr>
            <w:tcW w:w="1276" w:type="dxa"/>
            <w:tcBorders>
              <w:top w:val="nil"/>
              <w:left w:val="nil"/>
              <w:bottom w:val="single" w:sz="4" w:space="0" w:color="auto"/>
              <w:right w:val="single" w:sz="4" w:space="0" w:color="auto"/>
            </w:tcBorders>
            <w:shd w:val="clear" w:color="auto" w:fill="auto"/>
            <w:vAlign w:val="center"/>
            <w:hideMark/>
          </w:tcPr>
          <w:p w14:paraId="6A0061DC"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2BB72FCF"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276" w:type="dxa"/>
            <w:tcBorders>
              <w:top w:val="nil"/>
              <w:left w:val="nil"/>
              <w:bottom w:val="single" w:sz="4" w:space="0" w:color="auto"/>
              <w:right w:val="single" w:sz="4" w:space="0" w:color="auto"/>
            </w:tcBorders>
            <w:shd w:val="clear" w:color="auto" w:fill="auto"/>
            <w:vAlign w:val="center"/>
            <w:hideMark/>
          </w:tcPr>
          <w:p w14:paraId="2DB1DE7C"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1BB0FD10"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r>
      <w:tr w:rsidR="00C354CD" w:rsidRPr="00345650" w14:paraId="704BBF3A"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592F00DF" w14:textId="77777777"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Murray</w:t>
            </w:r>
          </w:p>
        </w:tc>
        <w:tc>
          <w:tcPr>
            <w:tcW w:w="1442" w:type="dxa"/>
            <w:tcBorders>
              <w:top w:val="nil"/>
              <w:left w:val="nil"/>
              <w:bottom w:val="single" w:sz="4" w:space="0" w:color="auto"/>
              <w:right w:val="single" w:sz="4" w:space="0" w:color="auto"/>
            </w:tcBorders>
            <w:shd w:val="clear" w:color="auto" w:fill="auto"/>
            <w:vAlign w:val="center"/>
            <w:hideMark/>
          </w:tcPr>
          <w:p w14:paraId="7B415BA0"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200,590</w:t>
            </w:r>
          </w:p>
        </w:tc>
        <w:tc>
          <w:tcPr>
            <w:tcW w:w="1276" w:type="dxa"/>
            <w:tcBorders>
              <w:top w:val="nil"/>
              <w:left w:val="nil"/>
              <w:bottom w:val="single" w:sz="4" w:space="0" w:color="auto"/>
              <w:right w:val="single" w:sz="4" w:space="0" w:color="auto"/>
            </w:tcBorders>
            <w:shd w:val="clear" w:color="auto" w:fill="auto"/>
            <w:vAlign w:val="center"/>
            <w:hideMark/>
          </w:tcPr>
          <w:p w14:paraId="1565098E"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86%</w:t>
            </w:r>
          </w:p>
        </w:tc>
        <w:tc>
          <w:tcPr>
            <w:tcW w:w="1276" w:type="dxa"/>
            <w:tcBorders>
              <w:top w:val="nil"/>
              <w:left w:val="nil"/>
              <w:bottom w:val="single" w:sz="4" w:space="0" w:color="auto"/>
              <w:right w:val="single" w:sz="4" w:space="0" w:color="auto"/>
            </w:tcBorders>
            <w:shd w:val="clear" w:color="auto" w:fill="auto"/>
            <w:vAlign w:val="center"/>
            <w:hideMark/>
          </w:tcPr>
          <w:p w14:paraId="602C4CF3"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30,720</w:t>
            </w:r>
          </w:p>
        </w:tc>
        <w:tc>
          <w:tcPr>
            <w:tcW w:w="1134" w:type="dxa"/>
            <w:tcBorders>
              <w:top w:val="nil"/>
              <w:left w:val="nil"/>
              <w:bottom w:val="single" w:sz="4" w:space="0" w:color="auto"/>
              <w:right w:val="single" w:sz="4" w:space="0" w:color="auto"/>
            </w:tcBorders>
            <w:shd w:val="clear" w:color="auto" w:fill="auto"/>
            <w:vAlign w:val="center"/>
            <w:hideMark/>
          </w:tcPr>
          <w:p w14:paraId="1E90E13E"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13%</w:t>
            </w:r>
          </w:p>
        </w:tc>
        <w:tc>
          <w:tcPr>
            <w:tcW w:w="1276" w:type="dxa"/>
            <w:tcBorders>
              <w:top w:val="nil"/>
              <w:left w:val="nil"/>
              <w:bottom w:val="single" w:sz="4" w:space="0" w:color="auto"/>
              <w:right w:val="single" w:sz="4" w:space="0" w:color="auto"/>
            </w:tcBorders>
            <w:shd w:val="clear" w:color="auto" w:fill="auto"/>
            <w:vAlign w:val="center"/>
            <w:hideMark/>
          </w:tcPr>
          <w:p w14:paraId="371DCEA2"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670</w:t>
            </w:r>
          </w:p>
        </w:tc>
        <w:tc>
          <w:tcPr>
            <w:tcW w:w="1134" w:type="dxa"/>
            <w:tcBorders>
              <w:top w:val="nil"/>
              <w:left w:val="nil"/>
              <w:bottom w:val="single" w:sz="4" w:space="0" w:color="auto"/>
              <w:right w:val="single" w:sz="4" w:space="0" w:color="auto"/>
            </w:tcBorders>
            <w:shd w:val="clear" w:color="auto" w:fill="auto"/>
            <w:vAlign w:val="center"/>
            <w:hideMark/>
          </w:tcPr>
          <w:p w14:paraId="0D8CDECB"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r>
      <w:tr w:rsidR="00C354CD" w:rsidRPr="00345650" w14:paraId="5058E5F5"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4F3F7BA" w14:textId="77777777"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Condamine-Balonne</w:t>
            </w:r>
          </w:p>
        </w:tc>
        <w:tc>
          <w:tcPr>
            <w:tcW w:w="1442" w:type="dxa"/>
            <w:tcBorders>
              <w:top w:val="nil"/>
              <w:left w:val="nil"/>
              <w:bottom w:val="single" w:sz="4" w:space="0" w:color="auto"/>
              <w:right w:val="single" w:sz="4" w:space="0" w:color="auto"/>
            </w:tcBorders>
            <w:shd w:val="clear" w:color="auto" w:fill="auto"/>
            <w:vAlign w:val="center"/>
            <w:hideMark/>
          </w:tcPr>
          <w:p w14:paraId="3E736486"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273,810</w:t>
            </w:r>
          </w:p>
        </w:tc>
        <w:tc>
          <w:tcPr>
            <w:tcW w:w="1276" w:type="dxa"/>
            <w:tcBorders>
              <w:top w:val="nil"/>
              <w:left w:val="nil"/>
              <w:bottom w:val="single" w:sz="4" w:space="0" w:color="auto"/>
              <w:right w:val="single" w:sz="4" w:space="0" w:color="auto"/>
            </w:tcBorders>
            <w:shd w:val="clear" w:color="auto" w:fill="auto"/>
            <w:vAlign w:val="center"/>
            <w:hideMark/>
          </w:tcPr>
          <w:p w14:paraId="6BE44D3B"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100%</w:t>
            </w:r>
          </w:p>
        </w:tc>
        <w:tc>
          <w:tcPr>
            <w:tcW w:w="1276" w:type="dxa"/>
            <w:tcBorders>
              <w:top w:val="nil"/>
              <w:left w:val="nil"/>
              <w:bottom w:val="single" w:sz="4" w:space="0" w:color="auto"/>
              <w:right w:val="single" w:sz="4" w:space="0" w:color="auto"/>
            </w:tcBorders>
            <w:shd w:val="clear" w:color="auto" w:fill="auto"/>
            <w:vAlign w:val="center"/>
            <w:hideMark/>
          </w:tcPr>
          <w:p w14:paraId="3073C77F"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64B91EBD"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276" w:type="dxa"/>
            <w:tcBorders>
              <w:top w:val="nil"/>
              <w:left w:val="nil"/>
              <w:bottom w:val="single" w:sz="4" w:space="0" w:color="auto"/>
              <w:right w:val="single" w:sz="4" w:space="0" w:color="auto"/>
            </w:tcBorders>
            <w:shd w:val="clear" w:color="auto" w:fill="auto"/>
            <w:vAlign w:val="center"/>
            <w:hideMark/>
          </w:tcPr>
          <w:p w14:paraId="2CDD1D11"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39B0D7F0"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r>
      <w:tr w:rsidR="00C354CD" w:rsidRPr="00345650" w14:paraId="2F276734"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7D7AC4B0" w14:textId="77777777"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Paroo</w:t>
            </w:r>
          </w:p>
        </w:tc>
        <w:tc>
          <w:tcPr>
            <w:tcW w:w="1442" w:type="dxa"/>
            <w:tcBorders>
              <w:top w:val="nil"/>
              <w:left w:val="nil"/>
              <w:bottom w:val="single" w:sz="4" w:space="0" w:color="auto"/>
              <w:right w:val="single" w:sz="4" w:space="0" w:color="auto"/>
            </w:tcBorders>
            <w:shd w:val="clear" w:color="auto" w:fill="auto"/>
            <w:vAlign w:val="center"/>
            <w:hideMark/>
          </w:tcPr>
          <w:p w14:paraId="69D88839"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47,080</w:t>
            </w:r>
          </w:p>
        </w:tc>
        <w:tc>
          <w:tcPr>
            <w:tcW w:w="1276" w:type="dxa"/>
            <w:tcBorders>
              <w:top w:val="nil"/>
              <w:left w:val="nil"/>
              <w:bottom w:val="single" w:sz="4" w:space="0" w:color="auto"/>
              <w:right w:val="single" w:sz="4" w:space="0" w:color="auto"/>
            </w:tcBorders>
            <w:shd w:val="clear" w:color="auto" w:fill="auto"/>
            <w:vAlign w:val="center"/>
            <w:hideMark/>
          </w:tcPr>
          <w:p w14:paraId="32EEEF50"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99%</w:t>
            </w:r>
          </w:p>
        </w:tc>
        <w:tc>
          <w:tcPr>
            <w:tcW w:w="1276" w:type="dxa"/>
            <w:tcBorders>
              <w:top w:val="nil"/>
              <w:left w:val="nil"/>
              <w:bottom w:val="single" w:sz="4" w:space="0" w:color="auto"/>
              <w:right w:val="single" w:sz="4" w:space="0" w:color="auto"/>
            </w:tcBorders>
            <w:shd w:val="clear" w:color="auto" w:fill="auto"/>
            <w:vAlign w:val="center"/>
            <w:hideMark/>
          </w:tcPr>
          <w:p w14:paraId="135FAC87"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330</w:t>
            </w:r>
          </w:p>
        </w:tc>
        <w:tc>
          <w:tcPr>
            <w:tcW w:w="1134" w:type="dxa"/>
            <w:tcBorders>
              <w:top w:val="nil"/>
              <w:left w:val="nil"/>
              <w:bottom w:val="single" w:sz="4" w:space="0" w:color="auto"/>
              <w:right w:val="single" w:sz="4" w:space="0" w:color="auto"/>
            </w:tcBorders>
            <w:shd w:val="clear" w:color="auto" w:fill="auto"/>
            <w:vAlign w:val="center"/>
            <w:hideMark/>
          </w:tcPr>
          <w:p w14:paraId="586A7010"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w:t>
            </w:r>
          </w:p>
        </w:tc>
        <w:tc>
          <w:tcPr>
            <w:tcW w:w="1276" w:type="dxa"/>
            <w:tcBorders>
              <w:top w:val="nil"/>
              <w:left w:val="nil"/>
              <w:bottom w:val="single" w:sz="4" w:space="0" w:color="auto"/>
              <w:right w:val="single" w:sz="4" w:space="0" w:color="auto"/>
            </w:tcBorders>
            <w:shd w:val="clear" w:color="auto" w:fill="auto"/>
            <w:vAlign w:val="center"/>
            <w:hideMark/>
          </w:tcPr>
          <w:p w14:paraId="0659F86C"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10</w:t>
            </w:r>
          </w:p>
        </w:tc>
        <w:tc>
          <w:tcPr>
            <w:tcW w:w="1134" w:type="dxa"/>
            <w:tcBorders>
              <w:top w:val="nil"/>
              <w:left w:val="nil"/>
              <w:bottom w:val="single" w:sz="4" w:space="0" w:color="auto"/>
              <w:right w:val="single" w:sz="4" w:space="0" w:color="auto"/>
            </w:tcBorders>
            <w:shd w:val="clear" w:color="auto" w:fill="auto"/>
            <w:vAlign w:val="center"/>
            <w:hideMark/>
          </w:tcPr>
          <w:p w14:paraId="449BFC35"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r>
      <w:tr w:rsidR="00C354CD" w:rsidRPr="00345650" w14:paraId="7342ABE2"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5AF0997" w14:textId="77777777"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Warrego</w:t>
            </w:r>
          </w:p>
        </w:tc>
        <w:tc>
          <w:tcPr>
            <w:tcW w:w="1442" w:type="dxa"/>
            <w:tcBorders>
              <w:top w:val="nil"/>
              <w:left w:val="nil"/>
              <w:bottom w:val="single" w:sz="4" w:space="0" w:color="auto"/>
              <w:right w:val="single" w:sz="4" w:space="0" w:color="auto"/>
            </w:tcBorders>
            <w:shd w:val="clear" w:color="auto" w:fill="auto"/>
            <w:vAlign w:val="center"/>
            <w:hideMark/>
          </w:tcPr>
          <w:p w14:paraId="770F9535"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167,000</w:t>
            </w:r>
          </w:p>
        </w:tc>
        <w:tc>
          <w:tcPr>
            <w:tcW w:w="1276" w:type="dxa"/>
            <w:tcBorders>
              <w:top w:val="nil"/>
              <w:left w:val="nil"/>
              <w:bottom w:val="single" w:sz="4" w:space="0" w:color="auto"/>
              <w:right w:val="single" w:sz="4" w:space="0" w:color="auto"/>
            </w:tcBorders>
            <w:shd w:val="clear" w:color="auto" w:fill="auto"/>
            <w:vAlign w:val="center"/>
            <w:hideMark/>
          </w:tcPr>
          <w:p w14:paraId="2BDC0AAA"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100%</w:t>
            </w:r>
          </w:p>
        </w:tc>
        <w:tc>
          <w:tcPr>
            <w:tcW w:w="1276" w:type="dxa"/>
            <w:tcBorders>
              <w:top w:val="nil"/>
              <w:left w:val="nil"/>
              <w:bottom w:val="single" w:sz="4" w:space="0" w:color="auto"/>
              <w:right w:val="single" w:sz="4" w:space="0" w:color="auto"/>
            </w:tcBorders>
            <w:shd w:val="clear" w:color="auto" w:fill="auto"/>
            <w:vAlign w:val="center"/>
            <w:hideMark/>
          </w:tcPr>
          <w:p w14:paraId="3391F1B4"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00F246FC"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276" w:type="dxa"/>
            <w:tcBorders>
              <w:top w:val="nil"/>
              <w:left w:val="nil"/>
              <w:bottom w:val="single" w:sz="4" w:space="0" w:color="auto"/>
              <w:right w:val="single" w:sz="4" w:space="0" w:color="auto"/>
            </w:tcBorders>
            <w:shd w:val="clear" w:color="auto" w:fill="auto"/>
            <w:vAlign w:val="center"/>
            <w:hideMark/>
          </w:tcPr>
          <w:p w14:paraId="6999D4B0"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4D81450C"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r>
      <w:tr w:rsidR="00C354CD" w:rsidRPr="00345650" w14:paraId="2F97382F"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5FC8E4BA" w14:textId="77777777"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Wimmera-Avoca</w:t>
            </w:r>
          </w:p>
        </w:tc>
        <w:tc>
          <w:tcPr>
            <w:tcW w:w="1442" w:type="dxa"/>
            <w:tcBorders>
              <w:top w:val="nil"/>
              <w:left w:val="nil"/>
              <w:bottom w:val="single" w:sz="4" w:space="0" w:color="auto"/>
              <w:right w:val="single" w:sz="4" w:space="0" w:color="auto"/>
            </w:tcBorders>
            <w:shd w:val="clear" w:color="auto" w:fill="auto"/>
            <w:vAlign w:val="center"/>
            <w:hideMark/>
          </w:tcPr>
          <w:p w14:paraId="38FB9581"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9,920</w:t>
            </w:r>
          </w:p>
        </w:tc>
        <w:tc>
          <w:tcPr>
            <w:tcW w:w="1276" w:type="dxa"/>
            <w:tcBorders>
              <w:top w:val="nil"/>
              <w:left w:val="nil"/>
              <w:bottom w:val="single" w:sz="4" w:space="0" w:color="auto"/>
              <w:right w:val="single" w:sz="4" w:space="0" w:color="auto"/>
            </w:tcBorders>
            <w:shd w:val="clear" w:color="auto" w:fill="auto"/>
            <w:vAlign w:val="center"/>
            <w:hideMark/>
          </w:tcPr>
          <w:p w14:paraId="26A338DA"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84%</w:t>
            </w:r>
          </w:p>
        </w:tc>
        <w:tc>
          <w:tcPr>
            <w:tcW w:w="1276" w:type="dxa"/>
            <w:tcBorders>
              <w:top w:val="nil"/>
              <w:left w:val="nil"/>
              <w:bottom w:val="single" w:sz="4" w:space="0" w:color="auto"/>
              <w:right w:val="single" w:sz="4" w:space="0" w:color="auto"/>
            </w:tcBorders>
            <w:shd w:val="clear" w:color="auto" w:fill="auto"/>
            <w:vAlign w:val="center"/>
            <w:hideMark/>
          </w:tcPr>
          <w:p w14:paraId="5EC8C581"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1,850</w:t>
            </w:r>
          </w:p>
        </w:tc>
        <w:tc>
          <w:tcPr>
            <w:tcW w:w="1134" w:type="dxa"/>
            <w:tcBorders>
              <w:top w:val="nil"/>
              <w:left w:val="nil"/>
              <w:bottom w:val="single" w:sz="4" w:space="0" w:color="auto"/>
              <w:right w:val="single" w:sz="4" w:space="0" w:color="auto"/>
            </w:tcBorders>
            <w:shd w:val="clear" w:color="auto" w:fill="auto"/>
            <w:vAlign w:val="center"/>
            <w:hideMark/>
          </w:tcPr>
          <w:p w14:paraId="574DDC8C"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16%</w:t>
            </w:r>
          </w:p>
        </w:tc>
        <w:tc>
          <w:tcPr>
            <w:tcW w:w="1276" w:type="dxa"/>
            <w:tcBorders>
              <w:top w:val="nil"/>
              <w:left w:val="nil"/>
              <w:bottom w:val="single" w:sz="4" w:space="0" w:color="auto"/>
              <w:right w:val="single" w:sz="4" w:space="0" w:color="auto"/>
            </w:tcBorders>
            <w:shd w:val="clear" w:color="auto" w:fill="auto"/>
            <w:vAlign w:val="center"/>
            <w:hideMark/>
          </w:tcPr>
          <w:p w14:paraId="6112DC45"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2B99351C"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r>
      <w:tr w:rsidR="00C354CD" w:rsidRPr="00345650" w14:paraId="528EADC5"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575321B7" w14:textId="77777777"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Goulburn-Broken</w:t>
            </w:r>
          </w:p>
        </w:tc>
        <w:tc>
          <w:tcPr>
            <w:tcW w:w="1442" w:type="dxa"/>
            <w:tcBorders>
              <w:top w:val="nil"/>
              <w:left w:val="nil"/>
              <w:bottom w:val="single" w:sz="4" w:space="0" w:color="auto"/>
              <w:right w:val="single" w:sz="4" w:space="0" w:color="auto"/>
            </w:tcBorders>
            <w:shd w:val="clear" w:color="auto" w:fill="auto"/>
            <w:vAlign w:val="center"/>
            <w:hideMark/>
          </w:tcPr>
          <w:p w14:paraId="2B413DA0"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4,240</w:t>
            </w:r>
          </w:p>
        </w:tc>
        <w:tc>
          <w:tcPr>
            <w:tcW w:w="1276" w:type="dxa"/>
            <w:tcBorders>
              <w:top w:val="nil"/>
              <w:left w:val="nil"/>
              <w:bottom w:val="single" w:sz="4" w:space="0" w:color="auto"/>
              <w:right w:val="single" w:sz="4" w:space="0" w:color="auto"/>
            </w:tcBorders>
            <w:shd w:val="clear" w:color="auto" w:fill="auto"/>
            <w:vAlign w:val="center"/>
            <w:hideMark/>
          </w:tcPr>
          <w:p w14:paraId="00E5FC4B"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94%</w:t>
            </w:r>
          </w:p>
        </w:tc>
        <w:tc>
          <w:tcPr>
            <w:tcW w:w="1276" w:type="dxa"/>
            <w:tcBorders>
              <w:top w:val="nil"/>
              <w:left w:val="nil"/>
              <w:bottom w:val="single" w:sz="4" w:space="0" w:color="auto"/>
              <w:right w:val="single" w:sz="4" w:space="0" w:color="auto"/>
            </w:tcBorders>
            <w:shd w:val="clear" w:color="auto" w:fill="auto"/>
            <w:vAlign w:val="center"/>
            <w:hideMark/>
          </w:tcPr>
          <w:p w14:paraId="120C8292"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04F9CCCC"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276" w:type="dxa"/>
            <w:tcBorders>
              <w:top w:val="nil"/>
              <w:left w:val="nil"/>
              <w:bottom w:val="single" w:sz="4" w:space="0" w:color="auto"/>
              <w:right w:val="single" w:sz="4" w:space="0" w:color="auto"/>
            </w:tcBorders>
            <w:shd w:val="clear" w:color="auto" w:fill="auto"/>
            <w:vAlign w:val="center"/>
            <w:hideMark/>
          </w:tcPr>
          <w:p w14:paraId="7E325E19"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250</w:t>
            </w:r>
          </w:p>
        </w:tc>
        <w:tc>
          <w:tcPr>
            <w:tcW w:w="1134" w:type="dxa"/>
            <w:tcBorders>
              <w:top w:val="nil"/>
              <w:left w:val="nil"/>
              <w:bottom w:val="single" w:sz="4" w:space="0" w:color="auto"/>
              <w:right w:val="single" w:sz="4" w:space="0" w:color="auto"/>
            </w:tcBorders>
            <w:shd w:val="clear" w:color="auto" w:fill="auto"/>
            <w:vAlign w:val="center"/>
            <w:hideMark/>
          </w:tcPr>
          <w:p w14:paraId="6D50DF2D"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6%</w:t>
            </w:r>
          </w:p>
        </w:tc>
      </w:tr>
      <w:tr w:rsidR="00C354CD" w:rsidRPr="00345650" w14:paraId="5C09FFEA"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6AD321D" w14:textId="77777777" w:rsidR="00C354CD" w:rsidRPr="00345650" w:rsidRDefault="00C354CD" w:rsidP="00AD0E29">
            <w:pPr>
              <w:spacing w:after="0" w:line="240" w:lineRule="auto"/>
              <w:rPr>
                <w:rFonts w:eastAsia="Times New Roman" w:cs="Arial"/>
                <w:szCs w:val="20"/>
                <w:lang w:eastAsia="en-AU"/>
              </w:rPr>
            </w:pPr>
            <w:r w:rsidRPr="00345650">
              <w:rPr>
                <w:rFonts w:eastAsia="Times New Roman" w:cs="Arial"/>
                <w:szCs w:val="20"/>
                <w:lang w:eastAsia="en-AU"/>
              </w:rPr>
              <w:t>Ovens</w:t>
            </w:r>
          </w:p>
        </w:tc>
        <w:tc>
          <w:tcPr>
            <w:tcW w:w="1442" w:type="dxa"/>
            <w:tcBorders>
              <w:top w:val="nil"/>
              <w:left w:val="nil"/>
              <w:bottom w:val="single" w:sz="4" w:space="0" w:color="auto"/>
              <w:right w:val="single" w:sz="4" w:space="0" w:color="auto"/>
            </w:tcBorders>
            <w:shd w:val="clear" w:color="auto" w:fill="auto"/>
            <w:vAlign w:val="center"/>
            <w:hideMark/>
          </w:tcPr>
          <w:p w14:paraId="7D684A50"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210</w:t>
            </w:r>
          </w:p>
        </w:tc>
        <w:tc>
          <w:tcPr>
            <w:tcW w:w="1276" w:type="dxa"/>
            <w:tcBorders>
              <w:top w:val="nil"/>
              <w:left w:val="nil"/>
              <w:bottom w:val="single" w:sz="4" w:space="0" w:color="auto"/>
              <w:right w:val="single" w:sz="4" w:space="0" w:color="auto"/>
            </w:tcBorders>
            <w:shd w:val="clear" w:color="auto" w:fill="auto"/>
            <w:vAlign w:val="center"/>
            <w:hideMark/>
          </w:tcPr>
          <w:p w14:paraId="24F7DFB7"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100%</w:t>
            </w:r>
          </w:p>
        </w:tc>
        <w:tc>
          <w:tcPr>
            <w:tcW w:w="1276" w:type="dxa"/>
            <w:tcBorders>
              <w:top w:val="nil"/>
              <w:left w:val="nil"/>
              <w:bottom w:val="single" w:sz="4" w:space="0" w:color="auto"/>
              <w:right w:val="single" w:sz="4" w:space="0" w:color="auto"/>
            </w:tcBorders>
            <w:shd w:val="clear" w:color="auto" w:fill="auto"/>
            <w:vAlign w:val="center"/>
            <w:hideMark/>
          </w:tcPr>
          <w:p w14:paraId="544E44AC"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59AD687A"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276" w:type="dxa"/>
            <w:tcBorders>
              <w:top w:val="nil"/>
              <w:left w:val="nil"/>
              <w:bottom w:val="single" w:sz="4" w:space="0" w:color="auto"/>
              <w:right w:val="single" w:sz="4" w:space="0" w:color="auto"/>
            </w:tcBorders>
            <w:shd w:val="clear" w:color="auto" w:fill="auto"/>
            <w:vAlign w:val="center"/>
            <w:hideMark/>
          </w:tcPr>
          <w:p w14:paraId="6C8E0308"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1F174DA2"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0%</w:t>
            </w:r>
          </w:p>
        </w:tc>
      </w:tr>
      <w:tr w:rsidR="00C354CD" w:rsidRPr="00345650" w14:paraId="4F304523"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06AB9977" w14:textId="77777777" w:rsidR="00C354CD" w:rsidRPr="00345650" w:rsidRDefault="00C354CD" w:rsidP="00AD0E29">
            <w:pPr>
              <w:spacing w:after="0" w:line="240" w:lineRule="auto"/>
              <w:rPr>
                <w:rFonts w:eastAsia="Times New Roman" w:cs="Arial"/>
                <w:b/>
                <w:bCs/>
                <w:szCs w:val="20"/>
                <w:lang w:eastAsia="en-AU"/>
              </w:rPr>
            </w:pPr>
            <w:r w:rsidRPr="00345650">
              <w:rPr>
                <w:rFonts w:eastAsia="Times New Roman" w:cs="Arial"/>
                <w:b/>
                <w:bCs/>
                <w:szCs w:val="20"/>
                <w:lang w:eastAsia="en-AU"/>
              </w:rPr>
              <w:t>TOTAL BASIN</w:t>
            </w:r>
          </w:p>
        </w:tc>
        <w:tc>
          <w:tcPr>
            <w:tcW w:w="1442" w:type="dxa"/>
            <w:tcBorders>
              <w:top w:val="nil"/>
              <w:left w:val="nil"/>
              <w:bottom w:val="single" w:sz="4" w:space="0" w:color="auto"/>
              <w:right w:val="single" w:sz="4" w:space="0" w:color="auto"/>
            </w:tcBorders>
            <w:shd w:val="clear" w:color="auto" w:fill="auto"/>
            <w:vAlign w:val="center"/>
            <w:hideMark/>
          </w:tcPr>
          <w:p w14:paraId="002B1B76"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1,324,110</w:t>
            </w:r>
          </w:p>
        </w:tc>
        <w:tc>
          <w:tcPr>
            <w:tcW w:w="1276" w:type="dxa"/>
            <w:tcBorders>
              <w:top w:val="nil"/>
              <w:left w:val="nil"/>
              <w:bottom w:val="single" w:sz="4" w:space="0" w:color="auto"/>
              <w:right w:val="single" w:sz="4" w:space="0" w:color="auto"/>
            </w:tcBorders>
            <w:shd w:val="clear" w:color="auto" w:fill="auto"/>
            <w:vAlign w:val="center"/>
            <w:hideMark/>
          </w:tcPr>
          <w:p w14:paraId="10C93E4F"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95%</w:t>
            </w:r>
          </w:p>
        </w:tc>
        <w:tc>
          <w:tcPr>
            <w:tcW w:w="1276" w:type="dxa"/>
            <w:tcBorders>
              <w:top w:val="nil"/>
              <w:left w:val="nil"/>
              <w:bottom w:val="single" w:sz="4" w:space="0" w:color="auto"/>
              <w:right w:val="single" w:sz="4" w:space="0" w:color="auto"/>
            </w:tcBorders>
            <w:shd w:val="clear" w:color="auto" w:fill="auto"/>
            <w:vAlign w:val="center"/>
            <w:hideMark/>
          </w:tcPr>
          <w:p w14:paraId="13681846"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65,310</w:t>
            </w:r>
          </w:p>
        </w:tc>
        <w:tc>
          <w:tcPr>
            <w:tcW w:w="1134" w:type="dxa"/>
            <w:tcBorders>
              <w:top w:val="nil"/>
              <w:left w:val="nil"/>
              <w:bottom w:val="single" w:sz="4" w:space="0" w:color="auto"/>
              <w:right w:val="single" w:sz="4" w:space="0" w:color="auto"/>
            </w:tcBorders>
            <w:shd w:val="clear" w:color="auto" w:fill="auto"/>
            <w:vAlign w:val="center"/>
            <w:hideMark/>
          </w:tcPr>
          <w:p w14:paraId="1B77E06C" w14:textId="77777777" w:rsidR="00C354CD" w:rsidRPr="00345650" w:rsidRDefault="00C354CD" w:rsidP="00AD0E29">
            <w:pPr>
              <w:spacing w:after="0" w:line="240" w:lineRule="auto"/>
              <w:jc w:val="right"/>
              <w:rPr>
                <w:rFonts w:eastAsia="Times New Roman" w:cs="Arial"/>
                <w:b/>
                <w:bCs/>
                <w:szCs w:val="20"/>
                <w:lang w:eastAsia="en-AU"/>
              </w:rPr>
            </w:pPr>
            <w:r w:rsidRPr="00345650">
              <w:rPr>
                <w:rFonts w:eastAsia="Times New Roman" w:cs="Arial"/>
                <w:b/>
                <w:bCs/>
                <w:szCs w:val="20"/>
                <w:lang w:eastAsia="en-AU"/>
              </w:rPr>
              <w:t>5%</w:t>
            </w:r>
          </w:p>
        </w:tc>
        <w:tc>
          <w:tcPr>
            <w:tcW w:w="1276" w:type="dxa"/>
            <w:tcBorders>
              <w:top w:val="nil"/>
              <w:left w:val="nil"/>
              <w:bottom w:val="single" w:sz="4" w:space="0" w:color="auto"/>
              <w:right w:val="single" w:sz="4" w:space="0" w:color="auto"/>
            </w:tcBorders>
            <w:shd w:val="clear" w:color="auto" w:fill="auto"/>
            <w:vAlign w:val="center"/>
            <w:hideMark/>
          </w:tcPr>
          <w:p w14:paraId="60E95499" w14:textId="77777777" w:rsidR="00C354CD" w:rsidRPr="00345650" w:rsidRDefault="00C354CD" w:rsidP="00AD0E29">
            <w:pPr>
              <w:spacing w:after="0" w:line="240" w:lineRule="auto"/>
              <w:jc w:val="right"/>
              <w:rPr>
                <w:rFonts w:eastAsia="Times New Roman" w:cs="Arial"/>
                <w:szCs w:val="20"/>
                <w:lang w:eastAsia="en-AU"/>
              </w:rPr>
            </w:pPr>
            <w:r w:rsidRPr="00345650">
              <w:rPr>
                <w:rFonts w:eastAsia="Times New Roman" w:cs="Arial"/>
                <w:szCs w:val="20"/>
                <w:lang w:eastAsia="en-AU"/>
              </w:rPr>
              <w:t>8,070</w:t>
            </w:r>
          </w:p>
        </w:tc>
        <w:tc>
          <w:tcPr>
            <w:tcW w:w="1134" w:type="dxa"/>
            <w:tcBorders>
              <w:top w:val="nil"/>
              <w:left w:val="nil"/>
              <w:bottom w:val="single" w:sz="4" w:space="0" w:color="auto"/>
              <w:right w:val="single" w:sz="4" w:space="0" w:color="auto"/>
            </w:tcBorders>
            <w:shd w:val="clear" w:color="auto" w:fill="auto"/>
            <w:vAlign w:val="center"/>
            <w:hideMark/>
          </w:tcPr>
          <w:p w14:paraId="725F5AEE" w14:textId="77777777" w:rsidR="00C354CD" w:rsidRPr="00345650" w:rsidRDefault="00C354CD" w:rsidP="00AD0E29">
            <w:pPr>
              <w:spacing w:after="0" w:line="240" w:lineRule="auto"/>
              <w:jc w:val="right"/>
              <w:rPr>
                <w:rFonts w:eastAsia="Times New Roman" w:cs="Arial"/>
                <w:b/>
                <w:bCs/>
                <w:szCs w:val="20"/>
                <w:lang w:eastAsia="en-AU"/>
              </w:rPr>
            </w:pPr>
            <w:r w:rsidRPr="00345650">
              <w:rPr>
                <w:rFonts w:eastAsia="Times New Roman" w:cs="Arial"/>
                <w:b/>
                <w:bCs/>
                <w:szCs w:val="20"/>
                <w:lang w:eastAsia="en-AU"/>
              </w:rPr>
              <w:t>1%</w:t>
            </w:r>
          </w:p>
        </w:tc>
      </w:tr>
    </w:tbl>
    <w:p w14:paraId="09D9201E" w14:textId="77777777" w:rsidR="00C354CD" w:rsidRDefault="00C354CD" w:rsidP="00C354CD">
      <w:pPr>
        <w:pStyle w:val="Para0"/>
        <w:rPr>
          <w:noProof/>
          <w:lang w:eastAsia="en-AU"/>
        </w:rPr>
      </w:pPr>
    </w:p>
    <w:p w14:paraId="69B1CE8D" w14:textId="77777777" w:rsidR="00C354CD" w:rsidRDefault="00C354CD" w:rsidP="00C354CD">
      <w:pPr>
        <w:pStyle w:val="Para0"/>
        <w:rPr>
          <w:noProof/>
          <w:lang w:eastAsia="en-AU"/>
        </w:rPr>
        <w:sectPr w:rsidR="00C354CD" w:rsidSect="00AD0E29">
          <w:pgSz w:w="11906" w:h="16838"/>
          <w:pgMar w:top="567" w:right="851" w:bottom="851" w:left="1134" w:header="708" w:footer="708" w:gutter="0"/>
          <w:cols w:space="708"/>
          <w:docGrid w:linePitch="360"/>
        </w:sectPr>
      </w:pPr>
    </w:p>
    <w:p w14:paraId="654DE524" w14:textId="064852C9" w:rsidR="00C354CD" w:rsidRPr="00AD7EAB" w:rsidRDefault="00CE0F1A" w:rsidP="00C354CD">
      <w:pPr>
        <w:pStyle w:val="Para0"/>
        <w:spacing w:before="0" w:after="0"/>
        <w:jc w:val="center"/>
      </w:pPr>
      <w:r>
        <w:rPr>
          <w:noProof/>
          <w:lang w:eastAsia="en-AU"/>
        </w:rPr>
        <w:drawing>
          <wp:inline distT="0" distB="0" distL="0" distR="0" wp14:anchorId="1F9CA56A" wp14:editId="0F832879">
            <wp:extent cx="13050982" cy="8210795"/>
            <wp:effectExtent l="0" t="0" r="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Fig5.13 GW Salinity and BB.png"/>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13061396" cy="8217347"/>
                    </a:xfrm>
                    <a:prstGeom prst="rect">
                      <a:avLst/>
                    </a:prstGeom>
                    <a:ln>
                      <a:noFill/>
                    </a:ln>
                    <a:extLst>
                      <a:ext uri="{53640926-AAD7-44D8-BBD7-CCE9431645EC}">
                        <a14:shadowObscured xmlns:a14="http://schemas.microsoft.com/office/drawing/2010/main"/>
                      </a:ext>
                    </a:extLst>
                  </pic:spPr>
                </pic:pic>
              </a:graphicData>
            </a:graphic>
          </wp:inline>
        </w:drawing>
      </w:r>
    </w:p>
    <w:p w14:paraId="785C81D2" w14:textId="315C58C6" w:rsidR="00C354CD" w:rsidRDefault="00C354CD" w:rsidP="00C354CD">
      <w:pPr>
        <w:pStyle w:val="Caption"/>
        <w:spacing w:before="0" w:after="0"/>
        <w:jc w:val="center"/>
      </w:pPr>
      <w:bookmarkStart w:id="294" w:name="_Ref507167172"/>
      <w:bookmarkStart w:id="295" w:name="_Toc514018106"/>
      <w:r>
        <w:t xml:space="preserve">Figure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Figure \* ARABIC \s 1 </w:instrText>
      </w:r>
      <w:r>
        <w:fldChar w:fldCharType="separate"/>
      </w:r>
      <w:r w:rsidR="00BF015B">
        <w:rPr>
          <w:noProof/>
        </w:rPr>
        <w:t>13</w:t>
      </w:r>
      <w:r>
        <w:fldChar w:fldCharType="end"/>
      </w:r>
      <w:bookmarkEnd w:id="294"/>
      <w:r>
        <w:t xml:space="preserve">: Groundwater </w:t>
      </w:r>
      <w:r w:rsidR="008344E6">
        <w:t>s</w:t>
      </w:r>
      <w:r>
        <w:t xml:space="preserve">alinity and Black Box: </w:t>
      </w:r>
      <w:r w:rsidR="008344E6">
        <w:t>b</w:t>
      </w:r>
      <w:r>
        <w:t xml:space="preserve">asin </w:t>
      </w:r>
      <w:r w:rsidR="008344E6">
        <w:t>s</w:t>
      </w:r>
      <w:r>
        <w:t>cale</w:t>
      </w:r>
      <w:bookmarkEnd w:id="295"/>
    </w:p>
    <w:p w14:paraId="0FED5D23" w14:textId="77777777" w:rsidR="00C354CD" w:rsidRDefault="00C354CD" w:rsidP="00C354CD">
      <w:pPr>
        <w:pStyle w:val="Caption"/>
        <w:spacing w:before="0" w:after="0"/>
        <w:jc w:val="center"/>
        <w:sectPr w:rsidR="00C354CD" w:rsidSect="00CE0F1A">
          <w:pgSz w:w="23811" w:h="16838" w:orient="landscape" w:code="8"/>
          <w:pgMar w:top="1134" w:right="567" w:bottom="851" w:left="851" w:header="708" w:footer="708" w:gutter="0"/>
          <w:cols w:space="708"/>
          <w:docGrid w:linePitch="360"/>
        </w:sectPr>
      </w:pPr>
    </w:p>
    <w:p w14:paraId="201AC755" w14:textId="77777777" w:rsidR="00C354CD" w:rsidRDefault="00C354CD" w:rsidP="00C354CD">
      <w:pPr>
        <w:pStyle w:val="Caption"/>
        <w:spacing w:before="0" w:after="0"/>
      </w:pPr>
    </w:p>
    <w:p w14:paraId="3E5DC386" w14:textId="77777777" w:rsidR="00C354CD" w:rsidRDefault="00C354CD" w:rsidP="00C354CD">
      <w:pPr>
        <w:pStyle w:val="Bodynarrow"/>
        <w:ind w:left="0"/>
        <w:rPr>
          <w:b/>
          <w:u w:val="single"/>
        </w:rPr>
      </w:pPr>
      <w:r>
        <w:rPr>
          <w:b/>
          <w:u w:val="single"/>
        </w:rPr>
        <w:t>Groundwater Depth</w:t>
      </w:r>
    </w:p>
    <w:p w14:paraId="2E22B5A3" w14:textId="50AF1CC6" w:rsidR="00C354CD" w:rsidRPr="004A2419" w:rsidRDefault="00C354CD" w:rsidP="00C354CD">
      <w:pPr>
        <w:pStyle w:val="Bodynarrow"/>
        <w:ind w:left="0"/>
        <w:rPr>
          <w:b/>
          <w:u w:val="single"/>
        </w:rPr>
      </w:pPr>
      <w:r>
        <w:t xml:space="preserve">Groundwater depth layers from the MDBA </w:t>
      </w:r>
      <w:r w:rsidRPr="00640861">
        <w:rPr>
          <w:i/>
        </w:rPr>
        <w:t>Basin in a Box</w:t>
      </w:r>
      <w:r>
        <w:t xml:space="preserve"> dataset were used to produce a series of groundwater depth maps throughout the </w:t>
      </w:r>
      <w:r w:rsidRPr="000813CD">
        <w:t>Basin</w:t>
      </w:r>
      <w:r>
        <w:t xml:space="preserve">. </w:t>
      </w:r>
      <w:r w:rsidRPr="000813CD">
        <w:fldChar w:fldCharType="begin"/>
      </w:r>
      <w:r w:rsidRPr="000813CD">
        <w:instrText xml:space="preserve"> REF _Ref507167202 \h </w:instrText>
      </w:r>
      <w:r>
        <w:instrText xml:space="preserve"> \* MERGEFORMAT </w:instrText>
      </w:r>
      <w:r w:rsidRPr="000813CD">
        <w:fldChar w:fldCharType="separate"/>
      </w:r>
      <w:r w:rsidR="00BF015B">
        <w:t xml:space="preserve">Figure </w:t>
      </w:r>
      <w:r w:rsidR="00BF015B">
        <w:rPr>
          <w:noProof/>
        </w:rPr>
        <w:t>5</w:t>
      </w:r>
      <w:r w:rsidR="00BF015B">
        <w:rPr>
          <w:noProof/>
        </w:rPr>
        <w:noBreakHyphen/>
        <w:t>14</w:t>
      </w:r>
      <w:r w:rsidRPr="000813CD">
        <w:fldChar w:fldCharType="end"/>
      </w:r>
      <w:r>
        <w:t xml:space="preserve"> shows the basin extent, and two maps showing a greater level of detail in selected areas of the Murray and Darling systems are provided </w:t>
      </w:r>
      <w:r w:rsidRPr="00640861">
        <w:t xml:space="preserve">in </w:t>
      </w:r>
      <w:r w:rsidRPr="00640861">
        <w:fldChar w:fldCharType="begin"/>
      </w:r>
      <w:r w:rsidRPr="00640861">
        <w:instrText xml:space="preserve"> REF _Ref507426282 \r \h  \* MERGEFORMAT </w:instrText>
      </w:r>
      <w:r w:rsidRPr="00640861">
        <w:fldChar w:fldCharType="separate"/>
      </w:r>
      <w:r w:rsidR="00BF015B">
        <w:t>Appendix M</w:t>
      </w:r>
      <w:r w:rsidRPr="00640861">
        <w:fldChar w:fldCharType="end"/>
      </w:r>
      <w:r w:rsidRPr="00640861">
        <w:t>.</w:t>
      </w:r>
      <w:r w:rsidRPr="000813CD">
        <w:t xml:space="preserve"> These provide an indication of the areas throughout the Basin where groundwater is shallow or deep. </w:t>
      </w:r>
      <w:r>
        <w:t>Ten metres</w:t>
      </w:r>
      <w:r w:rsidRPr="000813CD">
        <w:t xml:space="preserve"> depth</w:t>
      </w:r>
      <w:r>
        <w:t xml:space="preserve"> was selected as the threshold for ‘shallow’ or ‘deep’ groundwater, as it is the depth threshold under which the groundwater may pose a risk to Black Box. Ten metres was chosen as the threshold as the data was classified and not continuous. The other option was five metres and that was considered too low for meaningful classification of risk. </w:t>
      </w:r>
      <w:r w:rsidR="00A00AAE">
        <w:t xml:space="preserve">This limitation in the dataset is one reason that the data scored a low/moderate confidence score (refer </w:t>
      </w:r>
      <w:r w:rsidR="00A00AAE">
        <w:fldChar w:fldCharType="begin"/>
      </w:r>
      <w:r w:rsidR="00A00AAE">
        <w:instrText xml:space="preserve"> REF _Ref507408992 \h </w:instrText>
      </w:r>
      <w:r w:rsidR="00A00AAE">
        <w:fldChar w:fldCharType="separate"/>
      </w:r>
      <w:r w:rsidR="00BF015B">
        <w:t xml:space="preserve">Table </w:t>
      </w:r>
      <w:r w:rsidR="00BF015B">
        <w:rPr>
          <w:noProof/>
        </w:rPr>
        <w:t>5</w:t>
      </w:r>
      <w:r w:rsidR="00BF015B">
        <w:noBreakHyphen/>
      </w:r>
      <w:r w:rsidR="00BF015B">
        <w:rPr>
          <w:noProof/>
        </w:rPr>
        <w:t>4</w:t>
      </w:r>
      <w:r w:rsidR="00A00AAE">
        <w:fldChar w:fldCharType="end"/>
      </w:r>
      <w:r w:rsidR="00A00AAE">
        <w:t>). To improve the confidence in the data, i</w:t>
      </w:r>
      <w:r>
        <w:t>t is recommended that an improved dataset on groundwater depth is developed and a threshold of six metres (as per the Calperum Station case study) is used.</w:t>
      </w:r>
    </w:p>
    <w:p w14:paraId="049EEC69" w14:textId="77777777" w:rsidR="00C354CD" w:rsidRDefault="00C354CD" w:rsidP="00C354CD">
      <w:pPr>
        <w:pStyle w:val="Bodynarrow"/>
        <w:ind w:left="0"/>
        <w:sectPr w:rsidR="00C354CD" w:rsidSect="00AD0E29">
          <w:pgSz w:w="11906" w:h="16838"/>
          <w:pgMar w:top="567" w:right="851" w:bottom="851" w:left="1134" w:header="708" w:footer="708" w:gutter="0"/>
          <w:cols w:space="708"/>
          <w:docGrid w:linePitch="360"/>
        </w:sectPr>
      </w:pPr>
    </w:p>
    <w:p w14:paraId="5FE0227A" w14:textId="77777777" w:rsidR="00C354CD" w:rsidRDefault="00C354CD" w:rsidP="00C354CD">
      <w:pPr>
        <w:pStyle w:val="Bodynarrow"/>
        <w:spacing w:before="0" w:after="0"/>
        <w:ind w:left="0"/>
        <w:jc w:val="center"/>
      </w:pPr>
      <w:r>
        <w:rPr>
          <w:noProof/>
          <w:lang w:eastAsia="en-AU"/>
        </w:rPr>
        <w:drawing>
          <wp:inline distT="0" distB="0" distL="0" distR="0" wp14:anchorId="0329DC5F" wp14:editId="5CC883E2">
            <wp:extent cx="13620998" cy="8203104"/>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FullBasin_Groundwater Depth.png"/>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13639488" cy="8214239"/>
                    </a:xfrm>
                    <a:prstGeom prst="rect">
                      <a:avLst/>
                    </a:prstGeom>
                    <a:ln>
                      <a:noFill/>
                    </a:ln>
                    <a:extLst>
                      <a:ext uri="{53640926-AAD7-44D8-BBD7-CCE9431645EC}">
                        <a14:shadowObscured xmlns:a14="http://schemas.microsoft.com/office/drawing/2010/main"/>
                      </a:ext>
                    </a:extLst>
                  </pic:spPr>
                </pic:pic>
              </a:graphicData>
            </a:graphic>
          </wp:inline>
        </w:drawing>
      </w:r>
    </w:p>
    <w:p w14:paraId="34979436" w14:textId="06C189A0" w:rsidR="00C354CD" w:rsidRDefault="00C354CD" w:rsidP="00C354CD">
      <w:pPr>
        <w:pStyle w:val="Caption"/>
        <w:spacing w:before="0" w:after="0"/>
        <w:jc w:val="center"/>
      </w:pPr>
      <w:bookmarkStart w:id="296" w:name="_Ref507167202"/>
      <w:bookmarkStart w:id="297" w:name="_Toc514018107"/>
      <w:r>
        <w:t xml:space="preserve">Figure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Figure \* ARABIC \s 1 </w:instrText>
      </w:r>
      <w:r>
        <w:fldChar w:fldCharType="separate"/>
      </w:r>
      <w:r w:rsidR="00BF015B">
        <w:rPr>
          <w:noProof/>
        </w:rPr>
        <w:t>14</w:t>
      </w:r>
      <w:r>
        <w:fldChar w:fldCharType="end"/>
      </w:r>
      <w:bookmarkEnd w:id="296"/>
      <w:r>
        <w:t xml:space="preserve">: Groundwater </w:t>
      </w:r>
      <w:r w:rsidR="008344E6">
        <w:t>d</w:t>
      </w:r>
      <w:r>
        <w:t xml:space="preserve">epth: </w:t>
      </w:r>
      <w:r w:rsidR="008344E6">
        <w:t>b</w:t>
      </w:r>
      <w:r>
        <w:t xml:space="preserve">asin </w:t>
      </w:r>
      <w:r w:rsidR="008344E6">
        <w:t>s</w:t>
      </w:r>
      <w:r>
        <w:t>cale</w:t>
      </w:r>
      <w:bookmarkEnd w:id="297"/>
    </w:p>
    <w:p w14:paraId="361DB90E" w14:textId="77777777" w:rsidR="00C354CD" w:rsidRDefault="00C354CD" w:rsidP="00C354CD">
      <w:pPr>
        <w:pStyle w:val="Caption"/>
        <w:spacing w:before="0" w:after="0"/>
        <w:jc w:val="center"/>
        <w:sectPr w:rsidR="00C354CD" w:rsidSect="00360CDB">
          <w:pgSz w:w="23811" w:h="16838" w:orient="landscape" w:code="8"/>
          <w:pgMar w:top="1134" w:right="567" w:bottom="851" w:left="851" w:header="708" w:footer="708" w:gutter="0"/>
          <w:cols w:space="708"/>
          <w:docGrid w:linePitch="360"/>
        </w:sectPr>
      </w:pPr>
    </w:p>
    <w:p w14:paraId="2D5114F8" w14:textId="75077D61" w:rsidR="00C354CD" w:rsidRDefault="00C354CD" w:rsidP="00C354CD">
      <w:pPr>
        <w:pStyle w:val="Bodynarrow"/>
        <w:ind w:left="0"/>
      </w:pPr>
      <w:r>
        <w:t xml:space="preserve">Overlaying the groundwater depth with the extent of Black Box vegetation throughout the Basin provides an analysis of which areas of Black Box </w:t>
      </w:r>
      <w:r w:rsidR="005C4005">
        <w:t>are in</w:t>
      </w:r>
      <w:r>
        <w:t xml:space="preserve"> areas of shallow or deep groundwater. When paired with groundwater salinity and flooding frequency information</w:t>
      </w:r>
      <w:r w:rsidR="00C01A13">
        <w:t>,</w:t>
      </w:r>
      <w:r>
        <w:t xml:space="preserve"> the groundwater depth contributes to understanding of whether Black Box are likely to be stressed. </w:t>
      </w:r>
    </w:p>
    <w:p w14:paraId="1A9E417E" w14:textId="20127A2D" w:rsidR="00C354CD" w:rsidRDefault="00C354CD" w:rsidP="00C354CD">
      <w:pPr>
        <w:pStyle w:val="Bodynarrow"/>
        <w:ind w:left="0"/>
      </w:pPr>
      <w:r w:rsidRPr="000813CD">
        <w:fldChar w:fldCharType="begin"/>
      </w:r>
      <w:r w:rsidRPr="000813CD">
        <w:instrText xml:space="preserve"> REF _Ref507167238 \h </w:instrText>
      </w:r>
      <w:r>
        <w:instrText xml:space="preserve"> \* MERGEFORMAT </w:instrText>
      </w:r>
      <w:r w:rsidRPr="000813CD">
        <w:fldChar w:fldCharType="separate"/>
      </w:r>
      <w:r w:rsidR="00BF015B">
        <w:t xml:space="preserve">Table </w:t>
      </w:r>
      <w:r w:rsidR="00BF015B">
        <w:rPr>
          <w:noProof/>
        </w:rPr>
        <w:t>5</w:t>
      </w:r>
      <w:r w:rsidR="00BF015B">
        <w:rPr>
          <w:noProof/>
        </w:rPr>
        <w:noBreakHyphen/>
        <w:t>8</w:t>
      </w:r>
      <w:r w:rsidRPr="000813CD">
        <w:fldChar w:fldCharType="end"/>
      </w:r>
      <w:r w:rsidRPr="000813CD">
        <w:t xml:space="preserve"> and </w:t>
      </w:r>
      <w:r w:rsidRPr="000813CD">
        <w:fldChar w:fldCharType="begin"/>
      </w:r>
      <w:r w:rsidRPr="000813CD">
        <w:instrText xml:space="preserve"> REF _Ref507167254 \h </w:instrText>
      </w:r>
      <w:r>
        <w:instrText xml:space="preserve"> \* MERGEFORMAT </w:instrText>
      </w:r>
      <w:r w:rsidRPr="000813CD">
        <w:fldChar w:fldCharType="separate"/>
      </w:r>
      <w:r w:rsidR="00BF015B">
        <w:t xml:space="preserve">Figure </w:t>
      </w:r>
      <w:r w:rsidR="00BF015B">
        <w:rPr>
          <w:noProof/>
        </w:rPr>
        <w:t>5</w:t>
      </w:r>
      <w:r w:rsidR="00BF015B">
        <w:rPr>
          <w:noProof/>
        </w:rPr>
        <w:noBreakHyphen/>
        <w:t>15</w:t>
      </w:r>
      <w:r w:rsidRPr="000813CD">
        <w:fldChar w:fldCharType="end"/>
      </w:r>
      <w:r w:rsidRPr="000813CD">
        <w:t xml:space="preserve"> provide</w:t>
      </w:r>
      <w:r>
        <w:t xml:space="preserve"> the proportion of Black Box throughout the Basin that are: </w:t>
      </w:r>
    </w:p>
    <w:p w14:paraId="4443389E" w14:textId="4E3F2D06" w:rsidR="00C354CD" w:rsidRDefault="00C354CD" w:rsidP="00F22225">
      <w:pPr>
        <w:pStyle w:val="Bodynarrow"/>
        <w:numPr>
          <w:ilvl w:val="0"/>
          <w:numId w:val="88"/>
        </w:numPr>
      </w:pPr>
      <w:r>
        <w:t xml:space="preserve">In areas of shallow groundwater (&lt;10m). If the groundwater is shallow </w:t>
      </w:r>
      <w:r w:rsidR="005C4005">
        <w:t>and</w:t>
      </w:r>
      <w:r>
        <w:t xml:space="preserve"> saline, the Black Box is considered to be at risk from salinity. However, if the groundwater is not saline, there is no risk posed as the groundwater can provide a viable water source. </w:t>
      </w:r>
    </w:p>
    <w:p w14:paraId="61DFE7ED" w14:textId="77777777" w:rsidR="00C354CD" w:rsidRDefault="00C354CD" w:rsidP="00F22225">
      <w:pPr>
        <w:pStyle w:val="Bodynarrow"/>
        <w:numPr>
          <w:ilvl w:val="0"/>
          <w:numId w:val="88"/>
        </w:numPr>
      </w:pPr>
      <w:r>
        <w:t xml:space="preserve">In areas of deep groundwater (&gt;10m). If the groundwater is deep and the Black Box is also in areas of flooding stress, then the Black Box will be at risk. </w:t>
      </w:r>
    </w:p>
    <w:p w14:paraId="65D169D4" w14:textId="2C7F5F5D" w:rsidR="00C354CD" w:rsidRDefault="00C354CD" w:rsidP="00C354CD">
      <w:pPr>
        <w:pStyle w:val="Bodynarrow"/>
        <w:ind w:left="0"/>
      </w:pPr>
      <w:r>
        <w:t xml:space="preserve">Additional maps showing a greater level of detail in selected areas of the Murray and Darling river systems are </w:t>
      </w:r>
      <w:r w:rsidRPr="00640861">
        <w:t xml:space="preserve">provided in </w:t>
      </w:r>
      <w:r w:rsidR="00CD7E3E">
        <w:rPr>
          <w:highlight w:val="yellow"/>
        </w:rPr>
        <w:fldChar w:fldCharType="begin"/>
      </w:r>
      <w:r w:rsidR="00CD7E3E">
        <w:instrText xml:space="preserve"> REF _Ref507426282 \r \h </w:instrText>
      </w:r>
      <w:r w:rsidR="00CD7E3E">
        <w:rPr>
          <w:highlight w:val="yellow"/>
        </w:rPr>
      </w:r>
      <w:r w:rsidR="00CD7E3E">
        <w:rPr>
          <w:highlight w:val="yellow"/>
        </w:rPr>
        <w:fldChar w:fldCharType="separate"/>
      </w:r>
      <w:r w:rsidR="00BF015B">
        <w:t>Appendix M</w:t>
      </w:r>
      <w:r w:rsidR="00CD7E3E">
        <w:rPr>
          <w:highlight w:val="yellow"/>
        </w:rPr>
        <w:fldChar w:fldCharType="end"/>
      </w:r>
      <w:r w:rsidR="00CD7E3E">
        <w:t>.</w:t>
      </w:r>
    </w:p>
    <w:p w14:paraId="2DD5D816" w14:textId="77777777" w:rsidR="00C354CD" w:rsidRDefault="00C354CD" w:rsidP="00C354CD">
      <w:pPr>
        <w:pStyle w:val="Bodynarrow"/>
        <w:ind w:left="0"/>
      </w:pPr>
    </w:p>
    <w:p w14:paraId="7FCF974F" w14:textId="7213495D" w:rsidR="00C354CD" w:rsidRDefault="00C354CD" w:rsidP="00C354CD">
      <w:pPr>
        <w:pStyle w:val="Caption"/>
      </w:pPr>
      <w:bookmarkStart w:id="298" w:name="_Ref507167238"/>
      <w:bookmarkStart w:id="299" w:name="_Toc514068796"/>
      <w:r>
        <w:t xml:space="preserve">Table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Table \* ARABIC \s 1 </w:instrText>
      </w:r>
      <w:r>
        <w:fldChar w:fldCharType="separate"/>
      </w:r>
      <w:r w:rsidR="00BF015B">
        <w:rPr>
          <w:noProof/>
        </w:rPr>
        <w:t>8</w:t>
      </w:r>
      <w:r>
        <w:fldChar w:fldCharType="end"/>
      </w:r>
      <w:bookmarkEnd w:id="298"/>
      <w:r>
        <w:t xml:space="preserve">: Proportion of Black Box in </w:t>
      </w:r>
      <w:r w:rsidR="008344E6">
        <w:t>a</w:t>
      </w:r>
      <w:r>
        <w:t xml:space="preserve">reas of </w:t>
      </w:r>
      <w:r w:rsidR="008344E6">
        <w:t>s</w:t>
      </w:r>
      <w:r>
        <w:t xml:space="preserve">hallow and </w:t>
      </w:r>
      <w:r w:rsidR="008344E6">
        <w:t>d</w:t>
      </w:r>
      <w:r>
        <w:t xml:space="preserve">eep </w:t>
      </w:r>
      <w:r w:rsidR="008344E6">
        <w:t>g</w:t>
      </w:r>
      <w:r>
        <w:t>roundwater</w:t>
      </w:r>
      <w:bookmarkEnd w:id="299"/>
    </w:p>
    <w:tbl>
      <w:tblPr>
        <w:tblW w:w="9498" w:type="dxa"/>
        <w:tblInd w:w="-5" w:type="dxa"/>
        <w:tblLook w:val="04A0" w:firstRow="1" w:lastRow="0" w:firstColumn="1" w:lastColumn="0" w:noHBand="0" w:noVBand="1"/>
      </w:tblPr>
      <w:tblGrid>
        <w:gridCol w:w="1960"/>
        <w:gridCol w:w="1442"/>
        <w:gridCol w:w="1134"/>
        <w:gridCol w:w="1418"/>
        <w:gridCol w:w="1134"/>
        <w:gridCol w:w="1417"/>
        <w:gridCol w:w="993"/>
      </w:tblGrid>
      <w:tr w:rsidR="00C354CD" w:rsidRPr="00AC3A3D" w14:paraId="6CCB129C" w14:textId="77777777" w:rsidTr="00AD0E29">
        <w:trPr>
          <w:trHeight w:val="765"/>
        </w:trPr>
        <w:tc>
          <w:tcPr>
            <w:tcW w:w="1960" w:type="dxa"/>
            <w:tcBorders>
              <w:top w:val="single" w:sz="4" w:space="0" w:color="auto"/>
              <w:left w:val="single" w:sz="4" w:space="0" w:color="auto"/>
              <w:bottom w:val="single" w:sz="4" w:space="0" w:color="auto"/>
              <w:right w:val="single" w:sz="4" w:space="0" w:color="auto"/>
            </w:tcBorders>
            <w:shd w:val="clear" w:color="000000" w:fill="65876D"/>
            <w:vAlign w:val="center"/>
            <w:hideMark/>
          </w:tcPr>
          <w:p w14:paraId="59ECB14D" w14:textId="77777777" w:rsidR="00C354CD" w:rsidRPr="00AC3A3D" w:rsidRDefault="00C354CD" w:rsidP="00AD0E29">
            <w:pPr>
              <w:spacing w:after="0" w:line="240" w:lineRule="auto"/>
              <w:jc w:val="center"/>
              <w:rPr>
                <w:rFonts w:ascii="Arial Black" w:eastAsia="Times New Roman" w:hAnsi="Arial Black" w:cs="Arial"/>
                <w:b/>
                <w:bCs/>
                <w:color w:val="FFFFFF"/>
                <w:sz w:val="16"/>
                <w:szCs w:val="16"/>
                <w:lang w:eastAsia="en-AU"/>
              </w:rPr>
            </w:pPr>
            <w:r w:rsidRPr="00AC3A3D">
              <w:rPr>
                <w:rFonts w:ascii="Arial Black" w:eastAsia="Times New Roman" w:hAnsi="Arial Black" w:cs="Arial"/>
                <w:b/>
                <w:bCs/>
                <w:color w:val="FFFFFF" w:themeColor="background1"/>
                <w:sz w:val="16"/>
                <w:szCs w:val="16"/>
                <w:lang w:eastAsia="en-AU"/>
              </w:rPr>
              <w:t>Basin Plan Regions</w:t>
            </w:r>
          </w:p>
        </w:tc>
        <w:tc>
          <w:tcPr>
            <w:tcW w:w="2576" w:type="dxa"/>
            <w:gridSpan w:val="2"/>
            <w:tcBorders>
              <w:top w:val="single" w:sz="4" w:space="0" w:color="auto"/>
              <w:left w:val="nil"/>
              <w:bottom w:val="single" w:sz="4" w:space="0" w:color="auto"/>
              <w:right w:val="single" w:sz="4" w:space="0" w:color="000000"/>
            </w:tcBorders>
            <w:shd w:val="clear" w:color="000000" w:fill="65876D"/>
            <w:vAlign w:val="center"/>
            <w:hideMark/>
          </w:tcPr>
          <w:p w14:paraId="685ABDB2" w14:textId="77777777" w:rsidR="00C354CD" w:rsidRPr="00AC3A3D" w:rsidRDefault="00C354CD" w:rsidP="00AD0E29">
            <w:pPr>
              <w:spacing w:after="0" w:line="240" w:lineRule="auto"/>
              <w:jc w:val="center"/>
              <w:rPr>
                <w:rFonts w:ascii="Arial Black" w:eastAsia="Times New Roman" w:hAnsi="Arial Black" w:cs="Arial"/>
                <w:b/>
                <w:bCs/>
                <w:color w:val="FFFFFF"/>
                <w:sz w:val="16"/>
                <w:szCs w:val="16"/>
                <w:lang w:eastAsia="en-AU"/>
              </w:rPr>
            </w:pPr>
            <w:r w:rsidRPr="00AC3A3D">
              <w:rPr>
                <w:rFonts w:ascii="Arial Black" w:eastAsia="Times New Roman" w:hAnsi="Arial Black" w:cs="Arial"/>
                <w:b/>
                <w:bCs/>
                <w:color w:val="FFFFFF" w:themeColor="background1"/>
                <w:sz w:val="16"/>
                <w:szCs w:val="16"/>
                <w:lang w:eastAsia="en-AU"/>
              </w:rPr>
              <w:t>Black Box in areas of shallow (&lt;10m) groundwater</w:t>
            </w:r>
          </w:p>
        </w:tc>
        <w:tc>
          <w:tcPr>
            <w:tcW w:w="2552" w:type="dxa"/>
            <w:gridSpan w:val="2"/>
            <w:tcBorders>
              <w:top w:val="single" w:sz="4" w:space="0" w:color="auto"/>
              <w:left w:val="nil"/>
              <w:bottom w:val="single" w:sz="4" w:space="0" w:color="auto"/>
              <w:right w:val="single" w:sz="4" w:space="0" w:color="000000"/>
            </w:tcBorders>
            <w:shd w:val="clear" w:color="000000" w:fill="65876D"/>
            <w:vAlign w:val="center"/>
            <w:hideMark/>
          </w:tcPr>
          <w:p w14:paraId="7C2C56FD" w14:textId="77777777" w:rsidR="00C354CD" w:rsidRPr="00AC3A3D" w:rsidRDefault="00C354CD" w:rsidP="00AD0E29">
            <w:pPr>
              <w:spacing w:after="0" w:line="240" w:lineRule="auto"/>
              <w:jc w:val="center"/>
              <w:rPr>
                <w:rFonts w:ascii="Arial Black" w:eastAsia="Times New Roman" w:hAnsi="Arial Black" w:cs="Arial"/>
                <w:b/>
                <w:bCs/>
                <w:color w:val="FFFFFF"/>
                <w:sz w:val="16"/>
                <w:szCs w:val="16"/>
                <w:lang w:eastAsia="en-AU"/>
              </w:rPr>
            </w:pPr>
            <w:r w:rsidRPr="00AC3A3D">
              <w:rPr>
                <w:rFonts w:ascii="Arial Black" w:eastAsia="Times New Roman" w:hAnsi="Arial Black" w:cs="Arial"/>
                <w:b/>
                <w:bCs/>
                <w:color w:val="FFFFFF" w:themeColor="background1"/>
                <w:sz w:val="16"/>
                <w:szCs w:val="16"/>
                <w:lang w:eastAsia="en-AU"/>
              </w:rPr>
              <w:t>Black Box in areas of deep (&gt;10m) groundwater</w:t>
            </w:r>
          </w:p>
        </w:tc>
        <w:tc>
          <w:tcPr>
            <w:tcW w:w="2410" w:type="dxa"/>
            <w:gridSpan w:val="2"/>
            <w:tcBorders>
              <w:top w:val="single" w:sz="4" w:space="0" w:color="auto"/>
              <w:left w:val="nil"/>
              <w:bottom w:val="single" w:sz="4" w:space="0" w:color="auto"/>
              <w:right w:val="single" w:sz="4" w:space="0" w:color="000000"/>
            </w:tcBorders>
            <w:shd w:val="clear" w:color="000000" w:fill="65876D"/>
            <w:vAlign w:val="center"/>
            <w:hideMark/>
          </w:tcPr>
          <w:p w14:paraId="4C121561" w14:textId="77777777" w:rsidR="00C354CD" w:rsidRPr="00AC3A3D" w:rsidRDefault="00C354CD" w:rsidP="00AD0E29">
            <w:pPr>
              <w:spacing w:after="0" w:line="240" w:lineRule="auto"/>
              <w:jc w:val="center"/>
              <w:rPr>
                <w:rFonts w:ascii="Arial Black" w:eastAsia="Times New Roman" w:hAnsi="Arial Black" w:cs="Arial"/>
                <w:b/>
                <w:bCs/>
                <w:color w:val="FFFFFF"/>
                <w:sz w:val="16"/>
                <w:szCs w:val="16"/>
                <w:lang w:eastAsia="en-AU"/>
              </w:rPr>
            </w:pPr>
            <w:r w:rsidRPr="00AC3A3D">
              <w:rPr>
                <w:rFonts w:ascii="Arial Black" w:eastAsia="Times New Roman" w:hAnsi="Arial Black" w:cs="Arial"/>
                <w:b/>
                <w:bCs/>
                <w:color w:val="FFFFFF" w:themeColor="background1"/>
                <w:sz w:val="16"/>
                <w:szCs w:val="16"/>
                <w:lang w:eastAsia="en-AU"/>
              </w:rPr>
              <w:t>Missing data</w:t>
            </w:r>
          </w:p>
        </w:tc>
      </w:tr>
      <w:tr w:rsidR="00C354CD" w:rsidRPr="00AC3A3D" w14:paraId="728359C7" w14:textId="77777777" w:rsidTr="00AD0E29">
        <w:trPr>
          <w:trHeight w:val="255"/>
        </w:trPr>
        <w:tc>
          <w:tcPr>
            <w:tcW w:w="1960" w:type="dxa"/>
            <w:tcBorders>
              <w:top w:val="nil"/>
              <w:left w:val="single" w:sz="4" w:space="0" w:color="auto"/>
              <w:bottom w:val="single" w:sz="4" w:space="0" w:color="auto"/>
              <w:right w:val="single" w:sz="4" w:space="0" w:color="auto"/>
            </w:tcBorders>
            <w:shd w:val="clear" w:color="000000" w:fill="65876D"/>
            <w:vAlign w:val="center"/>
            <w:hideMark/>
          </w:tcPr>
          <w:p w14:paraId="4595EBD9" w14:textId="77777777" w:rsidR="00C354CD" w:rsidRPr="00AC3A3D" w:rsidRDefault="00C354CD" w:rsidP="00AD0E29">
            <w:pPr>
              <w:spacing w:after="0" w:line="240" w:lineRule="auto"/>
              <w:jc w:val="center"/>
              <w:rPr>
                <w:rFonts w:ascii="Arial Black" w:eastAsia="Times New Roman" w:hAnsi="Arial Black" w:cs="Arial"/>
                <w:b/>
                <w:bCs/>
                <w:color w:val="FFFFFF"/>
                <w:sz w:val="16"/>
                <w:szCs w:val="16"/>
                <w:lang w:eastAsia="en-AU"/>
              </w:rPr>
            </w:pPr>
            <w:r w:rsidRPr="00AC3A3D">
              <w:rPr>
                <w:rFonts w:ascii="Arial Black" w:eastAsia="Times New Roman" w:hAnsi="Arial Black" w:cs="Arial"/>
                <w:b/>
                <w:bCs/>
                <w:color w:val="FFFFFF" w:themeColor="background1"/>
                <w:sz w:val="16"/>
                <w:szCs w:val="16"/>
                <w:lang w:eastAsia="en-AU"/>
              </w:rPr>
              <w:t> </w:t>
            </w:r>
          </w:p>
        </w:tc>
        <w:tc>
          <w:tcPr>
            <w:tcW w:w="1442" w:type="dxa"/>
            <w:tcBorders>
              <w:top w:val="nil"/>
              <w:left w:val="nil"/>
              <w:bottom w:val="single" w:sz="4" w:space="0" w:color="auto"/>
              <w:right w:val="single" w:sz="4" w:space="0" w:color="auto"/>
            </w:tcBorders>
            <w:shd w:val="clear" w:color="000000" w:fill="65876D"/>
            <w:vAlign w:val="center"/>
            <w:hideMark/>
          </w:tcPr>
          <w:p w14:paraId="2385C35E" w14:textId="77777777" w:rsidR="00C354CD" w:rsidRPr="00AC3A3D" w:rsidRDefault="00C354CD" w:rsidP="00AD0E29">
            <w:pPr>
              <w:spacing w:after="0" w:line="240" w:lineRule="auto"/>
              <w:jc w:val="center"/>
              <w:rPr>
                <w:rFonts w:ascii="Arial Black" w:eastAsia="Times New Roman" w:hAnsi="Arial Black" w:cs="Arial"/>
                <w:b/>
                <w:bCs/>
                <w:color w:val="FFFFFF"/>
                <w:sz w:val="16"/>
                <w:szCs w:val="16"/>
                <w:lang w:eastAsia="en-AU"/>
              </w:rPr>
            </w:pPr>
            <w:r w:rsidRPr="00AC3A3D">
              <w:rPr>
                <w:rFonts w:ascii="Arial Black" w:eastAsia="Times New Roman" w:hAnsi="Arial Black" w:cs="Arial"/>
                <w:b/>
                <w:bCs/>
                <w:color w:val="FFFFFF" w:themeColor="background1"/>
                <w:sz w:val="16"/>
                <w:szCs w:val="16"/>
                <w:lang w:eastAsia="en-AU"/>
              </w:rPr>
              <w:t>Area (Ha)</w:t>
            </w:r>
          </w:p>
        </w:tc>
        <w:tc>
          <w:tcPr>
            <w:tcW w:w="1134" w:type="dxa"/>
            <w:tcBorders>
              <w:top w:val="nil"/>
              <w:left w:val="nil"/>
              <w:bottom w:val="single" w:sz="4" w:space="0" w:color="auto"/>
              <w:right w:val="single" w:sz="4" w:space="0" w:color="auto"/>
            </w:tcBorders>
            <w:shd w:val="clear" w:color="000000" w:fill="65876D"/>
            <w:vAlign w:val="center"/>
            <w:hideMark/>
          </w:tcPr>
          <w:p w14:paraId="5DA4B753" w14:textId="77777777" w:rsidR="00C354CD" w:rsidRPr="00AC3A3D" w:rsidRDefault="00C354CD" w:rsidP="00AD0E29">
            <w:pPr>
              <w:spacing w:after="0" w:line="240" w:lineRule="auto"/>
              <w:jc w:val="center"/>
              <w:rPr>
                <w:rFonts w:ascii="Arial Black" w:eastAsia="Times New Roman" w:hAnsi="Arial Black" w:cs="Arial"/>
                <w:b/>
                <w:bCs/>
                <w:color w:val="FFFFFF"/>
                <w:sz w:val="16"/>
                <w:szCs w:val="16"/>
                <w:lang w:eastAsia="en-AU"/>
              </w:rPr>
            </w:pPr>
            <w:r w:rsidRPr="00AC3A3D">
              <w:rPr>
                <w:rFonts w:ascii="Arial Black" w:eastAsia="Times New Roman" w:hAnsi="Arial Black" w:cs="Arial"/>
                <w:b/>
                <w:bCs/>
                <w:color w:val="FFFFFF" w:themeColor="background1"/>
                <w:sz w:val="16"/>
                <w:szCs w:val="16"/>
                <w:lang w:eastAsia="en-AU"/>
              </w:rPr>
              <w:t>%</w:t>
            </w:r>
          </w:p>
        </w:tc>
        <w:tc>
          <w:tcPr>
            <w:tcW w:w="1418" w:type="dxa"/>
            <w:tcBorders>
              <w:top w:val="nil"/>
              <w:left w:val="nil"/>
              <w:bottom w:val="single" w:sz="4" w:space="0" w:color="auto"/>
              <w:right w:val="single" w:sz="4" w:space="0" w:color="auto"/>
            </w:tcBorders>
            <w:shd w:val="clear" w:color="000000" w:fill="65876D"/>
            <w:vAlign w:val="center"/>
            <w:hideMark/>
          </w:tcPr>
          <w:p w14:paraId="1319E49D" w14:textId="77777777" w:rsidR="00C354CD" w:rsidRPr="00AC3A3D" w:rsidRDefault="00C354CD" w:rsidP="00AD0E29">
            <w:pPr>
              <w:spacing w:after="0" w:line="240" w:lineRule="auto"/>
              <w:jc w:val="center"/>
              <w:rPr>
                <w:rFonts w:ascii="Arial Black" w:eastAsia="Times New Roman" w:hAnsi="Arial Black" w:cs="Arial"/>
                <w:b/>
                <w:bCs/>
                <w:color w:val="FFFFFF"/>
                <w:sz w:val="16"/>
                <w:szCs w:val="16"/>
                <w:lang w:eastAsia="en-AU"/>
              </w:rPr>
            </w:pPr>
            <w:r w:rsidRPr="00AC3A3D">
              <w:rPr>
                <w:rFonts w:ascii="Arial Black" w:eastAsia="Times New Roman" w:hAnsi="Arial Black" w:cs="Arial"/>
                <w:b/>
                <w:bCs/>
                <w:color w:val="FFFFFF" w:themeColor="background1"/>
                <w:sz w:val="16"/>
                <w:szCs w:val="16"/>
                <w:lang w:eastAsia="en-AU"/>
              </w:rPr>
              <w:t>Area (Ha)</w:t>
            </w:r>
          </w:p>
        </w:tc>
        <w:tc>
          <w:tcPr>
            <w:tcW w:w="1134" w:type="dxa"/>
            <w:tcBorders>
              <w:top w:val="nil"/>
              <w:left w:val="nil"/>
              <w:bottom w:val="single" w:sz="4" w:space="0" w:color="auto"/>
              <w:right w:val="single" w:sz="4" w:space="0" w:color="auto"/>
            </w:tcBorders>
            <w:shd w:val="clear" w:color="000000" w:fill="65876D"/>
            <w:vAlign w:val="center"/>
            <w:hideMark/>
          </w:tcPr>
          <w:p w14:paraId="63641F5E" w14:textId="77777777" w:rsidR="00C354CD" w:rsidRPr="00AC3A3D" w:rsidRDefault="00C354CD" w:rsidP="00AD0E29">
            <w:pPr>
              <w:spacing w:after="0" w:line="240" w:lineRule="auto"/>
              <w:jc w:val="center"/>
              <w:rPr>
                <w:rFonts w:ascii="Arial Black" w:eastAsia="Times New Roman" w:hAnsi="Arial Black" w:cs="Arial"/>
                <w:b/>
                <w:bCs/>
                <w:color w:val="FFFFFF"/>
                <w:sz w:val="16"/>
                <w:szCs w:val="16"/>
                <w:lang w:eastAsia="en-AU"/>
              </w:rPr>
            </w:pPr>
            <w:r w:rsidRPr="00AC3A3D">
              <w:rPr>
                <w:rFonts w:ascii="Arial Black" w:eastAsia="Times New Roman" w:hAnsi="Arial Black" w:cs="Arial"/>
                <w:b/>
                <w:bCs/>
                <w:color w:val="FFFFFF" w:themeColor="background1"/>
                <w:sz w:val="16"/>
                <w:szCs w:val="16"/>
                <w:lang w:eastAsia="en-AU"/>
              </w:rPr>
              <w:t>%</w:t>
            </w:r>
          </w:p>
        </w:tc>
        <w:tc>
          <w:tcPr>
            <w:tcW w:w="1417" w:type="dxa"/>
            <w:tcBorders>
              <w:top w:val="nil"/>
              <w:left w:val="nil"/>
              <w:bottom w:val="single" w:sz="4" w:space="0" w:color="auto"/>
              <w:right w:val="single" w:sz="4" w:space="0" w:color="auto"/>
            </w:tcBorders>
            <w:shd w:val="clear" w:color="000000" w:fill="65876D"/>
            <w:vAlign w:val="center"/>
            <w:hideMark/>
          </w:tcPr>
          <w:p w14:paraId="13144C2B" w14:textId="77777777" w:rsidR="00C354CD" w:rsidRPr="00AC3A3D" w:rsidRDefault="00C354CD" w:rsidP="00AD0E29">
            <w:pPr>
              <w:spacing w:after="0" w:line="240" w:lineRule="auto"/>
              <w:jc w:val="center"/>
              <w:rPr>
                <w:rFonts w:ascii="Arial Black" w:eastAsia="Times New Roman" w:hAnsi="Arial Black" w:cs="Arial"/>
                <w:b/>
                <w:bCs/>
                <w:color w:val="FFFFFF"/>
                <w:sz w:val="16"/>
                <w:szCs w:val="16"/>
                <w:lang w:eastAsia="en-AU"/>
              </w:rPr>
            </w:pPr>
            <w:r w:rsidRPr="00AC3A3D">
              <w:rPr>
                <w:rFonts w:ascii="Arial Black" w:eastAsia="Times New Roman" w:hAnsi="Arial Black" w:cs="Arial"/>
                <w:b/>
                <w:bCs/>
                <w:color w:val="FFFFFF" w:themeColor="background1"/>
                <w:sz w:val="16"/>
                <w:szCs w:val="16"/>
                <w:lang w:eastAsia="en-AU"/>
              </w:rPr>
              <w:t>Area (Ha)</w:t>
            </w:r>
          </w:p>
        </w:tc>
        <w:tc>
          <w:tcPr>
            <w:tcW w:w="993" w:type="dxa"/>
            <w:tcBorders>
              <w:top w:val="nil"/>
              <w:left w:val="nil"/>
              <w:bottom w:val="single" w:sz="4" w:space="0" w:color="auto"/>
              <w:right w:val="single" w:sz="4" w:space="0" w:color="auto"/>
            </w:tcBorders>
            <w:shd w:val="clear" w:color="000000" w:fill="65876D"/>
            <w:vAlign w:val="center"/>
            <w:hideMark/>
          </w:tcPr>
          <w:p w14:paraId="0CBABA22" w14:textId="77777777" w:rsidR="00C354CD" w:rsidRPr="00AC3A3D" w:rsidRDefault="00C354CD" w:rsidP="00AD0E29">
            <w:pPr>
              <w:spacing w:after="0" w:line="240" w:lineRule="auto"/>
              <w:jc w:val="center"/>
              <w:rPr>
                <w:rFonts w:ascii="Arial Black" w:eastAsia="Times New Roman" w:hAnsi="Arial Black" w:cs="Arial"/>
                <w:b/>
                <w:bCs/>
                <w:color w:val="FFFFFF"/>
                <w:sz w:val="16"/>
                <w:szCs w:val="16"/>
                <w:lang w:eastAsia="en-AU"/>
              </w:rPr>
            </w:pPr>
            <w:r w:rsidRPr="00AC3A3D">
              <w:rPr>
                <w:rFonts w:ascii="Arial Black" w:eastAsia="Times New Roman" w:hAnsi="Arial Black" w:cs="Arial"/>
                <w:b/>
                <w:bCs/>
                <w:color w:val="FFFFFF" w:themeColor="background1"/>
                <w:sz w:val="16"/>
                <w:szCs w:val="16"/>
                <w:lang w:eastAsia="en-AU"/>
              </w:rPr>
              <w:t>%</w:t>
            </w:r>
          </w:p>
        </w:tc>
      </w:tr>
      <w:tr w:rsidR="00C354CD" w:rsidRPr="00AC3A3D" w14:paraId="70EF2DAB"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341826AC" w14:textId="77777777" w:rsidR="00C354CD" w:rsidRPr="00AC3A3D" w:rsidRDefault="00C354CD" w:rsidP="00AD0E29">
            <w:pPr>
              <w:spacing w:after="0" w:line="240" w:lineRule="auto"/>
              <w:rPr>
                <w:rFonts w:eastAsia="Times New Roman" w:cs="Arial"/>
                <w:szCs w:val="20"/>
                <w:lang w:eastAsia="en-AU"/>
              </w:rPr>
            </w:pPr>
            <w:r w:rsidRPr="00AC3A3D">
              <w:rPr>
                <w:rFonts w:eastAsia="Times New Roman" w:cs="Arial"/>
                <w:szCs w:val="20"/>
                <w:lang w:eastAsia="en-AU"/>
              </w:rPr>
              <w:t>Barwon-Darling</w:t>
            </w:r>
          </w:p>
        </w:tc>
        <w:tc>
          <w:tcPr>
            <w:tcW w:w="1442" w:type="dxa"/>
            <w:tcBorders>
              <w:top w:val="nil"/>
              <w:left w:val="nil"/>
              <w:bottom w:val="single" w:sz="4" w:space="0" w:color="auto"/>
              <w:right w:val="single" w:sz="4" w:space="0" w:color="auto"/>
            </w:tcBorders>
            <w:shd w:val="clear" w:color="auto" w:fill="auto"/>
            <w:vAlign w:val="center"/>
            <w:hideMark/>
          </w:tcPr>
          <w:p w14:paraId="1D90663C"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21,570</w:t>
            </w:r>
          </w:p>
        </w:tc>
        <w:tc>
          <w:tcPr>
            <w:tcW w:w="1134" w:type="dxa"/>
            <w:tcBorders>
              <w:top w:val="nil"/>
              <w:left w:val="nil"/>
              <w:bottom w:val="single" w:sz="4" w:space="0" w:color="auto"/>
              <w:right w:val="single" w:sz="4" w:space="0" w:color="auto"/>
            </w:tcBorders>
            <w:shd w:val="clear" w:color="auto" w:fill="auto"/>
            <w:vAlign w:val="center"/>
            <w:hideMark/>
          </w:tcPr>
          <w:p w14:paraId="47AEC5CB"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35%</w:t>
            </w:r>
          </w:p>
        </w:tc>
        <w:tc>
          <w:tcPr>
            <w:tcW w:w="1418" w:type="dxa"/>
            <w:tcBorders>
              <w:top w:val="nil"/>
              <w:left w:val="nil"/>
              <w:bottom w:val="single" w:sz="4" w:space="0" w:color="auto"/>
              <w:right w:val="single" w:sz="4" w:space="0" w:color="auto"/>
            </w:tcBorders>
            <w:shd w:val="clear" w:color="auto" w:fill="auto"/>
            <w:vAlign w:val="center"/>
            <w:hideMark/>
          </w:tcPr>
          <w:p w14:paraId="16E6C6DA"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40,280</w:t>
            </w:r>
          </w:p>
        </w:tc>
        <w:tc>
          <w:tcPr>
            <w:tcW w:w="1134" w:type="dxa"/>
            <w:tcBorders>
              <w:top w:val="nil"/>
              <w:left w:val="nil"/>
              <w:bottom w:val="single" w:sz="4" w:space="0" w:color="auto"/>
              <w:right w:val="single" w:sz="4" w:space="0" w:color="auto"/>
            </w:tcBorders>
            <w:shd w:val="clear" w:color="auto" w:fill="auto"/>
            <w:vAlign w:val="center"/>
            <w:hideMark/>
          </w:tcPr>
          <w:p w14:paraId="2E676553"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65%</w:t>
            </w:r>
          </w:p>
        </w:tc>
        <w:tc>
          <w:tcPr>
            <w:tcW w:w="1417" w:type="dxa"/>
            <w:tcBorders>
              <w:top w:val="nil"/>
              <w:left w:val="nil"/>
              <w:bottom w:val="single" w:sz="4" w:space="0" w:color="auto"/>
              <w:right w:val="single" w:sz="4" w:space="0" w:color="auto"/>
            </w:tcBorders>
            <w:shd w:val="clear" w:color="auto" w:fill="auto"/>
            <w:vAlign w:val="center"/>
            <w:hideMark/>
          </w:tcPr>
          <w:p w14:paraId="4FA6E99B"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c>
          <w:tcPr>
            <w:tcW w:w="993" w:type="dxa"/>
            <w:tcBorders>
              <w:top w:val="nil"/>
              <w:left w:val="nil"/>
              <w:bottom w:val="single" w:sz="4" w:space="0" w:color="auto"/>
              <w:right w:val="single" w:sz="4" w:space="0" w:color="auto"/>
            </w:tcBorders>
            <w:shd w:val="clear" w:color="auto" w:fill="auto"/>
            <w:vAlign w:val="center"/>
            <w:hideMark/>
          </w:tcPr>
          <w:p w14:paraId="515CD1F3"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r>
      <w:tr w:rsidR="00C354CD" w:rsidRPr="00AC3A3D" w14:paraId="1AA6AD98"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2B7E385" w14:textId="77777777" w:rsidR="00C354CD" w:rsidRPr="00AC3A3D" w:rsidRDefault="00C354CD" w:rsidP="00AD0E29">
            <w:pPr>
              <w:spacing w:after="0" w:line="240" w:lineRule="auto"/>
              <w:rPr>
                <w:rFonts w:eastAsia="Times New Roman" w:cs="Arial"/>
                <w:szCs w:val="20"/>
                <w:lang w:eastAsia="en-AU"/>
              </w:rPr>
            </w:pPr>
            <w:r w:rsidRPr="00AC3A3D">
              <w:rPr>
                <w:rFonts w:eastAsia="Times New Roman" w:cs="Arial"/>
                <w:szCs w:val="20"/>
                <w:lang w:eastAsia="en-AU"/>
              </w:rPr>
              <w:t>Moonie</w:t>
            </w:r>
          </w:p>
        </w:tc>
        <w:tc>
          <w:tcPr>
            <w:tcW w:w="1442" w:type="dxa"/>
            <w:tcBorders>
              <w:top w:val="nil"/>
              <w:left w:val="nil"/>
              <w:bottom w:val="single" w:sz="4" w:space="0" w:color="auto"/>
              <w:right w:val="single" w:sz="4" w:space="0" w:color="auto"/>
            </w:tcBorders>
            <w:shd w:val="clear" w:color="auto" w:fill="auto"/>
            <w:vAlign w:val="center"/>
            <w:hideMark/>
          </w:tcPr>
          <w:p w14:paraId="03A03C76"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353C37DC"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c>
          <w:tcPr>
            <w:tcW w:w="1418" w:type="dxa"/>
            <w:tcBorders>
              <w:top w:val="nil"/>
              <w:left w:val="nil"/>
              <w:bottom w:val="single" w:sz="4" w:space="0" w:color="auto"/>
              <w:right w:val="single" w:sz="4" w:space="0" w:color="auto"/>
            </w:tcBorders>
            <w:shd w:val="clear" w:color="auto" w:fill="auto"/>
            <w:vAlign w:val="center"/>
            <w:hideMark/>
          </w:tcPr>
          <w:p w14:paraId="6237C737"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8,390</w:t>
            </w:r>
          </w:p>
        </w:tc>
        <w:tc>
          <w:tcPr>
            <w:tcW w:w="1134" w:type="dxa"/>
            <w:tcBorders>
              <w:top w:val="nil"/>
              <w:left w:val="nil"/>
              <w:bottom w:val="single" w:sz="4" w:space="0" w:color="auto"/>
              <w:right w:val="single" w:sz="4" w:space="0" w:color="auto"/>
            </w:tcBorders>
            <w:shd w:val="clear" w:color="auto" w:fill="auto"/>
            <w:vAlign w:val="center"/>
            <w:hideMark/>
          </w:tcPr>
          <w:p w14:paraId="10E27016"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100%</w:t>
            </w:r>
          </w:p>
        </w:tc>
        <w:tc>
          <w:tcPr>
            <w:tcW w:w="1417" w:type="dxa"/>
            <w:tcBorders>
              <w:top w:val="nil"/>
              <w:left w:val="nil"/>
              <w:bottom w:val="single" w:sz="4" w:space="0" w:color="auto"/>
              <w:right w:val="single" w:sz="4" w:space="0" w:color="auto"/>
            </w:tcBorders>
            <w:shd w:val="clear" w:color="auto" w:fill="auto"/>
            <w:vAlign w:val="center"/>
            <w:hideMark/>
          </w:tcPr>
          <w:p w14:paraId="59F2AD12"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c>
          <w:tcPr>
            <w:tcW w:w="993" w:type="dxa"/>
            <w:tcBorders>
              <w:top w:val="nil"/>
              <w:left w:val="nil"/>
              <w:bottom w:val="single" w:sz="4" w:space="0" w:color="auto"/>
              <w:right w:val="single" w:sz="4" w:space="0" w:color="auto"/>
            </w:tcBorders>
            <w:shd w:val="clear" w:color="auto" w:fill="auto"/>
            <w:vAlign w:val="center"/>
            <w:hideMark/>
          </w:tcPr>
          <w:p w14:paraId="4DE66467"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r>
      <w:tr w:rsidR="00C354CD" w:rsidRPr="00AC3A3D" w14:paraId="2E910ADC"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075E6276" w14:textId="77777777" w:rsidR="00C354CD" w:rsidRPr="00AC3A3D" w:rsidRDefault="00C354CD" w:rsidP="00AD0E29">
            <w:pPr>
              <w:spacing w:after="0" w:line="240" w:lineRule="auto"/>
              <w:rPr>
                <w:rFonts w:eastAsia="Times New Roman" w:cs="Arial"/>
                <w:szCs w:val="20"/>
                <w:lang w:eastAsia="en-AU"/>
              </w:rPr>
            </w:pPr>
            <w:r w:rsidRPr="00AC3A3D">
              <w:rPr>
                <w:rFonts w:eastAsia="Times New Roman" w:cs="Arial"/>
                <w:szCs w:val="20"/>
                <w:lang w:eastAsia="en-AU"/>
              </w:rPr>
              <w:t>Campaspe</w:t>
            </w:r>
          </w:p>
        </w:tc>
        <w:tc>
          <w:tcPr>
            <w:tcW w:w="1442" w:type="dxa"/>
            <w:tcBorders>
              <w:top w:val="nil"/>
              <w:left w:val="nil"/>
              <w:bottom w:val="single" w:sz="4" w:space="0" w:color="auto"/>
              <w:right w:val="single" w:sz="4" w:space="0" w:color="auto"/>
            </w:tcBorders>
            <w:shd w:val="clear" w:color="auto" w:fill="auto"/>
            <w:vAlign w:val="center"/>
            <w:hideMark/>
          </w:tcPr>
          <w:p w14:paraId="4AF3EBDC"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310</w:t>
            </w:r>
          </w:p>
        </w:tc>
        <w:tc>
          <w:tcPr>
            <w:tcW w:w="1134" w:type="dxa"/>
            <w:tcBorders>
              <w:top w:val="nil"/>
              <w:left w:val="nil"/>
              <w:bottom w:val="single" w:sz="4" w:space="0" w:color="auto"/>
              <w:right w:val="single" w:sz="4" w:space="0" w:color="auto"/>
            </w:tcBorders>
            <w:shd w:val="clear" w:color="auto" w:fill="auto"/>
            <w:vAlign w:val="center"/>
            <w:hideMark/>
          </w:tcPr>
          <w:p w14:paraId="0AAC2A19"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97%</w:t>
            </w:r>
          </w:p>
        </w:tc>
        <w:tc>
          <w:tcPr>
            <w:tcW w:w="1418" w:type="dxa"/>
            <w:tcBorders>
              <w:top w:val="nil"/>
              <w:left w:val="nil"/>
              <w:bottom w:val="single" w:sz="4" w:space="0" w:color="auto"/>
              <w:right w:val="single" w:sz="4" w:space="0" w:color="auto"/>
            </w:tcBorders>
            <w:shd w:val="clear" w:color="auto" w:fill="auto"/>
            <w:vAlign w:val="center"/>
            <w:hideMark/>
          </w:tcPr>
          <w:p w14:paraId="09D7A606"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10</w:t>
            </w:r>
          </w:p>
        </w:tc>
        <w:tc>
          <w:tcPr>
            <w:tcW w:w="1134" w:type="dxa"/>
            <w:tcBorders>
              <w:top w:val="nil"/>
              <w:left w:val="nil"/>
              <w:bottom w:val="single" w:sz="4" w:space="0" w:color="auto"/>
              <w:right w:val="single" w:sz="4" w:space="0" w:color="auto"/>
            </w:tcBorders>
            <w:shd w:val="clear" w:color="auto" w:fill="auto"/>
            <w:vAlign w:val="center"/>
            <w:hideMark/>
          </w:tcPr>
          <w:p w14:paraId="3108FCB6"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3%</w:t>
            </w:r>
          </w:p>
        </w:tc>
        <w:tc>
          <w:tcPr>
            <w:tcW w:w="1417" w:type="dxa"/>
            <w:tcBorders>
              <w:top w:val="nil"/>
              <w:left w:val="nil"/>
              <w:bottom w:val="single" w:sz="4" w:space="0" w:color="auto"/>
              <w:right w:val="single" w:sz="4" w:space="0" w:color="auto"/>
            </w:tcBorders>
            <w:shd w:val="clear" w:color="auto" w:fill="auto"/>
            <w:vAlign w:val="center"/>
            <w:hideMark/>
          </w:tcPr>
          <w:p w14:paraId="40D3A55D"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c>
          <w:tcPr>
            <w:tcW w:w="993" w:type="dxa"/>
            <w:tcBorders>
              <w:top w:val="nil"/>
              <w:left w:val="nil"/>
              <w:bottom w:val="single" w:sz="4" w:space="0" w:color="auto"/>
              <w:right w:val="single" w:sz="4" w:space="0" w:color="auto"/>
            </w:tcBorders>
            <w:shd w:val="clear" w:color="auto" w:fill="auto"/>
            <w:vAlign w:val="center"/>
            <w:hideMark/>
          </w:tcPr>
          <w:p w14:paraId="127BB30F"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r>
      <w:tr w:rsidR="00C354CD" w:rsidRPr="00AC3A3D" w14:paraId="227FC8C9" w14:textId="77777777" w:rsidTr="00AD0E29">
        <w:trPr>
          <w:trHeight w:val="51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0D5A6D8C" w14:textId="3511280F" w:rsidR="00C354CD" w:rsidRPr="00AC3A3D" w:rsidRDefault="00C354CD" w:rsidP="00AD0E29">
            <w:pPr>
              <w:spacing w:after="0" w:line="240" w:lineRule="auto"/>
              <w:rPr>
                <w:rFonts w:eastAsia="Times New Roman" w:cs="Arial"/>
                <w:szCs w:val="20"/>
                <w:lang w:eastAsia="en-AU"/>
              </w:rPr>
            </w:pPr>
            <w:r w:rsidRPr="00AC3A3D">
              <w:rPr>
                <w:rFonts w:eastAsia="Times New Roman" w:cs="Arial"/>
                <w:szCs w:val="20"/>
                <w:lang w:eastAsia="en-AU"/>
              </w:rPr>
              <w:t>Macquarie-</w:t>
            </w:r>
            <w:r w:rsidR="005C4005" w:rsidRPr="00AC3A3D">
              <w:rPr>
                <w:rFonts w:eastAsia="Times New Roman" w:cs="Arial"/>
                <w:szCs w:val="20"/>
                <w:lang w:eastAsia="en-AU"/>
              </w:rPr>
              <w:t>Castlereagh</w:t>
            </w:r>
          </w:p>
        </w:tc>
        <w:tc>
          <w:tcPr>
            <w:tcW w:w="1442" w:type="dxa"/>
            <w:tcBorders>
              <w:top w:val="nil"/>
              <w:left w:val="nil"/>
              <w:bottom w:val="single" w:sz="4" w:space="0" w:color="auto"/>
              <w:right w:val="single" w:sz="4" w:space="0" w:color="auto"/>
            </w:tcBorders>
            <w:shd w:val="clear" w:color="auto" w:fill="auto"/>
            <w:vAlign w:val="center"/>
            <w:hideMark/>
          </w:tcPr>
          <w:p w14:paraId="61293C3E"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121,380</w:t>
            </w:r>
          </w:p>
        </w:tc>
        <w:tc>
          <w:tcPr>
            <w:tcW w:w="1134" w:type="dxa"/>
            <w:tcBorders>
              <w:top w:val="nil"/>
              <w:left w:val="nil"/>
              <w:bottom w:val="single" w:sz="4" w:space="0" w:color="auto"/>
              <w:right w:val="single" w:sz="4" w:space="0" w:color="auto"/>
            </w:tcBorders>
            <w:shd w:val="clear" w:color="auto" w:fill="auto"/>
            <w:vAlign w:val="center"/>
            <w:hideMark/>
          </w:tcPr>
          <w:p w14:paraId="05F9130F"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65%</w:t>
            </w:r>
          </w:p>
        </w:tc>
        <w:tc>
          <w:tcPr>
            <w:tcW w:w="1418" w:type="dxa"/>
            <w:tcBorders>
              <w:top w:val="nil"/>
              <w:left w:val="nil"/>
              <w:bottom w:val="single" w:sz="4" w:space="0" w:color="auto"/>
              <w:right w:val="single" w:sz="4" w:space="0" w:color="auto"/>
            </w:tcBorders>
            <w:shd w:val="clear" w:color="auto" w:fill="auto"/>
            <w:vAlign w:val="center"/>
            <w:hideMark/>
          </w:tcPr>
          <w:p w14:paraId="3F5CD594"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65,840</w:t>
            </w:r>
          </w:p>
        </w:tc>
        <w:tc>
          <w:tcPr>
            <w:tcW w:w="1134" w:type="dxa"/>
            <w:tcBorders>
              <w:top w:val="nil"/>
              <w:left w:val="nil"/>
              <w:bottom w:val="single" w:sz="4" w:space="0" w:color="auto"/>
              <w:right w:val="single" w:sz="4" w:space="0" w:color="auto"/>
            </w:tcBorders>
            <w:shd w:val="clear" w:color="auto" w:fill="auto"/>
            <w:vAlign w:val="center"/>
            <w:hideMark/>
          </w:tcPr>
          <w:p w14:paraId="677A7245"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35%</w:t>
            </w:r>
          </w:p>
        </w:tc>
        <w:tc>
          <w:tcPr>
            <w:tcW w:w="1417" w:type="dxa"/>
            <w:tcBorders>
              <w:top w:val="nil"/>
              <w:left w:val="nil"/>
              <w:bottom w:val="single" w:sz="4" w:space="0" w:color="auto"/>
              <w:right w:val="single" w:sz="4" w:space="0" w:color="auto"/>
            </w:tcBorders>
            <w:shd w:val="clear" w:color="auto" w:fill="auto"/>
            <w:vAlign w:val="center"/>
            <w:hideMark/>
          </w:tcPr>
          <w:p w14:paraId="5F7EA34C"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c>
          <w:tcPr>
            <w:tcW w:w="993" w:type="dxa"/>
            <w:tcBorders>
              <w:top w:val="nil"/>
              <w:left w:val="nil"/>
              <w:bottom w:val="single" w:sz="4" w:space="0" w:color="auto"/>
              <w:right w:val="single" w:sz="4" w:space="0" w:color="auto"/>
            </w:tcBorders>
            <w:shd w:val="clear" w:color="auto" w:fill="auto"/>
            <w:vAlign w:val="center"/>
            <w:hideMark/>
          </w:tcPr>
          <w:p w14:paraId="184B7979"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r>
      <w:tr w:rsidR="00C354CD" w:rsidRPr="00AC3A3D" w14:paraId="3A13AB6B"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B4698D8" w14:textId="77777777" w:rsidR="00C354CD" w:rsidRPr="00AC3A3D" w:rsidRDefault="00C354CD" w:rsidP="00AD0E29">
            <w:pPr>
              <w:spacing w:after="0" w:line="240" w:lineRule="auto"/>
              <w:rPr>
                <w:rFonts w:eastAsia="Times New Roman" w:cs="Arial"/>
                <w:szCs w:val="20"/>
                <w:lang w:eastAsia="en-AU"/>
              </w:rPr>
            </w:pPr>
            <w:r w:rsidRPr="00AC3A3D">
              <w:rPr>
                <w:rFonts w:eastAsia="Times New Roman" w:cs="Arial"/>
                <w:szCs w:val="20"/>
                <w:lang w:eastAsia="en-AU"/>
              </w:rPr>
              <w:t>Lachlan</w:t>
            </w:r>
          </w:p>
        </w:tc>
        <w:tc>
          <w:tcPr>
            <w:tcW w:w="1442" w:type="dxa"/>
            <w:tcBorders>
              <w:top w:val="nil"/>
              <w:left w:val="nil"/>
              <w:bottom w:val="single" w:sz="4" w:space="0" w:color="auto"/>
              <w:right w:val="single" w:sz="4" w:space="0" w:color="auto"/>
            </w:tcBorders>
            <w:shd w:val="clear" w:color="auto" w:fill="auto"/>
            <w:vAlign w:val="center"/>
            <w:hideMark/>
          </w:tcPr>
          <w:p w14:paraId="7E62576E"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17,090</w:t>
            </w:r>
          </w:p>
        </w:tc>
        <w:tc>
          <w:tcPr>
            <w:tcW w:w="1134" w:type="dxa"/>
            <w:tcBorders>
              <w:top w:val="nil"/>
              <w:left w:val="nil"/>
              <w:bottom w:val="single" w:sz="4" w:space="0" w:color="auto"/>
              <w:right w:val="single" w:sz="4" w:space="0" w:color="auto"/>
            </w:tcBorders>
            <w:shd w:val="clear" w:color="auto" w:fill="auto"/>
            <w:vAlign w:val="center"/>
            <w:hideMark/>
          </w:tcPr>
          <w:p w14:paraId="1DC1034F"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22%</w:t>
            </w:r>
          </w:p>
        </w:tc>
        <w:tc>
          <w:tcPr>
            <w:tcW w:w="1418" w:type="dxa"/>
            <w:tcBorders>
              <w:top w:val="nil"/>
              <w:left w:val="nil"/>
              <w:bottom w:val="single" w:sz="4" w:space="0" w:color="auto"/>
              <w:right w:val="single" w:sz="4" w:space="0" w:color="auto"/>
            </w:tcBorders>
            <w:shd w:val="clear" w:color="auto" w:fill="auto"/>
            <w:vAlign w:val="center"/>
            <w:hideMark/>
          </w:tcPr>
          <w:p w14:paraId="10A8BA5B"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54,570</w:t>
            </w:r>
          </w:p>
        </w:tc>
        <w:tc>
          <w:tcPr>
            <w:tcW w:w="1134" w:type="dxa"/>
            <w:tcBorders>
              <w:top w:val="nil"/>
              <w:left w:val="nil"/>
              <w:bottom w:val="single" w:sz="4" w:space="0" w:color="auto"/>
              <w:right w:val="single" w:sz="4" w:space="0" w:color="auto"/>
            </w:tcBorders>
            <w:shd w:val="clear" w:color="auto" w:fill="auto"/>
            <w:vAlign w:val="center"/>
            <w:hideMark/>
          </w:tcPr>
          <w:p w14:paraId="3401E191"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70%</w:t>
            </w:r>
          </w:p>
        </w:tc>
        <w:tc>
          <w:tcPr>
            <w:tcW w:w="1417" w:type="dxa"/>
            <w:tcBorders>
              <w:top w:val="nil"/>
              <w:left w:val="nil"/>
              <w:bottom w:val="single" w:sz="4" w:space="0" w:color="auto"/>
              <w:right w:val="single" w:sz="4" w:space="0" w:color="auto"/>
            </w:tcBorders>
            <w:shd w:val="clear" w:color="auto" w:fill="auto"/>
            <w:vAlign w:val="center"/>
            <w:hideMark/>
          </w:tcPr>
          <w:p w14:paraId="47374D78"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6,820</w:t>
            </w:r>
          </w:p>
        </w:tc>
        <w:tc>
          <w:tcPr>
            <w:tcW w:w="993" w:type="dxa"/>
            <w:tcBorders>
              <w:top w:val="nil"/>
              <w:left w:val="nil"/>
              <w:bottom w:val="single" w:sz="4" w:space="0" w:color="auto"/>
              <w:right w:val="single" w:sz="4" w:space="0" w:color="auto"/>
            </w:tcBorders>
            <w:shd w:val="clear" w:color="auto" w:fill="auto"/>
            <w:vAlign w:val="center"/>
            <w:hideMark/>
          </w:tcPr>
          <w:p w14:paraId="2FA3CD9C"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9%</w:t>
            </w:r>
          </w:p>
        </w:tc>
      </w:tr>
      <w:tr w:rsidR="00C354CD" w:rsidRPr="00AC3A3D" w14:paraId="123F3FA6" w14:textId="77777777" w:rsidTr="00AD0E29">
        <w:trPr>
          <w:trHeight w:val="51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FA4083B" w14:textId="77777777" w:rsidR="00C354CD" w:rsidRPr="00AC3A3D" w:rsidRDefault="00C354CD" w:rsidP="00AD0E29">
            <w:pPr>
              <w:spacing w:after="0" w:line="240" w:lineRule="auto"/>
              <w:rPr>
                <w:rFonts w:eastAsia="Times New Roman" w:cs="Arial"/>
                <w:szCs w:val="20"/>
                <w:lang w:eastAsia="en-AU"/>
              </w:rPr>
            </w:pPr>
            <w:r w:rsidRPr="00AC3A3D">
              <w:rPr>
                <w:rFonts w:eastAsia="Times New Roman" w:cs="Arial"/>
                <w:szCs w:val="20"/>
                <w:lang w:eastAsia="en-AU"/>
              </w:rPr>
              <w:t>Eastern Mt Lofty Ranges</w:t>
            </w:r>
          </w:p>
        </w:tc>
        <w:tc>
          <w:tcPr>
            <w:tcW w:w="1442" w:type="dxa"/>
            <w:tcBorders>
              <w:top w:val="nil"/>
              <w:left w:val="nil"/>
              <w:bottom w:val="single" w:sz="4" w:space="0" w:color="auto"/>
              <w:right w:val="single" w:sz="4" w:space="0" w:color="auto"/>
            </w:tcBorders>
            <w:shd w:val="clear" w:color="auto" w:fill="auto"/>
            <w:vAlign w:val="center"/>
            <w:hideMark/>
          </w:tcPr>
          <w:p w14:paraId="72DC8989"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120</w:t>
            </w:r>
          </w:p>
        </w:tc>
        <w:tc>
          <w:tcPr>
            <w:tcW w:w="1134" w:type="dxa"/>
            <w:tcBorders>
              <w:top w:val="nil"/>
              <w:left w:val="nil"/>
              <w:bottom w:val="single" w:sz="4" w:space="0" w:color="auto"/>
              <w:right w:val="single" w:sz="4" w:space="0" w:color="auto"/>
            </w:tcBorders>
            <w:shd w:val="clear" w:color="auto" w:fill="auto"/>
            <w:vAlign w:val="center"/>
            <w:hideMark/>
          </w:tcPr>
          <w:p w14:paraId="11953F43"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31%</w:t>
            </w:r>
          </w:p>
        </w:tc>
        <w:tc>
          <w:tcPr>
            <w:tcW w:w="1418" w:type="dxa"/>
            <w:tcBorders>
              <w:top w:val="nil"/>
              <w:left w:val="nil"/>
              <w:bottom w:val="single" w:sz="4" w:space="0" w:color="auto"/>
              <w:right w:val="single" w:sz="4" w:space="0" w:color="auto"/>
            </w:tcBorders>
            <w:shd w:val="clear" w:color="auto" w:fill="auto"/>
            <w:vAlign w:val="center"/>
            <w:hideMark/>
          </w:tcPr>
          <w:p w14:paraId="25A8B5CC"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270</w:t>
            </w:r>
          </w:p>
        </w:tc>
        <w:tc>
          <w:tcPr>
            <w:tcW w:w="1134" w:type="dxa"/>
            <w:tcBorders>
              <w:top w:val="nil"/>
              <w:left w:val="nil"/>
              <w:bottom w:val="single" w:sz="4" w:space="0" w:color="auto"/>
              <w:right w:val="single" w:sz="4" w:space="0" w:color="auto"/>
            </w:tcBorders>
            <w:shd w:val="clear" w:color="auto" w:fill="auto"/>
            <w:vAlign w:val="center"/>
            <w:hideMark/>
          </w:tcPr>
          <w:p w14:paraId="54531F63"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69%</w:t>
            </w:r>
          </w:p>
        </w:tc>
        <w:tc>
          <w:tcPr>
            <w:tcW w:w="1417" w:type="dxa"/>
            <w:tcBorders>
              <w:top w:val="nil"/>
              <w:left w:val="nil"/>
              <w:bottom w:val="single" w:sz="4" w:space="0" w:color="auto"/>
              <w:right w:val="single" w:sz="4" w:space="0" w:color="auto"/>
            </w:tcBorders>
            <w:shd w:val="clear" w:color="auto" w:fill="auto"/>
            <w:vAlign w:val="center"/>
            <w:hideMark/>
          </w:tcPr>
          <w:p w14:paraId="13E7EF5C"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c>
          <w:tcPr>
            <w:tcW w:w="993" w:type="dxa"/>
            <w:tcBorders>
              <w:top w:val="nil"/>
              <w:left w:val="nil"/>
              <w:bottom w:val="single" w:sz="4" w:space="0" w:color="auto"/>
              <w:right w:val="single" w:sz="4" w:space="0" w:color="auto"/>
            </w:tcBorders>
            <w:shd w:val="clear" w:color="auto" w:fill="auto"/>
            <w:vAlign w:val="center"/>
            <w:hideMark/>
          </w:tcPr>
          <w:p w14:paraId="43D66075"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r>
      <w:tr w:rsidR="00C354CD" w:rsidRPr="00AC3A3D" w14:paraId="16A77CFE"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F79804C" w14:textId="77777777" w:rsidR="00C354CD" w:rsidRPr="00AC3A3D" w:rsidRDefault="00C354CD" w:rsidP="00AD0E29">
            <w:pPr>
              <w:spacing w:after="0" w:line="240" w:lineRule="auto"/>
              <w:rPr>
                <w:rFonts w:eastAsia="Times New Roman" w:cs="Arial"/>
                <w:szCs w:val="20"/>
                <w:lang w:eastAsia="en-AU"/>
              </w:rPr>
            </w:pPr>
            <w:r w:rsidRPr="00AC3A3D">
              <w:rPr>
                <w:rFonts w:eastAsia="Times New Roman" w:cs="Arial"/>
                <w:szCs w:val="20"/>
                <w:lang w:eastAsia="en-AU"/>
              </w:rPr>
              <w:t>Murrumbidgee</w:t>
            </w:r>
          </w:p>
        </w:tc>
        <w:tc>
          <w:tcPr>
            <w:tcW w:w="1442" w:type="dxa"/>
            <w:tcBorders>
              <w:top w:val="nil"/>
              <w:left w:val="nil"/>
              <w:bottom w:val="single" w:sz="4" w:space="0" w:color="auto"/>
              <w:right w:val="single" w:sz="4" w:space="0" w:color="auto"/>
            </w:tcBorders>
            <w:shd w:val="clear" w:color="auto" w:fill="auto"/>
            <w:vAlign w:val="center"/>
            <w:hideMark/>
          </w:tcPr>
          <w:p w14:paraId="133BB7E8"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39,320</w:t>
            </w:r>
          </w:p>
        </w:tc>
        <w:tc>
          <w:tcPr>
            <w:tcW w:w="1134" w:type="dxa"/>
            <w:tcBorders>
              <w:top w:val="nil"/>
              <w:left w:val="nil"/>
              <w:bottom w:val="single" w:sz="4" w:space="0" w:color="auto"/>
              <w:right w:val="single" w:sz="4" w:space="0" w:color="auto"/>
            </w:tcBorders>
            <w:shd w:val="clear" w:color="auto" w:fill="auto"/>
            <w:vAlign w:val="center"/>
            <w:hideMark/>
          </w:tcPr>
          <w:p w14:paraId="750B0004"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52%</w:t>
            </w:r>
          </w:p>
        </w:tc>
        <w:tc>
          <w:tcPr>
            <w:tcW w:w="1418" w:type="dxa"/>
            <w:tcBorders>
              <w:top w:val="nil"/>
              <w:left w:val="nil"/>
              <w:bottom w:val="single" w:sz="4" w:space="0" w:color="auto"/>
              <w:right w:val="single" w:sz="4" w:space="0" w:color="auto"/>
            </w:tcBorders>
            <w:shd w:val="clear" w:color="auto" w:fill="auto"/>
            <w:vAlign w:val="center"/>
            <w:hideMark/>
          </w:tcPr>
          <w:p w14:paraId="420C9742"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35,870</w:t>
            </w:r>
          </w:p>
        </w:tc>
        <w:tc>
          <w:tcPr>
            <w:tcW w:w="1134" w:type="dxa"/>
            <w:tcBorders>
              <w:top w:val="nil"/>
              <w:left w:val="nil"/>
              <w:bottom w:val="single" w:sz="4" w:space="0" w:color="auto"/>
              <w:right w:val="single" w:sz="4" w:space="0" w:color="auto"/>
            </w:tcBorders>
            <w:shd w:val="clear" w:color="auto" w:fill="auto"/>
            <w:vAlign w:val="center"/>
            <w:hideMark/>
          </w:tcPr>
          <w:p w14:paraId="781397EA"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48%</w:t>
            </w:r>
          </w:p>
        </w:tc>
        <w:tc>
          <w:tcPr>
            <w:tcW w:w="1417" w:type="dxa"/>
            <w:tcBorders>
              <w:top w:val="nil"/>
              <w:left w:val="nil"/>
              <w:bottom w:val="single" w:sz="4" w:space="0" w:color="auto"/>
              <w:right w:val="single" w:sz="4" w:space="0" w:color="auto"/>
            </w:tcBorders>
            <w:shd w:val="clear" w:color="auto" w:fill="auto"/>
            <w:vAlign w:val="center"/>
            <w:hideMark/>
          </w:tcPr>
          <w:p w14:paraId="22B7DD27"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270</w:t>
            </w:r>
          </w:p>
        </w:tc>
        <w:tc>
          <w:tcPr>
            <w:tcW w:w="993" w:type="dxa"/>
            <w:tcBorders>
              <w:top w:val="nil"/>
              <w:left w:val="nil"/>
              <w:bottom w:val="single" w:sz="4" w:space="0" w:color="auto"/>
              <w:right w:val="single" w:sz="4" w:space="0" w:color="auto"/>
            </w:tcBorders>
            <w:shd w:val="clear" w:color="auto" w:fill="auto"/>
            <w:vAlign w:val="center"/>
            <w:hideMark/>
          </w:tcPr>
          <w:p w14:paraId="02ABDF70"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r>
      <w:tr w:rsidR="00C354CD" w:rsidRPr="00AC3A3D" w14:paraId="0D7217A4"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3272E3AF" w14:textId="77777777" w:rsidR="00C354CD" w:rsidRPr="00AC3A3D" w:rsidRDefault="00C354CD" w:rsidP="00AD0E29">
            <w:pPr>
              <w:spacing w:after="0" w:line="240" w:lineRule="auto"/>
              <w:rPr>
                <w:rFonts w:eastAsia="Times New Roman" w:cs="Arial"/>
                <w:szCs w:val="20"/>
                <w:lang w:eastAsia="en-AU"/>
              </w:rPr>
            </w:pPr>
            <w:r w:rsidRPr="00AC3A3D">
              <w:rPr>
                <w:rFonts w:eastAsia="Times New Roman" w:cs="Arial"/>
                <w:szCs w:val="20"/>
                <w:lang w:eastAsia="en-AU"/>
              </w:rPr>
              <w:t>Loddon</w:t>
            </w:r>
          </w:p>
        </w:tc>
        <w:tc>
          <w:tcPr>
            <w:tcW w:w="1442" w:type="dxa"/>
            <w:tcBorders>
              <w:top w:val="nil"/>
              <w:left w:val="nil"/>
              <w:bottom w:val="single" w:sz="4" w:space="0" w:color="auto"/>
              <w:right w:val="single" w:sz="4" w:space="0" w:color="auto"/>
            </w:tcBorders>
            <w:shd w:val="clear" w:color="auto" w:fill="auto"/>
            <w:vAlign w:val="center"/>
            <w:hideMark/>
          </w:tcPr>
          <w:p w14:paraId="7C957F05"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5,560</w:t>
            </w:r>
          </w:p>
        </w:tc>
        <w:tc>
          <w:tcPr>
            <w:tcW w:w="1134" w:type="dxa"/>
            <w:tcBorders>
              <w:top w:val="nil"/>
              <w:left w:val="nil"/>
              <w:bottom w:val="single" w:sz="4" w:space="0" w:color="auto"/>
              <w:right w:val="single" w:sz="4" w:space="0" w:color="auto"/>
            </w:tcBorders>
            <w:shd w:val="clear" w:color="auto" w:fill="auto"/>
            <w:vAlign w:val="center"/>
            <w:hideMark/>
          </w:tcPr>
          <w:p w14:paraId="0E36E9D7"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98%</w:t>
            </w:r>
          </w:p>
        </w:tc>
        <w:tc>
          <w:tcPr>
            <w:tcW w:w="1418" w:type="dxa"/>
            <w:tcBorders>
              <w:top w:val="nil"/>
              <w:left w:val="nil"/>
              <w:bottom w:val="single" w:sz="4" w:space="0" w:color="auto"/>
              <w:right w:val="single" w:sz="4" w:space="0" w:color="auto"/>
            </w:tcBorders>
            <w:shd w:val="clear" w:color="auto" w:fill="auto"/>
            <w:vAlign w:val="center"/>
            <w:hideMark/>
          </w:tcPr>
          <w:p w14:paraId="6BB59CDE"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120</w:t>
            </w:r>
          </w:p>
        </w:tc>
        <w:tc>
          <w:tcPr>
            <w:tcW w:w="1134" w:type="dxa"/>
            <w:tcBorders>
              <w:top w:val="nil"/>
              <w:left w:val="nil"/>
              <w:bottom w:val="single" w:sz="4" w:space="0" w:color="auto"/>
              <w:right w:val="single" w:sz="4" w:space="0" w:color="auto"/>
            </w:tcBorders>
            <w:shd w:val="clear" w:color="auto" w:fill="auto"/>
            <w:vAlign w:val="center"/>
            <w:hideMark/>
          </w:tcPr>
          <w:p w14:paraId="314FE098"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2%</w:t>
            </w:r>
          </w:p>
        </w:tc>
        <w:tc>
          <w:tcPr>
            <w:tcW w:w="1417" w:type="dxa"/>
            <w:tcBorders>
              <w:top w:val="nil"/>
              <w:left w:val="nil"/>
              <w:bottom w:val="single" w:sz="4" w:space="0" w:color="auto"/>
              <w:right w:val="single" w:sz="4" w:space="0" w:color="auto"/>
            </w:tcBorders>
            <w:shd w:val="clear" w:color="auto" w:fill="auto"/>
            <w:vAlign w:val="center"/>
            <w:hideMark/>
          </w:tcPr>
          <w:p w14:paraId="6067E914"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c>
          <w:tcPr>
            <w:tcW w:w="993" w:type="dxa"/>
            <w:tcBorders>
              <w:top w:val="nil"/>
              <w:left w:val="nil"/>
              <w:bottom w:val="single" w:sz="4" w:space="0" w:color="auto"/>
              <w:right w:val="single" w:sz="4" w:space="0" w:color="auto"/>
            </w:tcBorders>
            <w:shd w:val="clear" w:color="auto" w:fill="auto"/>
            <w:vAlign w:val="center"/>
            <w:hideMark/>
          </w:tcPr>
          <w:p w14:paraId="0D659782"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r>
      <w:tr w:rsidR="00C354CD" w:rsidRPr="00AC3A3D" w14:paraId="490CCF4C"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6D01B801" w14:textId="77777777" w:rsidR="00C354CD" w:rsidRPr="00AC3A3D" w:rsidRDefault="00C354CD" w:rsidP="00AD0E29">
            <w:pPr>
              <w:spacing w:after="0" w:line="240" w:lineRule="auto"/>
              <w:rPr>
                <w:rFonts w:eastAsia="Times New Roman" w:cs="Arial"/>
                <w:szCs w:val="20"/>
                <w:lang w:eastAsia="en-AU"/>
              </w:rPr>
            </w:pPr>
            <w:r w:rsidRPr="00AC3A3D">
              <w:rPr>
                <w:rFonts w:eastAsia="Times New Roman" w:cs="Arial"/>
                <w:szCs w:val="20"/>
                <w:lang w:eastAsia="en-AU"/>
              </w:rPr>
              <w:t>Lower Darling</w:t>
            </w:r>
          </w:p>
        </w:tc>
        <w:tc>
          <w:tcPr>
            <w:tcW w:w="1442" w:type="dxa"/>
            <w:tcBorders>
              <w:top w:val="nil"/>
              <w:left w:val="nil"/>
              <w:bottom w:val="single" w:sz="4" w:space="0" w:color="auto"/>
              <w:right w:val="single" w:sz="4" w:space="0" w:color="auto"/>
            </w:tcBorders>
            <w:shd w:val="clear" w:color="auto" w:fill="auto"/>
            <w:vAlign w:val="center"/>
            <w:hideMark/>
          </w:tcPr>
          <w:p w14:paraId="75FCFEDD"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139,640</w:t>
            </w:r>
          </w:p>
        </w:tc>
        <w:tc>
          <w:tcPr>
            <w:tcW w:w="1134" w:type="dxa"/>
            <w:tcBorders>
              <w:top w:val="nil"/>
              <w:left w:val="nil"/>
              <w:bottom w:val="single" w:sz="4" w:space="0" w:color="auto"/>
              <w:right w:val="single" w:sz="4" w:space="0" w:color="auto"/>
            </w:tcBorders>
            <w:shd w:val="clear" w:color="auto" w:fill="auto"/>
            <w:vAlign w:val="center"/>
            <w:hideMark/>
          </w:tcPr>
          <w:p w14:paraId="05CA51E9"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66%</w:t>
            </w:r>
          </w:p>
        </w:tc>
        <w:tc>
          <w:tcPr>
            <w:tcW w:w="1418" w:type="dxa"/>
            <w:tcBorders>
              <w:top w:val="nil"/>
              <w:left w:val="nil"/>
              <w:bottom w:val="single" w:sz="4" w:space="0" w:color="auto"/>
              <w:right w:val="single" w:sz="4" w:space="0" w:color="auto"/>
            </w:tcBorders>
            <w:shd w:val="clear" w:color="auto" w:fill="auto"/>
            <w:vAlign w:val="center"/>
            <w:hideMark/>
          </w:tcPr>
          <w:p w14:paraId="3DB5013B"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70,680</w:t>
            </w:r>
          </w:p>
        </w:tc>
        <w:tc>
          <w:tcPr>
            <w:tcW w:w="1134" w:type="dxa"/>
            <w:tcBorders>
              <w:top w:val="nil"/>
              <w:left w:val="nil"/>
              <w:bottom w:val="single" w:sz="4" w:space="0" w:color="auto"/>
              <w:right w:val="single" w:sz="4" w:space="0" w:color="auto"/>
            </w:tcBorders>
            <w:shd w:val="clear" w:color="auto" w:fill="auto"/>
            <w:vAlign w:val="center"/>
            <w:hideMark/>
          </w:tcPr>
          <w:p w14:paraId="63FD0701"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34%</w:t>
            </w:r>
          </w:p>
        </w:tc>
        <w:tc>
          <w:tcPr>
            <w:tcW w:w="1417" w:type="dxa"/>
            <w:tcBorders>
              <w:top w:val="nil"/>
              <w:left w:val="nil"/>
              <w:bottom w:val="single" w:sz="4" w:space="0" w:color="auto"/>
              <w:right w:val="single" w:sz="4" w:space="0" w:color="auto"/>
            </w:tcBorders>
            <w:shd w:val="clear" w:color="auto" w:fill="auto"/>
            <w:vAlign w:val="center"/>
            <w:hideMark/>
          </w:tcPr>
          <w:p w14:paraId="7D0291A5"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c>
          <w:tcPr>
            <w:tcW w:w="993" w:type="dxa"/>
            <w:tcBorders>
              <w:top w:val="nil"/>
              <w:left w:val="nil"/>
              <w:bottom w:val="single" w:sz="4" w:space="0" w:color="auto"/>
              <w:right w:val="single" w:sz="4" w:space="0" w:color="auto"/>
            </w:tcBorders>
            <w:shd w:val="clear" w:color="auto" w:fill="auto"/>
            <w:vAlign w:val="center"/>
            <w:hideMark/>
          </w:tcPr>
          <w:p w14:paraId="669A5070"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r>
      <w:tr w:rsidR="00C354CD" w:rsidRPr="00AC3A3D" w14:paraId="0AF0A5B2"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0B79850F" w14:textId="2F6224F1" w:rsidR="00C354CD" w:rsidRPr="00AC3A3D" w:rsidRDefault="005C4005" w:rsidP="00AD0E29">
            <w:pPr>
              <w:spacing w:after="0" w:line="240" w:lineRule="auto"/>
              <w:rPr>
                <w:rFonts w:eastAsia="Times New Roman" w:cs="Arial"/>
                <w:szCs w:val="20"/>
                <w:lang w:eastAsia="en-AU"/>
              </w:rPr>
            </w:pPr>
            <w:r w:rsidRPr="00AC3A3D">
              <w:rPr>
                <w:rFonts w:eastAsia="Times New Roman" w:cs="Arial"/>
                <w:szCs w:val="20"/>
                <w:lang w:eastAsia="en-AU"/>
              </w:rPr>
              <w:t>Gwydir</w:t>
            </w:r>
          </w:p>
        </w:tc>
        <w:tc>
          <w:tcPr>
            <w:tcW w:w="1442" w:type="dxa"/>
            <w:tcBorders>
              <w:top w:val="nil"/>
              <w:left w:val="nil"/>
              <w:bottom w:val="single" w:sz="4" w:space="0" w:color="auto"/>
              <w:right w:val="single" w:sz="4" w:space="0" w:color="auto"/>
            </w:tcBorders>
            <w:shd w:val="clear" w:color="auto" w:fill="auto"/>
            <w:vAlign w:val="center"/>
            <w:hideMark/>
          </w:tcPr>
          <w:p w14:paraId="4FF239E2"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260</w:t>
            </w:r>
          </w:p>
        </w:tc>
        <w:tc>
          <w:tcPr>
            <w:tcW w:w="1134" w:type="dxa"/>
            <w:tcBorders>
              <w:top w:val="nil"/>
              <w:left w:val="nil"/>
              <w:bottom w:val="single" w:sz="4" w:space="0" w:color="auto"/>
              <w:right w:val="single" w:sz="4" w:space="0" w:color="auto"/>
            </w:tcBorders>
            <w:shd w:val="clear" w:color="auto" w:fill="auto"/>
            <w:vAlign w:val="center"/>
            <w:hideMark/>
          </w:tcPr>
          <w:p w14:paraId="1AA37E1A"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3%</w:t>
            </w:r>
          </w:p>
        </w:tc>
        <w:tc>
          <w:tcPr>
            <w:tcW w:w="1418" w:type="dxa"/>
            <w:tcBorders>
              <w:top w:val="nil"/>
              <w:left w:val="nil"/>
              <w:bottom w:val="single" w:sz="4" w:space="0" w:color="auto"/>
              <w:right w:val="single" w:sz="4" w:space="0" w:color="auto"/>
            </w:tcBorders>
            <w:shd w:val="clear" w:color="auto" w:fill="auto"/>
            <w:vAlign w:val="center"/>
            <w:hideMark/>
          </w:tcPr>
          <w:p w14:paraId="0D296D9C"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9,560</w:t>
            </w:r>
          </w:p>
        </w:tc>
        <w:tc>
          <w:tcPr>
            <w:tcW w:w="1134" w:type="dxa"/>
            <w:tcBorders>
              <w:top w:val="nil"/>
              <w:left w:val="nil"/>
              <w:bottom w:val="single" w:sz="4" w:space="0" w:color="auto"/>
              <w:right w:val="single" w:sz="4" w:space="0" w:color="auto"/>
            </w:tcBorders>
            <w:shd w:val="clear" w:color="auto" w:fill="auto"/>
            <w:vAlign w:val="center"/>
            <w:hideMark/>
          </w:tcPr>
          <w:p w14:paraId="095EBC10"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97%</w:t>
            </w:r>
          </w:p>
        </w:tc>
        <w:tc>
          <w:tcPr>
            <w:tcW w:w="1417" w:type="dxa"/>
            <w:tcBorders>
              <w:top w:val="nil"/>
              <w:left w:val="nil"/>
              <w:bottom w:val="single" w:sz="4" w:space="0" w:color="auto"/>
              <w:right w:val="single" w:sz="4" w:space="0" w:color="auto"/>
            </w:tcBorders>
            <w:shd w:val="clear" w:color="auto" w:fill="auto"/>
            <w:vAlign w:val="center"/>
            <w:hideMark/>
          </w:tcPr>
          <w:p w14:paraId="126162BE"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c>
          <w:tcPr>
            <w:tcW w:w="993" w:type="dxa"/>
            <w:tcBorders>
              <w:top w:val="nil"/>
              <w:left w:val="nil"/>
              <w:bottom w:val="single" w:sz="4" w:space="0" w:color="auto"/>
              <w:right w:val="single" w:sz="4" w:space="0" w:color="auto"/>
            </w:tcBorders>
            <w:shd w:val="clear" w:color="auto" w:fill="auto"/>
            <w:vAlign w:val="center"/>
            <w:hideMark/>
          </w:tcPr>
          <w:p w14:paraId="3D15DDF4"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r>
      <w:tr w:rsidR="00C354CD" w:rsidRPr="00AC3A3D" w14:paraId="322B51ED"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D115F27" w14:textId="77777777" w:rsidR="00C354CD" w:rsidRPr="00AC3A3D" w:rsidRDefault="00C354CD" w:rsidP="00AD0E29">
            <w:pPr>
              <w:spacing w:after="0" w:line="240" w:lineRule="auto"/>
              <w:rPr>
                <w:rFonts w:eastAsia="Times New Roman" w:cs="Arial"/>
                <w:szCs w:val="20"/>
                <w:lang w:eastAsia="en-AU"/>
              </w:rPr>
            </w:pPr>
            <w:r w:rsidRPr="00AC3A3D">
              <w:rPr>
                <w:rFonts w:eastAsia="Times New Roman" w:cs="Arial"/>
                <w:szCs w:val="20"/>
                <w:lang w:eastAsia="en-AU"/>
              </w:rPr>
              <w:t>Border Rivers</w:t>
            </w:r>
          </w:p>
        </w:tc>
        <w:tc>
          <w:tcPr>
            <w:tcW w:w="1442" w:type="dxa"/>
            <w:tcBorders>
              <w:top w:val="nil"/>
              <w:left w:val="nil"/>
              <w:bottom w:val="single" w:sz="4" w:space="0" w:color="auto"/>
              <w:right w:val="single" w:sz="4" w:space="0" w:color="auto"/>
            </w:tcBorders>
            <w:shd w:val="clear" w:color="auto" w:fill="auto"/>
            <w:vAlign w:val="center"/>
            <w:hideMark/>
          </w:tcPr>
          <w:p w14:paraId="2E7C2B91"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900</w:t>
            </w:r>
          </w:p>
        </w:tc>
        <w:tc>
          <w:tcPr>
            <w:tcW w:w="1134" w:type="dxa"/>
            <w:tcBorders>
              <w:top w:val="nil"/>
              <w:left w:val="nil"/>
              <w:bottom w:val="single" w:sz="4" w:space="0" w:color="auto"/>
              <w:right w:val="single" w:sz="4" w:space="0" w:color="auto"/>
            </w:tcBorders>
            <w:shd w:val="clear" w:color="auto" w:fill="auto"/>
            <w:vAlign w:val="center"/>
            <w:hideMark/>
          </w:tcPr>
          <w:p w14:paraId="6CA02FB1"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8%</w:t>
            </w:r>
          </w:p>
        </w:tc>
        <w:tc>
          <w:tcPr>
            <w:tcW w:w="1418" w:type="dxa"/>
            <w:tcBorders>
              <w:top w:val="nil"/>
              <w:left w:val="nil"/>
              <w:bottom w:val="single" w:sz="4" w:space="0" w:color="auto"/>
              <w:right w:val="single" w:sz="4" w:space="0" w:color="auto"/>
            </w:tcBorders>
            <w:shd w:val="clear" w:color="auto" w:fill="auto"/>
            <w:vAlign w:val="center"/>
            <w:hideMark/>
          </w:tcPr>
          <w:p w14:paraId="58528738"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10,410</w:t>
            </w:r>
          </w:p>
        </w:tc>
        <w:tc>
          <w:tcPr>
            <w:tcW w:w="1134" w:type="dxa"/>
            <w:tcBorders>
              <w:top w:val="nil"/>
              <w:left w:val="nil"/>
              <w:bottom w:val="single" w:sz="4" w:space="0" w:color="auto"/>
              <w:right w:val="single" w:sz="4" w:space="0" w:color="auto"/>
            </w:tcBorders>
            <w:shd w:val="clear" w:color="auto" w:fill="auto"/>
            <w:vAlign w:val="center"/>
            <w:hideMark/>
          </w:tcPr>
          <w:p w14:paraId="711A5B2A"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92%</w:t>
            </w:r>
          </w:p>
        </w:tc>
        <w:tc>
          <w:tcPr>
            <w:tcW w:w="1417" w:type="dxa"/>
            <w:tcBorders>
              <w:top w:val="nil"/>
              <w:left w:val="nil"/>
              <w:bottom w:val="single" w:sz="4" w:space="0" w:color="auto"/>
              <w:right w:val="single" w:sz="4" w:space="0" w:color="auto"/>
            </w:tcBorders>
            <w:shd w:val="clear" w:color="auto" w:fill="auto"/>
            <w:vAlign w:val="center"/>
            <w:hideMark/>
          </w:tcPr>
          <w:p w14:paraId="1B2842B6"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c>
          <w:tcPr>
            <w:tcW w:w="993" w:type="dxa"/>
            <w:tcBorders>
              <w:top w:val="nil"/>
              <w:left w:val="nil"/>
              <w:bottom w:val="single" w:sz="4" w:space="0" w:color="auto"/>
              <w:right w:val="single" w:sz="4" w:space="0" w:color="auto"/>
            </w:tcBorders>
            <w:shd w:val="clear" w:color="auto" w:fill="auto"/>
            <w:vAlign w:val="center"/>
            <w:hideMark/>
          </w:tcPr>
          <w:p w14:paraId="7293FBAF"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r>
      <w:tr w:rsidR="00C354CD" w:rsidRPr="00AC3A3D" w14:paraId="3800FA74"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2F2B38F" w14:textId="2644B8BD" w:rsidR="00C354CD" w:rsidRPr="00AC3A3D" w:rsidRDefault="00C354CD" w:rsidP="00AD0E29">
            <w:pPr>
              <w:spacing w:after="0" w:line="240" w:lineRule="auto"/>
              <w:rPr>
                <w:rFonts w:eastAsia="Times New Roman" w:cs="Arial"/>
                <w:szCs w:val="20"/>
                <w:lang w:eastAsia="en-AU"/>
              </w:rPr>
            </w:pPr>
            <w:r w:rsidRPr="00AC3A3D">
              <w:rPr>
                <w:rFonts w:eastAsia="Times New Roman" w:cs="Arial"/>
                <w:szCs w:val="20"/>
                <w:lang w:eastAsia="en-AU"/>
              </w:rPr>
              <w:t>Nam</w:t>
            </w:r>
            <w:r w:rsidR="008344E6">
              <w:rPr>
                <w:rFonts w:eastAsia="Times New Roman" w:cs="Arial"/>
                <w:szCs w:val="20"/>
                <w:lang w:eastAsia="en-AU"/>
              </w:rPr>
              <w:t>o</w:t>
            </w:r>
            <w:r w:rsidRPr="00AC3A3D">
              <w:rPr>
                <w:rFonts w:eastAsia="Times New Roman" w:cs="Arial"/>
                <w:szCs w:val="20"/>
                <w:lang w:eastAsia="en-AU"/>
              </w:rPr>
              <w:t>i</w:t>
            </w:r>
          </w:p>
        </w:tc>
        <w:tc>
          <w:tcPr>
            <w:tcW w:w="1442" w:type="dxa"/>
            <w:tcBorders>
              <w:top w:val="nil"/>
              <w:left w:val="nil"/>
              <w:bottom w:val="single" w:sz="4" w:space="0" w:color="auto"/>
              <w:right w:val="single" w:sz="4" w:space="0" w:color="auto"/>
            </w:tcBorders>
            <w:shd w:val="clear" w:color="auto" w:fill="auto"/>
            <w:vAlign w:val="center"/>
            <w:hideMark/>
          </w:tcPr>
          <w:p w14:paraId="73DF5335"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3,940</w:t>
            </w:r>
          </w:p>
        </w:tc>
        <w:tc>
          <w:tcPr>
            <w:tcW w:w="1134" w:type="dxa"/>
            <w:tcBorders>
              <w:top w:val="nil"/>
              <w:left w:val="nil"/>
              <w:bottom w:val="single" w:sz="4" w:space="0" w:color="auto"/>
              <w:right w:val="single" w:sz="4" w:space="0" w:color="auto"/>
            </w:tcBorders>
            <w:shd w:val="clear" w:color="auto" w:fill="auto"/>
            <w:vAlign w:val="center"/>
            <w:hideMark/>
          </w:tcPr>
          <w:p w14:paraId="5988056C"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34%</w:t>
            </w:r>
          </w:p>
        </w:tc>
        <w:tc>
          <w:tcPr>
            <w:tcW w:w="1418" w:type="dxa"/>
            <w:tcBorders>
              <w:top w:val="nil"/>
              <w:left w:val="nil"/>
              <w:bottom w:val="single" w:sz="4" w:space="0" w:color="auto"/>
              <w:right w:val="single" w:sz="4" w:space="0" w:color="auto"/>
            </w:tcBorders>
            <w:shd w:val="clear" w:color="auto" w:fill="auto"/>
            <w:vAlign w:val="center"/>
            <w:hideMark/>
          </w:tcPr>
          <w:p w14:paraId="5244F319"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7,640</w:t>
            </w:r>
          </w:p>
        </w:tc>
        <w:tc>
          <w:tcPr>
            <w:tcW w:w="1134" w:type="dxa"/>
            <w:tcBorders>
              <w:top w:val="nil"/>
              <w:left w:val="nil"/>
              <w:bottom w:val="single" w:sz="4" w:space="0" w:color="auto"/>
              <w:right w:val="single" w:sz="4" w:space="0" w:color="auto"/>
            </w:tcBorders>
            <w:shd w:val="clear" w:color="auto" w:fill="auto"/>
            <w:vAlign w:val="center"/>
            <w:hideMark/>
          </w:tcPr>
          <w:p w14:paraId="3A2EF161"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66%</w:t>
            </w:r>
          </w:p>
        </w:tc>
        <w:tc>
          <w:tcPr>
            <w:tcW w:w="1417" w:type="dxa"/>
            <w:tcBorders>
              <w:top w:val="nil"/>
              <w:left w:val="nil"/>
              <w:bottom w:val="single" w:sz="4" w:space="0" w:color="auto"/>
              <w:right w:val="single" w:sz="4" w:space="0" w:color="auto"/>
            </w:tcBorders>
            <w:shd w:val="clear" w:color="auto" w:fill="auto"/>
            <w:vAlign w:val="center"/>
            <w:hideMark/>
          </w:tcPr>
          <w:p w14:paraId="35EEF446"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c>
          <w:tcPr>
            <w:tcW w:w="993" w:type="dxa"/>
            <w:tcBorders>
              <w:top w:val="nil"/>
              <w:left w:val="nil"/>
              <w:bottom w:val="single" w:sz="4" w:space="0" w:color="auto"/>
              <w:right w:val="single" w:sz="4" w:space="0" w:color="auto"/>
            </w:tcBorders>
            <w:shd w:val="clear" w:color="auto" w:fill="auto"/>
            <w:vAlign w:val="center"/>
            <w:hideMark/>
          </w:tcPr>
          <w:p w14:paraId="2B1DF9B2"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r>
      <w:tr w:rsidR="00C354CD" w:rsidRPr="00AC3A3D" w14:paraId="34A23762"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8951759" w14:textId="77777777" w:rsidR="00C354CD" w:rsidRPr="00AC3A3D" w:rsidRDefault="00C354CD" w:rsidP="00AD0E29">
            <w:pPr>
              <w:spacing w:after="0" w:line="240" w:lineRule="auto"/>
              <w:rPr>
                <w:rFonts w:eastAsia="Times New Roman" w:cs="Arial"/>
                <w:szCs w:val="20"/>
                <w:lang w:eastAsia="en-AU"/>
              </w:rPr>
            </w:pPr>
            <w:r w:rsidRPr="00AC3A3D">
              <w:rPr>
                <w:rFonts w:eastAsia="Times New Roman" w:cs="Arial"/>
                <w:szCs w:val="20"/>
                <w:lang w:eastAsia="en-AU"/>
              </w:rPr>
              <w:t>Murray</w:t>
            </w:r>
          </w:p>
        </w:tc>
        <w:tc>
          <w:tcPr>
            <w:tcW w:w="1442" w:type="dxa"/>
            <w:tcBorders>
              <w:top w:val="nil"/>
              <w:left w:val="nil"/>
              <w:bottom w:val="single" w:sz="4" w:space="0" w:color="auto"/>
              <w:right w:val="single" w:sz="4" w:space="0" w:color="auto"/>
            </w:tcBorders>
            <w:shd w:val="clear" w:color="auto" w:fill="auto"/>
            <w:vAlign w:val="center"/>
            <w:hideMark/>
          </w:tcPr>
          <w:p w14:paraId="2AAD77B1"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197,700</w:t>
            </w:r>
          </w:p>
        </w:tc>
        <w:tc>
          <w:tcPr>
            <w:tcW w:w="1134" w:type="dxa"/>
            <w:tcBorders>
              <w:top w:val="nil"/>
              <w:left w:val="nil"/>
              <w:bottom w:val="single" w:sz="4" w:space="0" w:color="auto"/>
              <w:right w:val="single" w:sz="4" w:space="0" w:color="auto"/>
            </w:tcBorders>
            <w:shd w:val="clear" w:color="auto" w:fill="auto"/>
            <w:vAlign w:val="center"/>
            <w:hideMark/>
          </w:tcPr>
          <w:p w14:paraId="5BD58A48"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85%</w:t>
            </w:r>
          </w:p>
        </w:tc>
        <w:tc>
          <w:tcPr>
            <w:tcW w:w="1418" w:type="dxa"/>
            <w:tcBorders>
              <w:top w:val="nil"/>
              <w:left w:val="nil"/>
              <w:bottom w:val="single" w:sz="4" w:space="0" w:color="auto"/>
              <w:right w:val="single" w:sz="4" w:space="0" w:color="auto"/>
            </w:tcBorders>
            <w:shd w:val="clear" w:color="auto" w:fill="auto"/>
            <w:vAlign w:val="center"/>
            <w:hideMark/>
          </w:tcPr>
          <w:p w14:paraId="2A26C2DA"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33,750</w:t>
            </w:r>
          </w:p>
        </w:tc>
        <w:tc>
          <w:tcPr>
            <w:tcW w:w="1134" w:type="dxa"/>
            <w:tcBorders>
              <w:top w:val="nil"/>
              <w:left w:val="nil"/>
              <w:bottom w:val="single" w:sz="4" w:space="0" w:color="auto"/>
              <w:right w:val="single" w:sz="4" w:space="0" w:color="auto"/>
            </w:tcBorders>
            <w:shd w:val="clear" w:color="auto" w:fill="auto"/>
            <w:vAlign w:val="center"/>
            <w:hideMark/>
          </w:tcPr>
          <w:p w14:paraId="2C0DDEBE"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15%</w:t>
            </w:r>
          </w:p>
        </w:tc>
        <w:tc>
          <w:tcPr>
            <w:tcW w:w="1417" w:type="dxa"/>
            <w:tcBorders>
              <w:top w:val="nil"/>
              <w:left w:val="nil"/>
              <w:bottom w:val="single" w:sz="4" w:space="0" w:color="auto"/>
              <w:right w:val="single" w:sz="4" w:space="0" w:color="auto"/>
            </w:tcBorders>
            <w:shd w:val="clear" w:color="auto" w:fill="auto"/>
            <w:vAlign w:val="center"/>
            <w:hideMark/>
          </w:tcPr>
          <w:p w14:paraId="2B26E5AF"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520</w:t>
            </w:r>
          </w:p>
        </w:tc>
        <w:tc>
          <w:tcPr>
            <w:tcW w:w="993" w:type="dxa"/>
            <w:tcBorders>
              <w:top w:val="nil"/>
              <w:left w:val="nil"/>
              <w:bottom w:val="single" w:sz="4" w:space="0" w:color="auto"/>
              <w:right w:val="single" w:sz="4" w:space="0" w:color="auto"/>
            </w:tcBorders>
            <w:shd w:val="clear" w:color="auto" w:fill="auto"/>
            <w:vAlign w:val="center"/>
            <w:hideMark/>
          </w:tcPr>
          <w:p w14:paraId="0E462911"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r>
      <w:tr w:rsidR="00C354CD" w:rsidRPr="00AC3A3D" w14:paraId="18B822E9"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E338C02" w14:textId="77777777" w:rsidR="00C354CD" w:rsidRPr="00AC3A3D" w:rsidRDefault="00C354CD" w:rsidP="00AD0E29">
            <w:pPr>
              <w:spacing w:after="0" w:line="240" w:lineRule="auto"/>
              <w:rPr>
                <w:rFonts w:eastAsia="Times New Roman" w:cs="Arial"/>
                <w:szCs w:val="20"/>
                <w:lang w:eastAsia="en-AU"/>
              </w:rPr>
            </w:pPr>
            <w:r w:rsidRPr="00AC3A3D">
              <w:rPr>
                <w:rFonts w:eastAsia="Times New Roman" w:cs="Arial"/>
                <w:szCs w:val="20"/>
                <w:lang w:eastAsia="en-AU"/>
              </w:rPr>
              <w:t>Condamine-Balonne</w:t>
            </w:r>
          </w:p>
        </w:tc>
        <w:tc>
          <w:tcPr>
            <w:tcW w:w="1442" w:type="dxa"/>
            <w:tcBorders>
              <w:top w:val="nil"/>
              <w:left w:val="nil"/>
              <w:bottom w:val="single" w:sz="4" w:space="0" w:color="auto"/>
              <w:right w:val="single" w:sz="4" w:space="0" w:color="auto"/>
            </w:tcBorders>
            <w:shd w:val="clear" w:color="auto" w:fill="auto"/>
            <w:vAlign w:val="center"/>
            <w:hideMark/>
          </w:tcPr>
          <w:p w14:paraId="2A8F07AA"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45,500</w:t>
            </w:r>
          </w:p>
        </w:tc>
        <w:tc>
          <w:tcPr>
            <w:tcW w:w="1134" w:type="dxa"/>
            <w:tcBorders>
              <w:top w:val="nil"/>
              <w:left w:val="nil"/>
              <w:bottom w:val="single" w:sz="4" w:space="0" w:color="auto"/>
              <w:right w:val="single" w:sz="4" w:space="0" w:color="auto"/>
            </w:tcBorders>
            <w:shd w:val="clear" w:color="auto" w:fill="auto"/>
            <w:vAlign w:val="center"/>
            <w:hideMark/>
          </w:tcPr>
          <w:p w14:paraId="4C25BD8E"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17%</w:t>
            </w:r>
          </w:p>
        </w:tc>
        <w:tc>
          <w:tcPr>
            <w:tcW w:w="1418" w:type="dxa"/>
            <w:tcBorders>
              <w:top w:val="nil"/>
              <w:left w:val="nil"/>
              <w:bottom w:val="single" w:sz="4" w:space="0" w:color="auto"/>
              <w:right w:val="single" w:sz="4" w:space="0" w:color="auto"/>
            </w:tcBorders>
            <w:shd w:val="clear" w:color="auto" w:fill="auto"/>
            <w:vAlign w:val="center"/>
            <w:hideMark/>
          </w:tcPr>
          <w:p w14:paraId="5EE5BE49"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228,310</w:t>
            </w:r>
          </w:p>
        </w:tc>
        <w:tc>
          <w:tcPr>
            <w:tcW w:w="1134" w:type="dxa"/>
            <w:tcBorders>
              <w:top w:val="nil"/>
              <w:left w:val="nil"/>
              <w:bottom w:val="single" w:sz="4" w:space="0" w:color="auto"/>
              <w:right w:val="single" w:sz="4" w:space="0" w:color="auto"/>
            </w:tcBorders>
            <w:shd w:val="clear" w:color="auto" w:fill="auto"/>
            <w:vAlign w:val="center"/>
            <w:hideMark/>
          </w:tcPr>
          <w:p w14:paraId="2EC1DE39"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83%</w:t>
            </w:r>
          </w:p>
        </w:tc>
        <w:tc>
          <w:tcPr>
            <w:tcW w:w="1417" w:type="dxa"/>
            <w:tcBorders>
              <w:top w:val="nil"/>
              <w:left w:val="nil"/>
              <w:bottom w:val="single" w:sz="4" w:space="0" w:color="auto"/>
              <w:right w:val="single" w:sz="4" w:space="0" w:color="auto"/>
            </w:tcBorders>
            <w:shd w:val="clear" w:color="auto" w:fill="auto"/>
            <w:vAlign w:val="center"/>
            <w:hideMark/>
          </w:tcPr>
          <w:p w14:paraId="5E76F32B"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c>
          <w:tcPr>
            <w:tcW w:w="993" w:type="dxa"/>
            <w:tcBorders>
              <w:top w:val="nil"/>
              <w:left w:val="nil"/>
              <w:bottom w:val="single" w:sz="4" w:space="0" w:color="auto"/>
              <w:right w:val="single" w:sz="4" w:space="0" w:color="auto"/>
            </w:tcBorders>
            <w:shd w:val="clear" w:color="auto" w:fill="auto"/>
            <w:vAlign w:val="center"/>
            <w:hideMark/>
          </w:tcPr>
          <w:p w14:paraId="145B96E2"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r>
      <w:tr w:rsidR="00C354CD" w:rsidRPr="00AC3A3D" w14:paraId="736B4B3F"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6B201112" w14:textId="77777777" w:rsidR="00C354CD" w:rsidRPr="00AC3A3D" w:rsidRDefault="00C354CD" w:rsidP="00AD0E29">
            <w:pPr>
              <w:spacing w:after="0" w:line="240" w:lineRule="auto"/>
              <w:rPr>
                <w:rFonts w:eastAsia="Times New Roman" w:cs="Arial"/>
                <w:szCs w:val="20"/>
                <w:lang w:eastAsia="en-AU"/>
              </w:rPr>
            </w:pPr>
            <w:r w:rsidRPr="00AC3A3D">
              <w:rPr>
                <w:rFonts w:eastAsia="Times New Roman" w:cs="Arial"/>
                <w:szCs w:val="20"/>
                <w:lang w:eastAsia="en-AU"/>
              </w:rPr>
              <w:t>Paroo</w:t>
            </w:r>
          </w:p>
        </w:tc>
        <w:tc>
          <w:tcPr>
            <w:tcW w:w="1442" w:type="dxa"/>
            <w:tcBorders>
              <w:top w:val="nil"/>
              <w:left w:val="nil"/>
              <w:bottom w:val="single" w:sz="4" w:space="0" w:color="auto"/>
              <w:right w:val="single" w:sz="4" w:space="0" w:color="auto"/>
            </w:tcBorders>
            <w:shd w:val="clear" w:color="auto" w:fill="auto"/>
            <w:vAlign w:val="center"/>
            <w:hideMark/>
          </w:tcPr>
          <w:p w14:paraId="483BC3DE"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25,610</w:t>
            </w:r>
          </w:p>
        </w:tc>
        <w:tc>
          <w:tcPr>
            <w:tcW w:w="1134" w:type="dxa"/>
            <w:tcBorders>
              <w:top w:val="nil"/>
              <w:left w:val="nil"/>
              <w:bottom w:val="single" w:sz="4" w:space="0" w:color="auto"/>
              <w:right w:val="single" w:sz="4" w:space="0" w:color="auto"/>
            </w:tcBorders>
            <w:shd w:val="clear" w:color="auto" w:fill="auto"/>
            <w:vAlign w:val="center"/>
            <w:hideMark/>
          </w:tcPr>
          <w:p w14:paraId="37D5FDE1"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54%</w:t>
            </w:r>
          </w:p>
        </w:tc>
        <w:tc>
          <w:tcPr>
            <w:tcW w:w="1418" w:type="dxa"/>
            <w:tcBorders>
              <w:top w:val="nil"/>
              <w:left w:val="nil"/>
              <w:bottom w:val="single" w:sz="4" w:space="0" w:color="auto"/>
              <w:right w:val="single" w:sz="4" w:space="0" w:color="auto"/>
            </w:tcBorders>
            <w:shd w:val="clear" w:color="auto" w:fill="auto"/>
            <w:vAlign w:val="center"/>
            <w:hideMark/>
          </w:tcPr>
          <w:p w14:paraId="27797F99"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21,800</w:t>
            </w:r>
          </w:p>
        </w:tc>
        <w:tc>
          <w:tcPr>
            <w:tcW w:w="1134" w:type="dxa"/>
            <w:tcBorders>
              <w:top w:val="nil"/>
              <w:left w:val="nil"/>
              <w:bottom w:val="single" w:sz="4" w:space="0" w:color="auto"/>
              <w:right w:val="single" w:sz="4" w:space="0" w:color="auto"/>
            </w:tcBorders>
            <w:shd w:val="clear" w:color="auto" w:fill="auto"/>
            <w:vAlign w:val="center"/>
            <w:hideMark/>
          </w:tcPr>
          <w:p w14:paraId="7B20E8C5"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46%</w:t>
            </w:r>
          </w:p>
        </w:tc>
        <w:tc>
          <w:tcPr>
            <w:tcW w:w="1417" w:type="dxa"/>
            <w:tcBorders>
              <w:top w:val="nil"/>
              <w:left w:val="nil"/>
              <w:bottom w:val="single" w:sz="4" w:space="0" w:color="auto"/>
              <w:right w:val="single" w:sz="4" w:space="0" w:color="auto"/>
            </w:tcBorders>
            <w:shd w:val="clear" w:color="auto" w:fill="auto"/>
            <w:vAlign w:val="center"/>
            <w:hideMark/>
          </w:tcPr>
          <w:p w14:paraId="388EC5C1"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c>
          <w:tcPr>
            <w:tcW w:w="993" w:type="dxa"/>
            <w:tcBorders>
              <w:top w:val="nil"/>
              <w:left w:val="nil"/>
              <w:bottom w:val="single" w:sz="4" w:space="0" w:color="auto"/>
              <w:right w:val="single" w:sz="4" w:space="0" w:color="auto"/>
            </w:tcBorders>
            <w:shd w:val="clear" w:color="auto" w:fill="auto"/>
            <w:vAlign w:val="center"/>
            <w:hideMark/>
          </w:tcPr>
          <w:p w14:paraId="58453E13"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r>
      <w:tr w:rsidR="00C354CD" w:rsidRPr="00AC3A3D" w14:paraId="7D847F0A"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7632A2C0" w14:textId="77777777" w:rsidR="00C354CD" w:rsidRPr="00AC3A3D" w:rsidRDefault="00C354CD" w:rsidP="00AD0E29">
            <w:pPr>
              <w:spacing w:after="0" w:line="240" w:lineRule="auto"/>
              <w:rPr>
                <w:rFonts w:eastAsia="Times New Roman" w:cs="Arial"/>
                <w:szCs w:val="20"/>
                <w:lang w:eastAsia="en-AU"/>
              </w:rPr>
            </w:pPr>
            <w:r w:rsidRPr="00AC3A3D">
              <w:rPr>
                <w:rFonts w:eastAsia="Times New Roman" w:cs="Arial"/>
                <w:szCs w:val="20"/>
                <w:lang w:eastAsia="en-AU"/>
              </w:rPr>
              <w:t>Warrego</w:t>
            </w:r>
          </w:p>
        </w:tc>
        <w:tc>
          <w:tcPr>
            <w:tcW w:w="1442" w:type="dxa"/>
            <w:tcBorders>
              <w:top w:val="nil"/>
              <w:left w:val="nil"/>
              <w:bottom w:val="single" w:sz="4" w:space="0" w:color="auto"/>
              <w:right w:val="single" w:sz="4" w:space="0" w:color="auto"/>
            </w:tcBorders>
            <w:shd w:val="clear" w:color="auto" w:fill="auto"/>
            <w:vAlign w:val="center"/>
            <w:hideMark/>
          </w:tcPr>
          <w:p w14:paraId="0F9A8B20"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40,820</w:t>
            </w:r>
          </w:p>
        </w:tc>
        <w:tc>
          <w:tcPr>
            <w:tcW w:w="1134" w:type="dxa"/>
            <w:tcBorders>
              <w:top w:val="nil"/>
              <w:left w:val="nil"/>
              <w:bottom w:val="single" w:sz="4" w:space="0" w:color="auto"/>
              <w:right w:val="single" w:sz="4" w:space="0" w:color="auto"/>
            </w:tcBorders>
            <w:shd w:val="clear" w:color="auto" w:fill="auto"/>
            <w:vAlign w:val="center"/>
            <w:hideMark/>
          </w:tcPr>
          <w:p w14:paraId="36D80957"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24%</w:t>
            </w:r>
          </w:p>
        </w:tc>
        <w:tc>
          <w:tcPr>
            <w:tcW w:w="1418" w:type="dxa"/>
            <w:tcBorders>
              <w:top w:val="nil"/>
              <w:left w:val="nil"/>
              <w:bottom w:val="single" w:sz="4" w:space="0" w:color="auto"/>
              <w:right w:val="single" w:sz="4" w:space="0" w:color="auto"/>
            </w:tcBorders>
            <w:shd w:val="clear" w:color="auto" w:fill="auto"/>
            <w:vAlign w:val="center"/>
            <w:hideMark/>
          </w:tcPr>
          <w:p w14:paraId="18EB29B9"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126,180</w:t>
            </w:r>
          </w:p>
        </w:tc>
        <w:tc>
          <w:tcPr>
            <w:tcW w:w="1134" w:type="dxa"/>
            <w:tcBorders>
              <w:top w:val="nil"/>
              <w:left w:val="nil"/>
              <w:bottom w:val="single" w:sz="4" w:space="0" w:color="auto"/>
              <w:right w:val="single" w:sz="4" w:space="0" w:color="auto"/>
            </w:tcBorders>
            <w:shd w:val="clear" w:color="auto" w:fill="auto"/>
            <w:vAlign w:val="center"/>
            <w:hideMark/>
          </w:tcPr>
          <w:p w14:paraId="10AC4CE4"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76%</w:t>
            </w:r>
          </w:p>
        </w:tc>
        <w:tc>
          <w:tcPr>
            <w:tcW w:w="1417" w:type="dxa"/>
            <w:tcBorders>
              <w:top w:val="nil"/>
              <w:left w:val="nil"/>
              <w:bottom w:val="single" w:sz="4" w:space="0" w:color="auto"/>
              <w:right w:val="single" w:sz="4" w:space="0" w:color="auto"/>
            </w:tcBorders>
            <w:shd w:val="clear" w:color="auto" w:fill="auto"/>
            <w:vAlign w:val="center"/>
            <w:hideMark/>
          </w:tcPr>
          <w:p w14:paraId="3D0E8086"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c>
          <w:tcPr>
            <w:tcW w:w="993" w:type="dxa"/>
            <w:tcBorders>
              <w:top w:val="nil"/>
              <w:left w:val="nil"/>
              <w:bottom w:val="single" w:sz="4" w:space="0" w:color="auto"/>
              <w:right w:val="single" w:sz="4" w:space="0" w:color="auto"/>
            </w:tcBorders>
            <w:shd w:val="clear" w:color="auto" w:fill="auto"/>
            <w:vAlign w:val="center"/>
            <w:hideMark/>
          </w:tcPr>
          <w:p w14:paraId="70656945"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r>
      <w:tr w:rsidR="00C354CD" w:rsidRPr="00AC3A3D" w14:paraId="2848D497"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5F0A8FF4" w14:textId="77777777" w:rsidR="00C354CD" w:rsidRPr="00AC3A3D" w:rsidRDefault="00C354CD" w:rsidP="00AD0E29">
            <w:pPr>
              <w:spacing w:after="0" w:line="240" w:lineRule="auto"/>
              <w:rPr>
                <w:rFonts w:eastAsia="Times New Roman" w:cs="Arial"/>
                <w:szCs w:val="20"/>
                <w:lang w:eastAsia="en-AU"/>
              </w:rPr>
            </w:pPr>
            <w:r w:rsidRPr="00AC3A3D">
              <w:rPr>
                <w:rFonts w:eastAsia="Times New Roman" w:cs="Arial"/>
                <w:szCs w:val="20"/>
                <w:lang w:eastAsia="en-AU"/>
              </w:rPr>
              <w:t>Wimmera-Avoca</w:t>
            </w:r>
          </w:p>
        </w:tc>
        <w:tc>
          <w:tcPr>
            <w:tcW w:w="1442" w:type="dxa"/>
            <w:tcBorders>
              <w:top w:val="nil"/>
              <w:left w:val="nil"/>
              <w:bottom w:val="single" w:sz="4" w:space="0" w:color="auto"/>
              <w:right w:val="single" w:sz="4" w:space="0" w:color="auto"/>
            </w:tcBorders>
            <w:shd w:val="clear" w:color="auto" w:fill="auto"/>
            <w:vAlign w:val="center"/>
            <w:hideMark/>
          </w:tcPr>
          <w:p w14:paraId="33415E15"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8,960</w:t>
            </w:r>
          </w:p>
        </w:tc>
        <w:tc>
          <w:tcPr>
            <w:tcW w:w="1134" w:type="dxa"/>
            <w:tcBorders>
              <w:top w:val="nil"/>
              <w:left w:val="nil"/>
              <w:bottom w:val="single" w:sz="4" w:space="0" w:color="auto"/>
              <w:right w:val="single" w:sz="4" w:space="0" w:color="auto"/>
            </w:tcBorders>
            <w:shd w:val="clear" w:color="auto" w:fill="auto"/>
            <w:vAlign w:val="center"/>
            <w:hideMark/>
          </w:tcPr>
          <w:p w14:paraId="6DC30851"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76%</w:t>
            </w:r>
          </w:p>
        </w:tc>
        <w:tc>
          <w:tcPr>
            <w:tcW w:w="1418" w:type="dxa"/>
            <w:tcBorders>
              <w:top w:val="nil"/>
              <w:left w:val="nil"/>
              <w:bottom w:val="single" w:sz="4" w:space="0" w:color="auto"/>
              <w:right w:val="single" w:sz="4" w:space="0" w:color="auto"/>
            </w:tcBorders>
            <w:shd w:val="clear" w:color="auto" w:fill="auto"/>
            <w:vAlign w:val="center"/>
            <w:hideMark/>
          </w:tcPr>
          <w:p w14:paraId="6E231092"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2,810</w:t>
            </w:r>
          </w:p>
        </w:tc>
        <w:tc>
          <w:tcPr>
            <w:tcW w:w="1134" w:type="dxa"/>
            <w:tcBorders>
              <w:top w:val="nil"/>
              <w:left w:val="nil"/>
              <w:bottom w:val="single" w:sz="4" w:space="0" w:color="auto"/>
              <w:right w:val="single" w:sz="4" w:space="0" w:color="auto"/>
            </w:tcBorders>
            <w:shd w:val="clear" w:color="auto" w:fill="auto"/>
            <w:vAlign w:val="center"/>
            <w:hideMark/>
          </w:tcPr>
          <w:p w14:paraId="523FA8B3"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24%</w:t>
            </w:r>
          </w:p>
        </w:tc>
        <w:tc>
          <w:tcPr>
            <w:tcW w:w="1417" w:type="dxa"/>
            <w:tcBorders>
              <w:top w:val="nil"/>
              <w:left w:val="nil"/>
              <w:bottom w:val="single" w:sz="4" w:space="0" w:color="auto"/>
              <w:right w:val="single" w:sz="4" w:space="0" w:color="auto"/>
            </w:tcBorders>
            <w:shd w:val="clear" w:color="auto" w:fill="auto"/>
            <w:vAlign w:val="center"/>
            <w:hideMark/>
          </w:tcPr>
          <w:p w14:paraId="6F37B803"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c>
          <w:tcPr>
            <w:tcW w:w="993" w:type="dxa"/>
            <w:tcBorders>
              <w:top w:val="nil"/>
              <w:left w:val="nil"/>
              <w:bottom w:val="single" w:sz="4" w:space="0" w:color="auto"/>
              <w:right w:val="single" w:sz="4" w:space="0" w:color="auto"/>
            </w:tcBorders>
            <w:shd w:val="clear" w:color="auto" w:fill="auto"/>
            <w:vAlign w:val="center"/>
            <w:hideMark/>
          </w:tcPr>
          <w:p w14:paraId="479B34E3"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r>
      <w:tr w:rsidR="00C354CD" w:rsidRPr="00AC3A3D" w14:paraId="5F6AAE05"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0D105C75" w14:textId="77777777" w:rsidR="00C354CD" w:rsidRPr="00AC3A3D" w:rsidRDefault="00C354CD" w:rsidP="00AD0E29">
            <w:pPr>
              <w:spacing w:after="0" w:line="240" w:lineRule="auto"/>
              <w:rPr>
                <w:rFonts w:eastAsia="Times New Roman" w:cs="Arial"/>
                <w:szCs w:val="20"/>
                <w:lang w:eastAsia="en-AU"/>
              </w:rPr>
            </w:pPr>
            <w:r w:rsidRPr="00AC3A3D">
              <w:rPr>
                <w:rFonts w:eastAsia="Times New Roman" w:cs="Arial"/>
                <w:szCs w:val="20"/>
                <w:lang w:eastAsia="en-AU"/>
              </w:rPr>
              <w:t>Goulburn-Broken</w:t>
            </w:r>
          </w:p>
        </w:tc>
        <w:tc>
          <w:tcPr>
            <w:tcW w:w="1442" w:type="dxa"/>
            <w:tcBorders>
              <w:top w:val="nil"/>
              <w:left w:val="nil"/>
              <w:bottom w:val="single" w:sz="4" w:space="0" w:color="auto"/>
              <w:right w:val="single" w:sz="4" w:space="0" w:color="auto"/>
            </w:tcBorders>
            <w:shd w:val="clear" w:color="auto" w:fill="auto"/>
            <w:vAlign w:val="center"/>
            <w:hideMark/>
          </w:tcPr>
          <w:p w14:paraId="47B79F70"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3,730</w:t>
            </w:r>
          </w:p>
        </w:tc>
        <w:tc>
          <w:tcPr>
            <w:tcW w:w="1134" w:type="dxa"/>
            <w:tcBorders>
              <w:top w:val="nil"/>
              <w:left w:val="nil"/>
              <w:bottom w:val="single" w:sz="4" w:space="0" w:color="auto"/>
              <w:right w:val="single" w:sz="4" w:space="0" w:color="auto"/>
            </w:tcBorders>
            <w:shd w:val="clear" w:color="auto" w:fill="auto"/>
            <w:vAlign w:val="center"/>
            <w:hideMark/>
          </w:tcPr>
          <w:p w14:paraId="6A6C6899"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83%</w:t>
            </w:r>
          </w:p>
        </w:tc>
        <w:tc>
          <w:tcPr>
            <w:tcW w:w="1418" w:type="dxa"/>
            <w:tcBorders>
              <w:top w:val="nil"/>
              <w:left w:val="nil"/>
              <w:bottom w:val="single" w:sz="4" w:space="0" w:color="auto"/>
              <w:right w:val="single" w:sz="4" w:space="0" w:color="auto"/>
            </w:tcBorders>
            <w:shd w:val="clear" w:color="auto" w:fill="auto"/>
            <w:vAlign w:val="center"/>
            <w:hideMark/>
          </w:tcPr>
          <w:p w14:paraId="5BF59869"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760</w:t>
            </w:r>
          </w:p>
        </w:tc>
        <w:tc>
          <w:tcPr>
            <w:tcW w:w="1134" w:type="dxa"/>
            <w:tcBorders>
              <w:top w:val="nil"/>
              <w:left w:val="nil"/>
              <w:bottom w:val="single" w:sz="4" w:space="0" w:color="auto"/>
              <w:right w:val="single" w:sz="4" w:space="0" w:color="auto"/>
            </w:tcBorders>
            <w:shd w:val="clear" w:color="auto" w:fill="auto"/>
            <w:vAlign w:val="center"/>
            <w:hideMark/>
          </w:tcPr>
          <w:p w14:paraId="77E4E462"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17%</w:t>
            </w:r>
          </w:p>
        </w:tc>
        <w:tc>
          <w:tcPr>
            <w:tcW w:w="1417" w:type="dxa"/>
            <w:tcBorders>
              <w:top w:val="nil"/>
              <w:left w:val="nil"/>
              <w:bottom w:val="single" w:sz="4" w:space="0" w:color="auto"/>
              <w:right w:val="single" w:sz="4" w:space="0" w:color="auto"/>
            </w:tcBorders>
            <w:shd w:val="clear" w:color="auto" w:fill="auto"/>
            <w:vAlign w:val="center"/>
            <w:hideMark/>
          </w:tcPr>
          <w:p w14:paraId="231A878D"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c>
          <w:tcPr>
            <w:tcW w:w="993" w:type="dxa"/>
            <w:tcBorders>
              <w:top w:val="nil"/>
              <w:left w:val="nil"/>
              <w:bottom w:val="single" w:sz="4" w:space="0" w:color="auto"/>
              <w:right w:val="single" w:sz="4" w:space="0" w:color="auto"/>
            </w:tcBorders>
            <w:shd w:val="clear" w:color="auto" w:fill="auto"/>
            <w:vAlign w:val="center"/>
            <w:hideMark/>
          </w:tcPr>
          <w:p w14:paraId="4BCF011E"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r>
      <w:tr w:rsidR="00C354CD" w:rsidRPr="00AC3A3D" w14:paraId="4476CA5A"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AA2D2A8" w14:textId="77777777" w:rsidR="00C354CD" w:rsidRPr="00AC3A3D" w:rsidRDefault="00C354CD" w:rsidP="00AD0E29">
            <w:pPr>
              <w:spacing w:after="0" w:line="240" w:lineRule="auto"/>
              <w:rPr>
                <w:rFonts w:eastAsia="Times New Roman" w:cs="Arial"/>
                <w:szCs w:val="20"/>
                <w:lang w:eastAsia="en-AU"/>
              </w:rPr>
            </w:pPr>
            <w:r w:rsidRPr="00AC3A3D">
              <w:rPr>
                <w:rFonts w:eastAsia="Times New Roman" w:cs="Arial"/>
                <w:szCs w:val="20"/>
                <w:lang w:eastAsia="en-AU"/>
              </w:rPr>
              <w:t>Ovens</w:t>
            </w:r>
          </w:p>
        </w:tc>
        <w:tc>
          <w:tcPr>
            <w:tcW w:w="1442" w:type="dxa"/>
            <w:tcBorders>
              <w:top w:val="nil"/>
              <w:left w:val="nil"/>
              <w:bottom w:val="single" w:sz="4" w:space="0" w:color="auto"/>
              <w:right w:val="single" w:sz="4" w:space="0" w:color="auto"/>
            </w:tcBorders>
            <w:shd w:val="clear" w:color="auto" w:fill="auto"/>
            <w:vAlign w:val="center"/>
            <w:hideMark/>
          </w:tcPr>
          <w:p w14:paraId="73782C87"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140</w:t>
            </w:r>
          </w:p>
        </w:tc>
        <w:tc>
          <w:tcPr>
            <w:tcW w:w="1134" w:type="dxa"/>
            <w:tcBorders>
              <w:top w:val="nil"/>
              <w:left w:val="nil"/>
              <w:bottom w:val="single" w:sz="4" w:space="0" w:color="auto"/>
              <w:right w:val="single" w:sz="4" w:space="0" w:color="auto"/>
            </w:tcBorders>
            <w:shd w:val="clear" w:color="auto" w:fill="auto"/>
            <w:vAlign w:val="center"/>
            <w:hideMark/>
          </w:tcPr>
          <w:p w14:paraId="64512B68"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67%</w:t>
            </w:r>
          </w:p>
        </w:tc>
        <w:tc>
          <w:tcPr>
            <w:tcW w:w="1418" w:type="dxa"/>
            <w:tcBorders>
              <w:top w:val="nil"/>
              <w:left w:val="nil"/>
              <w:bottom w:val="single" w:sz="4" w:space="0" w:color="auto"/>
              <w:right w:val="single" w:sz="4" w:space="0" w:color="auto"/>
            </w:tcBorders>
            <w:shd w:val="clear" w:color="auto" w:fill="auto"/>
            <w:vAlign w:val="center"/>
            <w:hideMark/>
          </w:tcPr>
          <w:p w14:paraId="18FB1212"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70</w:t>
            </w:r>
          </w:p>
        </w:tc>
        <w:tc>
          <w:tcPr>
            <w:tcW w:w="1134" w:type="dxa"/>
            <w:tcBorders>
              <w:top w:val="nil"/>
              <w:left w:val="nil"/>
              <w:bottom w:val="single" w:sz="4" w:space="0" w:color="auto"/>
              <w:right w:val="single" w:sz="4" w:space="0" w:color="auto"/>
            </w:tcBorders>
            <w:shd w:val="clear" w:color="auto" w:fill="auto"/>
            <w:vAlign w:val="center"/>
            <w:hideMark/>
          </w:tcPr>
          <w:p w14:paraId="72F0F57B"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33%</w:t>
            </w:r>
          </w:p>
        </w:tc>
        <w:tc>
          <w:tcPr>
            <w:tcW w:w="1417" w:type="dxa"/>
            <w:tcBorders>
              <w:top w:val="nil"/>
              <w:left w:val="nil"/>
              <w:bottom w:val="single" w:sz="4" w:space="0" w:color="auto"/>
              <w:right w:val="single" w:sz="4" w:space="0" w:color="auto"/>
            </w:tcBorders>
            <w:shd w:val="clear" w:color="auto" w:fill="auto"/>
            <w:vAlign w:val="center"/>
            <w:hideMark/>
          </w:tcPr>
          <w:p w14:paraId="210671B0"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c>
          <w:tcPr>
            <w:tcW w:w="993" w:type="dxa"/>
            <w:tcBorders>
              <w:top w:val="nil"/>
              <w:left w:val="nil"/>
              <w:bottom w:val="single" w:sz="4" w:space="0" w:color="auto"/>
              <w:right w:val="single" w:sz="4" w:space="0" w:color="auto"/>
            </w:tcBorders>
            <w:shd w:val="clear" w:color="auto" w:fill="auto"/>
            <w:vAlign w:val="center"/>
            <w:hideMark/>
          </w:tcPr>
          <w:p w14:paraId="0F44261C"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0%</w:t>
            </w:r>
          </w:p>
        </w:tc>
      </w:tr>
      <w:tr w:rsidR="00C354CD" w:rsidRPr="00AC3A3D" w14:paraId="77363674" w14:textId="77777777" w:rsidTr="00AD0E29">
        <w:trPr>
          <w:trHeight w:val="25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C3DB1CB" w14:textId="77777777" w:rsidR="00C354CD" w:rsidRPr="00AC3A3D" w:rsidRDefault="00C354CD" w:rsidP="00AD0E29">
            <w:pPr>
              <w:spacing w:after="0" w:line="240" w:lineRule="auto"/>
              <w:rPr>
                <w:rFonts w:eastAsia="Times New Roman" w:cs="Arial"/>
                <w:b/>
                <w:bCs/>
                <w:szCs w:val="20"/>
                <w:lang w:eastAsia="en-AU"/>
              </w:rPr>
            </w:pPr>
            <w:r w:rsidRPr="00AC3A3D">
              <w:rPr>
                <w:rFonts w:eastAsia="Times New Roman" w:cs="Arial"/>
                <w:b/>
                <w:bCs/>
                <w:szCs w:val="20"/>
                <w:lang w:eastAsia="en-AU"/>
              </w:rPr>
              <w:t>TOTAL BASIN</w:t>
            </w:r>
          </w:p>
        </w:tc>
        <w:tc>
          <w:tcPr>
            <w:tcW w:w="1442" w:type="dxa"/>
            <w:tcBorders>
              <w:top w:val="nil"/>
              <w:left w:val="nil"/>
              <w:bottom w:val="single" w:sz="4" w:space="0" w:color="auto"/>
              <w:right w:val="single" w:sz="4" w:space="0" w:color="auto"/>
            </w:tcBorders>
            <w:shd w:val="clear" w:color="auto" w:fill="auto"/>
            <w:vAlign w:val="center"/>
            <w:hideMark/>
          </w:tcPr>
          <w:p w14:paraId="05DA7D16"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672,560</w:t>
            </w:r>
          </w:p>
        </w:tc>
        <w:tc>
          <w:tcPr>
            <w:tcW w:w="1134" w:type="dxa"/>
            <w:tcBorders>
              <w:top w:val="nil"/>
              <w:left w:val="nil"/>
              <w:bottom w:val="single" w:sz="4" w:space="0" w:color="auto"/>
              <w:right w:val="single" w:sz="4" w:space="0" w:color="auto"/>
            </w:tcBorders>
            <w:shd w:val="clear" w:color="auto" w:fill="auto"/>
            <w:vAlign w:val="center"/>
            <w:hideMark/>
          </w:tcPr>
          <w:p w14:paraId="29FD5B48" w14:textId="77777777" w:rsidR="00C354CD" w:rsidRPr="00AC3A3D" w:rsidRDefault="00C354CD" w:rsidP="00AD0E29">
            <w:pPr>
              <w:spacing w:after="0" w:line="240" w:lineRule="auto"/>
              <w:jc w:val="right"/>
              <w:rPr>
                <w:rFonts w:eastAsia="Times New Roman" w:cs="Arial"/>
                <w:b/>
                <w:bCs/>
                <w:szCs w:val="20"/>
                <w:lang w:eastAsia="en-AU"/>
              </w:rPr>
            </w:pPr>
            <w:r w:rsidRPr="00AC3A3D">
              <w:rPr>
                <w:rFonts w:eastAsia="Times New Roman" w:cs="Arial"/>
                <w:b/>
                <w:bCs/>
                <w:szCs w:val="20"/>
                <w:lang w:eastAsia="en-AU"/>
              </w:rPr>
              <w:t>48%</w:t>
            </w:r>
          </w:p>
        </w:tc>
        <w:tc>
          <w:tcPr>
            <w:tcW w:w="1418" w:type="dxa"/>
            <w:tcBorders>
              <w:top w:val="nil"/>
              <w:left w:val="nil"/>
              <w:bottom w:val="single" w:sz="4" w:space="0" w:color="auto"/>
              <w:right w:val="single" w:sz="4" w:space="0" w:color="auto"/>
            </w:tcBorders>
            <w:shd w:val="clear" w:color="auto" w:fill="auto"/>
            <w:vAlign w:val="center"/>
            <w:hideMark/>
          </w:tcPr>
          <w:p w14:paraId="77A3AC06"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717,330</w:t>
            </w:r>
          </w:p>
        </w:tc>
        <w:tc>
          <w:tcPr>
            <w:tcW w:w="1134" w:type="dxa"/>
            <w:tcBorders>
              <w:top w:val="nil"/>
              <w:left w:val="nil"/>
              <w:bottom w:val="single" w:sz="4" w:space="0" w:color="auto"/>
              <w:right w:val="single" w:sz="4" w:space="0" w:color="auto"/>
            </w:tcBorders>
            <w:shd w:val="clear" w:color="auto" w:fill="auto"/>
            <w:vAlign w:val="center"/>
            <w:hideMark/>
          </w:tcPr>
          <w:p w14:paraId="5D0B5E56" w14:textId="77777777" w:rsidR="00C354CD" w:rsidRPr="00AC3A3D" w:rsidRDefault="00C354CD" w:rsidP="00AD0E29">
            <w:pPr>
              <w:spacing w:after="0" w:line="240" w:lineRule="auto"/>
              <w:jc w:val="right"/>
              <w:rPr>
                <w:rFonts w:eastAsia="Times New Roman" w:cs="Arial"/>
                <w:b/>
                <w:bCs/>
                <w:szCs w:val="20"/>
                <w:lang w:eastAsia="en-AU"/>
              </w:rPr>
            </w:pPr>
            <w:r w:rsidRPr="00AC3A3D">
              <w:rPr>
                <w:rFonts w:eastAsia="Times New Roman" w:cs="Arial"/>
                <w:b/>
                <w:bCs/>
                <w:szCs w:val="20"/>
                <w:lang w:eastAsia="en-AU"/>
              </w:rPr>
              <w:t>51%</w:t>
            </w:r>
          </w:p>
        </w:tc>
        <w:tc>
          <w:tcPr>
            <w:tcW w:w="1417" w:type="dxa"/>
            <w:tcBorders>
              <w:top w:val="nil"/>
              <w:left w:val="nil"/>
              <w:bottom w:val="single" w:sz="4" w:space="0" w:color="auto"/>
              <w:right w:val="single" w:sz="4" w:space="0" w:color="auto"/>
            </w:tcBorders>
            <w:shd w:val="clear" w:color="auto" w:fill="auto"/>
            <w:vAlign w:val="center"/>
            <w:hideMark/>
          </w:tcPr>
          <w:p w14:paraId="182EE256" w14:textId="77777777" w:rsidR="00C354CD" w:rsidRPr="00AC3A3D" w:rsidRDefault="00C354CD" w:rsidP="00AD0E29">
            <w:pPr>
              <w:spacing w:after="0" w:line="240" w:lineRule="auto"/>
              <w:jc w:val="right"/>
              <w:rPr>
                <w:rFonts w:eastAsia="Times New Roman" w:cs="Arial"/>
                <w:szCs w:val="20"/>
                <w:lang w:eastAsia="en-AU"/>
              </w:rPr>
            </w:pPr>
            <w:r w:rsidRPr="00AC3A3D">
              <w:rPr>
                <w:rFonts w:eastAsia="Times New Roman" w:cs="Arial"/>
                <w:szCs w:val="20"/>
                <w:lang w:eastAsia="en-AU"/>
              </w:rPr>
              <w:t>7,600</w:t>
            </w:r>
          </w:p>
        </w:tc>
        <w:tc>
          <w:tcPr>
            <w:tcW w:w="993" w:type="dxa"/>
            <w:tcBorders>
              <w:top w:val="nil"/>
              <w:left w:val="nil"/>
              <w:bottom w:val="single" w:sz="4" w:space="0" w:color="auto"/>
              <w:right w:val="single" w:sz="4" w:space="0" w:color="auto"/>
            </w:tcBorders>
            <w:shd w:val="clear" w:color="auto" w:fill="auto"/>
            <w:vAlign w:val="center"/>
            <w:hideMark/>
          </w:tcPr>
          <w:p w14:paraId="59ADAF98" w14:textId="77777777" w:rsidR="00C354CD" w:rsidRPr="00AC3A3D" w:rsidRDefault="00C354CD" w:rsidP="00AD0E29">
            <w:pPr>
              <w:spacing w:after="0" w:line="240" w:lineRule="auto"/>
              <w:jc w:val="right"/>
              <w:rPr>
                <w:rFonts w:eastAsia="Times New Roman" w:cs="Arial"/>
                <w:b/>
                <w:bCs/>
                <w:szCs w:val="20"/>
                <w:lang w:eastAsia="en-AU"/>
              </w:rPr>
            </w:pPr>
            <w:r w:rsidRPr="00AC3A3D">
              <w:rPr>
                <w:rFonts w:eastAsia="Times New Roman" w:cs="Arial"/>
                <w:b/>
                <w:bCs/>
                <w:szCs w:val="20"/>
                <w:lang w:eastAsia="en-AU"/>
              </w:rPr>
              <w:t>1%</w:t>
            </w:r>
          </w:p>
        </w:tc>
      </w:tr>
    </w:tbl>
    <w:p w14:paraId="75D3F0FB" w14:textId="77777777" w:rsidR="00C354CD" w:rsidRDefault="00C354CD" w:rsidP="00C354CD">
      <w:pPr>
        <w:pStyle w:val="Bodynarrow"/>
      </w:pPr>
    </w:p>
    <w:p w14:paraId="5ED0BC4D" w14:textId="77777777" w:rsidR="00C354CD" w:rsidRDefault="00C354CD" w:rsidP="00C354CD">
      <w:pPr>
        <w:pStyle w:val="Bodynarrow"/>
        <w:ind w:left="0"/>
        <w:sectPr w:rsidR="00C354CD" w:rsidSect="00AD0E29">
          <w:pgSz w:w="11906" w:h="16838"/>
          <w:pgMar w:top="567" w:right="851" w:bottom="851" w:left="1134" w:header="708" w:footer="708" w:gutter="0"/>
          <w:cols w:space="708"/>
          <w:docGrid w:linePitch="360"/>
        </w:sectPr>
      </w:pPr>
    </w:p>
    <w:p w14:paraId="08D4BE34" w14:textId="4262EA34" w:rsidR="00C354CD" w:rsidRPr="00B95F24" w:rsidRDefault="00360CDB" w:rsidP="00C354CD">
      <w:pPr>
        <w:pStyle w:val="Para0"/>
        <w:spacing w:before="0" w:after="0"/>
        <w:jc w:val="center"/>
      </w:pPr>
      <w:r>
        <w:rPr>
          <w:noProof/>
          <w:lang w:eastAsia="en-AU"/>
        </w:rPr>
        <w:drawing>
          <wp:inline distT="0" distB="0" distL="0" distR="0" wp14:anchorId="67BF9724" wp14:editId="48379182">
            <wp:extent cx="13102313" cy="8245366"/>
            <wp:effectExtent l="0" t="0" r="4445" b="381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Fig5.15 GW depth and BB at basin scale.png"/>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13106659" cy="8248101"/>
                    </a:xfrm>
                    <a:prstGeom prst="rect">
                      <a:avLst/>
                    </a:prstGeom>
                    <a:ln>
                      <a:noFill/>
                    </a:ln>
                    <a:extLst>
                      <a:ext uri="{53640926-AAD7-44D8-BBD7-CCE9431645EC}">
                        <a14:shadowObscured xmlns:a14="http://schemas.microsoft.com/office/drawing/2010/main"/>
                      </a:ext>
                    </a:extLst>
                  </pic:spPr>
                </pic:pic>
              </a:graphicData>
            </a:graphic>
          </wp:inline>
        </w:drawing>
      </w:r>
    </w:p>
    <w:p w14:paraId="64917767" w14:textId="55795DEF" w:rsidR="00C354CD" w:rsidRDefault="00C354CD" w:rsidP="00C354CD">
      <w:pPr>
        <w:pStyle w:val="Caption"/>
        <w:spacing w:before="0" w:after="0"/>
        <w:jc w:val="center"/>
      </w:pPr>
      <w:bookmarkStart w:id="300" w:name="_Ref507167254"/>
      <w:bookmarkStart w:id="301" w:name="_Toc514018108"/>
      <w:r>
        <w:t xml:space="preserve">Figure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Figure \* ARABIC \s 1 </w:instrText>
      </w:r>
      <w:r>
        <w:fldChar w:fldCharType="separate"/>
      </w:r>
      <w:r w:rsidR="00BF015B">
        <w:rPr>
          <w:noProof/>
        </w:rPr>
        <w:t>15</w:t>
      </w:r>
      <w:r>
        <w:fldChar w:fldCharType="end"/>
      </w:r>
      <w:bookmarkEnd w:id="300"/>
      <w:r>
        <w:t xml:space="preserve">: Groundwater </w:t>
      </w:r>
      <w:r w:rsidR="008344E6">
        <w:t>d</w:t>
      </w:r>
      <w:r>
        <w:t xml:space="preserve">epth and Black Box: </w:t>
      </w:r>
      <w:r w:rsidR="008344E6">
        <w:t>b</w:t>
      </w:r>
      <w:r>
        <w:t xml:space="preserve">asin </w:t>
      </w:r>
      <w:r w:rsidR="008344E6">
        <w:t>s</w:t>
      </w:r>
      <w:r>
        <w:t>cale</w:t>
      </w:r>
      <w:bookmarkEnd w:id="301"/>
    </w:p>
    <w:p w14:paraId="3B9E9232" w14:textId="77777777" w:rsidR="00C354CD" w:rsidRDefault="00C354CD" w:rsidP="00C354CD">
      <w:pPr>
        <w:pStyle w:val="Caption"/>
        <w:jc w:val="center"/>
        <w:sectPr w:rsidR="00C354CD" w:rsidSect="00360CDB">
          <w:pgSz w:w="23811" w:h="16838" w:orient="landscape" w:code="8"/>
          <w:pgMar w:top="1134" w:right="567" w:bottom="851" w:left="851" w:header="708" w:footer="708" w:gutter="0"/>
          <w:cols w:space="708"/>
          <w:docGrid w:linePitch="360"/>
        </w:sectPr>
      </w:pPr>
    </w:p>
    <w:p w14:paraId="4D5B5198" w14:textId="77777777" w:rsidR="00C354CD" w:rsidRDefault="00C354CD" w:rsidP="00C354CD">
      <w:pPr>
        <w:pStyle w:val="Heading4"/>
      </w:pPr>
      <w:r>
        <w:t>Black Box Vulnerability Assessment</w:t>
      </w:r>
    </w:p>
    <w:p w14:paraId="43560E5C" w14:textId="50CA0F99" w:rsidR="00C354CD" w:rsidRDefault="00C354CD" w:rsidP="00C354CD">
      <w:pPr>
        <w:pStyle w:val="Para0"/>
      </w:pPr>
      <w:r>
        <w:t xml:space="preserve">Through combining the analysis of stressors at the Basin Scale (refer </w:t>
      </w:r>
      <w:r>
        <w:fldChar w:fldCharType="begin"/>
      </w:r>
      <w:r>
        <w:instrText xml:space="preserve"> REF _Ref507161872 \r \h </w:instrText>
      </w:r>
      <w:r>
        <w:fldChar w:fldCharType="separate"/>
      </w:r>
      <w:r w:rsidR="00BF015B">
        <w:t>5.3.1.2</w:t>
      </w:r>
      <w:r>
        <w:fldChar w:fldCharType="end"/>
      </w:r>
      <w:r>
        <w:t xml:space="preserve">), an assessment of the overall vulnerability of Black Box throughout the Basin can be made. The approach taken follows the rapid assessment method described in </w:t>
      </w:r>
      <w:r w:rsidRPr="009D11E9">
        <w:t xml:space="preserve">chapter 3.7. Basin wide datasets for flooding frequency, groundwater depth and groundwater salinity were available to develop a map of exposure thresholds using the known threshold limits. </w:t>
      </w:r>
      <w:r w:rsidR="00A27187">
        <w:t xml:space="preserve">The available </w:t>
      </w:r>
      <w:r w:rsidRPr="009D11E9">
        <w:t xml:space="preserve">Black Box condition data </w:t>
      </w:r>
      <w:r w:rsidR="00A27187">
        <w:t xml:space="preserve">did </w:t>
      </w:r>
      <w:r w:rsidR="005C4005">
        <w:t xml:space="preserve">not </w:t>
      </w:r>
      <w:r w:rsidR="005C4005" w:rsidRPr="009D11E9">
        <w:t>cover</w:t>
      </w:r>
      <w:r w:rsidRPr="009D11E9">
        <w:t xml:space="preserve"> the whole </w:t>
      </w:r>
      <w:r w:rsidR="005C4005" w:rsidRPr="009D11E9">
        <w:t>basin</w:t>
      </w:r>
      <w:r w:rsidR="005C4005">
        <w:t>;</w:t>
      </w:r>
      <w:r w:rsidR="00A27187">
        <w:t xml:space="preserve"> </w:t>
      </w:r>
      <w:r w:rsidR="005C4005">
        <w:t>however,</w:t>
      </w:r>
      <w:r w:rsidRPr="009D11E9">
        <w:t xml:space="preserve"> </w:t>
      </w:r>
      <w:r w:rsidR="00A27187">
        <w:t xml:space="preserve">an improved version </w:t>
      </w:r>
      <w:r w:rsidRPr="009D11E9">
        <w:t xml:space="preserve">could be used in </w:t>
      </w:r>
      <w:r>
        <w:t>future refinements of the</w:t>
      </w:r>
      <w:r w:rsidRPr="009D11E9">
        <w:t xml:space="preserve"> vulnerability assessment. Resilience factors such as connectivity and space</w:t>
      </w:r>
      <w:r>
        <w:t xml:space="preserve"> to establish in new favourable conditions was also not available at the basin scale. Therefore, the vulnerability assessment was </w:t>
      </w:r>
      <w:r w:rsidR="007525C8">
        <w:t xml:space="preserve">modified to be </w:t>
      </w:r>
      <w:r>
        <w:t>purely based on exposure thresholds (</w:t>
      </w:r>
      <w:r>
        <w:fldChar w:fldCharType="begin"/>
      </w:r>
      <w:r>
        <w:instrText xml:space="preserve"> REF _Ref507418102 \h </w:instrText>
      </w:r>
      <w:r>
        <w:fldChar w:fldCharType="separate"/>
      </w:r>
      <w:r w:rsidR="00BF015B">
        <w:t xml:space="preserve">Figure </w:t>
      </w:r>
      <w:r w:rsidR="00BF015B">
        <w:rPr>
          <w:noProof/>
        </w:rPr>
        <w:t>5</w:t>
      </w:r>
      <w:r w:rsidR="00BF015B">
        <w:noBreakHyphen/>
      </w:r>
      <w:r w:rsidR="00BF015B">
        <w:rPr>
          <w:noProof/>
        </w:rPr>
        <w:t>16</w:t>
      </w:r>
      <w:r>
        <w:fldChar w:fldCharType="end"/>
      </w:r>
      <w:r>
        <w:t>). Although this provides a useful reference at the basin scale</w:t>
      </w:r>
      <w:r w:rsidR="004020F1">
        <w:t xml:space="preserve">, it can be considered to have a “Low” level of confidence due to lack of data availability. Improved confidence in the basin scale vulnerability assessment could be achieved following the development of </w:t>
      </w:r>
      <w:r w:rsidR="007525C8">
        <w:t>a basin</w:t>
      </w:r>
      <w:r>
        <w:t xml:space="preserve"> wide condition map</w:t>
      </w:r>
      <w:r w:rsidR="004020F1">
        <w:t xml:space="preserve">, </w:t>
      </w:r>
      <w:r w:rsidR="007525C8">
        <w:t>and once</w:t>
      </w:r>
      <w:r>
        <w:t xml:space="preserve"> the space to recruit is modelled.</w:t>
      </w:r>
    </w:p>
    <w:p w14:paraId="5771A69A" w14:textId="77777777" w:rsidR="00C354CD" w:rsidRDefault="00C354CD" w:rsidP="00C354CD">
      <w:pPr>
        <w:pStyle w:val="Para0"/>
        <w:jc w:val="center"/>
      </w:pPr>
      <w:r>
        <w:rPr>
          <w:noProof/>
          <w:lang w:eastAsia="en-AU"/>
        </w:rPr>
        <w:drawing>
          <wp:inline distT="0" distB="0" distL="0" distR="0" wp14:anchorId="68A73ED3" wp14:editId="7374BDE2">
            <wp:extent cx="4906548" cy="2683823"/>
            <wp:effectExtent l="0" t="0" r="889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ulnerability.jpg"/>
                    <pic:cNvPicPr/>
                  </pic:nvPicPr>
                  <pic:blipFill rotWithShape="1">
                    <a:blip r:embed="rId92" cstate="email">
                      <a:extLst>
                        <a:ext uri="{28A0092B-C50C-407E-A947-70E740481C1C}">
                          <a14:useLocalDpi xmlns:a14="http://schemas.microsoft.com/office/drawing/2010/main"/>
                        </a:ext>
                      </a:extLst>
                    </a:blip>
                    <a:srcRect/>
                    <a:stretch/>
                  </pic:blipFill>
                  <pic:spPr bwMode="auto">
                    <a:xfrm>
                      <a:off x="0" y="0"/>
                      <a:ext cx="4914820" cy="2688348"/>
                    </a:xfrm>
                    <a:prstGeom prst="rect">
                      <a:avLst/>
                    </a:prstGeom>
                    <a:ln>
                      <a:noFill/>
                    </a:ln>
                    <a:extLst>
                      <a:ext uri="{53640926-AAD7-44D8-BBD7-CCE9431645EC}">
                        <a14:shadowObscured xmlns:a14="http://schemas.microsoft.com/office/drawing/2010/main"/>
                      </a:ext>
                    </a:extLst>
                  </pic:spPr>
                </pic:pic>
              </a:graphicData>
            </a:graphic>
          </wp:inline>
        </w:drawing>
      </w:r>
    </w:p>
    <w:p w14:paraId="3E115137" w14:textId="6E3C9475" w:rsidR="00C354CD" w:rsidRDefault="00C354CD" w:rsidP="00CF58C7">
      <w:pPr>
        <w:pStyle w:val="Caption"/>
        <w:spacing w:before="120" w:after="0"/>
        <w:jc w:val="center"/>
      </w:pPr>
      <w:bookmarkStart w:id="302" w:name="_Ref507418102"/>
      <w:bookmarkStart w:id="303" w:name="_Toc514018109"/>
      <w:r>
        <w:t xml:space="preserve">Figure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Figure \* ARABIC \s 1 </w:instrText>
      </w:r>
      <w:r>
        <w:fldChar w:fldCharType="separate"/>
      </w:r>
      <w:r w:rsidR="00BF015B">
        <w:rPr>
          <w:noProof/>
        </w:rPr>
        <w:t>16</w:t>
      </w:r>
      <w:r>
        <w:fldChar w:fldCharType="end"/>
      </w:r>
      <w:bookmarkEnd w:id="302"/>
      <w:r>
        <w:t>:  Components of the vulnerability assessment for Basin scale.</w:t>
      </w:r>
      <w:bookmarkEnd w:id="303"/>
    </w:p>
    <w:p w14:paraId="39657AB4" w14:textId="4B520EF5" w:rsidR="00C354CD" w:rsidRDefault="00C354CD" w:rsidP="00C354CD">
      <w:pPr>
        <w:pStyle w:val="Para0"/>
      </w:pPr>
      <w:r>
        <w:t xml:space="preserve">Vulnerability maps were produced by combining the GIS </w:t>
      </w:r>
      <w:r w:rsidRPr="000813CD">
        <w:t xml:space="preserve">information on flood frequency, groundwater salinity and groundwater depth based on the rules outlined in  </w:t>
      </w:r>
      <w:r w:rsidRPr="000813CD">
        <w:fldChar w:fldCharType="begin"/>
      </w:r>
      <w:r w:rsidRPr="000813CD">
        <w:instrText xml:space="preserve"> REF _Ref507162358 \h </w:instrText>
      </w:r>
      <w:r>
        <w:instrText xml:space="preserve"> \* MERGEFORMAT </w:instrText>
      </w:r>
      <w:r w:rsidRPr="000813CD">
        <w:fldChar w:fldCharType="separate"/>
      </w:r>
      <w:r w:rsidR="00BF015B">
        <w:t xml:space="preserve">Table </w:t>
      </w:r>
      <w:r w:rsidR="00BF015B">
        <w:rPr>
          <w:noProof/>
        </w:rPr>
        <w:t>5</w:t>
      </w:r>
      <w:r w:rsidR="00BF015B">
        <w:rPr>
          <w:noProof/>
        </w:rPr>
        <w:noBreakHyphen/>
        <w:t>9</w:t>
      </w:r>
      <w:r w:rsidRPr="000813CD">
        <w:fldChar w:fldCharType="end"/>
      </w:r>
      <w:r w:rsidRPr="000813CD">
        <w:t xml:space="preserve">. </w:t>
      </w:r>
      <w:r w:rsidRPr="000813CD">
        <w:fldChar w:fldCharType="begin"/>
      </w:r>
      <w:r w:rsidRPr="000813CD">
        <w:instrText xml:space="preserve"> REF _Ref507167280 \h </w:instrText>
      </w:r>
      <w:r>
        <w:instrText xml:space="preserve"> \* MERGEFORMAT </w:instrText>
      </w:r>
      <w:r w:rsidRPr="000813CD">
        <w:fldChar w:fldCharType="separate"/>
      </w:r>
      <w:r w:rsidR="00BF015B">
        <w:t xml:space="preserve">Figure </w:t>
      </w:r>
      <w:r w:rsidR="00BF015B">
        <w:rPr>
          <w:noProof/>
        </w:rPr>
        <w:t>5</w:t>
      </w:r>
      <w:r w:rsidR="00BF015B">
        <w:rPr>
          <w:noProof/>
        </w:rPr>
        <w:noBreakHyphen/>
        <w:t>17</w:t>
      </w:r>
      <w:r w:rsidRPr="000813CD">
        <w:fldChar w:fldCharType="end"/>
      </w:r>
      <w:r>
        <w:t xml:space="preserve"> </w:t>
      </w:r>
      <w:r w:rsidRPr="000813CD">
        <w:t>show</w:t>
      </w:r>
      <w:r>
        <w:t>s</w:t>
      </w:r>
      <w:r w:rsidRPr="000813CD">
        <w:t xml:space="preserve"> the vulnerability map</w:t>
      </w:r>
      <w:r>
        <w:t xml:space="preserve"> for the Basin, while additional maps showing a greater level of detail in selected areas of the Murray and Darling systems are </w:t>
      </w:r>
      <w:r w:rsidRPr="00170C95">
        <w:t xml:space="preserve">provided in </w:t>
      </w:r>
      <w:r w:rsidRPr="00170C95">
        <w:fldChar w:fldCharType="begin"/>
      </w:r>
      <w:r w:rsidRPr="00170C95">
        <w:instrText xml:space="preserve"> REF _Ref507426282 \r \h  \* MERGEFORMAT </w:instrText>
      </w:r>
      <w:r w:rsidRPr="00170C95">
        <w:fldChar w:fldCharType="separate"/>
      </w:r>
      <w:r w:rsidR="00BF015B">
        <w:t>Appendix M</w:t>
      </w:r>
      <w:r w:rsidRPr="00170C95">
        <w:fldChar w:fldCharType="end"/>
      </w:r>
      <w:r w:rsidRPr="00170C95">
        <w:t>.</w:t>
      </w:r>
      <w:r>
        <w:t xml:space="preserve"> </w:t>
      </w:r>
    </w:p>
    <w:p w14:paraId="05212F6C" w14:textId="32404049" w:rsidR="00C354CD" w:rsidRDefault="00C354CD" w:rsidP="00C354CD">
      <w:pPr>
        <w:pStyle w:val="Para0"/>
      </w:pPr>
      <w:r>
        <w:t xml:space="preserve">Areas of vulnerable Black Box vegetation </w:t>
      </w:r>
      <w:r w:rsidRPr="008E1211">
        <w:t>throughout the Basin</w:t>
      </w:r>
      <w:r>
        <w:t xml:space="preserve"> are summarised</w:t>
      </w:r>
      <w:r w:rsidRPr="008E1211">
        <w:t xml:space="preserve"> in </w:t>
      </w:r>
      <w:r w:rsidRPr="008E1211">
        <w:fldChar w:fldCharType="begin"/>
      </w:r>
      <w:r w:rsidRPr="008E1211">
        <w:instrText xml:space="preserve"> REF _Ref507418148 \h </w:instrText>
      </w:r>
      <w:r>
        <w:instrText xml:space="preserve"> \* MERGEFORMAT </w:instrText>
      </w:r>
      <w:r w:rsidRPr="008E1211">
        <w:fldChar w:fldCharType="separate"/>
      </w:r>
      <w:r w:rsidR="00BF015B">
        <w:t>Table</w:t>
      </w:r>
      <w:r w:rsidR="00BF015B">
        <w:rPr>
          <w:noProof/>
        </w:rPr>
        <w:t xml:space="preserve"> 5</w:t>
      </w:r>
      <w:r w:rsidR="00BF015B">
        <w:rPr>
          <w:noProof/>
        </w:rPr>
        <w:noBreakHyphen/>
        <w:t>10</w:t>
      </w:r>
      <w:r w:rsidRPr="008E1211">
        <w:fldChar w:fldCharType="end"/>
      </w:r>
      <w:r>
        <w:t xml:space="preserve"> and </w:t>
      </w:r>
      <w:r>
        <w:fldChar w:fldCharType="begin"/>
      </w:r>
      <w:r>
        <w:instrText xml:space="preserve"> REF _Ref507511790 \h </w:instrText>
      </w:r>
      <w:r>
        <w:fldChar w:fldCharType="separate"/>
      </w:r>
      <w:r w:rsidR="00BF015B">
        <w:t xml:space="preserve">Table </w:t>
      </w:r>
      <w:r w:rsidR="00BF015B">
        <w:rPr>
          <w:noProof/>
        </w:rPr>
        <w:t>5</w:t>
      </w:r>
      <w:r w:rsidR="00BF015B">
        <w:noBreakHyphen/>
      </w:r>
      <w:r w:rsidR="00BF015B">
        <w:rPr>
          <w:noProof/>
        </w:rPr>
        <w:t>11</w:t>
      </w:r>
      <w:r>
        <w:fldChar w:fldCharType="end"/>
      </w:r>
      <w:r>
        <w:t xml:space="preserve">. </w:t>
      </w:r>
    </w:p>
    <w:p w14:paraId="65250884" w14:textId="4DCCAEAF" w:rsidR="00C354CD" w:rsidRDefault="00C354CD" w:rsidP="00C354CD">
      <w:pPr>
        <w:pStyle w:val="Caption"/>
      </w:pPr>
      <w:bookmarkStart w:id="304" w:name="_Ref507162358"/>
      <w:bookmarkStart w:id="305" w:name="_Toc514068797"/>
      <w:r>
        <w:t xml:space="preserve">Table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Table \* ARABIC \s 1 </w:instrText>
      </w:r>
      <w:r>
        <w:fldChar w:fldCharType="separate"/>
      </w:r>
      <w:r w:rsidR="00BF015B">
        <w:rPr>
          <w:noProof/>
        </w:rPr>
        <w:t>9</w:t>
      </w:r>
      <w:r>
        <w:fldChar w:fldCharType="end"/>
      </w:r>
      <w:bookmarkEnd w:id="304"/>
      <w:r>
        <w:t xml:space="preserve">: Conditions for </w:t>
      </w:r>
      <w:r w:rsidR="008344E6">
        <w:t>v</w:t>
      </w:r>
      <w:r>
        <w:t xml:space="preserve">ulnerability </w:t>
      </w:r>
      <w:r w:rsidR="008344E6">
        <w:t>a</w:t>
      </w:r>
      <w:r>
        <w:t>ssessment at the Basin Scale</w:t>
      </w:r>
      <w:bookmarkEnd w:id="305"/>
    </w:p>
    <w:tbl>
      <w:tblPr>
        <w:tblStyle w:val="TableGrid"/>
        <w:tblW w:w="8642" w:type="dxa"/>
        <w:jc w:val="center"/>
        <w:tblLook w:val="04A0" w:firstRow="1" w:lastRow="0" w:firstColumn="1" w:lastColumn="0" w:noHBand="0" w:noVBand="1"/>
      </w:tblPr>
      <w:tblGrid>
        <w:gridCol w:w="2843"/>
        <w:gridCol w:w="1770"/>
        <w:gridCol w:w="2470"/>
        <w:gridCol w:w="1559"/>
      </w:tblGrid>
      <w:tr w:rsidR="00C354CD" w:rsidRPr="00331D81" w14:paraId="198ECBA0" w14:textId="77777777" w:rsidTr="00AD0E29">
        <w:trPr>
          <w:trHeight w:val="163"/>
          <w:tblHeader/>
          <w:jc w:val="center"/>
        </w:trPr>
        <w:tc>
          <w:tcPr>
            <w:tcW w:w="2843" w:type="dxa"/>
            <w:shd w:val="clear" w:color="auto" w:fill="65876D"/>
          </w:tcPr>
          <w:p w14:paraId="58C49854" w14:textId="77777777" w:rsidR="00C354CD" w:rsidRDefault="00C354CD" w:rsidP="00AD0E29">
            <w:pPr>
              <w:pStyle w:val="Tableheading"/>
              <w:jc w:val="center"/>
              <w:rPr>
                <w:b/>
                <w:color w:val="FFFFFF" w:themeColor="background1"/>
              </w:rPr>
            </w:pPr>
            <w:r>
              <w:rPr>
                <w:b/>
                <w:color w:val="FFFFFF" w:themeColor="background1"/>
              </w:rPr>
              <w:t>Salinity</w:t>
            </w:r>
          </w:p>
          <w:p w14:paraId="0914A955" w14:textId="77777777" w:rsidR="00C354CD" w:rsidRPr="00331D81" w:rsidRDefault="00C354CD" w:rsidP="00AD0E29">
            <w:pPr>
              <w:pStyle w:val="Tableheading"/>
              <w:jc w:val="center"/>
              <w:rPr>
                <w:b/>
                <w:color w:val="FFFFFF" w:themeColor="background1"/>
              </w:rPr>
            </w:pPr>
            <w:r>
              <w:rPr>
                <w:b/>
                <w:color w:val="FFFFFF" w:themeColor="background1"/>
              </w:rPr>
              <w:t>&gt;35,000mg/L (saline) or &lt;35,000mg/L (fresh)</w:t>
            </w:r>
          </w:p>
        </w:tc>
        <w:tc>
          <w:tcPr>
            <w:tcW w:w="1770" w:type="dxa"/>
            <w:shd w:val="clear" w:color="auto" w:fill="65876D"/>
          </w:tcPr>
          <w:p w14:paraId="78B0DB0C" w14:textId="77777777" w:rsidR="00C354CD" w:rsidRDefault="00C354CD" w:rsidP="00AD0E29">
            <w:pPr>
              <w:pStyle w:val="Tableheading"/>
              <w:jc w:val="center"/>
              <w:rPr>
                <w:b/>
                <w:color w:val="FFFFFF" w:themeColor="background1"/>
              </w:rPr>
            </w:pPr>
            <w:r>
              <w:rPr>
                <w:b/>
                <w:color w:val="FFFFFF" w:themeColor="background1"/>
              </w:rPr>
              <w:t>Depth</w:t>
            </w:r>
          </w:p>
          <w:p w14:paraId="33D04BE7" w14:textId="77777777" w:rsidR="00C354CD" w:rsidRDefault="00C354CD" w:rsidP="00AD0E29">
            <w:pPr>
              <w:pStyle w:val="Tableheading"/>
              <w:jc w:val="center"/>
              <w:rPr>
                <w:b/>
                <w:color w:val="FFFFFF" w:themeColor="background1"/>
              </w:rPr>
            </w:pPr>
            <w:r>
              <w:rPr>
                <w:b/>
                <w:color w:val="FFFFFF" w:themeColor="background1"/>
              </w:rPr>
              <w:t>&lt;10m (shallow) or &gt;10m (deep)</w:t>
            </w:r>
          </w:p>
        </w:tc>
        <w:tc>
          <w:tcPr>
            <w:tcW w:w="2470" w:type="dxa"/>
            <w:shd w:val="clear" w:color="auto" w:fill="65876D"/>
          </w:tcPr>
          <w:p w14:paraId="58FCB029" w14:textId="77777777" w:rsidR="00C354CD" w:rsidRDefault="00C354CD" w:rsidP="00AD0E29">
            <w:pPr>
              <w:pStyle w:val="Tableheading"/>
              <w:jc w:val="center"/>
              <w:rPr>
                <w:b/>
                <w:color w:val="FFFFFF" w:themeColor="background1"/>
              </w:rPr>
            </w:pPr>
            <w:r>
              <w:rPr>
                <w:b/>
                <w:color w:val="FFFFFF" w:themeColor="background1"/>
              </w:rPr>
              <w:t xml:space="preserve">Flooding Frequency </w:t>
            </w:r>
          </w:p>
          <w:p w14:paraId="70FF0D87" w14:textId="77777777" w:rsidR="00C354CD" w:rsidRDefault="00C354CD" w:rsidP="00AD0E29">
            <w:pPr>
              <w:pStyle w:val="Tableheading"/>
              <w:jc w:val="center"/>
              <w:rPr>
                <w:b/>
                <w:color w:val="FFFFFF" w:themeColor="background1"/>
              </w:rPr>
            </w:pPr>
            <w:r>
              <w:rPr>
                <w:b/>
                <w:color w:val="FFFFFF" w:themeColor="background1"/>
              </w:rPr>
              <w:t>&gt;1 in 10 (infrequent) or &lt;1 in 10 (frequent)</w:t>
            </w:r>
          </w:p>
        </w:tc>
        <w:tc>
          <w:tcPr>
            <w:tcW w:w="1559" w:type="dxa"/>
            <w:shd w:val="clear" w:color="auto" w:fill="65876D"/>
          </w:tcPr>
          <w:p w14:paraId="03B6DED2" w14:textId="77777777" w:rsidR="00C354CD" w:rsidRPr="00331D81" w:rsidRDefault="00C354CD" w:rsidP="00AD0E29">
            <w:pPr>
              <w:pStyle w:val="Tableheading"/>
              <w:jc w:val="center"/>
              <w:rPr>
                <w:b/>
                <w:color w:val="FFFFFF" w:themeColor="background1"/>
              </w:rPr>
            </w:pPr>
            <w:r>
              <w:rPr>
                <w:b/>
                <w:color w:val="FFFFFF" w:themeColor="background1"/>
              </w:rPr>
              <w:t xml:space="preserve">Risk </w:t>
            </w:r>
          </w:p>
        </w:tc>
      </w:tr>
      <w:tr w:rsidR="00C354CD" w:rsidRPr="00331D81" w14:paraId="0F16A935" w14:textId="77777777" w:rsidTr="00AD0E29">
        <w:trPr>
          <w:trHeight w:val="20"/>
          <w:jc w:val="center"/>
        </w:trPr>
        <w:tc>
          <w:tcPr>
            <w:tcW w:w="2843" w:type="dxa"/>
            <w:vAlign w:val="bottom"/>
          </w:tcPr>
          <w:p w14:paraId="1626687C" w14:textId="77777777" w:rsidR="00C354CD" w:rsidRPr="00331D81" w:rsidRDefault="00C354CD" w:rsidP="00AD0E29">
            <w:pPr>
              <w:pStyle w:val="Tablesmalltext"/>
              <w:jc w:val="center"/>
              <w:rPr>
                <w:rFonts w:cs="Arial"/>
                <w:color w:val="000000"/>
                <w:szCs w:val="20"/>
              </w:rPr>
            </w:pPr>
            <w:r w:rsidRPr="003D48FD">
              <w:rPr>
                <w:rFonts w:eastAsia="Times New Roman" w:cs="Arial"/>
                <w:sz w:val="20"/>
                <w:szCs w:val="20"/>
                <w:lang w:eastAsia="en-AU"/>
              </w:rPr>
              <w:t>Saline</w:t>
            </w:r>
          </w:p>
        </w:tc>
        <w:tc>
          <w:tcPr>
            <w:tcW w:w="1770" w:type="dxa"/>
            <w:vAlign w:val="bottom"/>
          </w:tcPr>
          <w:p w14:paraId="5A8308BB" w14:textId="77777777" w:rsidR="00C354CD" w:rsidRPr="00331D81" w:rsidRDefault="00C354CD" w:rsidP="00AD0E29">
            <w:pPr>
              <w:pStyle w:val="Tablesmalltext"/>
              <w:jc w:val="center"/>
              <w:rPr>
                <w:rFonts w:cs="Arial"/>
                <w:color w:val="000000"/>
                <w:szCs w:val="20"/>
              </w:rPr>
            </w:pPr>
            <w:r w:rsidRPr="003D48FD">
              <w:rPr>
                <w:rFonts w:eastAsia="Times New Roman" w:cs="Arial"/>
                <w:sz w:val="20"/>
                <w:szCs w:val="20"/>
                <w:lang w:eastAsia="en-AU"/>
              </w:rPr>
              <w:t>Shallow</w:t>
            </w:r>
          </w:p>
        </w:tc>
        <w:tc>
          <w:tcPr>
            <w:tcW w:w="2470" w:type="dxa"/>
            <w:vAlign w:val="bottom"/>
          </w:tcPr>
          <w:p w14:paraId="6FF2C3CC" w14:textId="77777777" w:rsidR="00C354CD" w:rsidRPr="00331D81" w:rsidRDefault="00C354CD" w:rsidP="00AD0E29">
            <w:pPr>
              <w:pStyle w:val="Tablesmalltext"/>
              <w:jc w:val="center"/>
              <w:rPr>
                <w:rFonts w:cs="Arial"/>
                <w:color w:val="000000"/>
                <w:szCs w:val="20"/>
              </w:rPr>
            </w:pPr>
            <w:r>
              <w:rPr>
                <w:rFonts w:eastAsia="Times New Roman" w:cs="Arial"/>
                <w:sz w:val="20"/>
                <w:szCs w:val="20"/>
                <w:lang w:eastAsia="en-AU"/>
              </w:rPr>
              <w:t>Infrequent</w:t>
            </w:r>
          </w:p>
        </w:tc>
        <w:tc>
          <w:tcPr>
            <w:tcW w:w="1559" w:type="dxa"/>
            <w:vAlign w:val="bottom"/>
          </w:tcPr>
          <w:p w14:paraId="4F4E6F75" w14:textId="77777777" w:rsidR="00C354CD" w:rsidRPr="004A2419" w:rsidRDefault="00C354CD" w:rsidP="00AD0E29">
            <w:pPr>
              <w:pStyle w:val="Tablesmalltext"/>
              <w:jc w:val="center"/>
              <w:rPr>
                <w:rFonts w:cs="Arial"/>
                <w:color w:val="000000"/>
                <w:sz w:val="20"/>
                <w:szCs w:val="20"/>
              </w:rPr>
            </w:pPr>
            <w:r w:rsidRPr="004A2419">
              <w:rPr>
                <w:rFonts w:eastAsia="Times New Roman" w:cs="Arial"/>
                <w:color w:val="9C0006"/>
                <w:sz w:val="20"/>
                <w:szCs w:val="20"/>
                <w:lang w:eastAsia="en-AU"/>
              </w:rPr>
              <w:t>At Risk</w:t>
            </w:r>
          </w:p>
        </w:tc>
      </w:tr>
      <w:tr w:rsidR="00C354CD" w:rsidRPr="00331D81" w14:paraId="39EE8A85" w14:textId="77777777" w:rsidTr="00AD0E29">
        <w:trPr>
          <w:trHeight w:val="20"/>
          <w:jc w:val="center"/>
        </w:trPr>
        <w:tc>
          <w:tcPr>
            <w:tcW w:w="2843" w:type="dxa"/>
            <w:vAlign w:val="bottom"/>
          </w:tcPr>
          <w:p w14:paraId="73661797" w14:textId="77777777" w:rsidR="00C354CD" w:rsidRPr="00331D81" w:rsidRDefault="00C354CD" w:rsidP="00AD0E29">
            <w:pPr>
              <w:pStyle w:val="Tablesmalltext"/>
              <w:jc w:val="center"/>
              <w:rPr>
                <w:rFonts w:cs="Arial"/>
                <w:color w:val="000000"/>
                <w:szCs w:val="20"/>
              </w:rPr>
            </w:pPr>
            <w:r w:rsidRPr="003D48FD">
              <w:rPr>
                <w:rFonts w:eastAsia="Times New Roman" w:cs="Arial"/>
                <w:sz w:val="20"/>
                <w:szCs w:val="20"/>
                <w:lang w:eastAsia="en-AU"/>
              </w:rPr>
              <w:t>Saline</w:t>
            </w:r>
          </w:p>
        </w:tc>
        <w:tc>
          <w:tcPr>
            <w:tcW w:w="1770" w:type="dxa"/>
            <w:vAlign w:val="bottom"/>
          </w:tcPr>
          <w:p w14:paraId="2EA3E4AE" w14:textId="77777777" w:rsidR="00C354CD" w:rsidRPr="00331D81" w:rsidRDefault="00C354CD" w:rsidP="00AD0E29">
            <w:pPr>
              <w:pStyle w:val="Tablesmalltext"/>
              <w:jc w:val="center"/>
              <w:rPr>
                <w:rFonts w:cs="Arial"/>
                <w:color w:val="000000"/>
                <w:szCs w:val="20"/>
              </w:rPr>
            </w:pPr>
            <w:r w:rsidRPr="003D48FD">
              <w:rPr>
                <w:rFonts w:eastAsia="Times New Roman" w:cs="Arial"/>
                <w:sz w:val="20"/>
                <w:szCs w:val="20"/>
                <w:lang w:eastAsia="en-AU"/>
              </w:rPr>
              <w:t>Shallow</w:t>
            </w:r>
          </w:p>
        </w:tc>
        <w:tc>
          <w:tcPr>
            <w:tcW w:w="2470" w:type="dxa"/>
            <w:vAlign w:val="bottom"/>
          </w:tcPr>
          <w:p w14:paraId="6088C58B" w14:textId="77777777" w:rsidR="00C354CD" w:rsidRPr="00331D81" w:rsidRDefault="00C354CD" w:rsidP="00AD0E29">
            <w:pPr>
              <w:pStyle w:val="Tablesmalltext"/>
              <w:jc w:val="center"/>
              <w:rPr>
                <w:rFonts w:cs="Arial"/>
                <w:color w:val="000000"/>
                <w:szCs w:val="20"/>
              </w:rPr>
            </w:pPr>
            <w:r>
              <w:rPr>
                <w:rFonts w:eastAsia="Times New Roman" w:cs="Arial"/>
                <w:sz w:val="20"/>
                <w:szCs w:val="20"/>
                <w:lang w:eastAsia="en-AU"/>
              </w:rPr>
              <w:t>Frequent</w:t>
            </w:r>
          </w:p>
        </w:tc>
        <w:tc>
          <w:tcPr>
            <w:tcW w:w="1559" w:type="dxa"/>
          </w:tcPr>
          <w:p w14:paraId="7A0F59A2" w14:textId="77777777" w:rsidR="00C354CD" w:rsidRPr="004A2419" w:rsidRDefault="00C354CD" w:rsidP="00AD0E29">
            <w:pPr>
              <w:pStyle w:val="Tablesmalltext"/>
              <w:jc w:val="center"/>
              <w:rPr>
                <w:rFonts w:cs="Arial"/>
                <w:color w:val="000000"/>
                <w:sz w:val="20"/>
                <w:szCs w:val="20"/>
              </w:rPr>
            </w:pPr>
            <w:r w:rsidRPr="004A2419">
              <w:rPr>
                <w:rFonts w:eastAsia="Times New Roman" w:cs="Arial"/>
                <w:color w:val="9C0006"/>
                <w:sz w:val="20"/>
                <w:szCs w:val="20"/>
                <w:lang w:eastAsia="en-AU"/>
              </w:rPr>
              <w:t>At Risk</w:t>
            </w:r>
          </w:p>
        </w:tc>
      </w:tr>
      <w:tr w:rsidR="00C354CD" w:rsidRPr="00331D81" w14:paraId="3288653B" w14:textId="77777777" w:rsidTr="00AD0E29">
        <w:trPr>
          <w:trHeight w:val="20"/>
          <w:jc w:val="center"/>
        </w:trPr>
        <w:tc>
          <w:tcPr>
            <w:tcW w:w="2843" w:type="dxa"/>
            <w:vAlign w:val="bottom"/>
          </w:tcPr>
          <w:p w14:paraId="0F44F519" w14:textId="77777777" w:rsidR="00C354CD" w:rsidRPr="00331D81" w:rsidRDefault="00C354CD" w:rsidP="00AD0E29">
            <w:pPr>
              <w:pStyle w:val="Tablesmalltext"/>
              <w:jc w:val="center"/>
              <w:rPr>
                <w:rFonts w:cs="Arial"/>
                <w:color w:val="000000"/>
                <w:szCs w:val="20"/>
              </w:rPr>
            </w:pPr>
            <w:r w:rsidRPr="003D48FD">
              <w:rPr>
                <w:rFonts w:eastAsia="Times New Roman" w:cs="Arial"/>
                <w:sz w:val="20"/>
                <w:szCs w:val="20"/>
                <w:lang w:eastAsia="en-AU"/>
              </w:rPr>
              <w:t>Saline</w:t>
            </w:r>
          </w:p>
        </w:tc>
        <w:tc>
          <w:tcPr>
            <w:tcW w:w="1770" w:type="dxa"/>
            <w:vAlign w:val="bottom"/>
          </w:tcPr>
          <w:p w14:paraId="637B7F52" w14:textId="77777777" w:rsidR="00C354CD" w:rsidRPr="00331D81" w:rsidRDefault="00C354CD" w:rsidP="00AD0E29">
            <w:pPr>
              <w:pStyle w:val="Tablesmalltext"/>
              <w:jc w:val="center"/>
              <w:rPr>
                <w:rFonts w:cs="Arial"/>
                <w:color w:val="000000"/>
                <w:szCs w:val="20"/>
              </w:rPr>
            </w:pPr>
            <w:r w:rsidRPr="003D48FD">
              <w:rPr>
                <w:rFonts w:eastAsia="Times New Roman" w:cs="Arial"/>
                <w:sz w:val="20"/>
                <w:szCs w:val="20"/>
                <w:lang w:eastAsia="en-AU"/>
              </w:rPr>
              <w:t>Deep</w:t>
            </w:r>
          </w:p>
        </w:tc>
        <w:tc>
          <w:tcPr>
            <w:tcW w:w="2470" w:type="dxa"/>
            <w:vAlign w:val="bottom"/>
          </w:tcPr>
          <w:p w14:paraId="13D05252" w14:textId="77777777" w:rsidR="00C354CD" w:rsidRPr="00331D81" w:rsidRDefault="00C354CD" w:rsidP="00AD0E29">
            <w:pPr>
              <w:pStyle w:val="Tablesmalltext"/>
              <w:jc w:val="center"/>
              <w:rPr>
                <w:rFonts w:cs="Arial"/>
                <w:color w:val="000000"/>
                <w:szCs w:val="20"/>
              </w:rPr>
            </w:pPr>
            <w:r>
              <w:rPr>
                <w:rFonts w:eastAsia="Times New Roman" w:cs="Arial"/>
                <w:sz w:val="20"/>
                <w:szCs w:val="20"/>
                <w:lang w:eastAsia="en-AU"/>
              </w:rPr>
              <w:t>Infrequent</w:t>
            </w:r>
          </w:p>
        </w:tc>
        <w:tc>
          <w:tcPr>
            <w:tcW w:w="1559" w:type="dxa"/>
          </w:tcPr>
          <w:p w14:paraId="39F2CBFC" w14:textId="77777777" w:rsidR="00C354CD" w:rsidRPr="004A2419" w:rsidRDefault="00C354CD" w:rsidP="00AD0E29">
            <w:pPr>
              <w:pStyle w:val="Tablesmalltext"/>
              <w:jc w:val="center"/>
              <w:rPr>
                <w:rFonts w:cs="Arial"/>
                <w:color w:val="000000"/>
                <w:sz w:val="20"/>
                <w:szCs w:val="20"/>
              </w:rPr>
            </w:pPr>
            <w:r w:rsidRPr="004A2419">
              <w:rPr>
                <w:rFonts w:eastAsia="Times New Roman" w:cs="Arial"/>
                <w:color w:val="9C0006"/>
                <w:sz w:val="20"/>
                <w:szCs w:val="20"/>
                <w:lang w:eastAsia="en-AU"/>
              </w:rPr>
              <w:t>At Risk</w:t>
            </w:r>
          </w:p>
        </w:tc>
      </w:tr>
      <w:tr w:rsidR="00C354CD" w:rsidRPr="00331D81" w14:paraId="16DF079F" w14:textId="77777777" w:rsidTr="00AD0E29">
        <w:trPr>
          <w:trHeight w:val="20"/>
          <w:jc w:val="center"/>
        </w:trPr>
        <w:tc>
          <w:tcPr>
            <w:tcW w:w="2843" w:type="dxa"/>
            <w:vAlign w:val="bottom"/>
          </w:tcPr>
          <w:p w14:paraId="35A04461" w14:textId="77777777" w:rsidR="00C354CD" w:rsidRPr="00331D81" w:rsidRDefault="00C354CD" w:rsidP="00AD0E29">
            <w:pPr>
              <w:pStyle w:val="Tablesmalltext"/>
              <w:jc w:val="center"/>
              <w:rPr>
                <w:rFonts w:cs="Arial"/>
                <w:color w:val="000000"/>
                <w:szCs w:val="20"/>
              </w:rPr>
            </w:pPr>
            <w:r w:rsidRPr="003D48FD">
              <w:rPr>
                <w:rFonts w:eastAsia="Times New Roman" w:cs="Arial"/>
                <w:sz w:val="20"/>
                <w:szCs w:val="20"/>
                <w:lang w:eastAsia="en-AU"/>
              </w:rPr>
              <w:t>Saline</w:t>
            </w:r>
          </w:p>
        </w:tc>
        <w:tc>
          <w:tcPr>
            <w:tcW w:w="1770" w:type="dxa"/>
            <w:vAlign w:val="bottom"/>
          </w:tcPr>
          <w:p w14:paraId="606BFCB3" w14:textId="77777777" w:rsidR="00C354CD" w:rsidRPr="00331D81" w:rsidRDefault="00C354CD" w:rsidP="00AD0E29">
            <w:pPr>
              <w:pStyle w:val="Tablesmalltext"/>
              <w:jc w:val="center"/>
              <w:rPr>
                <w:rFonts w:cs="Arial"/>
                <w:color w:val="000000"/>
                <w:szCs w:val="20"/>
              </w:rPr>
            </w:pPr>
            <w:r w:rsidRPr="003D48FD">
              <w:rPr>
                <w:rFonts w:eastAsia="Times New Roman" w:cs="Arial"/>
                <w:sz w:val="20"/>
                <w:szCs w:val="20"/>
                <w:lang w:eastAsia="en-AU"/>
              </w:rPr>
              <w:t>Deep</w:t>
            </w:r>
          </w:p>
        </w:tc>
        <w:tc>
          <w:tcPr>
            <w:tcW w:w="2470" w:type="dxa"/>
            <w:vAlign w:val="bottom"/>
          </w:tcPr>
          <w:p w14:paraId="29CA5976" w14:textId="77777777" w:rsidR="00C354CD" w:rsidRPr="00331D81" w:rsidRDefault="00C354CD" w:rsidP="00AD0E29">
            <w:pPr>
              <w:pStyle w:val="Tablesmalltext"/>
              <w:jc w:val="center"/>
              <w:rPr>
                <w:rFonts w:cs="Arial"/>
                <w:color w:val="000000"/>
                <w:szCs w:val="20"/>
              </w:rPr>
            </w:pPr>
            <w:r>
              <w:rPr>
                <w:rFonts w:eastAsia="Times New Roman" w:cs="Arial"/>
                <w:sz w:val="20"/>
                <w:szCs w:val="20"/>
                <w:lang w:eastAsia="en-AU"/>
              </w:rPr>
              <w:t>Frequent</w:t>
            </w:r>
          </w:p>
        </w:tc>
        <w:tc>
          <w:tcPr>
            <w:tcW w:w="1559" w:type="dxa"/>
            <w:vAlign w:val="bottom"/>
          </w:tcPr>
          <w:p w14:paraId="52D6D610" w14:textId="77777777" w:rsidR="00C354CD" w:rsidRPr="004A2419" w:rsidRDefault="00C354CD" w:rsidP="00AD0E29">
            <w:pPr>
              <w:pStyle w:val="Tablesmalltext"/>
              <w:jc w:val="center"/>
              <w:rPr>
                <w:rFonts w:cs="Arial"/>
                <w:color w:val="000000"/>
                <w:sz w:val="20"/>
                <w:szCs w:val="20"/>
              </w:rPr>
            </w:pPr>
            <w:r w:rsidRPr="004A2419">
              <w:rPr>
                <w:rFonts w:eastAsia="Times New Roman" w:cs="Arial"/>
                <w:color w:val="006100"/>
                <w:sz w:val="20"/>
                <w:szCs w:val="20"/>
                <w:lang w:eastAsia="en-AU"/>
              </w:rPr>
              <w:t>Not at Risk</w:t>
            </w:r>
          </w:p>
        </w:tc>
      </w:tr>
      <w:tr w:rsidR="00C354CD" w:rsidRPr="00331D81" w14:paraId="37B62F2B" w14:textId="77777777" w:rsidTr="00AD0E29">
        <w:trPr>
          <w:trHeight w:val="20"/>
          <w:jc w:val="center"/>
        </w:trPr>
        <w:tc>
          <w:tcPr>
            <w:tcW w:w="2843" w:type="dxa"/>
            <w:vAlign w:val="bottom"/>
          </w:tcPr>
          <w:p w14:paraId="05341025" w14:textId="77777777" w:rsidR="00C354CD" w:rsidRPr="00331D81" w:rsidRDefault="00C354CD" w:rsidP="00AD0E29">
            <w:pPr>
              <w:pStyle w:val="Tablesmalltext"/>
              <w:jc w:val="center"/>
              <w:rPr>
                <w:rFonts w:cs="Arial"/>
                <w:color w:val="000000"/>
                <w:szCs w:val="20"/>
              </w:rPr>
            </w:pPr>
            <w:r w:rsidRPr="003D48FD">
              <w:rPr>
                <w:rFonts w:eastAsia="Times New Roman" w:cs="Arial"/>
                <w:sz w:val="20"/>
                <w:szCs w:val="20"/>
                <w:lang w:eastAsia="en-AU"/>
              </w:rPr>
              <w:t>Fresh</w:t>
            </w:r>
          </w:p>
        </w:tc>
        <w:tc>
          <w:tcPr>
            <w:tcW w:w="1770" w:type="dxa"/>
            <w:vAlign w:val="bottom"/>
          </w:tcPr>
          <w:p w14:paraId="395C0374" w14:textId="77777777" w:rsidR="00C354CD" w:rsidRPr="00331D81" w:rsidRDefault="00C354CD" w:rsidP="00AD0E29">
            <w:pPr>
              <w:pStyle w:val="Tablesmalltext"/>
              <w:jc w:val="center"/>
              <w:rPr>
                <w:rFonts w:cs="Arial"/>
                <w:color w:val="000000"/>
                <w:szCs w:val="20"/>
              </w:rPr>
            </w:pPr>
            <w:r w:rsidRPr="003D48FD">
              <w:rPr>
                <w:rFonts w:eastAsia="Times New Roman" w:cs="Arial"/>
                <w:sz w:val="20"/>
                <w:szCs w:val="20"/>
                <w:lang w:eastAsia="en-AU"/>
              </w:rPr>
              <w:t>Shallow</w:t>
            </w:r>
          </w:p>
        </w:tc>
        <w:tc>
          <w:tcPr>
            <w:tcW w:w="2470" w:type="dxa"/>
            <w:vAlign w:val="bottom"/>
          </w:tcPr>
          <w:p w14:paraId="19FD52D5" w14:textId="77777777" w:rsidR="00C354CD" w:rsidRPr="00331D81" w:rsidRDefault="00C354CD" w:rsidP="00AD0E29">
            <w:pPr>
              <w:pStyle w:val="Tablesmalltext"/>
              <w:jc w:val="center"/>
              <w:rPr>
                <w:rFonts w:cs="Arial"/>
                <w:color w:val="000000"/>
                <w:szCs w:val="20"/>
              </w:rPr>
            </w:pPr>
            <w:r>
              <w:rPr>
                <w:rFonts w:eastAsia="Times New Roman" w:cs="Arial"/>
                <w:sz w:val="20"/>
                <w:szCs w:val="20"/>
                <w:lang w:eastAsia="en-AU"/>
              </w:rPr>
              <w:t>Infrequent</w:t>
            </w:r>
          </w:p>
        </w:tc>
        <w:tc>
          <w:tcPr>
            <w:tcW w:w="1559" w:type="dxa"/>
            <w:vAlign w:val="bottom"/>
          </w:tcPr>
          <w:p w14:paraId="265F791E" w14:textId="77777777" w:rsidR="00C354CD" w:rsidRPr="004A2419" w:rsidRDefault="00C354CD" w:rsidP="00AD0E29">
            <w:pPr>
              <w:pStyle w:val="Tablesmalltext"/>
              <w:jc w:val="center"/>
              <w:rPr>
                <w:rFonts w:cs="Arial"/>
                <w:color w:val="000000"/>
                <w:sz w:val="20"/>
                <w:szCs w:val="20"/>
              </w:rPr>
            </w:pPr>
            <w:r w:rsidRPr="004A2419">
              <w:rPr>
                <w:rFonts w:eastAsia="Times New Roman" w:cs="Arial"/>
                <w:color w:val="006100"/>
                <w:sz w:val="20"/>
                <w:szCs w:val="20"/>
                <w:lang w:eastAsia="en-AU"/>
              </w:rPr>
              <w:t>Not at Risk</w:t>
            </w:r>
          </w:p>
        </w:tc>
      </w:tr>
      <w:tr w:rsidR="00C354CD" w:rsidRPr="00331D81" w14:paraId="42B41726" w14:textId="77777777" w:rsidTr="00AD0E29">
        <w:trPr>
          <w:trHeight w:val="20"/>
          <w:jc w:val="center"/>
        </w:trPr>
        <w:tc>
          <w:tcPr>
            <w:tcW w:w="2843" w:type="dxa"/>
            <w:vAlign w:val="bottom"/>
          </w:tcPr>
          <w:p w14:paraId="633C5218" w14:textId="77777777" w:rsidR="00C354CD" w:rsidRPr="00331D81" w:rsidRDefault="00C354CD" w:rsidP="00AD0E29">
            <w:pPr>
              <w:pStyle w:val="Tablesmalltext"/>
              <w:jc w:val="center"/>
              <w:rPr>
                <w:rFonts w:cs="Arial"/>
                <w:color w:val="000000"/>
                <w:szCs w:val="20"/>
              </w:rPr>
            </w:pPr>
            <w:r w:rsidRPr="003D48FD">
              <w:rPr>
                <w:rFonts w:eastAsia="Times New Roman" w:cs="Arial"/>
                <w:sz w:val="20"/>
                <w:szCs w:val="20"/>
                <w:lang w:eastAsia="en-AU"/>
              </w:rPr>
              <w:t>Fresh</w:t>
            </w:r>
          </w:p>
        </w:tc>
        <w:tc>
          <w:tcPr>
            <w:tcW w:w="1770" w:type="dxa"/>
            <w:vAlign w:val="bottom"/>
          </w:tcPr>
          <w:p w14:paraId="1C265BE1" w14:textId="77777777" w:rsidR="00C354CD" w:rsidRPr="00331D81" w:rsidRDefault="00C354CD" w:rsidP="00AD0E29">
            <w:pPr>
              <w:pStyle w:val="Tablesmalltext"/>
              <w:jc w:val="center"/>
              <w:rPr>
                <w:rFonts w:cs="Arial"/>
                <w:color w:val="000000"/>
                <w:szCs w:val="20"/>
              </w:rPr>
            </w:pPr>
            <w:r w:rsidRPr="003D48FD">
              <w:rPr>
                <w:rFonts w:eastAsia="Times New Roman" w:cs="Arial"/>
                <w:sz w:val="20"/>
                <w:szCs w:val="20"/>
                <w:lang w:eastAsia="en-AU"/>
              </w:rPr>
              <w:t>Shallow</w:t>
            </w:r>
          </w:p>
        </w:tc>
        <w:tc>
          <w:tcPr>
            <w:tcW w:w="2470" w:type="dxa"/>
            <w:vAlign w:val="bottom"/>
          </w:tcPr>
          <w:p w14:paraId="069F9591" w14:textId="77777777" w:rsidR="00C354CD" w:rsidRPr="00331D81" w:rsidRDefault="00C354CD" w:rsidP="00AD0E29">
            <w:pPr>
              <w:pStyle w:val="Tablesmalltext"/>
              <w:jc w:val="center"/>
              <w:rPr>
                <w:rFonts w:cs="Arial"/>
                <w:color w:val="000000"/>
                <w:szCs w:val="20"/>
              </w:rPr>
            </w:pPr>
            <w:r>
              <w:rPr>
                <w:rFonts w:eastAsia="Times New Roman" w:cs="Arial"/>
                <w:sz w:val="20"/>
                <w:szCs w:val="20"/>
                <w:lang w:eastAsia="en-AU"/>
              </w:rPr>
              <w:t>Frequent</w:t>
            </w:r>
          </w:p>
        </w:tc>
        <w:tc>
          <w:tcPr>
            <w:tcW w:w="1559" w:type="dxa"/>
            <w:vAlign w:val="bottom"/>
          </w:tcPr>
          <w:p w14:paraId="33399273" w14:textId="77777777" w:rsidR="00C354CD" w:rsidRPr="004A2419" w:rsidRDefault="00C354CD" w:rsidP="00AD0E29">
            <w:pPr>
              <w:pStyle w:val="Tablesmalltext"/>
              <w:jc w:val="center"/>
              <w:rPr>
                <w:rFonts w:cs="Arial"/>
                <w:color w:val="000000"/>
                <w:sz w:val="20"/>
                <w:szCs w:val="20"/>
              </w:rPr>
            </w:pPr>
            <w:r w:rsidRPr="004A2419">
              <w:rPr>
                <w:rFonts w:eastAsia="Times New Roman" w:cs="Arial"/>
                <w:color w:val="006100"/>
                <w:sz w:val="20"/>
                <w:szCs w:val="20"/>
                <w:lang w:eastAsia="en-AU"/>
              </w:rPr>
              <w:t>Not at Risk</w:t>
            </w:r>
          </w:p>
        </w:tc>
      </w:tr>
      <w:tr w:rsidR="00C354CD" w:rsidRPr="00331D81" w14:paraId="0B95B9DB" w14:textId="77777777" w:rsidTr="00AD0E29">
        <w:trPr>
          <w:trHeight w:val="20"/>
          <w:jc w:val="center"/>
        </w:trPr>
        <w:tc>
          <w:tcPr>
            <w:tcW w:w="2843" w:type="dxa"/>
            <w:vAlign w:val="bottom"/>
          </w:tcPr>
          <w:p w14:paraId="11E8F0B0" w14:textId="77777777" w:rsidR="00C354CD" w:rsidRPr="00331D81" w:rsidRDefault="00C354CD" w:rsidP="00AD0E29">
            <w:pPr>
              <w:pStyle w:val="Tablesmalltext"/>
              <w:jc w:val="center"/>
              <w:rPr>
                <w:rFonts w:cs="Arial"/>
                <w:color w:val="000000"/>
                <w:szCs w:val="20"/>
              </w:rPr>
            </w:pPr>
            <w:r w:rsidRPr="003D48FD">
              <w:rPr>
                <w:rFonts w:eastAsia="Times New Roman" w:cs="Arial"/>
                <w:sz w:val="20"/>
                <w:szCs w:val="20"/>
                <w:lang w:eastAsia="en-AU"/>
              </w:rPr>
              <w:t>Fresh</w:t>
            </w:r>
          </w:p>
        </w:tc>
        <w:tc>
          <w:tcPr>
            <w:tcW w:w="1770" w:type="dxa"/>
            <w:vAlign w:val="bottom"/>
          </w:tcPr>
          <w:p w14:paraId="30664849" w14:textId="77777777" w:rsidR="00C354CD" w:rsidRPr="00331D81" w:rsidRDefault="00C354CD" w:rsidP="00AD0E29">
            <w:pPr>
              <w:pStyle w:val="Tablesmalltext"/>
              <w:jc w:val="center"/>
              <w:rPr>
                <w:rFonts w:cs="Arial"/>
                <w:color w:val="000000"/>
                <w:szCs w:val="20"/>
              </w:rPr>
            </w:pPr>
            <w:r w:rsidRPr="003D48FD">
              <w:rPr>
                <w:rFonts w:eastAsia="Times New Roman" w:cs="Arial"/>
                <w:sz w:val="20"/>
                <w:szCs w:val="20"/>
                <w:lang w:eastAsia="en-AU"/>
              </w:rPr>
              <w:t>Deep</w:t>
            </w:r>
          </w:p>
        </w:tc>
        <w:tc>
          <w:tcPr>
            <w:tcW w:w="2470" w:type="dxa"/>
            <w:vAlign w:val="bottom"/>
          </w:tcPr>
          <w:p w14:paraId="5EEFE2C6" w14:textId="77777777" w:rsidR="00C354CD" w:rsidRPr="00331D81" w:rsidRDefault="00C354CD" w:rsidP="00AD0E29">
            <w:pPr>
              <w:pStyle w:val="Tablesmalltext"/>
              <w:jc w:val="center"/>
              <w:rPr>
                <w:rFonts w:cs="Arial"/>
                <w:color w:val="000000"/>
                <w:szCs w:val="20"/>
              </w:rPr>
            </w:pPr>
            <w:r>
              <w:rPr>
                <w:rFonts w:eastAsia="Times New Roman" w:cs="Arial"/>
                <w:sz w:val="20"/>
                <w:szCs w:val="20"/>
                <w:lang w:eastAsia="en-AU"/>
              </w:rPr>
              <w:t>Infrequent</w:t>
            </w:r>
          </w:p>
        </w:tc>
        <w:tc>
          <w:tcPr>
            <w:tcW w:w="1559" w:type="dxa"/>
            <w:vAlign w:val="bottom"/>
          </w:tcPr>
          <w:p w14:paraId="33DB9FFF" w14:textId="77777777" w:rsidR="00C354CD" w:rsidRPr="004A2419" w:rsidRDefault="00C354CD" w:rsidP="00AD0E29">
            <w:pPr>
              <w:pStyle w:val="Tablesmalltext"/>
              <w:jc w:val="center"/>
              <w:rPr>
                <w:rFonts w:cs="Arial"/>
                <w:color w:val="000000"/>
                <w:sz w:val="20"/>
                <w:szCs w:val="20"/>
              </w:rPr>
            </w:pPr>
            <w:r w:rsidRPr="004A2419">
              <w:rPr>
                <w:rFonts w:eastAsia="Times New Roman" w:cs="Arial"/>
                <w:color w:val="9C0006"/>
                <w:sz w:val="20"/>
                <w:szCs w:val="20"/>
                <w:lang w:eastAsia="en-AU"/>
              </w:rPr>
              <w:t>At Risk</w:t>
            </w:r>
          </w:p>
        </w:tc>
      </w:tr>
      <w:tr w:rsidR="00C354CD" w:rsidRPr="00331D81" w14:paraId="1CACF2F3" w14:textId="77777777" w:rsidTr="00AD0E29">
        <w:trPr>
          <w:trHeight w:val="20"/>
          <w:jc w:val="center"/>
        </w:trPr>
        <w:tc>
          <w:tcPr>
            <w:tcW w:w="2843" w:type="dxa"/>
            <w:vAlign w:val="bottom"/>
          </w:tcPr>
          <w:p w14:paraId="0A07AD3A" w14:textId="77777777" w:rsidR="00C354CD" w:rsidRDefault="00C354CD" w:rsidP="00AD0E29">
            <w:pPr>
              <w:pStyle w:val="Tablesmalltext"/>
              <w:jc w:val="center"/>
              <w:rPr>
                <w:rFonts w:cs="Arial"/>
                <w:color w:val="000000"/>
                <w:szCs w:val="20"/>
              </w:rPr>
            </w:pPr>
            <w:r w:rsidRPr="003D48FD">
              <w:rPr>
                <w:rFonts w:eastAsia="Times New Roman" w:cs="Arial"/>
                <w:sz w:val="20"/>
                <w:szCs w:val="20"/>
                <w:lang w:eastAsia="en-AU"/>
              </w:rPr>
              <w:t>Fresh</w:t>
            </w:r>
          </w:p>
        </w:tc>
        <w:tc>
          <w:tcPr>
            <w:tcW w:w="1770" w:type="dxa"/>
            <w:vAlign w:val="bottom"/>
          </w:tcPr>
          <w:p w14:paraId="638D330E" w14:textId="77777777" w:rsidR="00C354CD" w:rsidRPr="00331D81" w:rsidDel="005745FD" w:rsidRDefault="00C354CD" w:rsidP="00AD0E29">
            <w:pPr>
              <w:pStyle w:val="Tablesmalltext"/>
              <w:jc w:val="center"/>
              <w:rPr>
                <w:rFonts w:cs="Arial"/>
                <w:color w:val="000000"/>
                <w:szCs w:val="20"/>
              </w:rPr>
            </w:pPr>
            <w:r w:rsidRPr="003D48FD">
              <w:rPr>
                <w:rFonts w:eastAsia="Times New Roman" w:cs="Arial"/>
                <w:sz w:val="20"/>
                <w:szCs w:val="20"/>
                <w:lang w:eastAsia="en-AU"/>
              </w:rPr>
              <w:t>Deep</w:t>
            </w:r>
          </w:p>
        </w:tc>
        <w:tc>
          <w:tcPr>
            <w:tcW w:w="2470" w:type="dxa"/>
            <w:vAlign w:val="bottom"/>
          </w:tcPr>
          <w:p w14:paraId="3AEC87A3" w14:textId="77777777" w:rsidR="00C354CD" w:rsidRPr="00331D81" w:rsidDel="005745FD" w:rsidRDefault="00C354CD" w:rsidP="00AD0E29">
            <w:pPr>
              <w:pStyle w:val="Tablesmalltext"/>
              <w:jc w:val="center"/>
              <w:rPr>
                <w:rFonts w:cs="Arial"/>
                <w:color w:val="000000"/>
                <w:szCs w:val="20"/>
              </w:rPr>
            </w:pPr>
            <w:r>
              <w:rPr>
                <w:rFonts w:eastAsia="Times New Roman" w:cs="Arial"/>
                <w:sz w:val="20"/>
                <w:szCs w:val="20"/>
                <w:lang w:eastAsia="en-AU"/>
              </w:rPr>
              <w:t>Frequent</w:t>
            </w:r>
          </w:p>
        </w:tc>
        <w:tc>
          <w:tcPr>
            <w:tcW w:w="1559" w:type="dxa"/>
            <w:vAlign w:val="bottom"/>
          </w:tcPr>
          <w:p w14:paraId="1F1C531B" w14:textId="77777777" w:rsidR="00C354CD" w:rsidRPr="004A2419" w:rsidDel="005745FD" w:rsidRDefault="00C354CD" w:rsidP="00AD0E29">
            <w:pPr>
              <w:pStyle w:val="Tablesmalltext"/>
              <w:jc w:val="center"/>
              <w:rPr>
                <w:rFonts w:cs="Arial"/>
                <w:color w:val="000000"/>
                <w:sz w:val="20"/>
                <w:szCs w:val="20"/>
              </w:rPr>
            </w:pPr>
            <w:r w:rsidRPr="004A2419">
              <w:rPr>
                <w:rFonts w:eastAsia="Times New Roman" w:cs="Arial"/>
                <w:color w:val="006100"/>
                <w:sz w:val="20"/>
                <w:szCs w:val="20"/>
                <w:lang w:eastAsia="en-AU"/>
              </w:rPr>
              <w:t>Not at Risk</w:t>
            </w:r>
          </w:p>
        </w:tc>
      </w:tr>
    </w:tbl>
    <w:p w14:paraId="31F11A56" w14:textId="49A4DE9D" w:rsidR="00C354CD" w:rsidRDefault="00C354CD" w:rsidP="00C354CD">
      <w:pPr>
        <w:pStyle w:val="Caption"/>
      </w:pPr>
      <w:bookmarkStart w:id="306" w:name="_Ref507418148"/>
      <w:bookmarkStart w:id="307" w:name="_Toc514068798"/>
      <w:r>
        <w:t xml:space="preserve">Table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Table \* ARABIC \s 1 </w:instrText>
      </w:r>
      <w:r>
        <w:fldChar w:fldCharType="separate"/>
      </w:r>
      <w:r w:rsidR="00BF015B">
        <w:rPr>
          <w:noProof/>
        </w:rPr>
        <w:t>10</w:t>
      </w:r>
      <w:r>
        <w:fldChar w:fldCharType="end"/>
      </w:r>
      <w:bookmarkEnd w:id="306"/>
      <w:r>
        <w:t xml:space="preserve">: Areas of </w:t>
      </w:r>
      <w:r w:rsidR="008344E6">
        <w:t>v</w:t>
      </w:r>
      <w:r>
        <w:t>ulnerable Black Box throughout the Basin</w:t>
      </w:r>
      <w:bookmarkEnd w:id="307"/>
    </w:p>
    <w:tbl>
      <w:tblPr>
        <w:tblStyle w:val="TableGrid"/>
        <w:tblW w:w="8642" w:type="dxa"/>
        <w:jc w:val="center"/>
        <w:tblLook w:val="04A0" w:firstRow="1" w:lastRow="0" w:firstColumn="1" w:lastColumn="0" w:noHBand="0" w:noVBand="1"/>
      </w:tblPr>
      <w:tblGrid>
        <w:gridCol w:w="2843"/>
        <w:gridCol w:w="1770"/>
        <w:gridCol w:w="2470"/>
        <w:gridCol w:w="1559"/>
      </w:tblGrid>
      <w:tr w:rsidR="00C354CD" w:rsidRPr="00331D81" w14:paraId="0470AF7B" w14:textId="77777777" w:rsidTr="00AD0E29">
        <w:trPr>
          <w:trHeight w:val="163"/>
          <w:tblHeader/>
          <w:jc w:val="center"/>
        </w:trPr>
        <w:tc>
          <w:tcPr>
            <w:tcW w:w="2843" w:type="dxa"/>
            <w:shd w:val="clear" w:color="auto" w:fill="65876D"/>
          </w:tcPr>
          <w:p w14:paraId="098C28B7" w14:textId="77777777" w:rsidR="00C354CD" w:rsidRPr="00331D81" w:rsidRDefault="00C354CD" w:rsidP="00AD0E29">
            <w:pPr>
              <w:pStyle w:val="Tableheading"/>
              <w:jc w:val="center"/>
              <w:rPr>
                <w:b/>
                <w:color w:val="FFFFFF" w:themeColor="background1"/>
              </w:rPr>
            </w:pPr>
            <w:r>
              <w:rPr>
                <w:b/>
                <w:color w:val="FFFFFF" w:themeColor="background1"/>
              </w:rPr>
              <w:t>Combination of Stressors</w:t>
            </w:r>
          </w:p>
        </w:tc>
        <w:tc>
          <w:tcPr>
            <w:tcW w:w="1770" w:type="dxa"/>
            <w:shd w:val="clear" w:color="auto" w:fill="65876D"/>
          </w:tcPr>
          <w:p w14:paraId="6102B54B" w14:textId="5B86CAB5" w:rsidR="00C354CD" w:rsidRPr="007525C8" w:rsidRDefault="007525C8" w:rsidP="00AD0E29">
            <w:pPr>
              <w:pStyle w:val="Tableheading"/>
              <w:jc w:val="center"/>
              <w:rPr>
                <w:b/>
                <w:color w:val="FFFFFF" w:themeColor="background1"/>
              </w:rPr>
            </w:pPr>
            <w:r>
              <w:rPr>
                <w:b/>
                <w:color w:val="FFFFFF" w:themeColor="background1"/>
              </w:rPr>
              <w:t>Area (Ha)</w:t>
            </w:r>
          </w:p>
        </w:tc>
        <w:tc>
          <w:tcPr>
            <w:tcW w:w="2470" w:type="dxa"/>
            <w:shd w:val="clear" w:color="auto" w:fill="65876D"/>
          </w:tcPr>
          <w:p w14:paraId="3FF1DCA8" w14:textId="6B04C9BA" w:rsidR="00C354CD" w:rsidRPr="007525C8" w:rsidRDefault="007525C8" w:rsidP="00AD0E29">
            <w:pPr>
              <w:pStyle w:val="Tableheading"/>
              <w:jc w:val="center"/>
              <w:rPr>
                <w:b/>
                <w:color w:val="FFFFFF" w:themeColor="background1"/>
              </w:rPr>
            </w:pPr>
            <w:r>
              <w:rPr>
                <w:b/>
                <w:color w:val="FFFFFF" w:themeColor="background1"/>
              </w:rPr>
              <w:t>%</w:t>
            </w:r>
          </w:p>
        </w:tc>
        <w:tc>
          <w:tcPr>
            <w:tcW w:w="1559" w:type="dxa"/>
            <w:shd w:val="clear" w:color="auto" w:fill="65876D"/>
          </w:tcPr>
          <w:p w14:paraId="3CAAEDC7" w14:textId="77172B2A" w:rsidR="00C354CD" w:rsidRPr="007525C8" w:rsidRDefault="007525C8" w:rsidP="00AD0E29">
            <w:pPr>
              <w:pStyle w:val="Tableheading"/>
              <w:jc w:val="center"/>
              <w:rPr>
                <w:b/>
                <w:color w:val="FFFFFF" w:themeColor="background1"/>
              </w:rPr>
            </w:pPr>
            <w:r>
              <w:rPr>
                <w:b/>
                <w:color w:val="FFFFFF" w:themeColor="background1"/>
              </w:rPr>
              <w:t>Risk</w:t>
            </w:r>
          </w:p>
        </w:tc>
      </w:tr>
      <w:tr w:rsidR="00C354CD" w:rsidRPr="00331D81" w14:paraId="2E31E585" w14:textId="77777777" w:rsidTr="00AD0E29">
        <w:trPr>
          <w:trHeight w:val="20"/>
          <w:jc w:val="center"/>
        </w:trPr>
        <w:tc>
          <w:tcPr>
            <w:tcW w:w="2843" w:type="dxa"/>
            <w:vAlign w:val="bottom"/>
          </w:tcPr>
          <w:p w14:paraId="7208C065" w14:textId="77777777" w:rsidR="00C354CD" w:rsidRPr="007525C8" w:rsidRDefault="00C354CD" w:rsidP="00AD0E29">
            <w:pPr>
              <w:pStyle w:val="Tablesmalltext"/>
              <w:jc w:val="center"/>
              <w:rPr>
                <w:rFonts w:cs="Arial"/>
                <w:color w:val="000000"/>
                <w:sz w:val="20"/>
                <w:szCs w:val="20"/>
              </w:rPr>
            </w:pPr>
            <w:r w:rsidRPr="007525C8">
              <w:rPr>
                <w:rFonts w:cs="Arial"/>
                <w:color w:val="9C0006"/>
                <w:sz w:val="20"/>
                <w:szCs w:val="20"/>
              </w:rPr>
              <w:t>Fresh, Deep, &gt;1in10</w:t>
            </w:r>
          </w:p>
        </w:tc>
        <w:tc>
          <w:tcPr>
            <w:tcW w:w="1770" w:type="dxa"/>
          </w:tcPr>
          <w:p w14:paraId="54C9E42B" w14:textId="77777777" w:rsidR="00C354CD" w:rsidRPr="00472E7D" w:rsidRDefault="00C354CD" w:rsidP="00AD0E29">
            <w:pPr>
              <w:pStyle w:val="Tablesmalltext"/>
              <w:jc w:val="center"/>
              <w:rPr>
                <w:rFonts w:cs="Arial"/>
                <w:sz w:val="20"/>
                <w:szCs w:val="20"/>
              </w:rPr>
            </w:pPr>
            <w:r w:rsidRPr="00472E7D">
              <w:rPr>
                <w:rFonts w:cs="Arial"/>
                <w:sz w:val="20"/>
                <w:szCs w:val="20"/>
              </w:rPr>
              <w:t xml:space="preserve"> 461,025 </w:t>
            </w:r>
          </w:p>
        </w:tc>
        <w:tc>
          <w:tcPr>
            <w:tcW w:w="2470" w:type="dxa"/>
            <w:vAlign w:val="bottom"/>
          </w:tcPr>
          <w:p w14:paraId="60431AAA" w14:textId="77777777" w:rsidR="00C354CD" w:rsidRPr="00331D81" w:rsidRDefault="00C354CD" w:rsidP="00AD0E29">
            <w:pPr>
              <w:pStyle w:val="Tablesmalltext"/>
              <w:jc w:val="center"/>
              <w:rPr>
                <w:rFonts w:cs="Arial"/>
                <w:color w:val="000000"/>
                <w:szCs w:val="20"/>
              </w:rPr>
            </w:pPr>
            <w:r>
              <w:rPr>
                <w:rFonts w:cs="Arial"/>
                <w:sz w:val="20"/>
                <w:szCs w:val="20"/>
              </w:rPr>
              <w:t>33%</w:t>
            </w:r>
          </w:p>
        </w:tc>
        <w:tc>
          <w:tcPr>
            <w:tcW w:w="1559" w:type="dxa"/>
            <w:vMerge w:val="restart"/>
            <w:vAlign w:val="center"/>
          </w:tcPr>
          <w:p w14:paraId="0962CBD2" w14:textId="77777777" w:rsidR="00C354CD" w:rsidRPr="004A2419" w:rsidRDefault="00C354CD" w:rsidP="00AD0E29">
            <w:pPr>
              <w:pStyle w:val="Tablesmalltext"/>
              <w:jc w:val="center"/>
              <w:rPr>
                <w:rFonts w:cs="Arial"/>
                <w:color w:val="000000"/>
                <w:sz w:val="20"/>
                <w:szCs w:val="20"/>
              </w:rPr>
            </w:pPr>
            <w:r>
              <w:rPr>
                <w:rFonts w:cs="Arial"/>
                <w:color w:val="000000"/>
                <w:sz w:val="20"/>
                <w:szCs w:val="20"/>
              </w:rPr>
              <w:t>Total at Risk: 37%</w:t>
            </w:r>
          </w:p>
        </w:tc>
      </w:tr>
      <w:tr w:rsidR="00C354CD" w:rsidRPr="00331D81" w14:paraId="533BF102" w14:textId="77777777" w:rsidTr="00AD0E29">
        <w:trPr>
          <w:trHeight w:val="20"/>
          <w:jc w:val="center"/>
        </w:trPr>
        <w:tc>
          <w:tcPr>
            <w:tcW w:w="2843" w:type="dxa"/>
            <w:vAlign w:val="bottom"/>
          </w:tcPr>
          <w:p w14:paraId="4B3EFBED" w14:textId="77777777" w:rsidR="00C354CD" w:rsidRPr="007525C8" w:rsidRDefault="00C354CD" w:rsidP="00AD0E29">
            <w:pPr>
              <w:pStyle w:val="Tablesmalltext"/>
              <w:jc w:val="center"/>
              <w:rPr>
                <w:rFonts w:cs="Arial"/>
                <w:color w:val="000000"/>
                <w:sz w:val="20"/>
                <w:szCs w:val="20"/>
              </w:rPr>
            </w:pPr>
            <w:r w:rsidRPr="007525C8">
              <w:rPr>
                <w:rFonts w:cs="Arial"/>
                <w:color w:val="9C0006"/>
                <w:sz w:val="20"/>
                <w:szCs w:val="20"/>
              </w:rPr>
              <w:t>Saline, Deep, &gt;1in10</w:t>
            </w:r>
          </w:p>
        </w:tc>
        <w:tc>
          <w:tcPr>
            <w:tcW w:w="1770" w:type="dxa"/>
          </w:tcPr>
          <w:p w14:paraId="4A53A06B" w14:textId="77777777" w:rsidR="00C354CD" w:rsidRPr="00472E7D" w:rsidRDefault="00C354CD" w:rsidP="00AD0E29">
            <w:pPr>
              <w:pStyle w:val="Tablesmalltext"/>
              <w:jc w:val="center"/>
              <w:rPr>
                <w:rFonts w:cs="Arial"/>
                <w:sz w:val="20"/>
                <w:szCs w:val="20"/>
              </w:rPr>
            </w:pPr>
            <w:r w:rsidRPr="00472E7D">
              <w:rPr>
                <w:rFonts w:cs="Arial"/>
                <w:sz w:val="20"/>
                <w:szCs w:val="20"/>
              </w:rPr>
              <w:t xml:space="preserve"> 38,444 </w:t>
            </w:r>
          </w:p>
        </w:tc>
        <w:tc>
          <w:tcPr>
            <w:tcW w:w="2470" w:type="dxa"/>
            <w:vAlign w:val="bottom"/>
          </w:tcPr>
          <w:p w14:paraId="053E033D" w14:textId="77777777" w:rsidR="00C354CD" w:rsidRPr="00331D81" w:rsidRDefault="00C354CD" w:rsidP="00AD0E29">
            <w:pPr>
              <w:pStyle w:val="Tablesmalltext"/>
              <w:jc w:val="center"/>
              <w:rPr>
                <w:rFonts w:cs="Arial"/>
                <w:color w:val="000000"/>
                <w:szCs w:val="20"/>
              </w:rPr>
            </w:pPr>
            <w:r>
              <w:rPr>
                <w:rFonts w:cs="Arial"/>
                <w:sz w:val="20"/>
                <w:szCs w:val="20"/>
              </w:rPr>
              <w:t>3%</w:t>
            </w:r>
          </w:p>
        </w:tc>
        <w:tc>
          <w:tcPr>
            <w:tcW w:w="1559" w:type="dxa"/>
            <w:vMerge/>
            <w:vAlign w:val="center"/>
          </w:tcPr>
          <w:p w14:paraId="370EF0E2" w14:textId="77777777" w:rsidR="00C354CD" w:rsidRPr="004A2419" w:rsidRDefault="00C354CD" w:rsidP="00AD0E29">
            <w:pPr>
              <w:pStyle w:val="Tablesmalltext"/>
              <w:jc w:val="center"/>
              <w:rPr>
                <w:rFonts w:cs="Arial"/>
                <w:color w:val="000000"/>
                <w:sz w:val="20"/>
                <w:szCs w:val="20"/>
              </w:rPr>
            </w:pPr>
          </w:p>
        </w:tc>
      </w:tr>
      <w:tr w:rsidR="00C354CD" w:rsidRPr="00331D81" w14:paraId="794A4ACB" w14:textId="77777777" w:rsidTr="00AD0E29">
        <w:trPr>
          <w:trHeight w:val="20"/>
          <w:jc w:val="center"/>
        </w:trPr>
        <w:tc>
          <w:tcPr>
            <w:tcW w:w="2843" w:type="dxa"/>
            <w:vAlign w:val="bottom"/>
          </w:tcPr>
          <w:p w14:paraId="3D99AA93" w14:textId="77777777" w:rsidR="00C354CD" w:rsidRPr="007525C8" w:rsidRDefault="00C354CD" w:rsidP="00AD0E29">
            <w:pPr>
              <w:pStyle w:val="Tablesmalltext"/>
              <w:jc w:val="center"/>
              <w:rPr>
                <w:rFonts w:cs="Arial"/>
                <w:color w:val="000000"/>
                <w:sz w:val="20"/>
                <w:szCs w:val="20"/>
              </w:rPr>
            </w:pPr>
            <w:r w:rsidRPr="007525C8">
              <w:rPr>
                <w:rFonts w:cs="Arial"/>
                <w:color w:val="9C0006"/>
                <w:sz w:val="20"/>
                <w:szCs w:val="20"/>
              </w:rPr>
              <w:t>Saline, Shallow, &gt;1in10</w:t>
            </w:r>
          </w:p>
        </w:tc>
        <w:tc>
          <w:tcPr>
            <w:tcW w:w="1770" w:type="dxa"/>
          </w:tcPr>
          <w:p w14:paraId="4B31A2DE" w14:textId="77777777" w:rsidR="00C354CD" w:rsidRPr="00472E7D" w:rsidRDefault="00C354CD" w:rsidP="00AD0E29">
            <w:pPr>
              <w:pStyle w:val="Tablesmalltext"/>
              <w:jc w:val="center"/>
              <w:rPr>
                <w:rFonts w:cs="Arial"/>
                <w:sz w:val="20"/>
                <w:szCs w:val="20"/>
              </w:rPr>
            </w:pPr>
            <w:r w:rsidRPr="00472E7D">
              <w:rPr>
                <w:rFonts w:cs="Arial"/>
                <w:sz w:val="20"/>
                <w:szCs w:val="20"/>
              </w:rPr>
              <w:t xml:space="preserve"> 7,139 </w:t>
            </w:r>
          </w:p>
        </w:tc>
        <w:tc>
          <w:tcPr>
            <w:tcW w:w="2470" w:type="dxa"/>
            <w:vAlign w:val="bottom"/>
          </w:tcPr>
          <w:p w14:paraId="4A41F3D7" w14:textId="77777777" w:rsidR="00C354CD" w:rsidRPr="00331D81" w:rsidRDefault="00C354CD" w:rsidP="00AD0E29">
            <w:pPr>
              <w:pStyle w:val="Tablesmalltext"/>
              <w:jc w:val="center"/>
              <w:rPr>
                <w:rFonts w:cs="Arial"/>
                <w:color w:val="000000"/>
                <w:szCs w:val="20"/>
              </w:rPr>
            </w:pPr>
            <w:r>
              <w:rPr>
                <w:rFonts w:cs="Arial"/>
                <w:sz w:val="20"/>
                <w:szCs w:val="20"/>
              </w:rPr>
              <w:t>1%</w:t>
            </w:r>
          </w:p>
        </w:tc>
        <w:tc>
          <w:tcPr>
            <w:tcW w:w="1559" w:type="dxa"/>
            <w:vMerge/>
            <w:vAlign w:val="center"/>
          </w:tcPr>
          <w:p w14:paraId="5F346D19" w14:textId="77777777" w:rsidR="00C354CD" w:rsidRPr="004A2419" w:rsidRDefault="00C354CD" w:rsidP="00AD0E29">
            <w:pPr>
              <w:pStyle w:val="Tablesmalltext"/>
              <w:jc w:val="center"/>
              <w:rPr>
                <w:rFonts w:cs="Arial"/>
                <w:color w:val="000000"/>
                <w:sz w:val="20"/>
                <w:szCs w:val="20"/>
              </w:rPr>
            </w:pPr>
          </w:p>
        </w:tc>
      </w:tr>
      <w:tr w:rsidR="00C354CD" w:rsidRPr="00331D81" w14:paraId="6954E1D5" w14:textId="77777777" w:rsidTr="00AD0E29">
        <w:trPr>
          <w:trHeight w:val="20"/>
          <w:jc w:val="center"/>
        </w:trPr>
        <w:tc>
          <w:tcPr>
            <w:tcW w:w="2843" w:type="dxa"/>
            <w:vAlign w:val="bottom"/>
          </w:tcPr>
          <w:p w14:paraId="32245179" w14:textId="77777777" w:rsidR="00C354CD" w:rsidRPr="007525C8" w:rsidRDefault="00C354CD" w:rsidP="00AD0E29">
            <w:pPr>
              <w:spacing w:after="0" w:line="240" w:lineRule="auto"/>
              <w:jc w:val="center"/>
              <w:rPr>
                <w:rFonts w:cs="Arial"/>
                <w:color w:val="9C0006"/>
                <w:szCs w:val="20"/>
              </w:rPr>
            </w:pPr>
            <w:r w:rsidRPr="007525C8">
              <w:rPr>
                <w:rFonts w:cs="Arial"/>
                <w:color w:val="9C0006"/>
                <w:szCs w:val="20"/>
              </w:rPr>
              <w:t>Saline, Shallow, &lt;1in10</w:t>
            </w:r>
          </w:p>
        </w:tc>
        <w:tc>
          <w:tcPr>
            <w:tcW w:w="1770" w:type="dxa"/>
          </w:tcPr>
          <w:p w14:paraId="36564F06" w14:textId="77777777" w:rsidR="00C354CD" w:rsidRPr="00472E7D" w:rsidDel="005745FD" w:rsidRDefault="00C354CD" w:rsidP="00AD0E29">
            <w:pPr>
              <w:pStyle w:val="Tablesmalltext"/>
              <w:jc w:val="center"/>
              <w:rPr>
                <w:rFonts w:cs="Arial"/>
                <w:sz w:val="20"/>
                <w:szCs w:val="20"/>
              </w:rPr>
            </w:pPr>
            <w:r w:rsidRPr="00472E7D">
              <w:rPr>
                <w:rFonts w:cs="Arial"/>
                <w:sz w:val="20"/>
                <w:szCs w:val="20"/>
              </w:rPr>
              <w:t xml:space="preserve"> 9,290 </w:t>
            </w:r>
          </w:p>
        </w:tc>
        <w:tc>
          <w:tcPr>
            <w:tcW w:w="2470" w:type="dxa"/>
            <w:vAlign w:val="bottom"/>
          </w:tcPr>
          <w:p w14:paraId="28225845" w14:textId="77777777" w:rsidR="00C354CD" w:rsidRPr="00331D81" w:rsidDel="005745FD" w:rsidRDefault="00C354CD" w:rsidP="00AD0E29">
            <w:pPr>
              <w:pStyle w:val="Tablesmalltext"/>
              <w:jc w:val="center"/>
              <w:rPr>
                <w:rFonts w:cs="Arial"/>
                <w:color w:val="000000"/>
                <w:szCs w:val="20"/>
              </w:rPr>
            </w:pPr>
            <w:r>
              <w:rPr>
                <w:rFonts w:cs="Arial"/>
                <w:sz w:val="20"/>
                <w:szCs w:val="20"/>
              </w:rPr>
              <w:t>1%</w:t>
            </w:r>
          </w:p>
        </w:tc>
        <w:tc>
          <w:tcPr>
            <w:tcW w:w="1559" w:type="dxa"/>
            <w:vMerge/>
            <w:vAlign w:val="center"/>
          </w:tcPr>
          <w:p w14:paraId="48A126A8" w14:textId="77777777" w:rsidR="00C354CD" w:rsidRPr="004A2419" w:rsidDel="005745FD" w:rsidRDefault="00C354CD" w:rsidP="00AD0E29">
            <w:pPr>
              <w:pStyle w:val="Tablesmalltext"/>
              <w:jc w:val="center"/>
              <w:rPr>
                <w:rFonts w:cs="Arial"/>
                <w:color w:val="000000"/>
                <w:sz w:val="20"/>
                <w:szCs w:val="20"/>
              </w:rPr>
            </w:pPr>
          </w:p>
        </w:tc>
      </w:tr>
      <w:tr w:rsidR="00C354CD" w:rsidRPr="00331D81" w14:paraId="4572D60D" w14:textId="77777777" w:rsidTr="00AD0E29">
        <w:trPr>
          <w:trHeight w:val="20"/>
          <w:jc w:val="center"/>
        </w:trPr>
        <w:tc>
          <w:tcPr>
            <w:tcW w:w="2843" w:type="dxa"/>
            <w:vAlign w:val="bottom"/>
          </w:tcPr>
          <w:p w14:paraId="78688A4F" w14:textId="77777777" w:rsidR="00C354CD" w:rsidRPr="007525C8" w:rsidRDefault="00C354CD" w:rsidP="00AD0E29">
            <w:pPr>
              <w:pStyle w:val="Tablesmalltext"/>
              <w:jc w:val="center"/>
              <w:rPr>
                <w:rFonts w:cs="Arial"/>
                <w:color w:val="000000"/>
                <w:sz w:val="20"/>
                <w:szCs w:val="20"/>
              </w:rPr>
            </w:pPr>
            <w:r w:rsidRPr="007525C8">
              <w:rPr>
                <w:rFonts w:cs="Arial"/>
                <w:color w:val="006100"/>
                <w:sz w:val="20"/>
                <w:szCs w:val="20"/>
              </w:rPr>
              <w:t>Fresh, Shallow &gt;1in10</w:t>
            </w:r>
          </w:p>
        </w:tc>
        <w:tc>
          <w:tcPr>
            <w:tcW w:w="1770" w:type="dxa"/>
          </w:tcPr>
          <w:p w14:paraId="5D8EE20C" w14:textId="77777777" w:rsidR="00C354CD" w:rsidRPr="00472E7D" w:rsidRDefault="00C354CD" w:rsidP="00AD0E29">
            <w:pPr>
              <w:pStyle w:val="Tablesmalltext"/>
              <w:jc w:val="center"/>
              <w:rPr>
                <w:rFonts w:cs="Arial"/>
                <w:sz w:val="20"/>
                <w:szCs w:val="20"/>
              </w:rPr>
            </w:pPr>
            <w:r w:rsidRPr="00472E7D">
              <w:rPr>
                <w:rFonts w:cs="Arial"/>
                <w:sz w:val="20"/>
                <w:szCs w:val="20"/>
              </w:rPr>
              <w:t xml:space="preserve"> 478,908 </w:t>
            </w:r>
          </w:p>
        </w:tc>
        <w:tc>
          <w:tcPr>
            <w:tcW w:w="2470" w:type="dxa"/>
            <w:vAlign w:val="bottom"/>
          </w:tcPr>
          <w:p w14:paraId="4D82CF2F" w14:textId="77777777" w:rsidR="00C354CD" w:rsidRPr="00331D81" w:rsidRDefault="00C354CD" w:rsidP="00AD0E29">
            <w:pPr>
              <w:pStyle w:val="Tablesmalltext"/>
              <w:jc w:val="center"/>
              <w:rPr>
                <w:rFonts w:cs="Arial"/>
                <w:color w:val="000000"/>
                <w:szCs w:val="20"/>
              </w:rPr>
            </w:pPr>
            <w:r>
              <w:rPr>
                <w:rFonts w:cs="Arial"/>
                <w:sz w:val="20"/>
                <w:szCs w:val="20"/>
              </w:rPr>
              <w:t>34%</w:t>
            </w:r>
          </w:p>
        </w:tc>
        <w:tc>
          <w:tcPr>
            <w:tcW w:w="1559" w:type="dxa"/>
            <w:vMerge w:val="restart"/>
            <w:vAlign w:val="center"/>
          </w:tcPr>
          <w:p w14:paraId="2E531C56" w14:textId="77777777" w:rsidR="00C354CD" w:rsidRPr="004A2419" w:rsidRDefault="00C354CD" w:rsidP="00AD0E29">
            <w:pPr>
              <w:pStyle w:val="Tablesmalltext"/>
              <w:jc w:val="center"/>
              <w:rPr>
                <w:rFonts w:cs="Arial"/>
                <w:color w:val="000000"/>
                <w:sz w:val="20"/>
                <w:szCs w:val="20"/>
              </w:rPr>
            </w:pPr>
            <w:r>
              <w:rPr>
                <w:rFonts w:cs="Arial"/>
                <w:color w:val="000000"/>
                <w:sz w:val="20"/>
                <w:szCs w:val="20"/>
              </w:rPr>
              <w:t>Total not at Risk: 63%</w:t>
            </w:r>
          </w:p>
        </w:tc>
      </w:tr>
      <w:tr w:rsidR="00C354CD" w:rsidRPr="00331D81" w14:paraId="77B8C735" w14:textId="77777777" w:rsidTr="00AD0E29">
        <w:trPr>
          <w:trHeight w:val="20"/>
          <w:jc w:val="center"/>
        </w:trPr>
        <w:tc>
          <w:tcPr>
            <w:tcW w:w="2843" w:type="dxa"/>
            <w:vAlign w:val="bottom"/>
          </w:tcPr>
          <w:p w14:paraId="618A7D26" w14:textId="77777777" w:rsidR="00C354CD" w:rsidRPr="007525C8" w:rsidRDefault="00C354CD" w:rsidP="00AD0E29">
            <w:pPr>
              <w:pStyle w:val="Tablesmalltext"/>
              <w:jc w:val="center"/>
              <w:rPr>
                <w:rFonts w:cs="Arial"/>
                <w:color w:val="000000"/>
                <w:sz w:val="20"/>
                <w:szCs w:val="20"/>
              </w:rPr>
            </w:pPr>
            <w:r w:rsidRPr="007525C8">
              <w:rPr>
                <w:rFonts w:cs="Arial"/>
                <w:color w:val="006100"/>
                <w:sz w:val="20"/>
                <w:szCs w:val="20"/>
              </w:rPr>
              <w:t>Fresh, Deep, &lt;1in10</w:t>
            </w:r>
          </w:p>
        </w:tc>
        <w:tc>
          <w:tcPr>
            <w:tcW w:w="1770" w:type="dxa"/>
          </w:tcPr>
          <w:p w14:paraId="18EFFF23" w14:textId="77777777" w:rsidR="00C354CD" w:rsidRPr="00472E7D" w:rsidRDefault="00C354CD" w:rsidP="00AD0E29">
            <w:pPr>
              <w:pStyle w:val="Tablesmalltext"/>
              <w:jc w:val="center"/>
              <w:rPr>
                <w:rFonts w:cs="Arial"/>
                <w:sz w:val="20"/>
                <w:szCs w:val="20"/>
              </w:rPr>
            </w:pPr>
            <w:r w:rsidRPr="00472E7D">
              <w:rPr>
                <w:rFonts w:cs="Arial"/>
                <w:sz w:val="20"/>
                <w:szCs w:val="20"/>
              </w:rPr>
              <w:t xml:space="preserve"> 162,328 </w:t>
            </w:r>
          </w:p>
        </w:tc>
        <w:tc>
          <w:tcPr>
            <w:tcW w:w="2470" w:type="dxa"/>
            <w:vAlign w:val="bottom"/>
          </w:tcPr>
          <w:p w14:paraId="4A1B9D82" w14:textId="77777777" w:rsidR="00C354CD" w:rsidRPr="00331D81" w:rsidRDefault="00C354CD" w:rsidP="00AD0E29">
            <w:pPr>
              <w:pStyle w:val="Tablesmalltext"/>
              <w:jc w:val="center"/>
              <w:rPr>
                <w:rFonts w:cs="Arial"/>
                <w:color w:val="000000"/>
                <w:szCs w:val="20"/>
              </w:rPr>
            </w:pPr>
            <w:r>
              <w:rPr>
                <w:rFonts w:cs="Arial"/>
                <w:sz w:val="20"/>
                <w:szCs w:val="20"/>
              </w:rPr>
              <w:t>12%</w:t>
            </w:r>
          </w:p>
        </w:tc>
        <w:tc>
          <w:tcPr>
            <w:tcW w:w="1559" w:type="dxa"/>
            <w:vMerge/>
            <w:vAlign w:val="bottom"/>
          </w:tcPr>
          <w:p w14:paraId="20765C1F" w14:textId="77777777" w:rsidR="00C354CD" w:rsidRPr="004A2419" w:rsidRDefault="00C354CD" w:rsidP="00AD0E29">
            <w:pPr>
              <w:pStyle w:val="Tablesmalltext"/>
              <w:jc w:val="center"/>
              <w:rPr>
                <w:rFonts w:cs="Arial"/>
                <w:color w:val="000000"/>
                <w:sz w:val="20"/>
                <w:szCs w:val="20"/>
              </w:rPr>
            </w:pPr>
          </w:p>
        </w:tc>
      </w:tr>
      <w:tr w:rsidR="00C354CD" w:rsidRPr="00331D81" w14:paraId="71DB93E8" w14:textId="77777777" w:rsidTr="00AD0E29">
        <w:trPr>
          <w:trHeight w:val="20"/>
          <w:jc w:val="center"/>
        </w:trPr>
        <w:tc>
          <w:tcPr>
            <w:tcW w:w="2843" w:type="dxa"/>
            <w:vAlign w:val="bottom"/>
          </w:tcPr>
          <w:p w14:paraId="06BF3411" w14:textId="77777777" w:rsidR="00C354CD" w:rsidRPr="007525C8" w:rsidRDefault="00C354CD" w:rsidP="00AD0E29">
            <w:pPr>
              <w:pStyle w:val="Tablesmalltext"/>
              <w:jc w:val="center"/>
              <w:rPr>
                <w:rFonts w:cs="Arial"/>
                <w:color w:val="000000"/>
                <w:sz w:val="20"/>
                <w:szCs w:val="20"/>
              </w:rPr>
            </w:pPr>
            <w:r w:rsidRPr="007525C8">
              <w:rPr>
                <w:rFonts w:cs="Arial"/>
                <w:color w:val="006100"/>
                <w:sz w:val="20"/>
                <w:szCs w:val="20"/>
              </w:rPr>
              <w:t>Fresh, Shallow &lt;1in10</w:t>
            </w:r>
          </w:p>
        </w:tc>
        <w:tc>
          <w:tcPr>
            <w:tcW w:w="1770" w:type="dxa"/>
          </w:tcPr>
          <w:p w14:paraId="703D34BC" w14:textId="77777777" w:rsidR="00C354CD" w:rsidRPr="00472E7D" w:rsidRDefault="00C354CD" w:rsidP="00AD0E29">
            <w:pPr>
              <w:pStyle w:val="Tablesmalltext"/>
              <w:jc w:val="center"/>
              <w:rPr>
                <w:rFonts w:cs="Arial"/>
                <w:sz w:val="20"/>
                <w:szCs w:val="20"/>
              </w:rPr>
            </w:pPr>
            <w:r w:rsidRPr="00472E7D">
              <w:rPr>
                <w:rFonts w:cs="Arial"/>
                <w:sz w:val="20"/>
                <w:szCs w:val="20"/>
              </w:rPr>
              <w:t xml:space="preserve"> 221,852 </w:t>
            </w:r>
          </w:p>
        </w:tc>
        <w:tc>
          <w:tcPr>
            <w:tcW w:w="2470" w:type="dxa"/>
            <w:vAlign w:val="bottom"/>
          </w:tcPr>
          <w:p w14:paraId="771CF1DA" w14:textId="77777777" w:rsidR="00C354CD" w:rsidRPr="00331D81" w:rsidRDefault="00C354CD" w:rsidP="00AD0E29">
            <w:pPr>
              <w:pStyle w:val="Tablesmalltext"/>
              <w:jc w:val="center"/>
              <w:rPr>
                <w:rFonts w:cs="Arial"/>
                <w:color w:val="000000"/>
                <w:szCs w:val="20"/>
              </w:rPr>
            </w:pPr>
            <w:r>
              <w:rPr>
                <w:rFonts w:cs="Arial"/>
                <w:sz w:val="20"/>
                <w:szCs w:val="20"/>
              </w:rPr>
              <w:t>16%</w:t>
            </w:r>
          </w:p>
        </w:tc>
        <w:tc>
          <w:tcPr>
            <w:tcW w:w="1559" w:type="dxa"/>
            <w:vMerge/>
            <w:vAlign w:val="bottom"/>
          </w:tcPr>
          <w:p w14:paraId="2C772538" w14:textId="77777777" w:rsidR="00C354CD" w:rsidRPr="004A2419" w:rsidRDefault="00C354CD" w:rsidP="00AD0E29">
            <w:pPr>
              <w:pStyle w:val="Tablesmalltext"/>
              <w:jc w:val="center"/>
              <w:rPr>
                <w:rFonts w:cs="Arial"/>
                <w:color w:val="000000"/>
                <w:sz w:val="20"/>
                <w:szCs w:val="20"/>
              </w:rPr>
            </w:pPr>
          </w:p>
        </w:tc>
      </w:tr>
      <w:tr w:rsidR="00C354CD" w:rsidRPr="00331D81" w14:paraId="308725FB" w14:textId="77777777" w:rsidTr="00AD0E29">
        <w:trPr>
          <w:trHeight w:val="20"/>
          <w:jc w:val="center"/>
        </w:trPr>
        <w:tc>
          <w:tcPr>
            <w:tcW w:w="2843" w:type="dxa"/>
            <w:vAlign w:val="bottom"/>
          </w:tcPr>
          <w:p w14:paraId="0FC61ED3" w14:textId="77777777" w:rsidR="00C354CD" w:rsidRPr="007525C8" w:rsidRDefault="00C354CD" w:rsidP="00AD0E29">
            <w:pPr>
              <w:pStyle w:val="Tablesmalltext"/>
              <w:jc w:val="center"/>
              <w:rPr>
                <w:rFonts w:cs="Arial"/>
                <w:color w:val="000000"/>
                <w:sz w:val="20"/>
                <w:szCs w:val="20"/>
              </w:rPr>
            </w:pPr>
            <w:r w:rsidRPr="007525C8">
              <w:rPr>
                <w:rFonts w:cs="Arial"/>
                <w:color w:val="006100"/>
                <w:sz w:val="20"/>
                <w:szCs w:val="20"/>
              </w:rPr>
              <w:t>Saline, Deep, &lt;1in10</w:t>
            </w:r>
          </w:p>
        </w:tc>
        <w:tc>
          <w:tcPr>
            <w:tcW w:w="1770" w:type="dxa"/>
          </w:tcPr>
          <w:p w14:paraId="3E993BBA" w14:textId="77777777" w:rsidR="00C354CD" w:rsidRPr="00472E7D" w:rsidRDefault="00C354CD" w:rsidP="00AD0E29">
            <w:pPr>
              <w:pStyle w:val="Tablesmalltext"/>
              <w:jc w:val="center"/>
              <w:rPr>
                <w:rFonts w:cs="Arial"/>
                <w:sz w:val="20"/>
                <w:szCs w:val="20"/>
              </w:rPr>
            </w:pPr>
            <w:r w:rsidRPr="00472E7D">
              <w:rPr>
                <w:rFonts w:cs="Arial"/>
                <w:sz w:val="20"/>
                <w:szCs w:val="20"/>
              </w:rPr>
              <w:t xml:space="preserve"> 10,440 </w:t>
            </w:r>
          </w:p>
        </w:tc>
        <w:tc>
          <w:tcPr>
            <w:tcW w:w="2470" w:type="dxa"/>
            <w:vAlign w:val="bottom"/>
          </w:tcPr>
          <w:p w14:paraId="17951575" w14:textId="77777777" w:rsidR="00C354CD" w:rsidRPr="00331D81" w:rsidRDefault="00C354CD" w:rsidP="00AD0E29">
            <w:pPr>
              <w:pStyle w:val="Tablesmalltext"/>
              <w:jc w:val="center"/>
              <w:rPr>
                <w:rFonts w:cs="Arial"/>
                <w:color w:val="000000"/>
                <w:szCs w:val="20"/>
              </w:rPr>
            </w:pPr>
            <w:r>
              <w:rPr>
                <w:rFonts w:cs="Arial"/>
                <w:sz w:val="20"/>
                <w:szCs w:val="20"/>
              </w:rPr>
              <w:t>1%</w:t>
            </w:r>
          </w:p>
        </w:tc>
        <w:tc>
          <w:tcPr>
            <w:tcW w:w="1559" w:type="dxa"/>
            <w:vMerge/>
            <w:vAlign w:val="bottom"/>
          </w:tcPr>
          <w:p w14:paraId="4D64D689" w14:textId="77777777" w:rsidR="00C354CD" w:rsidRPr="004A2419" w:rsidRDefault="00C354CD" w:rsidP="00AD0E29">
            <w:pPr>
              <w:pStyle w:val="Tablesmalltext"/>
              <w:jc w:val="center"/>
              <w:rPr>
                <w:rFonts w:cs="Arial"/>
                <w:color w:val="000000"/>
                <w:sz w:val="20"/>
                <w:szCs w:val="20"/>
              </w:rPr>
            </w:pPr>
          </w:p>
        </w:tc>
      </w:tr>
    </w:tbl>
    <w:p w14:paraId="4BC8CA5A" w14:textId="1689DA18" w:rsidR="00C354CD" w:rsidRDefault="00C354CD" w:rsidP="00C354CD">
      <w:pPr>
        <w:pStyle w:val="Caption"/>
      </w:pPr>
      <w:bookmarkStart w:id="308" w:name="_Ref507511790"/>
      <w:bookmarkStart w:id="309" w:name="_Toc514068799"/>
      <w:r>
        <w:t xml:space="preserve">Table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Table \* ARABIC \s 1 </w:instrText>
      </w:r>
      <w:r>
        <w:fldChar w:fldCharType="separate"/>
      </w:r>
      <w:r w:rsidR="00BF015B">
        <w:rPr>
          <w:noProof/>
        </w:rPr>
        <w:t>11</w:t>
      </w:r>
      <w:r>
        <w:fldChar w:fldCharType="end"/>
      </w:r>
      <w:bookmarkEnd w:id="308"/>
      <w:r>
        <w:t xml:space="preserve">: Proportion of Black Box throughout the Basin that is </w:t>
      </w:r>
      <w:r w:rsidR="008344E6">
        <w:t>v</w:t>
      </w:r>
      <w:r>
        <w:t>ulnerable (due to any combination of the stressors above)</w:t>
      </w:r>
      <w:bookmarkEnd w:id="309"/>
    </w:p>
    <w:tbl>
      <w:tblPr>
        <w:tblW w:w="9356" w:type="dxa"/>
        <w:jc w:val="center"/>
        <w:tblLook w:val="04A0" w:firstRow="1" w:lastRow="0" w:firstColumn="1" w:lastColumn="0" w:noHBand="0" w:noVBand="1"/>
      </w:tblPr>
      <w:tblGrid>
        <w:gridCol w:w="1960"/>
        <w:gridCol w:w="1442"/>
        <w:gridCol w:w="993"/>
        <w:gridCol w:w="1559"/>
        <w:gridCol w:w="992"/>
        <w:gridCol w:w="1276"/>
        <w:gridCol w:w="1134"/>
      </w:tblGrid>
      <w:tr w:rsidR="00C354CD" w:rsidRPr="0037413D" w14:paraId="3AEA1580" w14:textId="77777777" w:rsidTr="00CF58C7">
        <w:trPr>
          <w:trHeight w:val="438"/>
          <w:jc w:val="center"/>
        </w:trPr>
        <w:tc>
          <w:tcPr>
            <w:tcW w:w="1960" w:type="dxa"/>
            <w:tcBorders>
              <w:top w:val="single" w:sz="4" w:space="0" w:color="auto"/>
              <w:left w:val="single" w:sz="4" w:space="0" w:color="auto"/>
              <w:bottom w:val="single" w:sz="4" w:space="0" w:color="auto"/>
              <w:right w:val="single" w:sz="4" w:space="0" w:color="auto"/>
            </w:tcBorders>
            <w:shd w:val="clear" w:color="000000" w:fill="65876D"/>
            <w:vAlign w:val="center"/>
            <w:hideMark/>
          </w:tcPr>
          <w:p w14:paraId="7107B310" w14:textId="77777777" w:rsidR="00C354CD" w:rsidRPr="0037413D" w:rsidRDefault="00C354CD" w:rsidP="00AD0E29">
            <w:pPr>
              <w:spacing w:after="0" w:line="240" w:lineRule="auto"/>
              <w:jc w:val="center"/>
              <w:rPr>
                <w:rFonts w:ascii="Arial Black" w:eastAsia="Times New Roman" w:hAnsi="Arial Black" w:cs="Arial"/>
                <w:b/>
                <w:bCs/>
                <w:color w:val="FFFFFF"/>
                <w:sz w:val="16"/>
                <w:szCs w:val="16"/>
                <w:lang w:eastAsia="en-AU"/>
              </w:rPr>
            </w:pPr>
            <w:r w:rsidRPr="0037413D">
              <w:rPr>
                <w:rFonts w:ascii="Arial Black" w:eastAsia="Times New Roman" w:hAnsi="Arial Black" w:cs="Arial"/>
                <w:b/>
                <w:bCs/>
                <w:color w:val="FFFFFF" w:themeColor="background1"/>
                <w:sz w:val="16"/>
                <w:szCs w:val="16"/>
                <w:lang w:eastAsia="en-AU"/>
              </w:rPr>
              <w:t>Basin Plan Regions</w:t>
            </w:r>
          </w:p>
        </w:tc>
        <w:tc>
          <w:tcPr>
            <w:tcW w:w="2435" w:type="dxa"/>
            <w:gridSpan w:val="2"/>
            <w:tcBorders>
              <w:top w:val="single" w:sz="4" w:space="0" w:color="auto"/>
              <w:left w:val="nil"/>
              <w:bottom w:val="single" w:sz="4" w:space="0" w:color="auto"/>
              <w:right w:val="single" w:sz="4" w:space="0" w:color="000000"/>
            </w:tcBorders>
            <w:shd w:val="clear" w:color="000000" w:fill="65876D"/>
            <w:vAlign w:val="center"/>
            <w:hideMark/>
          </w:tcPr>
          <w:p w14:paraId="4F6D5AE2" w14:textId="77777777" w:rsidR="00C354CD" w:rsidRPr="0037413D" w:rsidRDefault="00C354CD" w:rsidP="00AD0E29">
            <w:pPr>
              <w:spacing w:after="0" w:line="240" w:lineRule="auto"/>
              <w:jc w:val="center"/>
              <w:rPr>
                <w:rFonts w:ascii="Arial Black" w:eastAsia="Times New Roman" w:hAnsi="Arial Black" w:cs="Arial"/>
                <w:b/>
                <w:bCs/>
                <w:color w:val="FFFFFF"/>
                <w:sz w:val="16"/>
                <w:szCs w:val="16"/>
                <w:lang w:eastAsia="en-AU"/>
              </w:rPr>
            </w:pPr>
            <w:r w:rsidRPr="0037413D">
              <w:rPr>
                <w:rFonts w:ascii="Arial Black" w:eastAsia="Times New Roman" w:hAnsi="Arial Black" w:cs="Arial"/>
                <w:b/>
                <w:bCs/>
                <w:color w:val="FFFFFF" w:themeColor="background1"/>
                <w:sz w:val="16"/>
                <w:szCs w:val="16"/>
                <w:lang w:eastAsia="en-AU"/>
              </w:rPr>
              <w:t>Areas of Vulnerable Black Box</w:t>
            </w:r>
          </w:p>
        </w:tc>
        <w:tc>
          <w:tcPr>
            <w:tcW w:w="2551" w:type="dxa"/>
            <w:gridSpan w:val="2"/>
            <w:tcBorders>
              <w:top w:val="single" w:sz="4" w:space="0" w:color="auto"/>
              <w:left w:val="nil"/>
              <w:bottom w:val="single" w:sz="4" w:space="0" w:color="auto"/>
              <w:right w:val="single" w:sz="4" w:space="0" w:color="000000"/>
            </w:tcBorders>
            <w:shd w:val="clear" w:color="000000" w:fill="65876D"/>
            <w:vAlign w:val="center"/>
            <w:hideMark/>
          </w:tcPr>
          <w:p w14:paraId="3144637F" w14:textId="77777777" w:rsidR="00C354CD" w:rsidRPr="0037413D" w:rsidRDefault="00C354CD" w:rsidP="00AD0E29">
            <w:pPr>
              <w:spacing w:after="0" w:line="240" w:lineRule="auto"/>
              <w:jc w:val="center"/>
              <w:rPr>
                <w:rFonts w:ascii="Arial Black" w:eastAsia="Times New Roman" w:hAnsi="Arial Black" w:cs="Arial"/>
                <w:b/>
                <w:bCs/>
                <w:color w:val="FFFFFF"/>
                <w:sz w:val="16"/>
                <w:szCs w:val="16"/>
                <w:lang w:eastAsia="en-AU"/>
              </w:rPr>
            </w:pPr>
            <w:r w:rsidRPr="0037413D">
              <w:rPr>
                <w:rFonts w:ascii="Arial Black" w:eastAsia="Times New Roman" w:hAnsi="Arial Black" w:cs="Arial"/>
                <w:b/>
                <w:bCs/>
                <w:color w:val="FFFFFF" w:themeColor="background1"/>
                <w:sz w:val="16"/>
                <w:szCs w:val="16"/>
                <w:lang w:eastAsia="en-AU"/>
              </w:rPr>
              <w:t>Areas of Not Vulnerable Black Box</w:t>
            </w:r>
          </w:p>
        </w:tc>
        <w:tc>
          <w:tcPr>
            <w:tcW w:w="2410" w:type="dxa"/>
            <w:gridSpan w:val="2"/>
            <w:tcBorders>
              <w:top w:val="single" w:sz="4" w:space="0" w:color="auto"/>
              <w:left w:val="nil"/>
              <w:bottom w:val="single" w:sz="4" w:space="0" w:color="auto"/>
              <w:right w:val="single" w:sz="4" w:space="0" w:color="000000"/>
            </w:tcBorders>
            <w:shd w:val="clear" w:color="000000" w:fill="65876D"/>
            <w:vAlign w:val="center"/>
            <w:hideMark/>
          </w:tcPr>
          <w:p w14:paraId="27A9DF59" w14:textId="77777777" w:rsidR="00C354CD" w:rsidRPr="0037413D" w:rsidRDefault="00C354CD" w:rsidP="00AD0E29">
            <w:pPr>
              <w:spacing w:after="0" w:line="240" w:lineRule="auto"/>
              <w:jc w:val="center"/>
              <w:rPr>
                <w:rFonts w:ascii="Arial Black" w:eastAsia="Times New Roman" w:hAnsi="Arial Black" w:cs="Arial"/>
                <w:b/>
                <w:bCs/>
                <w:color w:val="FFFFFF"/>
                <w:sz w:val="16"/>
                <w:szCs w:val="16"/>
                <w:lang w:eastAsia="en-AU"/>
              </w:rPr>
            </w:pPr>
            <w:r w:rsidRPr="0037413D">
              <w:rPr>
                <w:rFonts w:ascii="Arial Black" w:eastAsia="Times New Roman" w:hAnsi="Arial Black" w:cs="Arial"/>
                <w:b/>
                <w:bCs/>
                <w:color w:val="FFFFFF" w:themeColor="background1"/>
                <w:sz w:val="16"/>
                <w:szCs w:val="16"/>
                <w:lang w:eastAsia="en-AU"/>
              </w:rPr>
              <w:t>Missing data</w:t>
            </w:r>
          </w:p>
        </w:tc>
      </w:tr>
      <w:tr w:rsidR="00C354CD" w:rsidRPr="0037413D" w14:paraId="051A9B29"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000000" w:fill="65876D"/>
            <w:vAlign w:val="center"/>
            <w:hideMark/>
          </w:tcPr>
          <w:p w14:paraId="4147A3DF" w14:textId="77777777" w:rsidR="00C354CD" w:rsidRPr="0037413D" w:rsidRDefault="00C354CD" w:rsidP="00AD0E29">
            <w:pPr>
              <w:spacing w:after="0" w:line="240" w:lineRule="auto"/>
              <w:jc w:val="center"/>
              <w:rPr>
                <w:rFonts w:ascii="Arial Black" w:eastAsia="Times New Roman" w:hAnsi="Arial Black" w:cs="Arial"/>
                <w:b/>
                <w:bCs/>
                <w:color w:val="FFFFFF"/>
                <w:sz w:val="16"/>
                <w:szCs w:val="16"/>
                <w:lang w:eastAsia="en-AU"/>
              </w:rPr>
            </w:pPr>
            <w:r w:rsidRPr="0037413D">
              <w:rPr>
                <w:rFonts w:ascii="Arial Black" w:eastAsia="Times New Roman" w:hAnsi="Arial Black" w:cs="Arial"/>
                <w:b/>
                <w:bCs/>
                <w:color w:val="FFFFFF" w:themeColor="background1"/>
                <w:sz w:val="16"/>
                <w:szCs w:val="16"/>
                <w:lang w:eastAsia="en-AU"/>
              </w:rPr>
              <w:t> </w:t>
            </w:r>
          </w:p>
        </w:tc>
        <w:tc>
          <w:tcPr>
            <w:tcW w:w="1442" w:type="dxa"/>
            <w:tcBorders>
              <w:top w:val="nil"/>
              <w:left w:val="nil"/>
              <w:bottom w:val="single" w:sz="4" w:space="0" w:color="auto"/>
              <w:right w:val="single" w:sz="4" w:space="0" w:color="auto"/>
            </w:tcBorders>
            <w:shd w:val="clear" w:color="000000" w:fill="65876D"/>
            <w:vAlign w:val="center"/>
            <w:hideMark/>
          </w:tcPr>
          <w:p w14:paraId="746669B7" w14:textId="77777777" w:rsidR="00C354CD" w:rsidRPr="0037413D" w:rsidRDefault="00C354CD" w:rsidP="00AD0E29">
            <w:pPr>
              <w:spacing w:after="0" w:line="240" w:lineRule="auto"/>
              <w:jc w:val="center"/>
              <w:rPr>
                <w:rFonts w:ascii="Arial Black" w:eastAsia="Times New Roman" w:hAnsi="Arial Black" w:cs="Arial"/>
                <w:b/>
                <w:bCs/>
                <w:color w:val="FFFFFF"/>
                <w:sz w:val="16"/>
                <w:szCs w:val="16"/>
                <w:lang w:eastAsia="en-AU"/>
              </w:rPr>
            </w:pPr>
            <w:r w:rsidRPr="0037413D">
              <w:rPr>
                <w:rFonts w:ascii="Arial Black" w:eastAsia="Times New Roman" w:hAnsi="Arial Black" w:cs="Arial"/>
                <w:b/>
                <w:bCs/>
                <w:color w:val="FFFFFF" w:themeColor="background1"/>
                <w:sz w:val="16"/>
                <w:szCs w:val="16"/>
                <w:lang w:eastAsia="en-AU"/>
              </w:rPr>
              <w:t>Area (Ha)</w:t>
            </w:r>
          </w:p>
        </w:tc>
        <w:tc>
          <w:tcPr>
            <w:tcW w:w="993" w:type="dxa"/>
            <w:tcBorders>
              <w:top w:val="nil"/>
              <w:left w:val="nil"/>
              <w:bottom w:val="single" w:sz="4" w:space="0" w:color="auto"/>
              <w:right w:val="single" w:sz="4" w:space="0" w:color="auto"/>
            </w:tcBorders>
            <w:shd w:val="clear" w:color="000000" w:fill="65876D"/>
            <w:vAlign w:val="center"/>
            <w:hideMark/>
          </w:tcPr>
          <w:p w14:paraId="17F28B2B" w14:textId="77777777" w:rsidR="00C354CD" w:rsidRPr="0037413D" w:rsidRDefault="00C354CD" w:rsidP="00AD0E29">
            <w:pPr>
              <w:spacing w:after="0" w:line="240" w:lineRule="auto"/>
              <w:jc w:val="center"/>
              <w:rPr>
                <w:rFonts w:ascii="Arial Black" w:eastAsia="Times New Roman" w:hAnsi="Arial Black" w:cs="Arial"/>
                <w:b/>
                <w:bCs/>
                <w:color w:val="FFFFFF"/>
                <w:sz w:val="16"/>
                <w:szCs w:val="16"/>
                <w:lang w:eastAsia="en-AU"/>
              </w:rPr>
            </w:pPr>
            <w:r w:rsidRPr="0037413D">
              <w:rPr>
                <w:rFonts w:ascii="Arial Black" w:eastAsia="Times New Roman" w:hAnsi="Arial Black" w:cs="Arial"/>
                <w:b/>
                <w:bCs/>
                <w:color w:val="FFFFFF" w:themeColor="background1"/>
                <w:sz w:val="16"/>
                <w:szCs w:val="16"/>
                <w:lang w:eastAsia="en-AU"/>
              </w:rPr>
              <w:t>%</w:t>
            </w:r>
          </w:p>
        </w:tc>
        <w:tc>
          <w:tcPr>
            <w:tcW w:w="1559" w:type="dxa"/>
            <w:tcBorders>
              <w:top w:val="nil"/>
              <w:left w:val="nil"/>
              <w:bottom w:val="single" w:sz="4" w:space="0" w:color="auto"/>
              <w:right w:val="single" w:sz="4" w:space="0" w:color="auto"/>
            </w:tcBorders>
            <w:shd w:val="clear" w:color="000000" w:fill="65876D"/>
            <w:vAlign w:val="center"/>
            <w:hideMark/>
          </w:tcPr>
          <w:p w14:paraId="4ED1A37F" w14:textId="77777777" w:rsidR="00C354CD" w:rsidRPr="0037413D" w:rsidRDefault="00C354CD" w:rsidP="00AD0E29">
            <w:pPr>
              <w:spacing w:after="0" w:line="240" w:lineRule="auto"/>
              <w:jc w:val="center"/>
              <w:rPr>
                <w:rFonts w:ascii="Arial Black" w:eastAsia="Times New Roman" w:hAnsi="Arial Black" w:cs="Arial"/>
                <w:b/>
                <w:bCs/>
                <w:color w:val="FFFFFF"/>
                <w:sz w:val="16"/>
                <w:szCs w:val="16"/>
                <w:lang w:eastAsia="en-AU"/>
              </w:rPr>
            </w:pPr>
            <w:r w:rsidRPr="0037413D">
              <w:rPr>
                <w:rFonts w:ascii="Arial Black" w:eastAsia="Times New Roman" w:hAnsi="Arial Black" w:cs="Arial"/>
                <w:b/>
                <w:bCs/>
                <w:color w:val="FFFFFF" w:themeColor="background1"/>
                <w:sz w:val="16"/>
                <w:szCs w:val="16"/>
                <w:lang w:eastAsia="en-AU"/>
              </w:rPr>
              <w:t>Area (Ha)</w:t>
            </w:r>
          </w:p>
        </w:tc>
        <w:tc>
          <w:tcPr>
            <w:tcW w:w="992" w:type="dxa"/>
            <w:tcBorders>
              <w:top w:val="nil"/>
              <w:left w:val="nil"/>
              <w:bottom w:val="single" w:sz="4" w:space="0" w:color="auto"/>
              <w:right w:val="single" w:sz="4" w:space="0" w:color="auto"/>
            </w:tcBorders>
            <w:shd w:val="clear" w:color="000000" w:fill="65876D"/>
            <w:vAlign w:val="center"/>
            <w:hideMark/>
          </w:tcPr>
          <w:p w14:paraId="5B7A25CA" w14:textId="77777777" w:rsidR="00C354CD" w:rsidRPr="0037413D" w:rsidRDefault="00C354CD" w:rsidP="00AD0E29">
            <w:pPr>
              <w:spacing w:after="0" w:line="240" w:lineRule="auto"/>
              <w:jc w:val="center"/>
              <w:rPr>
                <w:rFonts w:ascii="Arial Black" w:eastAsia="Times New Roman" w:hAnsi="Arial Black" w:cs="Arial"/>
                <w:b/>
                <w:bCs/>
                <w:color w:val="FFFFFF"/>
                <w:sz w:val="16"/>
                <w:szCs w:val="16"/>
                <w:lang w:eastAsia="en-AU"/>
              </w:rPr>
            </w:pPr>
            <w:r w:rsidRPr="0037413D">
              <w:rPr>
                <w:rFonts w:ascii="Arial Black" w:eastAsia="Times New Roman" w:hAnsi="Arial Black" w:cs="Arial"/>
                <w:b/>
                <w:bCs/>
                <w:color w:val="FFFFFF" w:themeColor="background1"/>
                <w:sz w:val="16"/>
                <w:szCs w:val="16"/>
                <w:lang w:eastAsia="en-AU"/>
              </w:rPr>
              <w:t>%</w:t>
            </w:r>
          </w:p>
        </w:tc>
        <w:tc>
          <w:tcPr>
            <w:tcW w:w="1276" w:type="dxa"/>
            <w:tcBorders>
              <w:top w:val="nil"/>
              <w:left w:val="nil"/>
              <w:bottom w:val="single" w:sz="4" w:space="0" w:color="auto"/>
              <w:right w:val="single" w:sz="4" w:space="0" w:color="auto"/>
            </w:tcBorders>
            <w:shd w:val="clear" w:color="000000" w:fill="65876D"/>
            <w:vAlign w:val="center"/>
            <w:hideMark/>
          </w:tcPr>
          <w:p w14:paraId="78088A60" w14:textId="77777777" w:rsidR="00C354CD" w:rsidRPr="0037413D" w:rsidRDefault="00C354CD" w:rsidP="00AD0E29">
            <w:pPr>
              <w:spacing w:after="0" w:line="240" w:lineRule="auto"/>
              <w:jc w:val="center"/>
              <w:rPr>
                <w:rFonts w:ascii="Arial Black" w:eastAsia="Times New Roman" w:hAnsi="Arial Black" w:cs="Arial"/>
                <w:b/>
                <w:bCs/>
                <w:color w:val="FFFFFF"/>
                <w:sz w:val="16"/>
                <w:szCs w:val="16"/>
                <w:lang w:eastAsia="en-AU"/>
              </w:rPr>
            </w:pPr>
            <w:r w:rsidRPr="0037413D">
              <w:rPr>
                <w:rFonts w:ascii="Arial Black" w:eastAsia="Times New Roman" w:hAnsi="Arial Black" w:cs="Arial"/>
                <w:b/>
                <w:bCs/>
                <w:color w:val="FFFFFF" w:themeColor="background1"/>
                <w:sz w:val="16"/>
                <w:szCs w:val="16"/>
                <w:lang w:eastAsia="en-AU"/>
              </w:rPr>
              <w:t>Area (Ha)</w:t>
            </w:r>
          </w:p>
        </w:tc>
        <w:tc>
          <w:tcPr>
            <w:tcW w:w="1134" w:type="dxa"/>
            <w:tcBorders>
              <w:top w:val="nil"/>
              <w:left w:val="nil"/>
              <w:bottom w:val="single" w:sz="4" w:space="0" w:color="auto"/>
              <w:right w:val="single" w:sz="4" w:space="0" w:color="auto"/>
            </w:tcBorders>
            <w:shd w:val="clear" w:color="000000" w:fill="65876D"/>
            <w:vAlign w:val="center"/>
            <w:hideMark/>
          </w:tcPr>
          <w:p w14:paraId="7AB17677" w14:textId="77777777" w:rsidR="00C354CD" w:rsidRPr="0037413D" w:rsidRDefault="00C354CD" w:rsidP="00AD0E29">
            <w:pPr>
              <w:spacing w:after="0" w:line="240" w:lineRule="auto"/>
              <w:jc w:val="center"/>
              <w:rPr>
                <w:rFonts w:ascii="Arial Black" w:eastAsia="Times New Roman" w:hAnsi="Arial Black" w:cs="Arial"/>
                <w:b/>
                <w:bCs/>
                <w:color w:val="FFFFFF"/>
                <w:sz w:val="16"/>
                <w:szCs w:val="16"/>
                <w:lang w:eastAsia="en-AU"/>
              </w:rPr>
            </w:pPr>
            <w:r w:rsidRPr="0037413D">
              <w:rPr>
                <w:rFonts w:ascii="Arial Black" w:eastAsia="Times New Roman" w:hAnsi="Arial Black" w:cs="Arial"/>
                <w:b/>
                <w:bCs/>
                <w:color w:val="FFFFFF" w:themeColor="background1"/>
                <w:sz w:val="16"/>
                <w:szCs w:val="16"/>
                <w:lang w:eastAsia="en-AU"/>
              </w:rPr>
              <w:t>%</w:t>
            </w:r>
          </w:p>
        </w:tc>
      </w:tr>
      <w:tr w:rsidR="00C354CD" w:rsidRPr="0037413D" w14:paraId="734F1BA8"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68BF24F8" w14:textId="77777777"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Barwon-Darling</w:t>
            </w:r>
          </w:p>
        </w:tc>
        <w:tc>
          <w:tcPr>
            <w:tcW w:w="1442" w:type="dxa"/>
            <w:tcBorders>
              <w:top w:val="nil"/>
              <w:left w:val="nil"/>
              <w:bottom w:val="single" w:sz="4" w:space="0" w:color="auto"/>
              <w:right w:val="single" w:sz="4" w:space="0" w:color="auto"/>
            </w:tcBorders>
            <w:shd w:val="clear" w:color="auto" w:fill="auto"/>
            <w:vAlign w:val="center"/>
            <w:hideMark/>
          </w:tcPr>
          <w:p w14:paraId="07FA3D53"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8,900</w:t>
            </w:r>
          </w:p>
        </w:tc>
        <w:tc>
          <w:tcPr>
            <w:tcW w:w="993" w:type="dxa"/>
            <w:tcBorders>
              <w:top w:val="nil"/>
              <w:left w:val="nil"/>
              <w:bottom w:val="single" w:sz="4" w:space="0" w:color="auto"/>
              <w:right w:val="single" w:sz="4" w:space="0" w:color="auto"/>
            </w:tcBorders>
            <w:shd w:val="clear" w:color="auto" w:fill="auto"/>
            <w:vAlign w:val="center"/>
            <w:hideMark/>
          </w:tcPr>
          <w:p w14:paraId="260F5CF7"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14%</w:t>
            </w:r>
          </w:p>
        </w:tc>
        <w:tc>
          <w:tcPr>
            <w:tcW w:w="1559" w:type="dxa"/>
            <w:tcBorders>
              <w:top w:val="nil"/>
              <w:left w:val="nil"/>
              <w:bottom w:val="single" w:sz="4" w:space="0" w:color="auto"/>
              <w:right w:val="single" w:sz="4" w:space="0" w:color="auto"/>
            </w:tcBorders>
            <w:shd w:val="clear" w:color="auto" w:fill="auto"/>
            <w:vAlign w:val="center"/>
            <w:hideMark/>
          </w:tcPr>
          <w:p w14:paraId="366E31F8"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52,960</w:t>
            </w:r>
          </w:p>
        </w:tc>
        <w:tc>
          <w:tcPr>
            <w:tcW w:w="992" w:type="dxa"/>
            <w:tcBorders>
              <w:top w:val="nil"/>
              <w:left w:val="nil"/>
              <w:bottom w:val="single" w:sz="4" w:space="0" w:color="auto"/>
              <w:right w:val="single" w:sz="4" w:space="0" w:color="auto"/>
            </w:tcBorders>
            <w:shd w:val="clear" w:color="auto" w:fill="auto"/>
            <w:vAlign w:val="center"/>
            <w:hideMark/>
          </w:tcPr>
          <w:p w14:paraId="3C7FC073"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86%</w:t>
            </w:r>
          </w:p>
        </w:tc>
        <w:tc>
          <w:tcPr>
            <w:tcW w:w="1276" w:type="dxa"/>
            <w:tcBorders>
              <w:top w:val="nil"/>
              <w:left w:val="nil"/>
              <w:bottom w:val="single" w:sz="4" w:space="0" w:color="auto"/>
              <w:right w:val="single" w:sz="4" w:space="0" w:color="auto"/>
            </w:tcBorders>
            <w:shd w:val="clear" w:color="auto" w:fill="auto"/>
            <w:vAlign w:val="center"/>
            <w:hideMark/>
          </w:tcPr>
          <w:p w14:paraId="0C06CEF4"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7C3E0B94"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r>
      <w:tr w:rsidR="00C354CD" w:rsidRPr="0037413D" w14:paraId="6A43911E"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3CE4F5A4" w14:textId="77777777"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Moonie</w:t>
            </w:r>
          </w:p>
        </w:tc>
        <w:tc>
          <w:tcPr>
            <w:tcW w:w="1442" w:type="dxa"/>
            <w:tcBorders>
              <w:top w:val="nil"/>
              <w:left w:val="nil"/>
              <w:bottom w:val="single" w:sz="4" w:space="0" w:color="auto"/>
              <w:right w:val="single" w:sz="4" w:space="0" w:color="auto"/>
            </w:tcBorders>
            <w:shd w:val="clear" w:color="auto" w:fill="auto"/>
            <w:vAlign w:val="center"/>
            <w:hideMark/>
          </w:tcPr>
          <w:p w14:paraId="36B066ED"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c>
          <w:tcPr>
            <w:tcW w:w="993" w:type="dxa"/>
            <w:tcBorders>
              <w:top w:val="nil"/>
              <w:left w:val="nil"/>
              <w:bottom w:val="single" w:sz="4" w:space="0" w:color="auto"/>
              <w:right w:val="single" w:sz="4" w:space="0" w:color="auto"/>
            </w:tcBorders>
            <w:shd w:val="clear" w:color="auto" w:fill="auto"/>
            <w:vAlign w:val="center"/>
            <w:hideMark/>
          </w:tcPr>
          <w:p w14:paraId="28695D7A"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c>
          <w:tcPr>
            <w:tcW w:w="1559" w:type="dxa"/>
            <w:tcBorders>
              <w:top w:val="nil"/>
              <w:left w:val="nil"/>
              <w:bottom w:val="single" w:sz="4" w:space="0" w:color="auto"/>
              <w:right w:val="single" w:sz="4" w:space="0" w:color="auto"/>
            </w:tcBorders>
            <w:shd w:val="clear" w:color="auto" w:fill="auto"/>
            <w:vAlign w:val="center"/>
            <w:hideMark/>
          </w:tcPr>
          <w:p w14:paraId="6D33E0D1"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8,390</w:t>
            </w:r>
          </w:p>
        </w:tc>
        <w:tc>
          <w:tcPr>
            <w:tcW w:w="992" w:type="dxa"/>
            <w:tcBorders>
              <w:top w:val="nil"/>
              <w:left w:val="nil"/>
              <w:bottom w:val="single" w:sz="4" w:space="0" w:color="auto"/>
              <w:right w:val="single" w:sz="4" w:space="0" w:color="auto"/>
            </w:tcBorders>
            <w:shd w:val="clear" w:color="auto" w:fill="auto"/>
            <w:vAlign w:val="center"/>
            <w:hideMark/>
          </w:tcPr>
          <w:p w14:paraId="7A44A769"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100%</w:t>
            </w:r>
          </w:p>
        </w:tc>
        <w:tc>
          <w:tcPr>
            <w:tcW w:w="1276" w:type="dxa"/>
            <w:tcBorders>
              <w:top w:val="nil"/>
              <w:left w:val="nil"/>
              <w:bottom w:val="single" w:sz="4" w:space="0" w:color="auto"/>
              <w:right w:val="single" w:sz="4" w:space="0" w:color="auto"/>
            </w:tcBorders>
            <w:shd w:val="clear" w:color="auto" w:fill="auto"/>
            <w:vAlign w:val="center"/>
            <w:hideMark/>
          </w:tcPr>
          <w:p w14:paraId="36D76028"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7F909F7E"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r>
      <w:tr w:rsidR="00C354CD" w:rsidRPr="0037413D" w14:paraId="54A7EF12"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3D231EEA" w14:textId="77777777"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Campaspe</w:t>
            </w:r>
          </w:p>
        </w:tc>
        <w:tc>
          <w:tcPr>
            <w:tcW w:w="1442" w:type="dxa"/>
            <w:tcBorders>
              <w:top w:val="nil"/>
              <w:left w:val="nil"/>
              <w:bottom w:val="single" w:sz="4" w:space="0" w:color="auto"/>
              <w:right w:val="single" w:sz="4" w:space="0" w:color="auto"/>
            </w:tcBorders>
            <w:shd w:val="clear" w:color="auto" w:fill="auto"/>
            <w:vAlign w:val="center"/>
            <w:hideMark/>
          </w:tcPr>
          <w:p w14:paraId="0765C9E2"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290</w:t>
            </w:r>
          </w:p>
        </w:tc>
        <w:tc>
          <w:tcPr>
            <w:tcW w:w="993" w:type="dxa"/>
            <w:tcBorders>
              <w:top w:val="nil"/>
              <w:left w:val="nil"/>
              <w:bottom w:val="single" w:sz="4" w:space="0" w:color="auto"/>
              <w:right w:val="single" w:sz="4" w:space="0" w:color="auto"/>
            </w:tcBorders>
            <w:shd w:val="clear" w:color="auto" w:fill="auto"/>
            <w:vAlign w:val="center"/>
            <w:hideMark/>
          </w:tcPr>
          <w:p w14:paraId="66FE9287"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94%</w:t>
            </w:r>
          </w:p>
        </w:tc>
        <w:tc>
          <w:tcPr>
            <w:tcW w:w="1559" w:type="dxa"/>
            <w:tcBorders>
              <w:top w:val="nil"/>
              <w:left w:val="nil"/>
              <w:bottom w:val="single" w:sz="4" w:space="0" w:color="auto"/>
              <w:right w:val="single" w:sz="4" w:space="0" w:color="auto"/>
            </w:tcBorders>
            <w:shd w:val="clear" w:color="auto" w:fill="auto"/>
            <w:vAlign w:val="center"/>
            <w:hideMark/>
          </w:tcPr>
          <w:p w14:paraId="4F48446C"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20</w:t>
            </w:r>
          </w:p>
        </w:tc>
        <w:tc>
          <w:tcPr>
            <w:tcW w:w="992" w:type="dxa"/>
            <w:tcBorders>
              <w:top w:val="nil"/>
              <w:left w:val="nil"/>
              <w:bottom w:val="single" w:sz="4" w:space="0" w:color="auto"/>
              <w:right w:val="single" w:sz="4" w:space="0" w:color="auto"/>
            </w:tcBorders>
            <w:shd w:val="clear" w:color="auto" w:fill="auto"/>
            <w:vAlign w:val="center"/>
            <w:hideMark/>
          </w:tcPr>
          <w:p w14:paraId="2275B4FC"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6%</w:t>
            </w:r>
          </w:p>
        </w:tc>
        <w:tc>
          <w:tcPr>
            <w:tcW w:w="1276" w:type="dxa"/>
            <w:tcBorders>
              <w:top w:val="nil"/>
              <w:left w:val="nil"/>
              <w:bottom w:val="single" w:sz="4" w:space="0" w:color="auto"/>
              <w:right w:val="single" w:sz="4" w:space="0" w:color="auto"/>
            </w:tcBorders>
            <w:shd w:val="clear" w:color="auto" w:fill="auto"/>
            <w:vAlign w:val="center"/>
            <w:hideMark/>
          </w:tcPr>
          <w:p w14:paraId="18ACE18B"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3B555B9A"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r>
      <w:tr w:rsidR="00C354CD" w:rsidRPr="0037413D" w14:paraId="25B97BE0" w14:textId="77777777" w:rsidTr="00AD0E29">
        <w:trPr>
          <w:trHeight w:val="510"/>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98B745C" w14:textId="77777777"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Macquarie-Castle</w:t>
            </w:r>
            <w:r>
              <w:rPr>
                <w:rFonts w:eastAsia="Times New Roman" w:cs="Arial"/>
                <w:szCs w:val="20"/>
                <w:lang w:eastAsia="en-AU"/>
              </w:rPr>
              <w:t>r</w:t>
            </w:r>
            <w:r w:rsidRPr="0037413D">
              <w:rPr>
                <w:rFonts w:eastAsia="Times New Roman" w:cs="Arial"/>
                <w:szCs w:val="20"/>
                <w:lang w:eastAsia="en-AU"/>
              </w:rPr>
              <w:t>eagh</w:t>
            </w:r>
          </w:p>
        </w:tc>
        <w:tc>
          <w:tcPr>
            <w:tcW w:w="1442" w:type="dxa"/>
            <w:tcBorders>
              <w:top w:val="nil"/>
              <w:left w:val="nil"/>
              <w:bottom w:val="single" w:sz="4" w:space="0" w:color="auto"/>
              <w:right w:val="single" w:sz="4" w:space="0" w:color="auto"/>
            </w:tcBorders>
            <w:shd w:val="clear" w:color="auto" w:fill="auto"/>
            <w:vAlign w:val="center"/>
            <w:hideMark/>
          </w:tcPr>
          <w:p w14:paraId="05FBB9B4"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118,230</w:t>
            </w:r>
          </w:p>
        </w:tc>
        <w:tc>
          <w:tcPr>
            <w:tcW w:w="993" w:type="dxa"/>
            <w:tcBorders>
              <w:top w:val="nil"/>
              <w:left w:val="nil"/>
              <w:bottom w:val="single" w:sz="4" w:space="0" w:color="auto"/>
              <w:right w:val="single" w:sz="4" w:space="0" w:color="auto"/>
            </w:tcBorders>
            <w:shd w:val="clear" w:color="auto" w:fill="auto"/>
            <w:vAlign w:val="center"/>
            <w:hideMark/>
          </w:tcPr>
          <w:p w14:paraId="250FDE6C"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63%</w:t>
            </w:r>
          </w:p>
        </w:tc>
        <w:tc>
          <w:tcPr>
            <w:tcW w:w="1559" w:type="dxa"/>
            <w:tcBorders>
              <w:top w:val="nil"/>
              <w:left w:val="nil"/>
              <w:bottom w:val="single" w:sz="4" w:space="0" w:color="auto"/>
              <w:right w:val="single" w:sz="4" w:space="0" w:color="auto"/>
            </w:tcBorders>
            <w:shd w:val="clear" w:color="auto" w:fill="auto"/>
            <w:vAlign w:val="center"/>
            <w:hideMark/>
          </w:tcPr>
          <w:p w14:paraId="6CD49944"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68,990</w:t>
            </w:r>
          </w:p>
        </w:tc>
        <w:tc>
          <w:tcPr>
            <w:tcW w:w="992" w:type="dxa"/>
            <w:tcBorders>
              <w:top w:val="nil"/>
              <w:left w:val="nil"/>
              <w:bottom w:val="single" w:sz="4" w:space="0" w:color="auto"/>
              <w:right w:val="single" w:sz="4" w:space="0" w:color="auto"/>
            </w:tcBorders>
            <w:shd w:val="clear" w:color="auto" w:fill="auto"/>
            <w:vAlign w:val="center"/>
            <w:hideMark/>
          </w:tcPr>
          <w:p w14:paraId="3308C336"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37%</w:t>
            </w:r>
          </w:p>
        </w:tc>
        <w:tc>
          <w:tcPr>
            <w:tcW w:w="1276" w:type="dxa"/>
            <w:tcBorders>
              <w:top w:val="nil"/>
              <w:left w:val="nil"/>
              <w:bottom w:val="single" w:sz="4" w:space="0" w:color="auto"/>
              <w:right w:val="single" w:sz="4" w:space="0" w:color="auto"/>
            </w:tcBorders>
            <w:shd w:val="clear" w:color="auto" w:fill="auto"/>
            <w:vAlign w:val="center"/>
            <w:hideMark/>
          </w:tcPr>
          <w:p w14:paraId="7235ABAE"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100833D7"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r>
      <w:tr w:rsidR="00C354CD" w:rsidRPr="0037413D" w14:paraId="51722B44"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57D1FFC3" w14:textId="77777777"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Lachlan</w:t>
            </w:r>
          </w:p>
        </w:tc>
        <w:tc>
          <w:tcPr>
            <w:tcW w:w="1442" w:type="dxa"/>
            <w:tcBorders>
              <w:top w:val="nil"/>
              <w:left w:val="nil"/>
              <w:bottom w:val="single" w:sz="4" w:space="0" w:color="auto"/>
              <w:right w:val="single" w:sz="4" w:space="0" w:color="auto"/>
            </w:tcBorders>
            <w:shd w:val="clear" w:color="auto" w:fill="auto"/>
            <w:vAlign w:val="center"/>
            <w:hideMark/>
          </w:tcPr>
          <w:p w14:paraId="2E4DCF4E"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17,020</w:t>
            </w:r>
          </w:p>
        </w:tc>
        <w:tc>
          <w:tcPr>
            <w:tcW w:w="993" w:type="dxa"/>
            <w:tcBorders>
              <w:top w:val="nil"/>
              <w:left w:val="nil"/>
              <w:bottom w:val="single" w:sz="4" w:space="0" w:color="auto"/>
              <w:right w:val="single" w:sz="4" w:space="0" w:color="auto"/>
            </w:tcBorders>
            <w:shd w:val="clear" w:color="auto" w:fill="auto"/>
            <w:vAlign w:val="center"/>
            <w:hideMark/>
          </w:tcPr>
          <w:p w14:paraId="7A16B9A6"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22%</w:t>
            </w:r>
          </w:p>
        </w:tc>
        <w:tc>
          <w:tcPr>
            <w:tcW w:w="1559" w:type="dxa"/>
            <w:tcBorders>
              <w:top w:val="nil"/>
              <w:left w:val="nil"/>
              <w:bottom w:val="single" w:sz="4" w:space="0" w:color="auto"/>
              <w:right w:val="single" w:sz="4" w:space="0" w:color="auto"/>
            </w:tcBorders>
            <w:shd w:val="clear" w:color="auto" w:fill="auto"/>
            <w:vAlign w:val="center"/>
            <w:hideMark/>
          </w:tcPr>
          <w:p w14:paraId="54DD1F19"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54,620</w:t>
            </w:r>
          </w:p>
        </w:tc>
        <w:tc>
          <w:tcPr>
            <w:tcW w:w="992" w:type="dxa"/>
            <w:tcBorders>
              <w:top w:val="nil"/>
              <w:left w:val="nil"/>
              <w:bottom w:val="single" w:sz="4" w:space="0" w:color="auto"/>
              <w:right w:val="single" w:sz="4" w:space="0" w:color="auto"/>
            </w:tcBorders>
            <w:shd w:val="clear" w:color="auto" w:fill="auto"/>
            <w:vAlign w:val="center"/>
            <w:hideMark/>
          </w:tcPr>
          <w:p w14:paraId="41FEDD6B"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70%</w:t>
            </w:r>
          </w:p>
        </w:tc>
        <w:tc>
          <w:tcPr>
            <w:tcW w:w="1276" w:type="dxa"/>
            <w:tcBorders>
              <w:top w:val="nil"/>
              <w:left w:val="nil"/>
              <w:bottom w:val="single" w:sz="4" w:space="0" w:color="auto"/>
              <w:right w:val="single" w:sz="4" w:space="0" w:color="auto"/>
            </w:tcBorders>
            <w:shd w:val="clear" w:color="auto" w:fill="auto"/>
            <w:vAlign w:val="center"/>
            <w:hideMark/>
          </w:tcPr>
          <w:p w14:paraId="69813BD1"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6,830</w:t>
            </w:r>
          </w:p>
        </w:tc>
        <w:tc>
          <w:tcPr>
            <w:tcW w:w="1134" w:type="dxa"/>
            <w:tcBorders>
              <w:top w:val="nil"/>
              <w:left w:val="nil"/>
              <w:bottom w:val="single" w:sz="4" w:space="0" w:color="auto"/>
              <w:right w:val="single" w:sz="4" w:space="0" w:color="auto"/>
            </w:tcBorders>
            <w:shd w:val="clear" w:color="auto" w:fill="auto"/>
            <w:vAlign w:val="center"/>
            <w:hideMark/>
          </w:tcPr>
          <w:p w14:paraId="1DE0BAFD"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9%</w:t>
            </w:r>
          </w:p>
        </w:tc>
      </w:tr>
      <w:tr w:rsidR="00C354CD" w:rsidRPr="0037413D" w14:paraId="394BBAE2" w14:textId="77777777" w:rsidTr="00AD0E29">
        <w:trPr>
          <w:trHeight w:val="510"/>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3F2A1C0" w14:textId="77777777"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Eastern Mt Lofty Ranges</w:t>
            </w:r>
          </w:p>
        </w:tc>
        <w:tc>
          <w:tcPr>
            <w:tcW w:w="1442" w:type="dxa"/>
            <w:tcBorders>
              <w:top w:val="nil"/>
              <w:left w:val="nil"/>
              <w:bottom w:val="single" w:sz="4" w:space="0" w:color="auto"/>
              <w:right w:val="single" w:sz="4" w:space="0" w:color="auto"/>
            </w:tcBorders>
            <w:shd w:val="clear" w:color="auto" w:fill="auto"/>
            <w:vAlign w:val="center"/>
            <w:hideMark/>
          </w:tcPr>
          <w:p w14:paraId="2E34189F"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90</w:t>
            </w:r>
          </w:p>
        </w:tc>
        <w:tc>
          <w:tcPr>
            <w:tcW w:w="993" w:type="dxa"/>
            <w:tcBorders>
              <w:top w:val="nil"/>
              <w:left w:val="nil"/>
              <w:bottom w:val="single" w:sz="4" w:space="0" w:color="auto"/>
              <w:right w:val="single" w:sz="4" w:space="0" w:color="auto"/>
            </w:tcBorders>
            <w:shd w:val="clear" w:color="auto" w:fill="auto"/>
            <w:vAlign w:val="center"/>
            <w:hideMark/>
          </w:tcPr>
          <w:p w14:paraId="1FA14562"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23%</w:t>
            </w:r>
          </w:p>
        </w:tc>
        <w:tc>
          <w:tcPr>
            <w:tcW w:w="1559" w:type="dxa"/>
            <w:tcBorders>
              <w:top w:val="nil"/>
              <w:left w:val="nil"/>
              <w:bottom w:val="single" w:sz="4" w:space="0" w:color="auto"/>
              <w:right w:val="single" w:sz="4" w:space="0" w:color="auto"/>
            </w:tcBorders>
            <w:shd w:val="clear" w:color="auto" w:fill="auto"/>
            <w:vAlign w:val="center"/>
            <w:hideMark/>
          </w:tcPr>
          <w:p w14:paraId="08EF8E3B"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290</w:t>
            </w:r>
          </w:p>
        </w:tc>
        <w:tc>
          <w:tcPr>
            <w:tcW w:w="992" w:type="dxa"/>
            <w:tcBorders>
              <w:top w:val="nil"/>
              <w:left w:val="nil"/>
              <w:bottom w:val="single" w:sz="4" w:space="0" w:color="auto"/>
              <w:right w:val="single" w:sz="4" w:space="0" w:color="auto"/>
            </w:tcBorders>
            <w:shd w:val="clear" w:color="auto" w:fill="auto"/>
            <w:vAlign w:val="center"/>
            <w:hideMark/>
          </w:tcPr>
          <w:p w14:paraId="693027CD"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74%</w:t>
            </w:r>
          </w:p>
        </w:tc>
        <w:tc>
          <w:tcPr>
            <w:tcW w:w="1276" w:type="dxa"/>
            <w:tcBorders>
              <w:top w:val="nil"/>
              <w:left w:val="nil"/>
              <w:bottom w:val="single" w:sz="4" w:space="0" w:color="auto"/>
              <w:right w:val="single" w:sz="4" w:space="0" w:color="auto"/>
            </w:tcBorders>
            <w:shd w:val="clear" w:color="auto" w:fill="auto"/>
            <w:vAlign w:val="center"/>
            <w:hideMark/>
          </w:tcPr>
          <w:p w14:paraId="7773D06A"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10</w:t>
            </w:r>
          </w:p>
        </w:tc>
        <w:tc>
          <w:tcPr>
            <w:tcW w:w="1134" w:type="dxa"/>
            <w:tcBorders>
              <w:top w:val="nil"/>
              <w:left w:val="nil"/>
              <w:bottom w:val="single" w:sz="4" w:space="0" w:color="auto"/>
              <w:right w:val="single" w:sz="4" w:space="0" w:color="auto"/>
            </w:tcBorders>
            <w:shd w:val="clear" w:color="auto" w:fill="auto"/>
            <w:vAlign w:val="center"/>
            <w:hideMark/>
          </w:tcPr>
          <w:p w14:paraId="310F76C2"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3%</w:t>
            </w:r>
          </w:p>
        </w:tc>
      </w:tr>
      <w:tr w:rsidR="00C354CD" w:rsidRPr="0037413D" w14:paraId="73D16F29"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94D31BE" w14:textId="77777777"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Murrumbidgee</w:t>
            </w:r>
          </w:p>
        </w:tc>
        <w:tc>
          <w:tcPr>
            <w:tcW w:w="1442" w:type="dxa"/>
            <w:tcBorders>
              <w:top w:val="nil"/>
              <w:left w:val="nil"/>
              <w:bottom w:val="single" w:sz="4" w:space="0" w:color="auto"/>
              <w:right w:val="single" w:sz="4" w:space="0" w:color="auto"/>
            </w:tcBorders>
            <w:shd w:val="clear" w:color="auto" w:fill="auto"/>
            <w:vAlign w:val="center"/>
            <w:hideMark/>
          </w:tcPr>
          <w:p w14:paraId="1179FDFF"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30,630</w:t>
            </w:r>
          </w:p>
        </w:tc>
        <w:tc>
          <w:tcPr>
            <w:tcW w:w="993" w:type="dxa"/>
            <w:tcBorders>
              <w:top w:val="nil"/>
              <w:left w:val="nil"/>
              <w:bottom w:val="single" w:sz="4" w:space="0" w:color="auto"/>
              <w:right w:val="single" w:sz="4" w:space="0" w:color="auto"/>
            </w:tcBorders>
            <w:shd w:val="clear" w:color="auto" w:fill="auto"/>
            <w:vAlign w:val="center"/>
            <w:hideMark/>
          </w:tcPr>
          <w:p w14:paraId="1011ED6A"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41%</w:t>
            </w:r>
          </w:p>
        </w:tc>
        <w:tc>
          <w:tcPr>
            <w:tcW w:w="1559" w:type="dxa"/>
            <w:tcBorders>
              <w:top w:val="nil"/>
              <w:left w:val="nil"/>
              <w:bottom w:val="single" w:sz="4" w:space="0" w:color="auto"/>
              <w:right w:val="single" w:sz="4" w:space="0" w:color="auto"/>
            </w:tcBorders>
            <w:shd w:val="clear" w:color="auto" w:fill="auto"/>
            <w:vAlign w:val="center"/>
            <w:hideMark/>
          </w:tcPr>
          <w:p w14:paraId="1ACDC3D1"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44,540</w:t>
            </w:r>
          </w:p>
        </w:tc>
        <w:tc>
          <w:tcPr>
            <w:tcW w:w="992" w:type="dxa"/>
            <w:tcBorders>
              <w:top w:val="nil"/>
              <w:left w:val="nil"/>
              <w:bottom w:val="single" w:sz="4" w:space="0" w:color="auto"/>
              <w:right w:val="single" w:sz="4" w:space="0" w:color="auto"/>
            </w:tcBorders>
            <w:shd w:val="clear" w:color="auto" w:fill="auto"/>
            <w:vAlign w:val="center"/>
            <w:hideMark/>
          </w:tcPr>
          <w:p w14:paraId="62DDE744"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59%</w:t>
            </w:r>
          </w:p>
        </w:tc>
        <w:tc>
          <w:tcPr>
            <w:tcW w:w="1276" w:type="dxa"/>
            <w:tcBorders>
              <w:top w:val="nil"/>
              <w:left w:val="nil"/>
              <w:bottom w:val="single" w:sz="4" w:space="0" w:color="auto"/>
              <w:right w:val="single" w:sz="4" w:space="0" w:color="auto"/>
            </w:tcBorders>
            <w:shd w:val="clear" w:color="auto" w:fill="auto"/>
            <w:vAlign w:val="center"/>
            <w:hideMark/>
          </w:tcPr>
          <w:p w14:paraId="75FDFA56"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280</w:t>
            </w:r>
          </w:p>
        </w:tc>
        <w:tc>
          <w:tcPr>
            <w:tcW w:w="1134" w:type="dxa"/>
            <w:tcBorders>
              <w:top w:val="nil"/>
              <w:left w:val="nil"/>
              <w:bottom w:val="single" w:sz="4" w:space="0" w:color="auto"/>
              <w:right w:val="single" w:sz="4" w:space="0" w:color="auto"/>
            </w:tcBorders>
            <w:shd w:val="clear" w:color="auto" w:fill="auto"/>
            <w:vAlign w:val="center"/>
            <w:hideMark/>
          </w:tcPr>
          <w:p w14:paraId="2B799EE5"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r>
      <w:tr w:rsidR="00C354CD" w:rsidRPr="0037413D" w14:paraId="6D217E25"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4A26C09" w14:textId="77777777"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Loddon</w:t>
            </w:r>
          </w:p>
        </w:tc>
        <w:tc>
          <w:tcPr>
            <w:tcW w:w="1442" w:type="dxa"/>
            <w:tcBorders>
              <w:top w:val="nil"/>
              <w:left w:val="nil"/>
              <w:bottom w:val="single" w:sz="4" w:space="0" w:color="auto"/>
              <w:right w:val="single" w:sz="4" w:space="0" w:color="auto"/>
            </w:tcBorders>
            <w:shd w:val="clear" w:color="auto" w:fill="auto"/>
            <w:vAlign w:val="center"/>
            <w:hideMark/>
          </w:tcPr>
          <w:p w14:paraId="26175DBA"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5,220</w:t>
            </w:r>
          </w:p>
        </w:tc>
        <w:tc>
          <w:tcPr>
            <w:tcW w:w="993" w:type="dxa"/>
            <w:tcBorders>
              <w:top w:val="nil"/>
              <w:left w:val="nil"/>
              <w:bottom w:val="single" w:sz="4" w:space="0" w:color="auto"/>
              <w:right w:val="single" w:sz="4" w:space="0" w:color="auto"/>
            </w:tcBorders>
            <w:shd w:val="clear" w:color="auto" w:fill="auto"/>
            <w:vAlign w:val="center"/>
            <w:hideMark/>
          </w:tcPr>
          <w:p w14:paraId="697374D8"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92%</w:t>
            </w:r>
          </w:p>
        </w:tc>
        <w:tc>
          <w:tcPr>
            <w:tcW w:w="1559" w:type="dxa"/>
            <w:tcBorders>
              <w:top w:val="nil"/>
              <w:left w:val="nil"/>
              <w:bottom w:val="single" w:sz="4" w:space="0" w:color="auto"/>
              <w:right w:val="single" w:sz="4" w:space="0" w:color="auto"/>
            </w:tcBorders>
            <w:shd w:val="clear" w:color="auto" w:fill="auto"/>
            <w:vAlign w:val="center"/>
            <w:hideMark/>
          </w:tcPr>
          <w:p w14:paraId="0D567F3A"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460</w:t>
            </w:r>
          </w:p>
        </w:tc>
        <w:tc>
          <w:tcPr>
            <w:tcW w:w="992" w:type="dxa"/>
            <w:tcBorders>
              <w:top w:val="nil"/>
              <w:left w:val="nil"/>
              <w:bottom w:val="single" w:sz="4" w:space="0" w:color="auto"/>
              <w:right w:val="single" w:sz="4" w:space="0" w:color="auto"/>
            </w:tcBorders>
            <w:shd w:val="clear" w:color="auto" w:fill="auto"/>
            <w:vAlign w:val="center"/>
            <w:hideMark/>
          </w:tcPr>
          <w:p w14:paraId="4A5B981B"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8%</w:t>
            </w:r>
          </w:p>
        </w:tc>
        <w:tc>
          <w:tcPr>
            <w:tcW w:w="1276" w:type="dxa"/>
            <w:tcBorders>
              <w:top w:val="nil"/>
              <w:left w:val="nil"/>
              <w:bottom w:val="single" w:sz="4" w:space="0" w:color="auto"/>
              <w:right w:val="single" w:sz="4" w:space="0" w:color="auto"/>
            </w:tcBorders>
            <w:shd w:val="clear" w:color="auto" w:fill="auto"/>
            <w:vAlign w:val="center"/>
            <w:hideMark/>
          </w:tcPr>
          <w:p w14:paraId="36E71AF3"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5B01BFA2"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r>
      <w:tr w:rsidR="00C354CD" w:rsidRPr="0037413D" w14:paraId="03EA81DB"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38F1388B" w14:textId="77777777"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Lower Darling</w:t>
            </w:r>
          </w:p>
        </w:tc>
        <w:tc>
          <w:tcPr>
            <w:tcW w:w="1442" w:type="dxa"/>
            <w:tcBorders>
              <w:top w:val="nil"/>
              <w:left w:val="nil"/>
              <w:bottom w:val="single" w:sz="4" w:space="0" w:color="auto"/>
              <w:right w:val="single" w:sz="4" w:space="0" w:color="auto"/>
            </w:tcBorders>
            <w:shd w:val="clear" w:color="auto" w:fill="auto"/>
            <w:vAlign w:val="center"/>
            <w:hideMark/>
          </w:tcPr>
          <w:p w14:paraId="191303F1"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122,090</w:t>
            </w:r>
          </w:p>
        </w:tc>
        <w:tc>
          <w:tcPr>
            <w:tcW w:w="993" w:type="dxa"/>
            <w:tcBorders>
              <w:top w:val="nil"/>
              <w:left w:val="nil"/>
              <w:bottom w:val="single" w:sz="4" w:space="0" w:color="auto"/>
              <w:right w:val="single" w:sz="4" w:space="0" w:color="auto"/>
            </w:tcBorders>
            <w:shd w:val="clear" w:color="auto" w:fill="auto"/>
            <w:vAlign w:val="center"/>
            <w:hideMark/>
          </w:tcPr>
          <w:p w14:paraId="098AE70E"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58%</w:t>
            </w:r>
          </w:p>
        </w:tc>
        <w:tc>
          <w:tcPr>
            <w:tcW w:w="1559" w:type="dxa"/>
            <w:tcBorders>
              <w:top w:val="nil"/>
              <w:left w:val="nil"/>
              <w:bottom w:val="single" w:sz="4" w:space="0" w:color="auto"/>
              <w:right w:val="single" w:sz="4" w:space="0" w:color="auto"/>
            </w:tcBorders>
            <w:shd w:val="clear" w:color="auto" w:fill="auto"/>
            <w:vAlign w:val="center"/>
            <w:hideMark/>
          </w:tcPr>
          <w:p w14:paraId="30CEC7E6"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88,230</w:t>
            </w:r>
          </w:p>
        </w:tc>
        <w:tc>
          <w:tcPr>
            <w:tcW w:w="992" w:type="dxa"/>
            <w:tcBorders>
              <w:top w:val="nil"/>
              <w:left w:val="nil"/>
              <w:bottom w:val="single" w:sz="4" w:space="0" w:color="auto"/>
              <w:right w:val="single" w:sz="4" w:space="0" w:color="auto"/>
            </w:tcBorders>
            <w:shd w:val="clear" w:color="auto" w:fill="auto"/>
            <w:vAlign w:val="center"/>
            <w:hideMark/>
          </w:tcPr>
          <w:p w14:paraId="07D784CC"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42%</w:t>
            </w:r>
          </w:p>
        </w:tc>
        <w:tc>
          <w:tcPr>
            <w:tcW w:w="1276" w:type="dxa"/>
            <w:tcBorders>
              <w:top w:val="nil"/>
              <w:left w:val="nil"/>
              <w:bottom w:val="single" w:sz="4" w:space="0" w:color="auto"/>
              <w:right w:val="single" w:sz="4" w:space="0" w:color="auto"/>
            </w:tcBorders>
            <w:shd w:val="clear" w:color="auto" w:fill="auto"/>
            <w:vAlign w:val="center"/>
            <w:hideMark/>
          </w:tcPr>
          <w:p w14:paraId="720E2919"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244B9D9E"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r>
      <w:tr w:rsidR="00C354CD" w:rsidRPr="0037413D" w14:paraId="141DA98D"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56845EA9" w14:textId="77777777"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Gwydir</w:t>
            </w:r>
          </w:p>
        </w:tc>
        <w:tc>
          <w:tcPr>
            <w:tcW w:w="1442" w:type="dxa"/>
            <w:tcBorders>
              <w:top w:val="nil"/>
              <w:left w:val="nil"/>
              <w:bottom w:val="single" w:sz="4" w:space="0" w:color="auto"/>
              <w:right w:val="single" w:sz="4" w:space="0" w:color="auto"/>
            </w:tcBorders>
            <w:shd w:val="clear" w:color="auto" w:fill="auto"/>
            <w:vAlign w:val="center"/>
            <w:hideMark/>
          </w:tcPr>
          <w:p w14:paraId="2F306AC3"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240</w:t>
            </w:r>
          </w:p>
        </w:tc>
        <w:tc>
          <w:tcPr>
            <w:tcW w:w="993" w:type="dxa"/>
            <w:tcBorders>
              <w:top w:val="nil"/>
              <w:left w:val="nil"/>
              <w:bottom w:val="single" w:sz="4" w:space="0" w:color="auto"/>
              <w:right w:val="single" w:sz="4" w:space="0" w:color="auto"/>
            </w:tcBorders>
            <w:shd w:val="clear" w:color="auto" w:fill="auto"/>
            <w:vAlign w:val="center"/>
            <w:hideMark/>
          </w:tcPr>
          <w:p w14:paraId="6F7C8DDC"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2%</w:t>
            </w:r>
          </w:p>
        </w:tc>
        <w:tc>
          <w:tcPr>
            <w:tcW w:w="1559" w:type="dxa"/>
            <w:tcBorders>
              <w:top w:val="nil"/>
              <w:left w:val="nil"/>
              <w:bottom w:val="single" w:sz="4" w:space="0" w:color="auto"/>
              <w:right w:val="single" w:sz="4" w:space="0" w:color="auto"/>
            </w:tcBorders>
            <w:shd w:val="clear" w:color="auto" w:fill="auto"/>
            <w:vAlign w:val="center"/>
            <w:hideMark/>
          </w:tcPr>
          <w:p w14:paraId="185B14A7"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9,570</w:t>
            </w:r>
          </w:p>
        </w:tc>
        <w:tc>
          <w:tcPr>
            <w:tcW w:w="992" w:type="dxa"/>
            <w:tcBorders>
              <w:top w:val="nil"/>
              <w:left w:val="nil"/>
              <w:bottom w:val="single" w:sz="4" w:space="0" w:color="auto"/>
              <w:right w:val="single" w:sz="4" w:space="0" w:color="auto"/>
            </w:tcBorders>
            <w:shd w:val="clear" w:color="auto" w:fill="auto"/>
            <w:vAlign w:val="center"/>
            <w:hideMark/>
          </w:tcPr>
          <w:p w14:paraId="79341B83"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98%</w:t>
            </w:r>
          </w:p>
        </w:tc>
        <w:tc>
          <w:tcPr>
            <w:tcW w:w="1276" w:type="dxa"/>
            <w:tcBorders>
              <w:top w:val="nil"/>
              <w:left w:val="nil"/>
              <w:bottom w:val="single" w:sz="4" w:space="0" w:color="auto"/>
              <w:right w:val="single" w:sz="4" w:space="0" w:color="auto"/>
            </w:tcBorders>
            <w:shd w:val="clear" w:color="auto" w:fill="auto"/>
            <w:vAlign w:val="center"/>
            <w:hideMark/>
          </w:tcPr>
          <w:p w14:paraId="5F10706A"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14B58E38"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r>
      <w:tr w:rsidR="00C354CD" w:rsidRPr="0037413D" w14:paraId="0EB11B19"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50FE4A55" w14:textId="77777777"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Border Rivers</w:t>
            </w:r>
          </w:p>
        </w:tc>
        <w:tc>
          <w:tcPr>
            <w:tcW w:w="1442" w:type="dxa"/>
            <w:tcBorders>
              <w:top w:val="nil"/>
              <w:left w:val="nil"/>
              <w:bottom w:val="single" w:sz="4" w:space="0" w:color="auto"/>
              <w:right w:val="single" w:sz="4" w:space="0" w:color="auto"/>
            </w:tcBorders>
            <w:shd w:val="clear" w:color="auto" w:fill="auto"/>
            <w:vAlign w:val="center"/>
            <w:hideMark/>
          </w:tcPr>
          <w:p w14:paraId="46767CFD"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760</w:t>
            </w:r>
          </w:p>
        </w:tc>
        <w:tc>
          <w:tcPr>
            <w:tcW w:w="993" w:type="dxa"/>
            <w:tcBorders>
              <w:top w:val="nil"/>
              <w:left w:val="nil"/>
              <w:bottom w:val="single" w:sz="4" w:space="0" w:color="auto"/>
              <w:right w:val="single" w:sz="4" w:space="0" w:color="auto"/>
            </w:tcBorders>
            <w:shd w:val="clear" w:color="auto" w:fill="auto"/>
            <w:vAlign w:val="center"/>
            <w:hideMark/>
          </w:tcPr>
          <w:p w14:paraId="4AA5D525"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7%</w:t>
            </w:r>
          </w:p>
        </w:tc>
        <w:tc>
          <w:tcPr>
            <w:tcW w:w="1559" w:type="dxa"/>
            <w:tcBorders>
              <w:top w:val="nil"/>
              <w:left w:val="nil"/>
              <w:bottom w:val="single" w:sz="4" w:space="0" w:color="auto"/>
              <w:right w:val="single" w:sz="4" w:space="0" w:color="auto"/>
            </w:tcBorders>
            <w:shd w:val="clear" w:color="auto" w:fill="auto"/>
            <w:vAlign w:val="center"/>
            <w:hideMark/>
          </w:tcPr>
          <w:p w14:paraId="56EEC11C"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10,550</w:t>
            </w:r>
          </w:p>
        </w:tc>
        <w:tc>
          <w:tcPr>
            <w:tcW w:w="992" w:type="dxa"/>
            <w:tcBorders>
              <w:top w:val="nil"/>
              <w:left w:val="nil"/>
              <w:bottom w:val="single" w:sz="4" w:space="0" w:color="auto"/>
              <w:right w:val="single" w:sz="4" w:space="0" w:color="auto"/>
            </w:tcBorders>
            <w:shd w:val="clear" w:color="auto" w:fill="auto"/>
            <w:vAlign w:val="center"/>
            <w:hideMark/>
          </w:tcPr>
          <w:p w14:paraId="207332C1"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93%</w:t>
            </w:r>
          </w:p>
        </w:tc>
        <w:tc>
          <w:tcPr>
            <w:tcW w:w="1276" w:type="dxa"/>
            <w:tcBorders>
              <w:top w:val="nil"/>
              <w:left w:val="nil"/>
              <w:bottom w:val="single" w:sz="4" w:space="0" w:color="auto"/>
              <w:right w:val="single" w:sz="4" w:space="0" w:color="auto"/>
            </w:tcBorders>
            <w:shd w:val="clear" w:color="auto" w:fill="auto"/>
            <w:vAlign w:val="center"/>
            <w:hideMark/>
          </w:tcPr>
          <w:p w14:paraId="7E6ED8F2"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7D85BD03"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r>
      <w:tr w:rsidR="00C354CD" w:rsidRPr="0037413D" w14:paraId="4BA127C0"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3B693D10" w14:textId="0A29807F"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Nam</w:t>
            </w:r>
            <w:r w:rsidR="008344E6">
              <w:rPr>
                <w:rFonts w:eastAsia="Times New Roman" w:cs="Arial"/>
                <w:szCs w:val="20"/>
                <w:lang w:eastAsia="en-AU"/>
              </w:rPr>
              <w:t>o</w:t>
            </w:r>
            <w:r w:rsidRPr="0037413D">
              <w:rPr>
                <w:rFonts w:eastAsia="Times New Roman" w:cs="Arial"/>
                <w:szCs w:val="20"/>
                <w:lang w:eastAsia="en-AU"/>
              </w:rPr>
              <w:t>i</w:t>
            </w:r>
          </w:p>
        </w:tc>
        <w:tc>
          <w:tcPr>
            <w:tcW w:w="1442" w:type="dxa"/>
            <w:tcBorders>
              <w:top w:val="nil"/>
              <w:left w:val="nil"/>
              <w:bottom w:val="single" w:sz="4" w:space="0" w:color="auto"/>
              <w:right w:val="single" w:sz="4" w:space="0" w:color="auto"/>
            </w:tcBorders>
            <w:shd w:val="clear" w:color="auto" w:fill="auto"/>
            <w:vAlign w:val="center"/>
            <w:hideMark/>
          </w:tcPr>
          <w:p w14:paraId="4F586461"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2,760</w:t>
            </w:r>
          </w:p>
        </w:tc>
        <w:tc>
          <w:tcPr>
            <w:tcW w:w="993" w:type="dxa"/>
            <w:tcBorders>
              <w:top w:val="nil"/>
              <w:left w:val="nil"/>
              <w:bottom w:val="single" w:sz="4" w:space="0" w:color="auto"/>
              <w:right w:val="single" w:sz="4" w:space="0" w:color="auto"/>
            </w:tcBorders>
            <w:shd w:val="clear" w:color="auto" w:fill="auto"/>
            <w:vAlign w:val="center"/>
            <w:hideMark/>
          </w:tcPr>
          <w:p w14:paraId="0D0FC7B7"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24%</w:t>
            </w:r>
          </w:p>
        </w:tc>
        <w:tc>
          <w:tcPr>
            <w:tcW w:w="1559" w:type="dxa"/>
            <w:tcBorders>
              <w:top w:val="nil"/>
              <w:left w:val="nil"/>
              <w:bottom w:val="single" w:sz="4" w:space="0" w:color="auto"/>
              <w:right w:val="single" w:sz="4" w:space="0" w:color="auto"/>
            </w:tcBorders>
            <w:shd w:val="clear" w:color="auto" w:fill="auto"/>
            <w:vAlign w:val="center"/>
            <w:hideMark/>
          </w:tcPr>
          <w:p w14:paraId="316D6F3A"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8,820</w:t>
            </w:r>
          </w:p>
        </w:tc>
        <w:tc>
          <w:tcPr>
            <w:tcW w:w="992" w:type="dxa"/>
            <w:tcBorders>
              <w:top w:val="nil"/>
              <w:left w:val="nil"/>
              <w:bottom w:val="single" w:sz="4" w:space="0" w:color="auto"/>
              <w:right w:val="single" w:sz="4" w:space="0" w:color="auto"/>
            </w:tcBorders>
            <w:shd w:val="clear" w:color="auto" w:fill="auto"/>
            <w:vAlign w:val="center"/>
            <w:hideMark/>
          </w:tcPr>
          <w:p w14:paraId="4E50E34E"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76%</w:t>
            </w:r>
          </w:p>
        </w:tc>
        <w:tc>
          <w:tcPr>
            <w:tcW w:w="1276" w:type="dxa"/>
            <w:tcBorders>
              <w:top w:val="nil"/>
              <w:left w:val="nil"/>
              <w:bottom w:val="single" w:sz="4" w:space="0" w:color="auto"/>
              <w:right w:val="single" w:sz="4" w:space="0" w:color="auto"/>
            </w:tcBorders>
            <w:shd w:val="clear" w:color="auto" w:fill="auto"/>
            <w:vAlign w:val="center"/>
            <w:hideMark/>
          </w:tcPr>
          <w:p w14:paraId="102CFC02"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28CC95F2"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r>
      <w:tr w:rsidR="00C354CD" w:rsidRPr="0037413D" w14:paraId="7D88A31F"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007ECB7E" w14:textId="77777777"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Murray</w:t>
            </w:r>
          </w:p>
        </w:tc>
        <w:tc>
          <w:tcPr>
            <w:tcW w:w="1442" w:type="dxa"/>
            <w:tcBorders>
              <w:top w:val="nil"/>
              <w:left w:val="nil"/>
              <w:bottom w:val="single" w:sz="4" w:space="0" w:color="auto"/>
              <w:right w:val="single" w:sz="4" w:space="0" w:color="auto"/>
            </w:tcBorders>
            <w:shd w:val="clear" w:color="auto" w:fill="auto"/>
            <w:vAlign w:val="center"/>
            <w:hideMark/>
          </w:tcPr>
          <w:p w14:paraId="1B5152FA"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140,640</w:t>
            </w:r>
          </w:p>
        </w:tc>
        <w:tc>
          <w:tcPr>
            <w:tcW w:w="993" w:type="dxa"/>
            <w:tcBorders>
              <w:top w:val="nil"/>
              <w:left w:val="nil"/>
              <w:bottom w:val="single" w:sz="4" w:space="0" w:color="auto"/>
              <w:right w:val="single" w:sz="4" w:space="0" w:color="auto"/>
            </w:tcBorders>
            <w:shd w:val="clear" w:color="auto" w:fill="auto"/>
            <w:vAlign w:val="center"/>
            <w:hideMark/>
          </w:tcPr>
          <w:p w14:paraId="19E90F20"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61%</w:t>
            </w:r>
          </w:p>
        </w:tc>
        <w:tc>
          <w:tcPr>
            <w:tcW w:w="1559" w:type="dxa"/>
            <w:tcBorders>
              <w:top w:val="nil"/>
              <w:left w:val="nil"/>
              <w:bottom w:val="single" w:sz="4" w:space="0" w:color="auto"/>
              <w:right w:val="single" w:sz="4" w:space="0" w:color="auto"/>
            </w:tcBorders>
            <w:shd w:val="clear" w:color="auto" w:fill="auto"/>
            <w:vAlign w:val="center"/>
            <w:hideMark/>
          </w:tcPr>
          <w:p w14:paraId="1CF5F67D"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90,660</w:t>
            </w:r>
          </w:p>
        </w:tc>
        <w:tc>
          <w:tcPr>
            <w:tcW w:w="992" w:type="dxa"/>
            <w:tcBorders>
              <w:top w:val="nil"/>
              <w:left w:val="nil"/>
              <w:bottom w:val="single" w:sz="4" w:space="0" w:color="auto"/>
              <w:right w:val="single" w:sz="4" w:space="0" w:color="auto"/>
            </w:tcBorders>
            <w:shd w:val="clear" w:color="auto" w:fill="auto"/>
            <w:vAlign w:val="center"/>
            <w:hideMark/>
          </w:tcPr>
          <w:p w14:paraId="22FDC98E"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39%</w:t>
            </w:r>
          </w:p>
        </w:tc>
        <w:tc>
          <w:tcPr>
            <w:tcW w:w="1276" w:type="dxa"/>
            <w:tcBorders>
              <w:top w:val="nil"/>
              <w:left w:val="nil"/>
              <w:bottom w:val="single" w:sz="4" w:space="0" w:color="auto"/>
              <w:right w:val="single" w:sz="4" w:space="0" w:color="auto"/>
            </w:tcBorders>
            <w:shd w:val="clear" w:color="auto" w:fill="auto"/>
            <w:vAlign w:val="center"/>
            <w:hideMark/>
          </w:tcPr>
          <w:p w14:paraId="7D2A07E3"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670</w:t>
            </w:r>
          </w:p>
        </w:tc>
        <w:tc>
          <w:tcPr>
            <w:tcW w:w="1134" w:type="dxa"/>
            <w:tcBorders>
              <w:top w:val="nil"/>
              <w:left w:val="nil"/>
              <w:bottom w:val="single" w:sz="4" w:space="0" w:color="auto"/>
              <w:right w:val="single" w:sz="4" w:space="0" w:color="auto"/>
            </w:tcBorders>
            <w:shd w:val="clear" w:color="auto" w:fill="auto"/>
            <w:vAlign w:val="center"/>
            <w:hideMark/>
          </w:tcPr>
          <w:p w14:paraId="507D99F8"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r>
      <w:tr w:rsidR="00C354CD" w:rsidRPr="0037413D" w14:paraId="2C714EC2"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7DE6C8E8" w14:textId="77777777"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Condamine-Balonne</w:t>
            </w:r>
          </w:p>
        </w:tc>
        <w:tc>
          <w:tcPr>
            <w:tcW w:w="1442" w:type="dxa"/>
            <w:tcBorders>
              <w:top w:val="nil"/>
              <w:left w:val="nil"/>
              <w:bottom w:val="single" w:sz="4" w:space="0" w:color="auto"/>
              <w:right w:val="single" w:sz="4" w:space="0" w:color="auto"/>
            </w:tcBorders>
            <w:shd w:val="clear" w:color="auto" w:fill="auto"/>
            <w:vAlign w:val="center"/>
            <w:hideMark/>
          </w:tcPr>
          <w:p w14:paraId="19B654CF"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24,700</w:t>
            </w:r>
          </w:p>
        </w:tc>
        <w:tc>
          <w:tcPr>
            <w:tcW w:w="993" w:type="dxa"/>
            <w:tcBorders>
              <w:top w:val="nil"/>
              <w:left w:val="nil"/>
              <w:bottom w:val="single" w:sz="4" w:space="0" w:color="auto"/>
              <w:right w:val="single" w:sz="4" w:space="0" w:color="auto"/>
            </w:tcBorders>
            <w:shd w:val="clear" w:color="auto" w:fill="auto"/>
            <w:vAlign w:val="center"/>
            <w:hideMark/>
          </w:tcPr>
          <w:p w14:paraId="02E04BAA"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9%</w:t>
            </w:r>
          </w:p>
        </w:tc>
        <w:tc>
          <w:tcPr>
            <w:tcW w:w="1559" w:type="dxa"/>
            <w:tcBorders>
              <w:top w:val="nil"/>
              <w:left w:val="nil"/>
              <w:bottom w:val="single" w:sz="4" w:space="0" w:color="auto"/>
              <w:right w:val="single" w:sz="4" w:space="0" w:color="auto"/>
            </w:tcBorders>
            <w:shd w:val="clear" w:color="auto" w:fill="auto"/>
            <w:vAlign w:val="center"/>
            <w:hideMark/>
          </w:tcPr>
          <w:p w14:paraId="71C370A7"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249,110</w:t>
            </w:r>
          </w:p>
        </w:tc>
        <w:tc>
          <w:tcPr>
            <w:tcW w:w="992" w:type="dxa"/>
            <w:tcBorders>
              <w:top w:val="nil"/>
              <w:left w:val="nil"/>
              <w:bottom w:val="single" w:sz="4" w:space="0" w:color="auto"/>
              <w:right w:val="single" w:sz="4" w:space="0" w:color="auto"/>
            </w:tcBorders>
            <w:shd w:val="clear" w:color="auto" w:fill="auto"/>
            <w:vAlign w:val="center"/>
            <w:hideMark/>
          </w:tcPr>
          <w:p w14:paraId="71C5A3D7"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91%</w:t>
            </w:r>
          </w:p>
        </w:tc>
        <w:tc>
          <w:tcPr>
            <w:tcW w:w="1276" w:type="dxa"/>
            <w:tcBorders>
              <w:top w:val="nil"/>
              <w:left w:val="nil"/>
              <w:bottom w:val="single" w:sz="4" w:space="0" w:color="auto"/>
              <w:right w:val="single" w:sz="4" w:space="0" w:color="auto"/>
            </w:tcBorders>
            <w:shd w:val="clear" w:color="auto" w:fill="auto"/>
            <w:vAlign w:val="center"/>
            <w:hideMark/>
          </w:tcPr>
          <w:p w14:paraId="462B5289"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070A2D1C"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r>
      <w:tr w:rsidR="00C354CD" w:rsidRPr="0037413D" w14:paraId="4C7B10B9"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1E73C2D" w14:textId="77777777"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Paroo</w:t>
            </w:r>
          </w:p>
        </w:tc>
        <w:tc>
          <w:tcPr>
            <w:tcW w:w="1442" w:type="dxa"/>
            <w:tcBorders>
              <w:top w:val="nil"/>
              <w:left w:val="nil"/>
              <w:bottom w:val="single" w:sz="4" w:space="0" w:color="auto"/>
              <w:right w:val="single" w:sz="4" w:space="0" w:color="auto"/>
            </w:tcBorders>
            <w:shd w:val="clear" w:color="auto" w:fill="auto"/>
            <w:vAlign w:val="center"/>
            <w:hideMark/>
          </w:tcPr>
          <w:p w14:paraId="6EFC39B3"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5,340</w:t>
            </w:r>
          </w:p>
        </w:tc>
        <w:tc>
          <w:tcPr>
            <w:tcW w:w="993" w:type="dxa"/>
            <w:tcBorders>
              <w:top w:val="nil"/>
              <w:left w:val="nil"/>
              <w:bottom w:val="single" w:sz="4" w:space="0" w:color="auto"/>
              <w:right w:val="single" w:sz="4" w:space="0" w:color="auto"/>
            </w:tcBorders>
            <w:shd w:val="clear" w:color="auto" w:fill="auto"/>
            <w:vAlign w:val="center"/>
            <w:hideMark/>
          </w:tcPr>
          <w:p w14:paraId="5D3E8070"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11%</w:t>
            </w:r>
          </w:p>
        </w:tc>
        <w:tc>
          <w:tcPr>
            <w:tcW w:w="1559" w:type="dxa"/>
            <w:tcBorders>
              <w:top w:val="nil"/>
              <w:left w:val="nil"/>
              <w:bottom w:val="single" w:sz="4" w:space="0" w:color="auto"/>
              <w:right w:val="single" w:sz="4" w:space="0" w:color="auto"/>
            </w:tcBorders>
            <w:shd w:val="clear" w:color="auto" w:fill="auto"/>
            <w:vAlign w:val="center"/>
            <w:hideMark/>
          </w:tcPr>
          <w:p w14:paraId="41D21EA1"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42,070</w:t>
            </w:r>
          </w:p>
        </w:tc>
        <w:tc>
          <w:tcPr>
            <w:tcW w:w="992" w:type="dxa"/>
            <w:tcBorders>
              <w:top w:val="nil"/>
              <w:left w:val="nil"/>
              <w:bottom w:val="single" w:sz="4" w:space="0" w:color="auto"/>
              <w:right w:val="single" w:sz="4" w:space="0" w:color="auto"/>
            </w:tcBorders>
            <w:shd w:val="clear" w:color="auto" w:fill="auto"/>
            <w:vAlign w:val="center"/>
            <w:hideMark/>
          </w:tcPr>
          <w:p w14:paraId="34EDED71"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89%</w:t>
            </w:r>
          </w:p>
        </w:tc>
        <w:tc>
          <w:tcPr>
            <w:tcW w:w="1276" w:type="dxa"/>
            <w:tcBorders>
              <w:top w:val="nil"/>
              <w:left w:val="nil"/>
              <w:bottom w:val="single" w:sz="4" w:space="0" w:color="auto"/>
              <w:right w:val="single" w:sz="4" w:space="0" w:color="auto"/>
            </w:tcBorders>
            <w:shd w:val="clear" w:color="auto" w:fill="auto"/>
            <w:vAlign w:val="center"/>
            <w:hideMark/>
          </w:tcPr>
          <w:p w14:paraId="26BAD18F"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10</w:t>
            </w:r>
          </w:p>
        </w:tc>
        <w:tc>
          <w:tcPr>
            <w:tcW w:w="1134" w:type="dxa"/>
            <w:tcBorders>
              <w:top w:val="nil"/>
              <w:left w:val="nil"/>
              <w:bottom w:val="single" w:sz="4" w:space="0" w:color="auto"/>
              <w:right w:val="single" w:sz="4" w:space="0" w:color="auto"/>
            </w:tcBorders>
            <w:shd w:val="clear" w:color="auto" w:fill="auto"/>
            <w:vAlign w:val="center"/>
            <w:hideMark/>
          </w:tcPr>
          <w:p w14:paraId="680615B1"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r>
      <w:tr w:rsidR="00C354CD" w:rsidRPr="0037413D" w14:paraId="5D5B9203"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83D78DA" w14:textId="77777777"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Warrego</w:t>
            </w:r>
          </w:p>
        </w:tc>
        <w:tc>
          <w:tcPr>
            <w:tcW w:w="1442" w:type="dxa"/>
            <w:tcBorders>
              <w:top w:val="nil"/>
              <w:left w:val="nil"/>
              <w:bottom w:val="single" w:sz="4" w:space="0" w:color="auto"/>
              <w:right w:val="single" w:sz="4" w:space="0" w:color="auto"/>
            </w:tcBorders>
            <w:shd w:val="clear" w:color="auto" w:fill="auto"/>
            <w:vAlign w:val="center"/>
            <w:hideMark/>
          </w:tcPr>
          <w:p w14:paraId="59520F65"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28,810</w:t>
            </w:r>
          </w:p>
        </w:tc>
        <w:tc>
          <w:tcPr>
            <w:tcW w:w="993" w:type="dxa"/>
            <w:tcBorders>
              <w:top w:val="nil"/>
              <w:left w:val="nil"/>
              <w:bottom w:val="single" w:sz="4" w:space="0" w:color="auto"/>
              <w:right w:val="single" w:sz="4" w:space="0" w:color="auto"/>
            </w:tcBorders>
            <w:shd w:val="clear" w:color="auto" w:fill="auto"/>
            <w:vAlign w:val="center"/>
            <w:hideMark/>
          </w:tcPr>
          <w:p w14:paraId="3C258B7B"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17%</w:t>
            </w:r>
          </w:p>
        </w:tc>
        <w:tc>
          <w:tcPr>
            <w:tcW w:w="1559" w:type="dxa"/>
            <w:tcBorders>
              <w:top w:val="nil"/>
              <w:left w:val="nil"/>
              <w:bottom w:val="single" w:sz="4" w:space="0" w:color="auto"/>
              <w:right w:val="single" w:sz="4" w:space="0" w:color="auto"/>
            </w:tcBorders>
            <w:shd w:val="clear" w:color="auto" w:fill="auto"/>
            <w:vAlign w:val="center"/>
            <w:hideMark/>
          </w:tcPr>
          <w:p w14:paraId="0764B5D8"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138,190</w:t>
            </w:r>
          </w:p>
        </w:tc>
        <w:tc>
          <w:tcPr>
            <w:tcW w:w="992" w:type="dxa"/>
            <w:tcBorders>
              <w:top w:val="nil"/>
              <w:left w:val="nil"/>
              <w:bottom w:val="single" w:sz="4" w:space="0" w:color="auto"/>
              <w:right w:val="single" w:sz="4" w:space="0" w:color="auto"/>
            </w:tcBorders>
            <w:shd w:val="clear" w:color="auto" w:fill="auto"/>
            <w:vAlign w:val="center"/>
            <w:hideMark/>
          </w:tcPr>
          <w:p w14:paraId="3DA0CFDF"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83%</w:t>
            </w:r>
          </w:p>
        </w:tc>
        <w:tc>
          <w:tcPr>
            <w:tcW w:w="1276" w:type="dxa"/>
            <w:tcBorders>
              <w:top w:val="nil"/>
              <w:left w:val="nil"/>
              <w:bottom w:val="single" w:sz="4" w:space="0" w:color="auto"/>
              <w:right w:val="single" w:sz="4" w:space="0" w:color="auto"/>
            </w:tcBorders>
            <w:shd w:val="clear" w:color="auto" w:fill="auto"/>
            <w:vAlign w:val="center"/>
            <w:hideMark/>
          </w:tcPr>
          <w:p w14:paraId="5D5384E3"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681DE15D"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r>
      <w:tr w:rsidR="00C354CD" w:rsidRPr="0037413D" w14:paraId="02F9E053"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CFD6624" w14:textId="77777777"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Wimmera-Avoca</w:t>
            </w:r>
          </w:p>
        </w:tc>
        <w:tc>
          <w:tcPr>
            <w:tcW w:w="1442" w:type="dxa"/>
            <w:tcBorders>
              <w:top w:val="nil"/>
              <w:left w:val="nil"/>
              <w:bottom w:val="single" w:sz="4" w:space="0" w:color="auto"/>
              <w:right w:val="single" w:sz="4" w:space="0" w:color="auto"/>
            </w:tcBorders>
            <w:shd w:val="clear" w:color="auto" w:fill="auto"/>
            <w:vAlign w:val="center"/>
            <w:hideMark/>
          </w:tcPr>
          <w:p w14:paraId="40443FE1"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7,440</w:t>
            </w:r>
          </w:p>
        </w:tc>
        <w:tc>
          <w:tcPr>
            <w:tcW w:w="993" w:type="dxa"/>
            <w:tcBorders>
              <w:top w:val="nil"/>
              <w:left w:val="nil"/>
              <w:bottom w:val="single" w:sz="4" w:space="0" w:color="auto"/>
              <w:right w:val="single" w:sz="4" w:space="0" w:color="auto"/>
            </w:tcBorders>
            <w:shd w:val="clear" w:color="auto" w:fill="auto"/>
            <w:vAlign w:val="center"/>
            <w:hideMark/>
          </w:tcPr>
          <w:p w14:paraId="15537B8C"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63%</w:t>
            </w:r>
          </w:p>
        </w:tc>
        <w:tc>
          <w:tcPr>
            <w:tcW w:w="1559" w:type="dxa"/>
            <w:tcBorders>
              <w:top w:val="nil"/>
              <w:left w:val="nil"/>
              <w:bottom w:val="single" w:sz="4" w:space="0" w:color="auto"/>
              <w:right w:val="single" w:sz="4" w:space="0" w:color="auto"/>
            </w:tcBorders>
            <w:shd w:val="clear" w:color="auto" w:fill="auto"/>
            <w:vAlign w:val="center"/>
            <w:hideMark/>
          </w:tcPr>
          <w:p w14:paraId="3EB77769"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4,330</w:t>
            </w:r>
          </w:p>
        </w:tc>
        <w:tc>
          <w:tcPr>
            <w:tcW w:w="992" w:type="dxa"/>
            <w:tcBorders>
              <w:top w:val="nil"/>
              <w:left w:val="nil"/>
              <w:bottom w:val="single" w:sz="4" w:space="0" w:color="auto"/>
              <w:right w:val="single" w:sz="4" w:space="0" w:color="auto"/>
            </w:tcBorders>
            <w:shd w:val="clear" w:color="auto" w:fill="auto"/>
            <w:vAlign w:val="center"/>
            <w:hideMark/>
          </w:tcPr>
          <w:p w14:paraId="1F6CD0E9"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37%</w:t>
            </w:r>
          </w:p>
        </w:tc>
        <w:tc>
          <w:tcPr>
            <w:tcW w:w="1276" w:type="dxa"/>
            <w:tcBorders>
              <w:top w:val="nil"/>
              <w:left w:val="nil"/>
              <w:bottom w:val="single" w:sz="4" w:space="0" w:color="auto"/>
              <w:right w:val="single" w:sz="4" w:space="0" w:color="auto"/>
            </w:tcBorders>
            <w:shd w:val="clear" w:color="auto" w:fill="auto"/>
            <w:vAlign w:val="center"/>
            <w:hideMark/>
          </w:tcPr>
          <w:p w14:paraId="2C974559"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424C44D8"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r>
      <w:tr w:rsidR="00C354CD" w:rsidRPr="0037413D" w14:paraId="7DA4A6BB"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71F7910" w14:textId="77777777"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Goulburn-Broken</w:t>
            </w:r>
          </w:p>
        </w:tc>
        <w:tc>
          <w:tcPr>
            <w:tcW w:w="1442" w:type="dxa"/>
            <w:tcBorders>
              <w:top w:val="nil"/>
              <w:left w:val="nil"/>
              <w:bottom w:val="single" w:sz="4" w:space="0" w:color="auto"/>
              <w:right w:val="single" w:sz="4" w:space="0" w:color="auto"/>
            </w:tcBorders>
            <w:shd w:val="clear" w:color="auto" w:fill="auto"/>
            <w:vAlign w:val="center"/>
            <w:hideMark/>
          </w:tcPr>
          <w:p w14:paraId="1D743B66"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2,600</w:t>
            </w:r>
          </w:p>
        </w:tc>
        <w:tc>
          <w:tcPr>
            <w:tcW w:w="993" w:type="dxa"/>
            <w:tcBorders>
              <w:top w:val="nil"/>
              <w:left w:val="nil"/>
              <w:bottom w:val="single" w:sz="4" w:space="0" w:color="auto"/>
              <w:right w:val="single" w:sz="4" w:space="0" w:color="auto"/>
            </w:tcBorders>
            <w:shd w:val="clear" w:color="auto" w:fill="auto"/>
            <w:vAlign w:val="center"/>
            <w:hideMark/>
          </w:tcPr>
          <w:p w14:paraId="0F1787B5"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58%</w:t>
            </w:r>
          </w:p>
        </w:tc>
        <w:tc>
          <w:tcPr>
            <w:tcW w:w="1559" w:type="dxa"/>
            <w:tcBorders>
              <w:top w:val="nil"/>
              <w:left w:val="nil"/>
              <w:bottom w:val="single" w:sz="4" w:space="0" w:color="auto"/>
              <w:right w:val="single" w:sz="4" w:space="0" w:color="auto"/>
            </w:tcBorders>
            <w:shd w:val="clear" w:color="auto" w:fill="auto"/>
            <w:vAlign w:val="center"/>
            <w:hideMark/>
          </w:tcPr>
          <w:p w14:paraId="14BDE174"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1,640</w:t>
            </w:r>
          </w:p>
        </w:tc>
        <w:tc>
          <w:tcPr>
            <w:tcW w:w="992" w:type="dxa"/>
            <w:tcBorders>
              <w:top w:val="nil"/>
              <w:left w:val="nil"/>
              <w:bottom w:val="single" w:sz="4" w:space="0" w:color="auto"/>
              <w:right w:val="single" w:sz="4" w:space="0" w:color="auto"/>
            </w:tcBorders>
            <w:shd w:val="clear" w:color="auto" w:fill="auto"/>
            <w:vAlign w:val="center"/>
            <w:hideMark/>
          </w:tcPr>
          <w:p w14:paraId="537EE98B"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37%</w:t>
            </w:r>
          </w:p>
        </w:tc>
        <w:tc>
          <w:tcPr>
            <w:tcW w:w="1276" w:type="dxa"/>
            <w:tcBorders>
              <w:top w:val="nil"/>
              <w:left w:val="nil"/>
              <w:bottom w:val="single" w:sz="4" w:space="0" w:color="auto"/>
              <w:right w:val="single" w:sz="4" w:space="0" w:color="auto"/>
            </w:tcBorders>
            <w:shd w:val="clear" w:color="auto" w:fill="auto"/>
            <w:vAlign w:val="center"/>
            <w:hideMark/>
          </w:tcPr>
          <w:p w14:paraId="46D2617F"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250</w:t>
            </w:r>
          </w:p>
        </w:tc>
        <w:tc>
          <w:tcPr>
            <w:tcW w:w="1134" w:type="dxa"/>
            <w:tcBorders>
              <w:top w:val="nil"/>
              <w:left w:val="nil"/>
              <w:bottom w:val="single" w:sz="4" w:space="0" w:color="auto"/>
              <w:right w:val="single" w:sz="4" w:space="0" w:color="auto"/>
            </w:tcBorders>
            <w:shd w:val="clear" w:color="auto" w:fill="auto"/>
            <w:vAlign w:val="center"/>
            <w:hideMark/>
          </w:tcPr>
          <w:p w14:paraId="0FF3237A"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6%</w:t>
            </w:r>
          </w:p>
        </w:tc>
      </w:tr>
      <w:tr w:rsidR="00C354CD" w:rsidRPr="0037413D" w14:paraId="6F12714B"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309D429B" w14:textId="77777777" w:rsidR="00C354CD" w:rsidRPr="0037413D" w:rsidRDefault="00C354CD" w:rsidP="00AD0E29">
            <w:pPr>
              <w:spacing w:after="0" w:line="240" w:lineRule="auto"/>
              <w:rPr>
                <w:rFonts w:eastAsia="Times New Roman" w:cs="Arial"/>
                <w:szCs w:val="20"/>
                <w:lang w:eastAsia="en-AU"/>
              </w:rPr>
            </w:pPr>
            <w:r w:rsidRPr="0037413D">
              <w:rPr>
                <w:rFonts w:eastAsia="Times New Roman" w:cs="Arial"/>
                <w:szCs w:val="20"/>
                <w:lang w:eastAsia="en-AU"/>
              </w:rPr>
              <w:t>Ovens</w:t>
            </w:r>
          </w:p>
        </w:tc>
        <w:tc>
          <w:tcPr>
            <w:tcW w:w="1442" w:type="dxa"/>
            <w:tcBorders>
              <w:top w:val="nil"/>
              <w:left w:val="nil"/>
              <w:bottom w:val="single" w:sz="4" w:space="0" w:color="auto"/>
              <w:right w:val="single" w:sz="4" w:space="0" w:color="auto"/>
            </w:tcBorders>
            <w:shd w:val="clear" w:color="auto" w:fill="auto"/>
            <w:vAlign w:val="center"/>
            <w:hideMark/>
          </w:tcPr>
          <w:p w14:paraId="1C10F2BA"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130</w:t>
            </w:r>
          </w:p>
        </w:tc>
        <w:tc>
          <w:tcPr>
            <w:tcW w:w="993" w:type="dxa"/>
            <w:tcBorders>
              <w:top w:val="nil"/>
              <w:left w:val="nil"/>
              <w:bottom w:val="single" w:sz="4" w:space="0" w:color="auto"/>
              <w:right w:val="single" w:sz="4" w:space="0" w:color="auto"/>
            </w:tcBorders>
            <w:shd w:val="clear" w:color="auto" w:fill="auto"/>
            <w:vAlign w:val="center"/>
            <w:hideMark/>
          </w:tcPr>
          <w:p w14:paraId="513C88CF"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62%</w:t>
            </w:r>
          </w:p>
        </w:tc>
        <w:tc>
          <w:tcPr>
            <w:tcW w:w="1559" w:type="dxa"/>
            <w:tcBorders>
              <w:top w:val="nil"/>
              <w:left w:val="nil"/>
              <w:bottom w:val="single" w:sz="4" w:space="0" w:color="auto"/>
              <w:right w:val="single" w:sz="4" w:space="0" w:color="auto"/>
            </w:tcBorders>
            <w:shd w:val="clear" w:color="auto" w:fill="auto"/>
            <w:vAlign w:val="center"/>
            <w:hideMark/>
          </w:tcPr>
          <w:p w14:paraId="1A5952BB"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80</w:t>
            </w:r>
          </w:p>
        </w:tc>
        <w:tc>
          <w:tcPr>
            <w:tcW w:w="992" w:type="dxa"/>
            <w:tcBorders>
              <w:top w:val="nil"/>
              <w:left w:val="nil"/>
              <w:bottom w:val="single" w:sz="4" w:space="0" w:color="auto"/>
              <w:right w:val="single" w:sz="4" w:space="0" w:color="auto"/>
            </w:tcBorders>
            <w:shd w:val="clear" w:color="auto" w:fill="auto"/>
            <w:vAlign w:val="center"/>
            <w:hideMark/>
          </w:tcPr>
          <w:p w14:paraId="6FC78821"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38%</w:t>
            </w:r>
          </w:p>
        </w:tc>
        <w:tc>
          <w:tcPr>
            <w:tcW w:w="1276" w:type="dxa"/>
            <w:tcBorders>
              <w:top w:val="nil"/>
              <w:left w:val="nil"/>
              <w:bottom w:val="single" w:sz="4" w:space="0" w:color="auto"/>
              <w:right w:val="single" w:sz="4" w:space="0" w:color="auto"/>
            </w:tcBorders>
            <w:shd w:val="clear" w:color="auto" w:fill="auto"/>
            <w:vAlign w:val="center"/>
            <w:hideMark/>
          </w:tcPr>
          <w:p w14:paraId="54BE3CAB"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c>
          <w:tcPr>
            <w:tcW w:w="1134" w:type="dxa"/>
            <w:tcBorders>
              <w:top w:val="nil"/>
              <w:left w:val="nil"/>
              <w:bottom w:val="single" w:sz="4" w:space="0" w:color="auto"/>
              <w:right w:val="single" w:sz="4" w:space="0" w:color="auto"/>
            </w:tcBorders>
            <w:shd w:val="clear" w:color="auto" w:fill="auto"/>
            <w:vAlign w:val="center"/>
            <w:hideMark/>
          </w:tcPr>
          <w:p w14:paraId="212A4E81"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0%</w:t>
            </w:r>
          </w:p>
        </w:tc>
      </w:tr>
      <w:tr w:rsidR="00C354CD" w:rsidRPr="0037413D" w14:paraId="2FA0AC6C" w14:textId="77777777" w:rsidTr="00AD0E29">
        <w:trPr>
          <w:trHeight w:val="25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3191408F" w14:textId="77777777" w:rsidR="00C354CD" w:rsidRPr="0037413D" w:rsidRDefault="00C354CD" w:rsidP="00AD0E29">
            <w:pPr>
              <w:spacing w:after="0" w:line="240" w:lineRule="auto"/>
              <w:rPr>
                <w:rFonts w:eastAsia="Times New Roman" w:cs="Arial"/>
                <w:b/>
                <w:bCs/>
                <w:szCs w:val="20"/>
                <w:lang w:eastAsia="en-AU"/>
              </w:rPr>
            </w:pPr>
            <w:r w:rsidRPr="0037413D">
              <w:rPr>
                <w:rFonts w:eastAsia="Times New Roman" w:cs="Arial"/>
                <w:b/>
                <w:bCs/>
                <w:szCs w:val="20"/>
                <w:lang w:eastAsia="en-AU"/>
              </w:rPr>
              <w:t>TOTAL BASIN</w:t>
            </w:r>
          </w:p>
        </w:tc>
        <w:tc>
          <w:tcPr>
            <w:tcW w:w="1442" w:type="dxa"/>
            <w:tcBorders>
              <w:top w:val="nil"/>
              <w:left w:val="nil"/>
              <w:bottom w:val="single" w:sz="4" w:space="0" w:color="auto"/>
              <w:right w:val="single" w:sz="4" w:space="0" w:color="auto"/>
            </w:tcBorders>
            <w:shd w:val="clear" w:color="auto" w:fill="auto"/>
            <w:vAlign w:val="center"/>
            <w:hideMark/>
          </w:tcPr>
          <w:p w14:paraId="2C668099"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515,900</w:t>
            </w:r>
          </w:p>
        </w:tc>
        <w:tc>
          <w:tcPr>
            <w:tcW w:w="993" w:type="dxa"/>
            <w:tcBorders>
              <w:top w:val="nil"/>
              <w:left w:val="nil"/>
              <w:bottom w:val="single" w:sz="4" w:space="0" w:color="auto"/>
              <w:right w:val="single" w:sz="4" w:space="0" w:color="auto"/>
            </w:tcBorders>
            <w:shd w:val="clear" w:color="auto" w:fill="auto"/>
            <w:vAlign w:val="center"/>
            <w:hideMark/>
          </w:tcPr>
          <w:p w14:paraId="73602E78" w14:textId="77777777" w:rsidR="00C354CD" w:rsidRPr="0037413D" w:rsidRDefault="00C354CD" w:rsidP="00AD0E29">
            <w:pPr>
              <w:spacing w:after="0" w:line="240" w:lineRule="auto"/>
              <w:jc w:val="right"/>
              <w:rPr>
                <w:rFonts w:eastAsia="Times New Roman" w:cs="Arial"/>
                <w:b/>
                <w:bCs/>
                <w:szCs w:val="20"/>
                <w:lang w:eastAsia="en-AU"/>
              </w:rPr>
            </w:pPr>
            <w:r w:rsidRPr="0037413D">
              <w:rPr>
                <w:rFonts w:eastAsia="Times New Roman" w:cs="Arial"/>
                <w:b/>
                <w:bCs/>
                <w:szCs w:val="20"/>
                <w:lang w:eastAsia="en-AU"/>
              </w:rPr>
              <w:t>37%</w:t>
            </w:r>
          </w:p>
        </w:tc>
        <w:tc>
          <w:tcPr>
            <w:tcW w:w="1559" w:type="dxa"/>
            <w:tcBorders>
              <w:top w:val="nil"/>
              <w:left w:val="nil"/>
              <w:bottom w:val="single" w:sz="4" w:space="0" w:color="auto"/>
              <w:right w:val="single" w:sz="4" w:space="0" w:color="auto"/>
            </w:tcBorders>
            <w:shd w:val="clear" w:color="auto" w:fill="auto"/>
            <w:vAlign w:val="center"/>
            <w:hideMark/>
          </w:tcPr>
          <w:p w14:paraId="4BE396F9"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873,530</w:t>
            </w:r>
          </w:p>
        </w:tc>
        <w:tc>
          <w:tcPr>
            <w:tcW w:w="992" w:type="dxa"/>
            <w:tcBorders>
              <w:top w:val="nil"/>
              <w:left w:val="nil"/>
              <w:bottom w:val="single" w:sz="4" w:space="0" w:color="auto"/>
              <w:right w:val="single" w:sz="4" w:space="0" w:color="auto"/>
            </w:tcBorders>
            <w:shd w:val="clear" w:color="auto" w:fill="auto"/>
            <w:vAlign w:val="center"/>
            <w:hideMark/>
          </w:tcPr>
          <w:p w14:paraId="75239F27" w14:textId="77777777" w:rsidR="00C354CD" w:rsidRPr="0037413D" w:rsidRDefault="00C354CD" w:rsidP="00AD0E29">
            <w:pPr>
              <w:spacing w:after="0" w:line="240" w:lineRule="auto"/>
              <w:jc w:val="right"/>
              <w:rPr>
                <w:rFonts w:eastAsia="Times New Roman" w:cs="Arial"/>
                <w:b/>
                <w:bCs/>
                <w:szCs w:val="20"/>
                <w:lang w:eastAsia="en-AU"/>
              </w:rPr>
            </w:pPr>
            <w:r w:rsidRPr="0037413D">
              <w:rPr>
                <w:rFonts w:eastAsia="Times New Roman" w:cs="Arial"/>
                <w:b/>
                <w:bCs/>
                <w:szCs w:val="20"/>
                <w:lang w:eastAsia="en-AU"/>
              </w:rPr>
              <w:t>63%</w:t>
            </w:r>
          </w:p>
        </w:tc>
        <w:tc>
          <w:tcPr>
            <w:tcW w:w="1276" w:type="dxa"/>
            <w:tcBorders>
              <w:top w:val="nil"/>
              <w:left w:val="nil"/>
              <w:bottom w:val="single" w:sz="4" w:space="0" w:color="auto"/>
              <w:right w:val="single" w:sz="4" w:space="0" w:color="auto"/>
            </w:tcBorders>
            <w:shd w:val="clear" w:color="auto" w:fill="auto"/>
            <w:vAlign w:val="center"/>
            <w:hideMark/>
          </w:tcPr>
          <w:p w14:paraId="729D8D0E" w14:textId="77777777" w:rsidR="00C354CD" w:rsidRPr="0037413D" w:rsidRDefault="00C354CD" w:rsidP="00AD0E29">
            <w:pPr>
              <w:spacing w:after="0" w:line="240" w:lineRule="auto"/>
              <w:jc w:val="right"/>
              <w:rPr>
                <w:rFonts w:eastAsia="Times New Roman" w:cs="Arial"/>
                <w:szCs w:val="20"/>
                <w:lang w:eastAsia="en-AU"/>
              </w:rPr>
            </w:pPr>
            <w:r w:rsidRPr="0037413D">
              <w:rPr>
                <w:rFonts w:eastAsia="Times New Roman" w:cs="Arial"/>
                <w:szCs w:val="20"/>
                <w:lang w:eastAsia="en-AU"/>
              </w:rPr>
              <w:t>8,070</w:t>
            </w:r>
          </w:p>
        </w:tc>
        <w:tc>
          <w:tcPr>
            <w:tcW w:w="1134" w:type="dxa"/>
            <w:tcBorders>
              <w:top w:val="nil"/>
              <w:left w:val="nil"/>
              <w:bottom w:val="single" w:sz="4" w:space="0" w:color="auto"/>
              <w:right w:val="single" w:sz="4" w:space="0" w:color="auto"/>
            </w:tcBorders>
            <w:shd w:val="clear" w:color="auto" w:fill="auto"/>
            <w:vAlign w:val="center"/>
            <w:hideMark/>
          </w:tcPr>
          <w:p w14:paraId="213955E3" w14:textId="77777777" w:rsidR="00C354CD" w:rsidRPr="0037413D" w:rsidRDefault="00C354CD" w:rsidP="00AD0E29">
            <w:pPr>
              <w:spacing w:after="0" w:line="240" w:lineRule="auto"/>
              <w:jc w:val="right"/>
              <w:rPr>
                <w:rFonts w:eastAsia="Times New Roman" w:cs="Arial"/>
                <w:b/>
                <w:bCs/>
                <w:szCs w:val="20"/>
                <w:lang w:eastAsia="en-AU"/>
              </w:rPr>
            </w:pPr>
            <w:r w:rsidRPr="0037413D">
              <w:rPr>
                <w:rFonts w:eastAsia="Times New Roman" w:cs="Arial"/>
                <w:b/>
                <w:bCs/>
                <w:szCs w:val="20"/>
                <w:lang w:eastAsia="en-AU"/>
              </w:rPr>
              <w:t>1%</w:t>
            </w:r>
          </w:p>
        </w:tc>
      </w:tr>
    </w:tbl>
    <w:p w14:paraId="42038599" w14:textId="77777777" w:rsidR="00C354CD" w:rsidRDefault="00C354CD" w:rsidP="00C354CD">
      <w:pPr>
        <w:pStyle w:val="Para0"/>
        <w:sectPr w:rsidR="00C354CD" w:rsidSect="00AD0E29">
          <w:pgSz w:w="11906" w:h="16838"/>
          <w:pgMar w:top="567" w:right="851" w:bottom="851" w:left="1134" w:header="708" w:footer="708" w:gutter="0"/>
          <w:cols w:space="708"/>
          <w:docGrid w:linePitch="360"/>
        </w:sectPr>
      </w:pPr>
    </w:p>
    <w:p w14:paraId="1C291AAC" w14:textId="6B359C08" w:rsidR="00C354CD" w:rsidRDefault="005828C9" w:rsidP="00C354CD">
      <w:pPr>
        <w:pStyle w:val="Para0"/>
        <w:spacing w:before="0" w:after="0"/>
        <w:jc w:val="center"/>
      </w:pPr>
      <w:r>
        <w:rPr>
          <w:noProof/>
          <w:lang w:eastAsia="en-AU"/>
        </w:rPr>
        <w:drawing>
          <wp:inline distT="0" distB="0" distL="0" distR="0" wp14:anchorId="02AFDAB1" wp14:editId="5BF23811">
            <wp:extent cx="13134109" cy="8222776"/>
            <wp:effectExtent l="0" t="0" r="0" b="6985"/>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Fig5.17 Vulnerability at basin scale.png"/>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13141225" cy="8227231"/>
                    </a:xfrm>
                    <a:prstGeom prst="rect">
                      <a:avLst/>
                    </a:prstGeom>
                    <a:ln>
                      <a:noFill/>
                    </a:ln>
                    <a:extLst>
                      <a:ext uri="{53640926-AAD7-44D8-BBD7-CCE9431645EC}">
                        <a14:shadowObscured xmlns:a14="http://schemas.microsoft.com/office/drawing/2010/main"/>
                      </a:ext>
                    </a:extLst>
                  </pic:spPr>
                </pic:pic>
              </a:graphicData>
            </a:graphic>
          </wp:inline>
        </w:drawing>
      </w:r>
    </w:p>
    <w:p w14:paraId="6FF0F506" w14:textId="054C73F5" w:rsidR="00C354CD" w:rsidRDefault="00C354CD" w:rsidP="00C354CD">
      <w:pPr>
        <w:pStyle w:val="Caption"/>
        <w:spacing w:before="0" w:after="0"/>
        <w:jc w:val="center"/>
        <w:sectPr w:rsidR="00C354CD" w:rsidSect="009776F3">
          <w:pgSz w:w="23811" w:h="16838" w:orient="landscape" w:code="8"/>
          <w:pgMar w:top="1134" w:right="567" w:bottom="851" w:left="851" w:header="708" w:footer="708" w:gutter="0"/>
          <w:cols w:space="708"/>
          <w:docGrid w:linePitch="360"/>
        </w:sectPr>
      </w:pPr>
      <w:bookmarkStart w:id="310" w:name="_Ref507167280"/>
      <w:bookmarkStart w:id="311" w:name="_Toc514018110"/>
      <w:r>
        <w:t xml:space="preserve">Figure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Figure \* ARABIC \s 1 </w:instrText>
      </w:r>
      <w:r>
        <w:fldChar w:fldCharType="separate"/>
      </w:r>
      <w:r w:rsidR="00BF015B">
        <w:rPr>
          <w:noProof/>
        </w:rPr>
        <w:t>17</w:t>
      </w:r>
      <w:r>
        <w:fldChar w:fldCharType="end"/>
      </w:r>
      <w:bookmarkEnd w:id="310"/>
      <w:r>
        <w:t xml:space="preserve">: Vulnerability of Black Box: </w:t>
      </w:r>
      <w:r w:rsidR="008344E6">
        <w:t>b</w:t>
      </w:r>
      <w:r>
        <w:t>asin</w:t>
      </w:r>
      <w:r w:rsidR="008344E6">
        <w:t xml:space="preserve"> s</w:t>
      </w:r>
      <w:r>
        <w:t>cale</w:t>
      </w:r>
      <w:bookmarkEnd w:id="311"/>
    </w:p>
    <w:p w14:paraId="09F4DE65" w14:textId="77777777" w:rsidR="00C354CD" w:rsidRDefault="00C354CD" w:rsidP="00C354CD">
      <w:pPr>
        <w:pStyle w:val="Heading4"/>
      </w:pPr>
      <w:r>
        <w:t>Black Box Do-nothing Scenario</w:t>
      </w:r>
    </w:p>
    <w:p w14:paraId="12047BDF" w14:textId="3A8DF5BC" w:rsidR="00C354CD" w:rsidRDefault="00C354CD" w:rsidP="00C354CD">
      <w:pPr>
        <w:pStyle w:val="Para0"/>
      </w:pPr>
      <w:r>
        <w:t xml:space="preserve">In a similar method to that used in the site investigation (Chapter 3.7.2) it is useful to consider a ‘do-nothing’ scenario for Black Box condition across the Basin. This not only considers the maintenance or decline in Black Box communities </w:t>
      </w:r>
      <w:r w:rsidR="005C4005">
        <w:t>because of</w:t>
      </w:r>
      <w:r>
        <w:t xml:space="preserve"> continuing pressure from known </w:t>
      </w:r>
      <w:r w:rsidR="005C4005">
        <w:t>stressors,</w:t>
      </w:r>
      <w:r>
        <w:t xml:space="preserve"> but it should also consider the impacts of climate change. Impacts of climate change can be:</w:t>
      </w:r>
    </w:p>
    <w:p w14:paraId="5110CFCF" w14:textId="68B23892" w:rsidR="00C354CD" w:rsidRDefault="00C354CD" w:rsidP="00F22225">
      <w:pPr>
        <w:pStyle w:val="Para0"/>
        <w:numPr>
          <w:ilvl w:val="0"/>
          <w:numId w:val="91"/>
        </w:numPr>
      </w:pPr>
      <w:r>
        <w:t xml:space="preserve">Lower or higher, or </w:t>
      </w:r>
      <w:r w:rsidR="008344E6">
        <w:t>variability</w:t>
      </w:r>
      <w:r>
        <w:t xml:space="preserve"> of rainfall;</w:t>
      </w:r>
    </w:p>
    <w:p w14:paraId="0D012214" w14:textId="77777777" w:rsidR="00C354CD" w:rsidRDefault="00C354CD" w:rsidP="00F22225">
      <w:pPr>
        <w:pStyle w:val="Para0"/>
        <w:numPr>
          <w:ilvl w:val="0"/>
          <w:numId w:val="91"/>
        </w:numPr>
      </w:pPr>
      <w:r>
        <w:t>Increase or decrease in the magnitude and frequency of flooding events; and</w:t>
      </w:r>
    </w:p>
    <w:p w14:paraId="7F84FFA0" w14:textId="77777777" w:rsidR="00C354CD" w:rsidRDefault="00C354CD" w:rsidP="00F22225">
      <w:pPr>
        <w:pStyle w:val="Para0"/>
        <w:numPr>
          <w:ilvl w:val="0"/>
          <w:numId w:val="91"/>
        </w:numPr>
      </w:pPr>
      <w:r>
        <w:t xml:space="preserve">Increases in temperatures which drives evapotranspiration and evaporation from water bodies. </w:t>
      </w:r>
    </w:p>
    <w:p w14:paraId="2C4F9D54" w14:textId="411DDAF9" w:rsidR="00C354CD" w:rsidRDefault="00C354CD" w:rsidP="00C354CD">
      <w:pPr>
        <w:pStyle w:val="Bodynarrow"/>
        <w:ind w:left="0"/>
      </w:pPr>
      <w:r>
        <w:t xml:space="preserve">Overton </w:t>
      </w:r>
      <w:r>
        <w:rPr>
          <w:i/>
        </w:rPr>
        <w:t>et al.</w:t>
      </w:r>
      <w:r>
        <w:t xml:space="preserve"> (2009) used flow predictions from the CSIRO Murray-Darling Basin Sustainable Yields project to predict flooding regimes in the Murray-Darling Basin. A 1 in 10 flood return internal was used as a regime that Black Box would respond to. The areas that are marked historic in </w:t>
      </w:r>
      <w:r>
        <w:rPr>
          <w:highlight w:val="yellow"/>
        </w:rPr>
        <w:fldChar w:fldCharType="begin"/>
      </w:r>
      <w:r>
        <w:instrText xml:space="preserve"> REF _Ref507418509 \h </w:instrText>
      </w:r>
      <w:r>
        <w:rPr>
          <w:highlight w:val="yellow"/>
        </w:rPr>
      </w:r>
      <w:r>
        <w:rPr>
          <w:highlight w:val="yellow"/>
        </w:rPr>
        <w:fldChar w:fldCharType="separate"/>
      </w:r>
      <w:r w:rsidR="00BF015B">
        <w:t xml:space="preserve">Figure </w:t>
      </w:r>
      <w:r w:rsidR="00BF015B">
        <w:rPr>
          <w:noProof/>
        </w:rPr>
        <w:t>5</w:t>
      </w:r>
      <w:r w:rsidR="00BF015B">
        <w:noBreakHyphen/>
      </w:r>
      <w:r w:rsidR="00BF015B">
        <w:rPr>
          <w:noProof/>
        </w:rPr>
        <w:t>18</w:t>
      </w:r>
      <w:r>
        <w:rPr>
          <w:highlight w:val="yellow"/>
        </w:rPr>
        <w:fldChar w:fldCharType="end"/>
      </w:r>
      <w:r>
        <w:t xml:space="preserve"> show those parts of the floodplain that used to have a 1 in 10 return period and no longer have this flooding frequency, indicating that they are likely to be exhibiting drought stress. Those marked as current still have this flooding frequency but are predicted to not have this in the future. The areas marked as future are predicted to </w:t>
      </w:r>
      <w:r w:rsidRPr="00EC307E">
        <w:t xml:space="preserve">maintain a 1 in 10 </w:t>
      </w:r>
      <w:r w:rsidR="005C4005">
        <w:t xml:space="preserve">inundation </w:t>
      </w:r>
      <w:r w:rsidRPr="00EC307E">
        <w:t xml:space="preserve">regime. An additional map showing a greater level of detail in an area of the Murray is provided in </w:t>
      </w:r>
      <w:r w:rsidRPr="00EC307E">
        <w:fldChar w:fldCharType="begin"/>
      </w:r>
      <w:r w:rsidRPr="00EC307E">
        <w:instrText xml:space="preserve"> REF _Ref507426282 \r \h  \* MERGEFORMAT </w:instrText>
      </w:r>
      <w:r w:rsidRPr="00EC307E">
        <w:fldChar w:fldCharType="separate"/>
      </w:r>
      <w:r w:rsidR="00BF015B">
        <w:t>Appendix M</w:t>
      </w:r>
      <w:r w:rsidRPr="00EC307E">
        <w:fldChar w:fldCharType="end"/>
      </w:r>
      <w:r w:rsidRPr="00EC307E">
        <w:t>.</w:t>
      </w:r>
    </w:p>
    <w:p w14:paraId="0CA33DE4" w14:textId="77777777" w:rsidR="00B46B69" w:rsidRDefault="00C354CD" w:rsidP="00C354CD">
      <w:pPr>
        <w:pStyle w:val="Para0"/>
        <w:sectPr w:rsidR="00B46B69" w:rsidSect="0015681B">
          <w:headerReference w:type="even" r:id="rId94"/>
          <w:footerReference w:type="default" r:id="rId95"/>
          <w:headerReference w:type="first" r:id="rId96"/>
          <w:pgSz w:w="11901" w:h="16840" w:code="9"/>
          <w:pgMar w:top="567" w:right="851" w:bottom="851" w:left="1134" w:header="567" w:footer="370" w:gutter="0"/>
          <w:cols w:space="0"/>
          <w:formProt w:val="0"/>
          <w:docGrid w:linePitch="360"/>
        </w:sectPr>
      </w:pPr>
      <w:r>
        <w:t xml:space="preserve">This future prediction map is another way at considering vulnerability into the future. A do-nothing map of Black Box condition would have all areas outside of the “future” class as dead in the future, as they would have inundation less frequently than once every 10 years. </w:t>
      </w:r>
    </w:p>
    <w:p w14:paraId="71275821" w14:textId="77777777" w:rsidR="00C354CD" w:rsidRDefault="00C354CD" w:rsidP="00C354CD">
      <w:pPr>
        <w:pStyle w:val="Para0"/>
      </w:pPr>
    </w:p>
    <w:p w14:paraId="0D6CDC8F" w14:textId="4E2CF75C" w:rsidR="00C354CD" w:rsidRDefault="00B46B69" w:rsidP="00B46B69">
      <w:pPr>
        <w:pStyle w:val="Para0"/>
        <w:jc w:val="center"/>
      </w:pPr>
      <w:r>
        <w:rPr>
          <w:noProof/>
          <w:lang w:eastAsia="en-AU"/>
        </w:rPr>
        <w:drawing>
          <wp:inline distT="0" distB="0" distL="0" distR="0" wp14:anchorId="2E1A5605" wp14:editId="4230853C">
            <wp:extent cx="13337627" cy="8077299"/>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Fig5.18 Flood Change mapping Fullbasin.png"/>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13344131" cy="8081238"/>
                    </a:xfrm>
                    <a:prstGeom prst="rect">
                      <a:avLst/>
                    </a:prstGeom>
                    <a:ln>
                      <a:noFill/>
                    </a:ln>
                    <a:extLst>
                      <a:ext uri="{53640926-AAD7-44D8-BBD7-CCE9431645EC}">
                        <a14:shadowObscured xmlns:a14="http://schemas.microsoft.com/office/drawing/2010/main"/>
                      </a:ext>
                    </a:extLst>
                  </pic:spPr>
                </pic:pic>
              </a:graphicData>
            </a:graphic>
          </wp:inline>
        </w:drawing>
      </w:r>
    </w:p>
    <w:p w14:paraId="154FB809" w14:textId="10E7FB92" w:rsidR="00B46B69" w:rsidRDefault="00C354CD" w:rsidP="00A22B6D">
      <w:pPr>
        <w:pStyle w:val="Caption"/>
        <w:jc w:val="center"/>
        <w:sectPr w:rsidR="00B46B69" w:rsidSect="00B46B69">
          <w:pgSz w:w="23811" w:h="16838" w:orient="landscape" w:code="8"/>
          <w:pgMar w:top="1134" w:right="567" w:bottom="851" w:left="851" w:header="567" w:footer="370" w:gutter="0"/>
          <w:cols w:space="0"/>
          <w:formProt w:val="0"/>
          <w:docGrid w:linePitch="360"/>
        </w:sectPr>
      </w:pPr>
      <w:bookmarkStart w:id="312" w:name="_Ref507418509"/>
      <w:bookmarkStart w:id="313" w:name="_Toc514018111"/>
      <w:r>
        <w:t xml:space="preserve">Figure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Figure \* ARABIC \s 1 </w:instrText>
      </w:r>
      <w:r>
        <w:fldChar w:fldCharType="separate"/>
      </w:r>
      <w:r w:rsidR="00BF015B">
        <w:rPr>
          <w:noProof/>
        </w:rPr>
        <w:t>18</w:t>
      </w:r>
      <w:r>
        <w:fldChar w:fldCharType="end"/>
      </w:r>
      <w:bookmarkEnd w:id="312"/>
      <w:r>
        <w:t xml:space="preserve">: Flood change map for the Murray-Darling Basin under historical, current and future modelled climate scenarios for a 1 in 10 year flood regime (Overton </w:t>
      </w:r>
      <w:r w:rsidRPr="00A40029">
        <w:rPr>
          <w:i/>
        </w:rPr>
        <w:t>et al.</w:t>
      </w:r>
      <w:r>
        <w:t>, 2009).</w:t>
      </w:r>
      <w:bookmarkEnd w:id="313"/>
    </w:p>
    <w:p w14:paraId="12C1321F" w14:textId="77777777" w:rsidR="00C354CD" w:rsidRDefault="00C354CD" w:rsidP="00C354CD">
      <w:pPr>
        <w:pStyle w:val="Heading4"/>
      </w:pPr>
      <w:r>
        <w:t xml:space="preserve">Management Objectives and Targets </w:t>
      </w:r>
    </w:p>
    <w:p w14:paraId="18AC7B8C" w14:textId="77777777" w:rsidR="00C354CD" w:rsidRPr="00331D81" w:rsidRDefault="00C354CD" w:rsidP="00C354CD">
      <w:pPr>
        <w:pStyle w:val="Para0"/>
      </w:pPr>
      <w:r w:rsidRPr="00331D81">
        <w:t>This section outlines the desired outcomes that are specified in the BWS (MDBA, 2014) for Black Box vegetation.</w:t>
      </w:r>
    </w:p>
    <w:p w14:paraId="2C0C6AC0" w14:textId="411D7EBE" w:rsidR="00C354CD" w:rsidRPr="00331D81" w:rsidRDefault="00C354CD" w:rsidP="00C354CD">
      <w:pPr>
        <w:pStyle w:val="Para0"/>
      </w:pPr>
      <w:r w:rsidRPr="00331D81">
        <w:t xml:space="preserve">The BWS was established under the Basin Plan and includes quantitative environmental outcomes designed to guide environmental water planning to achieve the </w:t>
      </w:r>
      <w:r w:rsidR="005C4005" w:rsidRPr="00331D81">
        <w:t>longer-term</w:t>
      </w:r>
      <w:r w:rsidRPr="00331D81">
        <w:t xml:space="preserve"> objectives for Black Box, as well as specific outcomes for each Water Resource Planning area (i.e. regions shown on</w:t>
      </w:r>
      <w:r>
        <w:t xml:space="preserve"> </w:t>
      </w:r>
      <w:r w:rsidRPr="00742E2B">
        <w:fldChar w:fldCharType="begin"/>
      </w:r>
      <w:r>
        <w:instrText xml:space="preserve"> REF _Ref507408701 \h  \* MERGEFORMAT </w:instrText>
      </w:r>
      <w:r w:rsidRPr="00742E2B">
        <w:fldChar w:fldCharType="separate"/>
      </w:r>
      <w:r w:rsidR="00BF015B" w:rsidRPr="00BF015B">
        <w:t>Figure 5</w:t>
      </w:r>
      <w:r w:rsidR="00BF015B" w:rsidRPr="00BF015B">
        <w:noBreakHyphen/>
        <w:t>8</w:t>
      </w:r>
      <w:r w:rsidRPr="00742E2B">
        <w:fldChar w:fldCharType="end"/>
      </w:r>
      <w:r w:rsidRPr="00331D81">
        <w:t xml:space="preserve">). These outcomes are: </w:t>
      </w:r>
    </w:p>
    <w:p w14:paraId="736806C3" w14:textId="77777777" w:rsidR="00C354CD" w:rsidRPr="00331D81" w:rsidRDefault="00C354CD" w:rsidP="00F22225">
      <w:pPr>
        <w:pStyle w:val="Para0number"/>
        <w:numPr>
          <w:ilvl w:val="0"/>
          <w:numId w:val="38"/>
        </w:numPr>
        <w:spacing w:after="0"/>
        <w:rPr>
          <w:rFonts w:eastAsiaTheme="minorHAnsi"/>
        </w:rPr>
      </w:pPr>
      <w:r w:rsidRPr="00331D81">
        <w:rPr>
          <w:rFonts w:eastAsiaTheme="minorHAnsi"/>
        </w:rPr>
        <w:t xml:space="preserve">maintain the current extent of 409,000 ha of Black Box </w:t>
      </w:r>
    </w:p>
    <w:p w14:paraId="78D85DD3" w14:textId="77777777" w:rsidR="00C354CD" w:rsidRPr="00331D81" w:rsidRDefault="00C354CD" w:rsidP="00F22225">
      <w:pPr>
        <w:pStyle w:val="Para0number"/>
        <w:numPr>
          <w:ilvl w:val="0"/>
          <w:numId w:val="38"/>
        </w:numPr>
        <w:spacing w:after="0"/>
        <w:rPr>
          <w:rFonts w:eastAsiaTheme="minorHAnsi"/>
        </w:rPr>
      </w:pPr>
      <w:r w:rsidRPr="00331D81">
        <w:rPr>
          <w:rFonts w:eastAsiaTheme="minorHAnsi"/>
        </w:rPr>
        <w:t>no decline in the condition of lowland floodplain forests and woodlands across the Basin for Black Box</w:t>
      </w:r>
    </w:p>
    <w:p w14:paraId="1F945294" w14:textId="77777777" w:rsidR="00C354CD" w:rsidRPr="00331D81" w:rsidRDefault="00C354CD" w:rsidP="00F22225">
      <w:pPr>
        <w:pStyle w:val="Para0number"/>
        <w:numPr>
          <w:ilvl w:val="0"/>
          <w:numId w:val="38"/>
        </w:numPr>
        <w:rPr>
          <w:rFonts w:eastAsiaTheme="minorHAnsi"/>
        </w:rPr>
      </w:pPr>
      <w:r w:rsidRPr="00331D81">
        <w:rPr>
          <w:rFonts w:eastAsiaTheme="minorHAnsi"/>
        </w:rPr>
        <w:t>by 2024, improved recruitment for Black Box.</w:t>
      </w:r>
    </w:p>
    <w:p w14:paraId="1830B309" w14:textId="053D9171" w:rsidR="00C354CD" w:rsidRPr="00331D81" w:rsidRDefault="00C354CD" w:rsidP="00C354CD">
      <w:pPr>
        <w:pStyle w:val="Para0"/>
      </w:pPr>
      <w:r w:rsidRPr="00331D81">
        <w:t xml:space="preserve">The BWS outlines </w:t>
      </w:r>
      <w:r w:rsidR="005C4005" w:rsidRPr="00331D81">
        <w:t>several</w:t>
      </w:r>
      <w:r w:rsidRPr="00331D81">
        <w:t xml:space="preserve"> strategies to achieve these outcomes, including overbank river flow events at appropriate frequencies, timing and duration to support the character of water dependent vegetation on the managed floodplain as well as for other regionally significant sites. Other strategies necessary to complement overbank watering events to specifically address the key stressors of Black Box</w:t>
      </w:r>
      <w:r w:rsidR="0016604C">
        <w:t>, including</w:t>
      </w:r>
      <w:r w:rsidRPr="00331D81">
        <w:t xml:space="preserve">, infrastructure built on the floodplain, flow augmentation, groundwater manipulation, weir pool manipulation, and salt interception scheme operations. </w:t>
      </w:r>
    </w:p>
    <w:p w14:paraId="1F512DBF" w14:textId="77777777" w:rsidR="00C354CD" w:rsidRDefault="00C354CD" w:rsidP="00C354CD">
      <w:pPr>
        <w:pStyle w:val="Heading4"/>
      </w:pPr>
      <w:r>
        <w:t>Prioritising Investments Across the Basin</w:t>
      </w:r>
    </w:p>
    <w:p w14:paraId="0854CB30" w14:textId="2D82B32E" w:rsidR="00C354CD" w:rsidRDefault="00C354CD" w:rsidP="00C354CD">
      <w:pPr>
        <w:pStyle w:val="Para0"/>
      </w:pPr>
      <w:r>
        <w:fldChar w:fldCharType="begin"/>
      </w:r>
      <w:r>
        <w:instrText xml:space="preserve"> REF _Ref507426868 \h </w:instrText>
      </w:r>
      <w:r>
        <w:fldChar w:fldCharType="separate"/>
      </w:r>
      <w:r w:rsidR="00BF015B">
        <w:t xml:space="preserve">Figure </w:t>
      </w:r>
      <w:r w:rsidR="00BF015B">
        <w:rPr>
          <w:noProof/>
        </w:rPr>
        <w:t>5</w:t>
      </w:r>
      <w:r w:rsidR="00BF015B">
        <w:noBreakHyphen/>
      </w:r>
      <w:r w:rsidR="00BF015B">
        <w:rPr>
          <w:noProof/>
        </w:rPr>
        <w:t>19</w:t>
      </w:r>
      <w:r>
        <w:fldChar w:fldCharType="end"/>
      </w:r>
      <w:r>
        <w:t xml:space="preserve"> shows how the Framework is used to support resource prioritisation decisions across the basin. The components are:</w:t>
      </w:r>
    </w:p>
    <w:p w14:paraId="380398E6" w14:textId="18F19DD3" w:rsidR="00C354CD" w:rsidRDefault="00C354CD" w:rsidP="00F22225">
      <w:pPr>
        <w:pStyle w:val="Para0"/>
        <w:numPr>
          <w:ilvl w:val="0"/>
          <w:numId w:val="92"/>
        </w:numPr>
      </w:pPr>
      <w:r>
        <w:t>Consider basin scale objectives</w:t>
      </w:r>
    </w:p>
    <w:p w14:paraId="7D0D8CB0" w14:textId="08406D6A" w:rsidR="00C354CD" w:rsidRDefault="00C354CD" w:rsidP="00F22225">
      <w:pPr>
        <w:pStyle w:val="Para0"/>
        <w:numPr>
          <w:ilvl w:val="0"/>
          <w:numId w:val="92"/>
        </w:numPr>
      </w:pPr>
      <w:r>
        <w:t>Consider basin scale assessment of condition and vulnerability</w:t>
      </w:r>
    </w:p>
    <w:p w14:paraId="0BDB33AD" w14:textId="2AB2331B" w:rsidR="00C354CD" w:rsidRDefault="00C354CD" w:rsidP="00F22225">
      <w:pPr>
        <w:pStyle w:val="Para0"/>
        <w:numPr>
          <w:ilvl w:val="0"/>
          <w:numId w:val="92"/>
        </w:numPr>
      </w:pPr>
      <w:r>
        <w:t>Consider available resources including financial, political and environmental water availability</w:t>
      </w:r>
    </w:p>
    <w:p w14:paraId="735A3183" w14:textId="77777777" w:rsidR="00C354CD" w:rsidRDefault="00C354CD" w:rsidP="00F22225">
      <w:pPr>
        <w:pStyle w:val="Para0"/>
        <w:numPr>
          <w:ilvl w:val="0"/>
          <w:numId w:val="92"/>
        </w:numPr>
      </w:pPr>
      <w:r>
        <w:t xml:space="preserve">The range of site plans submitted for consideration of financial and environmental water investment. </w:t>
      </w:r>
    </w:p>
    <w:p w14:paraId="662A5B3C" w14:textId="189D1773" w:rsidR="00C354CD" w:rsidRDefault="0016604C" w:rsidP="00C354CD">
      <w:pPr>
        <w:pStyle w:val="Para0"/>
      </w:pPr>
      <w:r>
        <w:t>These</w:t>
      </w:r>
      <w:r w:rsidR="00C354CD">
        <w:t xml:space="preserve"> four aspects </w:t>
      </w:r>
      <w:r w:rsidR="008344E6">
        <w:t>c</w:t>
      </w:r>
      <w:r>
        <w:t xml:space="preserve">ould be integrated </w:t>
      </w:r>
      <w:r w:rsidR="00C354CD">
        <w:t xml:space="preserve">to determine a priority list of site investments. The first three </w:t>
      </w:r>
      <w:r>
        <w:t xml:space="preserve">aspects </w:t>
      </w:r>
      <w:r w:rsidR="00C354CD">
        <w:t xml:space="preserve">can also be used to determine a priority list </w:t>
      </w:r>
      <w:r>
        <w:t xml:space="preserve">separate to the development of submitted site proposals, for strategic investment to </w:t>
      </w:r>
      <w:r w:rsidR="00C354CD">
        <w:t>achieve basin wide objectives.</w:t>
      </w:r>
    </w:p>
    <w:p w14:paraId="01FAF553" w14:textId="5E0B1F70" w:rsidR="00C354CD" w:rsidRDefault="00C354CD" w:rsidP="00C354CD">
      <w:pPr>
        <w:pStyle w:val="Para0"/>
      </w:pPr>
      <w:r>
        <w:t>The method used for the prioritisation of resources is the responsibility of those accountable for the decision-making, however the princip</w:t>
      </w:r>
      <w:r w:rsidR="0016604C">
        <w:t>les</w:t>
      </w:r>
      <w:r>
        <w:t xml:space="preserve"> of this Framework provide for evidence-based approach to </w:t>
      </w:r>
      <w:r w:rsidR="008344E6">
        <w:t xml:space="preserve">resource </w:t>
      </w:r>
      <w:r>
        <w:t xml:space="preserve">investment in Black Box </w:t>
      </w:r>
      <w:r w:rsidR="00945487">
        <w:t>outcomes.</w:t>
      </w:r>
    </w:p>
    <w:p w14:paraId="13A2338B" w14:textId="77777777" w:rsidR="00C354CD" w:rsidRDefault="00C354CD" w:rsidP="00C354CD">
      <w:pPr>
        <w:pStyle w:val="Para0"/>
      </w:pPr>
      <w:r>
        <w:t>The use of the Framework for the assessment of investment proposals will allow direct comparison in terms of potential impact, urgency and confidence of the proposal.</w:t>
      </w:r>
    </w:p>
    <w:p w14:paraId="50A00C6D" w14:textId="77777777" w:rsidR="00C354CD" w:rsidRDefault="00C354CD" w:rsidP="00C354CD">
      <w:pPr>
        <w:pStyle w:val="Para0"/>
        <w:spacing w:before="0" w:after="0"/>
      </w:pPr>
      <w:r>
        <w:rPr>
          <w:noProof/>
          <w:lang w:eastAsia="en-AU"/>
        </w:rPr>
        <w:drawing>
          <wp:inline distT="0" distB="0" distL="0" distR="0" wp14:anchorId="237625BE" wp14:editId="0692BF98">
            <wp:extent cx="5682512" cy="393382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de8.JPG"/>
                    <pic:cNvPicPr/>
                  </pic:nvPicPr>
                  <pic:blipFill>
                    <a:blip r:embed="rId98" cstate="email">
                      <a:extLst>
                        <a:ext uri="{28A0092B-C50C-407E-A947-70E740481C1C}">
                          <a14:useLocalDpi xmlns:a14="http://schemas.microsoft.com/office/drawing/2010/main"/>
                        </a:ext>
                      </a:extLst>
                    </a:blip>
                    <a:stretch>
                      <a:fillRect/>
                    </a:stretch>
                  </pic:blipFill>
                  <pic:spPr>
                    <a:xfrm>
                      <a:off x="0" y="0"/>
                      <a:ext cx="5704007" cy="3948705"/>
                    </a:xfrm>
                    <a:prstGeom prst="rect">
                      <a:avLst/>
                    </a:prstGeom>
                  </pic:spPr>
                </pic:pic>
              </a:graphicData>
            </a:graphic>
          </wp:inline>
        </w:drawing>
      </w:r>
    </w:p>
    <w:p w14:paraId="27099388" w14:textId="2960F048" w:rsidR="00C354CD" w:rsidRPr="00EC307E" w:rsidRDefault="00C354CD" w:rsidP="00EA581E">
      <w:pPr>
        <w:pStyle w:val="Caption"/>
        <w:spacing w:before="0" w:after="0"/>
        <w:jc w:val="center"/>
      </w:pPr>
      <w:bookmarkStart w:id="314" w:name="_Ref507426868"/>
      <w:bookmarkStart w:id="315" w:name="_Toc514018112"/>
      <w:r>
        <w:t xml:space="preserve">Figure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Figure \* ARABIC \s 1 </w:instrText>
      </w:r>
      <w:r>
        <w:fldChar w:fldCharType="separate"/>
      </w:r>
      <w:r w:rsidR="00BF015B">
        <w:rPr>
          <w:noProof/>
        </w:rPr>
        <w:t>19</w:t>
      </w:r>
      <w:r>
        <w:fldChar w:fldCharType="end"/>
      </w:r>
      <w:bookmarkEnd w:id="314"/>
      <w:r>
        <w:t>: Black Box Management Framework – Prioritising Investments</w:t>
      </w:r>
      <w:bookmarkEnd w:id="315"/>
    </w:p>
    <w:p w14:paraId="46896401" w14:textId="77777777" w:rsidR="00C354CD" w:rsidRDefault="00C354CD" w:rsidP="00C354CD">
      <w:pPr>
        <w:pStyle w:val="Heading4"/>
      </w:pPr>
      <w:r>
        <w:t xml:space="preserve">Basin Wide Monitoring  </w:t>
      </w:r>
    </w:p>
    <w:p w14:paraId="59D2E807" w14:textId="6551F0AD" w:rsidR="00C354CD" w:rsidRPr="00331D81" w:rsidRDefault="00C354CD" w:rsidP="007A4B74">
      <w:pPr>
        <w:pStyle w:val="Para0"/>
      </w:pPr>
      <w:r w:rsidRPr="00331D81">
        <w:t>Tracking the condition of Black Box under the Basin Plan’s implementation is crucial for understanding whether expected environmental outcomes are being achieved. An analysis of progress against Black Box outcomes in the context of the management applied will also inform any adjustments needed to maximise environmental benefits. The program for monitoring and evaluation of Black Box condition at the Basin scale is outlined in Chapter 13 of the Basin Plan</w:t>
      </w:r>
      <w:r w:rsidR="00A27187">
        <w:t xml:space="preserve">. </w:t>
      </w:r>
      <w:r w:rsidRPr="00331D81">
        <w:t xml:space="preserve"> </w:t>
      </w:r>
    </w:p>
    <w:p w14:paraId="53125870" w14:textId="352F14F9" w:rsidR="00C354CD" w:rsidRPr="00331D81" w:rsidRDefault="00C354CD" w:rsidP="00C354CD">
      <w:pPr>
        <w:pStyle w:val="Para0"/>
      </w:pPr>
      <w:r w:rsidRPr="00331D81">
        <w:t xml:space="preserve">A summary of the various monitoring activities, and the parties involved in delivering these is provided in </w:t>
      </w:r>
      <w:r>
        <w:rPr>
          <w:b/>
        </w:rPr>
        <w:fldChar w:fldCharType="begin"/>
      </w:r>
      <w:r>
        <w:instrText xml:space="preserve"> REF _Ref507418812 \h </w:instrText>
      </w:r>
      <w:r>
        <w:rPr>
          <w:b/>
        </w:rPr>
      </w:r>
      <w:r>
        <w:rPr>
          <w:b/>
        </w:rPr>
        <w:fldChar w:fldCharType="separate"/>
      </w:r>
      <w:r w:rsidR="00BF015B" w:rsidRPr="00331D81">
        <w:t xml:space="preserve">Table </w:t>
      </w:r>
      <w:r w:rsidR="00BF015B">
        <w:rPr>
          <w:noProof/>
        </w:rPr>
        <w:t>5</w:t>
      </w:r>
      <w:r w:rsidR="00BF015B">
        <w:noBreakHyphen/>
      </w:r>
      <w:r w:rsidR="00BF015B">
        <w:rPr>
          <w:noProof/>
        </w:rPr>
        <w:t>12</w:t>
      </w:r>
      <w:r>
        <w:rPr>
          <w:b/>
        </w:rPr>
        <w:fldChar w:fldCharType="end"/>
      </w:r>
      <w:r>
        <w:rPr>
          <w:b/>
        </w:rPr>
        <w:t>.</w:t>
      </w:r>
      <w:r w:rsidRPr="00331D81">
        <w:t xml:space="preserve"> This is not intended as a prescriptive </w:t>
      </w:r>
      <w:r>
        <w:t xml:space="preserve">or comprehensive </w:t>
      </w:r>
      <w:r w:rsidRPr="00331D81">
        <w:t xml:space="preserve">list of roles, but rather to give an indication of the areas in which parties are involved. </w:t>
      </w:r>
    </w:p>
    <w:p w14:paraId="01D798CF" w14:textId="2445DBBE" w:rsidR="00C354CD" w:rsidRPr="00331D81" w:rsidRDefault="00C354CD" w:rsidP="00C354CD">
      <w:pPr>
        <w:pStyle w:val="Caption"/>
      </w:pPr>
      <w:bookmarkStart w:id="316" w:name="_Ref507418812"/>
      <w:bookmarkStart w:id="317" w:name="_Toc514068800"/>
      <w:r w:rsidRPr="00331D81">
        <w:t xml:space="preserve">Table </w:t>
      </w:r>
      <w:r>
        <w:fldChar w:fldCharType="begin"/>
      </w:r>
      <w:r>
        <w:instrText xml:space="preserve"> STYLEREF 1 \s </w:instrText>
      </w:r>
      <w:r>
        <w:fldChar w:fldCharType="separate"/>
      </w:r>
      <w:r w:rsidR="00BF015B">
        <w:rPr>
          <w:noProof/>
        </w:rPr>
        <w:t>5</w:t>
      </w:r>
      <w:r>
        <w:fldChar w:fldCharType="end"/>
      </w:r>
      <w:r>
        <w:noBreakHyphen/>
      </w:r>
      <w:r>
        <w:fldChar w:fldCharType="begin"/>
      </w:r>
      <w:r>
        <w:instrText xml:space="preserve"> SEQ Table \* ARABIC \s 1 </w:instrText>
      </w:r>
      <w:r>
        <w:fldChar w:fldCharType="separate"/>
      </w:r>
      <w:r w:rsidR="00BF015B">
        <w:rPr>
          <w:noProof/>
        </w:rPr>
        <w:t>12</w:t>
      </w:r>
      <w:r>
        <w:fldChar w:fldCharType="end"/>
      </w:r>
      <w:bookmarkEnd w:id="316"/>
      <w:r w:rsidRPr="00331D81">
        <w:t xml:space="preserve">: </w:t>
      </w:r>
      <w:r w:rsidRPr="00331D81">
        <w:rPr>
          <w:rFonts w:cs="Arial"/>
          <w:bCs/>
          <w:color w:val="000000"/>
          <w:szCs w:val="20"/>
        </w:rPr>
        <w:t>Involvement of stakeholders in measuring outcomes of environmental watering at different scales</w:t>
      </w:r>
      <w:bookmarkEnd w:id="317"/>
    </w:p>
    <w:tbl>
      <w:tblPr>
        <w:tblStyle w:val="TableGrid"/>
        <w:tblW w:w="10031" w:type="dxa"/>
        <w:tblLook w:val="04A0" w:firstRow="1" w:lastRow="0" w:firstColumn="1" w:lastColumn="0" w:noHBand="0" w:noVBand="1"/>
      </w:tblPr>
      <w:tblGrid>
        <w:gridCol w:w="2405"/>
        <w:gridCol w:w="6634"/>
        <w:gridCol w:w="992"/>
      </w:tblGrid>
      <w:tr w:rsidR="00C354CD" w:rsidRPr="00331D81" w14:paraId="07E4E6BA" w14:textId="77777777" w:rsidTr="00447398">
        <w:trPr>
          <w:trHeight w:val="163"/>
          <w:tblHeader/>
        </w:trPr>
        <w:tc>
          <w:tcPr>
            <w:tcW w:w="2405" w:type="dxa"/>
            <w:shd w:val="clear" w:color="auto" w:fill="65876D"/>
          </w:tcPr>
          <w:p w14:paraId="470DE1B0" w14:textId="77777777" w:rsidR="00C354CD" w:rsidRPr="00331D81" w:rsidRDefault="00C354CD" w:rsidP="00AD0E29">
            <w:pPr>
              <w:pStyle w:val="Tableheading"/>
              <w:jc w:val="center"/>
              <w:rPr>
                <w:b/>
                <w:color w:val="FFFFFF" w:themeColor="background1"/>
              </w:rPr>
            </w:pPr>
            <w:r w:rsidRPr="00331D81">
              <w:rPr>
                <w:b/>
                <w:color w:val="FFFFFF" w:themeColor="background1"/>
              </w:rPr>
              <w:t>Party</w:t>
            </w:r>
          </w:p>
        </w:tc>
        <w:tc>
          <w:tcPr>
            <w:tcW w:w="6634" w:type="dxa"/>
            <w:shd w:val="clear" w:color="auto" w:fill="65876D"/>
          </w:tcPr>
          <w:p w14:paraId="7A980862" w14:textId="77777777" w:rsidR="00C354CD" w:rsidRPr="00331D81" w:rsidRDefault="00C354CD" w:rsidP="00AD0E29">
            <w:pPr>
              <w:pStyle w:val="Tableheading"/>
              <w:jc w:val="center"/>
              <w:rPr>
                <w:b/>
                <w:color w:val="FFFFFF" w:themeColor="background1"/>
              </w:rPr>
            </w:pPr>
            <w:r w:rsidRPr="00331D81">
              <w:rPr>
                <w:b/>
                <w:color w:val="FFFFFF" w:themeColor="background1"/>
              </w:rPr>
              <w:t>Involved with</w:t>
            </w:r>
          </w:p>
        </w:tc>
        <w:tc>
          <w:tcPr>
            <w:tcW w:w="992" w:type="dxa"/>
            <w:shd w:val="clear" w:color="auto" w:fill="65876D"/>
          </w:tcPr>
          <w:p w14:paraId="35869A94" w14:textId="77777777" w:rsidR="00C354CD" w:rsidRPr="00331D81" w:rsidRDefault="00C354CD" w:rsidP="00AD0E29">
            <w:pPr>
              <w:pStyle w:val="Tableheading"/>
              <w:jc w:val="center"/>
              <w:rPr>
                <w:b/>
                <w:color w:val="FFFFFF" w:themeColor="background1"/>
              </w:rPr>
            </w:pPr>
            <w:r w:rsidRPr="00331D81">
              <w:rPr>
                <w:b/>
                <w:color w:val="FFFFFF" w:themeColor="background1"/>
              </w:rPr>
              <w:t>Scale</w:t>
            </w:r>
          </w:p>
        </w:tc>
      </w:tr>
      <w:tr w:rsidR="00C354CD" w:rsidRPr="00331D81" w14:paraId="7F9B6AF7" w14:textId="77777777" w:rsidTr="00447398">
        <w:trPr>
          <w:trHeight w:val="20"/>
        </w:trPr>
        <w:tc>
          <w:tcPr>
            <w:tcW w:w="2405" w:type="dxa"/>
          </w:tcPr>
          <w:p w14:paraId="73742191" w14:textId="77777777" w:rsidR="00C354CD" w:rsidRPr="00331D81" w:rsidRDefault="00C354CD" w:rsidP="00AD0E29">
            <w:pPr>
              <w:pStyle w:val="Tablesmalltext"/>
              <w:rPr>
                <w:rFonts w:cs="Arial"/>
                <w:color w:val="000000"/>
                <w:szCs w:val="20"/>
              </w:rPr>
            </w:pPr>
            <w:r w:rsidRPr="00331D81">
              <w:rPr>
                <w:rFonts w:cs="Arial"/>
                <w:color w:val="000000"/>
                <w:szCs w:val="20"/>
              </w:rPr>
              <w:t>MDBA</w:t>
            </w:r>
          </w:p>
        </w:tc>
        <w:tc>
          <w:tcPr>
            <w:tcW w:w="6634" w:type="dxa"/>
          </w:tcPr>
          <w:p w14:paraId="4938BA20" w14:textId="77777777" w:rsidR="00C354CD" w:rsidRPr="00331D81" w:rsidRDefault="00C354CD" w:rsidP="00F22225">
            <w:pPr>
              <w:pStyle w:val="Tablesmalltext"/>
              <w:numPr>
                <w:ilvl w:val="0"/>
                <w:numId w:val="30"/>
              </w:numPr>
              <w:ind w:left="357" w:hanging="357"/>
              <w:rPr>
                <w:rFonts w:cs="Arial"/>
                <w:color w:val="000000"/>
                <w:szCs w:val="20"/>
              </w:rPr>
            </w:pPr>
            <w:r w:rsidRPr="00331D81">
              <w:rPr>
                <w:rFonts w:cs="Arial"/>
                <w:color w:val="000000"/>
                <w:szCs w:val="20"/>
              </w:rPr>
              <w:t>analysis of Basin Scale outcomes and reporting of achievement of environmental objectives of the Basin Plan and associated strategies at a Basin Scale</w:t>
            </w:r>
          </w:p>
          <w:p w14:paraId="2049409C" w14:textId="77777777" w:rsidR="00C354CD" w:rsidRPr="00331D81" w:rsidRDefault="00C354CD" w:rsidP="00F22225">
            <w:pPr>
              <w:pStyle w:val="Tablesmalltext"/>
              <w:numPr>
                <w:ilvl w:val="0"/>
                <w:numId w:val="30"/>
              </w:numPr>
              <w:ind w:left="357" w:hanging="357"/>
              <w:rPr>
                <w:rFonts w:cs="Arial"/>
                <w:color w:val="000000"/>
                <w:szCs w:val="20"/>
              </w:rPr>
            </w:pPr>
            <w:r w:rsidRPr="00331D81">
              <w:rPr>
                <w:rFonts w:cs="Arial"/>
                <w:color w:val="000000"/>
                <w:szCs w:val="20"/>
              </w:rPr>
              <w:t>monitoring and evaluation at The Living Murray icon sites</w:t>
            </w:r>
          </w:p>
        </w:tc>
        <w:tc>
          <w:tcPr>
            <w:tcW w:w="992" w:type="dxa"/>
          </w:tcPr>
          <w:p w14:paraId="35405220" w14:textId="77777777" w:rsidR="00C354CD" w:rsidRPr="00331D81" w:rsidRDefault="00C354CD" w:rsidP="00AD0E29">
            <w:pPr>
              <w:pStyle w:val="Tablesmalltext"/>
              <w:rPr>
                <w:rFonts w:cs="Arial"/>
                <w:color w:val="000000"/>
                <w:szCs w:val="20"/>
              </w:rPr>
            </w:pPr>
            <w:r w:rsidRPr="00331D81">
              <w:rPr>
                <w:rFonts w:cs="Arial"/>
                <w:color w:val="000000"/>
                <w:szCs w:val="20"/>
              </w:rPr>
              <w:t>Basin</w:t>
            </w:r>
          </w:p>
        </w:tc>
      </w:tr>
      <w:tr w:rsidR="00C354CD" w:rsidRPr="00331D81" w14:paraId="2EA63C02" w14:textId="77777777" w:rsidTr="00447398">
        <w:trPr>
          <w:trHeight w:val="20"/>
        </w:trPr>
        <w:tc>
          <w:tcPr>
            <w:tcW w:w="2405" w:type="dxa"/>
          </w:tcPr>
          <w:p w14:paraId="086381AA" w14:textId="77777777" w:rsidR="00C354CD" w:rsidRPr="00331D81" w:rsidRDefault="00C354CD" w:rsidP="00AD0E29">
            <w:pPr>
              <w:pStyle w:val="Tablesmalltext"/>
              <w:rPr>
                <w:rFonts w:cs="Arial"/>
                <w:color w:val="000000"/>
                <w:szCs w:val="20"/>
              </w:rPr>
            </w:pPr>
            <w:r w:rsidRPr="00331D81">
              <w:rPr>
                <w:rFonts w:cs="Arial"/>
                <w:color w:val="000000"/>
                <w:szCs w:val="20"/>
              </w:rPr>
              <w:t>Environmental water holders</w:t>
            </w:r>
          </w:p>
        </w:tc>
        <w:tc>
          <w:tcPr>
            <w:tcW w:w="6634" w:type="dxa"/>
          </w:tcPr>
          <w:p w14:paraId="6C721B04" w14:textId="77777777" w:rsidR="00C354CD" w:rsidRPr="00331D81" w:rsidRDefault="00C354CD" w:rsidP="00F22225">
            <w:pPr>
              <w:pStyle w:val="Tablesmalltext"/>
              <w:numPr>
                <w:ilvl w:val="0"/>
                <w:numId w:val="30"/>
              </w:numPr>
              <w:ind w:left="357" w:hanging="357"/>
              <w:rPr>
                <w:rFonts w:cs="Arial"/>
                <w:color w:val="000000"/>
                <w:szCs w:val="20"/>
              </w:rPr>
            </w:pPr>
            <w:r w:rsidRPr="00331D81">
              <w:rPr>
                <w:rFonts w:cs="Arial"/>
                <w:color w:val="000000"/>
                <w:szCs w:val="20"/>
              </w:rPr>
              <w:t>account for volume and use of environmental water to achieve environmental objectives set by the Basin Plan</w:t>
            </w:r>
          </w:p>
          <w:p w14:paraId="7083547F" w14:textId="77777777" w:rsidR="00C354CD" w:rsidRPr="00331D81" w:rsidRDefault="00C354CD" w:rsidP="00F22225">
            <w:pPr>
              <w:pStyle w:val="Tablesmalltext"/>
              <w:numPr>
                <w:ilvl w:val="0"/>
                <w:numId w:val="30"/>
              </w:numPr>
              <w:ind w:left="357" w:hanging="357"/>
              <w:rPr>
                <w:rFonts w:cs="Arial"/>
                <w:color w:val="000000"/>
                <w:szCs w:val="20"/>
              </w:rPr>
            </w:pPr>
            <w:r w:rsidRPr="00331D81">
              <w:rPr>
                <w:rFonts w:cs="Arial"/>
                <w:color w:val="000000"/>
                <w:szCs w:val="20"/>
              </w:rPr>
              <w:t>ecological monitoring and evaluation for selected water delivery areas; inferring the effects of watering actions in other parts of the Basin</w:t>
            </w:r>
          </w:p>
        </w:tc>
        <w:tc>
          <w:tcPr>
            <w:tcW w:w="992" w:type="dxa"/>
          </w:tcPr>
          <w:p w14:paraId="794D89A3" w14:textId="77777777" w:rsidR="00C354CD" w:rsidRPr="00331D81" w:rsidRDefault="00C354CD" w:rsidP="00AD0E29">
            <w:pPr>
              <w:pStyle w:val="Tablesmalltext"/>
              <w:rPr>
                <w:rFonts w:cs="Arial"/>
                <w:color w:val="000000"/>
                <w:szCs w:val="20"/>
              </w:rPr>
            </w:pPr>
            <w:r w:rsidRPr="00331D81">
              <w:rPr>
                <w:rFonts w:cs="Arial"/>
                <w:color w:val="000000"/>
                <w:szCs w:val="20"/>
              </w:rPr>
              <w:t>Basin and sites</w:t>
            </w:r>
          </w:p>
        </w:tc>
      </w:tr>
      <w:tr w:rsidR="00C354CD" w:rsidRPr="00331D81" w14:paraId="43BB8CEC" w14:textId="77777777" w:rsidTr="00447398">
        <w:trPr>
          <w:trHeight w:val="20"/>
        </w:trPr>
        <w:tc>
          <w:tcPr>
            <w:tcW w:w="2405" w:type="dxa"/>
          </w:tcPr>
          <w:p w14:paraId="3A58F411" w14:textId="77777777" w:rsidR="00C354CD" w:rsidRPr="00331D81" w:rsidRDefault="00C354CD" w:rsidP="00AD0E29">
            <w:pPr>
              <w:pStyle w:val="Tablesmalltext"/>
              <w:rPr>
                <w:rFonts w:cs="Arial"/>
                <w:color w:val="000000"/>
                <w:szCs w:val="20"/>
              </w:rPr>
            </w:pPr>
            <w:r w:rsidRPr="00331D81">
              <w:rPr>
                <w:rFonts w:cs="Arial"/>
                <w:color w:val="000000"/>
                <w:szCs w:val="20"/>
              </w:rPr>
              <w:t>States</w:t>
            </w:r>
          </w:p>
        </w:tc>
        <w:tc>
          <w:tcPr>
            <w:tcW w:w="6634" w:type="dxa"/>
          </w:tcPr>
          <w:p w14:paraId="0197F3C4" w14:textId="77777777" w:rsidR="00C354CD" w:rsidRPr="00331D81" w:rsidRDefault="00C354CD" w:rsidP="00F22225">
            <w:pPr>
              <w:pStyle w:val="Tablesmalltext"/>
              <w:numPr>
                <w:ilvl w:val="0"/>
                <w:numId w:val="30"/>
              </w:numPr>
              <w:ind w:left="357" w:hanging="357"/>
              <w:rPr>
                <w:rFonts w:cs="Arial"/>
                <w:color w:val="000000"/>
                <w:szCs w:val="20"/>
              </w:rPr>
            </w:pPr>
            <w:r w:rsidRPr="00331D81">
              <w:rPr>
                <w:rFonts w:cs="Arial"/>
                <w:color w:val="000000"/>
                <w:szCs w:val="20"/>
              </w:rPr>
              <w:t xml:space="preserve">condition and intervention monitoring at the asset scale </w:t>
            </w:r>
          </w:p>
          <w:p w14:paraId="3D6F5389" w14:textId="77777777" w:rsidR="00C354CD" w:rsidRPr="00331D81" w:rsidRDefault="00C354CD" w:rsidP="00F22225">
            <w:pPr>
              <w:pStyle w:val="Tablesmalltext"/>
              <w:numPr>
                <w:ilvl w:val="0"/>
                <w:numId w:val="30"/>
              </w:numPr>
              <w:ind w:left="357" w:hanging="357"/>
              <w:rPr>
                <w:rFonts w:cs="Arial"/>
                <w:color w:val="000000"/>
                <w:szCs w:val="20"/>
              </w:rPr>
            </w:pPr>
            <w:r w:rsidRPr="00331D81">
              <w:rPr>
                <w:rFonts w:cs="Arial"/>
                <w:color w:val="000000"/>
                <w:szCs w:val="20"/>
              </w:rPr>
              <w:t xml:space="preserve">reporting on the achievement of environmental objectives of the Basin Plan at the asset scale </w:t>
            </w:r>
          </w:p>
        </w:tc>
        <w:tc>
          <w:tcPr>
            <w:tcW w:w="992" w:type="dxa"/>
          </w:tcPr>
          <w:p w14:paraId="72E4847C" w14:textId="77777777" w:rsidR="00C354CD" w:rsidRPr="00331D81" w:rsidRDefault="00C354CD" w:rsidP="00AD0E29">
            <w:pPr>
              <w:pStyle w:val="Tablesmalltext"/>
              <w:rPr>
                <w:rFonts w:cs="Arial"/>
                <w:color w:val="000000"/>
                <w:szCs w:val="20"/>
              </w:rPr>
            </w:pPr>
            <w:r w:rsidRPr="00331D81">
              <w:rPr>
                <w:rFonts w:cs="Arial"/>
                <w:color w:val="000000"/>
                <w:szCs w:val="20"/>
              </w:rPr>
              <w:t>Sites</w:t>
            </w:r>
          </w:p>
        </w:tc>
      </w:tr>
      <w:tr w:rsidR="00C354CD" w:rsidRPr="00331D81" w14:paraId="6D715507" w14:textId="77777777" w:rsidTr="00447398">
        <w:trPr>
          <w:trHeight w:val="20"/>
        </w:trPr>
        <w:tc>
          <w:tcPr>
            <w:tcW w:w="2405" w:type="dxa"/>
          </w:tcPr>
          <w:p w14:paraId="0D1A0797" w14:textId="77777777" w:rsidR="00C354CD" w:rsidRPr="00331D81" w:rsidRDefault="00C354CD" w:rsidP="00AD0E29">
            <w:pPr>
              <w:pStyle w:val="Tablesmalltext"/>
              <w:rPr>
                <w:rFonts w:cs="Arial"/>
                <w:color w:val="000000"/>
                <w:szCs w:val="20"/>
              </w:rPr>
            </w:pPr>
            <w:r w:rsidRPr="00331D81">
              <w:rPr>
                <w:rFonts w:cs="Arial"/>
                <w:color w:val="000000"/>
                <w:szCs w:val="20"/>
              </w:rPr>
              <w:t>Local government / natural resource management bodies</w:t>
            </w:r>
          </w:p>
        </w:tc>
        <w:tc>
          <w:tcPr>
            <w:tcW w:w="6634" w:type="dxa"/>
          </w:tcPr>
          <w:p w14:paraId="3AA1D4C4" w14:textId="77777777" w:rsidR="00C354CD" w:rsidRPr="00331D81" w:rsidRDefault="00C354CD" w:rsidP="00F22225">
            <w:pPr>
              <w:pStyle w:val="Tablesmalltext"/>
              <w:numPr>
                <w:ilvl w:val="0"/>
                <w:numId w:val="30"/>
              </w:numPr>
              <w:ind w:left="357" w:hanging="357"/>
              <w:rPr>
                <w:rFonts w:cs="Arial"/>
                <w:color w:val="000000"/>
                <w:szCs w:val="20"/>
              </w:rPr>
            </w:pPr>
            <w:r w:rsidRPr="00331D81">
              <w:rPr>
                <w:rFonts w:cs="Arial"/>
                <w:color w:val="000000"/>
                <w:szCs w:val="20"/>
              </w:rPr>
              <w:t>collection of data used by state and commonwealth reporting agencies</w:t>
            </w:r>
          </w:p>
        </w:tc>
        <w:tc>
          <w:tcPr>
            <w:tcW w:w="992" w:type="dxa"/>
          </w:tcPr>
          <w:p w14:paraId="6D6C43C9" w14:textId="77777777" w:rsidR="00C354CD" w:rsidRPr="00331D81" w:rsidRDefault="00C354CD" w:rsidP="00AD0E29">
            <w:pPr>
              <w:pStyle w:val="Tablesmalltext"/>
              <w:rPr>
                <w:rFonts w:cs="Arial"/>
                <w:color w:val="000000"/>
                <w:szCs w:val="20"/>
              </w:rPr>
            </w:pPr>
            <w:r w:rsidRPr="00331D81">
              <w:rPr>
                <w:rFonts w:cs="Arial"/>
                <w:color w:val="000000"/>
                <w:szCs w:val="20"/>
              </w:rPr>
              <w:t>Sites</w:t>
            </w:r>
          </w:p>
        </w:tc>
      </w:tr>
    </w:tbl>
    <w:p w14:paraId="2FD7D3AC" w14:textId="74502915" w:rsidR="00C354CD" w:rsidRPr="00331D81" w:rsidRDefault="00C354CD" w:rsidP="00C354CD">
      <w:pPr>
        <w:pStyle w:val="Para0"/>
      </w:pPr>
      <w:r w:rsidRPr="00331D81">
        <w:t>This framework does not prescribe an approach to monitoring and evaluation for practitioners, rather it suggests adopting appropriate monitoring and evaluation to reduce uncertainty and better inform management decisions, and where possible, to use accepted methods that are commonly used at the site or within the broader region (thereby potentially improving the power of analyses between sites in a region).</w:t>
      </w:r>
      <w:r w:rsidR="009E2239">
        <w:t xml:space="preserve"> The confidence assessment process described throughout the Framework provides a guide for how evaluation and collection of new information can build confidence in decision making. </w:t>
      </w:r>
    </w:p>
    <w:p w14:paraId="553C61A6" w14:textId="77777777" w:rsidR="00F22225" w:rsidRDefault="00C354CD" w:rsidP="00A40029">
      <w:pPr>
        <w:pStyle w:val="Para0"/>
      </w:pPr>
      <w:r w:rsidRPr="00331D81">
        <w:t xml:space="preserve">Information reported by a practitioner for a site in the short, medium and long term will contribute ultimately to the periodic Basin scale evaluation of progress against the Black Box objectives of the BWS. </w:t>
      </w:r>
    </w:p>
    <w:p w14:paraId="05B028C3" w14:textId="2FEBD632" w:rsidR="00C354CD" w:rsidRDefault="00C354CD" w:rsidP="00A40029">
      <w:pPr>
        <w:pStyle w:val="Para0"/>
      </w:pPr>
    </w:p>
    <w:p w14:paraId="52187BA8" w14:textId="50AC0EAD" w:rsidR="00C354CD" w:rsidRPr="000C748E" w:rsidRDefault="00C354CD" w:rsidP="00C354CD">
      <w:pPr>
        <w:pStyle w:val="Heading2"/>
        <w:rPr>
          <w:color w:val="65876D" w:themeColor="accent4" w:themeShade="BF"/>
        </w:rPr>
      </w:pPr>
      <w:bookmarkStart w:id="318" w:name="_Toc514018011"/>
      <w:r w:rsidRPr="000C748E">
        <w:rPr>
          <w:color w:val="65876D" w:themeColor="accent4" w:themeShade="BF"/>
        </w:rPr>
        <w:t>Principles for Management of Black Box</w:t>
      </w:r>
      <w:bookmarkEnd w:id="318"/>
      <w:r w:rsidRPr="000C748E">
        <w:rPr>
          <w:color w:val="65876D" w:themeColor="accent4" w:themeShade="BF"/>
        </w:rPr>
        <w:t xml:space="preserve"> </w:t>
      </w:r>
    </w:p>
    <w:p w14:paraId="104CCC6D" w14:textId="1FA85F75" w:rsidR="00C354CD" w:rsidRPr="00331D81" w:rsidRDefault="00C354CD" w:rsidP="00C354CD">
      <w:pPr>
        <w:pStyle w:val="CommentText"/>
      </w:pPr>
      <w:r w:rsidRPr="00331D81">
        <w:t xml:space="preserve">The decline in Black Box populations has occurred over many decades, influencing hydro-geological processes that take comparatively similar timeframes to reverse the current trajectory in the observable ecological condition. This section presents the principles and </w:t>
      </w:r>
      <w:r w:rsidR="005C4005" w:rsidRPr="00331D81">
        <w:t>high-level</w:t>
      </w:r>
      <w:r w:rsidRPr="00331D81">
        <w:t xml:space="preserve"> strategies for targeting the </w:t>
      </w:r>
      <w:r w:rsidR="005C4005" w:rsidRPr="00331D81">
        <w:t>long-term</w:t>
      </w:r>
      <w:r w:rsidRPr="00331D81">
        <w:t xml:space="preserve"> outcomes of the Basin-wide environmental watering strategy.</w:t>
      </w:r>
      <w:r w:rsidR="00CD7E3E">
        <w:t xml:space="preserve"> These represent the outcomes of the analysis conducted for both the regional/reach and basin scales. </w:t>
      </w:r>
    </w:p>
    <w:p w14:paraId="6D4B36C1" w14:textId="77777777" w:rsidR="00C354CD" w:rsidRPr="00331D81" w:rsidRDefault="00C354CD" w:rsidP="00C354CD">
      <w:pPr>
        <w:pStyle w:val="CommentText"/>
      </w:pPr>
      <w:r w:rsidRPr="00331D81">
        <w:t>Principles for targeting Black Box outcomes:</w:t>
      </w:r>
    </w:p>
    <w:p w14:paraId="79807D0D" w14:textId="77777777" w:rsidR="00C354CD" w:rsidRPr="00331D81" w:rsidRDefault="00C354CD" w:rsidP="00F22225">
      <w:pPr>
        <w:pStyle w:val="CommentText"/>
        <w:numPr>
          <w:ilvl w:val="0"/>
          <w:numId w:val="54"/>
        </w:numPr>
      </w:pPr>
      <w:r w:rsidRPr="00331D81">
        <w:t>Environmental water is likel</w:t>
      </w:r>
      <w:r>
        <w:t>y to be effective where there are</w:t>
      </w:r>
      <w:r w:rsidRPr="00331D81">
        <w:t xml:space="preserve"> viable Black Box trees identified as “flow” stressed”, but less effective where the floodplain is subject to salinity stress.</w:t>
      </w:r>
    </w:p>
    <w:p w14:paraId="514A4E23" w14:textId="77777777" w:rsidR="00C354CD" w:rsidRPr="00331D81" w:rsidRDefault="00C354CD" w:rsidP="00F22225">
      <w:pPr>
        <w:pStyle w:val="CommentText"/>
        <w:numPr>
          <w:ilvl w:val="0"/>
          <w:numId w:val="54"/>
        </w:numPr>
      </w:pPr>
      <w:r w:rsidRPr="00331D81">
        <w:t>The achievement of sustainable outcomes for Black Box populations is dependent on complementary land and water management interventions.</w:t>
      </w:r>
    </w:p>
    <w:p w14:paraId="2AA47CA4" w14:textId="77777777" w:rsidR="00C354CD" w:rsidRPr="00331D81" w:rsidRDefault="00C354CD" w:rsidP="00F22225">
      <w:pPr>
        <w:pStyle w:val="CommentText"/>
        <w:numPr>
          <w:ilvl w:val="0"/>
          <w:numId w:val="54"/>
        </w:numPr>
      </w:pPr>
      <w:r w:rsidRPr="00331D81">
        <w:t>The recovery of Black Box populations requires multi-year commitments of sustained intervention to achieve long term Black Box outcomes.</w:t>
      </w:r>
    </w:p>
    <w:p w14:paraId="034E76F3" w14:textId="76CFCC89" w:rsidR="00C354CD" w:rsidRPr="00331D81" w:rsidRDefault="00C354CD" w:rsidP="00C354CD">
      <w:pPr>
        <w:pStyle w:val="Para0"/>
      </w:pPr>
      <w:r w:rsidRPr="00331D81">
        <w:t>Environmental watering provides one management strategy that can be applied to improve the condition of Black Box vegetation. As outlined in section</w:t>
      </w:r>
      <w:r>
        <w:t xml:space="preserve"> </w:t>
      </w:r>
      <w:r>
        <w:fldChar w:fldCharType="begin"/>
      </w:r>
      <w:r>
        <w:instrText xml:space="preserve"> REF _Ref507494109 \r \h </w:instrText>
      </w:r>
      <w:r>
        <w:fldChar w:fldCharType="separate"/>
      </w:r>
      <w:r w:rsidR="00BF015B">
        <w:t>5.3.1.2</w:t>
      </w:r>
      <w:r>
        <w:fldChar w:fldCharType="end"/>
      </w:r>
      <w:r w:rsidRPr="00331D81">
        <w:t xml:space="preserve">, </w:t>
      </w:r>
      <w:r>
        <w:t xml:space="preserve">13% of the Black Box throughout the Basin is within the 1 in </w:t>
      </w:r>
      <w:r w:rsidR="005C4005">
        <w:t>2-year</w:t>
      </w:r>
      <w:r>
        <w:t xml:space="preserve"> flooding frequency, 16% is between the 1 in 2 and 1 in </w:t>
      </w:r>
      <w:r w:rsidR="005C4005">
        <w:t>10-year</w:t>
      </w:r>
      <w:r>
        <w:t xml:space="preserve"> flooding frequency, and 71% is outside the 1 in 10 flooding frequency zone. </w:t>
      </w:r>
    </w:p>
    <w:p w14:paraId="7435F3CF" w14:textId="75B727EF" w:rsidR="00C354CD" w:rsidRPr="00331D81" w:rsidRDefault="00C354CD" w:rsidP="00C354CD">
      <w:pPr>
        <w:pStyle w:val="CommentText"/>
      </w:pPr>
      <w:r w:rsidRPr="00331D81">
        <w:t xml:space="preserve">Strategies for </w:t>
      </w:r>
      <w:r w:rsidRPr="000F15B2">
        <w:t>achieving outcomes for the</w:t>
      </w:r>
      <w:r>
        <w:t xml:space="preserve"> 13% of Black Box vegetation which is within the 1 in </w:t>
      </w:r>
      <w:r w:rsidR="005C4005">
        <w:t>2-year</w:t>
      </w:r>
      <w:r>
        <w:t xml:space="preserve"> flooding frequency, and hence is not considered flow stressed, include</w:t>
      </w:r>
      <w:r w:rsidRPr="00331D81">
        <w:t>:</w:t>
      </w:r>
    </w:p>
    <w:p w14:paraId="54D73A7F" w14:textId="77777777" w:rsidR="00C354CD" w:rsidRPr="00331D81" w:rsidRDefault="00C354CD" w:rsidP="00F22225">
      <w:pPr>
        <w:pStyle w:val="CommentText"/>
        <w:numPr>
          <w:ilvl w:val="0"/>
          <w:numId w:val="95"/>
        </w:numPr>
      </w:pPr>
      <w:r w:rsidRPr="00331D81">
        <w:t>Where there is low salinity and low flow stress has been identified, promoting management strategies that reduce grazing pressure</w:t>
      </w:r>
      <w:r>
        <w:t xml:space="preserve"> or other land degradation</w:t>
      </w:r>
      <w:r w:rsidRPr="00331D81">
        <w:t xml:space="preserve"> is expected to </w:t>
      </w:r>
      <w:r>
        <w:t xml:space="preserve">enhance the condition of Black Box. </w:t>
      </w:r>
    </w:p>
    <w:p w14:paraId="5FEBF313" w14:textId="7855A683" w:rsidR="00C354CD" w:rsidRPr="00331D81" w:rsidRDefault="00C354CD" w:rsidP="00F22225">
      <w:pPr>
        <w:pStyle w:val="CommentText"/>
        <w:numPr>
          <w:ilvl w:val="0"/>
          <w:numId w:val="95"/>
        </w:numPr>
      </w:pPr>
      <w:r w:rsidRPr="00331D81">
        <w:t xml:space="preserve">In areas where salinity stress </w:t>
      </w:r>
      <w:r>
        <w:t xml:space="preserve">but low flow stress </w:t>
      </w:r>
      <w:r w:rsidRPr="00331D81">
        <w:t>is determined, implementing complementary management interventions targeting salinity and groundwater processes is required to ensure the long</w:t>
      </w:r>
      <w:r w:rsidR="008344E6">
        <w:t>-</w:t>
      </w:r>
      <w:r w:rsidRPr="00331D81">
        <w:t xml:space="preserve">term effectiveness of </w:t>
      </w:r>
      <w:r>
        <w:t>environmental watering actions</w:t>
      </w:r>
      <w:r w:rsidR="008344E6">
        <w:t xml:space="preserve"> and sustainability of Black Box populations</w:t>
      </w:r>
      <w:r>
        <w:t xml:space="preserve">. </w:t>
      </w:r>
    </w:p>
    <w:p w14:paraId="79D9110A" w14:textId="13B0F2A4" w:rsidR="00C354CD" w:rsidRPr="00331D81" w:rsidRDefault="00C354CD" w:rsidP="00C354CD">
      <w:pPr>
        <w:pStyle w:val="CommentText"/>
      </w:pPr>
      <w:r w:rsidRPr="00331D81">
        <w:t xml:space="preserve">Strategies for achieving </w:t>
      </w:r>
      <w:r w:rsidRPr="000F15B2">
        <w:t>outcomes for the 16%</w:t>
      </w:r>
      <w:r>
        <w:t xml:space="preserve"> of Black Box vegetation which is between the 1 in </w:t>
      </w:r>
      <w:r w:rsidR="005C4005">
        <w:t>2-year</w:t>
      </w:r>
      <w:r>
        <w:t xml:space="preserve"> flooding frequency and the 1 in </w:t>
      </w:r>
      <w:r w:rsidR="005C4005">
        <w:t>10-year</w:t>
      </w:r>
      <w:r>
        <w:t xml:space="preserve"> flooding frequency, and hence is not considered flow stressed, include: </w:t>
      </w:r>
    </w:p>
    <w:p w14:paraId="176FB77A" w14:textId="77777777" w:rsidR="00C354CD" w:rsidRPr="00331D81" w:rsidRDefault="00C354CD" w:rsidP="00F22225">
      <w:pPr>
        <w:pStyle w:val="CommentText"/>
        <w:numPr>
          <w:ilvl w:val="0"/>
          <w:numId w:val="96"/>
        </w:numPr>
      </w:pPr>
      <w:r w:rsidRPr="00331D81">
        <w:t>Where low salinity and low flow stress has been identified, promoting management strategies that reduce grazing pre</w:t>
      </w:r>
      <w:r>
        <w:t>ssure or other land degradation is expected to enhance the condition of Black Box.</w:t>
      </w:r>
    </w:p>
    <w:p w14:paraId="33DE8D20" w14:textId="364CB774" w:rsidR="00C354CD" w:rsidRDefault="00C354CD" w:rsidP="00F22225">
      <w:pPr>
        <w:pStyle w:val="CommentText"/>
        <w:numPr>
          <w:ilvl w:val="0"/>
          <w:numId w:val="96"/>
        </w:numPr>
      </w:pPr>
      <w:r w:rsidRPr="00331D81">
        <w:t>Implementing management interventions targeting salinity and groundwater processes is required to address areas identified under salinity stress but with low flow stress</w:t>
      </w:r>
      <w:r>
        <w:t xml:space="preserve">. Since these areas are not considered to be readily managed through weir raising, channel modification or small environmental pumping actions due to their distance from the main River channel, alternative management measures </w:t>
      </w:r>
      <w:r w:rsidR="008344E6">
        <w:t>that increase recharge and promote lower salinity water available in the unsaturated soil</w:t>
      </w:r>
      <w:r>
        <w:t xml:space="preserve"> should be considered. </w:t>
      </w:r>
    </w:p>
    <w:p w14:paraId="7BD8DB3D" w14:textId="23E1C11F" w:rsidR="00C354CD" w:rsidRPr="00331D81" w:rsidRDefault="00C354CD" w:rsidP="00C354CD">
      <w:pPr>
        <w:pStyle w:val="CommentText"/>
      </w:pPr>
      <w:r w:rsidRPr="00331D81">
        <w:t xml:space="preserve">Strategies for achieving </w:t>
      </w:r>
      <w:r w:rsidRPr="000F15B2">
        <w:t xml:space="preserve">outcomes for the </w:t>
      </w:r>
      <w:r>
        <w:t>71</w:t>
      </w:r>
      <w:r w:rsidRPr="000F15B2">
        <w:t>%</w:t>
      </w:r>
      <w:r>
        <w:t xml:space="preserve"> of Black Box vegetation which is outside the 1 in </w:t>
      </w:r>
      <w:r w:rsidR="005C4005">
        <w:t>10-year</w:t>
      </w:r>
      <w:r>
        <w:t xml:space="preserve"> flooding frequency, and hence is considered flow stressed, include: </w:t>
      </w:r>
    </w:p>
    <w:p w14:paraId="495FB277" w14:textId="628FAAB2" w:rsidR="00C354CD" w:rsidRDefault="00C354CD" w:rsidP="00F22225">
      <w:pPr>
        <w:pStyle w:val="CommentText"/>
        <w:numPr>
          <w:ilvl w:val="0"/>
          <w:numId w:val="93"/>
        </w:numPr>
      </w:pPr>
      <w:r>
        <w:t xml:space="preserve">Where low salinity and </w:t>
      </w:r>
      <w:r w:rsidR="00D80275">
        <w:t xml:space="preserve">low </w:t>
      </w:r>
      <w:r w:rsidRPr="00331D81">
        <w:t xml:space="preserve">flow stress has been identified, promoting </w:t>
      </w:r>
      <w:r w:rsidR="00D80275">
        <w:t xml:space="preserve">appropriate land management </w:t>
      </w:r>
      <w:r w:rsidRPr="00331D81">
        <w:t xml:space="preserve">strategies </w:t>
      </w:r>
      <w:r w:rsidR="00D80275">
        <w:t xml:space="preserve">is required to maintain the existing </w:t>
      </w:r>
      <w:r w:rsidR="001C7422">
        <w:t xml:space="preserve">Black Box </w:t>
      </w:r>
      <w:r w:rsidR="00D80275">
        <w:t>populations</w:t>
      </w:r>
      <w:r w:rsidR="001C7422">
        <w:t xml:space="preserve">. </w:t>
      </w:r>
      <w:r w:rsidR="00D80275">
        <w:t xml:space="preserve">On-going monitoring should be conducted to determine trends in condition, changes in the exposure to stressors and justify additional options as required. </w:t>
      </w:r>
    </w:p>
    <w:p w14:paraId="774E4A15" w14:textId="6B698568" w:rsidR="00C354CD" w:rsidRPr="00070AB3" w:rsidRDefault="00C354CD" w:rsidP="00F22225">
      <w:pPr>
        <w:pStyle w:val="CommentText"/>
        <w:numPr>
          <w:ilvl w:val="0"/>
          <w:numId w:val="93"/>
        </w:numPr>
      </w:pPr>
      <w:r>
        <w:t xml:space="preserve">Where both high salinity and flow stress has been identified, </w:t>
      </w:r>
      <w:r w:rsidRPr="00331D81">
        <w:rPr>
          <w:b/>
        </w:rPr>
        <w:t>both</w:t>
      </w:r>
      <w:r w:rsidRPr="00331D81">
        <w:t xml:space="preserve"> environmental watering and complimentary salinity m</w:t>
      </w:r>
      <w:r>
        <w:t>anagement options are need</w:t>
      </w:r>
      <w:r w:rsidR="00D80275">
        <w:t>ed</w:t>
      </w:r>
      <w:r>
        <w:t xml:space="preserve"> to provide</w:t>
      </w:r>
      <w:r w:rsidRPr="00331D81">
        <w:t xml:space="preserve"> effective and sustainable</w:t>
      </w:r>
      <w:r>
        <w:t xml:space="preserve"> management of Black Box. </w:t>
      </w:r>
    </w:p>
    <w:p w14:paraId="117CF314" w14:textId="51F6826E" w:rsidR="00C354CD" w:rsidRPr="00331D81" w:rsidRDefault="00C354CD" w:rsidP="00C354CD">
      <w:pPr>
        <w:pStyle w:val="Para0"/>
      </w:pPr>
      <w:r w:rsidRPr="00070AB3">
        <w:t>The spatial analysis presented in this Framework identifies the Basin Plan regions of Macquarie-Castle</w:t>
      </w:r>
      <w:r>
        <w:t>r</w:t>
      </w:r>
      <w:r w:rsidRPr="00070AB3">
        <w:t>eagh, Lower Darling, and Murray have the largest areas of vulnerable Black Box vegetation, and therefore strategies that seek specifically to mitigate this vulnerability</w:t>
      </w:r>
      <w:r>
        <w:t xml:space="preserve"> should be considered</w:t>
      </w:r>
      <w:r w:rsidR="00D80275">
        <w:t>. E</w:t>
      </w:r>
      <w:r>
        <w:t xml:space="preserve">nvironmental water management </w:t>
      </w:r>
      <w:r w:rsidR="00D80275">
        <w:t xml:space="preserve">will be a key management option in these regions, however to be effective complementary options to address salinity stressors is required. </w:t>
      </w:r>
    </w:p>
    <w:p w14:paraId="01860C07" w14:textId="77777777" w:rsidR="00C354CD" w:rsidRPr="00331D81" w:rsidRDefault="00C354CD" w:rsidP="00C354CD">
      <w:pPr>
        <w:pStyle w:val="Para0"/>
      </w:pPr>
      <w:r w:rsidRPr="00331D81">
        <w:t>Implementing the strategies require a multi-year management commitment to see improvement in Black Box condition.</w:t>
      </w:r>
    </w:p>
    <w:p w14:paraId="0E882025" w14:textId="4A73C1A5" w:rsidR="00C354CD" w:rsidRPr="00331D81" w:rsidRDefault="00D80275" w:rsidP="00C354CD">
      <w:pPr>
        <w:pStyle w:val="Para0"/>
      </w:pPr>
      <w:r>
        <w:t>T</w:t>
      </w:r>
      <w:r w:rsidR="00C354CD" w:rsidRPr="00E9733B">
        <w:t>he need for complementary/alternative management options will be critical to realising long term outcomes for Black Box vegetation particularly for the large proportion (&gt;85 percent) of the Black Box that is outside the area of the floodplain that can readily be influenced by environmental water</w:t>
      </w:r>
      <w:r w:rsidR="00C354CD">
        <w:t xml:space="preserve"> (‘managed floodplain’)</w:t>
      </w:r>
      <w:r w:rsidR="00C354CD" w:rsidRPr="00E9733B">
        <w:t>. Examples of alternative or complimentary strategies that could be implemented in an integrated way across larger scales (i.e. not just site based) include:</w:t>
      </w:r>
    </w:p>
    <w:p w14:paraId="1745D661" w14:textId="77777777" w:rsidR="00C354CD" w:rsidRPr="00331D81" w:rsidRDefault="00C354CD" w:rsidP="00C354CD">
      <w:pPr>
        <w:pStyle w:val="Para0bullet"/>
        <w:numPr>
          <w:ilvl w:val="0"/>
          <w:numId w:val="13"/>
        </w:numPr>
        <w:spacing w:after="0"/>
        <w:ind w:left="850"/>
      </w:pPr>
      <w:r w:rsidRPr="00331D81">
        <w:t>environmental flow augmentation via additional floodplain infrastructure</w:t>
      </w:r>
    </w:p>
    <w:p w14:paraId="6D3E0949" w14:textId="77777777" w:rsidR="00C354CD" w:rsidRPr="00331D81" w:rsidRDefault="00C354CD" w:rsidP="00C354CD">
      <w:pPr>
        <w:pStyle w:val="Para0bullet"/>
        <w:numPr>
          <w:ilvl w:val="0"/>
          <w:numId w:val="13"/>
        </w:numPr>
        <w:spacing w:after="0"/>
        <w:ind w:left="850"/>
      </w:pPr>
      <w:r w:rsidRPr="00331D81">
        <w:t>enhancing the effectiveness of rainfall on the floodplain (e.g. by constructing bunds to retard runoff and pool water)</w:t>
      </w:r>
    </w:p>
    <w:p w14:paraId="7FF726FF" w14:textId="77777777" w:rsidR="00C354CD" w:rsidRPr="00331D81" w:rsidRDefault="00C354CD" w:rsidP="00C354CD">
      <w:pPr>
        <w:pStyle w:val="Para0bullet"/>
        <w:numPr>
          <w:ilvl w:val="0"/>
          <w:numId w:val="13"/>
        </w:numPr>
        <w:spacing w:after="0"/>
        <w:ind w:left="850"/>
      </w:pPr>
      <w:r w:rsidRPr="00331D81">
        <w:t>salt interception schemes (SIS) - whilst originally developed to manage instream salinity, c</w:t>
      </w:r>
      <w:r>
        <w:t xml:space="preserve">hanges in the operations of </w:t>
      </w:r>
      <w:r w:rsidRPr="00331D81">
        <w:t>existing SIS</w:t>
      </w:r>
      <w:r>
        <w:t xml:space="preserve"> </w:t>
      </w:r>
      <w:r w:rsidRPr="00331D81">
        <w:t>may present an opportunity to provide enhanced benefits for some floodplain vegetation</w:t>
      </w:r>
    </w:p>
    <w:p w14:paraId="479FF567" w14:textId="77777777" w:rsidR="00C354CD" w:rsidRPr="00331D81" w:rsidRDefault="00C354CD" w:rsidP="00C354CD">
      <w:pPr>
        <w:pStyle w:val="Para0bullet"/>
        <w:numPr>
          <w:ilvl w:val="0"/>
          <w:numId w:val="13"/>
        </w:numPr>
        <w:spacing w:after="0"/>
        <w:ind w:left="850"/>
      </w:pPr>
      <w:r w:rsidRPr="00331D81">
        <w:t>groundwater manipulations e.g. recharge galleries, managed aquifer recharge (high value assets), etc.</w:t>
      </w:r>
    </w:p>
    <w:p w14:paraId="5E96587E" w14:textId="77777777" w:rsidR="00C354CD" w:rsidRDefault="00C354CD" w:rsidP="00C354CD">
      <w:pPr>
        <w:pStyle w:val="Para0bullet"/>
        <w:numPr>
          <w:ilvl w:val="0"/>
          <w:numId w:val="13"/>
        </w:numPr>
        <w:spacing w:after="0"/>
        <w:ind w:left="850"/>
      </w:pPr>
      <w:r w:rsidRPr="00331D81">
        <w:t>reduced grazing pressure from native, feral and agricultural animals (e.g. native animal management, sustainable sheep and cattle stocking rates, at a regional scale).</w:t>
      </w:r>
    </w:p>
    <w:p w14:paraId="48CDBF14" w14:textId="77777777" w:rsidR="00C354CD" w:rsidRDefault="00C354CD" w:rsidP="00C354CD">
      <w:pPr>
        <w:pStyle w:val="Para0bullet"/>
        <w:numPr>
          <w:ilvl w:val="0"/>
          <w:numId w:val="13"/>
        </w:numPr>
        <w:spacing w:after="0"/>
        <w:ind w:left="850"/>
      </w:pPr>
      <w:r w:rsidRPr="00331D81">
        <w:t>management of recreation and other activities such as land clearing, fragmentation, cropping and irrigation across the floodplain (via state and regional planning processes</w:t>
      </w:r>
      <w:r>
        <w:t>).</w:t>
      </w:r>
    </w:p>
    <w:p w14:paraId="18282BEC" w14:textId="77777777" w:rsidR="00C354CD" w:rsidRDefault="00C354CD" w:rsidP="00C354CD">
      <w:pPr>
        <w:pStyle w:val="Para0"/>
      </w:pPr>
    </w:p>
    <w:p w14:paraId="3DFCC3DB" w14:textId="77777777" w:rsidR="00C354CD" w:rsidRPr="00C354CD" w:rsidRDefault="00C354CD" w:rsidP="00C354CD">
      <w:pPr>
        <w:pStyle w:val="Para0"/>
      </w:pPr>
    </w:p>
    <w:p w14:paraId="401996A0" w14:textId="55B2422B" w:rsidR="0058124B" w:rsidRPr="00AD3848" w:rsidRDefault="0027558B" w:rsidP="00170A62">
      <w:pPr>
        <w:pStyle w:val="Heading1"/>
        <w:rPr>
          <w:color w:val="65876D" w:themeColor="accent4" w:themeShade="BF"/>
        </w:rPr>
      </w:pPr>
      <w:bookmarkStart w:id="319" w:name="_Toc514018012"/>
      <w:r w:rsidRPr="00AD3848">
        <w:rPr>
          <w:color w:val="65876D" w:themeColor="accent4" w:themeShade="BF"/>
        </w:rPr>
        <w:t>Conclusion</w:t>
      </w:r>
      <w:bookmarkEnd w:id="319"/>
    </w:p>
    <w:p w14:paraId="164BD8E8" w14:textId="50B12566" w:rsidR="00994501" w:rsidRPr="00F71E20" w:rsidRDefault="00994501" w:rsidP="00994501">
      <w:pPr>
        <w:spacing w:before="240" w:after="120"/>
      </w:pPr>
      <w:r w:rsidRPr="00F71E20">
        <w:t xml:space="preserve">This Black Box Management Framework was developed to </w:t>
      </w:r>
      <w:r w:rsidRPr="00F71E20">
        <w:rPr>
          <w:i/>
          <w:iCs/>
        </w:rPr>
        <w:t>“assist practitioners in the assessment, planning and implementation of management practices, working towards sustainable ecological outcomes for the condition and extent of Black Box.”</w:t>
      </w:r>
      <w:r w:rsidRPr="00F71E20">
        <w:t xml:space="preserve"> </w:t>
      </w:r>
    </w:p>
    <w:p w14:paraId="76CD04F5" w14:textId="4AD9D97F" w:rsidR="00994501" w:rsidRPr="002C79ED" w:rsidRDefault="00994501" w:rsidP="00994501">
      <w:pPr>
        <w:pStyle w:val="Para1bullet"/>
      </w:pPr>
      <w:r>
        <w:rPr>
          <w:rFonts w:cs="Arial"/>
          <w:szCs w:val="20"/>
        </w:rPr>
        <w:t xml:space="preserve">The Framework has presented a broad, adaptable set of processes, tools and management options that can be applied to Black Box growing on the floodplain and near wetlands. </w:t>
      </w:r>
      <w:r w:rsidRPr="00F87434">
        <w:rPr>
          <w:rFonts w:cs="Arial"/>
          <w:szCs w:val="20"/>
        </w:rPr>
        <w:t>The Framework provides a guided decision-making process</w:t>
      </w:r>
      <w:r>
        <w:rPr>
          <w:rFonts w:cs="Arial"/>
          <w:szCs w:val="20"/>
        </w:rPr>
        <w:t xml:space="preserve"> to</w:t>
      </w:r>
      <w:r w:rsidRPr="00C0196B">
        <w:rPr>
          <w:rFonts w:cs="Arial"/>
          <w:szCs w:val="20"/>
        </w:rPr>
        <w:t xml:space="preserve"> </w:t>
      </w:r>
      <w:r w:rsidRPr="00F87434">
        <w:rPr>
          <w:rFonts w:cs="Arial"/>
          <w:szCs w:val="20"/>
        </w:rPr>
        <w:t xml:space="preserve">support </w:t>
      </w:r>
      <w:r>
        <w:rPr>
          <w:rFonts w:cs="Arial"/>
          <w:szCs w:val="20"/>
        </w:rPr>
        <w:t xml:space="preserve">the </w:t>
      </w:r>
      <w:r w:rsidRPr="00F87434">
        <w:rPr>
          <w:rFonts w:cs="Arial"/>
          <w:szCs w:val="20"/>
        </w:rPr>
        <w:t xml:space="preserve">achievement of the ecological </w:t>
      </w:r>
      <w:r>
        <w:rPr>
          <w:rFonts w:cs="Arial"/>
          <w:szCs w:val="20"/>
        </w:rPr>
        <w:t>outcomes</w:t>
      </w:r>
      <w:r w:rsidRPr="00F87434">
        <w:rPr>
          <w:rFonts w:cs="Arial"/>
          <w:szCs w:val="20"/>
        </w:rPr>
        <w:t xml:space="preserve"> for Black Box, with advice on how to</w:t>
      </w:r>
      <w:r>
        <w:rPr>
          <w:rFonts w:cs="Arial"/>
          <w:szCs w:val="20"/>
        </w:rPr>
        <w:t xml:space="preserve">: </w:t>
      </w:r>
    </w:p>
    <w:p w14:paraId="3244328D" w14:textId="0A2D76EE" w:rsidR="00994501" w:rsidRPr="00015000" w:rsidRDefault="00994501" w:rsidP="00F22225">
      <w:pPr>
        <w:pStyle w:val="Para1bullet"/>
        <w:numPr>
          <w:ilvl w:val="0"/>
          <w:numId w:val="61"/>
        </w:numPr>
      </w:pPr>
      <w:r>
        <w:rPr>
          <w:rFonts w:cs="Arial"/>
          <w:szCs w:val="20"/>
        </w:rPr>
        <w:t>Assess</w:t>
      </w:r>
      <w:r w:rsidRPr="00015000">
        <w:rPr>
          <w:rFonts w:cs="Arial"/>
          <w:szCs w:val="20"/>
        </w:rPr>
        <w:t xml:space="preserve"> the need for management through an assessment of vegetation condition and vulnerability. This is developed by </w:t>
      </w:r>
      <w:r>
        <w:rPr>
          <w:rFonts w:cs="Arial"/>
          <w:szCs w:val="20"/>
        </w:rPr>
        <w:t>c</w:t>
      </w:r>
      <w:r w:rsidRPr="00015000">
        <w:rPr>
          <w:rFonts w:cs="Arial"/>
          <w:szCs w:val="20"/>
        </w:rPr>
        <w:t>onduct</w:t>
      </w:r>
      <w:r>
        <w:rPr>
          <w:rFonts w:cs="Arial"/>
          <w:szCs w:val="20"/>
        </w:rPr>
        <w:t>ing</w:t>
      </w:r>
      <w:r w:rsidRPr="00F71E20">
        <w:t xml:space="preserve"> a site investigation, </w:t>
      </w:r>
      <w:r>
        <w:t xml:space="preserve">to provide an evidence base for the understanding of stressors and management </w:t>
      </w:r>
      <w:r w:rsidRPr="00F71E20">
        <w:t>objective</w:t>
      </w:r>
      <w:r>
        <w:t>s</w:t>
      </w:r>
      <w:r w:rsidR="007405D3">
        <w:rPr>
          <w:rFonts w:cs="Arial"/>
          <w:szCs w:val="20"/>
        </w:rPr>
        <w:t xml:space="preserve"> (Part A)</w:t>
      </w:r>
      <w:r w:rsidR="0016604C">
        <w:rPr>
          <w:rFonts w:cs="Arial"/>
          <w:szCs w:val="20"/>
        </w:rPr>
        <w:t>.</w:t>
      </w:r>
    </w:p>
    <w:p w14:paraId="7D541553" w14:textId="45321F92" w:rsidR="00994501" w:rsidRPr="00C260AB" w:rsidRDefault="00994501" w:rsidP="00F22225">
      <w:pPr>
        <w:pStyle w:val="Para1bullet"/>
        <w:numPr>
          <w:ilvl w:val="0"/>
          <w:numId w:val="61"/>
        </w:numPr>
      </w:pPr>
      <w:r>
        <w:rPr>
          <w:rFonts w:cs="Arial"/>
          <w:szCs w:val="20"/>
        </w:rPr>
        <w:t xml:space="preserve">Develop a range of </w:t>
      </w:r>
      <w:r w:rsidRPr="00015000">
        <w:rPr>
          <w:rFonts w:cs="Arial"/>
          <w:szCs w:val="20"/>
        </w:rPr>
        <w:t>management options available at a site. This requires gathering and synthesising information through a combinatio</w:t>
      </w:r>
      <w:r w:rsidR="007405D3">
        <w:rPr>
          <w:rFonts w:cs="Arial"/>
          <w:szCs w:val="20"/>
        </w:rPr>
        <w:t>n of field and desktop research (Part A)</w:t>
      </w:r>
      <w:r w:rsidR="0016604C">
        <w:rPr>
          <w:rFonts w:cs="Arial"/>
          <w:szCs w:val="20"/>
        </w:rPr>
        <w:t>.</w:t>
      </w:r>
      <w:r w:rsidRPr="00015000">
        <w:rPr>
          <w:rFonts w:cs="Arial"/>
          <w:szCs w:val="20"/>
        </w:rPr>
        <w:t xml:space="preserve"> </w:t>
      </w:r>
    </w:p>
    <w:p w14:paraId="1DC303A5" w14:textId="5103C1CA" w:rsidR="00994501" w:rsidRPr="00F71E20" w:rsidRDefault="00994501" w:rsidP="00F22225">
      <w:pPr>
        <w:pStyle w:val="Para1bullet"/>
        <w:numPr>
          <w:ilvl w:val="0"/>
          <w:numId w:val="61"/>
        </w:numPr>
      </w:pPr>
      <w:r w:rsidRPr="00D6645C">
        <w:rPr>
          <w:rFonts w:cs="Arial"/>
          <w:szCs w:val="20"/>
        </w:rPr>
        <w:t>Develop</w:t>
      </w:r>
      <w:r w:rsidRPr="00F71E20">
        <w:rPr>
          <w:rFonts w:cs="Arial"/>
          <w:szCs w:val="20"/>
        </w:rPr>
        <w:t xml:space="preserve"> a Site Management </w:t>
      </w:r>
      <w:r w:rsidRPr="00D6645C">
        <w:rPr>
          <w:rFonts w:cs="Arial"/>
          <w:szCs w:val="20"/>
        </w:rPr>
        <w:t>Plan, which</w:t>
      </w:r>
      <w:r w:rsidRPr="00F71E20">
        <w:rPr>
          <w:rFonts w:cs="Arial"/>
          <w:szCs w:val="20"/>
        </w:rPr>
        <w:t xml:space="preserve"> involves prioritisation of management options for </w:t>
      </w:r>
      <w:r>
        <w:rPr>
          <w:rFonts w:cs="Arial"/>
          <w:szCs w:val="20"/>
        </w:rPr>
        <w:t>a</w:t>
      </w:r>
      <w:r w:rsidRPr="00F71E20">
        <w:rPr>
          <w:rFonts w:cs="Arial"/>
          <w:szCs w:val="20"/>
        </w:rPr>
        <w:t xml:space="preserve"> site through consider</w:t>
      </w:r>
      <w:r>
        <w:rPr>
          <w:rFonts w:cs="Arial"/>
          <w:szCs w:val="20"/>
        </w:rPr>
        <w:t>ing</w:t>
      </w:r>
      <w:r w:rsidRPr="00F71E20">
        <w:rPr>
          <w:rFonts w:cs="Arial"/>
          <w:szCs w:val="20"/>
        </w:rPr>
        <w:t xml:space="preserve"> the </w:t>
      </w:r>
      <w:r>
        <w:rPr>
          <w:rFonts w:cs="Arial"/>
          <w:szCs w:val="20"/>
        </w:rPr>
        <w:t xml:space="preserve">vulnerability and the </w:t>
      </w:r>
      <w:r w:rsidRPr="00F71E20">
        <w:rPr>
          <w:rFonts w:cs="Arial"/>
          <w:szCs w:val="20"/>
        </w:rPr>
        <w:t>feasibility of various management actions to meet site objectives, available resources, and assessment of risks and benefits</w:t>
      </w:r>
      <w:r w:rsidR="007405D3">
        <w:rPr>
          <w:rFonts w:cs="Arial"/>
          <w:szCs w:val="20"/>
        </w:rPr>
        <w:t xml:space="preserve"> (Part B)</w:t>
      </w:r>
      <w:r w:rsidRPr="00F71E20">
        <w:rPr>
          <w:rFonts w:cs="Arial"/>
          <w:szCs w:val="20"/>
        </w:rPr>
        <w:t xml:space="preserve">. </w:t>
      </w:r>
    </w:p>
    <w:p w14:paraId="5D6F9965" w14:textId="5ACAD424" w:rsidR="00994501" w:rsidRPr="00D6645C" w:rsidRDefault="00994501" w:rsidP="00F22225">
      <w:pPr>
        <w:pStyle w:val="Para1bullet"/>
        <w:numPr>
          <w:ilvl w:val="0"/>
          <w:numId w:val="61"/>
        </w:numPr>
      </w:pPr>
      <w:r w:rsidRPr="00D6645C">
        <w:rPr>
          <w:rFonts w:cs="Arial"/>
          <w:szCs w:val="20"/>
        </w:rPr>
        <w:t>Prioritise</w:t>
      </w:r>
      <w:r>
        <w:rPr>
          <w:rFonts w:cs="Arial"/>
          <w:szCs w:val="20"/>
        </w:rPr>
        <w:t xml:space="preserve"> </w:t>
      </w:r>
      <w:r w:rsidRPr="00F71E20">
        <w:rPr>
          <w:rFonts w:cs="Arial"/>
          <w:szCs w:val="20"/>
        </w:rPr>
        <w:t>management actions across the Basin</w:t>
      </w:r>
      <w:r w:rsidR="00296DCF">
        <w:rPr>
          <w:rFonts w:cs="Arial"/>
          <w:szCs w:val="20"/>
        </w:rPr>
        <w:t xml:space="preserve"> through transparent and </w:t>
      </w:r>
      <w:r w:rsidR="005C4005">
        <w:rPr>
          <w:rFonts w:cs="Arial"/>
          <w:szCs w:val="20"/>
        </w:rPr>
        <w:t>evidence-based</w:t>
      </w:r>
      <w:r w:rsidR="00296DCF">
        <w:rPr>
          <w:rFonts w:cs="Arial"/>
          <w:szCs w:val="20"/>
        </w:rPr>
        <w:t xml:space="preserve"> assessment</w:t>
      </w:r>
      <w:r w:rsidRPr="00F71E20">
        <w:rPr>
          <w:rFonts w:cs="Arial"/>
          <w:szCs w:val="20"/>
        </w:rPr>
        <w:t xml:space="preserve">, </w:t>
      </w:r>
      <w:r>
        <w:rPr>
          <w:rFonts w:cs="Arial"/>
          <w:szCs w:val="20"/>
        </w:rPr>
        <w:t>including the</w:t>
      </w:r>
      <w:r w:rsidRPr="00F71E20">
        <w:rPr>
          <w:rFonts w:cs="Arial"/>
          <w:szCs w:val="20"/>
        </w:rPr>
        <w:t xml:space="preserve"> assessment of site scale plans in consideration of the Basin objectives, available resources, and the Black Box</w:t>
      </w:r>
      <w:r>
        <w:rPr>
          <w:rFonts w:cs="Arial"/>
          <w:szCs w:val="20"/>
        </w:rPr>
        <w:t xml:space="preserve"> vulnerability</w:t>
      </w:r>
      <w:r w:rsidRPr="00F71E20">
        <w:rPr>
          <w:rFonts w:cs="Arial"/>
          <w:szCs w:val="20"/>
        </w:rPr>
        <w:t xml:space="preserve"> across the Basin</w:t>
      </w:r>
      <w:r w:rsidR="007405D3">
        <w:rPr>
          <w:rFonts w:cs="Arial"/>
          <w:szCs w:val="20"/>
        </w:rPr>
        <w:t xml:space="preserve"> (Part C)</w:t>
      </w:r>
      <w:r w:rsidRPr="00F71E20">
        <w:rPr>
          <w:rFonts w:cs="Arial"/>
          <w:szCs w:val="20"/>
        </w:rPr>
        <w:t>.</w:t>
      </w:r>
    </w:p>
    <w:p w14:paraId="1D5CAA56" w14:textId="68A3C445" w:rsidR="00994501" w:rsidRDefault="00994501" w:rsidP="00994501">
      <w:pPr>
        <w:pStyle w:val="Para0"/>
      </w:pPr>
      <w:r>
        <w:t xml:space="preserve">A series of further resources are </w:t>
      </w:r>
      <w:r w:rsidR="007405D3">
        <w:t xml:space="preserve">provided in Part D to assist the practitioner in applying the Framework. </w:t>
      </w:r>
    </w:p>
    <w:p w14:paraId="3C1378BA" w14:textId="4660537C" w:rsidR="0027558B" w:rsidRDefault="0027558B" w:rsidP="0027558B">
      <w:pPr>
        <w:pStyle w:val="Para0"/>
      </w:pPr>
    </w:p>
    <w:p w14:paraId="5419FD4C" w14:textId="7AF50362" w:rsidR="00E91C32" w:rsidRPr="00EF3609" w:rsidRDefault="00E91C32" w:rsidP="00E91C32">
      <w:pPr>
        <w:pStyle w:val="Heading1"/>
        <w:rPr>
          <w:color w:val="65876D" w:themeColor="accent4" w:themeShade="BF"/>
        </w:rPr>
      </w:pPr>
      <w:bookmarkStart w:id="320" w:name="_Toc514018013"/>
      <w:r>
        <w:rPr>
          <w:color w:val="65876D" w:themeColor="accent4" w:themeShade="BF"/>
        </w:rPr>
        <w:t>References</w:t>
      </w:r>
      <w:bookmarkEnd w:id="320"/>
    </w:p>
    <w:p w14:paraId="04171ED0" w14:textId="1D2D18EA" w:rsidR="008476C4" w:rsidRPr="008476C4" w:rsidRDefault="008476C4" w:rsidP="00AE2370">
      <w:pPr>
        <w:pStyle w:val="Para0"/>
        <w:ind w:left="567" w:hanging="567"/>
      </w:pPr>
      <w:r>
        <w:t>Australian Water Environments (AWE)</w:t>
      </w:r>
      <w:r w:rsidR="000170F5">
        <w:t xml:space="preserve"> (2015)</w:t>
      </w:r>
      <w:r>
        <w:t xml:space="preserve"> </w:t>
      </w:r>
      <w:r>
        <w:rPr>
          <w:i/>
        </w:rPr>
        <w:t xml:space="preserve">Black Box </w:t>
      </w:r>
      <w:r w:rsidR="001E579B">
        <w:rPr>
          <w:i/>
        </w:rPr>
        <w:t>H</w:t>
      </w:r>
      <w:r>
        <w:rPr>
          <w:i/>
        </w:rPr>
        <w:t xml:space="preserve">ealth and </w:t>
      </w:r>
      <w:r w:rsidR="001E579B">
        <w:rPr>
          <w:i/>
        </w:rPr>
        <w:t>M</w:t>
      </w:r>
      <w:r>
        <w:rPr>
          <w:i/>
        </w:rPr>
        <w:t xml:space="preserve">anagement </w:t>
      </w:r>
      <w:r w:rsidR="001E579B">
        <w:rPr>
          <w:i/>
        </w:rPr>
        <w:t>O</w:t>
      </w:r>
      <w:r>
        <w:rPr>
          <w:i/>
        </w:rPr>
        <w:t>ptions</w:t>
      </w:r>
      <w:r w:rsidR="001E579B">
        <w:t>.</w:t>
      </w:r>
      <w:r>
        <w:t xml:space="preserve"> </w:t>
      </w:r>
      <w:r w:rsidR="001E579B">
        <w:t>P</w:t>
      </w:r>
      <w:r>
        <w:t>repared for the Department of the Environment</w:t>
      </w:r>
      <w:r w:rsidR="001E579B">
        <w:t>,</w:t>
      </w:r>
      <w:r>
        <w:t xml:space="preserve"> Commonwealth Environmental Water Office. AWE Ref 1507 </w:t>
      </w:r>
    </w:p>
    <w:p w14:paraId="5836BF48" w14:textId="6BDAADC3" w:rsidR="0035021A" w:rsidRDefault="0035021A" w:rsidP="00AE2370">
      <w:pPr>
        <w:pStyle w:val="Para0"/>
        <w:ind w:left="567" w:hanging="567"/>
      </w:pPr>
      <w:r w:rsidRPr="0035021A">
        <w:t xml:space="preserve">Backstrom A, Jolly K </w:t>
      </w:r>
      <w:r w:rsidR="002939F5">
        <w:t>and</w:t>
      </w:r>
      <w:r w:rsidRPr="0035021A">
        <w:t xml:space="preserve"> Bennetts K (2010)</w:t>
      </w:r>
      <w:r w:rsidR="002939F5">
        <w:t>.</w:t>
      </w:r>
      <w:r w:rsidR="009B3015" w:rsidRPr="00055EDF">
        <w:rPr>
          <w:i/>
        </w:rPr>
        <w:t xml:space="preserve"> The</w:t>
      </w:r>
      <w:r w:rsidRPr="00055EDF">
        <w:rPr>
          <w:i/>
        </w:rPr>
        <w:t xml:space="preserve"> Living Murray Tree Condition Survey: Gunbower-Koondrook-Perricoota Forests: Final report July 2010</w:t>
      </w:r>
      <w:r w:rsidRPr="0035021A">
        <w:t>. A report prepared by Australian Ecosystems Pty Ltd for North Central Catchment Management Authority.</w:t>
      </w:r>
    </w:p>
    <w:p w14:paraId="7AEB1475" w14:textId="04D35DAD" w:rsidR="006E42E5" w:rsidRDefault="006E42E5" w:rsidP="00AE2370">
      <w:pPr>
        <w:pStyle w:val="Para0"/>
        <w:ind w:left="567" w:hanging="567"/>
      </w:pPr>
      <w:r w:rsidRPr="006E42E5">
        <w:t xml:space="preserve">Bogenhuber D, Wood D, Pay T </w:t>
      </w:r>
      <w:r w:rsidR="002939F5">
        <w:t>and</w:t>
      </w:r>
      <w:r w:rsidRPr="006E42E5">
        <w:t xml:space="preserve"> Healy S (2014)</w:t>
      </w:r>
      <w:r w:rsidR="002939F5">
        <w:t>.</w:t>
      </w:r>
      <w:r w:rsidR="009B3015" w:rsidRPr="00055EDF">
        <w:rPr>
          <w:i/>
        </w:rPr>
        <w:t xml:space="preserve"> The</w:t>
      </w:r>
      <w:r w:rsidRPr="00055EDF">
        <w:rPr>
          <w:i/>
        </w:rPr>
        <w:t xml:space="preserve"> Darling Anabranch Adaptive Management Monitoring Program Final report 2014</w:t>
      </w:r>
      <w:r w:rsidRPr="006E42E5">
        <w:t>. Final report prepared in conjunction with NSW Office of Environment and Heritage by The Murray-Darling Freshwater Research Centre, MDFRC Publication 01/2014, March, 65</w:t>
      </w:r>
      <w:r>
        <w:t> </w:t>
      </w:r>
      <w:r w:rsidRPr="006E42E5">
        <w:t>pp.</w:t>
      </w:r>
    </w:p>
    <w:p w14:paraId="0605B708" w14:textId="54B26878" w:rsidR="00AE2370" w:rsidRDefault="00AE2370" w:rsidP="00AE2370">
      <w:pPr>
        <w:pStyle w:val="Para0"/>
        <w:ind w:left="567" w:hanging="567"/>
      </w:pPr>
      <w:r w:rsidRPr="00514AB2">
        <w:t xml:space="preserve">Cale P and Cale B </w:t>
      </w:r>
      <w:r w:rsidR="0083508E">
        <w:t>(</w:t>
      </w:r>
      <w:r w:rsidRPr="00514AB2">
        <w:t>2011</w:t>
      </w:r>
      <w:r w:rsidR="0083508E">
        <w:t>)</w:t>
      </w:r>
      <w:r w:rsidR="002939F5">
        <w:t>.</w:t>
      </w:r>
      <w:r w:rsidRPr="00514AB2">
        <w:t xml:space="preserve"> </w:t>
      </w:r>
      <w:r w:rsidRPr="00514AB2">
        <w:rPr>
          <w:i/>
        </w:rPr>
        <w:t xml:space="preserve">Lower Murray Floodplains: </w:t>
      </w:r>
      <w:r>
        <w:rPr>
          <w:i/>
        </w:rPr>
        <w:t>a</w:t>
      </w:r>
      <w:r w:rsidRPr="00514AB2">
        <w:rPr>
          <w:i/>
        </w:rPr>
        <w:t xml:space="preserve"> </w:t>
      </w:r>
      <w:r w:rsidR="0083508E">
        <w:rPr>
          <w:i/>
        </w:rPr>
        <w:t>C</w:t>
      </w:r>
      <w:r w:rsidRPr="00514AB2">
        <w:rPr>
          <w:i/>
        </w:rPr>
        <w:t xml:space="preserve">onceptual </w:t>
      </w:r>
      <w:r w:rsidR="0083508E">
        <w:rPr>
          <w:i/>
        </w:rPr>
        <w:t>M</w:t>
      </w:r>
      <w:r w:rsidRPr="00514AB2">
        <w:rPr>
          <w:i/>
        </w:rPr>
        <w:t>odel</w:t>
      </w:r>
      <w:r w:rsidRPr="00514AB2">
        <w:t>. DRAFT. Australian Landscape Trust.</w:t>
      </w:r>
    </w:p>
    <w:p w14:paraId="244B5A7E" w14:textId="7917E543" w:rsidR="005972ED" w:rsidRDefault="005972ED" w:rsidP="005972ED">
      <w:pPr>
        <w:pStyle w:val="Para0"/>
        <w:ind w:left="567" w:hanging="567"/>
      </w:pPr>
      <w:r w:rsidRPr="00F87434">
        <w:t xml:space="preserve">Capon S and Balcombe S </w:t>
      </w:r>
      <w:r w:rsidR="0083508E">
        <w:t>(</w:t>
      </w:r>
      <w:r w:rsidRPr="00F87434">
        <w:t>2015</w:t>
      </w:r>
      <w:r w:rsidR="0083508E">
        <w:t>)</w:t>
      </w:r>
      <w:r w:rsidR="002939F5">
        <w:t>.</w:t>
      </w:r>
      <w:r w:rsidRPr="00F87434">
        <w:t xml:space="preserve"> </w:t>
      </w:r>
      <w:r w:rsidRPr="00F87434">
        <w:rPr>
          <w:i/>
        </w:rPr>
        <w:t>Riparian vegetation and land management</w:t>
      </w:r>
      <w:r w:rsidRPr="00F87434">
        <w:t>:</w:t>
      </w:r>
      <w:r w:rsidRPr="00F87434">
        <w:rPr>
          <w:i/>
        </w:rPr>
        <w:t xml:space="preserve"> focus on NRM research</w:t>
      </w:r>
      <w:r w:rsidRPr="00F87434">
        <w:t>. Cotton CRC, insidecotton.com.</w:t>
      </w:r>
    </w:p>
    <w:p w14:paraId="3B94F8A1" w14:textId="03E7D891" w:rsidR="00EE6050" w:rsidRDefault="0064091C" w:rsidP="005972ED">
      <w:pPr>
        <w:pStyle w:val="Para0"/>
        <w:ind w:left="567" w:hanging="567"/>
      </w:pPr>
      <w:r w:rsidRPr="0064091C">
        <w:t>Casanova</w:t>
      </w:r>
      <w:r>
        <w:t xml:space="preserve"> MT</w:t>
      </w:r>
      <w:r w:rsidRPr="0064091C">
        <w:t xml:space="preserve"> </w:t>
      </w:r>
      <w:r w:rsidR="0083508E">
        <w:t>(</w:t>
      </w:r>
      <w:r w:rsidRPr="0064091C">
        <w:t>2015</w:t>
      </w:r>
      <w:r w:rsidR="0083508E">
        <w:t>)</w:t>
      </w:r>
      <w:r w:rsidR="002939F5">
        <w:t>.</w:t>
      </w:r>
      <w:r w:rsidRPr="0064091C">
        <w:t xml:space="preserve"> </w:t>
      </w:r>
      <w:r w:rsidRPr="001E579B">
        <w:rPr>
          <w:i/>
        </w:rPr>
        <w:t xml:space="preserve">Review of </w:t>
      </w:r>
      <w:r w:rsidR="0083508E">
        <w:rPr>
          <w:i/>
        </w:rPr>
        <w:t>W</w:t>
      </w:r>
      <w:r w:rsidRPr="001E579B">
        <w:rPr>
          <w:i/>
        </w:rPr>
        <w:t xml:space="preserve">ater </w:t>
      </w:r>
      <w:r w:rsidR="0083508E">
        <w:rPr>
          <w:i/>
        </w:rPr>
        <w:t>R</w:t>
      </w:r>
      <w:r w:rsidRPr="001E579B">
        <w:rPr>
          <w:i/>
        </w:rPr>
        <w:t xml:space="preserve">equirements for </w:t>
      </w:r>
      <w:r w:rsidR="0083508E">
        <w:rPr>
          <w:i/>
        </w:rPr>
        <w:t>K</w:t>
      </w:r>
      <w:r w:rsidRPr="001E579B">
        <w:rPr>
          <w:i/>
        </w:rPr>
        <w:t xml:space="preserve">ey </w:t>
      </w:r>
      <w:r w:rsidR="0083508E">
        <w:rPr>
          <w:i/>
        </w:rPr>
        <w:t>F</w:t>
      </w:r>
      <w:r w:rsidRPr="001E579B">
        <w:rPr>
          <w:i/>
        </w:rPr>
        <w:t xml:space="preserve">loodplain </w:t>
      </w:r>
      <w:r w:rsidR="0083508E">
        <w:rPr>
          <w:i/>
        </w:rPr>
        <w:t>V</w:t>
      </w:r>
      <w:r w:rsidRPr="001E579B">
        <w:rPr>
          <w:i/>
        </w:rPr>
        <w:t xml:space="preserve">egetation for the Northern Basin: Literature </w:t>
      </w:r>
      <w:r w:rsidR="0083508E">
        <w:rPr>
          <w:i/>
        </w:rPr>
        <w:t>R</w:t>
      </w:r>
      <w:r w:rsidRPr="001E579B">
        <w:rPr>
          <w:i/>
        </w:rPr>
        <w:t xml:space="preserve">eview and </w:t>
      </w:r>
      <w:r w:rsidR="0083508E">
        <w:rPr>
          <w:i/>
        </w:rPr>
        <w:t>E</w:t>
      </w:r>
      <w:r w:rsidRPr="001E579B">
        <w:rPr>
          <w:i/>
        </w:rPr>
        <w:t xml:space="preserve">xpert </w:t>
      </w:r>
      <w:r w:rsidR="0083508E">
        <w:rPr>
          <w:i/>
        </w:rPr>
        <w:t>K</w:t>
      </w:r>
      <w:r w:rsidRPr="001E579B">
        <w:rPr>
          <w:i/>
        </w:rPr>
        <w:t xml:space="preserve">nowledge </w:t>
      </w:r>
      <w:r w:rsidR="0083508E">
        <w:rPr>
          <w:i/>
        </w:rPr>
        <w:t>A</w:t>
      </w:r>
      <w:r w:rsidRPr="001E579B">
        <w:rPr>
          <w:i/>
        </w:rPr>
        <w:t>ssessment</w:t>
      </w:r>
      <w:r w:rsidRPr="0064091C">
        <w:t>. Report to the Murray‒Darling Basin Authority, Charophyte Services, Lake Bolac.</w:t>
      </w:r>
    </w:p>
    <w:p w14:paraId="28A5A274" w14:textId="682A0707" w:rsidR="00BE098E" w:rsidRPr="00BE098E" w:rsidRDefault="00BE098E" w:rsidP="005972ED">
      <w:pPr>
        <w:pStyle w:val="Para0"/>
        <w:ind w:left="567" w:hanging="567"/>
        <w:rPr>
          <w:szCs w:val="20"/>
        </w:rPr>
      </w:pPr>
      <w:r w:rsidRPr="00BE098E">
        <w:rPr>
          <w:szCs w:val="20"/>
        </w:rPr>
        <w:t>Clarke I</w:t>
      </w:r>
      <w:r>
        <w:rPr>
          <w:szCs w:val="20"/>
        </w:rPr>
        <w:t>,</w:t>
      </w:r>
      <w:r w:rsidRPr="00BE098E">
        <w:rPr>
          <w:szCs w:val="20"/>
        </w:rPr>
        <w:t xml:space="preserve"> Stokes Z and Wallace R </w:t>
      </w:r>
      <w:r>
        <w:rPr>
          <w:szCs w:val="20"/>
        </w:rPr>
        <w:t>(</w:t>
      </w:r>
      <w:r w:rsidRPr="00BE098E">
        <w:rPr>
          <w:szCs w:val="20"/>
        </w:rPr>
        <w:t>2010</w:t>
      </w:r>
      <w:r>
        <w:rPr>
          <w:szCs w:val="20"/>
        </w:rPr>
        <w:t>)</w:t>
      </w:r>
      <w:r w:rsidRPr="00BE098E">
        <w:rPr>
          <w:szCs w:val="20"/>
        </w:rPr>
        <w:t xml:space="preserve"> </w:t>
      </w:r>
      <w:r w:rsidRPr="00BE098E">
        <w:rPr>
          <w:i/>
          <w:szCs w:val="20"/>
        </w:rPr>
        <w:t>Habitat Restoration Planning Guide for Natural Resource Managers</w:t>
      </w:r>
      <w:r>
        <w:rPr>
          <w:szCs w:val="20"/>
        </w:rPr>
        <w:t>.</w:t>
      </w:r>
      <w:r w:rsidRPr="00BE098E">
        <w:rPr>
          <w:szCs w:val="20"/>
        </w:rPr>
        <w:t xml:space="preserve"> Government of South Australia, through Department of Environment and Natural Resources, Adelaide</w:t>
      </w:r>
    </w:p>
    <w:p w14:paraId="20F8059F" w14:textId="4895B611" w:rsidR="00BE098E" w:rsidRPr="00BE098E" w:rsidRDefault="00BE098E" w:rsidP="005972ED">
      <w:pPr>
        <w:pStyle w:val="Para0"/>
        <w:ind w:left="567" w:hanging="567"/>
        <w:rPr>
          <w:szCs w:val="20"/>
        </w:rPr>
      </w:pPr>
      <w:r w:rsidRPr="00BE098E">
        <w:rPr>
          <w:szCs w:val="20"/>
        </w:rPr>
        <w:t>Colloff MJ, Lavorel S, Wise RM, Dunlop M, Overton IC and Williams KJ (2015)</w:t>
      </w:r>
      <w:r>
        <w:rPr>
          <w:szCs w:val="20"/>
        </w:rPr>
        <w:t>.</w:t>
      </w:r>
      <w:r w:rsidRPr="00BE098E">
        <w:rPr>
          <w:szCs w:val="20"/>
        </w:rPr>
        <w:t xml:space="preserve"> </w:t>
      </w:r>
      <w:r w:rsidRPr="00BE098E">
        <w:rPr>
          <w:i/>
          <w:szCs w:val="20"/>
        </w:rPr>
        <w:t>Adaptation Services of Floodplains and Wetlands Under Climate Change.</w:t>
      </w:r>
      <w:r w:rsidRPr="00BE098E">
        <w:rPr>
          <w:szCs w:val="20"/>
        </w:rPr>
        <w:t xml:space="preserve"> Ecological Applications 26(4): 1003-1017, DOI: 10.1890/1815-0848.1891.</w:t>
      </w:r>
    </w:p>
    <w:p w14:paraId="1B427889" w14:textId="62A2F759" w:rsidR="0011786C" w:rsidRPr="00F87434" w:rsidRDefault="0011786C" w:rsidP="005972ED">
      <w:pPr>
        <w:pStyle w:val="Para0"/>
        <w:ind w:left="567" w:hanging="567"/>
      </w:pPr>
      <w:r>
        <w:t>DEWNR (2012)</w:t>
      </w:r>
      <w:r w:rsidR="002939F5">
        <w:t>.</w:t>
      </w:r>
      <w:r>
        <w:t xml:space="preserve"> </w:t>
      </w:r>
      <w:r w:rsidRPr="00055EDF">
        <w:rPr>
          <w:i/>
        </w:rPr>
        <w:t>Riverine Recovery Monitoring and Evaluation Program - Technical Design</w:t>
      </w:r>
      <w:r>
        <w:t>. Department of Environment, Water and Natural Resources, Adelaide, South Australia., p. 135</w:t>
      </w:r>
    </w:p>
    <w:p w14:paraId="03F824D6" w14:textId="77777777" w:rsidR="004D526B" w:rsidRDefault="004D526B" w:rsidP="005972ED">
      <w:pPr>
        <w:pStyle w:val="Para0"/>
        <w:ind w:left="567" w:hanging="567"/>
        <w:rPr>
          <w:szCs w:val="20"/>
        </w:rPr>
      </w:pPr>
      <w:r w:rsidRPr="007A4B74">
        <w:rPr>
          <w:szCs w:val="20"/>
        </w:rPr>
        <w:t>Doody TM, Llewelyn A, Pritchard JL, Overton IC and Holland KL (2016)</w:t>
      </w:r>
      <w:r w:rsidRPr="007A4B74">
        <w:rPr>
          <w:i/>
          <w:szCs w:val="20"/>
        </w:rPr>
        <w:t xml:space="preserve"> Influence of Environmental Water on Black Box (Eucalyptus largiflorens).</w:t>
      </w:r>
      <w:r w:rsidRPr="007A4B74">
        <w:rPr>
          <w:szCs w:val="20"/>
        </w:rPr>
        <w:t xml:space="preserve"> Report for the South Australian Murray-Darling Basin Natural Resource Management Board.</w:t>
      </w:r>
    </w:p>
    <w:p w14:paraId="79DB4A2B" w14:textId="2157EDA0" w:rsidR="005972ED" w:rsidRDefault="005972ED" w:rsidP="005972ED">
      <w:pPr>
        <w:pStyle w:val="Para0"/>
        <w:ind w:left="567" w:hanging="567"/>
      </w:pPr>
      <w:r w:rsidRPr="00F87434">
        <w:t xml:space="preserve">Doody TM and Overton IC </w:t>
      </w:r>
      <w:r w:rsidR="001E579B">
        <w:t>(</w:t>
      </w:r>
      <w:r w:rsidRPr="00F87434">
        <w:t>2012</w:t>
      </w:r>
      <w:r w:rsidR="001E579B">
        <w:t>)</w:t>
      </w:r>
      <w:r w:rsidR="002939F5">
        <w:t>.</w:t>
      </w:r>
      <w:r w:rsidRPr="00F87434">
        <w:t xml:space="preserve"> </w:t>
      </w:r>
      <w:r w:rsidRPr="00F87434">
        <w:rPr>
          <w:i/>
        </w:rPr>
        <w:t xml:space="preserve">Gol </w:t>
      </w:r>
      <w:r w:rsidR="005C4005">
        <w:rPr>
          <w:i/>
        </w:rPr>
        <w:t xml:space="preserve">Gol </w:t>
      </w:r>
      <w:r w:rsidR="001E579B">
        <w:rPr>
          <w:i/>
        </w:rPr>
        <w:t>W</w:t>
      </w:r>
      <w:r w:rsidRPr="00F87434">
        <w:rPr>
          <w:i/>
        </w:rPr>
        <w:t xml:space="preserve">etlands </w:t>
      </w:r>
      <w:r w:rsidR="001E579B">
        <w:rPr>
          <w:i/>
        </w:rPr>
        <w:t>H</w:t>
      </w:r>
      <w:r w:rsidRPr="00F87434">
        <w:rPr>
          <w:i/>
        </w:rPr>
        <w:t xml:space="preserve">ealth </w:t>
      </w:r>
      <w:r w:rsidR="001E579B">
        <w:rPr>
          <w:i/>
        </w:rPr>
        <w:t>A</w:t>
      </w:r>
      <w:r w:rsidRPr="00F87434">
        <w:rPr>
          <w:i/>
        </w:rPr>
        <w:t>ssessment: 2008-2011</w:t>
      </w:r>
      <w:r w:rsidRPr="00F87434">
        <w:t>. Report prepared for the NSW Office of Environment and Heritage by CSIRO Water for a Healthy Country, Adelaide, SA.</w:t>
      </w:r>
    </w:p>
    <w:p w14:paraId="5CDCCBFF" w14:textId="087A7AA8" w:rsidR="009B3015" w:rsidRDefault="005033DB" w:rsidP="0010529B">
      <w:pPr>
        <w:pStyle w:val="Para0"/>
        <w:ind w:left="567" w:hanging="567"/>
      </w:pPr>
      <w:r>
        <w:t xml:space="preserve">Duncan D, Moxham C and Read C </w:t>
      </w:r>
      <w:r w:rsidR="001E579B">
        <w:t>(</w:t>
      </w:r>
      <w:r>
        <w:t>2007</w:t>
      </w:r>
      <w:r w:rsidR="001E579B">
        <w:t>)</w:t>
      </w:r>
      <w:r w:rsidR="002939F5">
        <w:t>.</w:t>
      </w:r>
      <w:r>
        <w:t xml:space="preserve"> </w:t>
      </w:r>
      <w:r w:rsidRPr="001E579B">
        <w:rPr>
          <w:i/>
        </w:rPr>
        <w:t xml:space="preserve">Effect of </w:t>
      </w:r>
      <w:r w:rsidR="001E579B" w:rsidRPr="001E579B">
        <w:rPr>
          <w:i/>
        </w:rPr>
        <w:t>S</w:t>
      </w:r>
      <w:r w:rsidRPr="001E579B">
        <w:rPr>
          <w:i/>
        </w:rPr>
        <w:t xml:space="preserve">tock </w:t>
      </w:r>
      <w:r w:rsidR="001E579B" w:rsidRPr="001E579B">
        <w:rPr>
          <w:i/>
        </w:rPr>
        <w:t>R</w:t>
      </w:r>
      <w:r w:rsidRPr="001E579B">
        <w:rPr>
          <w:i/>
        </w:rPr>
        <w:t xml:space="preserve">emoval on </w:t>
      </w:r>
      <w:r w:rsidR="001E579B" w:rsidRPr="001E579B">
        <w:rPr>
          <w:i/>
        </w:rPr>
        <w:t>W</w:t>
      </w:r>
      <w:r w:rsidRPr="001E579B">
        <w:rPr>
          <w:i/>
        </w:rPr>
        <w:t xml:space="preserve">oodlands in the Murray Mallee and Wimmera </w:t>
      </w:r>
      <w:r w:rsidR="001E579B" w:rsidRPr="001E579B">
        <w:rPr>
          <w:i/>
        </w:rPr>
        <w:t>B</w:t>
      </w:r>
      <w:r w:rsidRPr="001E579B">
        <w:rPr>
          <w:i/>
        </w:rPr>
        <w:t>ioregions of Victoria</w:t>
      </w:r>
      <w:r>
        <w:t>. Department of Sustainability and Environment, Melbourne, VIC.</w:t>
      </w:r>
    </w:p>
    <w:p w14:paraId="6CB94EE0" w14:textId="2BB97999" w:rsidR="00CA0A02" w:rsidRDefault="003B730A" w:rsidP="0010529B">
      <w:pPr>
        <w:pStyle w:val="Para0"/>
        <w:ind w:left="567" w:hanging="567"/>
      </w:pPr>
      <w:r>
        <w:t>Fulle</w:t>
      </w:r>
      <w:r w:rsidR="00CA0A02">
        <w:t xml:space="preserve">r AD and Telfer AL </w:t>
      </w:r>
      <w:r w:rsidR="002939F5">
        <w:t>(</w:t>
      </w:r>
      <w:r w:rsidR="00CA0A02" w:rsidRPr="0010529B">
        <w:t>2007</w:t>
      </w:r>
      <w:r w:rsidR="002939F5">
        <w:t>).</w:t>
      </w:r>
      <w:r w:rsidR="00CA0A02" w:rsidRPr="0010529B">
        <w:t xml:space="preserve"> </w:t>
      </w:r>
      <w:r w:rsidR="00CA0A02" w:rsidRPr="0010529B">
        <w:rPr>
          <w:i/>
        </w:rPr>
        <w:t>The Living Murray: Salinity Impact Assessment Framework - Works and Measures</w:t>
      </w:r>
      <w:r w:rsidR="0010529B">
        <w:t>,</w:t>
      </w:r>
      <w:r w:rsidR="00CA0A02" w:rsidRPr="0010529B">
        <w:t xml:space="preserve"> Murray-Darling Basin Commission.</w:t>
      </w:r>
    </w:p>
    <w:p w14:paraId="6ACCBE8F" w14:textId="597B1068" w:rsidR="00F5689C" w:rsidRDefault="00A2583E" w:rsidP="003B730A">
      <w:pPr>
        <w:pStyle w:val="Para0"/>
        <w:ind w:left="567" w:hanging="567"/>
      </w:pPr>
      <w:r>
        <w:t xml:space="preserve">Gehrig SL and Nicol JM </w:t>
      </w:r>
      <w:r w:rsidR="002939F5">
        <w:t>(</w:t>
      </w:r>
      <w:r>
        <w:t>2010</w:t>
      </w:r>
      <w:r w:rsidR="002939F5">
        <w:t>)</w:t>
      </w:r>
      <w:r>
        <w:t xml:space="preserve"> </w:t>
      </w:r>
      <w:r w:rsidRPr="007A4B74">
        <w:rPr>
          <w:i/>
        </w:rPr>
        <w:t xml:space="preserve">Relationship </w:t>
      </w:r>
      <w:r w:rsidR="002939F5" w:rsidRPr="007A4B74">
        <w:rPr>
          <w:i/>
        </w:rPr>
        <w:t>B</w:t>
      </w:r>
      <w:r w:rsidRPr="007A4B74">
        <w:rPr>
          <w:i/>
        </w:rPr>
        <w:t xml:space="preserve">etween </w:t>
      </w:r>
      <w:r w:rsidR="002939F5" w:rsidRPr="007A4B74">
        <w:rPr>
          <w:i/>
        </w:rPr>
        <w:t>F</w:t>
      </w:r>
      <w:r w:rsidRPr="007A4B74">
        <w:rPr>
          <w:i/>
        </w:rPr>
        <w:t xml:space="preserve">loodplain </w:t>
      </w:r>
      <w:r w:rsidR="002939F5" w:rsidRPr="007A4B74">
        <w:rPr>
          <w:i/>
        </w:rPr>
        <w:t>B</w:t>
      </w:r>
      <w:r w:rsidRPr="007A4B74">
        <w:rPr>
          <w:i/>
        </w:rPr>
        <w:t xml:space="preserve">lack </w:t>
      </w:r>
      <w:r w:rsidR="002939F5" w:rsidRPr="007A4B74">
        <w:rPr>
          <w:i/>
        </w:rPr>
        <w:t>B</w:t>
      </w:r>
      <w:r w:rsidRPr="007A4B74">
        <w:rPr>
          <w:i/>
        </w:rPr>
        <w:t xml:space="preserve">ox (Eucalyptus largiflorens) </w:t>
      </w:r>
      <w:r w:rsidR="002939F5" w:rsidRPr="007A4B74">
        <w:rPr>
          <w:i/>
        </w:rPr>
        <w:t>W</w:t>
      </w:r>
      <w:r w:rsidRPr="007A4B74">
        <w:rPr>
          <w:i/>
        </w:rPr>
        <w:t xml:space="preserve">oodlands and </w:t>
      </w:r>
      <w:r w:rsidR="002939F5" w:rsidRPr="007A4B74">
        <w:rPr>
          <w:i/>
        </w:rPr>
        <w:t>S</w:t>
      </w:r>
      <w:r w:rsidRPr="007A4B74">
        <w:rPr>
          <w:i/>
        </w:rPr>
        <w:t xml:space="preserve">oil </w:t>
      </w:r>
      <w:r w:rsidR="002939F5" w:rsidRPr="007A4B74">
        <w:rPr>
          <w:i/>
        </w:rPr>
        <w:t>C</w:t>
      </w:r>
      <w:r w:rsidRPr="007A4B74">
        <w:rPr>
          <w:i/>
        </w:rPr>
        <w:t>ondition on the Pike River Floodplain</w:t>
      </w:r>
      <w:r>
        <w:t>. South Australian Research and Development Institute (Aquatic Sciences), Adelaide, 23pp. SARDI Publication Number F2010/000634-1. SARDI Research Report Series No. 479.</w:t>
      </w:r>
    </w:p>
    <w:p w14:paraId="1C13DFF0" w14:textId="059FBFB1" w:rsidR="003B730A" w:rsidRDefault="003B730A" w:rsidP="003B730A">
      <w:pPr>
        <w:pStyle w:val="Para0"/>
        <w:ind w:left="567" w:hanging="567"/>
      </w:pPr>
      <w:r>
        <w:t xml:space="preserve">Henderson M, Freestone F, Wood D, Cranston G, Campbell C, Vlamis T </w:t>
      </w:r>
      <w:r w:rsidR="002939F5">
        <w:t>and</w:t>
      </w:r>
      <w:r>
        <w:t xml:space="preserve"> Vilizzi L (2013) </w:t>
      </w:r>
      <w:r w:rsidRPr="003B730A">
        <w:rPr>
          <w:i/>
        </w:rPr>
        <w:t>The Living Murray Condition Monitoring at Lindsay, Mulcra and Wallpolla Islands 2012–13: Part A – Main Report</w:t>
      </w:r>
      <w:r>
        <w:t>. Final Report prepared for the Mallee Catchment Management Authority by The Murray-Darling Freshwater Research Centre, MDFRC Publication 18/2013, November, 152pp.</w:t>
      </w:r>
    </w:p>
    <w:p w14:paraId="4182B7B4" w14:textId="61DD2C2F" w:rsidR="005972ED" w:rsidRPr="00F87434" w:rsidRDefault="005972ED" w:rsidP="005972ED">
      <w:pPr>
        <w:pStyle w:val="Para0"/>
        <w:ind w:left="567" w:hanging="567"/>
      </w:pPr>
      <w:r w:rsidRPr="00F87434">
        <w:t>Horner GJ, Cunningham SC,</w:t>
      </w:r>
      <w:r w:rsidR="00A86276">
        <w:t xml:space="preserve"> Thomson JR, Baker PJ and Mac</w:t>
      </w:r>
      <w:r w:rsidRPr="00F87434">
        <w:t xml:space="preserve">Nally R </w:t>
      </w:r>
      <w:r w:rsidR="002939F5">
        <w:t>(</w:t>
      </w:r>
      <w:r w:rsidRPr="00F87434">
        <w:t>2016</w:t>
      </w:r>
      <w:r w:rsidR="002939F5">
        <w:t>).</w:t>
      </w:r>
      <w:r w:rsidRPr="00F87434">
        <w:t xml:space="preserve"> </w:t>
      </w:r>
      <w:r w:rsidRPr="00F87434">
        <w:rPr>
          <w:i/>
        </w:rPr>
        <w:t xml:space="preserve">Recruitment of </w:t>
      </w:r>
      <w:r w:rsidR="002939F5">
        <w:rPr>
          <w:i/>
        </w:rPr>
        <w:t>K</w:t>
      </w:r>
      <w:r w:rsidRPr="00F87434">
        <w:rPr>
          <w:i/>
        </w:rPr>
        <w:t xml:space="preserve">eystone </w:t>
      </w:r>
      <w:r w:rsidR="002939F5">
        <w:rPr>
          <w:i/>
        </w:rPr>
        <w:t>T</w:t>
      </w:r>
      <w:r w:rsidRPr="00F87434">
        <w:rPr>
          <w:i/>
        </w:rPr>
        <w:t xml:space="preserve">ree </w:t>
      </w:r>
      <w:r w:rsidR="002939F5">
        <w:rPr>
          <w:i/>
        </w:rPr>
        <w:t>S</w:t>
      </w:r>
      <w:r w:rsidRPr="00F87434">
        <w:rPr>
          <w:i/>
        </w:rPr>
        <w:t xml:space="preserve">pecies </w:t>
      </w:r>
      <w:r w:rsidR="002939F5">
        <w:rPr>
          <w:i/>
        </w:rPr>
        <w:t>M</w:t>
      </w:r>
      <w:r w:rsidRPr="00F87434">
        <w:rPr>
          <w:i/>
        </w:rPr>
        <w:t xml:space="preserve">ust </w:t>
      </w:r>
      <w:r w:rsidR="002939F5">
        <w:rPr>
          <w:i/>
        </w:rPr>
        <w:t>C</w:t>
      </w:r>
      <w:r w:rsidRPr="00F87434">
        <w:rPr>
          <w:i/>
        </w:rPr>
        <w:t xml:space="preserve">oncurrently </w:t>
      </w:r>
      <w:r w:rsidR="002939F5">
        <w:rPr>
          <w:i/>
        </w:rPr>
        <w:t>M</w:t>
      </w:r>
      <w:r w:rsidRPr="00F87434">
        <w:rPr>
          <w:i/>
        </w:rPr>
        <w:t xml:space="preserve">anage </w:t>
      </w:r>
      <w:r w:rsidR="002939F5">
        <w:rPr>
          <w:i/>
        </w:rPr>
        <w:t>F</w:t>
      </w:r>
      <w:r w:rsidRPr="00F87434">
        <w:rPr>
          <w:i/>
        </w:rPr>
        <w:t xml:space="preserve">looding and </w:t>
      </w:r>
      <w:r w:rsidR="002939F5">
        <w:rPr>
          <w:i/>
        </w:rPr>
        <w:t>B</w:t>
      </w:r>
      <w:r w:rsidRPr="00F87434">
        <w:rPr>
          <w:i/>
        </w:rPr>
        <w:t>rowsing</w:t>
      </w:r>
      <w:r w:rsidR="002939F5">
        <w:rPr>
          <w:i/>
        </w:rPr>
        <w:t>.</w:t>
      </w:r>
      <w:r w:rsidRPr="00F87434">
        <w:rPr>
          <w:i/>
        </w:rPr>
        <w:t xml:space="preserve"> </w:t>
      </w:r>
      <w:r w:rsidRPr="00F87434">
        <w:t>Journal of Applied Ecology, 53: 944-952.</w:t>
      </w:r>
    </w:p>
    <w:p w14:paraId="43781427" w14:textId="43D8BF0C" w:rsidR="00CD5410" w:rsidRDefault="00CD5410" w:rsidP="005972ED">
      <w:pPr>
        <w:pStyle w:val="Para0"/>
        <w:ind w:left="567" w:hanging="567"/>
      </w:pPr>
      <w:r>
        <w:t xml:space="preserve">Holland KL, Tyerman SD, Mensforth LJ and Walker GR (2006). </w:t>
      </w:r>
      <w:r w:rsidRPr="007A4B74">
        <w:rPr>
          <w:i/>
        </w:rPr>
        <w:t xml:space="preserve">Tree </w:t>
      </w:r>
      <w:r w:rsidR="002939F5" w:rsidRPr="007A4B74">
        <w:rPr>
          <w:i/>
        </w:rPr>
        <w:t>W</w:t>
      </w:r>
      <w:r w:rsidRPr="007A4B74">
        <w:rPr>
          <w:i/>
        </w:rPr>
        <w:t xml:space="preserve">ater </w:t>
      </w:r>
      <w:r w:rsidR="002939F5" w:rsidRPr="007A4B74">
        <w:rPr>
          <w:i/>
        </w:rPr>
        <w:t>S</w:t>
      </w:r>
      <w:r w:rsidRPr="007A4B74">
        <w:rPr>
          <w:i/>
        </w:rPr>
        <w:t xml:space="preserve">ources over </w:t>
      </w:r>
      <w:r w:rsidR="002939F5" w:rsidRPr="007A4B74">
        <w:rPr>
          <w:i/>
        </w:rPr>
        <w:t>S</w:t>
      </w:r>
      <w:r w:rsidRPr="007A4B74">
        <w:rPr>
          <w:i/>
        </w:rPr>
        <w:t xml:space="preserve">hallow, </w:t>
      </w:r>
      <w:r w:rsidR="002939F5" w:rsidRPr="007A4B74">
        <w:rPr>
          <w:i/>
        </w:rPr>
        <w:t>S</w:t>
      </w:r>
      <w:r w:rsidRPr="007A4B74">
        <w:rPr>
          <w:i/>
        </w:rPr>
        <w:t xml:space="preserve">aline </w:t>
      </w:r>
      <w:r w:rsidR="002939F5" w:rsidRPr="007A4B74">
        <w:rPr>
          <w:i/>
        </w:rPr>
        <w:t>G</w:t>
      </w:r>
      <w:r w:rsidRPr="007A4B74">
        <w:rPr>
          <w:i/>
        </w:rPr>
        <w:t xml:space="preserve">roundwater in the </w:t>
      </w:r>
      <w:r w:rsidR="002939F5" w:rsidRPr="007A4B74">
        <w:rPr>
          <w:i/>
        </w:rPr>
        <w:t>L</w:t>
      </w:r>
      <w:r w:rsidRPr="007A4B74">
        <w:rPr>
          <w:i/>
        </w:rPr>
        <w:t xml:space="preserve">ower River Murray, south eastern Australia: </w:t>
      </w:r>
      <w:r w:rsidR="002939F5" w:rsidRPr="007A4B74">
        <w:rPr>
          <w:i/>
        </w:rPr>
        <w:t>I</w:t>
      </w:r>
      <w:r w:rsidRPr="007A4B74">
        <w:rPr>
          <w:i/>
        </w:rPr>
        <w:t xml:space="preserve">mplications for </w:t>
      </w:r>
      <w:r w:rsidR="002939F5" w:rsidRPr="007A4B74">
        <w:rPr>
          <w:i/>
        </w:rPr>
        <w:t>G</w:t>
      </w:r>
      <w:r w:rsidRPr="007A4B74">
        <w:rPr>
          <w:i/>
        </w:rPr>
        <w:t xml:space="preserve">roundwater </w:t>
      </w:r>
      <w:r w:rsidR="002939F5" w:rsidRPr="007A4B74">
        <w:rPr>
          <w:i/>
        </w:rPr>
        <w:t>R</w:t>
      </w:r>
      <w:r w:rsidRPr="007A4B74">
        <w:rPr>
          <w:i/>
        </w:rPr>
        <w:t xml:space="preserve">echarge </w:t>
      </w:r>
      <w:r w:rsidR="002939F5" w:rsidRPr="007A4B74">
        <w:rPr>
          <w:i/>
        </w:rPr>
        <w:t>M</w:t>
      </w:r>
      <w:r w:rsidRPr="007A4B74">
        <w:rPr>
          <w:i/>
        </w:rPr>
        <w:t>echanisms.</w:t>
      </w:r>
      <w:r>
        <w:t xml:space="preserve"> Aust. J. Botany 2006, 54, pp193-205.</w:t>
      </w:r>
    </w:p>
    <w:p w14:paraId="4ECE5319" w14:textId="0856E74C" w:rsidR="005972ED" w:rsidRPr="00F87434" w:rsidRDefault="005972ED" w:rsidP="005972ED">
      <w:pPr>
        <w:pStyle w:val="Para0"/>
        <w:ind w:left="567" w:hanging="567"/>
      </w:pPr>
      <w:r w:rsidRPr="00F87434">
        <w:t xml:space="preserve">Holland KL, Turnadage CJ, Nicol JM, Gehrig SL and Strawbridge AD </w:t>
      </w:r>
      <w:r w:rsidR="002939F5">
        <w:t>(</w:t>
      </w:r>
      <w:r w:rsidRPr="00F87434">
        <w:t>2013</w:t>
      </w:r>
      <w:r w:rsidR="002939F5">
        <w:t>).</w:t>
      </w:r>
      <w:r w:rsidRPr="00F87434">
        <w:t xml:space="preserve"> </w:t>
      </w:r>
      <w:r w:rsidRPr="00F87434">
        <w:rPr>
          <w:i/>
        </w:rPr>
        <w:t xml:space="preserve">Floodplain </w:t>
      </w:r>
      <w:r w:rsidR="002939F5">
        <w:rPr>
          <w:i/>
        </w:rPr>
        <w:t>R</w:t>
      </w:r>
      <w:r w:rsidRPr="00F87434">
        <w:rPr>
          <w:i/>
        </w:rPr>
        <w:t xml:space="preserve">esponse and </w:t>
      </w:r>
      <w:r w:rsidR="002939F5">
        <w:rPr>
          <w:i/>
        </w:rPr>
        <w:t>R</w:t>
      </w:r>
      <w:r w:rsidRPr="00F87434">
        <w:rPr>
          <w:i/>
        </w:rPr>
        <w:t xml:space="preserve">ecovery: </w:t>
      </w:r>
      <w:r w:rsidR="002939F5">
        <w:rPr>
          <w:i/>
        </w:rPr>
        <w:t>C</w:t>
      </w:r>
      <w:r w:rsidRPr="00F87434">
        <w:rPr>
          <w:i/>
        </w:rPr>
        <w:t xml:space="preserve">omparison </w:t>
      </w:r>
      <w:r w:rsidR="002939F5">
        <w:rPr>
          <w:i/>
        </w:rPr>
        <w:t>B</w:t>
      </w:r>
      <w:r w:rsidRPr="00F87434">
        <w:rPr>
          <w:i/>
        </w:rPr>
        <w:t xml:space="preserve">etween </w:t>
      </w:r>
      <w:r w:rsidR="002939F5">
        <w:rPr>
          <w:i/>
        </w:rPr>
        <w:t>N</w:t>
      </w:r>
      <w:r w:rsidRPr="00F87434">
        <w:rPr>
          <w:i/>
        </w:rPr>
        <w:t xml:space="preserve">atural and </w:t>
      </w:r>
      <w:r w:rsidR="002939F5">
        <w:rPr>
          <w:i/>
        </w:rPr>
        <w:t>A</w:t>
      </w:r>
      <w:r w:rsidRPr="00F87434">
        <w:rPr>
          <w:i/>
        </w:rPr>
        <w:t xml:space="preserve">rtificial </w:t>
      </w:r>
      <w:r w:rsidR="002939F5">
        <w:rPr>
          <w:i/>
        </w:rPr>
        <w:t>F</w:t>
      </w:r>
      <w:r w:rsidRPr="00F87434">
        <w:rPr>
          <w:i/>
        </w:rPr>
        <w:t>loods</w:t>
      </w:r>
      <w:r w:rsidRPr="00F87434">
        <w:t>. Goyder Institute for Water Research Technical Report Series 13/4, Adelaide, SA.</w:t>
      </w:r>
    </w:p>
    <w:p w14:paraId="44561E90" w14:textId="26FFA696" w:rsidR="00EC0013" w:rsidRDefault="00EC0013" w:rsidP="005972ED">
      <w:pPr>
        <w:pStyle w:val="Para0"/>
        <w:ind w:left="567" w:hanging="567"/>
      </w:pPr>
      <w:r w:rsidRPr="00EC0013">
        <w:t xml:space="preserve">IPCC </w:t>
      </w:r>
      <w:r w:rsidR="002939F5">
        <w:t>(</w:t>
      </w:r>
      <w:r w:rsidRPr="00EC0013">
        <w:t>2001</w:t>
      </w:r>
      <w:r w:rsidR="002939F5">
        <w:t>).</w:t>
      </w:r>
      <w:r w:rsidRPr="00EC0013">
        <w:t xml:space="preserve"> </w:t>
      </w:r>
      <w:r w:rsidRPr="004F61FC">
        <w:rPr>
          <w:i/>
        </w:rPr>
        <w:t xml:space="preserve">Climate </w:t>
      </w:r>
      <w:r w:rsidR="002939F5">
        <w:rPr>
          <w:i/>
        </w:rPr>
        <w:t>C</w:t>
      </w:r>
      <w:r w:rsidRPr="004F61FC">
        <w:rPr>
          <w:i/>
        </w:rPr>
        <w:t xml:space="preserve">hange 2001: </w:t>
      </w:r>
      <w:r w:rsidR="002939F5">
        <w:rPr>
          <w:i/>
        </w:rPr>
        <w:t>I</w:t>
      </w:r>
      <w:r w:rsidRPr="004F61FC">
        <w:rPr>
          <w:i/>
        </w:rPr>
        <w:t xml:space="preserve">mpacts, </w:t>
      </w:r>
      <w:r w:rsidR="002939F5">
        <w:rPr>
          <w:i/>
        </w:rPr>
        <w:t>A</w:t>
      </w:r>
      <w:r w:rsidRPr="004F61FC">
        <w:rPr>
          <w:i/>
        </w:rPr>
        <w:t xml:space="preserve">daptation and </w:t>
      </w:r>
      <w:r w:rsidR="002939F5">
        <w:rPr>
          <w:i/>
        </w:rPr>
        <w:t>V</w:t>
      </w:r>
      <w:r w:rsidRPr="004F61FC">
        <w:rPr>
          <w:i/>
        </w:rPr>
        <w:t>ulnerability</w:t>
      </w:r>
      <w:r w:rsidR="002939F5">
        <w:rPr>
          <w:i/>
        </w:rPr>
        <w:t>.</w:t>
      </w:r>
      <w:r w:rsidRPr="00EC0013">
        <w:t xml:space="preserve"> Contribution of Working Group II to the Third Assessment Report of the Intergovernmental Panel on Climate Change, edited by J. J. McCarthy, O. F. Canziani, N. A. Leary, D. J. Dokken and K. S. White (eds). Cambridge University Press, Cambridge, UK, and New York, USA, 2001. 1032</w:t>
      </w:r>
      <w:r w:rsidR="004F61FC">
        <w:t>pp</w:t>
      </w:r>
      <w:r w:rsidRPr="00EC0013">
        <w:t xml:space="preserve">. </w:t>
      </w:r>
    </w:p>
    <w:p w14:paraId="5C56D6B3" w14:textId="727449D4" w:rsidR="005972ED" w:rsidRPr="00F87434" w:rsidRDefault="005972ED" w:rsidP="005972ED">
      <w:pPr>
        <w:pStyle w:val="Para0"/>
        <w:ind w:left="567" w:hanging="567"/>
      </w:pPr>
      <w:r w:rsidRPr="00F87434">
        <w:t xml:space="preserve">Jensen AE, Walker KF and Paton DC </w:t>
      </w:r>
      <w:r w:rsidR="002939F5">
        <w:t>(</w:t>
      </w:r>
      <w:r w:rsidRPr="00F87434">
        <w:t>2008a</w:t>
      </w:r>
      <w:r w:rsidR="002939F5">
        <w:t>).</w:t>
      </w:r>
      <w:r w:rsidRPr="00F87434">
        <w:t xml:space="preserve"> </w:t>
      </w:r>
      <w:r w:rsidRPr="00F87434">
        <w:rPr>
          <w:i/>
        </w:rPr>
        <w:t xml:space="preserve">Smart </w:t>
      </w:r>
      <w:r w:rsidR="002939F5">
        <w:rPr>
          <w:i/>
        </w:rPr>
        <w:t>E</w:t>
      </w:r>
      <w:r w:rsidRPr="00F87434">
        <w:rPr>
          <w:i/>
        </w:rPr>
        <w:t xml:space="preserve">nvironmental </w:t>
      </w:r>
      <w:r w:rsidR="002939F5">
        <w:rPr>
          <w:i/>
        </w:rPr>
        <w:t>W</w:t>
      </w:r>
      <w:r w:rsidRPr="00F87434">
        <w:rPr>
          <w:i/>
        </w:rPr>
        <w:t xml:space="preserve">atering: </w:t>
      </w:r>
      <w:r w:rsidR="002939F5">
        <w:rPr>
          <w:i/>
        </w:rPr>
        <w:t>G</w:t>
      </w:r>
      <w:r w:rsidRPr="00F87434">
        <w:rPr>
          <w:i/>
        </w:rPr>
        <w:t xml:space="preserve">etting </w:t>
      </w:r>
      <w:r w:rsidR="002939F5">
        <w:rPr>
          <w:i/>
        </w:rPr>
        <w:t>M</w:t>
      </w:r>
      <w:r w:rsidRPr="00F87434">
        <w:rPr>
          <w:i/>
        </w:rPr>
        <w:t xml:space="preserve">ost </w:t>
      </w:r>
      <w:r w:rsidR="002939F5">
        <w:rPr>
          <w:i/>
        </w:rPr>
        <w:t>B</w:t>
      </w:r>
      <w:r w:rsidRPr="00F87434">
        <w:rPr>
          <w:i/>
        </w:rPr>
        <w:t xml:space="preserve">enefit from </w:t>
      </w:r>
      <w:r w:rsidR="002939F5">
        <w:rPr>
          <w:i/>
        </w:rPr>
        <w:t>S</w:t>
      </w:r>
      <w:r w:rsidRPr="00F87434">
        <w:rPr>
          <w:i/>
        </w:rPr>
        <w:t xml:space="preserve">cant </w:t>
      </w:r>
      <w:r w:rsidR="002939F5">
        <w:rPr>
          <w:i/>
        </w:rPr>
        <w:t>F</w:t>
      </w:r>
      <w:r w:rsidRPr="00F87434">
        <w:rPr>
          <w:i/>
        </w:rPr>
        <w:t xml:space="preserve">lows for </w:t>
      </w:r>
      <w:r w:rsidR="002939F5">
        <w:rPr>
          <w:i/>
        </w:rPr>
        <w:t>F</w:t>
      </w:r>
      <w:r w:rsidRPr="00F87434">
        <w:rPr>
          <w:i/>
        </w:rPr>
        <w:t>loo</w:t>
      </w:r>
      <w:r w:rsidR="002939F5">
        <w:rPr>
          <w:i/>
        </w:rPr>
        <w:t>d</w:t>
      </w:r>
      <w:r w:rsidRPr="00F87434">
        <w:rPr>
          <w:i/>
        </w:rPr>
        <w:t xml:space="preserve">plain </w:t>
      </w:r>
      <w:r w:rsidR="002939F5">
        <w:rPr>
          <w:i/>
        </w:rPr>
        <w:t>T</w:t>
      </w:r>
      <w:r w:rsidRPr="00F87434">
        <w:rPr>
          <w:i/>
        </w:rPr>
        <w:t xml:space="preserve">rees (River Murray, South Australia), </w:t>
      </w:r>
      <w:r w:rsidRPr="00F87434">
        <w:t>in (Eds) Daniell, T, Lambert, M and Leonard, M, Proceedings of Water Down Under 2008 Conference, 15-17 April, Adelaide, pp 1426-1437, Engineers Australia, Melbourne, VIC.</w:t>
      </w:r>
    </w:p>
    <w:p w14:paraId="0A776B18" w14:textId="2E6C16D2" w:rsidR="005972ED" w:rsidRPr="00F87434" w:rsidRDefault="005972ED" w:rsidP="005972ED">
      <w:pPr>
        <w:pStyle w:val="Para0"/>
        <w:ind w:left="567" w:hanging="567"/>
      </w:pPr>
      <w:r w:rsidRPr="00F87434">
        <w:t xml:space="preserve">Jensen AE, Walker KF and Paton DC </w:t>
      </w:r>
      <w:r w:rsidR="002939F5">
        <w:t>(</w:t>
      </w:r>
      <w:r w:rsidRPr="00F87434">
        <w:t>2008b</w:t>
      </w:r>
      <w:r w:rsidR="002939F5">
        <w:t>).</w:t>
      </w:r>
      <w:r w:rsidRPr="00F87434">
        <w:t xml:space="preserve"> </w:t>
      </w:r>
      <w:r w:rsidRPr="00F87434">
        <w:rPr>
          <w:i/>
        </w:rPr>
        <w:t xml:space="preserve">The </w:t>
      </w:r>
      <w:r w:rsidR="002939F5">
        <w:rPr>
          <w:i/>
        </w:rPr>
        <w:t>R</w:t>
      </w:r>
      <w:r w:rsidRPr="00F87434">
        <w:rPr>
          <w:i/>
        </w:rPr>
        <w:t xml:space="preserve">ole of </w:t>
      </w:r>
      <w:r w:rsidR="002939F5">
        <w:rPr>
          <w:i/>
        </w:rPr>
        <w:t>S</w:t>
      </w:r>
      <w:r w:rsidRPr="00F87434">
        <w:rPr>
          <w:i/>
        </w:rPr>
        <w:t xml:space="preserve">eedbanks and </w:t>
      </w:r>
      <w:r w:rsidR="002939F5">
        <w:rPr>
          <w:i/>
        </w:rPr>
        <w:t>S</w:t>
      </w:r>
      <w:r w:rsidRPr="00F87434">
        <w:rPr>
          <w:i/>
        </w:rPr>
        <w:t xml:space="preserve">oil </w:t>
      </w:r>
      <w:r w:rsidR="002939F5">
        <w:rPr>
          <w:i/>
        </w:rPr>
        <w:t>M</w:t>
      </w:r>
      <w:r w:rsidRPr="00F87434">
        <w:rPr>
          <w:i/>
        </w:rPr>
        <w:t xml:space="preserve">oisture in </w:t>
      </w:r>
      <w:r w:rsidR="002939F5">
        <w:rPr>
          <w:i/>
        </w:rPr>
        <w:t>R</w:t>
      </w:r>
      <w:r w:rsidRPr="00F87434">
        <w:rPr>
          <w:i/>
        </w:rPr>
        <w:t xml:space="preserve">ecruitment of </w:t>
      </w:r>
      <w:r w:rsidR="002939F5">
        <w:rPr>
          <w:i/>
        </w:rPr>
        <w:t>S</w:t>
      </w:r>
      <w:r w:rsidRPr="00F87434">
        <w:rPr>
          <w:i/>
        </w:rPr>
        <w:t xml:space="preserve">emi-arid </w:t>
      </w:r>
      <w:r w:rsidR="002939F5">
        <w:rPr>
          <w:i/>
        </w:rPr>
        <w:t>F</w:t>
      </w:r>
      <w:r w:rsidRPr="00F87434">
        <w:rPr>
          <w:i/>
        </w:rPr>
        <w:t xml:space="preserve">loodplain </w:t>
      </w:r>
      <w:r w:rsidR="002939F5">
        <w:rPr>
          <w:i/>
        </w:rPr>
        <w:t>P</w:t>
      </w:r>
      <w:r w:rsidRPr="00F87434">
        <w:rPr>
          <w:i/>
        </w:rPr>
        <w:t>lants: the River Murray, Australia</w:t>
      </w:r>
      <w:r w:rsidRPr="00F87434">
        <w:t>, PhD Thesis, University of Adelaide, Adelaide, SA.</w:t>
      </w:r>
    </w:p>
    <w:p w14:paraId="225437EF" w14:textId="4AA758A8" w:rsidR="005972ED" w:rsidRDefault="005972ED" w:rsidP="005972ED">
      <w:pPr>
        <w:pStyle w:val="Para0"/>
        <w:ind w:left="567" w:hanging="567"/>
      </w:pPr>
      <w:r w:rsidRPr="00F87434">
        <w:t xml:space="preserve">Jensen AE </w:t>
      </w:r>
      <w:r w:rsidR="002939F5">
        <w:t>(</w:t>
      </w:r>
      <w:r w:rsidRPr="00F87434">
        <w:t>2009</w:t>
      </w:r>
      <w:r w:rsidR="002939F5">
        <w:t>).</w:t>
      </w:r>
      <w:r w:rsidR="003B730A">
        <w:t xml:space="preserve"> </w:t>
      </w:r>
      <w:r w:rsidR="003B730A">
        <w:rPr>
          <w:i/>
        </w:rPr>
        <w:t xml:space="preserve">The </w:t>
      </w:r>
      <w:r w:rsidR="002939F5">
        <w:rPr>
          <w:i/>
        </w:rPr>
        <w:t>R</w:t>
      </w:r>
      <w:r w:rsidR="003B730A">
        <w:rPr>
          <w:i/>
        </w:rPr>
        <w:t xml:space="preserve">ole of </w:t>
      </w:r>
      <w:r w:rsidR="002939F5">
        <w:rPr>
          <w:i/>
        </w:rPr>
        <w:t>S</w:t>
      </w:r>
      <w:r w:rsidR="003B730A">
        <w:rPr>
          <w:i/>
        </w:rPr>
        <w:t xml:space="preserve">eed </w:t>
      </w:r>
      <w:r w:rsidR="002939F5">
        <w:rPr>
          <w:i/>
        </w:rPr>
        <w:t>B</w:t>
      </w:r>
      <w:r w:rsidR="003B730A">
        <w:rPr>
          <w:i/>
        </w:rPr>
        <w:t xml:space="preserve">anks in </w:t>
      </w:r>
      <w:r w:rsidR="002939F5">
        <w:rPr>
          <w:i/>
        </w:rPr>
        <w:t>R</w:t>
      </w:r>
      <w:r w:rsidR="003B730A">
        <w:rPr>
          <w:i/>
        </w:rPr>
        <w:t xml:space="preserve">estoration of </w:t>
      </w:r>
      <w:r w:rsidR="002939F5">
        <w:rPr>
          <w:i/>
        </w:rPr>
        <w:t>F</w:t>
      </w:r>
      <w:r w:rsidR="003B730A">
        <w:rPr>
          <w:i/>
        </w:rPr>
        <w:t xml:space="preserve">loodplain </w:t>
      </w:r>
      <w:r w:rsidR="002939F5">
        <w:rPr>
          <w:i/>
        </w:rPr>
        <w:t>W</w:t>
      </w:r>
      <w:r w:rsidR="003B730A">
        <w:rPr>
          <w:i/>
        </w:rPr>
        <w:t>oodlands</w:t>
      </w:r>
      <w:r w:rsidR="002939F5">
        <w:rPr>
          <w:i/>
        </w:rPr>
        <w:t>.</w:t>
      </w:r>
      <w:r w:rsidR="003B730A">
        <w:t xml:space="preserve"> River Research and Applications, 24: 632-649.</w:t>
      </w:r>
    </w:p>
    <w:p w14:paraId="552BE9B5" w14:textId="1B38B2F7" w:rsidR="00EE6050" w:rsidRDefault="006E0FF3" w:rsidP="006E0FF3">
      <w:pPr>
        <w:pStyle w:val="Para0"/>
        <w:ind w:left="567" w:hanging="567"/>
      </w:pPr>
      <w:r>
        <w:t xml:space="preserve">Johns C, Reid CJ, Roberts J, Sims N, Doody TM, Overton IC, McGinness H, Rogers K, Campbell C and Gawne B </w:t>
      </w:r>
      <w:r w:rsidR="002939F5">
        <w:t>(</w:t>
      </w:r>
      <w:r>
        <w:t>2009</w:t>
      </w:r>
      <w:r w:rsidR="002939F5">
        <w:t>).</w:t>
      </w:r>
      <w:r>
        <w:t xml:space="preserve"> </w:t>
      </w:r>
      <w:r w:rsidRPr="007A4B74">
        <w:rPr>
          <w:i/>
        </w:rPr>
        <w:t xml:space="preserve">Environmental </w:t>
      </w:r>
      <w:r w:rsidR="002939F5" w:rsidRPr="007A4B74">
        <w:rPr>
          <w:i/>
        </w:rPr>
        <w:t>W</w:t>
      </w:r>
      <w:r w:rsidRPr="007A4B74">
        <w:rPr>
          <w:i/>
        </w:rPr>
        <w:t xml:space="preserve">atering for </w:t>
      </w:r>
      <w:r w:rsidR="002939F5" w:rsidRPr="007A4B74">
        <w:rPr>
          <w:i/>
        </w:rPr>
        <w:t>T</w:t>
      </w:r>
      <w:r w:rsidRPr="007A4B74">
        <w:rPr>
          <w:i/>
        </w:rPr>
        <w:t xml:space="preserve">ree </w:t>
      </w:r>
      <w:r w:rsidR="002939F5" w:rsidRPr="007A4B74">
        <w:rPr>
          <w:i/>
        </w:rPr>
        <w:t>S</w:t>
      </w:r>
      <w:r w:rsidRPr="007A4B74">
        <w:rPr>
          <w:i/>
        </w:rPr>
        <w:t xml:space="preserve">pecies in the Living Murray Icon Sites — A </w:t>
      </w:r>
      <w:r w:rsidR="002939F5" w:rsidRPr="007A4B74">
        <w:rPr>
          <w:i/>
        </w:rPr>
        <w:t>L</w:t>
      </w:r>
      <w:r w:rsidRPr="007A4B74">
        <w:rPr>
          <w:i/>
        </w:rPr>
        <w:t xml:space="preserve">iterature </w:t>
      </w:r>
      <w:r w:rsidR="002939F5" w:rsidRPr="007A4B74">
        <w:rPr>
          <w:i/>
        </w:rPr>
        <w:t>R</w:t>
      </w:r>
      <w:r w:rsidRPr="007A4B74">
        <w:rPr>
          <w:i/>
        </w:rPr>
        <w:t xml:space="preserve">eview and </w:t>
      </w:r>
      <w:r w:rsidR="002939F5" w:rsidRPr="007A4B74">
        <w:rPr>
          <w:i/>
        </w:rPr>
        <w:t>I</w:t>
      </w:r>
      <w:r w:rsidRPr="007A4B74">
        <w:rPr>
          <w:i/>
        </w:rPr>
        <w:t xml:space="preserve">dentification of </w:t>
      </w:r>
      <w:r w:rsidR="002939F5" w:rsidRPr="007A4B74">
        <w:rPr>
          <w:i/>
        </w:rPr>
        <w:t>R</w:t>
      </w:r>
      <w:r w:rsidRPr="007A4B74">
        <w:rPr>
          <w:i/>
        </w:rPr>
        <w:t xml:space="preserve">esearch </w:t>
      </w:r>
      <w:r w:rsidR="002939F5" w:rsidRPr="007A4B74">
        <w:rPr>
          <w:i/>
        </w:rPr>
        <w:t>P</w:t>
      </w:r>
      <w:r w:rsidRPr="007A4B74">
        <w:rPr>
          <w:i/>
        </w:rPr>
        <w:t xml:space="preserve">riorities </w:t>
      </w:r>
      <w:r w:rsidR="002939F5" w:rsidRPr="007A4B74">
        <w:rPr>
          <w:i/>
        </w:rPr>
        <w:t>R</w:t>
      </w:r>
      <w:r w:rsidRPr="007A4B74">
        <w:rPr>
          <w:i/>
        </w:rPr>
        <w:t xml:space="preserve">elevant to the </w:t>
      </w:r>
      <w:r w:rsidR="002939F5" w:rsidRPr="007A4B74">
        <w:rPr>
          <w:i/>
        </w:rPr>
        <w:t>E</w:t>
      </w:r>
      <w:r w:rsidRPr="007A4B74">
        <w:rPr>
          <w:i/>
        </w:rPr>
        <w:t xml:space="preserve">nvironmental </w:t>
      </w:r>
      <w:r w:rsidR="002939F5" w:rsidRPr="007A4B74">
        <w:rPr>
          <w:i/>
        </w:rPr>
        <w:t>W</w:t>
      </w:r>
      <w:r w:rsidRPr="007A4B74">
        <w:rPr>
          <w:i/>
        </w:rPr>
        <w:t xml:space="preserve">atering </w:t>
      </w:r>
      <w:r w:rsidR="002939F5" w:rsidRPr="007A4B74">
        <w:rPr>
          <w:i/>
        </w:rPr>
        <w:t>A</w:t>
      </w:r>
      <w:r w:rsidRPr="007A4B74">
        <w:rPr>
          <w:i/>
        </w:rPr>
        <w:t xml:space="preserve">ctions of </w:t>
      </w:r>
      <w:r w:rsidR="002939F5" w:rsidRPr="007A4B74">
        <w:rPr>
          <w:i/>
        </w:rPr>
        <w:t>F</w:t>
      </w:r>
      <w:r w:rsidRPr="007A4B74">
        <w:rPr>
          <w:i/>
        </w:rPr>
        <w:t xml:space="preserve">low </w:t>
      </w:r>
      <w:r w:rsidR="002939F5" w:rsidRPr="007A4B74">
        <w:rPr>
          <w:i/>
        </w:rPr>
        <w:t>E</w:t>
      </w:r>
      <w:r w:rsidRPr="007A4B74">
        <w:rPr>
          <w:i/>
        </w:rPr>
        <w:t xml:space="preserve">nhancement and </w:t>
      </w:r>
      <w:r w:rsidR="002939F5" w:rsidRPr="007A4B74">
        <w:rPr>
          <w:i/>
        </w:rPr>
        <w:t>R</w:t>
      </w:r>
      <w:r w:rsidRPr="007A4B74">
        <w:rPr>
          <w:i/>
        </w:rPr>
        <w:t xml:space="preserve">etaining </w:t>
      </w:r>
      <w:r w:rsidR="002939F5" w:rsidRPr="007A4B74">
        <w:rPr>
          <w:i/>
        </w:rPr>
        <w:t>F</w:t>
      </w:r>
      <w:r w:rsidRPr="007A4B74">
        <w:rPr>
          <w:i/>
        </w:rPr>
        <w:t xml:space="preserve">loodwater on </w:t>
      </w:r>
      <w:r w:rsidR="002939F5" w:rsidRPr="007A4B74">
        <w:rPr>
          <w:i/>
        </w:rPr>
        <w:t>F</w:t>
      </w:r>
      <w:r w:rsidRPr="007A4B74">
        <w:rPr>
          <w:i/>
        </w:rPr>
        <w:t>loodplains</w:t>
      </w:r>
      <w:r>
        <w:t>. Report to the Murray–Darling Basin Authority Project number MD1251.</w:t>
      </w:r>
    </w:p>
    <w:p w14:paraId="4E99932B" w14:textId="668F5C2C" w:rsidR="001E6F1F" w:rsidRDefault="001E6F1F" w:rsidP="005033DB">
      <w:pPr>
        <w:pStyle w:val="Para0"/>
        <w:ind w:left="567" w:hanging="567"/>
      </w:pPr>
      <w:r>
        <w:t xml:space="preserve">Jolly ID and Walker GR (1995). </w:t>
      </w:r>
      <w:r w:rsidRPr="007A4B74">
        <w:rPr>
          <w:i/>
        </w:rPr>
        <w:t xml:space="preserve">A </w:t>
      </w:r>
      <w:r w:rsidR="00511C7E" w:rsidRPr="007A4B74">
        <w:rPr>
          <w:i/>
        </w:rPr>
        <w:t>S</w:t>
      </w:r>
      <w:r w:rsidRPr="007A4B74">
        <w:rPr>
          <w:i/>
        </w:rPr>
        <w:t xml:space="preserve">ketch of </w:t>
      </w:r>
      <w:r w:rsidR="00511C7E" w:rsidRPr="007A4B74">
        <w:rPr>
          <w:i/>
        </w:rPr>
        <w:t>S</w:t>
      </w:r>
      <w:r w:rsidRPr="007A4B74">
        <w:rPr>
          <w:i/>
        </w:rPr>
        <w:t xml:space="preserve">alt and </w:t>
      </w:r>
      <w:r w:rsidR="00511C7E" w:rsidRPr="007A4B74">
        <w:rPr>
          <w:i/>
        </w:rPr>
        <w:t>W</w:t>
      </w:r>
      <w:r w:rsidRPr="007A4B74">
        <w:rPr>
          <w:i/>
        </w:rPr>
        <w:t xml:space="preserve">ater </w:t>
      </w:r>
      <w:r w:rsidR="00511C7E" w:rsidRPr="007A4B74">
        <w:rPr>
          <w:i/>
        </w:rPr>
        <w:t>M</w:t>
      </w:r>
      <w:r w:rsidRPr="007A4B74">
        <w:rPr>
          <w:i/>
        </w:rPr>
        <w:t xml:space="preserve">ovement in the Chowilla </w:t>
      </w:r>
      <w:r w:rsidR="00511C7E" w:rsidRPr="007A4B74">
        <w:rPr>
          <w:i/>
        </w:rPr>
        <w:t>F</w:t>
      </w:r>
      <w:r w:rsidRPr="007A4B74">
        <w:rPr>
          <w:i/>
        </w:rPr>
        <w:t>loodplain</w:t>
      </w:r>
      <w:r w:rsidR="00511C7E">
        <w:t>. CSIRO Division of Land and Water, Adelaide.</w:t>
      </w:r>
    </w:p>
    <w:p w14:paraId="2E41DD7A" w14:textId="34182E3C" w:rsidR="00E5433B" w:rsidRDefault="00E5433B" w:rsidP="00E5433B">
      <w:pPr>
        <w:pStyle w:val="Para0"/>
        <w:ind w:left="567" w:hanging="567"/>
      </w:pPr>
      <w:r>
        <w:t xml:space="preserve">Jolly ID, Walker GR and Thorburn PJ (1993). </w:t>
      </w:r>
      <w:r w:rsidRPr="007A4B74">
        <w:rPr>
          <w:i/>
        </w:rPr>
        <w:t>Salt Accumulation in Semi-Arid Floodplain soils with Implications for Forest Health.</w:t>
      </w:r>
      <w:r>
        <w:t xml:space="preserve"> </w:t>
      </w:r>
      <w:r w:rsidRPr="00CF7B7F">
        <w:rPr>
          <w:i/>
        </w:rPr>
        <w:t>Journal of Hydrology</w:t>
      </w:r>
      <w:r>
        <w:t xml:space="preserve"> 150: 589-614.</w:t>
      </w:r>
    </w:p>
    <w:p w14:paraId="3FC33BCC" w14:textId="04228C2B" w:rsidR="005033DB" w:rsidRDefault="005033DB" w:rsidP="005033DB">
      <w:pPr>
        <w:pStyle w:val="Para0"/>
        <w:ind w:left="567" w:hanging="567"/>
      </w:pPr>
      <w:r>
        <w:t xml:space="preserve">Lamontagne S, Aldridge KT, Holland KL, Jolly ID, Nicol J, Oliver RL, Paton DC, Walker KF, Wallace TA, Ye Q, 2012, </w:t>
      </w:r>
      <w:r w:rsidRPr="00055EDF">
        <w:rPr>
          <w:i/>
        </w:rPr>
        <w:t xml:space="preserve">Expert </w:t>
      </w:r>
      <w:r w:rsidR="003E2ADC">
        <w:rPr>
          <w:i/>
        </w:rPr>
        <w:t>P</w:t>
      </w:r>
      <w:r w:rsidRPr="00055EDF">
        <w:rPr>
          <w:i/>
        </w:rPr>
        <w:t xml:space="preserve">anel </w:t>
      </w:r>
      <w:r w:rsidR="003E2ADC">
        <w:rPr>
          <w:i/>
        </w:rPr>
        <w:t>A</w:t>
      </w:r>
      <w:r w:rsidRPr="00055EDF">
        <w:rPr>
          <w:i/>
        </w:rPr>
        <w:t xml:space="preserve">ssessment of the </w:t>
      </w:r>
      <w:r w:rsidR="003E2ADC">
        <w:rPr>
          <w:i/>
        </w:rPr>
        <w:t>L</w:t>
      </w:r>
      <w:r w:rsidRPr="00055EDF">
        <w:rPr>
          <w:i/>
        </w:rPr>
        <w:t xml:space="preserve">ikely </w:t>
      </w:r>
      <w:r w:rsidR="003E2ADC">
        <w:rPr>
          <w:i/>
        </w:rPr>
        <w:t>E</w:t>
      </w:r>
      <w:r w:rsidRPr="00055EDF">
        <w:rPr>
          <w:i/>
        </w:rPr>
        <w:t xml:space="preserve">cological </w:t>
      </w:r>
      <w:r w:rsidR="003E2ADC">
        <w:rPr>
          <w:i/>
        </w:rPr>
        <w:t>C</w:t>
      </w:r>
      <w:r w:rsidRPr="00055EDF">
        <w:rPr>
          <w:i/>
        </w:rPr>
        <w:t xml:space="preserve">onsequences in South Australia of the </w:t>
      </w:r>
      <w:r w:rsidR="003E2ADC">
        <w:rPr>
          <w:i/>
        </w:rPr>
        <w:t>P</w:t>
      </w:r>
      <w:r w:rsidRPr="00055EDF">
        <w:rPr>
          <w:i/>
        </w:rPr>
        <w:t>roposed Murray</w:t>
      </w:r>
      <w:r w:rsidRPr="00055EDF">
        <w:rPr>
          <w:rFonts w:ascii="Cambria Math" w:hAnsi="Cambria Math" w:cs="Cambria Math"/>
          <w:i/>
        </w:rPr>
        <w:t>‐</w:t>
      </w:r>
      <w:r w:rsidRPr="00055EDF">
        <w:rPr>
          <w:i/>
        </w:rPr>
        <w:t>Darling Basin Plan</w:t>
      </w:r>
      <w:r>
        <w:t>. Goyder Institute for Water Research Technical Report Series No. 12/2.</w:t>
      </w:r>
    </w:p>
    <w:p w14:paraId="13F298DB" w14:textId="07F0FF6C" w:rsidR="00043A4A" w:rsidRPr="00043A4A" w:rsidRDefault="00043A4A" w:rsidP="00043A4A">
      <w:pPr>
        <w:pStyle w:val="Para0"/>
        <w:ind w:left="567" w:hanging="567"/>
      </w:pPr>
      <w:r>
        <w:t xml:space="preserve">Mensforth LJ, Thorburn PJ, Tyerman SD and Walker GR </w:t>
      </w:r>
      <w:r w:rsidR="004D526B">
        <w:t>(</w:t>
      </w:r>
      <w:r>
        <w:t>1994</w:t>
      </w:r>
      <w:r w:rsidR="004D526B">
        <w:t>).</w:t>
      </w:r>
      <w:r>
        <w:t xml:space="preserve"> </w:t>
      </w:r>
      <w:r w:rsidRPr="00043A4A">
        <w:rPr>
          <w:i/>
        </w:rPr>
        <w:t xml:space="preserve">Sources of </w:t>
      </w:r>
      <w:r w:rsidR="004D526B">
        <w:rPr>
          <w:i/>
        </w:rPr>
        <w:t>W</w:t>
      </w:r>
      <w:r w:rsidRPr="00043A4A">
        <w:rPr>
          <w:i/>
        </w:rPr>
        <w:t xml:space="preserve">ater </w:t>
      </w:r>
      <w:r w:rsidR="004D526B">
        <w:rPr>
          <w:i/>
        </w:rPr>
        <w:t>U</w:t>
      </w:r>
      <w:r w:rsidRPr="00043A4A">
        <w:rPr>
          <w:i/>
        </w:rPr>
        <w:t xml:space="preserve">sed by </w:t>
      </w:r>
      <w:r w:rsidR="004D526B">
        <w:rPr>
          <w:i/>
        </w:rPr>
        <w:t>R</w:t>
      </w:r>
      <w:r w:rsidRPr="00043A4A">
        <w:rPr>
          <w:i/>
        </w:rPr>
        <w:t xml:space="preserve">iparian Eucalyptus </w:t>
      </w:r>
      <w:r w:rsidR="004D526B">
        <w:rPr>
          <w:i/>
        </w:rPr>
        <w:t>C</w:t>
      </w:r>
      <w:r w:rsidRPr="00043A4A">
        <w:rPr>
          <w:i/>
        </w:rPr>
        <w:t xml:space="preserve">amaldulensis </w:t>
      </w:r>
      <w:r w:rsidR="004D526B">
        <w:rPr>
          <w:i/>
        </w:rPr>
        <w:t>O</w:t>
      </w:r>
      <w:r w:rsidRPr="00043A4A">
        <w:rPr>
          <w:i/>
        </w:rPr>
        <w:t xml:space="preserve">verlying </w:t>
      </w:r>
      <w:r w:rsidR="004D526B">
        <w:rPr>
          <w:i/>
        </w:rPr>
        <w:t>H</w:t>
      </w:r>
      <w:r w:rsidRPr="00043A4A">
        <w:rPr>
          <w:i/>
        </w:rPr>
        <w:t xml:space="preserve">ighly </w:t>
      </w:r>
      <w:r w:rsidR="004D526B">
        <w:rPr>
          <w:i/>
        </w:rPr>
        <w:t>S</w:t>
      </w:r>
      <w:r w:rsidRPr="00043A4A">
        <w:rPr>
          <w:i/>
        </w:rPr>
        <w:t xml:space="preserve">aline </w:t>
      </w:r>
      <w:r w:rsidR="004D526B">
        <w:rPr>
          <w:i/>
        </w:rPr>
        <w:t>G</w:t>
      </w:r>
      <w:r w:rsidRPr="00043A4A">
        <w:rPr>
          <w:i/>
        </w:rPr>
        <w:t>roundwater</w:t>
      </w:r>
      <w:r w:rsidRPr="00043A4A">
        <w:t xml:space="preserve">, </w:t>
      </w:r>
      <w:r>
        <w:t>Oceologia, 100:21-28.</w:t>
      </w:r>
    </w:p>
    <w:p w14:paraId="5CDEB28B" w14:textId="559AAC53" w:rsidR="005972ED" w:rsidRDefault="005972ED" w:rsidP="005972ED">
      <w:pPr>
        <w:pStyle w:val="Para0"/>
        <w:ind w:left="567" w:hanging="567"/>
      </w:pPr>
      <w:r w:rsidRPr="00F87434">
        <w:t>Murray-</w:t>
      </w:r>
      <w:r w:rsidR="0044438F">
        <w:t>D</w:t>
      </w:r>
      <w:r w:rsidRPr="00F87434">
        <w:t xml:space="preserve">arling Basin Authority (MDBA) </w:t>
      </w:r>
      <w:r w:rsidR="004D526B">
        <w:t>(</w:t>
      </w:r>
      <w:r w:rsidRPr="00F87434">
        <w:t>2014</w:t>
      </w:r>
      <w:r w:rsidR="004D526B">
        <w:t>a).</w:t>
      </w:r>
      <w:r w:rsidRPr="00F87434">
        <w:t xml:space="preserve"> </w:t>
      </w:r>
      <w:r w:rsidRPr="00F87434">
        <w:rPr>
          <w:i/>
        </w:rPr>
        <w:t xml:space="preserve">Basin-wide </w:t>
      </w:r>
      <w:r w:rsidR="004D526B">
        <w:rPr>
          <w:i/>
        </w:rPr>
        <w:t>E</w:t>
      </w:r>
      <w:r w:rsidRPr="00F87434">
        <w:rPr>
          <w:i/>
        </w:rPr>
        <w:t xml:space="preserve">nvironmental </w:t>
      </w:r>
      <w:r w:rsidR="004D526B">
        <w:rPr>
          <w:i/>
        </w:rPr>
        <w:t>W</w:t>
      </w:r>
      <w:r w:rsidRPr="00F87434">
        <w:rPr>
          <w:i/>
        </w:rPr>
        <w:t xml:space="preserve">atering </w:t>
      </w:r>
      <w:r w:rsidR="004D526B">
        <w:rPr>
          <w:i/>
        </w:rPr>
        <w:t>S</w:t>
      </w:r>
      <w:r w:rsidRPr="00F87434">
        <w:rPr>
          <w:i/>
        </w:rPr>
        <w:t>trategy</w:t>
      </w:r>
      <w:r w:rsidR="004D526B">
        <w:t>.</w:t>
      </w:r>
      <w:r w:rsidRPr="00F87434">
        <w:t xml:space="preserve"> MDBA on behalf of the Commonwealth of Australia, Canberra, ACT.</w:t>
      </w:r>
    </w:p>
    <w:p w14:paraId="6674660C" w14:textId="53158F18" w:rsidR="00DD30F6" w:rsidRPr="00106436" w:rsidRDefault="00DD30F6" w:rsidP="005972ED">
      <w:pPr>
        <w:pStyle w:val="Para0"/>
        <w:ind w:left="567" w:hanging="567"/>
      </w:pPr>
      <w:r w:rsidRPr="00106436">
        <w:t>Murray-</w:t>
      </w:r>
      <w:r w:rsidR="0044438F" w:rsidRPr="00106436">
        <w:t>D</w:t>
      </w:r>
      <w:r w:rsidRPr="00106436">
        <w:t xml:space="preserve">arling Basin Authority (MDBA) </w:t>
      </w:r>
      <w:r w:rsidR="004D526B">
        <w:t>(</w:t>
      </w:r>
      <w:r w:rsidRPr="00106436">
        <w:t>2014b</w:t>
      </w:r>
      <w:r w:rsidR="004D526B">
        <w:t>).</w:t>
      </w:r>
      <w:r w:rsidRPr="00106436">
        <w:t xml:space="preserve"> </w:t>
      </w:r>
      <w:r w:rsidR="006527C6" w:rsidRPr="007A4B74">
        <w:rPr>
          <w:i/>
        </w:rPr>
        <w:t xml:space="preserve">Murray-Darling Basin </w:t>
      </w:r>
      <w:r w:rsidR="004D526B" w:rsidRPr="007A4B74">
        <w:rPr>
          <w:i/>
        </w:rPr>
        <w:t>W</w:t>
      </w:r>
      <w:r w:rsidR="006527C6" w:rsidRPr="007A4B74">
        <w:rPr>
          <w:i/>
        </w:rPr>
        <w:t xml:space="preserve">ater </w:t>
      </w:r>
      <w:r w:rsidR="004D526B" w:rsidRPr="007A4B74">
        <w:rPr>
          <w:i/>
        </w:rPr>
        <w:t>R</w:t>
      </w:r>
      <w:r w:rsidR="006527C6" w:rsidRPr="007A4B74">
        <w:rPr>
          <w:i/>
        </w:rPr>
        <w:t xml:space="preserve">eforms: </w:t>
      </w:r>
      <w:r w:rsidR="004D526B" w:rsidRPr="007A4B74">
        <w:rPr>
          <w:i/>
        </w:rPr>
        <w:t>F</w:t>
      </w:r>
      <w:r w:rsidR="006527C6" w:rsidRPr="007A4B74">
        <w:rPr>
          <w:i/>
        </w:rPr>
        <w:t xml:space="preserve">ramework for </w:t>
      </w:r>
      <w:r w:rsidR="004D526B" w:rsidRPr="007A4B74">
        <w:rPr>
          <w:i/>
        </w:rPr>
        <w:t>E</w:t>
      </w:r>
      <w:r w:rsidR="006527C6" w:rsidRPr="007A4B74">
        <w:rPr>
          <w:i/>
        </w:rPr>
        <w:t xml:space="preserve">valuating </w:t>
      </w:r>
      <w:r w:rsidR="004D526B" w:rsidRPr="007A4B74">
        <w:rPr>
          <w:i/>
        </w:rPr>
        <w:t>P</w:t>
      </w:r>
      <w:r w:rsidR="006527C6" w:rsidRPr="007A4B74">
        <w:rPr>
          <w:i/>
        </w:rPr>
        <w:t>rogress</w:t>
      </w:r>
      <w:r w:rsidR="004D526B">
        <w:t>.</w:t>
      </w:r>
      <w:r w:rsidR="006527C6" w:rsidRPr="00106436">
        <w:t xml:space="preserve"> MDBA, Canberra, ACT.</w:t>
      </w:r>
    </w:p>
    <w:p w14:paraId="359A963F" w14:textId="5F9636C7" w:rsidR="0044438F" w:rsidRPr="00106436" w:rsidRDefault="0044438F" w:rsidP="00226D65">
      <w:pPr>
        <w:pStyle w:val="Para0"/>
        <w:ind w:left="567" w:hanging="567"/>
      </w:pPr>
      <w:r w:rsidRPr="00106436">
        <w:t>Murray-Darling Basin Authority (MDBA)</w:t>
      </w:r>
      <w:r w:rsidR="004D526B">
        <w:t>.</w:t>
      </w:r>
      <w:r w:rsidRPr="00106436">
        <w:t xml:space="preserve"> </w:t>
      </w:r>
      <w:r w:rsidR="004D526B">
        <w:t>(</w:t>
      </w:r>
      <w:r w:rsidRPr="00106436">
        <w:t>2015</w:t>
      </w:r>
      <w:r w:rsidR="004D526B">
        <w:t>)</w:t>
      </w:r>
      <w:r w:rsidRPr="00106436">
        <w:t xml:space="preserve">. </w:t>
      </w:r>
      <w:r w:rsidRPr="007A4B74">
        <w:rPr>
          <w:i/>
        </w:rPr>
        <w:t xml:space="preserve">South Australian River Murray </w:t>
      </w:r>
      <w:r w:rsidR="004D526B" w:rsidRPr="007A4B74">
        <w:rPr>
          <w:i/>
        </w:rPr>
        <w:t>R</w:t>
      </w:r>
      <w:r w:rsidRPr="007A4B74">
        <w:rPr>
          <w:i/>
        </w:rPr>
        <w:t xml:space="preserve">each </w:t>
      </w:r>
      <w:r w:rsidR="004D526B" w:rsidRPr="007A4B74">
        <w:rPr>
          <w:i/>
        </w:rPr>
        <w:t>R</w:t>
      </w:r>
      <w:r w:rsidRPr="007A4B74">
        <w:rPr>
          <w:i/>
        </w:rPr>
        <w:t xml:space="preserve">eport: Constraints Management Strategy. </w:t>
      </w:r>
      <w:r w:rsidRPr="00106436">
        <w:t>MDBA, Canberra, ACT.</w:t>
      </w:r>
    </w:p>
    <w:p w14:paraId="680127AC" w14:textId="77777777" w:rsidR="006D2AA2" w:rsidRDefault="006D2AA2" w:rsidP="00106436">
      <w:pPr>
        <w:pStyle w:val="Para0"/>
        <w:ind w:left="567" w:hanging="567"/>
      </w:pPr>
      <w:r w:rsidRPr="006D2AA2">
        <w:t xml:space="preserve">Overton IC (2013) </w:t>
      </w:r>
      <w:r w:rsidRPr="007A4B74">
        <w:rPr>
          <w:i/>
        </w:rPr>
        <w:t>Methods to Assess Environmental Flow and Groundwater Management Scenarios for Floodplain Tree Health in the Lower River Murray</w:t>
      </w:r>
      <w:r w:rsidRPr="006D2AA2">
        <w:t>. PhD Thesis, Department of Soil and Water, University of Adelaide. 355pp.</w:t>
      </w:r>
    </w:p>
    <w:p w14:paraId="63CADAFE" w14:textId="46F20F47" w:rsidR="00345C22" w:rsidRPr="00106436" w:rsidRDefault="00345C22" w:rsidP="00106436">
      <w:pPr>
        <w:pStyle w:val="Para0"/>
        <w:ind w:left="567" w:hanging="567"/>
      </w:pPr>
      <w:r w:rsidRPr="00106436">
        <w:t>Overton</w:t>
      </w:r>
      <w:r w:rsidR="00CE6C4A">
        <w:t>,</w:t>
      </w:r>
      <w:r w:rsidRPr="00106436">
        <w:t xml:space="preserve"> IC, Boyd</w:t>
      </w:r>
      <w:r w:rsidR="00CE6C4A">
        <w:t>,</w:t>
      </w:r>
      <w:r w:rsidRPr="00106436">
        <w:t xml:space="preserve"> A and Coff</w:t>
      </w:r>
      <w:r w:rsidR="00CE6C4A">
        <w:t>,</w:t>
      </w:r>
      <w:r w:rsidRPr="00106436">
        <w:t xml:space="preserve"> B (2017). </w:t>
      </w:r>
      <w:r w:rsidRPr="007A4B74">
        <w:rPr>
          <w:i/>
        </w:rPr>
        <w:t>Site Investigation for Black Box at Calperum Station South Australia: Trial Implementation of the Draft Black Box Management Framework.</w:t>
      </w:r>
      <w:r w:rsidRPr="00106436">
        <w:t xml:space="preserve"> Report prepared by Jacobs Pty Ltd for the Commonwealth Environmental Water Office, Adelaide, South Australia. </w:t>
      </w:r>
    </w:p>
    <w:p w14:paraId="301AE8CC" w14:textId="5452041B" w:rsidR="00EC4990" w:rsidRDefault="00EC4990" w:rsidP="00106436">
      <w:pPr>
        <w:pStyle w:val="Para0"/>
        <w:ind w:left="567" w:hanging="567"/>
      </w:pPr>
      <w:r w:rsidRPr="00106436">
        <w:t>Overton</w:t>
      </w:r>
      <w:r w:rsidR="00CE6C4A">
        <w:t>,</w:t>
      </w:r>
      <w:r w:rsidRPr="00106436">
        <w:t xml:space="preserve"> IC and Doody</w:t>
      </w:r>
      <w:r w:rsidR="00CE6C4A">
        <w:t>,</w:t>
      </w:r>
      <w:r w:rsidRPr="00106436">
        <w:t xml:space="preserve"> TM (2008</w:t>
      </w:r>
      <w:r w:rsidR="00CE6C4A">
        <w:t>a</w:t>
      </w:r>
      <w:r w:rsidRPr="00106436">
        <w:t xml:space="preserve">) </w:t>
      </w:r>
      <w:r w:rsidRPr="007A4B74">
        <w:rPr>
          <w:i/>
        </w:rPr>
        <w:t>Groundwater, Surface Water, Salinity and Vegetation Responses to a Proposed Regulator on Chowilla Creek</w:t>
      </w:r>
      <w:r w:rsidRPr="00106436">
        <w:t>. CSIRO Water for a Healthy Country Technical Report prepared for the South Australian Murray-Darling Basin Natural Resource Management Board.</w:t>
      </w:r>
    </w:p>
    <w:p w14:paraId="5B722D55" w14:textId="77777777" w:rsidR="0083508E" w:rsidRDefault="00CE6C4A" w:rsidP="00106436">
      <w:pPr>
        <w:pStyle w:val="Para0"/>
        <w:ind w:left="567" w:hanging="567"/>
      </w:pPr>
      <w:r w:rsidRPr="00CE6C4A">
        <w:t>Overton IC and Doody TM (2008</w:t>
      </w:r>
      <w:r>
        <w:t>b</w:t>
      </w:r>
      <w:r w:rsidRPr="00CE6C4A">
        <w:t xml:space="preserve">) </w:t>
      </w:r>
      <w:r w:rsidRPr="007A4B74">
        <w:rPr>
          <w:i/>
        </w:rPr>
        <w:t>Ecosystem Changes on the River Murray Floodplain over the Last 100 Years and Predictions of Climate Change</w:t>
      </w:r>
      <w:r w:rsidRPr="00CE6C4A">
        <w:t>. In: ‘From Headwaters to the Ocean – Hydrological Changes and Watershed Management’. Eds: Taniguchi M, Burnett WC, Fukishima Y, Haigh M and Umezawa Y. Taylor and Frances Group, London, England. pp 599-604.</w:t>
      </w:r>
    </w:p>
    <w:p w14:paraId="07CE56A4" w14:textId="446E6DAC" w:rsidR="00FF6873" w:rsidRPr="00106436" w:rsidRDefault="00FF6873" w:rsidP="00106436">
      <w:pPr>
        <w:pStyle w:val="Para0"/>
        <w:ind w:left="567" w:hanging="567"/>
      </w:pPr>
      <w:r w:rsidRPr="00106436">
        <w:t xml:space="preserve">Overton IC, Doody TM, Pollock D, Guerschman JP, Warren G, Jin W and Wurcker B (2010) </w:t>
      </w:r>
      <w:r w:rsidRPr="007A4B74">
        <w:rPr>
          <w:i/>
        </w:rPr>
        <w:t>The Murray-Darling Basin Floodplain Inundation Model (MDB-FIM)</w:t>
      </w:r>
      <w:r w:rsidRPr="00106436">
        <w:t>. Water for a Healthy Country Flagship Technical Report. CSIRO, Adelaide.</w:t>
      </w:r>
    </w:p>
    <w:p w14:paraId="59852964" w14:textId="5BB1F821" w:rsidR="007A4B74" w:rsidRPr="007A4B74" w:rsidRDefault="007A4B74" w:rsidP="00106436">
      <w:pPr>
        <w:pStyle w:val="Para0"/>
        <w:ind w:left="567" w:hanging="567"/>
        <w:rPr>
          <w:szCs w:val="20"/>
        </w:rPr>
      </w:pPr>
      <w:r w:rsidRPr="007A4B74">
        <w:rPr>
          <w:szCs w:val="20"/>
        </w:rPr>
        <w:t>Overton IC, Doody TM and Siggins A (2008)</w:t>
      </w:r>
      <w:r>
        <w:rPr>
          <w:szCs w:val="20"/>
        </w:rPr>
        <w:t>.</w:t>
      </w:r>
      <w:r w:rsidRPr="007A4B74">
        <w:rPr>
          <w:szCs w:val="20"/>
        </w:rPr>
        <w:t xml:space="preserve"> </w:t>
      </w:r>
      <w:r w:rsidRPr="007A4B74">
        <w:rPr>
          <w:i/>
          <w:szCs w:val="20"/>
        </w:rPr>
        <w:t>Salt Accumulation and Tree Vegetation Response to Surface Water–Groundwater Interactions in the Mallee Region of the Lower River Murray</w:t>
      </w:r>
      <w:r w:rsidRPr="007A4B74">
        <w:rPr>
          <w:szCs w:val="20"/>
        </w:rPr>
        <w:t>. CSIRO Water for a Healthy Country Interim Report prepared for the Victorian Mallee Catchment Management Authority and the New South Wales Lower Murray-Darling Catchment Management Authority.</w:t>
      </w:r>
    </w:p>
    <w:p w14:paraId="4BFFFD7D" w14:textId="2F32D63B" w:rsidR="00BE098E" w:rsidRPr="00BE098E" w:rsidRDefault="00BE098E" w:rsidP="00BE098E">
      <w:pPr>
        <w:pStyle w:val="Para0"/>
        <w:ind w:left="567" w:hanging="567"/>
        <w:rPr>
          <w:szCs w:val="20"/>
        </w:rPr>
      </w:pPr>
      <w:r w:rsidRPr="00BE098E">
        <w:rPr>
          <w:szCs w:val="20"/>
        </w:rPr>
        <w:t>Overton IC, Freebairn A, Joehnk K, Mirza F, Barma D, Rahman J, Eaton JD, Gibbs M, Fuller JA, Sims CL, Turnadge C, Cuddy S, Pritchard J, Penton D, Podger G, Blakers RS, Woods JA, Gao L and Adams G (2016)</w:t>
      </w:r>
      <w:r>
        <w:rPr>
          <w:szCs w:val="20"/>
        </w:rPr>
        <w:t>.</w:t>
      </w:r>
      <w:r w:rsidRPr="00BE098E">
        <w:rPr>
          <w:szCs w:val="20"/>
        </w:rPr>
        <w:t xml:space="preserve"> </w:t>
      </w:r>
      <w:r w:rsidRPr="00BE098E">
        <w:rPr>
          <w:i/>
          <w:szCs w:val="20"/>
        </w:rPr>
        <w:t>River Murray Decision Support System: Prototype</w:t>
      </w:r>
      <w:r>
        <w:rPr>
          <w:szCs w:val="20"/>
        </w:rPr>
        <w:t>.</w:t>
      </w:r>
      <w:r w:rsidRPr="00BE098E">
        <w:rPr>
          <w:szCs w:val="20"/>
        </w:rPr>
        <w:t xml:space="preserve"> Goyder Institute for Water Research Technical Report Series No. 16/x, Adelaide, South Australia.</w:t>
      </w:r>
    </w:p>
    <w:p w14:paraId="03855C2E" w14:textId="5C704147" w:rsidR="00106436" w:rsidRPr="00106436" w:rsidRDefault="00106436" w:rsidP="00106436">
      <w:pPr>
        <w:pStyle w:val="Para0"/>
        <w:ind w:left="567" w:hanging="567"/>
      </w:pPr>
      <w:r w:rsidRPr="00106436">
        <w:t xml:space="preserve">Overton, IC and Jolly ID (2004) </w:t>
      </w:r>
      <w:r w:rsidRPr="007A4B74">
        <w:rPr>
          <w:i/>
        </w:rPr>
        <w:t>Integrated Studies of Floodplain Vegetation Health, Saline Groundwater and Flooding on the Chowilla Floodplain South Australia</w:t>
      </w:r>
      <w:r w:rsidRPr="00106436">
        <w:t xml:space="preserve">. CSIRO Division of Land and Water, Technical Report No. 20/04. </w:t>
      </w:r>
    </w:p>
    <w:p w14:paraId="1A7BB540" w14:textId="0EDAE6D1" w:rsidR="005972ED" w:rsidRDefault="005972ED" w:rsidP="005972ED">
      <w:pPr>
        <w:pStyle w:val="Para0"/>
        <w:ind w:left="567" w:hanging="567"/>
        <w:rPr>
          <w:iCs/>
          <w:szCs w:val="20"/>
        </w:rPr>
      </w:pPr>
      <w:r w:rsidRPr="00106436">
        <w:t xml:space="preserve">Overton IC, Pollino CA, Roberts J, Reid JRW, Bond NR, McGinness HM, Gawne B, Stratford DS, Merrin LE, Barma D, Cuddy SM, Nielsen DL, Smith T, Henderson BL, Baldwin DS, Chiu GS and Doody TM </w:t>
      </w:r>
      <w:r w:rsidR="00490523">
        <w:t>(</w:t>
      </w:r>
      <w:r w:rsidRPr="00106436">
        <w:t>2014</w:t>
      </w:r>
      <w:r w:rsidR="00490523">
        <w:t>)</w:t>
      </w:r>
      <w:r w:rsidRPr="00106436">
        <w:t xml:space="preserve"> </w:t>
      </w:r>
      <w:r w:rsidRPr="007A4B74">
        <w:rPr>
          <w:i/>
        </w:rPr>
        <w:t xml:space="preserve">Development of the Murray-Darling Basin Plan SDL </w:t>
      </w:r>
      <w:r w:rsidR="00490523" w:rsidRPr="007A4B74">
        <w:rPr>
          <w:i/>
        </w:rPr>
        <w:t>A</w:t>
      </w:r>
      <w:r w:rsidRPr="007A4B74">
        <w:rPr>
          <w:i/>
        </w:rPr>
        <w:t xml:space="preserve">djustment </w:t>
      </w:r>
      <w:r w:rsidR="00490523" w:rsidRPr="007A4B74">
        <w:rPr>
          <w:i/>
        </w:rPr>
        <w:t>E</w:t>
      </w:r>
      <w:r w:rsidRPr="007A4B74">
        <w:rPr>
          <w:i/>
        </w:rPr>
        <w:t xml:space="preserve">cological </w:t>
      </w:r>
      <w:r w:rsidR="00490523" w:rsidRPr="007A4B74">
        <w:rPr>
          <w:i/>
        </w:rPr>
        <w:t>E</w:t>
      </w:r>
      <w:r w:rsidRPr="007A4B74">
        <w:rPr>
          <w:i/>
        </w:rPr>
        <w:t xml:space="preserve">lements </w:t>
      </w:r>
      <w:r w:rsidR="00490523" w:rsidRPr="007A4B74">
        <w:rPr>
          <w:i/>
        </w:rPr>
        <w:t>M</w:t>
      </w:r>
      <w:r w:rsidRPr="007A4B74">
        <w:rPr>
          <w:i/>
        </w:rPr>
        <w:t>ethod</w:t>
      </w:r>
      <w:r w:rsidR="00490523">
        <w:t>.</w:t>
      </w:r>
      <w:r w:rsidRPr="00106436">
        <w:t xml:space="preserve"> Report prepared by CSIRO for the Murray</w:t>
      </w:r>
      <w:r w:rsidRPr="00106436">
        <w:rPr>
          <w:iCs/>
          <w:szCs w:val="20"/>
        </w:rPr>
        <w:t>-Darling Basin Authority, Canberra, ACT.</w:t>
      </w:r>
    </w:p>
    <w:p w14:paraId="0E6D6F22" w14:textId="77777777" w:rsidR="00CD7E3E" w:rsidRDefault="00CD7E3E" w:rsidP="0083508E">
      <w:pPr>
        <w:ind w:left="567" w:hanging="567"/>
      </w:pPr>
      <w:r w:rsidRPr="007602AC">
        <w:t xml:space="preserve">Overton IC, McEwan K, Gabrovsek C and Sherrah J (2006) </w:t>
      </w:r>
      <w:r w:rsidRPr="007A4B74">
        <w:rPr>
          <w:i/>
        </w:rPr>
        <w:t>The River Murray Floodplain Inundation Model (RiM-FIM).</w:t>
      </w:r>
      <w:r w:rsidRPr="007602AC">
        <w:t xml:space="preserve"> CSIRO Water for a Healthy Country Technical Report. pp. 127.</w:t>
      </w:r>
    </w:p>
    <w:p w14:paraId="762570BA" w14:textId="0AF90F33" w:rsidR="00106436" w:rsidRPr="00106436" w:rsidRDefault="00106436" w:rsidP="00106436">
      <w:pPr>
        <w:pStyle w:val="Para0"/>
        <w:ind w:left="567" w:hanging="567"/>
      </w:pPr>
      <w:r w:rsidRPr="00106436">
        <w:t xml:space="preserve">Richardson S, Haworth D, Overton IC and Pritchard J (2007) </w:t>
      </w:r>
      <w:r w:rsidRPr="007A4B74">
        <w:rPr>
          <w:i/>
        </w:rPr>
        <w:t>Summary of Floodplain Processes and Possible Changes to Groundwater Conditions and Salt Loads Associated with Floodplain Flow Options</w:t>
      </w:r>
      <w:r w:rsidRPr="00106436">
        <w:t>. Report prepared for the Mallee Catchment Management Authority by REM Pty Ltd.</w:t>
      </w:r>
    </w:p>
    <w:p w14:paraId="26DDCF76" w14:textId="46377E0E" w:rsidR="002441BA" w:rsidRPr="002441BA" w:rsidRDefault="002441BA" w:rsidP="005972ED">
      <w:pPr>
        <w:pStyle w:val="Para0"/>
        <w:ind w:left="567" w:hanging="567"/>
      </w:pPr>
      <w:r>
        <w:t>Roberts J (2004)</w:t>
      </w:r>
      <w:r w:rsidR="007A4B74">
        <w:t>.</w:t>
      </w:r>
      <w:r>
        <w:t xml:space="preserve"> </w:t>
      </w:r>
      <w:r>
        <w:rPr>
          <w:i/>
        </w:rPr>
        <w:t xml:space="preserve">Floodplain </w:t>
      </w:r>
      <w:r w:rsidR="007A4B74">
        <w:rPr>
          <w:i/>
        </w:rPr>
        <w:t>f</w:t>
      </w:r>
      <w:r>
        <w:rPr>
          <w:i/>
        </w:rPr>
        <w:t xml:space="preserve">orests and </w:t>
      </w:r>
      <w:r w:rsidR="007A4B74">
        <w:rPr>
          <w:i/>
        </w:rPr>
        <w:t>w</w:t>
      </w:r>
      <w:r>
        <w:rPr>
          <w:i/>
        </w:rPr>
        <w:t xml:space="preserve">oodlands in the </w:t>
      </w:r>
      <w:r w:rsidR="007A4B74">
        <w:rPr>
          <w:i/>
        </w:rPr>
        <w:t>s</w:t>
      </w:r>
      <w:r>
        <w:rPr>
          <w:i/>
        </w:rPr>
        <w:t>outhern Murray-Darling Basin</w:t>
      </w:r>
      <w:r>
        <w:t>. Australian Conservation Foundation, Canberra.</w:t>
      </w:r>
    </w:p>
    <w:p w14:paraId="16E51864" w14:textId="79A82DF0" w:rsidR="005972ED" w:rsidRPr="00F87434" w:rsidRDefault="005972ED" w:rsidP="005972ED">
      <w:pPr>
        <w:pStyle w:val="Para0"/>
        <w:ind w:left="567" w:hanging="567"/>
      </w:pPr>
      <w:r w:rsidRPr="00F87434">
        <w:t xml:space="preserve">Roberts J and Marston F </w:t>
      </w:r>
      <w:r w:rsidR="0083508E">
        <w:t>(</w:t>
      </w:r>
      <w:r w:rsidRPr="00F87434">
        <w:t>2000</w:t>
      </w:r>
      <w:r w:rsidR="0083508E">
        <w:t>)</w:t>
      </w:r>
      <w:r w:rsidR="007A4B74">
        <w:t>.</w:t>
      </w:r>
      <w:r w:rsidRPr="00F87434">
        <w:t xml:space="preserve"> </w:t>
      </w:r>
      <w:r w:rsidRPr="00F87434">
        <w:rPr>
          <w:i/>
        </w:rPr>
        <w:t xml:space="preserve">Water </w:t>
      </w:r>
      <w:r w:rsidR="007A4B74">
        <w:rPr>
          <w:i/>
        </w:rPr>
        <w:t>R</w:t>
      </w:r>
      <w:r w:rsidRPr="00F87434">
        <w:rPr>
          <w:i/>
        </w:rPr>
        <w:t xml:space="preserve">egime for </w:t>
      </w:r>
      <w:r w:rsidR="007A4B74">
        <w:rPr>
          <w:i/>
        </w:rPr>
        <w:t>W</w:t>
      </w:r>
      <w:r w:rsidRPr="00F87434">
        <w:rPr>
          <w:i/>
        </w:rPr>
        <w:t xml:space="preserve">etland and </w:t>
      </w:r>
      <w:r w:rsidR="007A4B74">
        <w:rPr>
          <w:i/>
        </w:rPr>
        <w:t>F</w:t>
      </w:r>
      <w:r w:rsidRPr="00F87434">
        <w:rPr>
          <w:i/>
        </w:rPr>
        <w:t xml:space="preserve">loodplain </w:t>
      </w:r>
      <w:r w:rsidR="007A4B74">
        <w:rPr>
          <w:i/>
        </w:rPr>
        <w:t>P</w:t>
      </w:r>
      <w:r w:rsidRPr="00F87434">
        <w:rPr>
          <w:i/>
        </w:rPr>
        <w:t xml:space="preserve">lants: a </w:t>
      </w:r>
      <w:r w:rsidR="007A4B74">
        <w:rPr>
          <w:i/>
        </w:rPr>
        <w:t>S</w:t>
      </w:r>
      <w:r w:rsidRPr="00F87434">
        <w:rPr>
          <w:i/>
        </w:rPr>
        <w:t xml:space="preserve">ource </w:t>
      </w:r>
      <w:r w:rsidR="007A4B74">
        <w:rPr>
          <w:i/>
        </w:rPr>
        <w:t>B</w:t>
      </w:r>
      <w:r w:rsidRPr="00F87434">
        <w:rPr>
          <w:i/>
        </w:rPr>
        <w:t>ook for the Murray-Darling Basin</w:t>
      </w:r>
      <w:r w:rsidR="007A4B74">
        <w:rPr>
          <w:i/>
        </w:rPr>
        <w:t>.</w:t>
      </w:r>
      <w:r w:rsidRPr="00F87434">
        <w:t xml:space="preserve"> National Water Commission, Canberra, ACT</w:t>
      </w:r>
    </w:p>
    <w:p w14:paraId="3C88EC82" w14:textId="35CCDF56" w:rsidR="002441BA" w:rsidRPr="002441BA" w:rsidRDefault="002441BA" w:rsidP="002441BA">
      <w:pPr>
        <w:pStyle w:val="Para0"/>
        <w:ind w:left="567" w:hanging="567"/>
      </w:pPr>
      <w:r>
        <w:t>Smith P and Smith J (2014)</w:t>
      </w:r>
      <w:r w:rsidR="007A4B74">
        <w:t>.</w:t>
      </w:r>
      <w:r>
        <w:t xml:space="preserve"> </w:t>
      </w:r>
      <w:r>
        <w:rPr>
          <w:i/>
        </w:rPr>
        <w:t xml:space="preserve">Floodplain </w:t>
      </w:r>
      <w:r w:rsidR="007A4B74">
        <w:rPr>
          <w:i/>
        </w:rPr>
        <w:t>V</w:t>
      </w:r>
      <w:r>
        <w:rPr>
          <w:i/>
        </w:rPr>
        <w:t xml:space="preserve">egetation of the River Murray in 1987-1988: an </w:t>
      </w:r>
      <w:r w:rsidR="007A4B74">
        <w:rPr>
          <w:i/>
        </w:rPr>
        <w:t>I</w:t>
      </w:r>
      <w:r>
        <w:rPr>
          <w:i/>
        </w:rPr>
        <w:t xml:space="preserve">mportant </w:t>
      </w:r>
      <w:r w:rsidR="007A4B74">
        <w:rPr>
          <w:i/>
        </w:rPr>
        <w:t>P</w:t>
      </w:r>
      <w:r>
        <w:rPr>
          <w:i/>
        </w:rPr>
        <w:t>re-</w:t>
      </w:r>
      <w:r w:rsidR="007A4B74">
        <w:rPr>
          <w:i/>
        </w:rPr>
        <w:t>D</w:t>
      </w:r>
      <w:r>
        <w:rPr>
          <w:i/>
        </w:rPr>
        <w:t xml:space="preserve">rought </w:t>
      </w:r>
      <w:r w:rsidR="007A4B74">
        <w:rPr>
          <w:i/>
        </w:rPr>
        <w:t>B</w:t>
      </w:r>
      <w:r>
        <w:rPr>
          <w:i/>
        </w:rPr>
        <w:t xml:space="preserve">enchmark for </w:t>
      </w:r>
      <w:r w:rsidR="007A4B74">
        <w:rPr>
          <w:i/>
        </w:rPr>
        <w:t>S</w:t>
      </w:r>
      <w:r>
        <w:rPr>
          <w:i/>
        </w:rPr>
        <w:t xml:space="preserve">ubsequent </w:t>
      </w:r>
      <w:r w:rsidR="007A4B74">
        <w:rPr>
          <w:i/>
        </w:rPr>
        <w:t>S</w:t>
      </w:r>
      <w:r>
        <w:rPr>
          <w:i/>
        </w:rPr>
        <w:t>tudies</w:t>
      </w:r>
      <w:r>
        <w:t>. Cunni</w:t>
      </w:r>
      <w:r w:rsidR="00055EDF">
        <w:t>n</w:t>
      </w:r>
      <w:r>
        <w:t>gham</w:t>
      </w:r>
      <w:r w:rsidR="00055EDF">
        <w:t>ia</w:t>
      </w:r>
      <w:r>
        <w:t xml:space="preserve"> (2014)</w:t>
      </w:r>
      <w:r w:rsidR="002664CC">
        <w:t xml:space="preserve"> </w:t>
      </w:r>
      <w:r>
        <w:t>14:97-151.</w:t>
      </w:r>
    </w:p>
    <w:p w14:paraId="6DE57A62" w14:textId="09D19E60" w:rsidR="005972ED" w:rsidRPr="00F87434" w:rsidRDefault="005972ED" w:rsidP="005972ED">
      <w:pPr>
        <w:pStyle w:val="Para0"/>
        <w:ind w:left="567" w:hanging="567"/>
      </w:pPr>
      <w:r w:rsidRPr="00F87434">
        <w:t>Souter N, Cunningham S, Little S, Wallace</w:t>
      </w:r>
      <w:r w:rsidR="007A4B74">
        <w:t xml:space="preserve"> J</w:t>
      </w:r>
      <w:r w:rsidRPr="00F87434">
        <w:t xml:space="preserve"> McCarthy B, Henderson M and Bennets K </w:t>
      </w:r>
      <w:r w:rsidR="007A4B74">
        <w:t>(</w:t>
      </w:r>
      <w:r w:rsidRPr="00F87434">
        <w:t>2010</w:t>
      </w:r>
      <w:r w:rsidR="007A4B74">
        <w:t>).</w:t>
      </w:r>
      <w:r w:rsidRPr="00F87434">
        <w:t xml:space="preserve"> </w:t>
      </w:r>
      <w:r w:rsidRPr="00F87434">
        <w:rPr>
          <w:i/>
        </w:rPr>
        <w:t>Ground-</w:t>
      </w:r>
      <w:r w:rsidR="007A4B74">
        <w:rPr>
          <w:i/>
        </w:rPr>
        <w:t>B</w:t>
      </w:r>
      <w:r w:rsidRPr="00F87434">
        <w:rPr>
          <w:i/>
        </w:rPr>
        <w:t xml:space="preserve">ased </w:t>
      </w:r>
      <w:r w:rsidR="007A4B74">
        <w:rPr>
          <w:i/>
        </w:rPr>
        <w:t>S</w:t>
      </w:r>
      <w:r w:rsidRPr="00F87434">
        <w:rPr>
          <w:i/>
        </w:rPr>
        <w:t xml:space="preserve">urvey </w:t>
      </w:r>
      <w:r w:rsidR="007A4B74">
        <w:rPr>
          <w:i/>
        </w:rPr>
        <w:t>M</w:t>
      </w:r>
      <w:r w:rsidRPr="00F87434">
        <w:rPr>
          <w:i/>
        </w:rPr>
        <w:t xml:space="preserve">ethods for The Living Murray </w:t>
      </w:r>
      <w:r w:rsidR="007A4B74">
        <w:rPr>
          <w:i/>
        </w:rPr>
        <w:t>A</w:t>
      </w:r>
      <w:r w:rsidRPr="00F87434">
        <w:rPr>
          <w:i/>
        </w:rPr>
        <w:t xml:space="preserve">ssessment of </w:t>
      </w:r>
      <w:r w:rsidR="007A4B74">
        <w:rPr>
          <w:i/>
        </w:rPr>
        <w:t>C</w:t>
      </w:r>
      <w:r w:rsidRPr="00F87434">
        <w:rPr>
          <w:i/>
        </w:rPr>
        <w:t xml:space="preserve">ondition of </w:t>
      </w:r>
      <w:r w:rsidR="007A4B74">
        <w:rPr>
          <w:i/>
        </w:rPr>
        <w:t>R</w:t>
      </w:r>
      <w:r w:rsidRPr="00F87434">
        <w:rPr>
          <w:i/>
        </w:rPr>
        <w:t xml:space="preserve">iver </w:t>
      </w:r>
      <w:r w:rsidR="007A4B74">
        <w:rPr>
          <w:i/>
        </w:rPr>
        <w:t>R</w:t>
      </w:r>
      <w:r w:rsidRPr="00F87434">
        <w:rPr>
          <w:i/>
        </w:rPr>
        <w:t xml:space="preserve">ed </w:t>
      </w:r>
      <w:r w:rsidR="007A4B74">
        <w:rPr>
          <w:i/>
        </w:rPr>
        <w:t>G</w:t>
      </w:r>
      <w:r w:rsidRPr="00F87434">
        <w:rPr>
          <w:i/>
        </w:rPr>
        <w:t xml:space="preserve">um and </w:t>
      </w:r>
      <w:r w:rsidR="007A4B74">
        <w:rPr>
          <w:i/>
        </w:rPr>
        <w:t>B</w:t>
      </w:r>
      <w:r w:rsidRPr="00F87434">
        <w:rPr>
          <w:i/>
        </w:rPr>
        <w:t xml:space="preserve">lack </w:t>
      </w:r>
      <w:r w:rsidR="007A4B74">
        <w:rPr>
          <w:i/>
        </w:rPr>
        <w:t>B</w:t>
      </w:r>
      <w:r w:rsidRPr="00F87434">
        <w:rPr>
          <w:i/>
        </w:rPr>
        <w:t xml:space="preserve">ox </w:t>
      </w:r>
      <w:r w:rsidR="007A4B74">
        <w:rPr>
          <w:i/>
        </w:rPr>
        <w:t>P</w:t>
      </w:r>
      <w:r w:rsidRPr="00F87434">
        <w:rPr>
          <w:i/>
        </w:rPr>
        <w:t>opulations</w:t>
      </w:r>
      <w:r w:rsidR="0035021A">
        <w:rPr>
          <w:i/>
        </w:rPr>
        <w:t>; Version 12</w:t>
      </w:r>
      <w:r w:rsidR="007A4B74">
        <w:rPr>
          <w:i/>
        </w:rPr>
        <w:t>.</w:t>
      </w:r>
      <w:r w:rsidRPr="00F87434">
        <w:rPr>
          <w:i/>
        </w:rPr>
        <w:t xml:space="preserve"> </w:t>
      </w:r>
      <w:r w:rsidRPr="00F87434">
        <w:t xml:space="preserve">Murray-Darling Basin Authority, </w:t>
      </w:r>
    </w:p>
    <w:p w14:paraId="137D6805" w14:textId="358D0B5E" w:rsidR="00106436" w:rsidRPr="00106436" w:rsidRDefault="00106436" w:rsidP="00106436">
      <w:pPr>
        <w:pStyle w:val="CommentText"/>
        <w:ind w:left="567" w:hanging="567"/>
        <w:rPr>
          <w:szCs w:val="24"/>
        </w:rPr>
      </w:pPr>
      <w:r w:rsidRPr="00106436">
        <w:rPr>
          <w:szCs w:val="24"/>
        </w:rPr>
        <w:t xml:space="preserve">Walker GR, Jolly ID and Jarwal SD (1996). </w:t>
      </w:r>
      <w:r w:rsidRPr="007A4B74">
        <w:rPr>
          <w:i/>
          <w:szCs w:val="24"/>
        </w:rPr>
        <w:t>Salt and Water Movement in the Chowilla Floodplain</w:t>
      </w:r>
      <w:r w:rsidRPr="00106436">
        <w:rPr>
          <w:szCs w:val="24"/>
        </w:rPr>
        <w:t>. CSIRO Division of Water Resources Series No. 15, Canberra.</w:t>
      </w:r>
    </w:p>
    <w:p w14:paraId="14A4EFFD" w14:textId="56B3DAEB" w:rsidR="006E42E5" w:rsidRDefault="006E42E5" w:rsidP="005972ED">
      <w:pPr>
        <w:pStyle w:val="Para0"/>
        <w:ind w:left="567" w:hanging="567"/>
      </w:pPr>
      <w:r w:rsidRPr="006E42E5">
        <w:t xml:space="preserve">Wallace TA </w:t>
      </w:r>
      <w:r w:rsidR="007A4B74">
        <w:t>(</w:t>
      </w:r>
      <w:r w:rsidRPr="006E42E5">
        <w:t>2015</w:t>
      </w:r>
      <w:r w:rsidR="007A4B74">
        <w:t>).</w:t>
      </w:r>
      <w:r w:rsidRPr="006E42E5">
        <w:t xml:space="preserve"> </w:t>
      </w:r>
      <w:r w:rsidRPr="00244345">
        <w:rPr>
          <w:i/>
        </w:rPr>
        <w:t xml:space="preserve">Chowilla Floodplain Icon Site Tree Condition </w:t>
      </w:r>
      <w:r w:rsidR="007A4B74">
        <w:rPr>
          <w:i/>
        </w:rPr>
        <w:t>S</w:t>
      </w:r>
      <w:r w:rsidRPr="00244345">
        <w:rPr>
          <w:i/>
        </w:rPr>
        <w:t xml:space="preserve">urvey </w:t>
      </w:r>
      <w:r w:rsidR="007A4B74">
        <w:rPr>
          <w:i/>
        </w:rPr>
        <w:t>D</w:t>
      </w:r>
      <w:r w:rsidRPr="00244345">
        <w:rPr>
          <w:i/>
        </w:rPr>
        <w:t xml:space="preserve">ata May 2008 to November 2015. </w:t>
      </w:r>
      <w:r w:rsidRPr="006E42E5">
        <w:t>Report produced by Riverwater Life Pty Ltd for the Department of Environment, Water and Natural Resources, South Australian Government. December 2015.</w:t>
      </w:r>
    </w:p>
    <w:p w14:paraId="1794FB70" w14:textId="0FB75134" w:rsidR="005972ED" w:rsidRDefault="005972ED" w:rsidP="005972ED">
      <w:pPr>
        <w:pStyle w:val="Para0"/>
        <w:ind w:left="567" w:hanging="567"/>
      </w:pPr>
      <w:r w:rsidRPr="00F87434">
        <w:t>Wallace T</w:t>
      </w:r>
      <w:r w:rsidR="0083508E">
        <w:t>A</w:t>
      </w:r>
      <w:r w:rsidRPr="00F87434">
        <w:t xml:space="preserve"> (2012)</w:t>
      </w:r>
      <w:r w:rsidR="007A4B74">
        <w:t>.</w:t>
      </w:r>
      <w:r w:rsidRPr="00F87434">
        <w:t xml:space="preserve"> </w:t>
      </w:r>
      <w:r w:rsidRPr="00F87434">
        <w:rPr>
          <w:i/>
        </w:rPr>
        <w:t xml:space="preserve">Monitoring </w:t>
      </w:r>
      <w:r w:rsidR="007A4B74">
        <w:rPr>
          <w:i/>
        </w:rPr>
        <w:t>S</w:t>
      </w:r>
      <w:r w:rsidRPr="00F87434">
        <w:rPr>
          <w:i/>
        </w:rPr>
        <w:t xml:space="preserve">trategy for </w:t>
      </w:r>
      <w:r w:rsidR="007A4B74">
        <w:rPr>
          <w:i/>
        </w:rPr>
        <w:t>L</w:t>
      </w:r>
      <w:r w:rsidRPr="00F87434">
        <w:rPr>
          <w:i/>
        </w:rPr>
        <w:t xml:space="preserve">ong and </w:t>
      </w:r>
      <w:r w:rsidR="007A4B74">
        <w:rPr>
          <w:i/>
        </w:rPr>
        <w:t>S</w:t>
      </w:r>
      <w:r w:rsidRPr="00F87434">
        <w:rPr>
          <w:i/>
        </w:rPr>
        <w:t xml:space="preserve">hort </w:t>
      </w:r>
      <w:r w:rsidR="007A4B74">
        <w:rPr>
          <w:i/>
        </w:rPr>
        <w:t>T</w:t>
      </w:r>
      <w:r w:rsidRPr="00F87434">
        <w:rPr>
          <w:i/>
        </w:rPr>
        <w:t xml:space="preserve">erm </w:t>
      </w:r>
      <w:r w:rsidR="007A4B74">
        <w:rPr>
          <w:i/>
        </w:rPr>
        <w:t>B</w:t>
      </w:r>
      <w:r w:rsidRPr="00F87434">
        <w:rPr>
          <w:i/>
        </w:rPr>
        <w:t xml:space="preserve">iotic and </w:t>
      </w:r>
      <w:r w:rsidR="007A4B74">
        <w:rPr>
          <w:i/>
        </w:rPr>
        <w:t>A</w:t>
      </w:r>
      <w:r w:rsidRPr="00F87434">
        <w:rPr>
          <w:i/>
        </w:rPr>
        <w:t xml:space="preserve">biotic </w:t>
      </w:r>
      <w:r w:rsidR="007A4B74">
        <w:rPr>
          <w:i/>
        </w:rPr>
        <w:t>R</w:t>
      </w:r>
      <w:r w:rsidRPr="00F87434">
        <w:rPr>
          <w:i/>
        </w:rPr>
        <w:t xml:space="preserve">esponses </w:t>
      </w:r>
      <w:r w:rsidR="007A4B74">
        <w:rPr>
          <w:i/>
        </w:rPr>
        <w:t>A</w:t>
      </w:r>
      <w:r w:rsidRPr="00F87434">
        <w:rPr>
          <w:i/>
        </w:rPr>
        <w:t xml:space="preserve">ssociated with </w:t>
      </w:r>
      <w:r w:rsidR="007A4B74">
        <w:rPr>
          <w:i/>
        </w:rPr>
        <w:t>M</w:t>
      </w:r>
      <w:r w:rsidRPr="00F87434">
        <w:rPr>
          <w:i/>
        </w:rPr>
        <w:t>anagement of Pike River Floodplain</w:t>
      </w:r>
      <w:r w:rsidR="007A4B74">
        <w:rPr>
          <w:i/>
        </w:rPr>
        <w:t>.</w:t>
      </w:r>
      <w:r w:rsidRPr="00F87434">
        <w:t xml:space="preserve"> prepared for the Department for Water, South Australian Government, Adelaide.</w:t>
      </w:r>
    </w:p>
    <w:p w14:paraId="497EB8A6" w14:textId="4298A922" w:rsidR="003B730A" w:rsidRDefault="003B730A" w:rsidP="003B730A">
      <w:pPr>
        <w:pStyle w:val="Para0"/>
        <w:ind w:left="567" w:hanging="567"/>
      </w:pPr>
      <w:r>
        <w:t xml:space="preserve">Wallace TA </w:t>
      </w:r>
      <w:r w:rsidR="007A4B74">
        <w:t>and</w:t>
      </w:r>
      <w:r>
        <w:t xml:space="preserve"> Whittle J (2014) </w:t>
      </w:r>
      <w:r w:rsidRPr="003B730A">
        <w:rPr>
          <w:i/>
        </w:rPr>
        <w:t xml:space="preserve">Operations Plan for Chowilla Creek Regulator and </w:t>
      </w:r>
      <w:r w:rsidR="007A4B74">
        <w:rPr>
          <w:i/>
        </w:rPr>
        <w:t>A</w:t>
      </w:r>
      <w:r w:rsidRPr="003B730A">
        <w:rPr>
          <w:i/>
        </w:rPr>
        <w:t xml:space="preserve">ncillary </w:t>
      </w:r>
      <w:r w:rsidR="007A4B74">
        <w:rPr>
          <w:i/>
        </w:rPr>
        <w:t>S</w:t>
      </w:r>
      <w:r w:rsidRPr="003B730A">
        <w:rPr>
          <w:i/>
        </w:rPr>
        <w:t>tructures V2.1</w:t>
      </w:r>
      <w:r>
        <w:t>. April 2014. Working Draft. Prepared for DEWNR and MDBA.</w:t>
      </w:r>
    </w:p>
    <w:p w14:paraId="3A1B00A9" w14:textId="6D21CE1C" w:rsidR="003241AD" w:rsidRDefault="005972ED" w:rsidP="005972ED">
      <w:pPr>
        <w:pStyle w:val="Para0"/>
        <w:ind w:left="567" w:hanging="567"/>
      </w:pPr>
      <w:r w:rsidRPr="00F87434">
        <w:t xml:space="preserve">Woods J (ed.) </w:t>
      </w:r>
      <w:r w:rsidR="007A4B74">
        <w:t>(</w:t>
      </w:r>
      <w:r w:rsidRPr="00F87434">
        <w:t>2015</w:t>
      </w:r>
      <w:r w:rsidR="007A4B74">
        <w:t>).</w:t>
      </w:r>
      <w:r w:rsidRPr="00F87434">
        <w:t xml:space="preserve"> </w:t>
      </w:r>
      <w:r w:rsidRPr="00F87434">
        <w:rPr>
          <w:i/>
        </w:rPr>
        <w:t xml:space="preserve">Modelling </w:t>
      </w:r>
      <w:r w:rsidR="007A4B74">
        <w:rPr>
          <w:i/>
        </w:rPr>
        <w:t>S</w:t>
      </w:r>
      <w:r w:rsidRPr="00F87434">
        <w:rPr>
          <w:i/>
        </w:rPr>
        <w:t xml:space="preserve">alt </w:t>
      </w:r>
      <w:r w:rsidR="007A4B74">
        <w:rPr>
          <w:i/>
        </w:rPr>
        <w:t>D</w:t>
      </w:r>
      <w:r w:rsidRPr="00F87434">
        <w:rPr>
          <w:i/>
        </w:rPr>
        <w:t xml:space="preserve">ynamics on the River Murray </w:t>
      </w:r>
      <w:r w:rsidR="007A4B74">
        <w:rPr>
          <w:i/>
        </w:rPr>
        <w:t>F</w:t>
      </w:r>
      <w:r w:rsidRPr="00F87434">
        <w:rPr>
          <w:i/>
        </w:rPr>
        <w:t xml:space="preserve">loodplain in South Australia: Conceptual </w:t>
      </w:r>
      <w:r w:rsidR="007A4B74">
        <w:rPr>
          <w:i/>
        </w:rPr>
        <w:t>M</w:t>
      </w:r>
      <w:r w:rsidRPr="00F87434">
        <w:rPr>
          <w:i/>
        </w:rPr>
        <w:t xml:space="preserve">odel, </w:t>
      </w:r>
      <w:r w:rsidR="007A4B74">
        <w:rPr>
          <w:i/>
        </w:rPr>
        <w:t>D</w:t>
      </w:r>
      <w:r w:rsidRPr="00F87434">
        <w:rPr>
          <w:i/>
        </w:rPr>
        <w:t xml:space="preserve">ata </w:t>
      </w:r>
      <w:r w:rsidR="007A4B74">
        <w:rPr>
          <w:i/>
        </w:rPr>
        <w:t>R</w:t>
      </w:r>
      <w:r w:rsidRPr="00F87434">
        <w:rPr>
          <w:i/>
        </w:rPr>
        <w:t xml:space="preserve">eview and </w:t>
      </w:r>
      <w:r w:rsidR="007A4B74">
        <w:rPr>
          <w:i/>
        </w:rPr>
        <w:t>S</w:t>
      </w:r>
      <w:r w:rsidRPr="00F87434">
        <w:rPr>
          <w:i/>
        </w:rPr>
        <w:t xml:space="preserve">alinity </w:t>
      </w:r>
      <w:r w:rsidR="007A4B74">
        <w:rPr>
          <w:i/>
        </w:rPr>
        <w:t>R</w:t>
      </w:r>
      <w:r w:rsidRPr="00F87434">
        <w:rPr>
          <w:i/>
        </w:rPr>
        <w:t xml:space="preserve">isk </w:t>
      </w:r>
      <w:r w:rsidR="007A4B74">
        <w:rPr>
          <w:i/>
        </w:rPr>
        <w:t>A</w:t>
      </w:r>
      <w:r w:rsidRPr="00F87434">
        <w:rPr>
          <w:i/>
        </w:rPr>
        <w:t>pproaches</w:t>
      </w:r>
      <w:r w:rsidR="007A4B74">
        <w:rPr>
          <w:i/>
        </w:rPr>
        <w:t>.</w:t>
      </w:r>
      <w:r w:rsidRPr="00F87434">
        <w:t xml:space="preserve"> Goyder Institute for Water Research Technical Report Series No. 15/9, Adelaide, SA.</w:t>
      </w:r>
    </w:p>
    <w:p w14:paraId="121CE6B7" w14:textId="21FE6652" w:rsidR="003241AD" w:rsidRDefault="003241AD">
      <w:pPr>
        <w:spacing w:after="0" w:line="240" w:lineRule="auto"/>
      </w:pPr>
      <w:r>
        <w:br w:type="page"/>
      </w:r>
    </w:p>
    <w:p w14:paraId="37A8124F" w14:textId="5A975563" w:rsidR="003241AD" w:rsidRDefault="003241AD" w:rsidP="005972ED">
      <w:pPr>
        <w:pStyle w:val="Para0"/>
        <w:ind w:left="567" w:hanging="567"/>
      </w:pPr>
      <w:r>
        <w:rPr>
          <w:noProof/>
          <w:lang w:eastAsia="en-AU"/>
        </w:rPr>
        <mc:AlternateContent>
          <mc:Choice Requires="wps">
            <w:drawing>
              <wp:anchor distT="45720" distB="45720" distL="114300" distR="114300" simplePos="0" relativeHeight="251676672" behindDoc="0" locked="0" layoutInCell="1" allowOverlap="1" wp14:anchorId="7AB39080" wp14:editId="2064D581">
                <wp:simplePos x="0" y="0"/>
                <wp:positionH relativeFrom="column">
                  <wp:posOffset>443692</wp:posOffset>
                </wp:positionH>
                <wp:positionV relativeFrom="paragraph">
                  <wp:posOffset>396364</wp:posOffset>
                </wp:positionV>
                <wp:extent cx="4524499" cy="1404620"/>
                <wp:effectExtent l="0" t="0" r="0" b="3175"/>
                <wp:wrapNone/>
                <wp:docPr id="1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4499" cy="1404620"/>
                        </a:xfrm>
                        <a:prstGeom prst="rect">
                          <a:avLst/>
                        </a:prstGeom>
                        <a:noFill/>
                        <a:ln w="9525">
                          <a:noFill/>
                          <a:miter lim="800000"/>
                          <a:headEnd/>
                          <a:tailEnd/>
                        </a:ln>
                      </wps:spPr>
                      <wps:txbx>
                        <w:txbxContent>
                          <w:p w14:paraId="65EFFAA8" w14:textId="732E75C8" w:rsidR="00CF0933" w:rsidRPr="00244456" w:rsidRDefault="00CF0933" w:rsidP="003241AD">
                            <w:pPr>
                              <w:rPr>
                                <w:b/>
                                <w:color w:val="FFFFFF" w:themeColor="background1"/>
                                <w:sz w:val="56"/>
                                <w:szCs w:val="56"/>
                                <w14:shadow w14:blurRad="50800" w14:dist="38100" w14:dir="2700000" w14:sx="100000" w14:sy="100000" w14:kx="0" w14:ky="0" w14:algn="tl">
                                  <w14:srgbClr w14:val="000000">
                                    <w14:alpha w14:val="60000"/>
                                  </w14:srgbClr>
                                </w14:shadow>
                              </w:rPr>
                            </w:pPr>
                            <w:r w:rsidRPr="00244456">
                              <w:rPr>
                                <w:b/>
                                <w:color w:val="FFFFFF" w:themeColor="background1"/>
                                <w:sz w:val="56"/>
                                <w:szCs w:val="56"/>
                                <w14:shadow w14:blurRad="50800" w14:dist="38100" w14:dir="2700000" w14:sx="100000" w14:sy="100000" w14:kx="0" w14:ky="0" w14:algn="tl">
                                  <w14:srgbClr w14:val="000000">
                                    <w14:alpha w14:val="60000"/>
                                  </w14:srgbClr>
                                </w14:shadow>
                              </w:rPr>
                              <w:t xml:space="preserve">PART </w:t>
                            </w:r>
                            <w:r>
                              <w:rPr>
                                <w:b/>
                                <w:color w:val="FFFFFF" w:themeColor="background1"/>
                                <w:sz w:val="56"/>
                                <w:szCs w:val="56"/>
                                <w14:shadow w14:blurRad="50800" w14:dist="38100" w14:dir="2700000" w14:sx="100000" w14:sy="100000" w14:kx="0" w14:ky="0" w14:algn="tl">
                                  <w14:srgbClr w14:val="000000">
                                    <w14:alpha w14:val="60000"/>
                                  </w14:srgbClr>
                                </w14:shadow>
                              </w:rPr>
                              <w:t>D</w:t>
                            </w:r>
                            <w:r w:rsidRPr="00244456">
                              <w:rPr>
                                <w:b/>
                                <w:color w:val="FFFFFF" w:themeColor="background1"/>
                                <w:sz w:val="56"/>
                                <w:szCs w:val="56"/>
                                <w14:shadow w14:blurRad="50800" w14:dist="38100" w14:dir="2700000" w14:sx="100000" w14:sy="100000" w14:kx="0" w14:ky="0" w14:algn="tl">
                                  <w14:srgbClr w14:val="000000">
                                    <w14:alpha w14:val="60000"/>
                                  </w14:srgbClr>
                                </w14:shadow>
                              </w:rPr>
                              <w:t xml:space="preserve">: </w:t>
                            </w:r>
                            <w:r>
                              <w:rPr>
                                <w:b/>
                                <w:color w:val="FFFFFF" w:themeColor="background1"/>
                                <w:sz w:val="56"/>
                                <w:szCs w:val="56"/>
                                <w14:shadow w14:blurRad="50800" w14:dist="38100" w14:dir="2700000" w14:sx="100000" w14:sy="100000" w14:kx="0" w14:ky="0" w14:algn="tl">
                                  <w14:srgbClr w14:val="000000">
                                    <w14:alpha w14:val="60000"/>
                                  </w14:srgbClr>
                                </w14:shadow>
                              </w:rPr>
                              <w:t>RESOURCES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B39080" id="_x0000_s1035" type="#_x0000_t202" style="position:absolute;left:0;text-align:left;margin-left:34.95pt;margin-top:31.2pt;width:356.25pt;height:110.6pt;z-index:25167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" filled="f" stroked="f">
                <v:textbox style="mso-fit-shape-to-text:t">
                  <w:txbxContent>
                    <w:p w14:paraId="65EFFAA8" w14:textId="732E75C8" w:rsidR="00CF0933" w:rsidRPr="00244456" w:rsidRDefault="00CF0933" w:rsidP="003241AD">
                      <w:pPr>
                        <w:rPr>
                          <w:b/>
                          <w:color w:val="FFFFFF" w:themeColor="background1"/>
                          <w:sz w:val="56"/>
                          <w:szCs w:val="56"/>
                          <w14:shadow w14:blurRad="50800" w14:dist="38100" w14:dir="2700000" w14:sx="100000" w14:sy="100000" w14:kx="0" w14:ky="0" w14:algn="tl">
                            <w14:srgbClr w14:val="000000">
                              <w14:alpha w14:val="60000"/>
                            </w14:srgbClr>
                          </w14:shadow>
                        </w:rPr>
                      </w:pPr>
                      <w:r w:rsidRPr="00244456">
                        <w:rPr>
                          <w:b/>
                          <w:color w:val="FFFFFF" w:themeColor="background1"/>
                          <w:sz w:val="56"/>
                          <w:szCs w:val="56"/>
                          <w14:shadow w14:blurRad="50800" w14:dist="38100" w14:dir="2700000" w14:sx="100000" w14:sy="100000" w14:kx="0" w14:ky="0" w14:algn="tl">
                            <w14:srgbClr w14:val="000000">
                              <w14:alpha w14:val="60000"/>
                            </w14:srgbClr>
                          </w14:shadow>
                        </w:rPr>
                        <w:t xml:space="preserve">PART </w:t>
                      </w:r>
                      <w:r>
                        <w:rPr>
                          <w:b/>
                          <w:color w:val="FFFFFF" w:themeColor="background1"/>
                          <w:sz w:val="56"/>
                          <w:szCs w:val="56"/>
                          <w14:shadow w14:blurRad="50800" w14:dist="38100" w14:dir="2700000" w14:sx="100000" w14:sy="100000" w14:kx="0" w14:ky="0" w14:algn="tl">
                            <w14:srgbClr w14:val="000000">
                              <w14:alpha w14:val="60000"/>
                            </w14:srgbClr>
                          </w14:shadow>
                        </w:rPr>
                        <w:t>D</w:t>
                      </w:r>
                      <w:r w:rsidRPr="00244456">
                        <w:rPr>
                          <w:b/>
                          <w:color w:val="FFFFFF" w:themeColor="background1"/>
                          <w:sz w:val="56"/>
                          <w:szCs w:val="56"/>
                          <w14:shadow w14:blurRad="50800" w14:dist="38100" w14:dir="2700000" w14:sx="100000" w14:sy="100000" w14:kx="0" w14:ky="0" w14:algn="tl">
                            <w14:srgbClr w14:val="000000">
                              <w14:alpha w14:val="60000"/>
                            </w14:srgbClr>
                          </w14:shadow>
                        </w:rPr>
                        <w:t xml:space="preserve">: </w:t>
                      </w:r>
                      <w:r>
                        <w:rPr>
                          <w:b/>
                          <w:color w:val="FFFFFF" w:themeColor="background1"/>
                          <w:sz w:val="56"/>
                          <w:szCs w:val="56"/>
                          <w14:shadow w14:blurRad="50800" w14:dist="38100" w14:dir="2700000" w14:sx="100000" w14:sy="100000" w14:kx="0" w14:ky="0" w14:algn="tl">
                            <w14:srgbClr w14:val="000000">
                              <w14:alpha w14:val="60000"/>
                            </w14:srgbClr>
                          </w14:shadow>
                        </w:rPr>
                        <w:t>RESOURCES</w:t>
                      </w:r>
                    </w:p>
                  </w:txbxContent>
                </v:textbox>
              </v:shape>
            </w:pict>
          </mc:Fallback>
        </mc:AlternateContent>
      </w:r>
      <w:r>
        <w:rPr>
          <w:noProof/>
          <w:lang w:eastAsia="en-AU"/>
        </w:rPr>
        <w:drawing>
          <wp:inline distT="0" distB="0" distL="0" distR="0" wp14:anchorId="16FC3FF2" wp14:editId="78AF4634">
            <wp:extent cx="8489950" cy="6223885"/>
            <wp:effectExtent l="9207"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_7370.JPG"/>
                    <pic:cNvPicPr/>
                  </pic:nvPicPr>
                  <pic:blipFill>
                    <a:blip r:embed="rId99" cstate="email">
                      <a:extLst>
                        <a:ext uri="{28A0092B-C50C-407E-A947-70E740481C1C}">
                          <a14:useLocalDpi xmlns:a14="http://schemas.microsoft.com/office/drawing/2010/main"/>
                        </a:ext>
                      </a:extLst>
                    </a:blip>
                    <a:stretch>
                      <a:fillRect/>
                    </a:stretch>
                  </pic:blipFill>
                  <pic:spPr>
                    <a:xfrm rot="16200000">
                      <a:off x="0" y="0"/>
                      <a:ext cx="8498259" cy="6229976"/>
                    </a:xfrm>
                    <a:prstGeom prst="rect">
                      <a:avLst/>
                    </a:prstGeom>
                  </pic:spPr>
                </pic:pic>
              </a:graphicData>
            </a:graphic>
          </wp:inline>
        </w:drawing>
      </w:r>
    </w:p>
    <w:p w14:paraId="64586CBC" w14:textId="77777777" w:rsidR="003241AD" w:rsidRPr="00AD3848" w:rsidRDefault="003241AD" w:rsidP="00CF7B7F">
      <w:pPr>
        <w:pStyle w:val="Heading9"/>
        <w:numPr>
          <w:ilvl w:val="0"/>
          <w:numId w:val="8"/>
        </w:numPr>
        <w:spacing w:after="0" w:line="240" w:lineRule="auto"/>
        <w:ind w:left="1985" w:hanging="1985"/>
        <w:rPr>
          <w:color w:val="65876D" w:themeColor="accent4" w:themeShade="BF"/>
        </w:rPr>
      </w:pPr>
      <w:bookmarkStart w:id="321" w:name="_Toc510785220"/>
      <w:r w:rsidRPr="00AD3848">
        <w:rPr>
          <w:color w:val="65876D" w:themeColor="accent4" w:themeShade="BF"/>
        </w:rPr>
        <w:t>Resources</w:t>
      </w:r>
      <w:bookmarkEnd w:id="321"/>
    </w:p>
    <w:p w14:paraId="2F505FCF" w14:textId="18A3C34E" w:rsidR="003241AD" w:rsidRDefault="003241AD" w:rsidP="003241AD">
      <w:pPr>
        <w:pStyle w:val="Para0"/>
      </w:pPr>
      <w:r>
        <w:t xml:space="preserve">This </w:t>
      </w:r>
      <w:r w:rsidR="005A4E06">
        <w:t>appendix</w:t>
      </w:r>
      <w:r>
        <w:t xml:space="preserve"> provides a summary of references and materials which may be of use to practitioners in understanding more about Black Box science and management. </w:t>
      </w:r>
    </w:p>
    <w:p w14:paraId="573D658E" w14:textId="77777777" w:rsidR="00781A70" w:rsidRPr="00F71E20" w:rsidRDefault="00781A70" w:rsidP="003241AD">
      <w:pPr>
        <w:pStyle w:val="Para0"/>
      </w:pPr>
    </w:p>
    <w:p w14:paraId="3978572D" w14:textId="77777777" w:rsidR="003241AD" w:rsidRPr="00AD0809" w:rsidRDefault="003241AD" w:rsidP="00CF7B7F">
      <w:pPr>
        <w:pStyle w:val="Bodysubheading"/>
        <w:ind w:left="0"/>
        <w:jc w:val="both"/>
      </w:pPr>
      <w:r w:rsidRPr="00CF7B7F">
        <w:rPr>
          <w:sz w:val="24"/>
        </w:rPr>
        <w:t>Assessing Black Box Condition</w:t>
      </w:r>
    </w:p>
    <w:tbl>
      <w:tblPr>
        <w:tblStyle w:val="TableGrid"/>
        <w:tblW w:w="4963"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5154"/>
        <w:gridCol w:w="4679"/>
      </w:tblGrid>
      <w:tr w:rsidR="003241AD" w14:paraId="6A238864" w14:textId="77777777" w:rsidTr="003744EB">
        <w:trPr>
          <w:tblHeader/>
        </w:trPr>
        <w:tc>
          <w:tcPr>
            <w:tcW w:w="2621" w:type="pct"/>
            <w:tcBorders>
              <w:right w:val="single" w:sz="4" w:space="0" w:color="FFFFFF" w:themeColor="background1"/>
            </w:tcBorders>
            <w:shd w:val="clear" w:color="auto" w:fill="65876D" w:themeFill="accent4" w:themeFillShade="BF"/>
          </w:tcPr>
          <w:p w14:paraId="58B51E0E" w14:textId="77777777" w:rsidR="003241AD" w:rsidRPr="00AD3848" w:rsidRDefault="003241AD" w:rsidP="003744EB">
            <w:pPr>
              <w:pStyle w:val="Tableheading"/>
              <w:rPr>
                <w:color w:val="FFFFFF" w:themeColor="background1"/>
              </w:rPr>
            </w:pPr>
            <w:r w:rsidRPr="00AD3848">
              <w:rPr>
                <w:color w:val="FFFFFF" w:themeColor="background1"/>
              </w:rPr>
              <w:t>Reference</w:t>
            </w:r>
          </w:p>
        </w:tc>
        <w:tc>
          <w:tcPr>
            <w:tcW w:w="2379" w:type="pct"/>
            <w:tcBorders>
              <w:left w:val="single" w:sz="4" w:space="0" w:color="FFFFFF" w:themeColor="background1"/>
            </w:tcBorders>
            <w:shd w:val="clear" w:color="auto" w:fill="65876D" w:themeFill="accent4" w:themeFillShade="BF"/>
          </w:tcPr>
          <w:p w14:paraId="374EEE95" w14:textId="77777777" w:rsidR="003241AD" w:rsidRPr="00AD3848" w:rsidRDefault="003241AD" w:rsidP="003744EB">
            <w:pPr>
              <w:pStyle w:val="Tableheading"/>
              <w:rPr>
                <w:color w:val="FFFFFF" w:themeColor="background1"/>
              </w:rPr>
            </w:pPr>
            <w:r w:rsidRPr="00AD3848">
              <w:rPr>
                <w:color w:val="FFFFFF" w:themeColor="background1"/>
              </w:rPr>
              <w:t>Description</w:t>
            </w:r>
          </w:p>
        </w:tc>
      </w:tr>
      <w:tr w:rsidR="003241AD" w14:paraId="48ADE4E7" w14:textId="77777777" w:rsidTr="003744EB">
        <w:tc>
          <w:tcPr>
            <w:tcW w:w="2621" w:type="pct"/>
          </w:tcPr>
          <w:p w14:paraId="7034625B"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 xml:space="preserve">Overton, I.C., Boyd, A. and Coff, B. (2017). Site Investigation for Black Box at Calperum Station South Australia: Trial Implementation of the Draft Black Box Management Framework. Report prepared by Jacobs Pty Ltd for the Commonwealth Environmental Water Office, Adelaide, South Australia. </w:t>
            </w:r>
          </w:p>
        </w:tc>
        <w:tc>
          <w:tcPr>
            <w:tcW w:w="2379" w:type="pct"/>
            <w:vAlign w:val="center"/>
          </w:tcPr>
          <w:p w14:paraId="24AE2AD5" w14:textId="77777777" w:rsidR="003241AD" w:rsidRPr="00AD3848" w:rsidRDefault="003241AD" w:rsidP="003744EB">
            <w:pPr>
              <w:pStyle w:val="Tabletext"/>
              <w:spacing w:after="0" w:line="240" w:lineRule="auto"/>
              <w:rPr>
                <w:sz w:val="18"/>
                <w:szCs w:val="16"/>
              </w:rPr>
            </w:pPr>
            <w:r w:rsidRPr="00AD3848">
              <w:rPr>
                <w:sz w:val="18"/>
                <w:szCs w:val="16"/>
              </w:rPr>
              <w:t>Case study of the Framework at the Calperum floodplain, South Australia.</w:t>
            </w:r>
          </w:p>
        </w:tc>
      </w:tr>
      <w:tr w:rsidR="003241AD" w14:paraId="63D7A2D3" w14:textId="77777777" w:rsidTr="003744EB">
        <w:tc>
          <w:tcPr>
            <w:tcW w:w="2621" w:type="pct"/>
          </w:tcPr>
          <w:p w14:paraId="52333C3F" w14:textId="77777777" w:rsidR="003241AD" w:rsidRPr="00AD3848" w:rsidRDefault="003241AD" w:rsidP="003744EB">
            <w:pPr>
              <w:pStyle w:val="NormalWeb"/>
              <w:spacing w:before="0" w:beforeAutospacing="0" w:after="0" w:afterAutospacing="0"/>
              <w:ind w:left="450" w:hanging="450"/>
              <w:rPr>
                <w:sz w:val="18"/>
                <w:szCs w:val="16"/>
              </w:rPr>
            </w:pPr>
            <w:r w:rsidRPr="00AD3848">
              <w:rPr>
                <w:rFonts w:ascii="Arial" w:hAnsi="Arial" w:cstheme="minorBidi"/>
                <w:sz w:val="18"/>
                <w:szCs w:val="16"/>
                <w:lang w:val="en-GB" w:eastAsia="en-US"/>
              </w:rPr>
              <w:t>Souter, N, Cunningham, S, Little, S, Wallace, McCarthy, B, Henderson, M and Bennets, K, 2010, Ground-based survey methods for The Living Murray assessment of condition of river red gum and black box populations; Version 12, Murray-Darling Basin Authority.</w:t>
            </w:r>
          </w:p>
        </w:tc>
        <w:tc>
          <w:tcPr>
            <w:tcW w:w="2379" w:type="pct"/>
            <w:vAlign w:val="center"/>
          </w:tcPr>
          <w:p w14:paraId="129B1DEC" w14:textId="65A1D3BA" w:rsidR="003241AD" w:rsidRPr="00AD3848" w:rsidRDefault="003241AD" w:rsidP="003744EB">
            <w:pPr>
              <w:pStyle w:val="Tabletext"/>
              <w:spacing w:after="0" w:line="240" w:lineRule="auto"/>
              <w:rPr>
                <w:sz w:val="18"/>
                <w:szCs w:val="16"/>
              </w:rPr>
            </w:pPr>
            <w:r w:rsidRPr="00AD3848">
              <w:rPr>
                <w:sz w:val="18"/>
                <w:szCs w:val="16"/>
              </w:rPr>
              <w:t>Provides a description of the TLM Black Box tree and stand condition assessment methodology</w:t>
            </w:r>
          </w:p>
        </w:tc>
      </w:tr>
      <w:tr w:rsidR="003241AD" w14:paraId="57A775F9" w14:textId="77777777" w:rsidTr="003744EB">
        <w:tc>
          <w:tcPr>
            <w:tcW w:w="2621" w:type="pct"/>
          </w:tcPr>
          <w:p w14:paraId="628E6C6A"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Overton IC (2013) Methods to Assess Environmental Flow and Groundwater Management Scenarios for Floodplain Tree Health in the Lower River Murray. PhD Thesis, Department of Soil and Water, University of Adelaide. pp. 355.</w:t>
            </w:r>
          </w:p>
        </w:tc>
        <w:tc>
          <w:tcPr>
            <w:tcW w:w="2379" w:type="pct"/>
            <w:vAlign w:val="center"/>
          </w:tcPr>
          <w:p w14:paraId="0CE210B4" w14:textId="77777777" w:rsidR="003241AD" w:rsidRPr="00AD3848" w:rsidRDefault="003241AD" w:rsidP="003744EB">
            <w:pPr>
              <w:pStyle w:val="Tabletext"/>
              <w:spacing w:after="0" w:line="240" w:lineRule="auto"/>
              <w:rPr>
                <w:sz w:val="18"/>
                <w:szCs w:val="16"/>
              </w:rPr>
            </w:pPr>
            <w:r w:rsidRPr="00AD3848">
              <w:rPr>
                <w:sz w:val="18"/>
                <w:szCs w:val="16"/>
              </w:rPr>
              <w:t>Provides a range of methods to map Black Box condition on the Chowilla floodplain, South Australia</w:t>
            </w:r>
          </w:p>
        </w:tc>
      </w:tr>
    </w:tbl>
    <w:p w14:paraId="7A8F29F5" w14:textId="77777777" w:rsidR="00781A70" w:rsidRDefault="00781A70" w:rsidP="00781A70">
      <w:pPr>
        <w:pStyle w:val="Bodysubheading"/>
        <w:ind w:left="0"/>
        <w:jc w:val="both"/>
        <w:rPr>
          <w:sz w:val="24"/>
        </w:rPr>
      </w:pPr>
    </w:p>
    <w:p w14:paraId="4E65AE38" w14:textId="07B6600B" w:rsidR="003241AD" w:rsidRPr="00CF7B7F" w:rsidRDefault="003241AD" w:rsidP="00CF7B7F">
      <w:pPr>
        <w:pStyle w:val="Bodysubheading"/>
        <w:ind w:left="0"/>
        <w:jc w:val="both"/>
      </w:pPr>
      <w:r w:rsidRPr="00CF7B7F">
        <w:rPr>
          <w:sz w:val="24"/>
        </w:rPr>
        <w:t>Assessing Black Box Stressors</w:t>
      </w:r>
    </w:p>
    <w:tbl>
      <w:tblPr>
        <w:tblStyle w:val="TableGrid"/>
        <w:tblW w:w="4963"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5154"/>
        <w:gridCol w:w="4679"/>
      </w:tblGrid>
      <w:tr w:rsidR="003241AD" w14:paraId="0C412BFF" w14:textId="77777777" w:rsidTr="003744EB">
        <w:trPr>
          <w:tblHeader/>
        </w:trPr>
        <w:tc>
          <w:tcPr>
            <w:tcW w:w="2621" w:type="pct"/>
            <w:tcBorders>
              <w:right w:val="single" w:sz="4" w:space="0" w:color="FFFFFF" w:themeColor="background1"/>
            </w:tcBorders>
            <w:shd w:val="clear" w:color="auto" w:fill="65876D" w:themeFill="accent4" w:themeFillShade="BF"/>
          </w:tcPr>
          <w:p w14:paraId="2DD96F3D" w14:textId="77777777" w:rsidR="003241AD" w:rsidRPr="00AD3848" w:rsidRDefault="003241AD" w:rsidP="003744EB">
            <w:pPr>
              <w:pStyle w:val="Tableheading"/>
              <w:rPr>
                <w:color w:val="FFFFFF" w:themeColor="background1"/>
              </w:rPr>
            </w:pPr>
            <w:r w:rsidRPr="00AD3848">
              <w:rPr>
                <w:color w:val="FFFFFF" w:themeColor="background1"/>
              </w:rPr>
              <w:t>Reference</w:t>
            </w:r>
          </w:p>
        </w:tc>
        <w:tc>
          <w:tcPr>
            <w:tcW w:w="2379" w:type="pct"/>
            <w:tcBorders>
              <w:left w:val="single" w:sz="4" w:space="0" w:color="FFFFFF" w:themeColor="background1"/>
            </w:tcBorders>
            <w:shd w:val="clear" w:color="auto" w:fill="65876D" w:themeFill="accent4" w:themeFillShade="BF"/>
          </w:tcPr>
          <w:p w14:paraId="098D4949" w14:textId="77777777" w:rsidR="003241AD" w:rsidRPr="00AD3848" w:rsidRDefault="003241AD" w:rsidP="003744EB">
            <w:pPr>
              <w:pStyle w:val="Tableheading"/>
              <w:rPr>
                <w:color w:val="FFFFFF" w:themeColor="background1"/>
              </w:rPr>
            </w:pPr>
            <w:r w:rsidRPr="00AD3848">
              <w:rPr>
                <w:color w:val="FFFFFF" w:themeColor="background1"/>
              </w:rPr>
              <w:t>Description</w:t>
            </w:r>
          </w:p>
        </w:tc>
      </w:tr>
      <w:tr w:rsidR="003241AD" w14:paraId="3D93C8B1" w14:textId="77777777" w:rsidTr="003744EB">
        <w:tc>
          <w:tcPr>
            <w:tcW w:w="2621" w:type="pct"/>
          </w:tcPr>
          <w:p w14:paraId="3B418B23"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Overton IC, Jolly ID, Slavich PG, Lewis MM and Walker GR (2006) Modelling Vegetation Health from the Interaction of Saline Groundwater and Flooding on the Chowilla Floodplain, South Australia. Australian Jou</w:t>
            </w:r>
            <w:r>
              <w:rPr>
                <w:rFonts w:ascii="Arial" w:hAnsi="Arial" w:cstheme="minorBidi"/>
                <w:sz w:val="18"/>
                <w:szCs w:val="16"/>
                <w:lang w:val="en-GB" w:eastAsia="en-US"/>
              </w:rPr>
              <w:t>rnal of Botany, 54(2): 207-220.</w:t>
            </w:r>
          </w:p>
        </w:tc>
        <w:tc>
          <w:tcPr>
            <w:tcW w:w="2379" w:type="pct"/>
          </w:tcPr>
          <w:p w14:paraId="5C838BB7" w14:textId="77777777" w:rsidR="003241AD" w:rsidRPr="00AD3848" w:rsidRDefault="003241AD" w:rsidP="003744EB">
            <w:pPr>
              <w:pStyle w:val="Tabletext"/>
              <w:spacing w:after="0" w:line="240" w:lineRule="auto"/>
              <w:rPr>
                <w:sz w:val="18"/>
                <w:szCs w:val="16"/>
              </w:rPr>
            </w:pPr>
            <w:r w:rsidRPr="00AD3848">
              <w:rPr>
                <w:sz w:val="18"/>
                <w:szCs w:val="16"/>
              </w:rPr>
              <w:t xml:space="preserve">Describes decline in floodplain vegetation at Chowilla as a result of salinisation of floodplain soils. Provides modelling of groundwater depth, groundwater salinity, soil type and flooding to recommend management options for improved health of floodplain vegetation. </w:t>
            </w:r>
          </w:p>
        </w:tc>
      </w:tr>
      <w:tr w:rsidR="003241AD" w14:paraId="0B383F54" w14:textId="77777777" w:rsidTr="003744EB">
        <w:tc>
          <w:tcPr>
            <w:tcW w:w="2621" w:type="pct"/>
          </w:tcPr>
          <w:p w14:paraId="698706A4"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Overton IC, Doody TM and Siggins A (2008) Salt Accumulation and Tree Vegetation Response to Surface Water–Groundwater Interactions in the Mallee Region of the Lower River Murray. CSIRO Water for a Healthy Country Interim Report prepared for the Victorian Mallee Catchment Management Authority and the New South Wales Lower Murray-Darling Catchment Management Authority.</w:t>
            </w:r>
          </w:p>
        </w:tc>
        <w:tc>
          <w:tcPr>
            <w:tcW w:w="2379" w:type="pct"/>
            <w:vAlign w:val="center"/>
          </w:tcPr>
          <w:p w14:paraId="7C16A155" w14:textId="77777777" w:rsidR="003241AD" w:rsidRPr="00AD3848" w:rsidRDefault="003241AD" w:rsidP="003744EB">
            <w:pPr>
              <w:pStyle w:val="Tabletext"/>
              <w:spacing w:after="0" w:line="240" w:lineRule="auto"/>
              <w:rPr>
                <w:sz w:val="18"/>
                <w:szCs w:val="16"/>
              </w:rPr>
            </w:pPr>
          </w:p>
        </w:tc>
      </w:tr>
      <w:tr w:rsidR="003241AD" w14:paraId="2C1A1E19" w14:textId="77777777" w:rsidTr="003744EB">
        <w:tc>
          <w:tcPr>
            <w:tcW w:w="2621" w:type="pct"/>
          </w:tcPr>
          <w:p w14:paraId="07E24054"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Doody TM and Overton IC (2008) Riparian Vegetation Changes from Hydrological Alteration on the River Murray, Australia – Modelling the Surface Water-Groundwater Dependent Ecosystem. In: ‘From Headwaters to the Ocean – Hydrological Changes and Watershed Management’. Eds: Taniguchi M, Burnett WC, Fukishima Y, Haigh M and Umezawa Y. Taylor and Frances Group, London, England. pp 395-400.</w:t>
            </w:r>
          </w:p>
        </w:tc>
        <w:tc>
          <w:tcPr>
            <w:tcW w:w="2379" w:type="pct"/>
            <w:vAlign w:val="center"/>
          </w:tcPr>
          <w:p w14:paraId="0DCA7C95" w14:textId="77777777" w:rsidR="003241AD" w:rsidRPr="00AD3848" w:rsidRDefault="003241AD" w:rsidP="003744EB">
            <w:pPr>
              <w:pStyle w:val="Tabletext"/>
              <w:spacing w:after="0" w:line="240" w:lineRule="auto"/>
              <w:rPr>
                <w:sz w:val="18"/>
                <w:szCs w:val="16"/>
              </w:rPr>
            </w:pPr>
            <w:r w:rsidRPr="00A05DA9">
              <w:rPr>
                <w:sz w:val="18"/>
                <w:szCs w:val="16"/>
              </w:rPr>
              <w:t>Describes the tools available for modelling floodplain vegetation health and discusses management options to conserve floodplain health.</w:t>
            </w:r>
          </w:p>
        </w:tc>
      </w:tr>
      <w:tr w:rsidR="003241AD" w14:paraId="4C7D9204" w14:textId="77777777" w:rsidTr="003744EB">
        <w:tc>
          <w:tcPr>
            <w:tcW w:w="2621" w:type="pct"/>
          </w:tcPr>
          <w:p w14:paraId="010160E1"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Doody TM, Llewelyn A, Pritchard JL, Overton IC and Holland KL (2016) Influence of Environmental Water on Black Box (Eucalyptus largiflorens). Report for the South Australian Murray-Darling Basin Natural Resource Management Board.</w:t>
            </w:r>
          </w:p>
        </w:tc>
        <w:tc>
          <w:tcPr>
            <w:tcW w:w="2379" w:type="pct"/>
            <w:vAlign w:val="center"/>
          </w:tcPr>
          <w:p w14:paraId="2CEE4944" w14:textId="77777777" w:rsidR="003241AD" w:rsidRPr="00AD3848" w:rsidRDefault="003241AD" w:rsidP="003744EB">
            <w:pPr>
              <w:pStyle w:val="Tabletext"/>
              <w:spacing w:after="0" w:line="240" w:lineRule="auto"/>
              <w:rPr>
                <w:sz w:val="18"/>
                <w:szCs w:val="16"/>
              </w:rPr>
            </w:pPr>
          </w:p>
        </w:tc>
      </w:tr>
      <w:tr w:rsidR="003241AD" w14:paraId="4C66E628" w14:textId="77777777" w:rsidTr="003744EB">
        <w:tc>
          <w:tcPr>
            <w:tcW w:w="2621" w:type="pct"/>
          </w:tcPr>
          <w:p w14:paraId="08578068"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Doody TM and Overton IC (2008) Tree Health Assessment of the Gol Gol Lake, Swamp and Creek: River Murray Floodplain, Mildura. CSIRO Water for a Healthy Country Technical Report prepared for the New South Wales Lower Murray-Darling Catchment Management Authority.</w:t>
            </w:r>
          </w:p>
        </w:tc>
        <w:tc>
          <w:tcPr>
            <w:tcW w:w="2379" w:type="pct"/>
            <w:vAlign w:val="center"/>
          </w:tcPr>
          <w:p w14:paraId="1FE5C297" w14:textId="77777777" w:rsidR="003241AD" w:rsidRDefault="003241AD" w:rsidP="003744EB">
            <w:pPr>
              <w:pStyle w:val="Tabletext"/>
            </w:pPr>
          </w:p>
        </w:tc>
      </w:tr>
      <w:tr w:rsidR="003241AD" w14:paraId="4A3C4BBD" w14:textId="77777777" w:rsidTr="003744EB">
        <w:tc>
          <w:tcPr>
            <w:tcW w:w="2621" w:type="pct"/>
          </w:tcPr>
          <w:p w14:paraId="22987B6D"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Overton IC (2013) Methods to Assess Environmental Flow and Groundwater Management Scenarios for Floodplain Tree Health in the Lower River Murray. PhD Thesis, Department of Soil and Water, U</w:t>
            </w:r>
            <w:r>
              <w:rPr>
                <w:rFonts w:ascii="Arial" w:hAnsi="Arial" w:cstheme="minorBidi"/>
                <w:sz w:val="18"/>
                <w:szCs w:val="16"/>
                <w:lang w:val="en-GB" w:eastAsia="en-US"/>
              </w:rPr>
              <w:t>niversity of Adelaide. pp. 355.</w:t>
            </w:r>
          </w:p>
        </w:tc>
        <w:tc>
          <w:tcPr>
            <w:tcW w:w="2379" w:type="pct"/>
            <w:vAlign w:val="center"/>
          </w:tcPr>
          <w:p w14:paraId="4EC3D7D8" w14:textId="77777777" w:rsidR="003241AD" w:rsidRDefault="003241AD" w:rsidP="003744EB">
            <w:pPr>
              <w:pStyle w:val="NormalWeb"/>
              <w:spacing w:before="0" w:beforeAutospacing="0" w:after="0" w:afterAutospacing="0"/>
            </w:pPr>
            <w:r w:rsidRPr="00AD3848">
              <w:rPr>
                <w:rFonts w:ascii="Arial" w:hAnsi="Arial" w:cstheme="minorBidi"/>
                <w:sz w:val="18"/>
                <w:szCs w:val="16"/>
                <w:lang w:val="en-GB" w:eastAsia="en-US"/>
              </w:rPr>
              <w:t xml:space="preserve">Investigates the major causes of floodplain tree decline and develops methods for predicting the spatial impacts on floodplain tree health from a range of management scenarios. Addresses surface water and groundwater changes at the regional scale of the lower River Murray. </w:t>
            </w:r>
          </w:p>
        </w:tc>
      </w:tr>
    </w:tbl>
    <w:p w14:paraId="435A16CD" w14:textId="77777777" w:rsidR="00781A70" w:rsidRDefault="00781A70" w:rsidP="00781A70">
      <w:pPr>
        <w:pStyle w:val="Bodysubheading"/>
        <w:ind w:left="0"/>
        <w:jc w:val="both"/>
        <w:rPr>
          <w:sz w:val="24"/>
        </w:rPr>
      </w:pPr>
    </w:p>
    <w:p w14:paraId="06327C70" w14:textId="1466B5D3" w:rsidR="003241AD" w:rsidRPr="00CF7B7F" w:rsidRDefault="003241AD" w:rsidP="00244456">
      <w:pPr>
        <w:pStyle w:val="Bodysubheading"/>
        <w:ind w:left="0"/>
        <w:jc w:val="both"/>
      </w:pPr>
      <w:r w:rsidRPr="00CF7B7F">
        <w:rPr>
          <w:sz w:val="24"/>
        </w:rPr>
        <w:t>Developing Management Objectives and Targets</w:t>
      </w:r>
    </w:p>
    <w:tbl>
      <w:tblPr>
        <w:tblStyle w:val="TableGrid"/>
        <w:tblW w:w="4963"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5154"/>
        <w:gridCol w:w="4679"/>
      </w:tblGrid>
      <w:tr w:rsidR="003241AD" w14:paraId="5D0422ED" w14:textId="77777777" w:rsidTr="003744EB">
        <w:trPr>
          <w:tblHeader/>
        </w:trPr>
        <w:tc>
          <w:tcPr>
            <w:tcW w:w="2621" w:type="pct"/>
            <w:tcBorders>
              <w:right w:val="single" w:sz="4" w:space="0" w:color="FFFFFF" w:themeColor="background1"/>
            </w:tcBorders>
            <w:shd w:val="clear" w:color="auto" w:fill="65876D" w:themeFill="accent4" w:themeFillShade="BF"/>
          </w:tcPr>
          <w:p w14:paraId="59DC81F1" w14:textId="77777777" w:rsidR="003241AD" w:rsidRPr="00AD3848" w:rsidRDefault="003241AD" w:rsidP="003744EB">
            <w:pPr>
              <w:pStyle w:val="Tableheading"/>
              <w:rPr>
                <w:color w:val="FFFFFF" w:themeColor="background1"/>
              </w:rPr>
            </w:pPr>
            <w:r w:rsidRPr="00AD3848">
              <w:rPr>
                <w:color w:val="FFFFFF" w:themeColor="background1"/>
              </w:rPr>
              <w:t>Reference</w:t>
            </w:r>
          </w:p>
        </w:tc>
        <w:tc>
          <w:tcPr>
            <w:tcW w:w="2379" w:type="pct"/>
            <w:tcBorders>
              <w:left w:val="single" w:sz="4" w:space="0" w:color="FFFFFF" w:themeColor="background1"/>
            </w:tcBorders>
            <w:shd w:val="clear" w:color="auto" w:fill="65876D" w:themeFill="accent4" w:themeFillShade="BF"/>
          </w:tcPr>
          <w:p w14:paraId="7B71EFA9" w14:textId="77777777" w:rsidR="003241AD" w:rsidRPr="00AD3848" w:rsidRDefault="003241AD" w:rsidP="003744EB">
            <w:pPr>
              <w:pStyle w:val="Tableheading"/>
              <w:rPr>
                <w:color w:val="FFFFFF" w:themeColor="background1"/>
              </w:rPr>
            </w:pPr>
            <w:r w:rsidRPr="00AD3848">
              <w:rPr>
                <w:color w:val="FFFFFF" w:themeColor="background1"/>
              </w:rPr>
              <w:t>Description</w:t>
            </w:r>
          </w:p>
        </w:tc>
      </w:tr>
      <w:tr w:rsidR="003241AD" w14:paraId="75AEDEEF" w14:textId="77777777" w:rsidTr="003744EB">
        <w:tc>
          <w:tcPr>
            <w:tcW w:w="2621" w:type="pct"/>
            <w:vAlign w:val="center"/>
          </w:tcPr>
          <w:p w14:paraId="02BCB3BF"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Murray-Darling Basin Authority (MDBA), 2014, Basin-wide environmental watering strategy, MDBA on behalf of the Commonwealth of Australia, Canberra, ACT.</w:t>
            </w:r>
          </w:p>
        </w:tc>
        <w:tc>
          <w:tcPr>
            <w:tcW w:w="2379" w:type="pct"/>
            <w:vAlign w:val="center"/>
          </w:tcPr>
          <w:p w14:paraId="1C484B1B" w14:textId="77777777" w:rsidR="003241AD" w:rsidRPr="00AD3848" w:rsidRDefault="003241AD" w:rsidP="003744EB">
            <w:pPr>
              <w:pStyle w:val="NormalWeb"/>
              <w:spacing w:before="0" w:beforeAutospacing="0" w:after="0" w:afterAutospacing="0"/>
              <w:rPr>
                <w:rFonts w:ascii="Arial" w:hAnsi="Arial" w:cstheme="minorBidi"/>
                <w:sz w:val="18"/>
                <w:szCs w:val="16"/>
                <w:lang w:val="en-GB" w:eastAsia="en-US"/>
              </w:rPr>
            </w:pPr>
            <w:r w:rsidRPr="00AD3848">
              <w:rPr>
                <w:rFonts w:ascii="Arial" w:hAnsi="Arial" w:cstheme="minorBidi"/>
                <w:sz w:val="18"/>
                <w:szCs w:val="16"/>
                <w:lang w:val="en-GB" w:eastAsia="en-US"/>
              </w:rPr>
              <w:t>Provides the basin scale objectives and targets for Black Box, as well as other Basin indicators such as red gum, fish, birds</w:t>
            </w:r>
          </w:p>
          <w:p w14:paraId="1C75FE70" w14:textId="77777777" w:rsidR="003241AD" w:rsidRPr="00AD3848" w:rsidRDefault="005C788A" w:rsidP="003744EB">
            <w:pPr>
              <w:pStyle w:val="NormalWeb"/>
              <w:spacing w:before="0" w:beforeAutospacing="0" w:after="0" w:afterAutospacing="0"/>
              <w:rPr>
                <w:rFonts w:ascii="Arial" w:hAnsi="Arial" w:cstheme="minorBidi"/>
                <w:sz w:val="18"/>
                <w:szCs w:val="16"/>
                <w:lang w:val="en-GB" w:eastAsia="en-US"/>
              </w:rPr>
            </w:pPr>
            <w:hyperlink r:id="rId100" w:history="1">
              <w:r w:rsidR="003241AD" w:rsidRPr="00AD3848">
                <w:rPr>
                  <w:rFonts w:ascii="Arial" w:hAnsi="Arial" w:cstheme="minorBidi"/>
                  <w:sz w:val="18"/>
                  <w:szCs w:val="16"/>
                  <w:lang w:val="en-GB" w:eastAsia="en-US"/>
                </w:rPr>
                <w:t>https://www.mdba.gov.au/sites/default/files/pubs/Final-BWS-Nov14_0816.pdf</w:t>
              </w:r>
            </w:hyperlink>
          </w:p>
        </w:tc>
      </w:tr>
      <w:tr w:rsidR="003241AD" w14:paraId="1D63E407" w14:textId="77777777" w:rsidTr="003744EB">
        <w:tc>
          <w:tcPr>
            <w:tcW w:w="2621" w:type="pct"/>
            <w:vAlign w:val="center"/>
          </w:tcPr>
          <w:p w14:paraId="50AB6545"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Johns C, Reid CJ, Roberts J, Sims N, Doody TM, Overton IC, McGinness H, Rogers K, Campbell C and Gawne B (2009) Native Trees of the River Murray floodplain: Literature Review and Experimental Designs to Examine Effects of Flow Enhancement and Floodwater Retention. Report prepared for the Murray-Darling Basin Authority by the Murray-Darling Freshwater Research Centre.</w:t>
            </w:r>
          </w:p>
        </w:tc>
        <w:tc>
          <w:tcPr>
            <w:tcW w:w="2379" w:type="pct"/>
            <w:vAlign w:val="center"/>
          </w:tcPr>
          <w:p w14:paraId="5A58D803" w14:textId="77777777" w:rsidR="003241AD" w:rsidRPr="00AD3848" w:rsidRDefault="003241AD" w:rsidP="003744EB">
            <w:pPr>
              <w:pStyle w:val="NormalWeb"/>
              <w:spacing w:before="0" w:beforeAutospacing="0" w:after="0" w:afterAutospacing="0"/>
              <w:rPr>
                <w:rFonts w:ascii="Arial" w:hAnsi="Arial" w:cstheme="minorBidi"/>
                <w:sz w:val="18"/>
                <w:szCs w:val="16"/>
                <w:lang w:val="en-GB" w:eastAsia="en-US"/>
              </w:rPr>
            </w:pPr>
            <w:r w:rsidRPr="00AD3848">
              <w:rPr>
                <w:rFonts w:ascii="Arial" w:hAnsi="Arial" w:cstheme="minorBidi"/>
                <w:sz w:val="18"/>
                <w:szCs w:val="16"/>
                <w:lang w:val="en-GB" w:eastAsia="en-US"/>
              </w:rPr>
              <w:t xml:space="preserve">Reviews the effects that management interventions (particularly flow enhancement and retaining water on floodplains) will have on creation and maintenance of habitat suitable for germination, growth, health, and recruitment of native trees and weed species. </w:t>
            </w:r>
          </w:p>
        </w:tc>
      </w:tr>
      <w:tr w:rsidR="003241AD" w14:paraId="6680F922" w14:textId="77777777" w:rsidTr="003744EB">
        <w:tc>
          <w:tcPr>
            <w:tcW w:w="2621" w:type="pct"/>
            <w:vAlign w:val="center"/>
          </w:tcPr>
          <w:p w14:paraId="1C2F9A77"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Overton IC and Jolly ID (2004) Integrated Studies of Floodplain Vegetation Health, Saline Groundwater and Flooding on the Chowilla Floodplain South Australia. CSIRO Division of Land and Water, Technical Report No. 20/04. pp.169.</w:t>
            </w:r>
          </w:p>
          <w:p w14:paraId="69458A5D"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p>
        </w:tc>
        <w:tc>
          <w:tcPr>
            <w:tcW w:w="2379" w:type="pct"/>
            <w:vAlign w:val="center"/>
          </w:tcPr>
          <w:p w14:paraId="2BDA0866" w14:textId="46F9EBCA" w:rsidR="003241AD" w:rsidRPr="00AD3848" w:rsidRDefault="003241AD" w:rsidP="003744EB">
            <w:pPr>
              <w:pStyle w:val="NormalWeb"/>
              <w:spacing w:before="0" w:beforeAutospacing="0" w:after="0" w:afterAutospacing="0"/>
              <w:rPr>
                <w:rFonts w:ascii="Arial" w:hAnsi="Arial" w:cstheme="minorBidi"/>
                <w:sz w:val="18"/>
                <w:szCs w:val="16"/>
                <w:lang w:val="en-GB" w:eastAsia="en-US"/>
              </w:rPr>
            </w:pPr>
            <w:r w:rsidRPr="00AD3848">
              <w:rPr>
                <w:rFonts w:ascii="Arial" w:hAnsi="Arial" w:cstheme="minorBidi"/>
                <w:sz w:val="18"/>
                <w:szCs w:val="16"/>
                <w:lang w:val="en-GB" w:eastAsia="en-US"/>
              </w:rPr>
              <w:t xml:space="preserve">Describes options for environmental flow management and groundwater manipulation in addressing issues of the health of native floodplain vegetation and salt loads to the river. Describes various modelling techniques to determine soil salinisation processes and its impact on vegetation </w:t>
            </w:r>
            <w:r w:rsidR="005C4005" w:rsidRPr="00AD3848">
              <w:rPr>
                <w:rFonts w:ascii="Arial" w:hAnsi="Arial" w:cstheme="minorBidi"/>
                <w:sz w:val="18"/>
                <w:szCs w:val="16"/>
                <w:lang w:val="en-GB" w:eastAsia="en-US"/>
              </w:rPr>
              <w:t>health and</w:t>
            </w:r>
            <w:r w:rsidRPr="00AD3848">
              <w:rPr>
                <w:rFonts w:ascii="Arial" w:hAnsi="Arial" w:cstheme="minorBidi"/>
                <w:sz w:val="18"/>
                <w:szCs w:val="16"/>
                <w:lang w:val="en-GB" w:eastAsia="en-US"/>
              </w:rPr>
              <w:t xml:space="preserve"> predicts impacts from future scenarios on vegetation health. </w:t>
            </w:r>
          </w:p>
        </w:tc>
      </w:tr>
      <w:tr w:rsidR="003241AD" w14:paraId="504E1A04" w14:textId="77777777" w:rsidTr="003744EB">
        <w:tc>
          <w:tcPr>
            <w:tcW w:w="2621" w:type="pct"/>
            <w:vAlign w:val="center"/>
          </w:tcPr>
          <w:p w14:paraId="7CE28383"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Overton IC (2013) Methods to Assess Environmental Flow and Groundwater Management Scenarios for Floodplain Tree Health in the Lower River Murray. PhD Thesis, Department of Soil and Water, U</w:t>
            </w:r>
            <w:r>
              <w:rPr>
                <w:rFonts w:ascii="Arial" w:hAnsi="Arial" w:cstheme="minorBidi"/>
                <w:sz w:val="18"/>
                <w:szCs w:val="16"/>
                <w:lang w:val="en-GB" w:eastAsia="en-US"/>
              </w:rPr>
              <w:t>niversity of Adelaide. pp. 355.</w:t>
            </w:r>
          </w:p>
        </w:tc>
        <w:tc>
          <w:tcPr>
            <w:tcW w:w="2379" w:type="pct"/>
            <w:vAlign w:val="center"/>
          </w:tcPr>
          <w:p w14:paraId="18DC2397" w14:textId="77777777" w:rsidR="003241AD" w:rsidRDefault="003241AD" w:rsidP="003744EB">
            <w:pPr>
              <w:pStyle w:val="Tabletext"/>
            </w:pPr>
            <w:r>
              <w:rPr>
                <w:sz w:val="18"/>
                <w:szCs w:val="16"/>
              </w:rPr>
              <w:t xml:space="preserve">As above </w:t>
            </w:r>
          </w:p>
        </w:tc>
      </w:tr>
      <w:tr w:rsidR="003241AD" w14:paraId="3A0A4401" w14:textId="77777777" w:rsidTr="003744EB">
        <w:tc>
          <w:tcPr>
            <w:tcW w:w="2621" w:type="pct"/>
            <w:vAlign w:val="center"/>
          </w:tcPr>
          <w:p w14:paraId="5F48F434"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106436">
              <w:rPr>
                <w:rFonts w:ascii="Arial" w:hAnsi="Arial" w:cstheme="minorBidi"/>
                <w:sz w:val="18"/>
                <w:szCs w:val="16"/>
                <w:lang w:val="en-GB" w:eastAsia="en-US"/>
              </w:rPr>
              <w:t>Clarke, I. Stokes, Z. and Wallace, R., 2010, Habitat Restoration Planning Guide for Natural Resource Managers, Government of South Australia, through Department of Environment and Natural Resources, Adelaide</w:t>
            </w:r>
          </w:p>
        </w:tc>
        <w:tc>
          <w:tcPr>
            <w:tcW w:w="2379" w:type="pct"/>
            <w:vAlign w:val="center"/>
          </w:tcPr>
          <w:p w14:paraId="0CCD462F" w14:textId="77777777" w:rsidR="003241AD" w:rsidRDefault="003241AD" w:rsidP="003744EB">
            <w:pPr>
              <w:pStyle w:val="Tabletext"/>
              <w:rPr>
                <w:sz w:val="18"/>
                <w:szCs w:val="16"/>
              </w:rPr>
            </w:pPr>
            <w:r>
              <w:rPr>
                <w:sz w:val="18"/>
                <w:szCs w:val="16"/>
              </w:rPr>
              <w:t xml:space="preserve">Provides description of SMART goals, for habitat restoration projects. This information can be applied to developing objectives and targets for Black Box management. </w:t>
            </w:r>
          </w:p>
        </w:tc>
      </w:tr>
    </w:tbl>
    <w:p w14:paraId="2096590E" w14:textId="77777777" w:rsidR="00781A70" w:rsidRDefault="00781A70" w:rsidP="00781A70">
      <w:pPr>
        <w:pStyle w:val="Bodysubheading"/>
        <w:ind w:left="0"/>
        <w:jc w:val="both"/>
        <w:rPr>
          <w:sz w:val="24"/>
        </w:rPr>
      </w:pPr>
    </w:p>
    <w:p w14:paraId="36DFA66B" w14:textId="27FFEF91" w:rsidR="003241AD" w:rsidRPr="00CF7B7F" w:rsidRDefault="003241AD" w:rsidP="00244456">
      <w:pPr>
        <w:pStyle w:val="Bodysubheading"/>
        <w:ind w:left="0"/>
        <w:jc w:val="both"/>
      </w:pPr>
      <w:r w:rsidRPr="00CF7B7F">
        <w:rPr>
          <w:sz w:val="24"/>
        </w:rPr>
        <w:t>Developing Management Options</w:t>
      </w:r>
    </w:p>
    <w:tbl>
      <w:tblPr>
        <w:tblStyle w:val="TableGrid"/>
        <w:tblW w:w="4963"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5154"/>
        <w:gridCol w:w="4679"/>
      </w:tblGrid>
      <w:tr w:rsidR="003241AD" w14:paraId="4556BB4F" w14:textId="77777777" w:rsidTr="003744EB">
        <w:trPr>
          <w:tblHeader/>
        </w:trPr>
        <w:tc>
          <w:tcPr>
            <w:tcW w:w="2621" w:type="pct"/>
            <w:tcBorders>
              <w:right w:val="single" w:sz="4" w:space="0" w:color="FFFFFF" w:themeColor="background1"/>
            </w:tcBorders>
            <w:shd w:val="clear" w:color="auto" w:fill="65876D" w:themeFill="accent4" w:themeFillShade="BF"/>
          </w:tcPr>
          <w:p w14:paraId="3D00185C" w14:textId="77777777" w:rsidR="003241AD" w:rsidRPr="00AD3848" w:rsidRDefault="003241AD" w:rsidP="003744EB">
            <w:pPr>
              <w:pStyle w:val="Tableheading"/>
              <w:rPr>
                <w:color w:val="FFFFFF" w:themeColor="background1"/>
              </w:rPr>
            </w:pPr>
            <w:r w:rsidRPr="00AD3848">
              <w:rPr>
                <w:color w:val="FFFFFF" w:themeColor="background1"/>
              </w:rPr>
              <w:t>Reference</w:t>
            </w:r>
          </w:p>
        </w:tc>
        <w:tc>
          <w:tcPr>
            <w:tcW w:w="2379" w:type="pct"/>
            <w:tcBorders>
              <w:left w:val="single" w:sz="4" w:space="0" w:color="FFFFFF" w:themeColor="background1"/>
            </w:tcBorders>
            <w:shd w:val="clear" w:color="auto" w:fill="65876D" w:themeFill="accent4" w:themeFillShade="BF"/>
          </w:tcPr>
          <w:p w14:paraId="47B351D2" w14:textId="77777777" w:rsidR="003241AD" w:rsidRPr="00AD3848" w:rsidRDefault="003241AD" w:rsidP="003744EB">
            <w:pPr>
              <w:pStyle w:val="Tableheading"/>
              <w:rPr>
                <w:color w:val="FFFFFF" w:themeColor="background1"/>
              </w:rPr>
            </w:pPr>
            <w:r w:rsidRPr="00AD3848">
              <w:rPr>
                <w:color w:val="FFFFFF" w:themeColor="background1"/>
              </w:rPr>
              <w:t>Description</w:t>
            </w:r>
          </w:p>
        </w:tc>
      </w:tr>
      <w:tr w:rsidR="003241AD" w14:paraId="622FC4E7" w14:textId="77777777" w:rsidTr="003744EB">
        <w:tc>
          <w:tcPr>
            <w:tcW w:w="2621" w:type="pct"/>
            <w:vAlign w:val="center"/>
          </w:tcPr>
          <w:p w14:paraId="2B5C8D42"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Overton IC, Slarke S and Middlemis H (2006) Chowilla Management Options. Report prepared for the South Australian Department of Water, Land and Biodiversity by URS Pty Ltd, CSIRO Land and Water and Aquaterra Pty Ltd. p</w:t>
            </w:r>
            <w:r>
              <w:rPr>
                <w:rFonts w:ascii="Arial" w:hAnsi="Arial" w:cstheme="minorBidi"/>
                <w:sz w:val="18"/>
                <w:szCs w:val="16"/>
                <w:lang w:val="en-GB" w:eastAsia="en-US"/>
              </w:rPr>
              <w:t>p. 141.</w:t>
            </w:r>
          </w:p>
        </w:tc>
        <w:tc>
          <w:tcPr>
            <w:tcW w:w="2379" w:type="pct"/>
            <w:vAlign w:val="center"/>
          </w:tcPr>
          <w:p w14:paraId="18A3E25D" w14:textId="77777777" w:rsidR="003241AD" w:rsidRPr="00AD3848" w:rsidRDefault="003241AD" w:rsidP="003744EB">
            <w:pPr>
              <w:pStyle w:val="NormalWeb"/>
              <w:spacing w:before="0" w:beforeAutospacing="0" w:after="0" w:afterAutospacing="0"/>
              <w:rPr>
                <w:rFonts w:ascii="Arial" w:hAnsi="Arial" w:cstheme="minorBidi"/>
                <w:sz w:val="18"/>
                <w:szCs w:val="16"/>
                <w:lang w:val="en-GB" w:eastAsia="en-US"/>
              </w:rPr>
            </w:pPr>
            <w:r w:rsidRPr="00AD3848">
              <w:rPr>
                <w:rFonts w:ascii="Arial" w:hAnsi="Arial" w:cstheme="minorBidi"/>
                <w:sz w:val="18"/>
                <w:szCs w:val="16"/>
                <w:lang w:val="en-GB" w:eastAsia="en-US"/>
              </w:rPr>
              <w:t>Provides a range of management options, design and costings for a lower River Murray floodplain</w:t>
            </w:r>
          </w:p>
        </w:tc>
      </w:tr>
      <w:tr w:rsidR="003241AD" w14:paraId="7F993A96" w14:textId="77777777" w:rsidTr="003744EB">
        <w:tc>
          <w:tcPr>
            <w:tcW w:w="2621" w:type="pct"/>
            <w:vAlign w:val="center"/>
          </w:tcPr>
          <w:p w14:paraId="5DA1B7D2" w14:textId="576A54DA"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Overton IC and Jolly ID (2008) Vegetation Health Predictions from Management Options on the Murtho, Pike, Gurra and Bookpurnong Floodplains, River Murray. CSIRO Water for a Healthy Country Technical Report prepared for the South Australian Department of Water, Land</w:t>
            </w:r>
            <w:r>
              <w:rPr>
                <w:rFonts w:ascii="Arial" w:hAnsi="Arial" w:cstheme="minorBidi"/>
                <w:sz w:val="18"/>
                <w:szCs w:val="16"/>
                <w:lang w:val="en-GB" w:eastAsia="en-US"/>
              </w:rPr>
              <w:t xml:space="preserve"> and Biodiversity Conservation.</w:t>
            </w:r>
          </w:p>
        </w:tc>
        <w:tc>
          <w:tcPr>
            <w:tcW w:w="2379" w:type="pct"/>
            <w:vAlign w:val="center"/>
          </w:tcPr>
          <w:p w14:paraId="2015CE54" w14:textId="77777777" w:rsidR="003241AD" w:rsidRPr="00AD3848" w:rsidRDefault="003241AD" w:rsidP="003744EB">
            <w:pPr>
              <w:pStyle w:val="NormalWeb"/>
              <w:spacing w:before="0" w:beforeAutospacing="0" w:after="0" w:afterAutospacing="0"/>
              <w:rPr>
                <w:rFonts w:ascii="Arial" w:hAnsi="Arial" w:cstheme="minorBidi"/>
                <w:sz w:val="18"/>
                <w:szCs w:val="16"/>
                <w:lang w:val="en-GB" w:eastAsia="en-US"/>
              </w:rPr>
            </w:pPr>
            <w:r w:rsidRPr="00AD3848">
              <w:rPr>
                <w:rFonts w:ascii="Arial" w:hAnsi="Arial" w:cstheme="minorBidi"/>
                <w:sz w:val="18"/>
                <w:szCs w:val="16"/>
                <w:lang w:val="en-GB" w:eastAsia="en-US"/>
              </w:rPr>
              <w:t>Provides health assessment outcomes from a range of management options in the lower River Murray</w:t>
            </w:r>
          </w:p>
        </w:tc>
      </w:tr>
      <w:tr w:rsidR="003241AD" w14:paraId="4E59636A" w14:textId="77777777" w:rsidTr="003744EB">
        <w:tc>
          <w:tcPr>
            <w:tcW w:w="2621" w:type="pct"/>
            <w:vAlign w:val="center"/>
          </w:tcPr>
          <w:p w14:paraId="34699709" w14:textId="77777777" w:rsidR="003241AD" w:rsidRPr="007602AC" w:rsidRDefault="003241AD" w:rsidP="003744EB">
            <w:pPr>
              <w:pStyle w:val="NormalWeb"/>
              <w:spacing w:before="0" w:beforeAutospacing="0" w:after="0" w:afterAutospacing="0"/>
              <w:ind w:left="450" w:hanging="450"/>
              <w:rPr>
                <w:rFonts w:asciiTheme="minorHAnsi" w:hAnsiTheme="minorHAnsi"/>
                <w:sz w:val="22"/>
                <w:szCs w:val="22"/>
              </w:rPr>
            </w:pPr>
            <w:r w:rsidRPr="00AD3848">
              <w:rPr>
                <w:rFonts w:ascii="Arial" w:hAnsi="Arial" w:cstheme="minorBidi"/>
                <w:sz w:val="18"/>
                <w:szCs w:val="16"/>
                <w:lang w:val="en-GB" w:eastAsia="en-US"/>
              </w:rPr>
              <w:t>Roberts J and Marston F (2011). Water regime for wetland and floodplain plants: a source book for the Murray–Darling Basin, National Water Commission, Canberra.</w:t>
            </w:r>
          </w:p>
        </w:tc>
        <w:tc>
          <w:tcPr>
            <w:tcW w:w="2379" w:type="pct"/>
            <w:vAlign w:val="center"/>
          </w:tcPr>
          <w:p w14:paraId="51D40890" w14:textId="77777777" w:rsidR="003241AD" w:rsidRPr="00AD3848" w:rsidRDefault="003241AD" w:rsidP="003744EB">
            <w:pPr>
              <w:pStyle w:val="NormalWeb"/>
              <w:spacing w:before="0" w:beforeAutospacing="0" w:after="0" w:afterAutospacing="0"/>
              <w:rPr>
                <w:rFonts w:ascii="Arial" w:hAnsi="Arial" w:cstheme="minorBidi"/>
                <w:sz w:val="18"/>
                <w:szCs w:val="16"/>
                <w:lang w:val="en-GB" w:eastAsia="en-US"/>
              </w:rPr>
            </w:pPr>
            <w:r w:rsidRPr="00AD3848">
              <w:rPr>
                <w:rFonts w:ascii="Arial" w:hAnsi="Arial" w:cstheme="minorBidi"/>
                <w:sz w:val="18"/>
                <w:szCs w:val="16"/>
                <w:lang w:val="en-GB" w:eastAsia="en-US"/>
              </w:rPr>
              <w:t xml:space="preserve">A source book which presents information on how water regimes affect the growth, survival and capacity for reproduction of wetland and floodplain plants in the Murray Darling Basin. </w:t>
            </w:r>
          </w:p>
        </w:tc>
      </w:tr>
    </w:tbl>
    <w:p w14:paraId="175C3325" w14:textId="77777777" w:rsidR="003241AD" w:rsidRPr="00106436" w:rsidRDefault="003241AD" w:rsidP="003241AD">
      <w:pPr>
        <w:pStyle w:val="Para0"/>
      </w:pPr>
    </w:p>
    <w:p w14:paraId="4722D640" w14:textId="77777777" w:rsidR="003241AD" w:rsidRPr="00CF7B7F" w:rsidRDefault="003241AD" w:rsidP="00244456">
      <w:pPr>
        <w:pStyle w:val="Bodysubheading"/>
        <w:ind w:left="0"/>
        <w:jc w:val="both"/>
      </w:pPr>
      <w:r w:rsidRPr="00CF7B7F">
        <w:rPr>
          <w:sz w:val="24"/>
        </w:rPr>
        <w:t>Prioritising Management Options</w:t>
      </w:r>
    </w:p>
    <w:tbl>
      <w:tblPr>
        <w:tblStyle w:val="TableGrid"/>
        <w:tblW w:w="4963"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5154"/>
        <w:gridCol w:w="4679"/>
      </w:tblGrid>
      <w:tr w:rsidR="003241AD" w14:paraId="5827FD64" w14:textId="77777777" w:rsidTr="003744EB">
        <w:trPr>
          <w:tblHeader/>
        </w:trPr>
        <w:tc>
          <w:tcPr>
            <w:tcW w:w="2621" w:type="pct"/>
            <w:tcBorders>
              <w:right w:val="single" w:sz="4" w:space="0" w:color="FFFFFF" w:themeColor="background1"/>
            </w:tcBorders>
            <w:shd w:val="clear" w:color="auto" w:fill="65876D" w:themeFill="accent4" w:themeFillShade="BF"/>
          </w:tcPr>
          <w:p w14:paraId="1E823DDA" w14:textId="77777777" w:rsidR="003241AD" w:rsidRPr="00AD3848" w:rsidRDefault="003241AD" w:rsidP="003744EB">
            <w:pPr>
              <w:pStyle w:val="Tableheading"/>
              <w:rPr>
                <w:color w:val="FFFFFF" w:themeColor="background1"/>
              </w:rPr>
            </w:pPr>
            <w:r w:rsidRPr="00AD3848">
              <w:rPr>
                <w:color w:val="FFFFFF" w:themeColor="background1"/>
              </w:rPr>
              <w:t>Reference</w:t>
            </w:r>
          </w:p>
        </w:tc>
        <w:tc>
          <w:tcPr>
            <w:tcW w:w="2379" w:type="pct"/>
            <w:tcBorders>
              <w:left w:val="single" w:sz="4" w:space="0" w:color="FFFFFF" w:themeColor="background1"/>
            </w:tcBorders>
            <w:shd w:val="clear" w:color="auto" w:fill="65876D" w:themeFill="accent4" w:themeFillShade="BF"/>
          </w:tcPr>
          <w:p w14:paraId="058B9D8E" w14:textId="77777777" w:rsidR="003241AD" w:rsidRPr="00AD3848" w:rsidRDefault="003241AD" w:rsidP="003744EB">
            <w:pPr>
              <w:pStyle w:val="Tableheading"/>
              <w:rPr>
                <w:color w:val="FFFFFF" w:themeColor="background1"/>
              </w:rPr>
            </w:pPr>
            <w:r w:rsidRPr="00AD3848">
              <w:rPr>
                <w:color w:val="FFFFFF" w:themeColor="background1"/>
              </w:rPr>
              <w:t>Description</w:t>
            </w:r>
          </w:p>
        </w:tc>
      </w:tr>
      <w:tr w:rsidR="003241AD" w14:paraId="45C9EDDE" w14:textId="77777777" w:rsidTr="003744EB">
        <w:tc>
          <w:tcPr>
            <w:tcW w:w="2621" w:type="pct"/>
          </w:tcPr>
          <w:p w14:paraId="1130D6FF"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Overton IC, Freebairn A, Joehnk K, Mirza F, Barma D, Rahman J, Eaton JD, Gibbs M, Fuller JA, Sims CL, Turnadge C, Cuddy S, Pritchard J, Penton D, Podger G, Blakers RS, Woods JA, Gao L and Adams G (2016) River Murray Decision Support System: Prototype, Goyder Institute for Water Research Technical Report Series No. 16/x, Adelaide, South Australia</w:t>
            </w:r>
            <w:r>
              <w:rPr>
                <w:rFonts w:ascii="Arial" w:hAnsi="Arial" w:cstheme="minorBidi"/>
                <w:sz w:val="18"/>
                <w:szCs w:val="16"/>
                <w:lang w:val="en-GB" w:eastAsia="en-US"/>
              </w:rPr>
              <w:t>.</w:t>
            </w:r>
          </w:p>
        </w:tc>
        <w:tc>
          <w:tcPr>
            <w:tcW w:w="2379" w:type="pct"/>
          </w:tcPr>
          <w:p w14:paraId="19B4BD2C" w14:textId="77777777" w:rsidR="003241AD" w:rsidRDefault="003241AD" w:rsidP="003744EB">
            <w:pPr>
              <w:pStyle w:val="Tabletext"/>
            </w:pPr>
            <w:r w:rsidRPr="00296577">
              <w:rPr>
                <w:sz w:val="18"/>
                <w:szCs w:val="16"/>
              </w:rPr>
              <w:t>Describes a decision support system for analysing and prioritising management scenarios for the River Murray.</w:t>
            </w:r>
            <w:r>
              <w:t xml:space="preserve"> </w:t>
            </w:r>
          </w:p>
        </w:tc>
      </w:tr>
      <w:tr w:rsidR="003241AD" w14:paraId="5D21A023" w14:textId="77777777" w:rsidTr="003744EB">
        <w:tc>
          <w:tcPr>
            <w:tcW w:w="2621" w:type="pct"/>
          </w:tcPr>
          <w:p w14:paraId="6EB72FEB"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Overton IC and Doody TM (2007) Flooding Frequency and Vegetation Health Relationships for Environmental Flows in the River Murray in Victoria. CSIRO Water for a Healthy Country Technical Report prepared for the Victorian En</w:t>
            </w:r>
            <w:r>
              <w:rPr>
                <w:rFonts w:ascii="Arial" w:hAnsi="Arial" w:cstheme="minorBidi"/>
                <w:sz w:val="18"/>
                <w:szCs w:val="16"/>
                <w:lang w:val="en-GB" w:eastAsia="en-US"/>
              </w:rPr>
              <w:t>vironmental Assessment Council.</w:t>
            </w:r>
          </w:p>
        </w:tc>
        <w:tc>
          <w:tcPr>
            <w:tcW w:w="2379" w:type="pct"/>
          </w:tcPr>
          <w:p w14:paraId="04B63526" w14:textId="77777777" w:rsidR="003241AD" w:rsidRDefault="003241AD" w:rsidP="003744EB">
            <w:pPr>
              <w:pStyle w:val="Tabletext"/>
            </w:pPr>
            <w:r w:rsidRPr="00296577">
              <w:rPr>
                <w:sz w:val="18"/>
                <w:szCs w:val="16"/>
              </w:rPr>
              <w:t>A flood index has been developed annually for the whole floodplain which scores the number of ‘natural return periods’ since the last flood. This has been linked to vegetation decline and risk to areas of floodplain vegetation.</w:t>
            </w:r>
            <w:r>
              <w:rPr>
                <w:rFonts w:cs="Arial"/>
                <w:color w:val="111111"/>
                <w:sz w:val="21"/>
                <w:szCs w:val="21"/>
                <w:shd w:val="clear" w:color="auto" w:fill="FFFFFF"/>
              </w:rPr>
              <w:t xml:space="preserve"> </w:t>
            </w:r>
          </w:p>
        </w:tc>
      </w:tr>
      <w:tr w:rsidR="003241AD" w14:paraId="50A40A74" w14:textId="77777777" w:rsidTr="003744EB">
        <w:tc>
          <w:tcPr>
            <w:tcW w:w="2621" w:type="pct"/>
          </w:tcPr>
          <w:p w14:paraId="6E09346E"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Richardson S, Haworth D, Overton IC and Pritchard J (2007) Summary of Floodplain Processes and Possible Changes to Groundwater Conditions and Salt Loads Associated with Floodplain Flow Options. Report prepared for the Mallee Catchment Manage</w:t>
            </w:r>
            <w:r>
              <w:rPr>
                <w:rFonts w:ascii="Arial" w:hAnsi="Arial" w:cstheme="minorBidi"/>
                <w:sz w:val="18"/>
                <w:szCs w:val="16"/>
                <w:lang w:val="en-GB" w:eastAsia="en-US"/>
              </w:rPr>
              <w:t xml:space="preserve">ment Authority by REM Pty Ltd. </w:t>
            </w:r>
          </w:p>
        </w:tc>
        <w:tc>
          <w:tcPr>
            <w:tcW w:w="2379" w:type="pct"/>
          </w:tcPr>
          <w:p w14:paraId="722D585E" w14:textId="7EC89DC5" w:rsidR="003241AD" w:rsidRDefault="00BE098E" w:rsidP="003744EB">
            <w:pPr>
              <w:pStyle w:val="Tabletext"/>
            </w:pPr>
            <w:r w:rsidRPr="00BE098E">
              <w:rPr>
                <w:sz w:val="18"/>
                <w:szCs w:val="16"/>
              </w:rPr>
              <w:t>Summary of processes and management options</w:t>
            </w:r>
          </w:p>
        </w:tc>
      </w:tr>
      <w:tr w:rsidR="003241AD" w14:paraId="638BF2B4" w14:textId="77777777" w:rsidTr="003744EB">
        <w:tc>
          <w:tcPr>
            <w:tcW w:w="2621" w:type="pct"/>
          </w:tcPr>
          <w:p w14:paraId="4031EB2B"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Overton IC (2013) Methods to Assess Environmental Flow and Groundwater Management Scenarios for Floodplain Tree Health in the Lower River Murray. PhD Thesis, Department of Soil and Water, U</w:t>
            </w:r>
            <w:r>
              <w:rPr>
                <w:rFonts w:ascii="Arial" w:hAnsi="Arial" w:cstheme="minorBidi"/>
                <w:sz w:val="18"/>
                <w:szCs w:val="16"/>
                <w:lang w:val="en-GB" w:eastAsia="en-US"/>
              </w:rPr>
              <w:t>niversity of Adelaide. pp. 355.</w:t>
            </w:r>
          </w:p>
        </w:tc>
        <w:tc>
          <w:tcPr>
            <w:tcW w:w="2379" w:type="pct"/>
          </w:tcPr>
          <w:p w14:paraId="5617A118" w14:textId="2EF6E5B1" w:rsidR="003241AD" w:rsidRDefault="00BE098E" w:rsidP="003744EB">
            <w:pPr>
              <w:pStyle w:val="Tabletext"/>
            </w:pPr>
            <w:r w:rsidRPr="00BE098E">
              <w:rPr>
                <w:sz w:val="18"/>
                <w:szCs w:val="16"/>
              </w:rPr>
              <w:t>Tree health processes and management options on the River Murray floodplain</w:t>
            </w:r>
          </w:p>
        </w:tc>
      </w:tr>
      <w:tr w:rsidR="003241AD" w14:paraId="4C72C9E9" w14:textId="77777777" w:rsidTr="003744EB">
        <w:tc>
          <w:tcPr>
            <w:tcW w:w="2621" w:type="pct"/>
          </w:tcPr>
          <w:p w14:paraId="0AEACD31" w14:textId="77777777" w:rsidR="003241AD" w:rsidRPr="00AD3848" w:rsidRDefault="003241AD" w:rsidP="003744EB">
            <w:pPr>
              <w:pStyle w:val="NormalWeb"/>
              <w:spacing w:before="0" w:beforeAutospacing="0" w:after="0" w:afterAutospacing="0"/>
              <w:ind w:left="450" w:hanging="450"/>
              <w:rPr>
                <w:rFonts w:ascii="Arial" w:hAnsi="Arial" w:cstheme="minorBidi"/>
                <w:sz w:val="18"/>
                <w:szCs w:val="16"/>
                <w:lang w:val="en-GB" w:eastAsia="en-US"/>
              </w:rPr>
            </w:pPr>
            <w:r w:rsidRPr="00AD3848">
              <w:rPr>
                <w:rFonts w:ascii="Arial" w:hAnsi="Arial" w:cstheme="minorBidi"/>
                <w:sz w:val="18"/>
                <w:szCs w:val="16"/>
                <w:lang w:val="en-GB" w:eastAsia="en-US"/>
              </w:rPr>
              <w:t>Colloff MJ, Lavorel S, Wise RM, Dunlop M, Overton IC and Williams KJ (2015) Adaptation Services of Floodplains and Wetlands Under Climate Change. Ecological Applications 26(4): 1003-1017</w:t>
            </w:r>
            <w:r>
              <w:rPr>
                <w:rFonts w:ascii="Arial" w:hAnsi="Arial" w:cstheme="minorBidi"/>
                <w:sz w:val="18"/>
                <w:szCs w:val="16"/>
                <w:lang w:val="en-GB" w:eastAsia="en-US"/>
              </w:rPr>
              <w:t>, DOI: 10.1890/1815-0848.1891.</w:t>
            </w:r>
          </w:p>
        </w:tc>
        <w:tc>
          <w:tcPr>
            <w:tcW w:w="2379" w:type="pct"/>
          </w:tcPr>
          <w:p w14:paraId="6CCE968E" w14:textId="77777777" w:rsidR="003241AD" w:rsidRDefault="003241AD" w:rsidP="003744EB">
            <w:pPr>
              <w:pStyle w:val="Tabletext"/>
            </w:pPr>
            <w:r>
              <w:rPr>
                <w:rFonts w:cs="Arial"/>
                <w:color w:val="000000"/>
                <w:szCs w:val="20"/>
                <w:shd w:val="clear" w:color="auto" w:fill="FFFFFF"/>
              </w:rPr>
              <w:t xml:space="preserve">Presents a case study from the Murray-Darling Basin, for operationalizing the adaptation services concept for floodplains and wetlands, predicting large changes to floodplain ecosystems as a result of climate change induced changes to flow and flood regimes. </w:t>
            </w:r>
          </w:p>
        </w:tc>
      </w:tr>
    </w:tbl>
    <w:p w14:paraId="76BA4A67" w14:textId="77777777" w:rsidR="003241AD" w:rsidRPr="00F87434" w:rsidRDefault="003241AD" w:rsidP="005972ED">
      <w:pPr>
        <w:pStyle w:val="Para0"/>
        <w:ind w:left="567" w:hanging="567"/>
        <w:rPr>
          <w:i/>
        </w:rPr>
      </w:pPr>
    </w:p>
    <w:p w14:paraId="18A5C7EC" w14:textId="77777777" w:rsidR="001E3552" w:rsidRPr="001E3552" w:rsidRDefault="001E3552" w:rsidP="001E3552">
      <w:pPr>
        <w:pStyle w:val="Para0"/>
      </w:pPr>
    </w:p>
    <w:p w14:paraId="3CCEE8E3" w14:textId="77777777" w:rsidR="00DD52EC" w:rsidRDefault="00DD52EC" w:rsidP="00DD52EC">
      <w:pPr>
        <w:pStyle w:val="CommentText"/>
        <w:rPr>
          <w:rFonts w:ascii="TimesNewRomanPSMT" w:hAnsi="TimesNewRomanPSMT" w:cs="TimesNewRomanPSMT"/>
          <w:sz w:val="22"/>
          <w:szCs w:val="22"/>
        </w:rPr>
      </w:pPr>
    </w:p>
    <w:p w14:paraId="05820A86" w14:textId="77777777" w:rsidR="00DD52EC" w:rsidRDefault="00DD52EC" w:rsidP="00DD52EC">
      <w:pPr>
        <w:pStyle w:val="CommentText"/>
        <w:rPr>
          <w:rFonts w:asciiTheme="minorHAnsi" w:hAnsiTheme="minorHAnsi"/>
          <w:sz w:val="22"/>
          <w:szCs w:val="22"/>
        </w:rPr>
      </w:pPr>
    </w:p>
    <w:p w14:paraId="3DCCAB64" w14:textId="2ED6C5A6" w:rsidR="002D4BCF" w:rsidRDefault="002D4BCF" w:rsidP="00DD52EC">
      <w:pPr>
        <w:pStyle w:val="Para0"/>
      </w:pPr>
    </w:p>
    <w:p w14:paraId="00695018" w14:textId="66A739C1" w:rsidR="002D4BCF" w:rsidRDefault="002D4BCF" w:rsidP="00DD52EC">
      <w:pPr>
        <w:pStyle w:val="Para0"/>
      </w:pPr>
    </w:p>
    <w:p w14:paraId="55C64E0C" w14:textId="7C0AEFA2" w:rsidR="00D637C7" w:rsidRPr="00D637C7" w:rsidRDefault="00D637C7" w:rsidP="00D637C7">
      <w:pPr>
        <w:pStyle w:val="Heading9"/>
        <w:numPr>
          <w:ilvl w:val="0"/>
          <w:numId w:val="8"/>
        </w:numPr>
        <w:spacing w:after="0" w:line="240" w:lineRule="auto"/>
        <w:ind w:left="1985" w:hanging="1985"/>
        <w:rPr>
          <w:color w:val="65876D" w:themeColor="accent4" w:themeShade="BF"/>
        </w:rPr>
      </w:pPr>
      <w:bookmarkStart w:id="322" w:name="_Toc468885420"/>
      <w:bookmarkStart w:id="323" w:name="_Toc510785221"/>
      <w:bookmarkStart w:id="324" w:name="_Ref463597305"/>
      <w:bookmarkStart w:id="325" w:name="_Ref463606095"/>
      <w:bookmarkStart w:id="326" w:name="_Toc464486748"/>
      <w:r w:rsidRPr="00D637C7">
        <w:rPr>
          <w:color w:val="65876D" w:themeColor="accent4" w:themeShade="BF"/>
        </w:rPr>
        <w:t xml:space="preserve">A </w:t>
      </w:r>
      <w:r w:rsidR="00781A70">
        <w:rPr>
          <w:color w:val="65876D" w:themeColor="accent4" w:themeShade="BF"/>
        </w:rPr>
        <w:t>S</w:t>
      </w:r>
      <w:r w:rsidRPr="00D637C7">
        <w:rPr>
          <w:color w:val="65876D" w:themeColor="accent4" w:themeShade="BF"/>
        </w:rPr>
        <w:t xml:space="preserve">ummary of Black Box </w:t>
      </w:r>
      <w:r w:rsidR="00781A70">
        <w:rPr>
          <w:color w:val="65876D" w:themeColor="accent4" w:themeShade="BF"/>
        </w:rPr>
        <w:t>N</w:t>
      </w:r>
      <w:r w:rsidRPr="00D637C7">
        <w:rPr>
          <w:color w:val="65876D" w:themeColor="accent4" w:themeShade="BF"/>
        </w:rPr>
        <w:t xml:space="preserve">eeds, </w:t>
      </w:r>
      <w:r w:rsidR="00781A70">
        <w:rPr>
          <w:color w:val="65876D" w:themeColor="accent4" w:themeShade="BF"/>
        </w:rPr>
        <w:t>S</w:t>
      </w:r>
      <w:r w:rsidRPr="00D637C7">
        <w:rPr>
          <w:color w:val="65876D" w:themeColor="accent4" w:themeShade="BF"/>
        </w:rPr>
        <w:t xml:space="preserve">tressors and </w:t>
      </w:r>
      <w:r w:rsidR="00781A70">
        <w:rPr>
          <w:color w:val="65876D" w:themeColor="accent4" w:themeShade="BF"/>
        </w:rPr>
        <w:t>I</w:t>
      </w:r>
      <w:r w:rsidRPr="00D637C7">
        <w:rPr>
          <w:color w:val="65876D" w:themeColor="accent4" w:themeShade="BF"/>
        </w:rPr>
        <w:t>ndicators</w:t>
      </w:r>
      <w:bookmarkEnd w:id="322"/>
      <w:bookmarkEnd w:id="323"/>
    </w:p>
    <w:bookmarkStart w:id="327" w:name="_Toc463540788"/>
    <w:bookmarkStart w:id="328" w:name="_Toc463540896"/>
    <w:bookmarkStart w:id="329" w:name="_Toc463540789"/>
    <w:bookmarkStart w:id="330" w:name="_Toc463540897"/>
    <w:bookmarkStart w:id="331" w:name="_Toc463540871"/>
    <w:bookmarkStart w:id="332" w:name="_Toc463540979"/>
    <w:bookmarkEnd w:id="324"/>
    <w:bookmarkEnd w:id="325"/>
    <w:bookmarkEnd w:id="326"/>
    <w:bookmarkEnd w:id="327"/>
    <w:bookmarkEnd w:id="328"/>
    <w:bookmarkEnd w:id="329"/>
    <w:bookmarkEnd w:id="330"/>
    <w:bookmarkEnd w:id="331"/>
    <w:bookmarkEnd w:id="332"/>
    <w:p w14:paraId="33ACFB27" w14:textId="165EFC4A" w:rsidR="00EA2DC6" w:rsidRPr="00EA2DC6" w:rsidRDefault="00EA2DC6" w:rsidP="00EA2DC6">
      <w:pPr>
        <w:spacing w:before="240" w:after="120"/>
        <w:rPr>
          <w:color w:val="000000" w:themeColor="text1"/>
        </w:rPr>
      </w:pPr>
      <w:r w:rsidRPr="00EE61C2">
        <w:rPr>
          <w:color w:val="000000" w:themeColor="text1"/>
        </w:rPr>
        <w:fldChar w:fldCharType="begin"/>
      </w:r>
      <w:r w:rsidRPr="00EE61C2">
        <w:rPr>
          <w:color w:val="000000" w:themeColor="text1"/>
        </w:rPr>
        <w:instrText xml:space="preserve"> REF _Ref463541063 \h  \* MERGEFORMAT </w:instrText>
      </w:r>
      <w:r w:rsidRPr="00EE61C2">
        <w:rPr>
          <w:color w:val="000000" w:themeColor="text1"/>
        </w:rPr>
      </w:r>
      <w:r w:rsidRPr="00EE61C2">
        <w:rPr>
          <w:color w:val="000000" w:themeColor="text1"/>
        </w:rPr>
        <w:fldChar w:fldCharType="separate"/>
      </w:r>
      <w:r w:rsidR="00BF015B" w:rsidRPr="00EA2DC6">
        <w:t xml:space="preserve">Table </w:t>
      </w:r>
      <w:r w:rsidR="00BF015B">
        <w:rPr>
          <w:noProof/>
        </w:rPr>
        <w:t>7</w:t>
      </w:r>
      <w:r w:rsidR="00BF015B">
        <w:rPr>
          <w:noProof/>
        </w:rPr>
        <w:noBreakHyphen/>
        <w:t>1</w:t>
      </w:r>
      <w:r w:rsidRPr="00EE61C2">
        <w:rPr>
          <w:color w:val="000000" w:themeColor="text1"/>
        </w:rPr>
        <w:fldChar w:fldCharType="end"/>
      </w:r>
      <w:r w:rsidRPr="00EA2DC6">
        <w:rPr>
          <w:color w:val="000000" w:themeColor="text1"/>
        </w:rPr>
        <w:t xml:space="preserve"> summarises the needs of Black Box together with associated stressors and potential indicators. Elements of this table were compiled in the review by Casanova (2014), and this information has been provided with linked references to facilitate further investigation. </w:t>
      </w:r>
    </w:p>
    <w:p w14:paraId="0E2BC403" w14:textId="77777777" w:rsidR="00EA2DC6" w:rsidRPr="00EA2DC6" w:rsidRDefault="00EA2DC6" w:rsidP="00EA2DC6">
      <w:pPr>
        <w:spacing w:before="240" w:after="120"/>
        <w:rPr>
          <w:color w:val="000000" w:themeColor="text1"/>
        </w:rPr>
      </w:pPr>
    </w:p>
    <w:p w14:paraId="400B6D73" w14:textId="77777777" w:rsidR="00EA2DC6" w:rsidRPr="00EA2DC6" w:rsidRDefault="00EA2DC6" w:rsidP="00EA2DC6">
      <w:pPr>
        <w:spacing w:before="240" w:after="120"/>
        <w:rPr>
          <w:color w:val="000000" w:themeColor="text1"/>
        </w:rPr>
        <w:sectPr w:rsidR="00EA2DC6" w:rsidRPr="00EA2DC6" w:rsidSect="0015681B">
          <w:pgSz w:w="11901" w:h="16840" w:code="9"/>
          <w:pgMar w:top="567" w:right="851" w:bottom="851" w:left="1134" w:header="567" w:footer="370" w:gutter="0"/>
          <w:cols w:space="0"/>
          <w:formProt w:val="0"/>
          <w:docGrid w:linePitch="360"/>
        </w:sectPr>
      </w:pPr>
    </w:p>
    <w:p w14:paraId="11729DC3" w14:textId="4426CF31" w:rsidR="00EA2DC6" w:rsidRPr="00EA2DC6" w:rsidRDefault="00EA2DC6" w:rsidP="007A45D5">
      <w:pPr>
        <w:pStyle w:val="Caption"/>
      </w:pPr>
      <w:bookmarkStart w:id="333" w:name="_Ref463541063"/>
      <w:bookmarkStart w:id="334" w:name="_Ref463540984"/>
      <w:bookmarkStart w:id="335" w:name="_Toc464486034"/>
      <w:bookmarkStart w:id="336" w:name="_Toc514068801"/>
      <w:r w:rsidRPr="00EA2DC6">
        <w:t xml:space="preserve">Table </w:t>
      </w:r>
      <w:r w:rsidR="002D4BCF">
        <w:fldChar w:fldCharType="begin"/>
      </w:r>
      <w:r w:rsidR="002D4BCF">
        <w:instrText xml:space="preserve"> STYLEREF 1 \s </w:instrText>
      </w:r>
      <w:r w:rsidR="002D4BCF">
        <w:fldChar w:fldCharType="separate"/>
      </w:r>
      <w:r w:rsidR="00BF015B">
        <w:rPr>
          <w:noProof/>
        </w:rPr>
        <w:t>7</w:t>
      </w:r>
      <w:r w:rsidR="002D4BCF">
        <w:fldChar w:fldCharType="end"/>
      </w:r>
      <w:r w:rsidR="002D4BCF">
        <w:noBreakHyphen/>
      </w:r>
      <w:r w:rsidR="002D4BCF">
        <w:fldChar w:fldCharType="begin"/>
      </w:r>
      <w:r w:rsidR="002D4BCF">
        <w:instrText xml:space="preserve"> SEQ Table \* ARABIC \s 1 </w:instrText>
      </w:r>
      <w:r w:rsidR="002D4BCF">
        <w:fldChar w:fldCharType="separate"/>
      </w:r>
      <w:r w:rsidR="00BF015B">
        <w:rPr>
          <w:noProof/>
        </w:rPr>
        <w:t>1</w:t>
      </w:r>
      <w:r w:rsidR="002D4BCF">
        <w:fldChar w:fldCharType="end"/>
      </w:r>
      <w:bookmarkEnd w:id="333"/>
      <w:r w:rsidRPr="00EA2DC6">
        <w:t>: A summary of Black Box needs and example indicators</w:t>
      </w:r>
      <w:bookmarkEnd w:id="334"/>
      <w:bookmarkEnd w:id="335"/>
      <w:bookmarkEnd w:id="336"/>
    </w:p>
    <w:tbl>
      <w:tblPr>
        <w:tblStyle w:val="TableGrid"/>
        <w:tblW w:w="495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686"/>
        <w:gridCol w:w="5883"/>
        <w:gridCol w:w="3501"/>
        <w:gridCol w:w="4216"/>
      </w:tblGrid>
      <w:tr w:rsidR="00EA2DC6" w:rsidRPr="00EA2DC6" w14:paraId="6846D754" w14:textId="77777777" w:rsidTr="00C70D7A">
        <w:trPr>
          <w:tblHeader/>
        </w:trPr>
        <w:tc>
          <w:tcPr>
            <w:tcW w:w="551" w:type="pct"/>
            <w:tcBorders>
              <w:left w:val="single" w:sz="4" w:space="0" w:color="FFFFFF" w:themeColor="background1"/>
              <w:right w:val="single" w:sz="4" w:space="0" w:color="FFFFFF" w:themeColor="background1"/>
            </w:tcBorders>
            <w:shd w:val="clear" w:color="auto" w:fill="65876D" w:themeFill="accent4" w:themeFillShade="BF"/>
          </w:tcPr>
          <w:p w14:paraId="751AF22A" w14:textId="77777777" w:rsidR="00EA2DC6" w:rsidRPr="00EA2DC6" w:rsidRDefault="00EA2DC6" w:rsidP="00EA2DC6">
            <w:pPr>
              <w:keepNext/>
              <w:spacing w:before="100" w:after="100"/>
              <w:rPr>
                <w:rFonts w:ascii="Arial Black" w:hAnsi="Arial Black"/>
                <w:color w:val="FFFFFF" w:themeColor="background1"/>
                <w:sz w:val="16"/>
              </w:rPr>
            </w:pPr>
            <w:r w:rsidRPr="00EA2DC6">
              <w:rPr>
                <w:rFonts w:ascii="Arial Black" w:hAnsi="Arial Black"/>
                <w:color w:val="FFFFFF" w:themeColor="background1"/>
                <w:sz w:val="16"/>
              </w:rPr>
              <w:t>Attribute / function</w:t>
            </w:r>
          </w:p>
        </w:tc>
        <w:tc>
          <w:tcPr>
            <w:tcW w:w="1924" w:type="pct"/>
            <w:tcBorders>
              <w:left w:val="single" w:sz="4" w:space="0" w:color="FFFFFF" w:themeColor="background1"/>
              <w:right w:val="single" w:sz="4" w:space="0" w:color="FFFFFF" w:themeColor="background1"/>
            </w:tcBorders>
            <w:shd w:val="clear" w:color="auto" w:fill="65876D" w:themeFill="accent4" w:themeFillShade="BF"/>
          </w:tcPr>
          <w:p w14:paraId="25C93B88" w14:textId="77777777" w:rsidR="00EA2DC6" w:rsidRPr="00EA2DC6" w:rsidRDefault="00EA2DC6" w:rsidP="00EA2DC6">
            <w:pPr>
              <w:keepNext/>
              <w:spacing w:before="100" w:after="100"/>
              <w:jc w:val="center"/>
              <w:rPr>
                <w:rFonts w:ascii="Arial Black" w:hAnsi="Arial Black"/>
                <w:color w:val="FFFFFF" w:themeColor="background1"/>
                <w:sz w:val="16"/>
              </w:rPr>
            </w:pPr>
            <w:r w:rsidRPr="00EA2DC6">
              <w:rPr>
                <w:rFonts w:ascii="Arial Black" w:hAnsi="Arial Black"/>
                <w:color w:val="FFFFFF" w:themeColor="background1"/>
                <w:sz w:val="16"/>
              </w:rPr>
              <w:t>Comments</w:t>
            </w:r>
          </w:p>
        </w:tc>
        <w:tc>
          <w:tcPr>
            <w:tcW w:w="1145" w:type="pct"/>
            <w:tcBorders>
              <w:left w:val="single" w:sz="4" w:space="0" w:color="FFFFFF" w:themeColor="background1"/>
              <w:right w:val="single" w:sz="4" w:space="0" w:color="FFFFFF" w:themeColor="background1"/>
            </w:tcBorders>
            <w:shd w:val="clear" w:color="auto" w:fill="65876D" w:themeFill="accent4" w:themeFillShade="BF"/>
          </w:tcPr>
          <w:p w14:paraId="33FD9711" w14:textId="77777777" w:rsidR="00EA2DC6" w:rsidRPr="00EA2DC6" w:rsidRDefault="00EA2DC6" w:rsidP="00EA2DC6">
            <w:pPr>
              <w:keepNext/>
              <w:spacing w:before="100" w:after="100"/>
              <w:rPr>
                <w:rFonts w:ascii="Arial Black" w:hAnsi="Arial Black"/>
                <w:color w:val="FFFFFF" w:themeColor="background1"/>
                <w:sz w:val="16"/>
              </w:rPr>
            </w:pPr>
            <w:r w:rsidRPr="00EA2DC6">
              <w:rPr>
                <w:rFonts w:ascii="Arial Black" w:hAnsi="Arial Black"/>
                <w:color w:val="FFFFFF" w:themeColor="background1"/>
                <w:sz w:val="16"/>
              </w:rPr>
              <w:t>Potential stressors</w:t>
            </w:r>
          </w:p>
        </w:tc>
        <w:tc>
          <w:tcPr>
            <w:tcW w:w="1379" w:type="pct"/>
            <w:tcBorders>
              <w:left w:val="single" w:sz="4" w:space="0" w:color="FFFFFF" w:themeColor="background1"/>
              <w:right w:val="single" w:sz="4" w:space="0" w:color="FFFFFF" w:themeColor="background1"/>
            </w:tcBorders>
            <w:shd w:val="clear" w:color="auto" w:fill="65876D" w:themeFill="accent4" w:themeFillShade="BF"/>
          </w:tcPr>
          <w:p w14:paraId="229925AB" w14:textId="77777777" w:rsidR="00EA2DC6" w:rsidRPr="00EA2DC6" w:rsidRDefault="00EA2DC6" w:rsidP="00EA2DC6">
            <w:pPr>
              <w:keepNext/>
              <w:spacing w:before="100" w:after="100"/>
              <w:rPr>
                <w:rFonts w:ascii="Arial Black" w:hAnsi="Arial Black"/>
                <w:color w:val="FFFFFF" w:themeColor="background1"/>
                <w:sz w:val="16"/>
              </w:rPr>
            </w:pPr>
            <w:r w:rsidRPr="00EA2DC6">
              <w:rPr>
                <w:rFonts w:ascii="Arial Black" w:hAnsi="Arial Black"/>
                <w:color w:val="FFFFFF" w:themeColor="background1"/>
                <w:sz w:val="16"/>
              </w:rPr>
              <w:t>Potential indicators</w:t>
            </w:r>
          </w:p>
        </w:tc>
      </w:tr>
      <w:tr w:rsidR="00EA2DC6" w:rsidRPr="00EA2DC6" w14:paraId="3E90DD8D" w14:textId="77777777" w:rsidTr="00C70D7A">
        <w:tc>
          <w:tcPr>
            <w:tcW w:w="551" w:type="pct"/>
          </w:tcPr>
          <w:p w14:paraId="00BF92ED" w14:textId="77777777" w:rsidR="00EA2DC6" w:rsidRPr="00EA2DC6" w:rsidRDefault="00EA2DC6" w:rsidP="00EA2DC6">
            <w:pPr>
              <w:spacing w:before="40" w:after="40"/>
              <w:rPr>
                <w:sz w:val="16"/>
              </w:rPr>
            </w:pPr>
            <w:r w:rsidRPr="00EA2DC6">
              <w:rPr>
                <w:sz w:val="16"/>
              </w:rPr>
              <w:t>Health and condition (mature trees)</w:t>
            </w:r>
          </w:p>
        </w:tc>
        <w:tc>
          <w:tcPr>
            <w:tcW w:w="1924" w:type="pct"/>
          </w:tcPr>
          <w:p w14:paraId="507446AB" w14:textId="77777777" w:rsidR="00EA2DC6" w:rsidRPr="00EA2DC6" w:rsidRDefault="00EA2DC6" w:rsidP="00F22225">
            <w:pPr>
              <w:numPr>
                <w:ilvl w:val="0"/>
                <w:numId w:val="30"/>
              </w:numPr>
              <w:spacing w:before="40" w:after="40"/>
              <w:ind w:left="199" w:hanging="218"/>
              <w:rPr>
                <w:sz w:val="16"/>
              </w:rPr>
            </w:pPr>
            <w:r w:rsidRPr="00EA2DC6">
              <w:rPr>
                <w:color w:val="000000" w:themeColor="text1"/>
                <w:sz w:val="16"/>
              </w:rPr>
              <w:t>Trees take 20-30 years to reach maturity</w:t>
            </w:r>
            <w:r w:rsidRPr="00EA2DC6">
              <w:rPr>
                <w:color w:val="000000" w:themeColor="text1"/>
                <w:sz w:val="16"/>
                <w:vertAlign w:val="superscript"/>
              </w:rPr>
              <w:t>7</w:t>
            </w:r>
            <w:r w:rsidRPr="00EA2DC6">
              <w:rPr>
                <w:color w:val="000000" w:themeColor="text1"/>
                <w:sz w:val="16"/>
              </w:rPr>
              <w:t>, management timelines for this species need to be longer.</w:t>
            </w:r>
          </w:p>
          <w:p w14:paraId="17C7ED49" w14:textId="77777777" w:rsidR="00EA2DC6" w:rsidRPr="00EA2DC6" w:rsidRDefault="00EA2DC6" w:rsidP="00F22225">
            <w:pPr>
              <w:numPr>
                <w:ilvl w:val="0"/>
                <w:numId w:val="30"/>
              </w:numPr>
              <w:spacing w:before="40" w:after="40"/>
              <w:ind w:left="199" w:hanging="218"/>
              <w:rPr>
                <w:sz w:val="16"/>
              </w:rPr>
            </w:pPr>
            <w:r w:rsidRPr="00EA2DC6">
              <w:rPr>
                <w:i/>
                <w:sz w:val="16"/>
              </w:rPr>
              <w:t>For vigorous growth</w:t>
            </w:r>
            <w:r w:rsidRPr="00EA2DC6">
              <w:rPr>
                <w:sz w:val="16"/>
              </w:rPr>
              <w:t>; Flood frequency every 3 to 7 years, depth not critical, duration 3 to 6 months, timing probably not important (natural paradigm</w:t>
            </w:r>
            <w:r w:rsidRPr="00EA2DC6">
              <w:rPr>
                <w:sz w:val="16"/>
                <w:vertAlign w:val="superscript"/>
              </w:rPr>
              <w:t>2</w:t>
            </w:r>
            <w:r w:rsidRPr="00EA2DC6">
              <w:rPr>
                <w:sz w:val="16"/>
              </w:rPr>
              <w:t xml:space="preserve"> should be followed if possible)</w:t>
            </w:r>
          </w:p>
          <w:p w14:paraId="6BE6BC52" w14:textId="4C2ACFB1" w:rsidR="00EA2DC6" w:rsidRPr="00EA2DC6" w:rsidRDefault="00EA2DC6" w:rsidP="00F22225">
            <w:pPr>
              <w:numPr>
                <w:ilvl w:val="0"/>
                <w:numId w:val="30"/>
              </w:numPr>
              <w:spacing w:before="40" w:after="40"/>
              <w:ind w:left="199" w:hanging="218"/>
              <w:rPr>
                <w:sz w:val="16"/>
              </w:rPr>
            </w:pPr>
            <w:r w:rsidRPr="00EA2DC6">
              <w:rPr>
                <w:i/>
                <w:sz w:val="16"/>
              </w:rPr>
              <w:t>For recovery</w:t>
            </w:r>
            <w:r w:rsidRPr="00EA2DC6">
              <w:rPr>
                <w:sz w:val="16"/>
              </w:rPr>
              <w:t>;</w:t>
            </w:r>
            <w:r w:rsidRPr="00EA2DC6">
              <w:rPr>
                <w:i/>
                <w:sz w:val="16"/>
              </w:rPr>
              <w:t xml:space="preserve"> </w:t>
            </w:r>
            <w:r w:rsidRPr="00EA2DC6">
              <w:rPr>
                <w:sz w:val="16"/>
              </w:rPr>
              <w:t>Following a flood in spring-summer additional moisture in first or second year likely to be beneficial</w:t>
            </w:r>
          </w:p>
          <w:p w14:paraId="0DD3757A" w14:textId="0F005906" w:rsidR="00EA2DC6" w:rsidRPr="00EA2DC6" w:rsidRDefault="00EA2DC6" w:rsidP="00F22225">
            <w:pPr>
              <w:numPr>
                <w:ilvl w:val="0"/>
                <w:numId w:val="30"/>
              </w:numPr>
              <w:spacing w:before="40" w:after="40"/>
              <w:ind w:left="199" w:hanging="218"/>
              <w:rPr>
                <w:sz w:val="16"/>
              </w:rPr>
            </w:pPr>
            <w:r w:rsidRPr="00EA2DC6">
              <w:rPr>
                <w:i/>
                <w:sz w:val="16"/>
              </w:rPr>
              <w:t>To maintain critical health</w:t>
            </w:r>
            <w:r w:rsidRPr="00EA2DC6">
              <w:rPr>
                <w:sz w:val="16"/>
              </w:rPr>
              <w:t>; Trees may survive 19 years without flooding, but will be in poor condition with diminished capacity to recover</w:t>
            </w:r>
          </w:p>
          <w:p w14:paraId="044E7B27" w14:textId="77777777" w:rsidR="00EA2DC6" w:rsidRPr="00EA2DC6" w:rsidRDefault="00EA2DC6" w:rsidP="00F22225">
            <w:pPr>
              <w:numPr>
                <w:ilvl w:val="0"/>
                <w:numId w:val="30"/>
              </w:numPr>
              <w:spacing w:before="40" w:after="40"/>
              <w:ind w:left="199" w:hanging="218"/>
              <w:rPr>
                <w:sz w:val="16"/>
              </w:rPr>
            </w:pPr>
            <w:r w:rsidRPr="00EA2DC6">
              <w:rPr>
                <w:sz w:val="16"/>
              </w:rPr>
              <w:t>Water source for Black Box trees is soil moisture from the unsaturated zone</w:t>
            </w:r>
            <w:r w:rsidRPr="00EA2DC6">
              <w:rPr>
                <w:sz w:val="16"/>
                <w:vertAlign w:val="superscript"/>
              </w:rPr>
              <w:t>3</w:t>
            </w:r>
          </w:p>
          <w:p w14:paraId="51D732A0" w14:textId="77777777" w:rsidR="00EA2DC6" w:rsidRPr="00EA2DC6" w:rsidRDefault="00EA2DC6" w:rsidP="00F22225">
            <w:pPr>
              <w:numPr>
                <w:ilvl w:val="0"/>
                <w:numId w:val="30"/>
              </w:numPr>
              <w:spacing w:before="40" w:after="40"/>
              <w:ind w:left="199" w:hanging="218"/>
              <w:rPr>
                <w:sz w:val="16"/>
              </w:rPr>
            </w:pPr>
            <w:r w:rsidRPr="00EA2DC6">
              <w:rPr>
                <w:sz w:val="16"/>
              </w:rPr>
              <w:t>Water regime requirements to transition between condition states are complex.</w:t>
            </w:r>
          </w:p>
          <w:p w14:paraId="47BE0B73" w14:textId="15B1C640" w:rsidR="00EA2DC6" w:rsidRPr="00EA2DC6" w:rsidRDefault="00EA2DC6" w:rsidP="00F22225">
            <w:pPr>
              <w:numPr>
                <w:ilvl w:val="0"/>
                <w:numId w:val="30"/>
              </w:numPr>
              <w:spacing w:before="40" w:after="40"/>
              <w:ind w:left="199" w:hanging="218"/>
              <w:rPr>
                <w:sz w:val="16"/>
              </w:rPr>
            </w:pPr>
            <w:r w:rsidRPr="00EA2DC6">
              <w:rPr>
                <w:sz w:val="16"/>
              </w:rPr>
              <w:t>A soil salinity of 39,000mg/L, and a groundwater salinity of 22,000mg/L, which if exceeded result in the majority of trees (75</w:t>
            </w:r>
            <w:r w:rsidR="00EE61C2">
              <w:rPr>
                <w:sz w:val="16"/>
              </w:rPr>
              <w:t xml:space="preserve"> </w:t>
            </w:r>
            <w:r w:rsidR="006555C0">
              <w:rPr>
                <w:sz w:val="16"/>
              </w:rPr>
              <w:t>percent</w:t>
            </w:r>
            <w:r w:rsidR="006555C0" w:rsidRPr="00EA2DC6">
              <w:rPr>
                <w:sz w:val="16"/>
              </w:rPr>
              <w:t xml:space="preserve">) </w:t>
            </w:r>
            <w:r w:rsidRPr="00EA2DC6">
              <w:rPr>
                <w:sz w:val="16"/>
              </w:rPr>
              <w:t>being unhealthy</w:t>
            </w:r>
            <w:r w:rsidRPr="00EA2DC6">
              <w:rPr>
                <w:sz w:val="16"/>
                <w:vertAlign w:val="superscript"/>
              </w:rPr>
              <w:t>3</w:t>
            </w:r>
          </w:p>
        </w:tc>
        <w:tc>
          <w:tcPr>
            <w:tcW w:w="1145" w:type="pct"/>
          </w:tcPr>
          <w:p w14:paraId="60CA271F" w14:textId="77777777" w:rsidR="00EA2DC6" w:rsidRPr="00EA2DC6" w:rsidRDefault="00EA2DC6" w:rsidP="00F22225">
            <w:pPr>
              <w:numPr>
                <w:ilvl w:val="0"/>
                <w:numId w:val="30"/>
              </w:numPr>
              <w:spacing w:before="40" w:after="40"/>
              <w:ind w:left="199" w:hanging="218"/>
              <w:rPr>
                <w:sz w:val="16"/>
              </w:rPr>
            </w:pPr>
            <w:r w:rsidRPr="00EA2DC6">
              <w:rPr>
                <w:sz w:val="16"/>
              </w:rPr>
              <w:t>Water availability</w:t>
            </w:r>
          </w:p>
          <w:p w14:paraId="464BC320" w14:textId="77777777" w:rsidR="00EA2DC6" w:rsidRPr="00EA2DC6" w:rsidRDefault="00EA2DC6" w:rsidP="00F22225">
            <w:pPr>
              <w:numPr>
                <w:ilvl w:val="0"/>
                <w:numId w:val="30"/>
              </w:numPr>
              <w:spacing w:before="40" w:after="40"/>
              <w:ind w:left="199" w:hanging="218"/>
              <w:rPr>
                <w:sz w:val="16"/>
              </w:rPr>
            </w:pPr>
            <w:r w:rsidRPr="00EA2DC6">
              <w:rPr>
                <w:sz w:val="16"/>
              </w:rPr>
              <w:t>Soil salinisation</w:t>
            </w:r>
          </w:p>
          <w:p w14:paraId="63898DEC" w14:textId="77777777" w:rsidR="00EA2DC6" w:rsidRPr="00EA2DC6" w:rsidRDefault="00EA2DC6" w:rsidP="00F22225">
            <w:pPr>
              <w:numPr>
                <w:ilvl w:val="0"/>
                <w:numId w:val="30"/>
              </w:numPr>
              <w:spacing w:before="40" w:after="40"/>
              <w:ind w:left="199" w:hanging="218"/>
              <w:rPr>
                <w:sz w:val="16"/>
              </w:rPr>
            </w:pPr>
            <w:r w:rsidRPr="00EA2DC6">
              <w:rPr>
                <w:sz w:val="16"/>
              </w:rPr>
              <w:t>Competition</w:t>
            </w:r>
          </w:p>
          <w:p w14:paraId="2F1674C5" w14:textId="77777777" w:rsidR="00EA2DC6" w:rsidRPr="00EA2DC6" w:rsidRDefault="00EA2DC6" w:rsidP="00F22225">
            <w:pPr>
              <w:numPr>
                <w:ilvl w:val="0"/>
                <w:numId w:val="30"/>
              </w:numPr>
              <w:spacing w:before="40" w:after="40"/>
              <w:ind w:left="199" w:hanging="218"/>
              <w:rPr>
                <w:sz w:val="16"/>
              </w:rPr>
            </w:pPr>
            <w:r w:rsidRPr="00EA2DC6">
              <w:rPr>
                <w:sz w:val="16"/>
              </w:rPr>
              <w:t>Herbivory / pathogens</w:t>
            </w:r>
          </w:p>
          <w:p w14:paraId="0B8A81D6" w14:textId="77777777" w:rsidR="00EA2DC6" w:rsidRPr="00EA2DC6" w:rsidRDefault="00EA2DC6" w:rsidP="00F22225">
            <w:pPr>
              <w:numPr>
                <w:ilvl w:val="0"/>
                <w:numId w:val="30"/>
              </w:numPr>
              <w:spacing w:before="40" w:after="40"/>
              <w:ind w:left="199" w:hanging="218"/>
              <w:rPr>
                <w:sz w:val="16"/>
              </w:rPr>
            </w:pPr>
            <w:r w:rsidRPr="00EA2DC6">
              <w:rPr>
                <w:sz w:val="16"/>
              </w:rPr>
              <w:t>Land degradation processes (weeds, grazing, trampling, clearance)</w:t>
            </w:r>
          </w:p>
          <w:p w14:paraId="5BA3A12B" w14:textId="77777777" w:rsidR="00EA2DC6" w:rsidRPr="00EA2DC6" w:rsidRDefault="00EA2DC6" w:rsidP="00F22225">
            <w:pPr>
              <w:numPr>
                <w:ilvl w:val="0"/>
                <w:numId w:val="30"/>
              </w:numPr>
              <w:spacing w:before="40" w:after="40"/>
              <w:ind w:left="199" w:hanging="218"/>
              <w:rPr>
                <w:sz w:val="16"/>
              </w:rPr>
            </w:pPr>
            <w:r w:rsidRPr="00EA2DC6">
              <w:rPr>
                <w:sz w:val="16"/>
              </w:rPr>
              <w:t>Land use / adjacent land use (e.g. agricultural grazing, irrigation)</w:t>
            </w:r>
          </w:p>
        </w:tc>
        <w:tc>
          <w:tcPr>
            <w:tcW w:w="1379" w:type="pct"/>
          </w:tcPr>
          <w:p w14:paraId="2F6AD1D4" w14:textId="77777777" w:rsidR="00EA2DC6" w:rsidRPr="00EA2DC6" w:rsidRDefault="00EA2DC6" w:rsidP="00F22225">
            <w:pPr>
              <w:numPr>
                <w:ilvl w:val="0"/>
                <w:numId w:val="30"/>
              </w:numPr>
              <w:spacing w:before="40" w:after="40"/>
              <w:ind w:left="199" w:hanging="218"/>
              <w:rPr>
                <w:sz w:val="16"/>
              </w:rPr>
            </w:pPr>
            <w:r w:rsidRPr="00EA2DC6">
              <w:rPr>
                <w:b/>
                <w:sz w:val="16"/>
              </w:rPr>
              <w:t>Stand condition indicators</w:t>
            </w:r>
            <w:r w:rsidRPr="00EA2DC6">
              <w:rPr>
                <w:sz w:val="16"/>
              </w:rPr>
              <w:t xml:space="preserve"> (canopy extent and canopy density). </w:t>
            </w:r>
          </w:p>
          <w:p w14:paraId="30007860" w14:textId="46611431" w:rsidR="00EA2DC6" w:rsidRPr="00EA2DC6" w:rsidRDefault="00EA2DC6" w:rsidP="00F22225">
            <w:pPr>
              <w:numPr>
                <w:ilvl w:val="0"/>
                <w:numId w:val="30"/>
              </w:numPr>
              <w:spacing w:before="40" w:after="40"/>
              <w:ind w:left="199" w:hanging="199"/>
              <w:rPr>
                <w:sz w:val="16"/>
              </w:rPr>
            </w:pPr>
            <w:r w:rsidRPr="00EA2DC6">
              <w:rPr>
                <w:b/>
                <w:sz w:val="16"/>
              </w:rPr>
              <w:t>Watering indicators</w:t>
            </w:r>
            <w:r w:rsidRPr="00EA2DC6">
              <w:rPr>
                <w:sz w:val="16"/>
              </w:rPr>
              <w:t xml:space="preserve"> (e.g. soil moisture, frequency and duration of flooding events, rainfall, evapotranspiration, depth to groundwater, </w:t>
            </w:r>
            <w:r w:rsidR="009B3015" w:rsidRPr="00EA2DC6">
              <w:rPr>
                <w:sz w:val="16"/>
              </w:rPr>
              <w:t>and distance</w:t>
            </w:r>
            <w:r w:rsidRPr="00EA2DC6">
              <w:rPr>
                <w:sz w:val="16"/>
              </w:rPr>
              <w:t xml:space="preserve"> from surface water sources).</w:t>
            </w:r>
          </w:p>
          <w:p w14:paraId="1D16C3DC" w14:textId="77777777" w:rsidR="00EA2DC6" w:rsidRPr="00EA2DC6" w:rsidRDefault="00EA2DC6" w:rsidP="00F22225">
            <w:pPr>
              <w:numPr>
                <w:ilvl w:val="0"/>
                <w:numId w:val="30"/>
              </w:numPr>
              <w:spacing w:before="40" w:after="40"/>
              <w:ind w:left="199" w:hanging="218"/>
              <w:rPr>
                <w:sz w:val="16"/>
              </w:rPr>
            </w:pPr>
            <w:r w:rsidRPr="00EA2DC6">
              <w:rPr>
                <w:b/>
                <w:sz w:val="16"/>
              </w:rPr>
              <w:t>Salinity indicators</w:t>
            </w:r>
            <w:r w:rsidRPr="00EA2DC6">
              <w:rPr>
                <w:sz w:val="16"/>
              </w:rPr>
              <w:t xml:space="preserve"> (e.g. salinity of soil / groundwater)</w:t>
            </w:r>
          </w:p>
          <w:p w14:paraId="0D647F41" w14:textId="0B77FBAA" w:rsidR="00EA2DC6" w:rsidRPr="00EA2DC6" w:rsidRDefault="00EA2DC6" w:rsidP="00F22225">
            <w:pPr>
              <w:numPr>
                <w:ilvl w:val="0"/>
                <w:numId w:val="30"/>
              </w:numPr>
              <w:spacing w:before="40" w:after="40"/>
              <w:ind w:left="199" w:hanging="218"/>
              <w:rPr>
                <w:sz w:val="16"/>
              </w:rPr>
            </w:pPr>
            <w:r w:rsidRPr="00EA2DC6">
              <w:rPr>
                <w:b/>
                <w:sz w:val="16"/>
              </w:rPr>
              <w:t>Land degradation / competition indicators</w:t>
            </w:r>
            <w:r w:rsidRPr="00EA2DC6">
              <w:rPr>
                <w:sz w:val="16"/>
              </w:rPr>
              <w:t xml:space="preserve"> (e.g. land clearance rates and areas, weed infestations, proximity to other Black Box </w:t>
            </w:r>
            <w:r w:rsidR="009F6E85">
              <w:rPr>
                <w:sz w:val="16"/>
              </w:rPr>
              <w:t>units</w:t>
            </w:r>
            <w:r w:rsidRPr="00EA2DC6">
              <w:rPr>
                <w:sz w:val="16"/>
              </w:rPr>
              <w:t>).</w:t>
            </w:r>
          </w:p>
          <w:p w14:paraId="63729A28" w14:textId="77777777" w:rsidR="00EA2DC6" w:rsidRPr="00EA2DC6" w:rsidRDefault="00EA2DC6" w:rsidP="00F22225">
            <w:pPr>
              <w:numPr>
                <w:ilvl w:val="0"/>
                <w:numId w:val="30"/>
              </w:numPr>
              <w:spacing w:before="40" w:after="40"/>
              <w:ind w:left="199" w:hanging="218"/>
              <w:rPr>
                <w:sz w:val="16"/>
              </w:rPr>
            </w:pPr>
            <w:r w:rsidRPr="00EA2DC6">
              <w:rPr>
                <w:b/>
                <w:sz w:val="16"/>
              </w:rPr>
              <w:t>Land use indicators;</w:t>
            </w:r>
            <w:r w:rsidRPr="00EA2DC6">
              <w:rPr>
                <w:sz w:val="16"/>
              </w:rPr>
              <w:t xml:space="preserve"> zoned land use for region</w:t>
            </w:r>
          </w:p>
        </w:tc>
      </w:tr>
      <w:tr w:rsidR="00EA2DC6" w:rsidRPr="00EA2DC6" w14:paraId="57202E05" w14:textId="77777777" w:rsidTr="00C70D7A">
        <w:tc>
          <w:tcPr>
            <w:tcW w:w="551" w:type="pct"/>
          </w:tcPr>
          <w:p w14:paraId="56904F13" w14:textId="77777777" w:rsidR="00EA2DC6" w:rsidRPr="00EA2DC6" w:rsidRDefault="00EA2DC6" w:rsidP="00EA2DC6">
            <w:pPr>
              <w:spacing w:before="40" w:after="40"/>
              <w:rPr>
                <w:sz w:val="16"/>
              </w:rPr>
            </w:pPr>
            <w:r w:rsidRPr="00EA2DC6">
              <w:rPr>
                <w:sz w:val="16"/>
              </w:rPr>
              <w:t>Reproduction (flowering, seed production, dispersal, germination)</w:t>
            </w:r>
          </w:p>
        </w:tc>
        <w:tc>
          <w:tcPr>
            <w:tcW w:w="1924" w:type="pct"/>
          </w:tcPr>
          <w:p w14:paraId="79367878" w14:textId="77777777" w:rsidR="00EA2DC6" w:rsidRPr="00EA2DC6" w:rsidRDefault="00EA2DC6" w:rsidP="00F22225">
            <w:pPr>
              <w:numPr>
                <w:ilvl w:val="0"/>
                <w:numId w:val="30"/>
              </w:numPr>
              <w:spacing w:before="40" w:after="40"/>
              <w:ind w:left="199" w:hanging="218"/>
              <w:rPr>
                <w:sz w:val="16"/>
              </w:rPr>
            </w:pPr>
            <w:r w:rsidRPr="00EA2DC6">
              <w:rPr>
                <w:sz w:val="16"/>
              </w:rPr>
              <w:t>Can flower more than once a year in response to flooding, irrespective of the season although the amount of flowering / viability of seed is dependent on tree condition</w:t>
            </w:r>
          </w:p>
          <w:p w14:paraId="39B89B5D" w14:textId="77777777" w:rsidR="00EA2DC6" w:rsidRPr="00EA2DC6" w:rsidRDefault="00EA2DC6" w:rsidP="00F22225">
            <w:pPr>
              <w:numPr>
                <w:ilvl w:val="0"/>
                <w:numId w:val="30"/>
              </w:numPr>
              <w:spacing w:before="40" w:after="40"/>
              <w:ind w:left="199" w:hanging="218"/>
              <w:rPr>
                <w:sz w:val="16"/>
              </w:rPr>
            </w:pPr>
            <w:r w:rsidRPr="00EA2DC6">
              <w:rPr>
                <w:rFonts w:cs="Arial"/>
                <w:sz w:val="16"/>
                <w:szCs w:val="20"/>
              </w:rPr>
              <w:t>Timing of flowering and seed fall varies across the Basin; nominally August to January but has been reported May to October at Chowilla, SA</w:t>
            </w:r>
            <w:r w:rsidRPr="00EA2DC6">
              <w:rPr>
                <w:rFonts w:cs="Arial"/>
                <w:sz w:val="16"/>
                <w:szCs w:val="20"/>
                <w:vertAlign w:val="superscript"/>
              </w:rPr>
              <w:t>5</w:t>
            </w:r>
          </w:p>
          <w:p w14:paraId="7A2D1DB7" w14:textId="77777777" w:rsidR="00EA2DC6" w:rsidRPr="00EA2DC6" w:rsidRDefault="00EA2DC6" w:rsidP="00F22225">
            <w:pPr>
              <w:numPr>
                <w:ilvl w:val="0"/>
                <w:numId w:val="30"/>
              </w:numPr>
              <w:spacing w:before="40" w:after="40"/>
              <w:ind w:left="199" w:hanging="218"/>
              <w:rPr>
                <w:sz w:val="16"/>
              </w:rPr>
            </w:pPr>
            <w:r w:rsidRPr="00EA2DC6">
              <w:rPr>
                <w:sz w:val="16"/>
              </w:rPr>
              <w:t>Capable of abundant flowering and high reproductive effort once restored to intermediate condtition</w:t>
            </w:r>
            <w:r w:rsidRPr="00EA2DC6">
              <w:rPr>
                <w:sz w:val="16"/>
                <w:vertAlign w:val="superscript"/>
              </w:rPr>
              <w:t>6</w:t>
            </w:r>
          </w:p>
          <w:p w14:paraId="2FD9FB01" w14:textId="77777777" w:rsidR="00EA2DC6" w:rsidRPr="00EA2DC6" w:rsidRDefault="00EA2DC6" w:rsidP="00F22225">
            <w:pPr>
              <w:numPr>
                <w:ilvl w:val="0"/>
                <w:numId w:val="30"/>
              </w:numPr>
              <w:spacing w:before="40" w:after="40"/>
              <w:ind w:left="199" w:hanging="218"/>
              <w:rPr>
                <w:sz w:val="16"/>
              </w:rPr>
            </w:pPr>
            <w:r w:rsidRPr="00EA2DC6">
              <w:rPr>
                <w:sz w:val="16"/>
              </w:rPr>
              <w:t>Seed production is dependent on tree condition and prior seasons watering</w:t>
            </w:r>
          </w:p>
          <w:p w14:paraId="587F2336" w14:textId="77777777" w:rsidR="00EA2DC6" w:rsidRPr="00EA2DC6" w:rsidRDefault="00EA2DC6" w:rsidP="00F22225">
            <w:pPr>
              <w:numPr>
                <w:ilvl w:val="0"/>
                <w:numId w:val="30"/>
              </w:numPr>
              <w:spacing w:before="40" w:after="40"/>
              <w:ind w:left="199" w:hanging="218"/>
              <w:rPr>
                <w:sz w:val="16"/>
              </w:rPr>
            </w:pPr>
            <w:r w:rsidRPr="00EA2DC6">
              <w:rPr>
                <w:sz w:val="16"/>
              </w:rPr>
              <w:t>Black Box seed is stored in the canopy for up to two years but what triggers capsule dehiscence is unknown</w:t>
            </w:r>
            <w:r w:rsidRPr="00EA2DC6">
              <w:rPr>
                <w:sz w:val="16"/>
                <w:vertAlign w:val="superscript"/>
              </w:rPr>
              <w:t>7</w:t>
            </w:r>
          </w:p>
          <w:p w14:paraId="2076C442" w14:textId="77777777" w:rsidR="00EA2DC6" w:rsidRPr="00EA2DC6" w:rsidRDefault="00EA2DC6" w:rsidP="00F22225">
            <w:pPr>
              <w:numPr>
                <w:ilvl w:val="0"/>
                <w:numId w:val="30"/>
              </w:numPr>
              <w:spacing w:before="40" w:after="40"/>
              <w:ind w:left="199" w:hanging="218"/>
              <w:rPr>
                <w:sz w:val="16"/>
              </w:rPr>
            </w:pPr>
            <w:r w:rsidRPr="00EA2DC6">
              <w:rPr>
                <w:sz w:val="16"/>
              </w:rPr>
              <w:t>Peak release is summer</w:t>
            </w:r>
            <w:r w:rsidRPr="00EA2DC6">
              <w:rPr>
                <w:sz w:val="16"/>
                <w:vertAlign w:val="superscript"/>
              </w:rPr>
              <w:t>4</w:t>
            </w:r>
            <w:r w:rsidRPr="00EA2DC6">
              <w:rPr>
                <w:sz w:val="16"/>
              </w:rPr>
              <w:t xml:space="preserve"> (southern Basin)</w:t>
            </w:r>
          </w:p>
          <w:p w14:paraId="0753D233" w14:textId="77777777" w:rsidR="00EA2DC6" w:rsidRPr="00EA2DC6" w:rsidRDefault="00EA2DC6" w:rsidP="00F22225">
            <w:pPr>
              <w:numPr>
                <w:ilvl w:val="0"/>
                <w:numId w:val="30"/>
              </w:numPr>
              <w:spacing w:before="40" w:after="40"/>
              <w:ind w:left="199" w:hanging="218"/>
              <w:rPr>
                <w:sz w:val="16"/>
              </w:rPr>
            </w:pPr>
            <w:r w:rsidRPr="00EA2DC6">
              <w:rPr>
                <w:sz w:val="16"/>
              </w:rPr>
              <w:t>Soil seed bank not generally formed</w:t>
            </w:r>
            <w:r w:rsidRPr="00EA2DC6">
              <w:rPr>
                <w:sz w:val="16"/>
                <w:vertAlign w:val="superscript"/>
              </w:rPr>
              <w:t>8</w:t>
            </w:r>
          </w:p>
          <w:p w14:paraId="35B3A72D" w14:textId="77777777" w:rsidR="00EA2DC6" w:rsidRPr="00EA2DC6" w:rsidRDefault="00EA2DC6" w:rsidP="00F22225">
            <w:pPr>
              <w:numPr>
                <w:ilvl w:val="0"/>
                <w:numId w:val="30"/>
              </w:numPr>
              <w:spacing w:before="40" w:after="40"/>
              <w:ind w:left="199" w:hanging="218"/>
              <w:rPr>
                <w:sz w:val="16"/>
              </w:rPr>
            </w:pPr>
            <w:r w:rsidRPr="00EA2DC6">
              <w:rPr>
                <w:sz w:val="16"/>
              </w:rPr>
              <w:t>Seeds die if submerged for &gt;10 days</w:t>
            </w:r>
            <w:r w:rsidRPr="00EA2DC6">
              <w:rPr>
                <w:sz w:val="16"/>
                <w:vertAlign w:val="superscript"/>
              </w:rPr>
              <w:t>9</w:t>
            </w:r>
          </w:p>
          <w:p w14:paraId="4821291D" w14:textId="77777777" w:rsidR="00EA2DC6" w:rsidRPr="00EA2DC6" w:rsidRDefault="00EA2DC6" w:rsidP="00F22225">
            <w:pPr>
              <w:numPr>
                <w:ilvl w:val="0"/>
                <w:numId w:val="30"/>
              </w:numPr>
              <w:spacing w:before="40" w:after="40"/>
              <w:ind w:left="199" w:hanging="218"/>
              <w:rPr>
                <w:sz w:val="16"/>
              </w:rPr>
            </w:pPr>
            <w:r w:rsidRPr="00EA2DC6">
              <w:rPr>
                <w:color w:val="000000" w:themeColor="text1"/>
                <w:sz w:val="16"/>
              </w:rPr>
              <w:t>Natural flooding events needed to trigger mass germination events</w:t>
            </w:r>
            <w:r w:rsidRPr="00EA2DC6">
              <w:rPr>
                <w:color w:val="000000" w:themeColor="text1"/>
                <w:sz w:val="16"/>
                <w:vertAlign w:val="superscript"/>
              </w:rPr>
              <w:t>4,10</w:t>
            </w:r>
            <w:r w:rsidRPr="00EA2DC6">
              <w:rPr>
                <w:color w:val="000000" w:themeColor="text1"/>
                <w:sz w:val="16"/>
              </w:rPr>
              <w:t>, although this response not always consistently observed across the Basin</w:t>
            </w:r>
            <w:r w:rsidRPr="00EA2DC6">
              <w:rPr>
                <w:color w:val="000000" w:themeColor="text1"/>
                <w:sz w:val="16"/>
                <w:vertAlign w:val="superscript"/>
              </w:rPr>
              <w:t>11</w:t>
            </w:r>
            <w:r w:rsidRPr="00EA2DC6">
              <w:rPr>
                <w:color w:val="000000" w:themeColor="text1"/>
                <w:sz w:val="16"/>
              </w:rPr>
              <w:t xml:space="preserve">. </w:t>
            </w:r>
          </w:p>
          <w:p w14:paraId="3B33071E" w14:textId="77777777" w:rsidR="00EA2DC6" w:rsidRPr="00EA2DC6" w:rsidRDefault="00EA2DC6" w:rsidP="00F22225">
            <w:pPr>
              <w:numPr>
                <w:ilvl w:val="0"/>
                <w:numId w:val="30"/>
              </w:numPr>
              <w:spacing w:before="40" w:after="40"/>
              <w:ind w:left="199" w:hanging="218"/>
              <w:rPr>
                <w:sz w:val="16"/>
              </w:rPr>
            </w:pPr>
            <w:r w:rsidRPr="00EA2DC6">
              <w:rPr>
                <w:color w:val="000000" w:themeColor="text1"/>
                <w:sz w:val="16"/>
              </w:rPr>
              <w:t>More work required to understand the differences between natural and induced (anthropogenic) flooding events, and the mechanisms driving germination. Vulnerable to grazing</w:t>
            </w:r>
            <w:r w:rsidRPr="00EA2DC6">
              <w:rPr>
                <w:color w:val="000000" w:themeColor="text1"/>
                <w:sz w:val="16"/>
                <w:vertAlign w:val="superscript"/>
              </w:rPr>
              <w:t>12</w:t>
            </w:r>
          </w:p>
        </w:tc>
        <w:tc>
          <w:tcPr>
            <w:tcW w:w="1145" w:type="pct"/>
          </w:tcPr>
          <w:p w14:paraId="2FA4CB9D" w14:textId="77777777" w:rsidR="00EA2DC6" w:rsidRPr="00EA2DC6" w:rsidRDefault="00EA2DC6" w:rsidP="00F22225">
            <w:pPr>
              <w:numPr>
                <w:ilvl w:val="0"/>
                <w:numId w:val="30"/>
              </w:numPr>
              <w:spacing w:before="40" w:after="40"/>
              <w:ind w:left="199" w:hanging="218"/>
              <w:rPr>
                <w:sz w:val="16"/>
              </w:rPr>
            </w:pPr>
            <w:r w:rsidRPr="00EA2DC6">
              <w:rPr>
                <w:sz w:val="16"/>
              </w:rPr>
              <w:t>Water availability</w:t>
            </w:r>
          </w:p>
          <w:p w14:paraId="602404F9" w14:textId="52B0B7A8" w:rsidR="00EA2DC6" w:rsidRPr="00EA2DC6" w:rsidRDefault="00EA2DC6" w:rsidP="00F22225">
            <w:pPr>
              <w:numPr>
                <w:ilvl w:val="0"/>
                <w:numId w:val="30"/>
              </w:numPr>
              <w:spacing w:before="40" w:after="40"/>
              <w:ind w:left="199" w:hanging="218"/>
              <w:rPr>
                <w:sz w:val="16"/>
              </w:rPr>
            </w:pPr>
            <w:r w:rsidRPr="00EA2DC6">
              <w:rPr>
                <w:sz w:val="16"/>
              </w:rPr>
              <w:t xml:space="preserve">Soil </w:t>
            </w:r>
            <w:r w:rsidR="009B3015" w:rsidRPr="00EA2DC6">
              <w:rPr>
                <w:sz w:val="16"/>
              </w:rPr>
              <w:t>salinisation</w:t>
            </w:r>
          </w:p>
          <w:p w14:paraId="60DFB479" w14:textId="5D978D06" w:rsidR="00EA2DC6" w:rsidRPr="00EA2DC6" w:rsidRDefault="00EA2DC6" w:rsidP="00F22225">
            <w:pPr>
              <w:numPr>
                <w:ilvl w:val="0"/>
                <w:numId w:val="30"/>
              </w:numPr>
              <w:spacing w:before="40" w:after="40"/>
              <w:ind w:left="199" w:hanging="218"/>
              <w:rPr>
                <w:sz w:val="16"/>
              </w:rPr>
            </w:pPr>
            <w:r w:rsidRPr="00EA2DC6">
              <w:rPr>
                <w:sz w:val="16"/>
              </w:rPr>
              <w:t>Flooding regime (depth and duration, sediment / turbidity when seeds and seedlings present)</w:t>
            </w:r>
          </w:p>
          <w:p w14:paraId="011B7501" w14:textId="77777777" w:rsidR="00EA2DC6" w:rsidRPr="00EA2DC6" w:rsidRDefault="00EA2DC6" w:rsidP="00F22225">
            <w:pPr>
              <w:numPr>
                <w:ilvl w:val="0"/>
                <w:numId w:val="30"/>
              </w:numPr>
              <w:spacing w:before="40" w:after="40"/>
              <w:ind w:left="199" w:hanging="218"/>
              <w:rPr>
                <w:sz w:val="16"/>
              </w:rPr>
            </w:pPr>
            <w:r w:rsidRPr="00EA2DC6">
              <w:rPr>
                <w:sz w:val="16"/>
              </w:rPr>
              <w:t>Antecedent tree condition</w:t>
            </w:r>
          </w:p>
          <w:p w14:paraId="1564622F" w14:textId="77777777" w:rsidR="00EA2DC6" w:rsidRPr="00EA2DC6" w:rsidRDefault="00EA2DC6" w:rsidP="00F22225">
            <w:pPr>
              <w:numPr>
                <w:ilvl w:val="0"/>
                <w:numId w:val="30"/>
              </w:numPr>
              <w:spacing w:before="40" w:after="40"/>
              <w:ind w:left="199" w:hanging="218"/>
              <w:rPr>
                <w:sz w:val="16"/>
              </w:rPr>
            </w:pPr>
            <w:r w:rsidRPr="00EA2DC6">
              <w:rPr>
                <w:sz w:val="16"/>
              </w:rPr>
              <w:t>Temperature and Shading (seeds / seedlings)</w:t>
            </w:r>
          </w:p>
          <w:p w14:paraId="47176F1B" w14:textId="77777777" w:rsidR="00EA2DC6" w:rsidRPr="00EA2DC6" w:rsidRDefault="00EA2DC6" w:rsidP="00F22225">
            <w:pPr>
              <w:numPr>
                <w:ilvl w:val="0"/>
                <w:numId w:val="30"/>
              </w:numPr>
              <w:spacing w:before="40" w:after="40"/>
              <w:ind w:left="199" w:hanging="218"/>
              <w:rPr>
                <w:sz w:val="16"/>
              </w:rPr>
            </w:pPr>
            <w:r w:rsidRPr="00EA2DC6">
              <w:rPr>
                <w:sz w:val="16"/>
              </w:rPr>
              <w:t>Soil oxygen / nutrients</w:t>
            </w:r>
          </w:p>
          <w:p w14:paraId="690E2F77" w14:textId="77777777" w:rsidR="00EA2DC6" w:rsidRPr="00EA2DC6" w:rsidRDefault="00EA2DC6" w:rsidP="00F22225">
            <w:pPr>
              <w:numPr>
                <w:ilvl w:val="0"/>
                <w:numId w:val="30"/>
              </w:numPr>
              <w:spacing w:before="40" w:after="40"/>
              <w:ind w:left="199" w:hanging="218"/>
              <w:rPr>
                <w:sz w:val="16"/>
              </w:rPr>
            </w:pPr>
            <w:r w:rsidRPr="00EA2DC6">
              <w:rPr>
                <w:sz w:val="16"/>
              </w:rPr>
              <w:t>Herbivory / pathogens</w:t>
            </w:r>
          </w:p>
          <w:p w14:paraId="603FE9DB" w14:textId="77777777" w:rsidR="00EA2DC6" w:rsidRPr="00EA2DC6" w:rsidRDefault="00EA2DC6" w:rsidP="00F22225">
            <w:pPr>
              <w:numPr>
                <w:ilvl w:val="0"/>
                <w:numId w:val="30"/>
              </w:numPr>
              <w:spacing w:before="40" w:after="40"/>
              <w:ind w:left="199" w:hanging="218"/>
              <w:rPr>
                <w:sz w:val="16"/>
              </w:rPr>
            </w:pPr>
            <w:r w:rsidRPr="00EA2DC6">
              <w:rPr>
                <w:sz w:val="16"/>
              </w:rPr>
              <w:t>Land degradation processes (competition from weeds, grazing, trampling, clearance)</w:t>
            </w:r>
          </w:p>
          <w:p w14:paraId="0EFB598B" w14:textId="77777777" w:rsidR="00EA2DC6" w:rsidRPr="00EA2DC6" w:rsidRDefault="00EA2DC6" w:rsidP="00EA2DC6">
            <w:pPr>
              <w:spacing w:before="40" w:after="40"/>
              <w:ind w:left="199"/>
              <w:rPr>
                <w:sz w:val="16"/>
              </w:rPr>
            </w:pPr>
          </w:p>
        </w:tc>
        <w:tc>
          <w:tcPr>
            <w:tcW w:w="1379" w:type="pct"/>
          </w:tcPr>
          <w:p w14:paraId="5BA6DAF3" w14:textId="77777777" w:rsidR="00EA2DC6" w:rsidRPr="00EA2DC6" w:rsidRDefault="00EA2DC6" w:rsidP="00F22225">
            <w:pPr>
              <w:numPr>
                <w:ilvl w:val="0"/>
                <w:numId w:val="30"/>
              </w:numPr>
              <w:spacing w:before="40" w:after="40"/>
              <w:ind w:left="199" w:hanging="218"/>
              <w:rPr>
                <w:sz w:val="16"/>
              </w:rPr>
            </w:pPr>
            <w:r w:rsidRPr="00EA2DC6">
              <w:rPr>
                <w:b/>
                <w:sz w:val="16"/>
              </w:rPr>
              <w:t>Stand Condition indicators</w:t>
            </w:r>
            <w:r w:rsidRPr="00EA2DC6">
              <w:rPr>
                <w:sz w:val="16"/>
              </w:rPr>
              <w:t xml:space="preserve"> as described above (unlikely to respond unless classed as Intermediate or above)</w:t>
            </w:r>
          </w:p>
          <w:p w14:paraId="2B2A719F" w14:textId="77777777" w:rsidR="00EA2DC6" w:rsidRPr="00EA2DC6" w:rsidRDefault="00EA2DC6" w:rsidP="00F22225">
            <w:pPr>
              <w:numPr>
                <w:ilvl w:val="0"/>
                <w:numId w:val="30"/>
              </w:numPr>
              <w:spacing w:before="40" w:after="40"/>
              <w:ind w:left="199" w:hanging="218"/>
              <w:rPr>
                <w:sz w:val="16"/>
              </w:rPr>
            </w:pPr>
            <w:r w:rsidRPr="00EA2DC6">
              <w:rPr>
                <w:b/>
                <w:sz w:val="16"/>
              </w:rPr>
              <w:t>Water indicators</w:t>
            </w:r>
            <w:r w:rsidRPr="00EA2DC6">
              <w:rPr>
                <w:sz w:val="16"/>
              </w:rPr>
              <w:t xml:space="preserve"> as described above.</w:t>
            </w:r>
          </w:p>
          <w:p w14:paraId="1655B655" w14:textId="0777AE59" w:rsidR="00EA2DC6" w:rsidRPr="00EA2DC6" w:rsidRDefault="00EA2DC6" w:rsidP="00F22225">
            <w:pPr>
              <w:numPr>
                <w:ilvl w:val="0"/>
                <w:numId w:val="30"/>
              </w:numPr>
              <w:spacing w:before="40" w:after="40"/>
              <w:ind w:left="199" w:hanging="218"/>
              <w:rPr>
                <w:sz w:val="16"/>
              </w:rPr>
            </w:pPr>
            <w:r w:rsidRPr="00EA2DC6">
              <w:rPr>
                <w:b/>
                <w:sz w:val="16"/>
              </w:rPr>
              <w:t>Land degradation / competition indicators</w:t>
            </w:r>
            <w:r w:rsidRPr="00EA2DC6">
              <w:rPr>
                <w:sz w:val="16"/>
              </w:rPr>
              <w:t xml:space="preserve">; particularly proximity to other Black Box </w:t>
            </w:r>
            <w:r w:rsidR="009F6E85">
              <w:rPr>
                <w:sz w:val="16"/>
              </w:rPr>
              <w:t>units</w:t>
            </w:r>
            <w:r w:rsidRPr="00EA2DC6">
              <w:rPr>
                <w:sz w:val="16"/>
              </w:rPr>
              <w:t>, grazing pressure (native and agricultural), weed infestations (type, density, invasiveness)</w:t>
            </w:r>
          </w:p>
          <w:p w14:paraId="71409EFC" w14:textId="77777777" w:rsidR="00EA2DC6" w:rsidRPr="00EA2DC6" w:rsidRDefault="00EA2DC6" w:rsidP="00EA2DC6">
            <w:pPr>
              <w:spacing w:before="40" w:after="40"/>
              <w:ind w:left="-19"/>
              <w:rPr>
                <w:sz w:val="16"/>
              </w:rPr>
            </w:pPr>
          </w:p>
        </w:tc>
      </w:tr>
      <w:tr w:rsidR="00EA2DC6" w:rsidRPr="00EA2DC6" w14:paraId="14EEDC2C" w14:textId="77777777" w:rsidTr="00C70D7A">
        <w:tc>
          <w:tcPr>
            <w:tcW w:w="551" w:type="pct"/>
          </w:tcPr>
          <w:p w14:paraId="0892550E" w14:textId="77777777" w:rsidR="00EA2DC6" w:rsidRPr="00EA2DC6" w:rsidRDefault="00EA2DC6" w:rsidP="00EA2DC6">
            <w:pPr>
              <w:spacing w:before="40" w:after="40"/>
              <w:rPr>
                <w:sz w:val="16"/>
              </w:rPr>
            </w:pPr>
            <w:r w:rsidRPr="00EA2DC6">
              <w:rPr>
                <w:sz w:val="16"/>
              </w:rPr>
              <w:t>Seedling establishment / growth to sapling and pole stage</w:t>
            </w:r>
          </w:p>
        </w:tc>
        <w:tc>
          <w:tcPr>
            <w:tcW w:w="1924" w:type="pct"/>
          </w:tcPr>
          <w:p w14:paraId="70D5A864" w14:textId="77777777" w:rsidR="00EA2DC6" w:rsidRPr="00EA2DC6" w:rsidRDefault="00EA2DC6" w:rsidP="00F22225">
            <w:pPr>
              <w:numPr>
                <w:ilvl w:val="0"/>
                <w:numId w:val="30"/>
              </w:numPr>
              <w:spacing w:before="40" w:after="40"/>
              <w:ind w:left="199" w:hanging="218"/>
              <w:rPr>
                <w:sz w:val="16"/>
              </w:rPr>
            </w:pPr>
            <w:r w:rsidRPr="00EA2DC6">
              <w:rPr>
                <w:color w:val="000000" w:themeColor="text1"/>
                <w:sz w:val="16"/>
              </w:rPr>
              <w:t>Observed ‘Goldilocks-zone’ of ideal hydrological conditions (not too wet, not too dry) results in a naturally low mortality of seedlings</w:t>
            </w:r>
            <w:r w:rsidRPr="00EA2DC6">
              <w:rPr>
                <w:color w:val="000000" w:themeColor="text1"/>
                <w:sz w:val="16"/>
                <w:vertAlign w:val="superscript"/>
              </w:rPr>
              <w:t>13</w:t>
            </w:r>
          </w:p>
          <w:p w14:paraId="4FA9E7E8" w14:textId="77777777" w:rsidR="00EA2DC6" w:rsidRPr="00EA2DC6" w:rsidRDefault="00EA2DC6" w:rsidP="00F22225">
            <w:pPr>
              <w:numPr>
                <w:ilvl w:val="0"/>
                <w:numId w:val="30"/>
              </w:numPr>
              <w:spacing w:before="40" w:after="40"/>
              <w:ind w:left="199" w:hanging="218"/>
              <w:rPr>
                <w:sz w:val="16"/>
              </w:rPr>
            </w:pPr>
            <w:r w:rsidRPr="00EA2DC6">
              <w:rPr>
                <w:sz w:val="16"/>
              </w:rPr>
              <w:t>Soil moisture of 10-25 % appears to be critical for seedling survival</w:t>
            </w:r>
            <w:r w:rsidRPr="00EA2DC6">
              <w:rPr>
                <w:sz w:val="16"/>
                <w:vertAlign w:val="superscript"/>
              </w:rPr>
              <w:t>4</w:t>
            </w:r>
          </w:p>
          <w:p w14:paraId="4432988E" w14:textId="0A225EE6" w:rsidR="00EA2DC6" w:rsidRPr="00EA2DC6" w:rsidRDefault="00EA2DC6" w:rsidP="00F22225">
            <w:pPr>
              <w:numPr>
                <w:ilvl w:val="0"/>
                <w:numId w:val="30"/>
              </w:numPr>
              <w:spacing w:before="40" w:after="40"/>
              <w:ind w:left="199" w:hanging="218"/>
              <w:rPr>
                <w:sz w:val="16"/>
              </w:rPr>
            </w:pPr>
            <w:r w:rsidRPr="00EA2DC6">
              <w:rPr>
                <w:sz w:val="16"/>
              </w:rPr>
              <w:t>Intolerant of drought</w:t>
            </w:r>
            <w:r w:rsidRPr="00EA2DC6">
              <w:rPr>
                <w:sz w:val="16"/>
                <w:vertAlign w:val="superscript"/>
              </w:rPr>
              <w:t>14</w:t>
            </w:r>
            <w:r w:rsidRPr="00EA2DC6">
              <w:rPr>
                <w:sz w:val="16"/>
              </w:rPr>
              <w:t>, but also slower growing when flooded to 5cm</w:t>
            </w:r>
            <w:r w:rsidRPr="00EA2DC6">
              <w:rPr>
                <w:sz w:val="16"/>
                <w:vertAlign w:val="superscript"/>
              </w:rPr>
              <w:t>15</w:t>
            </w:r>
          </w:p>
          <w:p w14:paraId="6413614A" w14:textId="4373F6A2" w:rsidR="00EA2DC6" w:rsidRPr="00EA2DC6" w:rsidRDefault="00EA2DC6" w:rsidP="00F22225">
            <w:pPr>
              <w:numPr>
                <w:ilvl w:val="0"/>
                <w:numId w:val="30"/>
              </w:numPr>
              <w:spacing w:before="40" w:after="40"/>
              <w:ind w:left="199" w:hanging="218"/>
              <w:rPr>
                <w:sz w:val="16"/>
              </w:rPr>
            </w:pPr>
            <w:r w:rsidRPr="00EA2DC6">
              <w:rPr>
                <w:sz w:val="16"/>
              </w:rPr>
              <w:t xml:space="preserve">Requires 85,000 </w:t>
            </w:r>
            <w:r w:rsidR="00C259BC">
              <w:rPr>
                <w:sz w:val="16"/>
              </w:rPr>
              <w:t>ML/day</w:t>
            </w:r>
            <w:r w:rsidRPr="00EA2DC6">
              <w:rPr>
                <w:sz w:val="16"/>
                <w:vertAlign w:val="superscript"/>
              </w:rPr>
              <w:t>-1</w:t>
            </w:r>
            <w:r w:rsidRPr="00EA2DC6">
              <w:rPr>
                <w:sz w:val="16"/>
              </w:rPr>
              <w:t xml:space="preserve"> for successful recruitment at lower elevations</w:t>
            </w:r>
            <w:r w:rsidRPr="00EA2DC6">
              <w:rPr>
                <w:sz w:val="16"/>
                <w:vertAlign w:val="superscript"/>
              </w:rPr>
              <w:t xml:space="preserve">, </w:t>
            </w:r>
            <w:r w:rsidRPr="00EA2DC6">
              <w:rPr>
                <w:sz w:val="16"/>
              </w:rPr>
              <w:t xml:space="preserve">and &gt;100,000 </w:t>
            </w:r>
            <w:r w:rsidR="00C259BC">
              <w:rPr>
                <w:sz w:val="16"/>
              </w:rPr>
              <w:t>ML/day</w:t>
            </w:r>
            <w:r w:rsidRPr="00EA2DC6">
              <w:rPr>
                <w:sz w:val="16"/>
              </w:rPr>
              <w:t xml:space="preserve"> for successful recruitment at higher elevations on the floodplain</w:t>
            </w:r>
            <w:r w:rsidRPr="00EA2DC6">
              <w:rPr>
                <w:sz w:val="16"/>
                <w:vertAlign w:val="superscript"/>
              </w:rPr>
              <w:t>16</w:t>
            </w:r>
          </w:p>
          <w:p w14:paraId="56884EB0" w14:textId="77777777" w:rsidR="00EA2DC6" w:rsidRPr="00EA2DC6" w:rsidRDefault="00EA2DC6" w:rsidP="00F22225">
            <w:pPr>
              <w:numPr>
                <w:ilvl w:val="0"/>
                <w:numId w:val="30"/>
              </w:numPr>
              <w:spacing w:before="40" w:after="40"/>
              <w:ind w:left="199" w:hanging="218"/>
              <w:rPr>
                <w:sz w:val="16"/>
              </w:rPr>
            </w:pPr>
            <w:r w:rsidRPr="00EA2DC6">
              <w:rPr>
                <w:sz w:val="16"/>
              </w:rPr>
              <w:t xml:space="preserve">Slow growth rate due to low transpiration rates. </w:t>
            </w:r>
          </w:p>
          <w:p w14:paraId="463FAAFA" w14:textId="77777777" w:rsidR="00EA2DC6" w:rsidRPr="00EA2DC6" w:rsidRDefault="00EA2DC6" w:rsidP="00F22225">
            <w:pPr>
              <w:numPr>
                <w:ilvl w:val="0"/>
                <w:numId w:val="30"/>
              </w:numPr>
              <w:spacing w:before="40" w:after="40"/>
              <w:ind w:left="199" w:hanging="218"/>
              <w:rPr>
                <w:sz w:val="16"/>
              </w:rPr>
            </w:pPr>
            <w:r w:rsidRPr="00EA2DC6">
              <w:rPr>
                <w:color w:val="000000" w:themeColor="text1"/>
                <w:sz w:val="16"/>
              </w:rPr>
              <w:t>Natural flooding events needed to trigger mass germination events</w:t>
            </w:r>
            <w:r w:rsidRPr="00EA2DC6">
              <w:rPr>
                <w:color w:val="000000" w:themeColor="text1"/>
                <w:sz w:val="16"/>
                <w:vertAlign w:val="superscript"/>
              </w:rPr>
              <w:t>4,10</w:t>
            </w:r>
            <w:r w:rsidRPr="00EA2DC6">
              <w:rPr>
                <w:color w:val="000000" w:themeColor="text1"/>
                <w:sz w:val="16"/>
              </w:rPr>
              <w:t>, although this response not always consistently observed across the Basin</w:t>
            </w:r>
            <w:r w:rsidRPr="00EA2DC6">
              <w:rPr>
                <w:color w:val="000000" w:themeColor="text1"/>
                <w:sz w:val="16"/>
                <w:vertAlign w:val="superscript"/>
              </w:rPr>
              <w:t>11</w:t>
            </w:r>
          </w:p>
          <w:p w14:paraId="138F0806" w14:textId="77777777" w:rsidR="00EA2DC6" w:rsidRPr="00EA2DC6" w:rsidRDefault="00EA2DC6" w:rsidP="00F22225">
            <w:pPr>
              <w:numPr>
                <w:ilvl w:val="0"/>
                <w:numId w:val="30"/>
              </w:numPr>
              <w:spacing w:before="40" w:after="40"/>
              <w:ind w:left="199" w:hanging="218"/>
              <w:rPr>
                <w:sz w:val="16"/>
              </w:rPr>
            </w:pPr>
            <w:r w:rsidRPr="00EA2DC6">
              <w:rPr>
                <w:color w:val="000000" w:themeColor="text1"/>
                <w:sz w:val="16"/>
              </w:rPr>
              <w:t>Seedling establishment rarely associated with induced flooding</w:t>
            </w:r>
          </w:p>
        </w:tc>
        <w:tc>
          <w:tcPr>
            <w:tcW w:w="1145" w:type="pct"/>
          </w:tcPr>
          <w:p w14:paraId="7133816E" w14:textId="77777777" w:rsidR="00EA2DC6" w:rsidRPr="00EA2DC6" w:rsidRDefault="00EA2DC6" w:rsidP="00F22225">
            <w:pPr>
              <w:numPr>
                <w:ilvl w:val="0"/>
                <w:numId w:val="30"/>
              </w:numPr>
              <w:spacing w:before="40" w:after="40"/>
              <w:ind w:left="199" w:hanging="218"/>
              <w:rPr>
                <w:sz w:val="16"/>
              </w:rPr>
            </w:pPr>
            <w:r w:rsidRPr="00EA2DC6">
              <w:rPr>
                <w:sz w:val="16"/>
              </w:rPr>
              <w:t xml:space="preserve">Water availability </w:t>
            </w:r>
          </w:p>
          <w:p w14:paraId="5FF93C17" w14:textId="6FC49553" w:rsidR="00EA2DC6" w:rsidRPr="00EA2DC6" w:rsidRDefault="00EA2DC6" w:rsidP="00F22225">
            <w:pPr>
              <w:numPr>
                <w:ilvl w:val="0"/>
                <w:numId w:val="30"/>
              </w:numPr>
              <w:spacing w:before="40" w:after="40"/>
              <w:ind w:left="199" w:hanging="218"/>
              <w:rPr>
                <w:sz w:val="16"/>
              </w:rPr>
            </w:pPr>
            <w:r w:rsidRPr="00EA2DC6">
              <w:rPr>
                <w:sz w:val="16"/>
              </w:rPr>
              <w:t>Flooding regime (depth and duration, sediment / turbidity when seeds and seedlings present)</w:t>
            </w:r>
          </w:p>
          <w:p w14:paraId="7783242E" w14:textId="77777777" w:rsidR="00EA2DC6" w:rsidRPr="00EA2DC6" w:rsidRDefault="00EA2DC6" w:rsidP="00F22225">
            <w:pPr>
              <w:numPr>
                <w:ilvl w:val="0"/>
                <w:numId w:val="30"/>
              </w:numPr>
              <w:spacing w:before="40" w:after="40"/>
              <w:ind w:left="199" w:hanging="218"/>
              <w:rPr>
                <w:sz w:val="16"/>
              </w:rPr>
            </w:pPr>
            <w:r w:rsidRPr="00EA2DC6">
              <w:rPr>
                <w:sz w:val="16"/>
              </w:rPr>
              <w:t xml:space="preserve">Temperature </w:t>
            </w:r>
          </w:p>
          <w:p w14:paraId="7D0FF324" w14:textId="77777777" w:rsidR="00EA2DC6" w:rsidRPr="00EA2DC6" w:rsidRDefault="00EA2DC6" w:rsidP="00F22225">
            <w:pPr>
              <w:numPr>
                <w:ilvl w:val="0"/>
                <w:numId w:val="30"/>
              </w:numPr>
              <w:spacing w:before="40" w:after="40"/>
              <w:ind w:left="199" w:hanging="218"/>
              <w:rPr>
                <w:sz w:val="16"/>
              </w:rPr>
            </w:pPr>
            <w:r w:rsidRPr="00EA2DC6">
              <w:rPr>
                <w:sz w:val="16"/>
              </w:rPr>
              <w:t>Shading (seedlings)</w:t>
            </w:r>
          </w:p>
          <w:p w14:paraId="67EFA4C9" w14:textId="77777777" w:rsidR="00EA2DC6" w:rsidRPr="00EA2DC6" w:rsidRDefault="00EA2DC6" w:rsidP="00F22225">
            <w:pPr>
              <w:numPr>
                <w:ilvl w:val="0"/>
                <w:numId w:val="30"/>
              </w:numPr>
              <w:spacing w:before="40" w:after="40"/>
              <w:ind w:left="199" w:hanging="218"/>
              <w:rPr>
                <w:sz w:val="16"/>
              </w:rPr>
            </w:pPr>
            <w:r w:rsidRPr="00EA2DC6">
              <w:rPr>
                <w:sz w:val="16"/>
              </w:rPr>
              <w:t>Herbivory / pathogens</w:t>
            </w:r>
          </w:p>
          <w:p w14:paraId="6F91A4D5" w14:textId="77777777" w:rsidR="00EA2DC6" w:rsidRPr="00EA2DC6" w:rsidRDefault="00EA2DC6" w:rsidP="00F22225">
            <w:pPr>
              <w:numPr>
                <w:ilvl w:val="0"/>
                <w:numId w:val="30"/>
              </w:numPr>
              <w:spacing w:before="40" w:after="40"/>
              <w:ind w:left="199" w:hanging="218"/>
              <w:rPr>
                <w:sz w:val="16"/>
              </w:rPr>
            </w:pPr>
            <w:r w:rsidRPr="00EA2DC6">
              <w:rPr>
                <w:sz w:val="16"/>
              </w:rPr>
              <w:t>Land degradation (grazing, trampling, competition from weeds)</w:t>
            </w:r>
          </w:p>
        </w:tc>
        <w:tc>
          <w:tcPr>
            <w:tcW w:w="1379" w:type="pct"/>
          </w:tcPr>
          <w:p w14:paraId="416D7C36" w14:textId="77777777" w:rsidR="00EA2DC6" w:rsidRPr="00EA2DC6" w:rsidRDefault="00EA2DC6" w:rsidP="00F22225">
            <w:pPr>
              <w:numPr>
                <w:ilvl w:val="0"/>
                <w:numId w:val="30"/>
              </w:numPr>
              <w:spacing w:before="40" w:after="40"/>
              <w:ind w:left="199" w:hanging="218"/>
              <w:rPr>
                <w:i/>
                <w:sz w:val="16"/>
              </w:rPr>
            </w:pPr>
            <w:r w:rsidRPr="00EA2DC6">
              <w:rPr>
                <w:b/>
                <w:sz w:val="16"/>
              </w:rPr>
              <w:t>Water indicators</w:t>
            </w:r>
            <w:r w:rsidRPr="00EA2DC6">
              <w:rPr>
                <w:sz w:val="16"/>
              </w:rPr>
              <w:t xml:space="preserve"> as described above</w:t>
            </w:r>
            <w:r w:rsidRPr="00EA2DC6">
              <w:rPr>
                <w:b/>
                <w:sz w:val="16"/>
              </w:rPr>
              <w:t>;</w:t>
            </w:r>
            <w:r w:rsidRPr="00EA2DC6">
              <w:rPr>
                <w:sz w:val="16"/>
              </w:rPr>
              <w:t xml:space="preserve"> </w:t>
            </w:r>
          </w:p>
          <w:p w14:paraId="2042EEC6" w14:textId="77777777" w:rsidR="00EA2DC6" w:rsidRPr="00EA2DC6" w:rsidRDefault="00EA2DC6" w:rsidP="00F22225">
            <w:pPr>
              <w:numPr>
                <w:ilvl w:val="0"/>
                <w:numId w:val="30"/>
              </w:numPr>
              <w:spacing w:before="40" w:after="40"/>
              <w:ind w:left="199" w:hanging="218"/>
              <w:rPr>
                <w:sz w:val="16"/>
              </w:rPr>
            </w:pPr>
            <w:r w:rsidRPr="00EA2DC6">
              <w:rPr>
                <w:b/>
                <w:sz w:val="16"/>
              </w:rPr>
              <w:t xml:space="preserve">Land degradation / competition indicators; </w:t>
            </w:r>
            <w:r w:rsidRPr="00EA2DC6">
              <w:rPr>
                <w:sz w:val="16"/>
              </w:rPr>
              <w:t xml:space="preserve">particularly weed infestation (type, density, invasiveness), grazing pressure (native and agricultural) </w:t>
            </w:r>
          </w:p>
          <w:p w14:paraId="42CEDC86" w14:textId="77777777" w:rsidR="00EA2DC6" w:rsidRPr="00EA2DC6" w:rsidRDefault="00EA2DC6" w:rsidP="00F22225">
            <w:pPr>
              <w:numPr>
                <w:ilvl w:val="0"/>
                <w:numId w:val="30"/>
              </w:numPr>
              <w:spacing w:before="40" w:after="40"/>
              <w:ind w:left="199" w:hanging="218"/>
              <w:rPr>
                <w:i/>
                <w:sz w:val="16"/>
              </w:rPr>
            </w:pPr>
            <w:r w:rsidRPr="00EA2DC6">
              <w:rPr>
                <w:b/>
                <w:sz w:val="16"/>
              </w:rPr>
              <w:t>Condition indicator;</w:t>
            </w:r>
            <w:r w:rsidRPr="00EA2DC6">
              <w:rPr>
                <w:sz w:val="16"/>
              </w:rPr>
              <w:t xml:space="preserve"> herbivory / insect damage</w:t>
            </w:r>
          </w:p>
        </w:tc>
      </w:tr>
      <w:tr w:rsidR="00EA2DC6" w:rsidRPr="00EA2DC6" w14:paraId="3DECA444" w14:textId="77777777" w:rsidTr="00C70D7A">
        <w:tc>
          <w:tcPr>
            <w:tcW w:w="551" w:type="pct"/>
          </w:tcPr>
          <w:p w14:paraId="2A812F25" w14:textId="77777777" w:rsidR="00EA2DC6" w:rsidRPr="00EA2DC6" w:rsidRDefault="00EA2DC6" w:rsidP="00EA2DC6">
            <w:pPr>
              <w:spacing w:before="40" w:after="40"/>
              <w:rPr>
                <w:sz w:val="16"/>
              </w:rPr>
            </w:pPr>
            <w:r w:rsidRPr="00EA2DC6">
              <w:rPr>
                <w:sz w:val="16"/>
              </w:rPr>
              <w:t>Extent of Black Box population</w:t>
            </w:r>
          </w:p>
        </w:tc>
        <w:tc>
          <w:tcPr>
            <w:tcW w:w="1924" w:type="pct"/>
          </w:tcPr>
          <w:p w14:paraId="38FA69E5" w14:textId="77777777" w:rsidR="00EA2DC6" w:rsidRPr="00EA2DC6" w:rsidRDefault="00EA2DC6" w:rsidP="00F22225">
            <w:pPr>
              <w:numPr>
                <w:ilvl w:val="0"/>
                <w:numId w:val="30"/>
              </w:numPr>
              <w:spacing w:before="40" w:after="40"/>
              <w:ind w:left="199" w:hanging="218"/>
              <w:rPr>
                <w:color w:val="000000" w:themeColor="text1"/>
                <w:sz w:val="16"/>
              </w:rPr>
            </w:pPr>
            <w:r w:rsidRPr="00EA2DC6">
              <w:rPr>
                <w:color w:val="000000" w:themeColor="text1"/>
                <w:sz w:val="16"/>
              </w:rPr>
              <w:t>Difficult to further manage extent of Black Box directly, with protection of current extent (through conservation agreements and parks systems), prevention of loss (through clearance policies), and protection of significant communities (through listing under state and national Acts) controlled mostly through legislative policy and regulation.</w:t>
            </w:r>
          </w:p>
          <w:p w14:paraId="79BD4CA8" w14:textId="77777777" w:rsidR="00EA2DC6" w:rsidRPr="00EA2DC6" w:rsidRDefault="00EA2DC6" w:rsidP="00F22225">
            <w:pPr>
              <w:numPr>
                <w:ilvl w:val="0"/>
                <w:numId w:val="30"/>
              </w:numPr>
              <w:spacing w:before="40" w:after="40"/>
              <w:ind w:left="199" w:hanging="218"/>
              <w:rPr>
                <w:color w:val="000000" w:themeColor="text1"/>
                <w:sz w:val="16"/>
              </w:rPr>
            </w:pPr>
            <w:r w:rsidRPr="00EA2DC6">
              <w:rPr>
                <w:color w:val="000000" w:themeColor="text1"/>
                <w:sz w:val="16"/>
              </w:rPr>
              <w:t>Assumption that if condition is managed, and protections are in place, that maintenance of Black Box extent will follow.</w:t>
            </w:r>
          </w:p>
          <w:p w14:paraId="6E32BA65" w14:textId="77777777" w:rsidR="00EA2DC6" w:rsidRPr="00EA2DC6" w:rsidRDefault="00EA2DC6" w:rsidP="00EA2DC6">
            <w:pPr>
              <w:spacing w:before="40" w:after="40"/>
              <w:ind w:left="-19"/>
              <w:rPr>
                <w:color w:val="000000" w:themeColor="text1"/>
                <w:sz w:val="16"/>
                <w:highlight w:val="yellow"/>
              </w:rPr>
            </w:pPr>
          </w:p>
        </w:tc>
        <w:tc>
          <w:tcPr>
            <w:tcW w:w="1145" w:type="pct"/>
          </w:tcPr>
          <w:p w14:paraId="2B25AE27" w14:textId="77777777" w:rsidR="00EA2DC6" w:rsidRPr="00EA2DC6" w:rsidRDefault="00EA2DC6" w:rsidP="00F22225">
            <w:pPr>
              <w:numPr>
                <w:ilvl w:val="0"/>
                <w:numId w:val="30"/>
              </w:numPr>
              <w:spacing w:before="40" w:after="40"/>
              <w:ind w:left="199" w:hanging="218"/>
              <w:rPr>
                <w:sz w:val="16"/>
              </w:rPr>
            </w:pPr>
            <w:r w:rsidRPr="00EA2DC6">
              <w:rPr>
                <w:sz w:val="16"/>
              </w:rPr>
              <w:t xml:space="preserve">Land degradation processes (edge effects, clearance, trampling, compaction, regional agriculture and irrigation) </w:t>
            </w:r>
          </w:p>
          <w:p w14:paraId="5F96D293" w14:textId="77777777" w:rsidR="00EA2DC6" w:rsidRPr="00EA2DC6" w:rsidRDefault="00EA2DC6" w:rsidP="00F22225">
            <w:pPr>
              <w:numPr>
                <w:ilvl w:val="0"/>
                <w:numId w:val="30"/>
              </w:numPr>
              <w:spacing w:before="40" w:after="40"/>
              <w:ind w:left="199" w:hanging="218"/>
              <w:rPr>
                <w:sz w:val="16"/>
              </w:rPr>
            </w:pPr>
            <w:r w:rsidRPr="00EA2DC6">
              <w:rPr>
                <w:sz w:val="16"/>
              </w:rPr>
              <w:t>Competition</w:t>
            </w:r>
          </w:p>
          <w:p w14:paraId="38194B63" w14:textId="77777777" w:rsidR="00EA2DC6" w:rsidRPr="00EA2DC6" w:rsidRDefault="00EA2DC6" w:rsidP="00F22225">
            <w:pPr>
              <w:numPr>
                <w:ilvl w:val="0"/>
                <w:numId w:val="30"/>
              </w:numPr>
              <w:spacing w:before="40" w:after="40"/>
              <w:ind w:left="199" w:hanging="218"/>
              <w:rPr>
                <w:sz w:val="16"/>
              </w:rPr>
            </w:pPr>
            <w:r w:rsidRPr="00EA2DC6">
              <w:rPr>
                <w:sz w:val="16"/>
              </w:rPr>
              <w:t>Water availability</w:t>
            </w:r>
          </w:p>
          <w:p w14:paraId="3D6DE3B7" w14:textId="77777777" w:rsidR="00EA2DC6" w:rsidRPr="00EA2DC6" w:rsidRDefault="00EA2DC6" w:rsidP="00F22225">
            <w:pPr>
              <w:numPr>
                <w:ilvl w:val="0"/>
                <w:numId w:val="30"/>
              </w:numPr>
              <w:spacing w:before="40" w:after="40"/>
              <w:ind w:left="199" w:hanging="218"/>
              <w:rPr>
                <w:sz w:val="16"/>
              </w:rPr>
            </w:pPr>
            <w:r w:rsidRPr="00EA2DC6">
              <w:rPr>
                <w:sz w:val="16"/>
              </w:rPr>
              <w:t>Isolation / position on floodplain</w:t>
            </w:r>
          </w:p>
        </w:tc>
        <w:tc>
          <w:tcPr>
            <w:tcW w:w="1379" w:type="pct"/>
          </w:tcPr>
          <w:p w14:paraId="3BC5B9A6" w14:textId="697D72C6" w:rsidR="00EA2DC6" w:rsidRPr="00EA2DC6" w:rsidRDefault="00EA2DC6" w:rsidP="00F22225">
            <w:pPr>
              <w:numPr>
                <w:ilvl w:val="0"/>
                <w:numId w:val="30"/>
              </w:numPr>
              <w:spacing w:before="40" w:after="40"/>
              <w:ind w:left="199" w:hanging="218"/>
              <w:rPr>
                <w:sz w:val="16"/>
              </w:rPr>
            </w:pPr>
            <w:r w:rsidRPr="00EA2DC6">
              <w:rPr>
                <w:b/>
                <w:sz w:val="16"/>
              </w:rPr>
              <w:t>Land degradation / competition indicators</w:t>
            </w:r>
            <w:r w:rsidRPr="00EA2DC6">
              <w:rPr>
                <w:sz w:val="16"/>
              </w:rPr>
              <w:t xml:space="preserve"> (e.g. land clearance rates and areas, weed infestations (type, density, invasiveness), average Black Box </w:t>
            </w:r>
            <w:r w:rsidR="009F6E85">
              <w:rPr>
                <w:sz w:val="16"/>
              </w:rPr>
              <w:t>unit</w:t>
            </w:r>
            <w:r w:rsidRPr="00EA2DC6">
              <w:rPr>
                <w:sz w:val="16"/>
              </w:rPr>
              <w:t xml:space="preserve"> size, proximity to other Black Box </w:t>
            </w:r>
            <w:r w:rsidR="009F6E85">
              <w:rPr>
                <w:sz w:val="16"/>
              </w:rPr>
              <w:t>units</w:t>
            </w:r>
            <w:r w:rsidRPr="00EA2DC6">
              <w:rPr>
                <w:sz w:val="16"/>
              </w:rPr>
              <w:t>).</w:t>
            </w:r>
          </w:p>
          <w:p w14:paraId="2B6FEACD" w14:textId="77777777" w:rsidR="00EA2DC6" w:rsidRPr="00EA2DC6" w:rsidRDefault="00EA2DC6" w:rsidP="00F22225">
            <w:pPr>
              <w:numPr>
                <w:ilvl w:val="0"/>
                <w:numId w:val="30"/>
              </w:numPr>
              <w:spacing w:before="40" w:after="40"/>
              <w:ind w:left="199" w:hanging="218"/>
              <w:rPr>
                <w:i/>
                <w:sz w:val="16"/>
              </w:rPr>
            </w:pPr>
            <w:r w:rsidRPr="00EA2DC6">
              <w:rPr>
                <w:b/>
                <w:sz w:val="16"/>
              </w:rPr>
              <w:t>Protection indicators</w:t>
            </w:r>
            <w:r w:rsidRPr="00EA2DC6">
              <w:rPr>
                <w:sz w:val="16"/>
              </w:rPr>
              <w:t xml:space="preserve">; (e.g. area of community under voluntary conservation agreements, area of community protected by parks system), </w:t>
            </w:r>
          </w:p>
          <w:p w14:paraId="7F8F779C" w14:textId="65323054" w:rsidR="00EA2DC6" w:rsidRPr="00EA2DC6" w:rsidRDefault="00EA2DC6" w:rsidP="00F22225">
            <w:pPr>
              <w:numPr>
                <w:ilvl w:val="0"/>
                <w:numId w:val="30"/>
              </w:numPr>
              <w:spacing w:before="40" w:after="40"/>
              <w:ind w:left="199" w:hanging="218"/>
              <w:rPr>
                <w:i/>
                <w:sz w:val="16"/>
              </w:rPr>
            </w:pPr>
            <w:r w:rsidRPr="00EA2DC6">
              <w:rPr>
                <w:b/>
                <w:sz w:val="16"/>
              </w:rPr>
              <w:t>Water availability indicators</w:t>
            </w:r>
            <w:r w:rsidR="003E058B">
              <w:rPr>
                <w:b/>
                <w:sz w:val="16"/>
              </w:rPr>
              <w:t xml:space="preserve"> </w:t>
            </w:r>
            <w:r w:rsidRPr="00EA2DC6">
              <w:rPr>
                <w:sz w:val="16"/>
              </w:rPr>
              <w:t>(e.g. inundation extent and frequency)</w:t>
            </w:r>
          </w:p>
        </w:tc>
      </w:tr>
    </w:tbl>
    <w:p w14:paraId="3A66A3A3" w14:textId="1F9D7BDD" w:rsidR="00EA2DC6" w:rsidRPr="00EA2DC6" w:rsidRDefault="00EA2DC6" w:rsidP="00EA2DC6">
      <w:pPr>
        <w:spacing w:after="0"/>
        <w:rPr>
          <w:rFonts w:cs="Arial"/>
          <w:color w:val="000000" w:themeColor="text1"/>
          <w:sz w:val="14"/>
          <w:szCs w:val="14"/>
        </w:rPr>
      </w:pPr>
      <w:r w:rsidRPr="00EA2DC6">
        <w:rPr>
          <w:rFonts w:cs="Arial"/>
          <w:color w:val="000000" w:themeColor="text1"/>
          <w:sz w:val="14"/>
          <w:szCs w:val="14"/>
        </w:rPr>
        <w:t xml:space="preserve">1 Represents best available knowledge in 2011, as described by Roberts and Marston (2000) and further summarised by Casanova (2014), from studies that are largely based in the southern Basin. 2 ‘Natural paradigm’ refers to the unmodified, pre-European water regime. </w:t>
      </w:r>
      <w:r w:rsidR="009B3015" w:rsidRPr="00EA2DC6">
        <w:rPr>
          <w:rFonts w:cs="Arial"/>
          <w:color w:val="000000" w:themeColor="text1"/>
          <w:sz w:val="14"/>
          <w:szCs w:val="14"/>
        </w:rPr>
        <w:t>3 AWE</w:t>
      </w:r>
      <w:r w:rsidRPr="00EA2DC6">
        <w:rPr>
          <w:rFonts w:cs="Arial"/>
          <w:color w:val="000000" w:themeColor="text1"/>
          <w:sz w:val="14"/>
          <w:szCs w:val="14"/>
        </w:rPr>
        <w:t xml:space="preserve"> (2015) review. 4 Jensen </w:t>
      </w:r>
      <w:r w:rsidRPr="00EA2DC6">
        <w:rPr>
          <w:rFonts w:cs="Arial"/>
          <w:i/>
          <w:color w:val="000000" w:themeColor="text1"/>
          <w:sz w:val="14"/>
          <w:szCs w:val="14"/>
        </w:rPr>
        <w:t>et al.</w:t>
      </w:r>
      <w:r w:rsidRPr="00EA2DC6">
        <w:rPr>
          <w:rFonts w:cs="Arial"/>
          <w:color w:val="000000" w:themeColor="text1"/>
          <w:sz w:val="14"/>
          <w:szCs w:val="14"/>
        </w:rPr>
        <w:t xml:space="preserve"> 2008b. 5 Roberts and Marston 2000. 6 Overton </w:t>
      </w:r>
      <w:r w:rsidRPr="00EA2DC6">
        <w:rPr>
          <w:rFonts w:cs="Arial"/>
          <w:i/>
          <w:color w:val="000000" w:themeColor="text1"/>
          <w:sz w:val="14"/>
          <w:szCs w:val="14"/>
        </w:rPr>
        <w:t>et al.</w:t>
      </w:r>
      <w:r w:rsidRPr="00EA2DC6">
        <w:rPr>
          <w:rFonts w:cs="Arial"/>
          <w:color w:val="000000" w:themeColor="text1"/>
          <w:sz w:val="14"/>
          <w:szCs w:val="14"/>
        </w:rPr>
        <w:t xml:space="preserve"> 2014. 7 Casanova 2014. 8 Jensen </w:t>
      </w:r>
      <w:r w:rsidRPr="00EA2DC6">
        <w:rPr>
          <w:rFonts w:cs="Arial"/>
          <w:i/>
          <w:color w:val="000000" w:themeColor="text1"/>
          <w:sz w:val="14"/>
          <w:szCs w:val="14"/>
        </w:rPr>
        <w:t>et al.</w:t>
      </w:r>
      <w:r w:rsidRPr="00EA2DC6">
        <w:rPr>
          <w:rFonts w:cs="Arial"/>
          <w:color w:val="000000" w:themeColor="text1"/>
          <w:sz w:val="14"/>
          <w:szCs w:val="14"/>
        </w:rPr>
        <w:t xml:space="preserve"> 2008</w:t>
      </w:r>
      <w:r w:rsidR="000170F5">
        <w:rPr>
          <w:rFonts w:cs="Arial"/>
          <w:color w:val="000000" w:themeColor="text1"/>
          <w:sz w:val="14"/>
          <w:szCs w:val="14"/>
        </w:rPr>
        <w:t>a</w:t>
      </w:r>
      <w:r w:rsidRPr="00EA2DC6">
        <w:rPr>
          <w:rFonts w:cs="Arial"/>
          <w:color w:val="000000" w:themeColor="text1"/>
          <w:sz w:val="14"/>
          <w:szCs w:val="14"/>
        </w:rPr>
        <w:t xml:space="preserve">, 9 Jensen 2009. 10 Holland </w:t>
      </w:r>
      <w:r w:rsidRPr="00EA2DC6">
        <w:rPr>
          <w:rFonts w:cs="Arial"/>
          <w:i/>
          <w:color w:val="000000" w:themeColor="text1"/>
          <w:sz w:val="14"/>
          <w:szCs w:val="14"/>
        </w:rPr>
        <w:t>et al</w:t>
      </w:r>
      <w:r w:rsidRPr="00EA2DC6">
        <w:rPr>
          <w:rFonts w:cs="Arial"/>
          <w:color w:val="000000" w:themeColor="text1"/>
          <w:sz w:val="14"/>
          <w:szCs w:val="14"/>
        </w:rPr>
        <w:t xml:space="preserve">. 2013. 11 Capon and Balcombe 2015. 12 Duncan </w:t>
      </w:r>
      <w:r w:rsidRPr="00EA2DC6">
        <w:rPr>
          <w:rFonts w:cs="Arial"/>
          <w:i/>
          <w:color w:val="000000" w:themeColor="text1"/>
          <w:sz w:val="14"/>
          <w:szCs w:val="14"/>
        </w:rPr>
        <w:t>et al.</w:t>
      </w:r>
      <w:r w:rsidRPr="00EA2DC6">
        <w:rPr>
          <w:rFonts w:cs="Arial"/>
          <w:color w:val="000000" w:themeColor="text1"/>
          <w:sz w:val="14"/>
          <w:szCs w:val="14"/>
        </w:rPr>
        <w:t xml:space="preserve"> 2007. 13 Doody and Overton 2012.</w:t>
      </w:r>
      <w:r w:rsidR="00CC3D60">
        <w:rPr>
          <w:rFonts w:cs="Arial"/>
          <w:color w:val="000000" w:themeColor="text1"/>
          <w:sz w:val="14"/>
          <w:szCs w:val="14"/>
        </w:rPr>
        <w:t xml:space="preserve"> 14</w:t>
      </w:r>
      <w:r w:rsidRPr="00EA2DC6">
        <w:rPr>
          <w:rFonts w:cs="Arial"/>
          <w:color w:val="000000" w:themeColor="text1"/>
          <w:sz w:val="14"/>
          <w:szCs w:val="14"/>
        </w:rPr>
        <w:t xml:space="preserve"> Lamontagne </w:t>
      </w:r>
      <w:r w:rsidRPr="00EA2DC6">
        <w:rPr>
          <w:rFonts w:cs="Arial"/>
          <w:i/>
          <w:color w:val="000000" w:themeColor="text1"/>
          <w:sz w:val="14"/>
          <w:szCs w:val="14"/>
        </w:rPr>
        <w:t>et al.</w:t>
      </w:r>
      <w:r w:rsidRPr="00EA2DC6">
        <w:rPr>
          <w:rFonts w:cs="Arial"/>
          <w:color w:val="000000" w:themeColor="text1"/>
          <w:sz w:val="14"/>
          <w:szCs w:val="14"/>
        </w:rPr>
        <w:t xml:space="preserve"> 2012.</w:t>
      </w:r>
    </w:p>
    <w:p w14:paraId="0EA08361" w14:textId="77777777" w:rsidR="00EA2DC6" w:rsidRPr="00EA2DC6" w:rsidRDefault="00EA2DC6" w:rsidP="00EA2DC6">
      <w:pPr>
        <w:spacing w:after="0"/>
        <w:rPr>
          <w:rFonts w:cs="Arial"/>
          <w:color w:val="000000" w:themeColor="text1"/>
          <w:sz w:val="14"/>
          <w:szCs w:val="14"/>
        </w:rPr>
      </w:pPr>
    </w:p>
    <w:p w14:paraId="3EDCC793" w14:textId="77777777" w:rsidR="00EA2DC6" w:rsidRPr="00EA2DC6" w:rsidRDefault="00EA2DC6" w:rsidP="003E61E4">
      <w:pPr>
        <w:keepNext/>
        <w:keepLines/>
        <w:spacing w:before="240" w:after="120"/>
        <w:outlineLvl w:val="2"/>
        <w:rPr>
          <w:rFonts w:eastAsiaTheme="majorEastAsia" w:cstheme="majorBidi"/>
          <w:b/>
          <w:bCs/>
        </w:rPr>
        <w:sectPr w:rsidR="00EA2DC6" w:rsidRPr="00EA2DC6" w:rsidSect="0015681B">
          <w:footerReference w:type="default" r:id="rId101"/>
          <w:pgSz w:w="16840" w:h="11901" w:orient="landscape" w:code="9"/>
          <w:pgMar w:top="1134" w:right="567" w:bottom="851" w:left="851" w:header="567" w:footer="370" w:gutter="0"/>
          <w:cols w:space="0"/>
          <w:formProt w:val="0"/>
          <w:docGrid w:linePitch="360"/>
        </w:sectPr>
      </w:pPr>
    </w:p>
    <w:p w14:paraId="4B2E76C2" w14:textId="1EABA8DA" w:rsidR="00864F08" w:rsidRPr="00106436" w:rsidRDefault="00864F08" w:rsidP="00864F08">
      <w:pPr>
        <w:pStyle w:val="Heading9"/>
        <w:numPr>
          <w:ilvl w:val="0"/>
          <w:numId w:val="8"/>
        </w:numPr>
        <w:spacing w:after="0" w:line="240" w:lineRule="auto"/>
        <w:ind w:left="1985" w:hanging="1985"/>
        <w:rPr>
          <w:color w:val="65876D" w:themeColor="accent4" w:themeShade="BF"/>
        </w:rPr>
      </w:pPr>
      <w:bookmarkStart w:id="337" w:name="_Ref506214152"/>
      <w:bookmarkStart w:id="338" w:name="_Toc510785222"/>
      <w:bookmarkStart w:id="339" w:name="_Ref463540744"/>
      <w:bookmarkStart w:id="340" w:name="_Toc464486749"/>
      <w:bookmarkStart w:id="341" w:name="_Toc468885421"/>
      <w:r w:rsidRPr="00106436">
        <w:rPr>
          <w:color w:val="65876D" w:themeColor="accent4" w:themeShade="BF"/>
        </w:rPr>
        <w:t>Rapid Black Box Condition Assessment</w:t>
      </w:r>
      <w:bookmarkEnd w:id="337"/>
      <w:bookmarkEnd w:id="338"/>
    </w:p>
    <w:p w14:paraId="4768D6E1" w14:textId="42D55462" w:rsidR="00864F08" w:rsidRPr="00CE0821" w:rsidRDefault="00535F96" w:rsidP="00AB7532">
      <w:pPr>
        <w:pStyle w:val="Para0"/>
        <w:spacing w:line="300" w:lineRule="auto"/>
        <w:rPr>
          <w:rFonts w:cs="Arial"/>
          <w:szCs w:val="20"/>
        </w:rPr>
      </w:pPr>
      <w:r>
        <w:rPr>
          <w:rFonts w:cs="Arial"/>
          <w:szCs w:val="20"/>
        </w:rPr>
        <w:t xml:space="preserve">The following is the </w:t>
      </w:r>
      <w:r w:rsidR="00864F08" w:rsidRPr="006864B8">
        <w:rPr>
          <w:rFonts w:cs="Arial"/>
          <w:szCs w:val="20"/>
        </w:rPr>
        <w:t>methodology for a rapid condition assessment t</w:t>
      </w:r>
      <w:r>
        <w:rPr>
          <w:rFonts w:cs="Arial"/>
          <w:szCs w:val="20"/>
        </w:rPr>
        <w:t xml:space="preserve">hat can </w:t>
      </w:r>
      <w:r w:rsidR="00864F08" w:rsidRPr="006864B8">
        <w:rPr>
          <w:rFonts w:cs="Arial"/>
          <w:szCs w:val="20"/>
        </w:rPr>
        <w:t>be used when there is little previous knowledge about the condition of Black Box at a site. This methodology was developed as part of the Calperum Station Case Study, sp</w:t>
      </w:r>
      <w:r w:rsidR="00864F08" w:rsidRPr="00ED6DB2">
        <w:rPr>
          <w:rFonts w:cs="Arial"/>
          <w:szCs w:val="20"/>
        </w:rPr>
        <w:t>ecifically with the purposes of the F</w:t>
      </w:r>
      <w:r>
        <w:rPr>
          <w:rFonts w:cs="Arial"/>
          <w:szCs w:val="20"/>
        </w:rPr>
        <w:t>ramework</w:t>
      </w:r>
      <w:r w:rsidR="00864F08" w:rsidRPr="00ED6DB2">
        <w:rPr>
          <w:rFonts w:cs="Arial"/>
          <w:szCs w:val="20"/>
        </w:rPr>
        <w:t xml:space="preserve"> in mind. </w:t>
      </w:r>
      <w:r w:rsidR="00864F08" w:rsidRPr="00DF4A1A">
        <w:rPr>
          <w:rFonts w:cs="Arial"/>
          <w:szCs w:val="20"/>
        </w:rPr>
        <w:t xml:space="preserve">This </w:t>
      </w:r>
      <w:r w:rsidR="00864F08" w:rsidRPr="006864B8">
        <w:rPr>
          <w:rFonts w:cs="Arial"/>
          <w:szCs w:val="20"/>
        </w:rPr>
        <w:t xml:space="preserve">new condition assessment methodology was </w:t>
      </w:r>
      <w:r w:rsidR="00864F08" w:rsidRPr="00DF4A1A">
        <w:rPr>
          <w:rFonts w:cs="Arial"/>
          <w:szCs w:val="20"/>
        </w:rPr>
        <w:t xml:space="preserve">designed to support management </w:t>
      </w:r>
      <w:r w:rsidR="005C4005" w:rsidRPr="00DF4A1A">
        <w:rPr>
          <w:rFonts w:cs="Arial"/>
          <w:szCs w:val="20"/>
        </w:rPr>
        <w:t>planning and</w:t>
      </w:r>
      <w:r w:rsidR="00864F08" w:rsidRPr="00DF4A1A">
        <w:rPr>
          <w:rFonts w:cs="Arial"/>
          <w:szCs w:val="20"/>
        </w:rPr>
        <w:t xml:space="preserve"> was driven by management actions affecting large areas</w:t>
      </w:r>
      <w:r w:rsidR="00864F08" w:rsidRPr="006864B8">
        <w:rPr>
          <w:rFonts w:cs="Arial"/>
          <w:szCs w:val="20"/>
        </w:rPr>
        <w:t>. The methodology was also developed to be easy and quick</w:t>
      </w:r>
      <w:r w:rsidR="00864F08" w:rsidRPr="00ED6DB2">
        <w:rPr>
          <w:rFonts w:cs="Arial"/>
          <w:szCs w:val="20"/>
        </w:rPr>
        <w:t xml:space="preserve"> to apply, allowing landholders to conduct surveys over large areas within reasonable timeframes.</w:t>
      </w:r>
    </w:p>
    <w:p w14:paraId="1C08519A" w14:textId="06125B4B" w:rsidR="00864F08" w:rsidRPr="00DF4A1A" w:rsidRDefault="00864F08" w:rsidP="00AB7532">
      <w:pPr>
        <w:pStyle w:val="Para0"/>
        <w:spacing w:line="300" w:lineRule="auto"/>
        <w:rPr>
          <w:rFonts w:cs="Arial"/>
          <w:szCs w:val="20"/>
        </w:rPr>
      </w:pPr>
      <w:r w:rsidRPr="00DF4A1A">
        <w:rPr>
          <w:rFonts w:cs="Arial"/>
          <w:szCs w:val="20"/>
        </w:rPr>
        <w:t>The condition assessment methodology has been designed to allow landholders to identify and prioritise areas of Black Box which require immediate or long-term management</w:t>
      </w:r>
      <w:r w:rsidR="00860B7B">
        <w:rPr>
          <w:rFonts w:cs="Arial"/>
          <w:szCs w:val="20"/>
        </w:rPr>
        <w:t xml:space="preserve">. Although it can provide a simple method of monitoring, the classes are </w:t>
      </w:r>
      <w:r w:rsidR="005C4005">
        <w:rPr>
          <w:rFonts w:cs="Arial"/>
          <w:szCs w:val="20"/>
        </w:rPr>
        <w:t>broad</w:t>
      </w:r>
      <w:r w:rsidR="00860B7B">
        <w:rPr>
          <w:rFonts w:cs="Arial"/>
          <w:szCs w:val="20"/>
        </w:rPr>
        <w:t xml:space="preserve"> and are unlikely to appropriate to detect short term and </w:t>
      </w:r>
      <w:r w:rsidR="004D3070">
        <w:rPr>
          <w:rFonts w:cs="Arial"/>
          <w:szCs w:val="20"/>
        </w:rPr>
        <w:t>small changes</w:t>
      </w:r>
      <w:r w:rsidR="00860B7B">
        <w:rPr>
          <w:rFonts w:cs="Arial"/>
          <w:szCs w:val="20"/>
        </w:rPr>
        <w:t xml:space="preserve"> in condition from </w:t>
      </w:r>
      <w:r w:rsidRPr="00DF4A1A">
        <w:rPr>
          <w:rFonts w:cs="Arial"/>
          <w:szCs w:val="20"/>
        </w:rPr>
        <w:t xml:space="preserve">management actions. The assessment </w:t>
      </w:r>
      <w:r w:rsidR="00225D29">
        <w:rPr>
          <w:rFonts w:cs="Arial"/>
          <w:szCs w:val="20"/>
        </w:rPr>
        <w:t>i</w:t>
      </w:r>
      <w:r w:rsidRPr="00DF4A1A">
        <w:rPr>
          <w:rFonts w:cs="Arial"/>
          <w:szCs w:val="20"/>
        </w:rPr>
        <w:t xml:space="preserve">s </w:t>
      </w:r>
      <w:r w:rsidR="00860B7B">
        <w:rPr>
          <w:rFonts w:cs="Arial"/>
          <w:szCs w:val="20"/>
        </w:rPr>
        <w:t>c</w:t>
      </w:r>
      <w:r w:rsidRPr="00DF4A1A">
        <w:rPr>
          <w:rFonts w:cs="Arial"/>
          <w:szCs w:val="20"/>
        </w:rPr>
        <w:t xml:space="preserve">onducted at a </w:t>
      </w:r>
      <w:r w:rsidR="009F6E85">
        <w:rPr>
          <w:rFonts w:cs="Arial"/>
          <w:szCs w:val="20"/>
        </w:rPr>
        <w:t>unit</w:t>
      </w:r>
      <w:r w:rsidRPr="00DF4A1A">
        <w:rPr>
          <w:rFonts w:cs="Arial"/>
          <w:szCs w:val="20"/>
        </w:rPr>
        <w:t xml:space="preserve"> scale, as individual variability within Black Box units would not </w:t>
      </w:r>
      <w:r w:rsidR="00225D29">
        <w:rPr>
          <w:rFonts w:cs="Arial"/>
          <w:szCs w:val="20"/>
        </w:rPr>
        <w:t>allow consistent</w:t>
      </w:r>
      <w:r w:rsidRPr="00DF4A1A">
        <w:rPr>
          <w:rFonts w:cs="Arial"/>
          <w:szCs w:val="20"/>
        </w:rPr>
        <w:t xml:space="preserve"> management planning decisions. The method supports the identification of Black Box management units and possible management actions.</w:t>
      </w:r>
    </w:p>
    <w:p w14:paraId="5FF47720" w14:textId="225E06F0" w:rsidR="00864F08" w:rsidRPr="009F6E85" w:rsidRDefault="00864F08" w:rsidP="00AB7532">
      <w:pPr>
        <w:pStyle w:val="Para0"/>
        <w:spacing w:line="300" w:lineRule="auto"/>
        <w:rPr>
          <w:rFonts w:cs="Arial"/>
        </w:rPr>
      </w:pPr>
      <w:r w:rsidRPr="009F6E85">
        <w:rPr>
          <w:rFonts w:cs="Arial"/>
          <w:szCs w:val="20"/>
        </w:rPr>
        <w:t xml:space="preserve">The </w:t>
      </w:r>
      <w:r w:rsidR="00860B7B" w:rsidRPr="009F6E85">
        <w:rPr>
          <w:rFonts w:cs="Arial"/>
          <w:szCs w:val="20"/>
        </w:rPr>
        <w:t xml:space="preserve">rapid </w:t>
      </w:r>
      <w:r w:rsidRPr="009F6E85">
        <w:rPr>
          <w:rFonts w:cs="Arial"/>
          <w:szCs w:val="20"/>
        </w:rPr>
        <w:t xml:space="preserve">condition assessment methodology is comprised of the following elements: </w:t>
      </w:r>
    </w:p>
    <w:p w14:paraId="408ADEF7" w14:textId="58DCE6A3" w:rsidR="00864F08" w:rsidRPr="009F6E85" w:rsidRDefault="00864F08" w:rsidP="00F22225">
      <w:pPr>
        <w:pStyle w:val="Para0"/>
        <w:numPr>
          <w:ilvl w:val="0"/>
          <w:numId w:val="81"/>
        </w:numPr>
        <w:spacing w:line="300" w:lineRule="auto"/>
        <w:rPr>
          <w:rFonts w:cs="Arial"/>
        </w:rPr>
      </w:pPr>
      <w:r w:rsidRPr="009F6E85">
        <w:rPr>
          <w:rFonts w:cs="Arial"/>
          <w:szCs w:val="20"/>
        </w:rPr>
        <w:t>Condition class based on canopy cover</w:t>
      </w:r>
      <w:r w:rsidR="00D73FAF">
        <w:rPr>
          <w:rFonts w:cs="Arial"/>
          <w:szCs w:val="20"/>
        </w:rPr>
        <w:t xml:space="preserve"> and</w:t>
      </w:r>
      <w:r w:rsidRPr="009F6E85">
        <w:rPr>
          <w:rFonts w:cs="Arial"/>
          <w:szCs w:val="20"/>
        </w:rPr>
        <w:t xml:space="preserve"> epicormic growth</w:t>
      </w:r>
      <w:r w:rsidR="00D73FAF">
        <w:rPr>
          <w:rFonts w:cs="Arial"/>
          <w:szCs w:val="20"/>
        </w:rPr>
        <w:t xml:space="preserve"> (growth of leaves on the </w:t>
      </w:r>
      <w:r w:rsidR="00FF5028">
        <w:rPr>
          <w:rFonts w:cs="Arial"/>
          <w:szCs w:val="20"/>
        </w:rPr>
        <w:t>tree trunks rather than on outer branches which is a response to water stress)</w:t>
      </w:r>
      <w:r w:rsidR="00860B7B" w:rsidRPr="009F6E85">
        <w:rPr>
          <w:rFonts w:cs="Arial"/>
          <w:szCs w:val="20"/>
        </w:rPr>
        <w:t>;</w:t>
      </w:r>
      <w:r w:rsidRPr="009F6E85">
        <w:rPr>
          <w:rFonts w:cs="Arial"/>
          <w:szCs w:val="20"/>
        </w:rPr>
        <w:t xml:space="preserve"> </w:t>
      </w:r>
    </w:p>
    <w:p w14:paraId="2A98897E" w14:textId="69CD2ED0" w:rsidR="00864F08" w:rsidRPr="009F6E85" w:rsidRDefault="00864F08" w:rsidP="00F22225">
      <w:pPr>
        <w:pStyle w:val="Para0"/>
        <w:numPr>
          <w:ilvl w:val="0"/>
          <w:numId w:val="81"/>
        </w:numPr>
        <w:spacing w:line="300" w:lineRule="auto"/>
        <w:rPr>
          <w:rFonts w:cs="Arial"/>
        </w:rPr>
      </w:pPr>
      <w:r w:rsidRPr="009F6E85">
        <w:rPr>
          <w:rFonts w:cs="Arial"/>
          <w:szCs w:val="20"/>
        </w:rPr>
        <w:t>Growth form based on height and trunk diameter</w:t>
      </w:r>
      <w:r w:rsidR="00860B7B" w:rsidRPr="009F6E85">
        <w:rPr>
          <w:rFonts w:cs="Arial"/>
          <w:szCs w:val="20"/>
        </w:rPr>
        <w:t>;</w:t>
      </w:r>
      <w:r w:rsidR="002E23AA" w:rsidRPr="009F6E85">
        <w:rPr>
          <w:rFonts w:cs="Arial"/>
          <w:szCs w:val="20"/>
        </w:rPr>
        <w:t xml:space="preserve"> and</w:t>
      </w:r>
    </w:p>
    <w:p w14:paraId="38DF5F7F" w14:textId="47AAA011" w:rsidR="00864F08" w:rsidRPr="009F6E85" w:rsidRDefault="00864F08" w:rsidP="00F22225">
      <w:pPr>
        <w:pStyle w:val="Para0"/>
        <w:numPr>
          <w:ilvl w:val="0"/>
          <w:numId w:val="81"/>
        </w:numPr>
        <w:spacing w:line="300" w:lineRule="auto"/>
        <w:rPr>
          <w:rFonts w:cs="Arial"/>
        </w:rPr>
      </w:pPr>
      <w:r w:rsidRPr="009F6E85">
        <w:rPr>
          <w:rFonts w:cs="Arial"/>
          <w:szCs w:val="20"/>
        </w:rPr>
        <w:t xml:space="preserve">Density, the number of trees per hectare in the </w:t>
      </w:r>
      <w:r w:rsidR="009F6E85">
        <w:rPr>
          <w:rFonts w:cs="Arial"/>
          <w:szCs w:val="20"/>
        </w:rPr>
        <w:t>management unit</w:t>
      </w:r>
      <w:r w:rsidR="002E23AA" w:rsidRPr="009F6E85">
        <w:rPr>
          <w:rFonts w:cs="Arial"/>
          <w:szCs w:val="20"/>
        </w:rPr>
        <w:t>.</w:t>
      </w:r>
    </w:p>
    <w:p w14:paraId="71CBB398" w14:textId="6F6DAEAF" w:rsidR="00860B7B" w:rsidRPr="009F6E85" w:rsidRDefault="00860B7B" w:rsidP="00AB7532">
      <w:pPr>
        <w:pStyle w:val="Para0"/>
        <w:spacing w:line="300" w:lineRule="auto"/>
        <w:rPr>
          <w:rFonts w:cs="Arial"/>
        </w:rPr>
      </w:pPr>
      <w:r w:rsidRPr="009F6E85">
        <w:rPr>
          <w:rFonts w:cs="Arial"/>
          <w:szCs w:val="20"/>
        </w:rPr>
        <w:t>Further validation could be undertaken using:</w:t>
      </w:r>
    </w:p>
    <w:p w14:paraId="1FD49D79" w14:textId="36C26654" w:rsidR="00864F08" w:rsidRPr="009F6E85" w:rsidRDefault="00864F08" w:rsidP="00F22225">
      <w:pPr>
        <w:pStyle w:val="Para0"/>
        <w:numPr>
          <w:ilvl w:val="0"/>
          <w:numId w:val="82"/>
        </w:numPr>
        <w:spacing w:line="300" w:lineRule="auto"/>
        <w:rPr>
          <w:rFonts w:cs="Arial"/>
        </w:rPr>
      </w:pPr>
      <w:r w:rsidRPr="009F6E85">
        <w:rPr>
          <w:rFonts w:cs="Arial"/>
          <w:szCs w:val="20"/>
        </w:rPr>
        <w:t>Condition verification via satellite imagery analysis, to support the field assessments of Black Box condition</w:t>
      </w:r>
      <w:r w:rsidR="00860B7B" w:rsidRPr="009F6E85">
        <w:rPr>
          <w:rFonts w:cs="Arial"/>
          <w:szCs w:val="20"/>
        </w:rPr>
        <w:t>.</w:t>
      </w:r>
    </w:p>
    <w:p w14:paraId="5ADC7AC2" w14:textId="19269761" w:rsidR="009F6E85" w:rsidRPr="009F6E85" w:rsidRDefault="009F6E85" w:rsidP="00AB7532">
      <w:pPr>
        <w:pStyle w:val="Para0"/>
        <w:spacing w:line="300" w:lineRule="auto"/>
        <w:rPr>
          <w:rFonts w:cs="Arial"/>
        </w:rPr>
      </w:pPr>
      <w:r w:rsidRPr="009F6E85">
        <w:rPr>
          <w:rFonts w:cs="Arial"/>
          <w:szCs w:val="20"/>
        </w:rPr>
        <w:t>The final step is to map contiguous areas of Black Box that would all be affected in a similar way by broad management actions. These are designated as management units as they are areas that can be treated as a single unit for the purposes of condition assessment and management options.</w:t>
      </w:r>
    </w:p>
    <w:p w14:paraId="6CFC1F31" w14:textId="77777777" w:rsidR="00860B7B" w:rsidRDefault="00860B7B" w:rsidP="00860B7B">
      <w:pPr>
        <w:pStyle w:val="Bodyheading"/>
        <w:spacing w:before="120"/>
        <w:ind w:left="0"/>
      </w:pPr>
    </w:p>
    <w:p w14:paraId="23FA80A6" w14:textId="1FED4851" w:rsidR="00864F08" w:rsidRPr="005C32F1" w:rsidRDefault="00864F08" w:rsidP="004D3070">
      <w:pPr>
        <w:pStyle w:val="Bodyheading"/>
        <w:spacing w:before="120"/>
        <w:ind w:left="0"/>
        <w:rPr>
          <w:color w:val="auto"/>
        </w:rPr>
      </w:pPr>
      <w:r w:rsidRPr="005C32F1">
        <w:rPr>
          <w:color w:val="auto"/>
        </w:rPr>
        <w:t>Condition Class</w:t>
      </w:r>
    </w:p>
    <w:p w14:paraId="5C263798" w14:textId="6E1FC31B" w:rsidR="00864F08" w:rsidRPr="002C2F92" w:rsidRDefault="00864F08" w:rsidP="00864F08">
      <w:pPr>
        <w:pStyle w:val="Para0"/>
        <w:spacing w:line="300" w:lineRule="auto"/>
        <w:rPr>
          <w:rFonts w:asciiTheme="minorHAnsi" w:hAnsiTheme="minorHAnsi" w:cstheme="minorHAnsi"/>
          <w:sz w:val="22"/>
          <w:szCs w:val="22"/>
        </w:rPr>
      </w:pPr>
      <w:r w:rsidRPr="00DF4A1A">
        <w:rPr>
          <w:rFonts w:cs="Arial"/>
          <w:szCs w:val="20"/>
        </w:rPr>
        <w:t xml:space="preserve">Black </w:t>
      </w:r>
      <w:r w:rsidR="009F6E85">
        <w:rPr>
          <w:rFonts w:cs="Arial"/>
          <w:szCs w:val="20"/>
        </w:rPr>
        <w:t>B</w:t>
      </w:r>
      <w:r w:rsidRPr="00DF4A1A">
        <w:rPr>
          <w:rFonts w:cs="Arial"/>
          <w:szCs w:val="20"/>
        </w:rPr>
        <w:t xml:space="preserve">ox </w:t>
      </w:r>
      <w:r w:rsidR="009F6E85">
        <w:rPr>
          <w:rFonts w:cs="Arial"/>
          <w:szCs w:val="20"/>
        </w:rPr>
        <w:t xml:space="preserve">management unit </w:t>
      </w:r>
      <w:r w:rsidRPr="00DF4A1A">
        <w:rPr>
          <w:rFonts w:cs="Arial"/>
          <w:szCs w:val="20"/>
        </w:rPr>
        <w:t xml:space="preserve">condition classes </w:t>
      </w:r>
      <w:r w:rsidR="00225D29">
        <w:rPr>
          <w:rFonts w:cs="Arial"/>
          <w:szCs w:val="20"/>
        </w:rPr>
        <w:t>a</w:t>
      </w:r>
      <w:r w:rsidRPr="00DF4A1A">
        <w:rPr>
          <w:rFonts w:cs="Arial"/>
          <w:szCs w:val="20"/>
        </w:rPr>
        <w:t>re assessed on the visual indicators outlined in</w:t>
      </w:r>
      <w:r w:rsidR="004D3070">
        <w:rPr>
          <w:rFonts w:cs="Arial"/>
          <w:szCs w:val="20"/>
        </w:rPr>
        <w:t xml:space="preserve"> </w:t>
      </w:r>
      <w:r w:rsidR="004D3070">
        <w:rPr>
          <w:rFonts w:cs="Arial"/>
          <w:b/>
          <w:bCs/>
          <w:szCs w:val="20"/>
          <w:highlight w:val="yellow"/>
          <w:lang w:val="en-US"/>
        </w:rPr>
        <w:fldChar w:fldCharType="begin"/>
      </w:r>
      <w:r w:rsidR="004D3070">
        <w:rPr>
          <w:rFonts w:cs="Arial"/>
          <w:szCs w:val="20"/>
        </w:rPr>
        <w:instrText xml:space="preserve"> REF _Ref506801185 \h </w:instrText>
      </w:r>
      <w:r w:rsidR="004D3070">
        <w:rPr>
          <w:rFonts w:cs="Arial"/>
          <w:b/>
          <w:bCs/>
          <w:szCs w:val="20"/>
          <w:highlight w:val="yellow"/>
          <w:lang w:val="en-US"/>
        </w:rPr>
      </w:r>
      <w:r w:rsidR="004D3070">
        <w:rPr>
          <w:rFonts w:cs="Arial"/>
          <w:b/>
          <w:bCs/>
          <w:szCs w:val="20"/>
          <w:highlight w:val="yellow"/>
          <w:lang w:val="en-US"/>
        </w:rPr>
        <w:fldChar w:fldCharType="separate"/>
      </w:r>
      <w:r w:rsidR="00BF015B">
        <w:t xml:space="preserve">Figure </w:t>
      </w:r>
      <w:r w:rsidR="00BF015B">
        <w:rPr>
          <w:noProof/>
        </w:rPr>
        <w:t>7</w:t>
      </w:r>
      <w:r w:rsidR="00BF015B">
        <w:noBreakHyphen/>
      </w:r>
      <w:r w:rsidR="00BF015B">
        <w:rPr>
          <w:noProof/>
        </w:rPr>
        <w:t>1</w:t>
      </w:r>
      <w:r w:rsidR="004D3070">
        <w:rPr>
          <w:rFonts w:cs="Arial"/>
          <w:b/>
          <w:bCs/>
          <w:szCs w:val="20"/>
          <w:highlight w:val="yellow"/>
          <w:lang w:val="en-US"/>
        </w:rPr>
        <w:fldChar w:fldCharType="end"/>
      </w:r>
      <w:r w:rsidR="004D3070">
        <w:rPr>
          <w:rFonts w:cs="Arial"/>
          <w:b/>
          <w:bCs/>
          <w:szCs w:val="20"/>
          <w:lang w:val="en-US"/>
        </w:rPr>
        <w:t xml:space="preserve">. </w:t>
      </w:r>
      <w:r w:rsidRPr="00DF4A1A">
        <w:rPr>
          <w:rFonts w:cs="Arial"/>
          <w:szCs w:val="20"/>
        </w:rPr>
        <w:t xml:space="preserve">Condition </w:t>
      </w:r>
      <w:r w:rsidR="004D3070">
        <w:rPr>
          <w:rFonts w:cs="Arial"/>
          <w:szCs w:val="20"/>
        </w:rPr>
        <w:t>i</w:t>
      </w:r>
      <w:r w:rsidRPr="00DF4A1A">
        <w:rPr>
          <w:rFonts w:cs="Arial"/>
          <w:szCs w:val="20"/>
        </w:rPr>
        <w:t xml:space="preserve">s assessed using a qualitative approach considering a combination of dieback, crown cover, and epicormic growth. Visual inspection </w:t>
      </w:r>
      <w:r w:rsidR="004D3070">
        <w:rPr>
          <w:rFonts w:cs="Arial"/>
          <w:szCs w:val="20"/>
        </w:rPr>
        <w:t>i</w:t>
      </w:r>
      <w:r w:rsidRPr="00DF4A1A">
        <w:rPr>
          <w:rFonts w:cs="Arial"/>
          <w:szCs w:val="20"/>
        </w:rPr>
        <w:t xml:space="preserve">s conducted at a </w:t>
      </w:r>
      <w:r w:rsidR="009F6E85">
        <w:rPr>
          <w:rFonts w:cs="Arial"/>
          <w:szCs w:val="20"/>
        </w:rPr>
        <w:t>unit</w:t>
      </w:r>
      <w:r w:rsidRPr="00DF4A1A">
        <w:rPr>
          <w:rFonts w:cs="Arial"/>
          <w:szCs w:val="20"/>
        </w:rPr>
        <w:t xml:space="preserve"> scale, estimation of condition taking into consideration the overall condition within a </w:t>
      </w:r>
      <w:r w:rsidR="009F6E85">
        <w:rPr>
          <w:rFonts w:cs="Arial"/>
          <w:szCs w:val="20"/>
        </w:rPr>
        <w:t>unit</w:t>
      </w:r>
      <w:r w:rsidRPr="00DF4A1A">
        <w:rPr>
          <w:rFonts w:cs="Arial"/>
          <w:szCs w:val="20"/>
        </w:rPr>
        <w:t xml:space="preserve">. Examples of each condition class are shown below in </w:t>
      </w:r>
      <w:r w:rsidR="004D3070">
        <w:rPr>
          <w:rFonts w:cs="Arial"/>
          <w:b/>
          <w:bCs/>
          <w:szCs w:val="20"/>
          <w:highlight w:val="yellow"/>
          <w:lang w:val="en-US"/>
        </w:rPr>
        <w:fldChar w:fldCharType="begin"/>
      </w:r>
      <w:r w:rsidR="004D3070">
        <w:rPr>
          <w:rFonts w:cs="Arial"/>
          <w:szCs w:val="20"/>
        </w:rPr>
        <w:instrText xml:space="preserve"> REF _Ref506800971 \h </w:instrText>
      </w:r>
      <w:r w:rsidR="004D3070">
        <w:rPr>
          <w:rFonts w:cs="Arial"/>
          <w:b/>
          <w:bCs/>
          <w:szCs w:val="20"/>
          <w:highlight w:val="yellow"/>
          <w:lang w:val="en-US"/>
        </w:rPr>
      </w:r>
      <w:r w:rsidR="004D3070">
        <w:rPr>
          <w:rFonts w:cs="Arial"/>
          <w:b/>
          <w:bCs/>
          <w:szCs w:val="20"/>
          <w:highlight w:val="yellow"/>
          <w:lang w:val="en-US"/>
        </w:rPr>
        <w:fldChar w:fldCharType="separate"/>
      </w:r>
      <w:r w:rsidR="00BF015B" w:rsidRPr="007A45D5">
        <w:t xml:space="preserve">Table </w:t>
      </w:r>
      <w:r w:rsidR="00BF015B">
        <w:rPr>
          <w:noProof/>
        </w:rPr>
        <w:t>7</w:t>
      </w:r>
      <w:r w:rsidR="00BF015B" w:rsidRPr="007A45D5">
        <w:noBreakHyphen/>
      </w:r>
      <w:r w:rsidR="00BF015B">
        <w:rPr>
          <w:noProof/>
        </w:rPr>
        <w:t>2</w:t>
      </w:r>
      <w:r w:rsidR="004D3070">
        <w:rPr>
          <w:rFonts w:cs="Arial"/>
          <w:b/>
          <w:bCs/>
          <w:szCs w:val="20"/>
          <w:highlight w:val="yellow"/>
          <w:lang w:val="en-US"/>
        </w:rPr>
        <w:fldChar w:fldCharType="end"/>
      </w:r>
      <w:r w:rsidR="004D3070">
        <w:rPr>
          <w:rFonts w:cs="Arial"/>
          <w:b/>
          <w:bCs/>
          <w:szCs w:val="20"/>
          <w:lang w:val="en-US"/>
        </w:rPr>
        <w:t xml:space="preserve">. </w:t>
      </w:r>
    </w:p>
    <w:p w14:paraId="412FB383" w14:textId="2B17C180" w:rsidR="00864F08" w:rsidRPr="007A45D5" w:rsidRDefault="00864F08" w:rsidP="00633CCE">
      <w:pPr>
        <w:pStyle w:val="Caption"/>
      </w:pPr>
      <w:bookmarkStart w:id="342" w:name="_Ref506800971"/>
      <w:bookmarkStart w:id="343" w:name="_Toc514068802"/>
      <w:r w:rsidRPr="007A45D5">
        <w:t xml:space="preserve">Table </w:t>
      </w:r>
      <w:r w:rsidR="002D4BCF" w:rsidRPr="007A45D5">
        <w:fldChar w:fldCharType="begin"/>
      </w:r>
      <w:r w:rsidR="002D4BCF" w:rsidRPr="007A45D5">
        <w:instrText xml:space="preserve"> STYLEREF 1 \s </w:instrText>
      </w:r>
      <w:r w:rsidR="002D4BCF" w:rsidRPr="007A45D5">
        <w:fldChar w:fldCharType="separate"/>
      </w:r>
      <w:r w:rsidR="00BF015B">
        <w:rPr>
          <w:noProof/>
        </w:rPr>
        <w:t>7</w:t>
      </w:r>
      <w:r w:rsidR="002D4BCF" w:rsidRPr="007A45D5">
        <w:fldChar w:fldCharType="end"/>
      </w:r>
      <w:r w:rsidR="002D4BCF" w:rsidRPr="007A45D5">
        <w:noBreakHyphen/>
      </w:r>
      <w:r w:rsidR="002D4BCF" w:rsidRPr="007A45D5">
        <w:fldChar w:fldCharType="begin"/>
      </w:r>
      <w:r w:rsidR="002D4BCF" w:rsidRPr="007A45D5">
        <w:instrText xml:space="preserve"> SEQ Table \* ARABIC \s 1 </w:instrText>
      </w:r>
      <w:r w:rsidR="002D4BCF" w:rsidRPr="007A45D5">
        <w:fldChar w:fldCharType="separate"/>
      </w:r>
      <w:r w:rsidR="00BF015B">
        <w:rPr>
          <w:noProof/>
        </w:rPr>
        <w:t>2</w:t>
      </w:r>
      <w:r w:rsidR="002D4BCF" w:rsidRPr="007A45D5">
        <w:fldChar w:fldCharType="end"/>
      </w:r>
      <w:bookmarkEnd w:id="342"/>
      <w:r w:rsidR="005C32F1">
        <w:t xml:space="preserve">: </w:t>
      </w:r>
      <w:r w:rsidRPr="007A45D5">
        <w:t xml:space="preserve">Black Box </w:t>
      </w:r>
      <w:r w:rsidR="005C32F1">
        <w:t>c</w:t>
      </w:r>
      <w:r w:rsidRPr="007A45D5">
        <w:t xml:space="preserve">ondition </w:t>
      </w:r>
      <w:r w:rsidR="005C32F1">
        <w:t>c</w:t>
      </w:r>
      <w:r w:rsidRPr="007A45D5">
        <w:t>lassification</w:t>
      </w:r>
      <w:bookmarkEnd w:id="343"/>
    </w:p>
    <w:tbl>
      <w:tblPr>
        <w:tblStyle w:val="Table1"/>
        <w:tblW w:w="0" w:type="auto"/>
        <w:jc w:val="center"/>
        <w:tblInd w:w="0" w:type="dxa"/>
        <w:tblLook w:val="04A0" w:firstRow="1" w:lastRow="0" w:firstColumn="1" w:lastColumn="0" w:noHBand="0" w:noVBand="1"/>
      </w:tblPr>
      <w:tblGrid>
        <w:gridCol w:w="1413"/>
        <w:gridCol w:w="3742"/>
        <w:gridCol w:w="4751"/>
      </w:tblGrid>
      <w:tr w:rsidR="00864F08" w:rsidRPr="002C2F92" w14:paraId="0C041271" w14:textId="77777777" w:rsidTr="00864F0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1D3641" w:themeFill="text2"/>
          </w:tcPr>
          <w:p w14:paraId="5E0674A4" w14:textId="77777777" w:rsidR="00864F08" w:rsidRPr="007E10B8" w:rsidRDefault="00864F08" w:rsidP="00633CCE">
            <w:pPr>
              <w:pStyle w:val="NoSpacing"/>
              <w:keepNext/>
              <w:rPr>
                <w:rFonts w:cstheme="minorHAnsi"/>
                <w:color w:val="FFFFFF" w:themeColor="background1"/>
                <w:sz w:val="20"/>
                <w:szCs w:val="20"/>
              </w:rPr>
            </w:pPr>
            <w:r w:rsidRPr="007E10B8">
              <w:rPr>
                <w:rFonts w:cstheme="minorHAnsi"/>
                <w:color w:val="FFFFFF" w:themeColor="background1"/>
                <w:sz w:val="20"/>
                <w:szCs w:val="20"/>
              </w:rPr>
              <w:t>Class</w:t>
            </w:r>
          </w:p>
        </w:tc>
        <w:tc>
          <w:tcPr>
            <w:tcW w:w="3742" w:type="dxa"/>
            <w:shd w:val="clear" w:color="auto" w:fill="1D3641" w:themeFill="text2"/>
          </w:tcPr>
          <w:p w14:paraId="38B59F6E" w14:textId="77777777" w:rsidR="00864F08" w:rsidRPr="007E10B8" w:rsidRDefault="00864F08" w:rsidP="00633CCE">
            <w:pPr>
              <w:pStyle w:val="NoSpacing"/>
              <w:keepNex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0"/>
                <w:szCs w:val="20"/>
              </w:rPr>
            </w:pPr>
            <w:r w:rsidRPr="007E10B8">
              <w:rPr>
                <w:rFonts w:cstheme="minorHAnsi"/>
                <w:color w:val="FFFFFF" w:themeColor="background1"/>
                <w:sz w:val="20"/>
                <w:szCs w:val="20"/>
              </w:rPr>
              <w:t>Description - Observed elements</w:t>
            </w:r>
          </w:p>
        </w:tc>
        <w:tc>
          <w:tcPr>
            <w:tcW w:w="0" w:type="auto"/>
            <w:shd w:val="clear" w:color="auto" w:fill="1D3641" w:themeFill="text2"/>
          </w:tcPr>
          <w:p w14:paraId="2AB20F5C" w14:textId="77777777" w:rsidR="00864F08" w:rsidRPr="007E10B8" w:rsidRDefault="00864F08" w:rsidP="00633CCE">
            <w:pPr>
              <w:pStyle w:val="NoSpacing"/>
              <w:keepNex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0"/>
                <w:szCs w:val="20"/>
              </w:rPr>
            </w:pPr>
            <w:r w:rsidRPr="007E10B8">
              <w:rPr>
                <w:rFonts w:cstheme="minorHAnsi"/>
                <w:color w:val="FFFFFF" w:themeColor="background1"/>
                <w:sz w:val="20"/>
                <w:szCs w:val="20"/>
              </w:rPr>
              <w:t>Possible/recommended actions, considerations, management strategy</w:t>
            </w:r>
          </w:p>
        </w:tc>
      </w:tr>
      <w:tr w:rsidR="00864F08" w:rsidRPr="002C2F92" w14:paraId="74748893" w14:textId="77777777" w:rsidTr="00864F08">
        <w:trPr>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1344409C" w14:textId="77777777" w:rsidR="00864F08" w:rsidRPr="002C2F92" w:rsidRDefault="00864F08" w:rsidP="00633CCE">
            <w:pPr>
              <w:pStyle w:val="NoSpacing"/>
              <w:keepNext/>
              <w:rPr>
                <w:rFonts w:cstheme="minorHAnsi"/>
                <w:sz w:val="20"/>
                <w:szCs w:val="20"/>
              </w:rPr>
            </w:pPr>
            <w:r w:rsidRPr="002C2F92">
              <w:rPr>
                <w:rFonts w:cstheme="minorHAnsi"/>
                <w:sz w:val="20"/>
                <w:szCs w:val="20"/>
              </w:rPr>
              <w:t>C1 – Good</w:t>
            </w:r>
          </w:p>
        </w:tc>
        <w:tc>
          <w:tcPr>
            <w:tcW w:w="3742" w:type="dxa"/>
          </w:tcPr>
          <w:p w14:paraId="3C6F660E" w14:textId="77777777" w:rsidR="00864F08" w:rsidRPr="002C2F92" w:rsidRDefault="00864F08" w:rsidP="00633CCE">
            <w:pPr>
              <w:pStyle w:val="NoSpacing"/>
              <w:keepNex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&gt;75% Canopy Cover, relatively non-stressed when compared to other black box</w:t>
            </w:r>
          </w:p>
        </w:tc>
        <w:tc>
          <w:tcPr>
            <w:tcW w:w="0" w:type="auto"/>
          </w:tcPr>
          <w:p w14:paraId="18AB0892" w14:textId="77777777" w:rsidR="00864F08" w:rsidRPr="002C2F92" w:rsidRDefault="00864F08" w:rsidP="00633CCE">
            <w:pPr>
              <w:pStyle w:val="NoSpacing"/>
              <w:keepNex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No action required, black box may be stressed but not in need of immediate attention</w:t>
            </w:r>
          </w:p>
        </w:tc>
      </w:tr>
      <w:tr w:rsidR="00864F08" w:rsidRPr="002C2F92" w14:paraId="5D74EEC3" w14:textId="77777777" w:rsidTr="00864F08">
        <w:trPr>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35A870CE" w14:textId="77777777" w:rsidR="00864F08" w:rsidRPr="002C2F92" w:rsidRDefault="00864F08" w:rsidP="00864F08">
            <w:pPr>
              <w:pStyle w:val="NoSpacing"/>
              <w:rPr>
                <w:rFonts w:cstheme="minorHAnsi"/>
                <w:sz w:val="20"/>
                <w:szCs w:val="20"/>
              </w:rPr>
            </w:pPr>
            <w:r w:rsidRPr="002C2F92">
              <w:rPr>
                <w:rFonts w:cstheme="minorHAnsi"/>
                <w:sz w:val="20"/>
                <w:szCs w:val="20"/>
              </w:rPr>
              <w:t>C2 – Medium</w:t>
            </w:r>
          </w:p>
        </w:tc>
        <w:tc>
          <w:tcPr>
            <w:tcW w:w="3742" w:type="dxa"/>
          </w:tcPr>
          <w:p w14:paraId="19FC5CFD" w14:textId="77777777" w:rsidR="00864F08" w:rsidRPr="002C2F92" w:rsidRDefault="00864F08" w:rsidP="00864F08">
            <w:pPr>
              <w:pStyle w:val="NoSpacing"/>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75-40% Canopy Cover, made up of original canopy and/or epicormic growth</w:t>
            </w:r>
          </w:p>
        </w:tc>
        <w:tc>
          <w:tcPr>
            <w:tcW w:w="0" w:type="auto"/>
          </w:tcPr>
          <w:p w14:paraId="01881AB3" w14:textId="77777777" w:rsidR="00864F08" w:rsidRPr="002C2F92" w:rsidRDefault="00864F08" w:rsidP="00864F08">
            <w:pPr>
              <w:pStyle w:val="NoSpacing"/>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Stressed black box - Monitoring recommended to determine condition trajectory (improve or decline), experimental watering to determine response to watering</w:t>
            </w:r>
          </w:p>
        </w:tc>
      </w:tr>
      <w:tr w:rsidR="00864F08" w:rsidRPr="002C2F92" w14:paraId="6FD70263" w14:textId="77777777" w:rsidTr="00864F08">
        <w:trPr>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69F88F59" w14:textId="77777777" w:rsidR="00864F08" w:rsidRPr="002C2F92" w:rsidRDefault="00864F08" w:rsidP="00864F08">
            <w:pPr>
              <w:pStyle w:val="NoSpacing"/>
              <w:rPr>
                <w:rFonts w:cstheme="minorHAnsi"/>
                <w:sz w:val="20"/>
                <w:szCs w:val="20"/>
              </w:rPr>
            </w:pPr>
            <w:r w:rsidRPr="002C2F92">
              <w:rPr>
                <w:rFonts w:cstheme="minorHAnsi"/>
                <w:sz w:val="20"/>
                <w:szCs w:val="20"/>
              </w:rPr>
              <w:t>C3 – Poor</w:t>
            </w:r>
          </w:p>
        </w:tc>
        <w:tc>
          <w:tcPr>
            <w:tcW w:w="3742" w:type="dxa"/>
          </w:tcPr>
          <w:p w14:paraId="7FA02CD5" w14:textId="77777777" w:rsidR="00864F08" w:rsidRPr="002C2F92" w:rsidRDefault="00864F08" w:rsidP="00864F08">
            <w:pPr>
              <w:pStyle w:val="NoSpacing"/>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 xml:space="preserve">&lt;40% Canopy Cover, made up of original canopy and/or epicormic growth </w:t>
            </w:r>
          </w:p>
        </w:tc>
        <w:tc>
          <w:tcPr>
            <w:tcW w:w="0" w:type="auto"/>
          </w:tcPr>
          <w:p w14:paraId="3EE4EFF9" w14:textId="77777777" w:rsidR="00864F08" w:rsidRPr="002C2F92" w:rsidRDefault="00864F08" w:rsidP="00864F08">
            <w:pPr>
              <w:pStyle w:val="NoSpacing"/>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Stressed black box in poor or critical condition, immediate action recommended</w:t>
            </w:r>
          </w:p>
        </w:tc>
      </w:tr>
      <w:tr w:rsidR="00864F08" w:rsidRPr="002C2F92" w14:paraId="7D88B69D" w14:textId="77777777" w:rsidTr="00864F08">
        <w:trPr>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2683957D" w14:textId="77777777" w:rsidR="00864F08" w:rsidRPr="002C2F92" w:rsidRDefault="00864F08" w:rsidP="00864F08">
            <w:pPr>
              <w:pStyle w:val="NoSpacing"/>
              <w:rPr>
                <w:rFonts w:cstheme="minorHAnsi"/>
                <w:sz w:val="20"/>
                <w:szCs w:val="20"/>
              </w:rPr>
            </w:pPr>
            <w:r w:rsidRPr="002C2F92">
              <w:rPr>
                <w:rFonts w:cstheme="minorHAnsi"/>
                <w:sz w:val="20"/>
                <w:szCs w:val="20"/>
              </w:rPr>
              <w:t>C4 – Dead</w:t>
            </w:r>
          </w:p>
        </w:tc>
        <w:tc>
          <w:tcPr>
            <w:tcW w:w="3742" w:type="dxa"/>
          </w:tcPr>
          <w:p w14:paraId="210AAA43" w14:textId="77777777" w:rsidR="00864F08" w:rsidRPr="002C2F92" w:rsidRDefault="00864F08" w:rsidP="00864F08">
            <w:pPr>
              <w:pStyle w:val="NoSpacing"/>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0% Canopy, tree is dead and will not recover</w:t>
            </w:r>
          </w:p>
        </w:tc>
        <w:tc>
          <w:tcPr>
            <w:tcW w:w="0" w:type="auto"/>
          </w:tcPr>
          <w:p w14:paraId="31329B9D" w14:textId="77777777" w:rsidR="00864F08" w:rsidRPr="002C2F92" w:rsidRDefault="00864F08" w:rsidP="00864F08">
            <w:pPr>
              <w:pStyle w:val="NoSpacing"/>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No watering action required, consider replanting action taking current stressors into consideration</w:t>
            </w:r>
          </w:p>
        </w:tc>
      </w:tr>
    </w:tbl>
    <w:p w14:paraId="00D2AA69" w14:textId="77777777" w:rsidR="00864F08" w:rsidRPr="002C2F92" w:rsidRDefault="00864F08" w:rsidP="00864F08">
      <w:pPr>
        <w:spacing w:after="0" w:line="240" w:lineRule="auto"/>
        <w:rPr>
          <w:rFonts w:asciiTheme="minorHAnsi" w:hAnsiTheme="minorHAnsi" w:cstheme="minorHAnsi"/>
          <w:szCs w:val="20"/>
        </w:rPr>
      </w:pPr>
    </w:p>
    <w:p w14:paraId="2CE03DE9" w14:textId="77777777" w:rsidR="00864F08" w:rsidRPr="002C2F92" w:rsidRDefault="00864F08" w:rsidP="00864F08">
      <w:pPr>
        <w:spacing w:after="0" w:line="240" w:lineRule="auto"/>
        <w:rPr>
          <w:rFonts w:asciiTheme="minorHAnsi" w:hAnsiTheme="minorHAnsi" w:cstheme="minorHAnsi"/>
          <w:szCs w:val="20"/>
        </w:rPr>
      </w:pPr>
    </w:p>
    <w:p w14:paraId="31B3DD3A" w14:textId="77777777" w:rsidR="00864F08" w:rsidRPr="002C2F92" w:rsidRDefault="00864F08" w:rsidP="00864F08">
      <w:pPr>
        <w:pStyle w:val="NoSpacing"/>
        <w:keepNext/>
        <w:jc w:val="center"/>
        <w:rPr>
          <w:rFonts w:cstheme="minorHAnsi"/>
          <w:sz w:val="28"/>
          <w:szCs w:val="28"/>
        </w:rPr>
      </w:pPr>
      <w:r w:rsidRPr="002C2F92">
        <w:rPr>
          <w:rFonts w:cstheme="minorHAnsi"/>
          <w:sz w:val="28"/>
          <w:szCs w:val="28"/>
        </w:rPr>
        <w:t>C1 – Good                                             C2 - Medium</w:t>
      </w:r>
    </w:p>
    <w:p w14:paraId="5C3AC748" w14:textId="77777777" w:rsidR="00864F08" w:rsidRPr="002C2F92" w:rsidRDefault="00864F08" w:rsidP="00864F08">
      <w:pPr>
        <w:pStyle w:val="NoSpacing"/>
        <w:keepNext/>
        <w:jc w:val="center"/>
        <w:rPr>
          <w:rFonts w:cstheme="minorHAnsi"/>
          <w:b/>
        </w:rPr>
      </w:pPr>
      <w:r w:rsidRPr="002C2F92">
        <w:rPr>
          <w:rFonts w:cstheme="minorHAnsi"/>
          <w:noProof/>
          <w:lang w:eastAsia="en-AU"/>
        </w:rPr>
        <w:drawing>
          <wp:inline distT="0" distB="0" distL="0" distR="0" wp14:anchorId="25C0B439" wp14:editId="3B40572D">
            <wp:extent cx="6280150" cy="1896542"/>
            <wp:effectExtent l="0" t="0" r="635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6335926" cy="1913386"/>
                    </a:xfrm>
                    <a:prstGeom prst="rect">
                      <a:avLst/>
                    </a:prstGeom>
                    <a:ln>
                      <a:noFill/>
                    </a:ln>
                    <a:extLst>
                      <a:ext uri="{53640926-AAD7-44D8-BBD7-CCE9431645EC}">
                        <a14:shadowObscured xmlns:a14="http://schemas.microsoft.com/office/drawing/2010/main"/>
                      </a:ext>
                    </a:extLst>
                  </pic:spPr>
                </pic:pic>
              </a:graphicData>
            </a:graphic>
          </wp:inline>
        </w:drawing>
      </w:r>
    </w:p>
    <w:p w14:paraId="55FC091B" w14:textId="77777777" w:rsidR="00864F08" w:rsidRPr="002C2F92" w:rsidRDefault="00864F08" w:rsidP="00864F08">
      <w:pPr>
        <w:pStyle w:val="NoSpacing"/>
        <w:keepNext/>
        <w:jc w:val="center"/>
        <w:rPr>
          <w:rFonts w:cstheme="minorHAnsi"/>
          <w:sz w:val="28"/>
          <w:szCs w:val="28"/>
        </w:rPr>
      </w:pPr>
      <w:r w:rsidRPr="002C2F92">
        <w:rPr>
          <w:rFonts w:cstheme="minorHAnsi"/>
          <w:sz w:val="28"/>
          <w:szCs w:val="28"/>
        </w:rPr>
        <w:t>C3 – Poor                                             C4 - Dead</w:t>
      </w:r>
    </w:p>
    <w:p w14:paraId="40F64134" w14:textId="034C5964" w:rsidR="00864F08" w:rsidRPr="002C2F92" w:rsidRDefault="005C32F1" w:rsidP="00864F08">
      <w:pPr>
        <w:pStyle w:val="NoSpacing"/>
        <w:keepNext/>
        <w:jc w:val="center"/>
        <w:rPr>
          <w:rFonts w:cstheme="minorHAnsi"/>
          <w:b/>
        </w:rPr>
      </w:pPr>
      <w:r>
        <w:rPr>
          <w:rFonts w:cstheme="minorHAnsi"/>
          <w:noProof/>
          <w:lang w:eastAsia="en-AU"/>
        </w:rPr>
        <w:t xml:space="preserve">Figure </w:t>
      </w:r>
      <w:r w:rsidR="00864F08" w:rsidRPr="002C2F92">
        <w:rPr>
          <w:rFonts w:cstheme="minorHAnsi"/>
          <w:noProof/>
          <w:lang w:eastAsia="en-AU"/>
        </w:rPr>
        <w:drawing>
          <wp:inline distT="0" distB="0" distL="0" distR="0" wp14:anchorId="500B0168" wp14:editId="0D031B08">
            <wp:extent cx="6280150" cy="1850579"/>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6337342" cy="1867432"/>
                    </a:xfrm>
                    <a:prstGeom prst="rect">
                      <a:avLst/>
                    </a:prstGeom>
                    <a:ln>
                      <a:noFill/>
                    </a:ln>
                    <a:extLst>
                      <a:ext uri="{53640926-AAD7-44D8-BBD7-CCE9431645EC}">
                        <a14:shadowObscured xmlns:a14="http://schemas.microsoft.com/office/drawing/2010/main"/>
                      </a:ext>
                    </a:extLst>
                  </pic:spPr>
                </pic:pic>
              </a:graphicData>
            </a:graphic>
          </wp:inline>
        </w:drawing>
      </w:r>
    </w:p>
    <w:p w14:paraId="42302D0D" w14:textId="240C6352" w:rsidR="00864F08" w:rsidRPr="002C2F92" w:rsidRDefault="00864F08" w:rsidP="00864F08">
      <w:pPr>
        <w:pStyle w:val="Caption"/>
        <w:rPr>
          <w:rFonts w:asciiTheme="minorHAnsi" w:hAnsiTheme="minorHAnsi" w:cstheme="minorHAnsi"/>
          <w:b w:val="0"/>
        </w:rPr>
      </w:pPr>
      <w:bookmarkStart w:id="344" w:name="_Ref506801185"/>
      <w:bookmarkStart w:id="345" w:name="_Toc514018113"/>
      <w:r>
        <w:t xml:space="preserve">Figure </w:t>
      </w:r>
      <w:r w:rsidR="004F42DD">
        <w:fldChar w:fldCharType="begin"/>
      </w:r>
      <w:r w:rsidR="004F42DD">
        <w:instrText xml:space="preserve"> STYLEREF 1 \s </w:instrText>
      </w:r>
      <w:r w:rsidR="004F42DD">
        <w:fldChar w:fldCharType="separate"/>
      </w:r>
      <w:r w:rsidR="00BF015B">
        <w:rPr>
          <w:noProof/>
        </w:rPr>
        <w:t>7</w:t>
      </w:r>
      <w:r w:rsidR="004F42DD">
        <w:fldChar w:fldCharType="end"/>
      </w:r>
      <w:r w:rsidR="004F42DD">
        <w:noBreakHyphen/>
      </w:r>
      <w:r w:rsidR="004F42DD">
        <w:fldChar w:fldCharType="begin"/>
      </w:r>
      <w:r w:rsidR="004F42DD">
        <w:instrText xml:space="preserve"> SEQ Figure \* ARABIC \s 1 </w:instrText>
      </w:r>
      <w:r w:rsidR="004F42DD">
        <w:fldChar w:fldCharType="separate"/>
      </w:r>
      <w:r w:rsidR="00BF015B">
        <w:rPr>
          <w:noProof/>
        </w:rPr>
        <w:t>1</w:t>
      </w:r>
      <w:r w:rsidR="004F42DD">
        <w:fldChar w:fldCharType="end"/>
      </w:r>
      <w:bookmarkEnd w:id="344"/>
      <w:r>
        <w:t xml:space="preserve">: </w:t>
      </w:r>
      <w:r w:rsidRPr="00DF4A1A">
        <w:t xml:space="preserve">Black Box </w:t>
      </w:r>
      <w:r w:rsidR="005C32F1">
        <w:t>c</w:t>
      </w:r>
      <w:r w:rsidRPr="00DF4A1A">
        <w:t xml:space="preserve">ondition </w:t>
      </w:r>
      <w:r w:rsidR="005C32F1">
        <w:t>a</w:t>
      </w:r>
      <w:r w:rsidRPr="00DF4A1A">
        <w:t>ssessment. Top left: C1 Good - &gt;75% original canopy; Top right: C2 Medium – 75-40% original canopy and/or strong epicormic growth; Bottom left: C3 Poor - &lt;40% original canopy and/or small amount of epicormic growth; Bottom right: C4 Dead.</w:t>
      </w:r>
      <w:bookmarkEnd w:id="345"/>
    </w:p>
    <w:p w14:paraId="4D3D184D" w14:textId="77777777" w:rsidR="00864F08" w:rsidRPr="002C2F92" w:rsidRDefault="00864F08" w:rsidP="00864F08">
      <w:pPr>
        <w:pStyle w:val="NoSpacing"/>
        <w:rPr>
          <w:rFonts w:cstheme="minorHAnsi"/>
          <w:b/>
        </w:rPr>
      </w:pPr>
    </w:p>
    <w:p w14:paraId="3BDA0DE0" w14:textId="77777777" w:rsidR="00864F08" w:rsidRPr="005C32F1" w:rsidRDefault="00864F08" w:rsidP="00864F08">
      <w:pPr>
        <w:pStyle w:val="Bodyheading"/>
        <w:ind w:left="0"/>
        <w:rPr>
          <w:color w:val="auto"/>
        </w:rPr>
      </w:pPr>
      <w:r w:rsidRPr="005C32F1">
        <w:rPr>
          <w:color w:val="auto"/>
        </w:rPr>
        <w:t>Growth Form</w:t>
      </w:r>
    </w:p>
    <w:p w14:paraId="3753244A" w14:textId="1984D520" w:rsidR="00864F08" w:rsidRPr="00DF4A1A" w:rsidRDefault="00864F08" w:rsidP="00864F08">
      <w:pPr>
        <w:pStyle w:val="Para0"/>
        <w:spacing w:line="300" w:lineRule="auto"/>
        <w:rPr>
          <w:rFonts w:cs="Arial"/>
          <w:szCs w:val="20"/>
        </w:rPr>
      </w:pPr>
      <w:r w:rsidRPr="00DF4A1A">
        <w:rPr>
          <w:rFonts w:cs="Arial"/>
          <w:szCs w:val="20"/>
        </w:rPr>
        <w:t xml:space="preserve">Growth form is indicative of a combination of nutrient and water availability, and age. Black Box </w:t>
      </w:r>
      <w:r w:rsidR="00225D29">
        <w:rPr>
          <w:rFonts w:cs="Arial"/>
          <w:szCs w:val="20"/>
        </w:rPr>
        <w:t>a</w:t>
      </w:r>
      <w:r w:rsidRPr="00DF4A1A">
        <w:rPr>
          <w:rFonts w:cs="Arial"/>
          <w:szCs w:val="20"/>
        </w:rPr>
        <w:t xml:space="preserve">re divided into three growth form classes of size, and by mallee or non-mallee form as shown in </w:t>
      </w:r>
      <w:r w:rsidR="004D3070">
        <w:rPr>
          <w:rFonts w:cs="Arial"/>
          <w:szCs w:val="20"/>
        </w:rPr>
        <w:fldChar w:fldCharType="begin"/>
      </w:r>
      <w:r w:rsidR="004D3070">
        <w:rPr>
          <w:rFonts w:cs="Arial"/>
          <w:szCs w:val="20"/>
        </w:rPr>
        <w:instrText xml:space="preserve"> REF _Ref506801122 \h </w:instrText>
      </w:r>
      <w:r w:rsidR="004D3070">
        <w:rPr>
          <w:rFonts w:cs="Arial"/>
          <w:szCs w:val="20"/>
        </w:rPr>
      </w:r>
      <w:r w:rsidR="004D3070">
        <w:rPr>
          <w:rFonts w:cs="Arial"/>
          <w:szCs w:val="20"/>
        </w:rPr>
        <w:fldChar w:fldCharType="separate"/>
      </w:r>
      <w:r w:rsidR="00BF015B" w:rsidRPr="007A45D5">
        <w:t xml:space="preserve">Table </w:t>
      </w:r>
      <w:r w:rsidR="00BF015B">
        <w:rPr>
          <w:noProof/>
        </w:rPr>
        <w:t>7</w:t>
      </w:r>
      <w:r w:rsidR="00BF015B" w:rsidRPr="007A45D5">
        <w:noBreakHyphen/>
      </w:r>
      <w:r w:rsidR="00BF015B">
        <w:rPr>
          <w:noProof/>
        </w:rPr>
        <w:t>3</w:t>
      </w:r>
      <w:r w:rsidR="004D3070">
        <w:rPr>
          <w:rFonts w:cs="Arial"/>
          <w:szCs w:val="20"/>
        </w:rPr>
        <w:fldChar w:fldCharType="end"/>
      </w:r>
      <w:r w:rsidR="004D3070">
        <w:rPr>
          <w:rFonts w:cs="Arial"/>
          <w:b/>
          <w:bCs/>
          <w:szCs w:val="20"/>
          <w:lang w:val="en-US"/>
        </w:rPr>
        <w:t xml:space="preserve"> </w:t>
      </w:r>
      <w:r w:rsidRPr="00DF4A1A">
        <w:rPr>
          <w:rFonts w:cs="Arial"/>
          <w:szCs w:val="20"/>
        </w:rPr>
        <w:t xml:space="preserve">and </w:t>
      </w:r>
      <w:r w:rsidR="005C32F1">
        <w:rPr>
          <w:rFonts w:cs="Arial"/>
          <w:szCs w:val="20"/>
        </w:rPr>
        <w:t xml:space="preserve">Figure 7-2. </w:t>
      </w:r>
      <w:r w:rsidRPr="00DF4A1A">
        <w:rPr>
          <w:rFonts w:cs="Arial"/>
          <w:szCs w:val="20"/>
        </w:rPr>
        <w:fldChar w:fldCharType="begin"/>
      </w:r>
      <w:r w:rsidRPr="00DF4A1A">
        <w:rPr>
          <w:rFonts w:cs="Arial"/>
          <w:szCs w:val="20"/>
        </w:rPr>
        <w:instrText xml:space="preserve"> REF _Ref497828741 \h  \* MERGEFORMAT </w:instrText>
      </w:r>
      <w:r w:rsidRPr="00DF4A1A">
        <w:rPr>
          <w:rFonts w:cs="Arial"/>
          <w:szCs w:val="20"/>
        </w:rPr>
      </w:r>
      <w:r w:rsidRPr="00DF4A1A">
        <w:rPr>
          <w:rFonts w:cs="Arial"/>
          <w:szCs w:val="20"/>
        </w:rPr>
        <w:fldChar w:fldCharType="end"/>
      </w:r>
      <w:r w:rsidRPr="00DF4A1A">
        <w:rPr>
          <w:rFonts w:cs="Arial"/>
          <w:szCs w:val="20"/>
        </w:rPr>
        <w:t xml:space="preserve">G1/2 are the largest and oldest while G4/5 are small to medium mature trees. Classes G1/3/5 are single stem while G2/4/6 are mallee form. Note that classes G5 and G6 describe recent saplings which have also been recorded as recruitment; black box units with the presence of recruitment </w:t>
      </w:r>
      <w:r w:rsidR="00225D29">
        <w:rPr>
          <w:rFonts w:cs="Arial"/>
          <w:szCs w:val="20"/>
        </w:rPr>
        <w:t>are then</w:t>
      </w:r>
      <w:r w:rsidRPr="00DF4A1A">
        <w:rPr>
          <w:rFonts w:cs="Arial"/>
          <w:szCs w:val="20"/>
        </w:rPr>
        <w:t xml:space="preserve"> mapped.</w:t>
      </w:r>
    </w:p>
    <w:p w14:paraId="0BA40387" w14:textId="0021A50E" w:rsidR="00864F08" w:rsidRPr="007A45D5" w:rsidRDefault="00864F08" w:rsidP="008C06C0">
      <w:pPr>
        <w:pStyle w:val="Caption"/>
      </w:pPr>
      <w:bookmarkStart w:id="346" w:name="_Ref506801122"/>
      <w:bookmarkStart w:id="347" w:name="_Toc514068803"/>
      <w:r w:rsidRPr="007A45D5">
        <w:t xml:space="preserve">Table </w:t>
      </w:r>
      <w:r w:rsidR="002D4BCF" w:rsidRPr="007A45D5">
        <w:fldChar w:fldCharType="begin"/>
      </w:r>
      <w:r w:rsidR="002D4BCF" w:rsidRPr="007A45D5">
        <w:instrText xml:space="preserve"> STYLEREF 1 \s </w:instrText>
      </w:r>
      <w:r w:rsidR="002D4BCF" w:rsidRPr="007A45D5">
        <w:fldChar w:fldCharType="separate"/>
      </w:r>
      <w:r w:rsidR="00BF015B">
        <w:rPr>
          <w:noProof/>
        </w:rPr>
        <w:t>7</w:t>
      </w:r>
      <w:r w:rsidR="002D4BCF" w:rsidRPr="007A45D5">
        <w:fldChar w:fldCharType="end"/>
      </w:r>
      <w:r w:rsidR="002D4BCF" w:rsidRPr="007A45D5">
        <w:noBreakHyphen/>
      </w:r>
      <w:r w:rsidR="002D4BCF" w:rsidRPr="007A45D5">
        <w:fldChar w:fldCharType="begin"/>
      </w:r>
      <w:r w:rsidR="002D4BCF" w:rsidRPr="007A45D5">
        <w:instrText xml:space="preserve"> SEQ Table \* ARABIC \s 1 </w:instrText>
      </w:r>
      <w:r w:rsidR="002D4BCF" w:rsidRPr="007A45D5">
        <w:fldChar w:fldCharType="separate"/>
      </w:r>
      <w:r w:rsidR="00BF015B">
        <w:rPr>
          <w:noProof/>
        </w:rPr>
        <w:t>3</w:t>
      </w:r>
      <w:r w:rsidR="002D4BCF" w:rsidRPr="007A45D5">
        <w:fldChar w:fldCharType="end"/>
      </w:r>
      <w:bookmarkEnd w:id="346"/>
      <w:r w:rsidR="005C32F1">
        <w:t>:</w:t>
      </w:r>
      <w:r w:rsidRPr="007A45D5">
        <w:t xml:space="preserve"> Growth </w:t>
      </w:r>
      <w:r w:rsidR="005C32F1">
        <w:t>f</w:t>
      </w:r>
      <w:r w:rsidRPr="007A45D5">
        <w:t xml:space="preserve">orm </w:t>
      </w:r>
      <w:r w:rsidR="005C32F1">
        <w:t>c</w:t>
      </w:r>
      <w:r w:rsidRPr="007A45D5">
        <w:t>lassification</w:t>
      </w:r>
      <w:bookmarkEnd w:id="347"/>
    </w:p>
    <w:tbl>
      <w:tblPr>
        <w:tblStyle w:val="Table1"/>
        <w:tblW w:w="0" w:type="auto"/>
        <w:jc w:val="center"/>
        <w:tblInd w:w="0" w:type="dxa"/>
        <w:tblLook w:val="04A0" w:firstRow="1" w:lastRow="0" w:firstColumn="1" w:lastColumn="0" w:noHBand="0" w:noVBand="1"/>
      </w:tblPr>
      <w:tblGrid>
        <w:gridCol w:w="816"/>
        <w:gridCol w:w="3821"/>
        <w:gridCol w:w="5269"/>
      </w:tblGrid>
      <w:tr w:rsidR="00864F08" w:rsidRPr="002C2F92" w14:paraId="400601C5" w14:textId="77777777" w:rsidTr="00864F0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1D3641" w:themeFill="text2"/>
          </w:tcPr>
          <w:p w14:paraId="2E2800F3" w14:textId="77777777" w:rsidR="00864F08" w:rsidRPr="007E10B8" w:rsidRDefault="00864F08" w:rsidP="008C06C0">
            <w:pPr>
              <w:pStyle w:val="NoSpacing"/>
              <w:keepNext/>
              <w:widowControl w:val="0"/>
              <w:rPr>
                <w:rFonts w:cstheme="minorHAnsi"/>
                <w:color w:val="FFFFFF" w:themeColor="background1"/>
                <w:sz w:val="20"/>
                <w:szCs w:val="20"/>
              </w:rPr>
            </w:pPr>
            <w:r w:rsidRPr="007E10B8">
              <w:rPr>
                <w:rFonts w:cstheme="minorHAnsi"/>
                <w:color w:val="FFFFFF" w:themeColor="background1"/>
                <w:sz w:val="20"/>
                <w:szCs w:val="20"/>
              </w:rPr>
              <w:t>Class</w:t>
            </w:r>
          </w:p>
        </w:tc>
        <w:tc>
          <w:tcPr>
            <w:tcW w:w="3867" w:type="dxa"/>
            <w:shd w:val="clear" w:color="auto" w:fill="1D3641" w:themeFill="text2"/>
          </w:tcPr>
          <w:p w14:paraId="4FB938E0" w14:textId="77777777" w:rsidR="00864F08" w:rsidRPr="007E10B8" w:rsidRDefault="00864F08" w:rsidP="008C06C0">
            <w:pPr>
              <w:pStyle w:val="NoSpacing"/>
              <w:keepNext/>
              <w:widowControl w:val="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0"/>
                <w:szCs w:val="20"/>
              </w:rPr>
            </w:pPr>
            <w:r w:rsidRPr="007E10B8">
              <w:rPr>
                <w:rFonts w:cstheme="minorHAnsi"/>
                <w:color w:val="FFFFFF" w:themeColor="background1"/>
                <w:sz w:val="20"/>
                <w:szCs w:val="20"/>
              </w:rPr>
              <w:t>Physical description</w:t>
            </w:r>
          </w:p>
          <w:p w14:paraId="0FC7D7F9" w14:textId="77777777" w:rsidR="00864F08" w:rsidRPr="007E10B8" w:rsidRDefault="00864F08" w:rsidP="008C06C0">
            <w:pPr>
              <w:pStyle w:val="NoSpacing"/>
              <w:keepNext/>
              <w:widowControl w:val="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0"/>
                <w:szCs w:val="20"/>
              </w:rPr>
            </w:pPr>
          </w:p>
        </w:tc>
        <w:tc>
          <w:tcPr>
            <w:tcW w:w="5346" w:type="dxa"/>
            <w:shd w:val="clear" w:color="auto" w:fill="1D3641" w:themeFill="text2"/>
          </w:tcPr>
          <w:p w14:paraId="00B522D5" w14:textId="77777777" w:rsidR="00864F08" w:rsidRPr="007E10B8" w:rsidRDefault="00864F08" w:rsidP="008C06C0">
            <w:pPr>
              <w:pStyle w:val="NoSpacing"/>
              <w:keepNext/>
              <w:widowControl w:val="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0"/>
                <w:szCs w:val="20"/>
              </w:rPr>
            </w:pPr>
            <w:r w:rsidRPr="007E10B8">
              <w:rPr>
                <w:rFonts w:cstheme="minorHAnsi"/>
                <w:color w:val="FFFFFF" w:themeColor="background1"/>
                <w:sz w:val="20"/>
                <w:szCs w:val="20"/>
              </w:rPr>
              <w:t>Comment</w:t>
            </w:r>
          </w:p>
        </w:tc>
      </w:tr>
      <w:tr w:rsidR="00864F08" w:rsidRPr="002C2F92" w14:paraId="65A334A3" w14:textId="77777777" w:rsidTr="00864F08">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417ECBD8" w14:textId="77777777" w:rsidR="00864F08" w:rsidRPr="002C2F92" w:rsidRDefault="00864F08" w:rsidP="008C06C0">
            <w:pPr>
              <w:pStyle w:val="NoSpacing"/>
              <w:keepNext/>
              <w:widowControl w:val="0"/>
              <w:rPr>
                <w:rFonts w:cstheme="minorHAnsi"/>
                <w:sz w:val="20"/>
                <w:szCs w:val="20"/>
              </w:rPr>
            </w:pPr>
            <w:r w:rsidRPr="002C2F92">
              <w:rPr>
                <w:rFonts w:cstheme="minorHAnsi"/>
                <w:sz w:val="20"/>
                <w:szCs w:val="20"/>
              </w:rPr>
              <w:t>G1/G2</w:t>
            </w:r>
          </w:p>
        </w:tc>
        <w:tc>
          <w:tcPr>
            <w:tcW w:w="3867" w:type="dxa"/>
          </w:tcPr>
          <w:p w14:paraId="385EE447" w14:textId="77777777" w:rsidR="00864F08" w:rsidRPr="002C2F92" w:rsidRDefault="00864F08" w:rsidP="008C06C0">
            <w:pPr>
              <w:pStyle w:val="NoSpacing"/>
              <w:keepNext/>
              <w:widowControl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&gt;3m tall</w:t>
            </w:r>
          </w:p>
          <w:p w14:paraId="2B684439" w14:textId="77777777" w:rsidR="00864F08" w:rsidRPr="002C2F92" w:rsidRDefault="00864F08" w:rsidP="008C06C0">
            <w:pPr>
              <w:pStyle w:val="NoSpacing"/>
              <w:keepNext/>
              <w:widowControl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&gt;10cm trunk diameter at chest height</w:t>
            </w:r>
          </w:p>
        </w:tc>
        <w:tc>
          <w:tcPr>
            <w:tcW w:w="5346" w:type="dxa"/>
          </w:tcPr>
          <w:p w14:paraId="5A0DFCAC" w14:textId="77777777" w:rsidR="00864F08" w:rsidRPr="002C2F92" w:rsidRDefault="00864F08" w:rsidP="008C06C0">
            <w:pPr>
              <w:pStyle w:val="NoSpacing"/>
              <w:keepNext/>
              <w:widowControl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 xml:space="preserve">Oldest and largest trees on the property, likely established before 1950. </w:t>
            </w:r>
          </w:p>
        </w:tc>
      </w:tr>
      <w:tr w:rsidR="00864F08" w:rsidRPr="002C2F92" w14:paraId="61B9F475" w14:textId="77777777" w:rsidTr="00864F08">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41274F78" w14:textId="77777777" w:rsidR="00864F08" w:rsidRPr="002C2F92" w:rsidRDefault="00864F08" w:rsidP="008C06C0">
            <w:pPr>
              <w:pStyle w:val="NoSpacing"/>
              <w:keepNext/>
              <w:rPr>
                <w:rFonts w:cstheme="minorHAnsi"/>
                <w:sz w:val="20"/>
                <w:szCs w:val="20"/>
              </w:rPr>
            </w:pPr>
            <w:r w:rsidRPr="002C2F92">
              <w:rPr>
                <w:rFonts w:cstheme="minorHAnsi"/>
                <w:sz w:val="20"/>
                <w:szCs w:val="20"/>
              </w:rPr>
              <w:t xml:space="preserve">G3/G4 </w:t>
            </w:r>
          </w:p>
        </w:tc>
        <w:tc>
          <w:tcPr>
            <w:tcW w:w="3867" w:type="dxa"/>
          </w:tcPr>
          <w:p w14:paraId="1C208AE8" w14:textId="77777777" w:rsidR="00864F08" w:rsidRPr="002C2F92" w:rsidRDefault="00864F08" w:rsidP="008C06C0">
            <w:pPr>
              <w:pStyle w:val="NoSpacing"/>
              <w:keepNex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1.5m – 3m tall</w:t>
            </w:r>
          </w:p>
          <w:p w14:paraId="277DB7BB" w14:textId="77777777" w:rsidR="00864F08" w:rsidRPr="002C2F92" w:rsidRDefault="00864F08" w:rsidP="008C06C0">
            <w:pPr>
              <w:pStyle w:val="NoSpacing"/>
              <w:keepNex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3cm-10cm trunk diameter at chest height</w:t>
            </w:r>
          </w:p>
        </w:tc>
        <w:tc>
          <w:tcPr>
            <w:tcW w:w="5346" w:type="dxa"/>
          </w:tcPr>
          <w:p w14:paraId="1CFE456C" w14:textId="256B8F67" w:rsidR="00864F08" w:rsidRPr="002C2F92" w:rsidRDefault="005C4005" w:rsidP="008C06C0">
            <w:pPr>
              <w:pStyle w:val="NoSpacing"/>
              <w:keepNex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Middle sized trees</w:t>
            </w:r>
            <w:r w:rsidR="00864F08" w:rsidRPr="002C2F92">
              <w:rPr>
                <w:rFonts w:cstheme="minorHAnsi"/>
                <w:sz w:val="20"/>
                <w:szCs w:val="20"/>
              </w:rPr>
              <w:t xml:space="preserve"> likely established between 100 to 20 years ago.</w:t>
            </w:r>
          </w:p>
        </w:tc>
      </w:tr>
      <w:tr w:rsidR="00864F08" w:rsidRPr="002C2F92" w14:paraId="152ED990" w14:textId="77777777" w:rsidTr="00864F08">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35E41D7F" w14:textId="77777777" w:rsidR="00864F08" w:rsidRPr="002C2F92" w:rsidRDefault="00864F08" w:rsidP="008C06C0">
            <w:pPr>
              <w:pStyle w:val="NoSpacing"/>
              <w:keepNext/>
              <w:rPr>
                <w:rFonts w:cstheme="minorHAnsi"/>
                <w:sz w:val="20"/>
                <w:szCs w:val="20"/>
              </w:rPr>
            </w:pPr>
            <w:r w:rsidRPr="002C2F92">
              <w:rPr>
                <w:rFonts w:cstheme="minorHAnsi"/>
                <w:sz w:val="20"/>
                <w:szCs w:val="20"/>
              </w:rPr>
              <w:t>G5/G6</w:t>
            </w:r>
          </w:p>
        </w:tc>
        <w:tc>
          <w:tcPr>
            <w:tcW w:w="3867" w:type="dxa"/>
          </w:tcPr>
          <w:p w14:paraId="0B4C67AF" w14:textId="77777777" w:rsidR="00864F08" w:rsidRPr="002C2F92" w:rsidRDefault="00864F08" w:rsidP="008C06C0">
            <w:pPr>
              <w:pStyle w:val="NoSpacing"/>
              <w:keepNex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&lt;1.5m tall</w:t>
            </w:r>
          </w:p>
          <w:p w14:paraId="0D325030" w14:textId="77777777" w:rsidR="00864F08" w:rsidRPr="002C2F92" w:rsidRDefault="00864F08" w:rsidP="008C06C0">
            <w:pPr>
              <w:pStyle w:val="NoSpacing"/>
              <w:keepNex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&lt;3cm trunk diameter</w:t>
            </w:r>
          </w:p>
        </w:tc>
        <w:tc>
          <w:tcPr>
            <w:tcW w:w="5346" w:type="dxa"/>
          </w:tcPr>
          <w:p w14:paraId="5E3AE9F9" w14:textId="77777777" w:rsidR="00864F08" w:rsidRPr="002C2F92" w:rsidRDefault="00864F08" w:rsidP="008C06C0">
            <w:pPr>
              <w:pStyle w:val="NoSpacing"/>
              <w:keepNex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Established within the last 20 years, all trees observed in good condition unless effected by grazing.</w:t>
            </w:r>
          </w:p>
        </w:tc>
      </w:tr>
    </w:tbl>
    <w:p w14:paraId="415D3690" w14:textId="16BF3A69" w:rsidR="00864F08" w:rsidRPr="002C2F92" w:rsidRDefault="00CE6E99" w:rsidP="00864F08">
      <w:pPr>
        <w:pStyle w:val="NoSpacing"/>
        <w:rPr>
          <w:rFonts w:cstheme="minorHAnsi"/>
        </w:rPr>
      </w:pPr>
      <w:r>
        <w:rPr>
          <w:rFonts w:cstheme="minorHAnsi"/>
        </w:rPr>
        <w:t>Note: These height classes were developed on the Calperum Station in the lower River Murray. The class breaks may need to be changed for local conditions.</w:t>
      </w:r>
    </w:p>
    <w:p w14:paraId="30031691" w14:textId="77777777" w:rsidR="00864F08" w:rsidRPr="002C2F92" w:rsidRDefault="00864F08" w:rsidP="00864F08">
      <w:pPr>
        <w:pStyle w:val="NoSpacing"/>
        <w:rPr>
          <w:rFonts w:cstheme="minorHAnsi"/>
        </w:rPr>
      </w:pPr>
    </w:p>
    <w:p w14:paraId="018593DE" w14:textId="77777777" w:rsidR="00864F08" w:rsidRPr="002C2F92" w:rsidRDefault="00864F08" w:rsidP="00864F08">
      <w:pPr>
        <w:spacing w:after="0" w:line="240" w:lineRule="auto"/>
        <w:rPr>
          <w:rFonts w:asciiTheme="minorHAnsi" w:hAnsiTheme="minorHAnsi" w:cstheme="minorHAnsi"/>
          <w:szCs w:val="20"/>
        </w:rPr>
      </w:pPr>
    </w:p>
    <w:p w14:paraId="7C86614B" w14:textId="6583A942" w:rsidR="00864F08" w:rsidRDefault="00120D5B" w:rsidP="00864F08">
      <w:pPr>
        <w:pStyle w:val="NoSpacing"/>
        <w:rPr>
          <w:rFonts w:cstheme="minorHAnsi"/>
        </w:rPr>
      </w:pPr>
      <w:r>
        <w:rPr>
          <w:rFonts w:cstheme="minorHAnsi"/>
          <w:noProof/>
          <w:lang w:eastAsia="en-AU"/>
        </w:rPr>
        <w:drawing>
          <wp:anchor distT="0" distB="0" distL="114300" distR="114300" simplePos="0" relativeHeight="251668480" behindDoc="0" locked="0" layoutInCell="1" allowOverlap="1" wp14:anchorId="54D6E217" wp14:editId="25394034">
            <wp:simplePos x="0" y="0"/>
            <wp:positionH relativeFrom="page">
              <wp:posOffset>2905125</wp:posOffset>
            </wp:positionH>
            <wp:positionV relativeFrom="paragraph">
              <wp:posOffset>1864360</wp:posOffset>
            </wp:positionV>
            <wp:extent cx="1885950" cy="1270635"/>
            <wp:effectExtent l="0" t="0" r="0" b="5715"/>
            <wp:wrapNone/>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_7474.JPG"/>
                    <pic:cNvPicPr/>
                  </pic:nvPicPr>
                  <pic:blipFill>
                    <a:blip r:embed="rId102" cstate="email">
                      <a:extLst>
                        <a:ext uri="{28A0092B-C50C-407E-A947-70E740481C1C}">
                          <a14:useLocalDpi xmlns:a14="http://schemas.microsoft.com/office/drawing/2010/main"/>
                        </a:ext>
                      </a:extLst>
                    </a:blip>
                    <a:stretch>
                      <a:fillRect/>
                    </a:stretch>
                  </pic:blipFill>
                  <pic:spPr>
                    <a:xfrm>
                      <a:off x="0" y="0"/>
                      <a:ext cx="1885950" cy="1270635"/>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lang w:eastAsia="en-AU"/>
        </w:rPr>
        <w:drawing>
          <wp:anchor distT="0" distB="0" distL="114300" distR="114300" simplePos="0" relativeHeight="251667456" behindDoc="0" locked="0" layoutInCell="1" allowOverlap="1" wp14:anchorId="71E0B0BE" wp14:editId="070135DA">
            <wp:simplePos x="0" y="0"/>
            <wp:positionH relativeFrom="column">
              <wp:posOffset>98425</wp:posOffset>
            </wp:positionH>
            <wp:positionV relativeFrom="paragraph">
              <wp:posOffset>1863725</wp:posOffset>
            </wp:positionV>
            <wp:extent cx="1895475" cy="1268875"/>
            <wp:effectExtent l="0" t="0" r="0" b="762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_7410.JPG"/>
                    <pic:cNvPicPr/>
                  </pic:nvPicPr>
                  <pic:blipFill>
                    <a:blip r:embed="rId103" cstate="email">
                      <a:extLst>
                        <a:ext uri="{28A0092B-C50C-407E-A947-70E740481C1C}">
                          <a14:useLocalDpi xmlns:a14="http://schemas.microsoft.com/office/drawing/2010/main"/>
                        </a:ext>
                      </a:extLst>
                    </a:blip>
                    <a:stretch>
                      <a:fillRect/>
                    </a:stretch>
                  </pic:blipFill>
                  <pic:spPr>
                    <a:xfrm>
                      <a:off x="0" y="0"/>
                      <a:ext cx="1895475" cy="1268875"/>
                    </a:xfrm>
                    <a:prstGeom prst="rect">
                      <a:avLst/>
                    </a:prstGeom>
                  </pic:spPr>
                </pic:pic>
              </a:graphicData>
            </a:graphic>
            <wp14:sizeRelH relativeFrom="page">
              <wp14:pctWidth>0</wp14:pctWidth>
            </wp14:sizeRelH>
            <wp14:sizeRelV relativeFrom="page">
              <wp14:pctHeight>0</wp14:pctHeight>
            </wp14:sizeRelV>
          </wp:anchor>
        </w:drawing>
      </w:r>
      <w:r w:rsidR="00864F08" w:rsidRPr="002C2F92">
        <w:rPr>
          <w:rFonts w:cstheme="minorHAnsi"/>
          <w:noProof/>
          <w:lang w:eastAsia="en-AU"/>
        </w:rPr>
        <w:drawing>
          <wp:inline distT="0" distB="0" distL="0" distR="0" wp14:anchorId="65DAAFD8" wp14:editId="7E1E49BC">
            <wp:extent cx="6279326" cy="3438525"/>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email">
                      <a:extLst>
                        <a:ext uri="{28A0092B-C50C-407E-A947-70E740481C1C}">
                          <a14:useLocalDpi xmlns:a14="http://schemas.microsoft.com/office/drawing/2010/main"/>
                        </a:ext>
                      </a:extLst>
                    </a:blip>
                    <a:stretch>
                      <a:fillRect/>
                    </a:stretch>
                  </pic:blipFill>
                  <pic:spPr>
                    <a:xfrm>
                      <a:off x="0" y="0"/>
                      <a:ext cx="6295618" cy="3447446"/>
                    </a:xfrm>
                    <a:prstGeom prst="rect">
                      <a:avLst/>
                    </a:prstGeom>
                  </pic:spPr>
                </pic:pic>
              </a:graphicData>
            </a:graphic>
          </wp:inline>
        </w:drawing>
      </w:r>
    </w:p>
    <w:p w14:paraId="07E0B910" w14:textId="6008237E" w:rsidR="00864F08" w:rsidRPr="007A45D5" w:rsidRDefault="00864F08" w:rsidP="007A45D5">
      <w:pPr>
        <w:pStyle w:val="Caption"/>
      </w:pPr>
      <w:bookmarkStart w:id="348" w:name="_Ref506801104"/>
      <w:bookmarkStart w:id="349" w:name="_Toc514018114"/>
      <w:r w:rsidRPr="007A45D5">
        <w:t xml:space="preserve">Figure </w:t>
      </w:r>
      <w:r w:rsidR="004F42DD">
        <w:fldChar w:fldCharType="begin"/>
      </w:r>
      <w:r w:rsidR="004F42DD">
        <w:instrText xml:space="preserve"> STYLEREF 1 \s </w:instrText>
      </w:r>
      <w:r w:rsidR="004F42DD">
        <w:fldChar w:fldCharType="separate"/>
      </w:r>
      <w:r w:rsidR="00BF015B">
        <w:rPr>
          <w:noProof/>
        </w:rPr>
        <w:t>7</w:t>
      </w:r>
      <w:r w:rsidR="004F42DD">
        <w:fldChar w:fldCharType="end"/>
      </w:r>
      <w:r w:rsidR="004F42DD">
        <w:noBreakHyphen/>
      </w:r>
      <w:r w:rsidR="004F42DD">
        <w:fldChar w:fldCharType="begin"/>
      </w:r>
      <w:r w:rsidR="004F42DD">
        <w:instrText xml:space="preserve"> SEQ Figure \* ARABIC \s 1 </w:instrText>
      </w:r>
      <w:r w:rsidR="004F42DD">
        <w:fldChar w:fldCharType="separate"/>
      </w:r>
      <w:r w:rsidR="00BF015B">
        <w:rPr>
          <w:noProof/>
        </w:rPr>
        <w:t>2</w:t>
      </w:r>
      <w:r w:rsidR="004F42DD">
        <w:fldChar w:fldCharType="end"/>
      </w:r>
      <w:bookmarkEnd w:id="348"/>
      <w:r w:rsidR="005C32F1">
        <w:t>:</w:t>
      </w:r>
      <w:r w:rsidRPr="007A45D5">
        <w:t xml:space="preserve"> Examples of Black Box </w:t>
      </w:r>
      <w:r w:rsidR="005C4005">
        <w:t>g</w:t>
      </w:r>
      <w:r w:rsidR="005C4005" w:rsidRPr="007A45D5">
        <w:t>rowth</w:t>
      </w:r>
      <w:r w:rsidRPr="007A45D5">
        <w:t xml:space="preserve"> Form</w:t>
      </w:r>
      <w:bookmarkEnd w:id="349"/>
    </w:p>
    <w:p w14:paraId="1F1FFCC1" w14:textId="77777777" w:rsidR="00860B7B" w:rsidRDefault="00860B7B" w:rsidP="00864F08">
      <w:pPr>
        <w:pStyle w:val="Bodyheading"/>
        <w:ind w:left="0"/>
      </w:pPr>
    </w:p>
    <w:p w14:paraId="53285A93" w14:textId="005A313F" w:rsidR="00864F08" w:rsidRPr="005C32F1" w:rsidRDefault="00864F08" w:rsidP="00864F08">
      <w:pPr>
        <w:pStyle w:val="Bodyheading"/>
        <w:ind w:left="0"/>
        <w:rPr>
          <w:color w:val="auto"/>
        </w:rPr>
      </w:pPr>
      <w:r w:rsidRPr="005C32F1">
        <w:rPr>
          <w:color w:val="auto"/>
        </w:rPr>
        <w:t>Density</w:t>
      </w:r>
    </w:p>
    <w:p w14:paraId="4E27A958" w14:textId="1E434E12" w:rsidR="00864F08" w:rsidRPr="00DF4A1A" w:rsidRDefault="00864F08" w:rsidP="00864F08">
      <w:pPr>
        <w:pStyle w:val="Para0"/>
        <w:spacing w:line="300" w:lineRule="auto"/>
        <w:rPr>
          <w:rFonts w:cs="Arial"/>
          <w:szCs w:val="20"/>
        </w:rPr>
      </w:pPr>
      <w:r w:rsidRPr="00DF4A1A">
        <w:rPr>
          <w:rFonts w:cs="Arial"/>
          <w:szCs w:val="20"/>
        </w:rPr>
        <w:t xml:space="preserve">Density is indicative of resource availability of the </w:t>
      </w:r>
      <w:r w:rsidR="009F6E85">
        <w:rPr>
          <w:rFonts w:cs="Arial"/>
          <w:szCs w:val="20"/>
        </w:rPr>
        <w:t>unit</w:t>
      </w:r>
      <w:r w:rsidRPr="00DF4A1A">
        <w:rPr>
          <w:rFonts w:cs="Arial"/>
          <w:szCs w:val="20"/>
        </w:rPr>
        <w:t xml:space="preserve"> area, or circumstances at time of recruitment and are mapped as per</w:t>
      </w:r>
      <w:r w:rsidR="004D3070">
        <w:rPr>
          <w:rFonts w:cs="Arial"/>
          <w:b/>
          <w:bCs/>
          <w:szCs w:val="20"/>
          <w:lang w:val="en-US"/>
        </w:rPr>
        <w:t xml:space="preserve"> </w:t>
      </w:r>
      <w:r w:rsidR="004D3070">
        <w:rPr>
          <w:rFonts w:cs="Arial"/>
          <w:b/>
          <w:bCs/>
          <w:szCs w:val="20"/>
          <w:highlight w:val="yellow"/>
          <w:lang w:val="en-US"/>
        </w:rPr>
        <w:fldChar w:fldCharType="begin"/>
      </w:r>
      <w:r w:rsidR="004D3070">
        <w:rPr>
          <w:rFonts w:cs="Arial"/>
          <w:b/>
          <w:bCs/>
          <w:szCs w:val="20"/>
          <w:lang w:val="en-US"/>
        </w:rPr>
        <w:instrText xml:space="preserve"> REF _Ref506801268 \h </w:instrText>
      </w:r>
      <w:r w:rsidR="004D3070">
        <w:rPr>
          <w:rFonts w:cs="Arial"/>
          <w:b/>
          <w:bCs/>
          <w:szCs w:val="20"/>
          <w:highlight w:val="yellow"/>
          <w:lang w:val="en-US"/>
        </w:rPr>
      </w:r>
      <w:r w:rsidR="004D3070">
        <w:rPr>
          <w:rFonts w:cs="Arial"/>
          <w:b/>
          <w:bCs/>
          <w:szCs w:val="20"/>
          <w:highlight w:val="yellow"/>
          <w:lang w:val="en-US"/>
        </w:rPr>
        <w:fldChar w:fldCharType="separate"/>
      </w:r>
      <w:r w:rsidR="00BF015B" w:rsidRPr="007A45D5">
        <w:t xml:space="preserve">Table </w:t>
      </w:r>
      <w:r w:rsidR="00BF015B">
        <w:rPr>
          <w:noProof/>
        </w:rPr>
        <w:t>7</w:t>
      </w:r>
      <w:r w:rsidR="00BF015B" w:rsidRPr="007A45D5">
        <w:noBreakHyphen/>
      </w:r>
      <w:r w:rsidR="00BF015B">
        <w:rPr>
          <w:noProof/>
        </w:rPr>
        <w:t>4</w:t>
      </w:r>
      <w:r w:rsidR="004D3070">
        <w:rPr>
          <w:rFonts w:cs="Arial"/>
          <w:b/>
          <w:bCs/>
          <w:szCs w:val="20"/>
          <w:highlight w:val="yellow"/>
          <w:lang w:val="en-US"/>
        </w:rPr>
        <w:fldChar w:fldCharType="end"/>
      </w:r>
      <w:r w:rsidRPr="00DF4A1A">
        <w:rPr>
          <w:rFonts w:cs="Arial"/>
          <w:szCs w:val="20"/>
        </w:rPr>
        <w:t>. Examples of density classes are shown in</w:t>
      </w:r>
      <w:r w:rsidR="004D3070">
        <w:rPr>
          <w:rFonts w:cs="Arial"/>
          <w:szCs w:val="20"/>
        </w:rPr>
        <w:t xml:space="preserve"> </w:t>
      </w:r>
      <w:r w:rsidR="004D3070">
        <w:rPr>
          <w:rFonts w:cs="Arial"/>
          <w:szCs w:val="20"/>
        </w:rPr>
        <w:fldChar w:fldCharType="begin"/>
      </w:r>
      <w:r w:rsidR="004D3070">
        <w:rPr>
          <w:rFonts w:cs="Arial"/>
          <w:szCs w:val="20"/>
        </w:rPr>
        <w:instrText xml:space="preserve"> REF _Ref506801299 \h </w:instrText>
      </w:r>
      <w:r w:rsidR="004D3070">
        <w:rPr>
          <w:rFonts w:cs="Arial"/>
          <w:szCs w:val="20"/>
        </w:rPr>
      </w:r>
      <w:r w:rsidR="004D3070">
        <w:rPr>
          <w:rFonts w:cs="Arial"/>
          <w:szCs w:val="20"/>
        </w:rPr>
        <w:fldChar w:fldCharType="separate"/>
      </w:r>
      <w:r w:rsidR="00BF015B" w:rsidRPr="007A45D5">
        <w:t xml:space="preserve">Figure </w:t>
      </w:r>
      <w:r w:rsidR="00BF015B">
        <w:rPr>
          <w:noProof/>
        </w:rPr>
        <w:t>7</w:t>
      </w:r>
      <w:r w:rsidR="00BF015B">
        <w:noBreakHyphen/>
      </w:r>
      <w:r w:rsidR="00BF015B">
        <w:rPr>
          <w:noProof/>
        </w:rPr>
        <w:t>3</w:t>
      </w:r>
      <w:r w:rsidR="004D3070">
        <w:rPr>
          <w:rFonts w:cs="Arial"/>
          <w:szCs w:val="20"/>
        </w:rPr>
        <w:fldChar w:fldCharType="end"/>
      </w:r>
      <w:r w:rsidR="004D3070">
        <w:rPr>
          <w:rFonts w:cs="Arial"/>
          <w:szCs w:val="20"/>
        </w:rPr>
        <w:t>.</w:t>
      </w:r>
      <w:r w:rsidR="004D3070">
        <w:rPr>
          <w:rFonts w:cs="Arial"/>
          <w:b/>
          <w:bCs/>
          <w:szCs w:val="20"/>
          <w:lang w:val="en-US"/>
        </w:rPr>
        <w:t xml:space="preserve"> </w:t>
      </w:r>
      <w:r w:rsidRPr="00DF4A1A">
        <w:rPr>
          <w:rFonts w:cs="Arial"/>
          <w:szCs w:val="20"/>
        </w:rPr>
        <w:t xml:space="preserve">It is important to consider the benefit of management actions on sparse woodland as opposed to dense woodland, as fewer individuals </w:t>
      </w:r>
      <w:r w:rsidR="005C4005" w:rsidRPr="00DF4A1A">
        <w:rPr>
          <w:rFonts w:cs="Arial"/>
          <w:szCs w:val="20"/>
        </w:rPr>
        <w:t>can</w:t>
      </w:r>
      <w:r w:rsidRPr="00DF4A1A">
        <w:rPr>
          <w:rFonts w:cs="Arial"/>
          <w:szCs w:val="20"/>
        </w:rPr>
        <w:t xml:space="preserve"> benefit from watering. Density classes were assigned to black box units using aerial imagery as part of the post-field survey digitisation of </w:t>
      </w:r>
      <w:r w:rsidR="009F6E85">
        <w:rPr>
          <w:rFonts w:cs="Arial"/>
          <w:szCs w:val="20"/>
        </w:rPr>
        <w:t>units</w:t>
      </w:r>
      <w:r w:rsidRPr="00DF4A1A">
        <w:rPr>
          <w:rFonts w:cs="Arial"/>
          <w:szCs w:val="20"/>
        </w:rPr>
        <w:t xml:space="preserve">. </w:t>
      </w:r>
    </w:p>
    <w:p w14:paraId="62987D0B" w14:textId="7B2102A7" w:rsidR="00864F08" w:rsidRPr="007A45D5" w:rsidRDefault="00864F08" w:rsidP="008C06C0">
      <w:pPr>
        <w:pStyle w:val="Caption"/>
      </w:pPr>
      <w:bookmarkStart w:id="350" w:name="_Ref506801268"/>
      <w:bookmarkStart w:id="351" w:name="_Toc514068804"/>
      <w:r w:rsidRPr="007A45D5">
        <w:t xml:space="preserve">Table </w:t>
      </w:r>
      <w:r w:rsidR="002D4BCF" w:rsidRPr="007A45D5">
        <w:fldChar w:fldCharType="begin"/>
      </w:r>
      <w:r w:rsidR="002D4BCF" w:rsidRPr="007A45D5">
        <w:instrText xml:space="preserve"> STYLEREF 1 \s </w:instrText>
      </w:r>
      <w:r w:rsidR="002D4BCF" w:rsidRPr="007A45D5">
        <w:fldChar w:fldCharType="separate"/>
      </w:r>
      <w:r w:rsidR="00BF015B">
        <w:rPr>
          <w:noProof/>
        </w:rPr>
        <w:t>7</w:t>
      </w:r>
      <w:r w:rsidR="002D4BCF" w:rsidRPr="007A45D5">
        <w:fldChar w:fldCharType="end"/>
      </w:r>
      <w:r w:rsidR="002D4BCF" w:rsidRPr="007A45D5">
        <w:noBreakHyphen/>
      </w:r>
      <w:r w:rsidR="002D4BCF" w:rsidRPr="007A45D5">
        <w:fldChar w:fldCharType="begin"/>
      </w:r>
      <w:r w:rsidR="002D4BCF" w:rsidRPr="007A45D5">
        <w:instrText xml:space="preserve"> SEQ Table \* ARABIC \s 1 </w:instrText>
      </w:r>
      <w:r w:rsidR="002D4BCF" w:rsidRPr="007A45D5">
        <w:fldChar w:fldCharType="separate"/>
      </w:r>
      <w:r w:rsidR="00BF015B">
        <w:rPr>
          <w:noProof/>
        </w:rPr>
        <w:t>4</w:t>
      </w:r>
      <w:r w:rsidR="002D4BCF" w:rsidRPr="007A45D5">
        <w:fldChar w:fldCharType="end"/>
      </w:r>
      <w:bookmarkEnd w:id="350"/>
      <w:r w:rsidR="005C32F1">
        <w:t>:</w:t>
      </w:r>
      <w:r w:rsidRPr="007A45D5">
        <w:t xml:space="preserve"> Density </w:t>
      </w:r>
      <w:r w:rsidR="005C32F1">
        <w:t>C</w:t>
      </w:r>
      <w:r w:rsidRPr="007A45D5">
        <w:t>lassification</w:t>
      </w:r>
      <w:bookmarkEnd w:id="351"/>
    </w:p>
    <w:tbl>
      <w:tblPr>
        <w:tblStyle w:val="Table1"/>
        <w:tblW w:w="0" w:type="auto"/>
        <w:tblInd w:w="108" w:type="dxa"/>
        <w:tblLook w:val="04A0" w:firstRow="1" w:lastRow="0" w:firstColumn="1" w:lastColumn="0" w:noHBand="0" w:noVBand="1"/>
      </w:tblPr>
      <w:tblGrid>
        <w:gridCol w:w="1705"/>
        <w:gridCol w:w="5119"/>
      </w:tblGrid>
      <w:tr w:rsidR="00864F08" w:rsidRPr="002C2F92" w14:paraId="081BE6CF" w14:textId="77777777" w:rsidTr="00864F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1D3641" w:themeFill="text2"/>
          </w:tcPr>
          <w:p w14:paraId="0F01F44D" w14:textId="77777777" w:rsidR="00864F08" w:rsidRPr="007E10B8" w:rsidRDefault="00864F08" w:rsidP="008C06C0">
            <w:pPr>
              <w:pStyle w:val="NoSpacing"/>
              <w:keepNext/>
              <w:rPr>
                <w:rFonts w:cstheme="minorHAnsi"/>
                <w:color w:val="FFFFFF" w:themeColor="background1"/>
                <w:sz w:val="20"/>
                <w:szCs w:val="20"/>
              </w:rPr>
            </w:pPr>
            <w:r w:rsidRPr="007E10B8">
              <w:rPr>
                <w:rFonts w:cstheme="minorHAnsi"/>
                <w:color w:val="FFFFFF" w:themeColor="background1"/>
                <w:sz w:val="20"/>
                <w:szCs w:val="20"/>
              </w:rPr>
              <w:t>Density Class</w:t>
            </w:r>
          </w:p>
        </w:tc>
        <w:tc>
          <w:tcPr>
            <w:tcW w:w="5119" w:type="dxa"/>
            <w:shd w:val="clear" w:color="auto" w:fill="1D3641" w:themeFill="text2"/>
          </w:tcPr>
          <w:p w14:paraId="5905F7A0" w14:textId="77777777" w:rsidR="00864F08" w:rsidRPr="007E10B8" w:rsidRDefault="00864F08" w:rsidP="008C06C0">
            <w:pPr>
              <w:pStyle w:val="NoSpacing"/>
              <w:keepNex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0"/>
                <w:szCs w:val="20"/>
              </w:rPr>
            </w:pPr>
            <w:r w:rsidRPr="007E10B8">
              <w:rPr>
                <w:rFonts w:cstheme="minorHAnsi"/>
                <w:color w:val="FFFFFF" w:themeColor="background1"/>
                <w:sz w:val="20"/>
                <w:szCs w:val="20"/>
              </w:rPr>
              <w:t>Description</w:t>
            </w:r>
          </w:p>
          <w:p w14:paraId="54F9A42B" w14:textId="77777777" w:rsidR="00864F08" w:rsidRPr="007E10B8" w:rsidRDefault="00864F08" w:rsidP="008C06C0">
            <w:pPr>
              <w:pStyle w:val="NoSpacing"/>
              <w:keepNex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0"/>
                <w:szCs w:val="20"/>
              </w:rPr>
            </w:pPr>
          </w:p>
        </w:tc>
      </w:tr>
      <w:tr w:rsidR="00864F08" w:rsidRPr="002C2F92" w14:paraId="3EC57CC7" w14:textId="77777777" w:rsidTr="00864F08">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317236DE" w14:textId="77777777" w:rsidR="00864F08" w:rsidRPr="002C2F92" w:rsidRDefault="00864F08" w:rsidP="008C06C0">
            <w:pPr>
              <w:pStyle w:val="NoSpacing"/>
              <w:keepNext/>
              <w:rPr>
                <w:rFonts w:cstheme="minorHAnsi"/>
                <w:sz w:val="20"/>
                <w:szCs w:val="20"/>
              </w:rPr>
            </w:pPr>
            <w:r w:rsidRPr="002C2F92">
              <w:rPr>
                <w:rFonts w:cstheme="minorHAnsi"/>
                <w:sz w:val="20"/>
                <w:szCs w:val="20"/>
              </w:rPr>
              <w:t>D1</w:t>
            </w:r>
          </w:p>
        </w:tc>
        <w:tc>
          <w:tcPr>
            <w:tcW w:w="5119" w:type="dxa"/>
          </w:tcPr>
          <w:p w14:paraId="05AFA7D0" w14:textId="77777777" w:rsidR="00864F08" w:rsidRPr="002C2F92" w:rsidRDefault="00864F08" w:rsidP="008C06C0">
            <w:pPr>
              <w:pStyle w:val="NoSpacing"/>
              <w:keepNex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&gt;40 trees per hectare, Closed forest with canopies touching</w:t>
            </w:r>
            <w:r>
              <w:rPr>
                <w:rFonts w:cstheme="minorHAnsi"/>
                <w:sz w:val="20"/>
                <w:szCs w:val="20"/>
              </w:rPr>
              <w:t xml:space="preserve"> to open forest</w:t>
            </w:r>
          </w:p>
        </w:tc>
      </w:tr>
      <w:tr w:rsidR="00864F08" w:rsidRPr="002C2F92" w14:paraId="5A5B49E8" w14:textId="77777777" w:rsidTr="00864F08">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3950AA32" w14:textId="77777777" w:rsidR="00864F08" w:rsidRPr="002C2F92" w:rsidRDefault="00864F08" w:rsidP="008C06C0">
            <w:pPr>
              <w:pStyle w:val="NoSpacing"/>
              <w:keepNext/>
              <w:rPr>
                <w:rFonts w:cstheme="minorHAnsi"/>
                <w:sz w:val="20"/>
                <w:szCs w:val="20"/>
              </w:rPr>
            </w:pPr>
            <w:r w:rsidRPr="002C2F92">
              <w:rPr>
                <w:rFonts w:cstheme="minorHAnsi"/>
                <w:sz w:val="20"/>
                <w:szCs w:val="20"/>
              </w:rPr>
              <w:t>D2</w:t>
            </w:r>
          </w:p>
        </w:tc>
        <w:tc>
          <w:tcPr>
            <w:tcW w:w="5119" w:type="dxa"/>
          </w:tcPr>
          <w:p w14:paraId="669E1A13" w14:textId="77777777" w:rsidR="00864F08" w:rsidRPr="002C2F92" w:rsidRDefault="00864F08" w:rsidP="008C06C0">
            <w:pPr>
              <w:pStyle w:val="NoSpacing"/>
              <w:keepNex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10-40 trees per hectare, Woodland to Open woodland</w:t>
            </w:r>
          </w:p>
        </w:tc>
      </w:tr>
      <w:tr w:rsidR="00864F08" w:rsidRPr="002C2F92" w14:paraId="631EC7F5" w14:textId="77777777" w:rsidTr="00864F08">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7B2F1E8C" w14:textId="77777777" w:rsidR="00864F08" w:rsidRPr="002C2F92" w:rsidRDefault="00864F08" w:rsidP="008C06C0">
            <w:pPr>
              <w:pStyle w:val="NoSpacing"/>
              <w:keepNext/>
              <w:rPr>
                <w:rFonts w:cstheme="minorHAnsi"/>
                <w:sz w:val="20"/>
                <w:szCs w:val="20"/>
              </w:rPr>
            </w:pPr>
            <w:r w:rsidRPr="002C2F92">
              <w:rPr>
                <w:rFonts w:cstheme="minorHAnsi"/>
                <w:sz w:val="20"/>
                <w:szCs w:val="20"/>
              </w:rPr>
              <w:t>D3</w:t>
            </w:r>
          </w:p>
        </w:tc>
        <w:tc>
          <w:tcPr>
            <w:tcW w:w="5119" w:type="dxa"/>
          </w:tcPr>
          <w:p w14:paraId="59B3D5D2" w14:textId="77777777" w:rsidR="00864F08" w:rsidRPr="002C2F92" w:rsidRDefault="00864F08" w:rsidP="008C06C0">
            <w:pPr>
              <w:pStyle w:val="NoSpacing"/>
              <w:keepNex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C2F92">
              <w:rPr>
                <w:rFonts w:cstheme="minorHAnsi"/>
                <w:sz w:val="20"/>
                <w:szCs w:val="20"/>
              </w:rPr>
              <w:t>&lt;10 trees per hectare, Open/Sparse woodland</w:t>
            </w:r>
            <w:r>
              <w:rPr>
                <w:rFonts w:cstheme="minorHAnsi"/>
                <w:sz w:val="20"/>
                <w:szCs w:val="20"/>
              </w:rPr>
              <w:t xml:space="preserve"> and isolated trees</w:t>
            </w:r>
          </w:p>
        </w:tc>
      </w:tr>
    </w:tbl>
    <w:p w14:paraId="5FF37785" w14:textId="77777777" w:rsidR="00CE6E99" w:rsidRDefault="00CE6E99" w:rsidP="00864F08">
      <w:pPr>
        <w:pStyle w:val="NoSpacing"/>
        <w:jc w:val="center"/>
        <w:rPr>
          <w:rFonts w:cstheme="minorHAnsi"/>
        </w:rPr>
      </w:pPr>
    </w:p>
    <w:p w14:paraId="1A104334" w14:textId="77777777" w:rsidR="00CE6E99" w:rsidRDefault="00CE6E99" w:rsidP="00864F08">
      <w:pPr>
        <w:pStyle w:val="NoSpacing"/>
        <w:jc w:val="center"/>
        <w:rPr>
          <w:rFonts w:cstheme="minorHAnsi"/>
        </w:rPr>
      </w:pPr>
    </w:p>
    <w:p w14:paraId="2EE9E6B5" w14:textId="36133620" w:rsidR="00864F08" w:rsidRPr="002C2F92" w:rsidRDefault="00864F08" w:rsidP="00864F08">
      <w:pPr>
        <w:pStyle w:val="NoSpacing"/>
        <w:jc w:val="center"/>
        <w:rPr>
          <w:rFonts w:cstheme="minorHAnsi"/>
        </w:rPr>
      </w:pPr>
      <w:r w:rsidRPr="002C2F92">
        <w:rPr>
          <w:rFonts w:cstheme="minorHAnsi"/>
          <w:noProof/>
          <w:lang w:eastAsia="en-AU"/>
        </w:rPr>
        <w:drawing>
          <wp:inline distT="0" distB="0" distL="0" distR="0" wp14:anchorId="794EE4FD" wp14:editId="1399381D">
            <wp:extent cx="6224932" cy="3086100"/>
            <wp:effectExtent l="0" t="0" r="4445" b="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email">
                      <a:extLst>
                        <a:ext uri="{28A0092B-C50C-407E-A947-70E740481C1C}">
                          <a14:useLocalDpi xmlns:a14="http://schemas.microsoft.com/office/drawing/2010/main"/>
                        </a:ext>
                      </a:extLst>
                    </a:blip>
                    <a:stretch>
                      <a:fillRect/>
                    </a:stretch>
                  </pic:blipFill>
                  <pic:spPr>
                    <a:xfrm>
                      <a:off x="0" y="0"/>
                      <a:ext cx="6247894" cy="3097484"/>
                    </a:xfrm>
                    <a:prstGeom prst="rect">
                      <a:avLst/>
                    </a:prstGeom>
                  </pic:spPr>
                </pic:pic>
              </a:graphicData>
            </a:graphic>
          </wp:inline>
        </w:drawing>
      </w:r>
    </w:p>
    <w:p w14:paraId="5E448C63" w14:textId="06142F7A" w:rsidR="00864F08" w:rsidRPr="007A45D5" w:rsidRDefault="00864F08" w:rsidP="007A45D5">
      <w:pPr>
        <w:pStyle w:val="Caption"/>
      </w:pPr>
      <w:bookmarkStart w:id="352" w:name="_Ref506801299"/>
      <w:bookmarkStart w:id="353" w:name="_Toc514018115"/>
      <w:r w:rsidRPr="007A45D5">
        <w:t xml:space="preserve">Figure </w:t>
      </w:r>
      <w:r w:rsidR="004F42DD">
        <w:fldChar w:fldCharType="begin"/>
      </w:r>
      <w:r w:rsidR="004F42DD">
        <w:instrText xml:space="preserve"> STYLEREF 1 \s </w:instrText>
      </w:r>
      <w:r w:rsidR="004F42DD">
        <w:fldChar w:fldCharType="separate"/>
      </w:r>
      <w:r w:rsidR="00BF015B">
        <w:rPr>
          <w:noProof/>
        </w:rPr>
        <w:t>7</w:t>
      </w:r>
      <w:r w:rsidR="004F42DD">
        <w:fldChar w:fldCharType="end"/>
      </w:r>
      <w:r w:rsidR="004F42DD">
        <w:noBreakHyphen/>
      </w:r>
      <w:r w:rsidR="004F42DD">
        <w:fldChar w:fldCharType="begin"/>
      </w:r>
      <w:r w:rsidR="004F42DD">
        <w:instrText xml:space="preserve"> SEQ Figure \* ARABIC \s 1 </w:instrText>
      </w:r>
      <w:r w:rsidR="004F42DD">
        <w:fldChar w:fldCharType="separate"/>
      </w:r>
      <w:r w:rsidR="00BF015B">
        <w:rPr>
          <w:noProof/>
        </w:rPr>
        <w:t>3</w:t>
      </w:r>
      <w:r w:rsidR="004F42DD">
        <w:fldChar w:fldCharType="end"/>
      </w:r>
      <w:bookmarkEnd w:id="352"/>
      <w:r w:rsidR="005C32F1">
        <w:t>:</w:t>
      </w:r>
      <w:r w:rsidRPr="007A45D5">
        <w:t xml:space="preserve"> Examples of Black Box </w:t>
      </w:r>
      <w:r w:rsidR="009F6E85">
        <w:t>unit</w:t>
      </w:r>
      <w:r w:rsidRPr="007A45D5">
        <w:t xml:space="preserve"> </w:t>
      </w:r>
      <w:r w:rsidR="009F6E85">
        <w:t>d</w:t>
      </w:r>
      <w:r w:rsidRPr="007A45D5">
        <w:t>ensity with aerial imagery</w:t>
      </w:r>
      <w:bookmarkEnd w:id="353"/>
    </w:p>
    <w:p w14:paraId="06CA9B9E" w14:textId="77777777" w:rsidR="00864F08" w:rsidRDefault="00864F08" w:rsidP="00864F08">
      <w:pPr>
        <w:rPr>
          <w:rFonts w:cs="Arial"/>
          <w:color w:val="000000" w:themeColor="text1"/>
          <w:szCs w:val="20"/>
          <w:highlight w:val="yellow"/>
        </w:rPr>
      </w:pPr>
    </w:p>
    <w:p w14:paraId="36E13A1B" w14:textId="08D76678" w:rsidR="00EA2DC6" w:rsidRPr="00EA2DC6" w:rsidRDefault="00864F08" w:rsidP="004B72AF">
      <w:pPr>
        <w:pStyle w:val="Heading9"/>
        <w:numPr>
          <w:ilvl w:val="0"/>
          <w:numId w:val="8"/>
        </w:numPr>
        <w:spacing w:after="0" w:line="240" w:lineRule="auto"/>
        <w:ind w:left="1985" w:hanging="1985"/>
        <w:rPr>
          <w:color w:val="65876D" w:themeColor="accent4" w:themeShade="BF"/>
        </w:rPr>
      </w:pPr>
      <w:bookmarkStart w:id="354" w:name="_Ref506214160"/>
      <w:bookmarkStart w:id="355" w:name="_Toc510785223"/>
      <w:bookmarkEnd w:id="339"/>
      <w:bookmarkEnd w:id="340"/>
      <w:bookmarkEnd w:id="341"/>
      <w:r>
        <w:rPr>
          <w:color w:val="65876D" w:themeColor="accent4" w:themeShade="BF"/>
        </w:rPr>
        <w:t>The Living Murray Condition Assessment</w:t>
      </w:r>
      <w:bookmarkEnd w:id="354"/>
      <w:bookmarkEnd w:id="355"/>
    </w:p>
    <w:p w14:paraId="58903747" w14:textId="5D883ACF" w:rsidR="00EA2DC6" w:rsidRPr="00EA2DC6" w:rsidRDefault="00EA2DC6" w:rsidP="00EA2DC6">
      <w:pPr>
        <w:spacing w:before="240" w:after="120"/>
        <w:rPr>
          <w:rFonts w:cs="Arial"/>
          <w:color w:val="000000" w:themeColor="text1"/>
        </w:rPr>
      </w:pPr>
      <w:r w:rsidRPr="00EA2DC6">
        <w:t xml:space="preserve">The Living Murray (TLM) method, is widely employed across icon sites in the Basin and as such has a documented, tested </w:t>
      </w:r>
      <w:r w:rsidR="00C147E4">
        <w:t>monitoring and evaluation</w:t>
      </w:r>
      <w:r w:rsidR="00C147E4" w:rsidRPr="00EA2DC6" w:rsidDel="00C147E4">
        <w:t xml:space="preserve"> </w:t>
      </w:r>
      <w:r w:rsidRPr="00EA2DC6">
        <w:t xml:space="preserve">approach (Souter </w:t>
      </w:r>
      <w:r w:rsidRPr="00EA2DC6">
        <w:rPr>
          <w:i/>
        </w:rPr>
        <w:t>et al.</w:t>
      </w:r>
      <w:r w:rsidR="003F2755">
        <w:rPr>
          <w:i/>
        </w:rPr>
        <w:t>,</w:t>
      </w:r>
      <w:r w:rsidRPr="00EA2DC6">
        <w:t xml:space="preserve"> 2010). </w:t>
      </w:r>
      <w:r w:rsidRPr="00EA2DC6">
        <w:rPr>
          <w:rFonts w:cs="Arial"/>
          <w:color w:val="000000" w:themeColor="text1"/>
        </w:rPr>
        <w:t>The TLM method is a detailed approach, which can be adopted in part or in full to provide indicators tailored to the objectives and targets of a project.</w:t>
      </w:r>
    </w:p>
    <w:p w14:paraId="2FA59601" w14:textId="68230C30" w:rsidR="00EA2DC6" w:rsidRPr="00EA2DC6" w:rsidRDefault="00EA2DC6" w:rsidP="00EA2DC6">
      <w:pPr>
        <w:spacing w:before="240" w:after="120"/>
        <w:rPr>
          <w:rFonts w:cs="Arial"/>
          <w:color w:val="000000" w:themeColor="text1"/>
        </w:rPr>
      </w:pPr>
      <w:r w:rsidRPr="00EA2DC6">
        <w:rPr>
          <w:color w:val="000000" w:themeColor="text1"/>
        </w:rPr>
        <w:t xml:space="preserve">Souter </w:t>
      </w:r>
      <w:r w:rsidRPr="00EA2DC6">
        <w:rPr>
          <w:i/>
          <w:color w:val="000000" w:themeColor="text1"/>
        </w:rPr>
        <w:t>et al</w:t>
      </w:r>
      <w:r w:rsidRPr="00EA2DC6">
        <w:rPr>
          <w:color w:val="000000" w:themeColor="text1"/>
        </w:rPr>
        <w:t xml:space="preserve">. (2010) relate the direct TLM measures to stand and tree condition as shown </w:t>
      </w:r>
      <w:r w:rsidRPr="00EA2DC6">
        <w:rPr>
          <w:rFonts w:cs="Arial"/>
          <w:color w:val="000000" w:themeColor="text1"/>
        </w:rPr>
        <w:t xml:space="preserve">in </w:t>
      </w:r>
      <w:r w:rsidR="00142B25" w:rsidRPr="00EE61C2">
        <w:rPr>
          <w:rFonts w:cs="Arial"/>
          <w:color w:val="000000" w:themeColor="text1"/>
        </w:rPr>
        <w:t>Figure B.1</w:t>
      </w:r>
      <w:r w:rsidR="00142B25">
        <w:rPr>
          <w:rFonts w:cs="Arial"/>
          <w:b/>
          <w:color w:val="000000" w:themeColor="text1"/>
        </w:rPr>
        <w:t xml:space="preserve"> </w:t>
      </w:r>
      <w:r w:rsidRPr="00EA2DC6">
        <w:rPr>
          <w:rFonts w:cs="Arial"/>
          <w:color w:val="000000" w:themeColor="text1"/>
        </w:rPr>
        <w:t>and provide methodologies for the survey, analysis and generation of each indicator. For example, epicormic growth and new tip growth are indicators of recovery, whereas bark cracking and leaf die-off are indicators of decline.  The balance of indicators of recovery with indicators of decline provides a condition trajectory; i.e. is the overall site in decline or improvement, but need to be interpreted with caution and consideration of when the survey was undertaken and or recent climatic events which may confound results (</w:t>
      </w:r>
      <w:r w:rsidRPr="00EA2DC6">
        <w:t>e.g. (i) peak leaf fall for eucalypts occurs in summer which can result in survey’s returning lower scores if surveys are undertaken in summer v’s spring, and (ii) crown can respond rapidly to episodic conditions such as heavy rain)</w:t>
      </w:r>
      <w:r w:rsidRPr="00EA2DC6">
        <w:rPr>
          <w:rFonts w:cs="Arial"/>
          <w:color w:val="000000" w:themeColor="text1"/>
        </w:rPr>
        <w:t xml:space="preserve"> Similarly,</w:t>
      </w:r>
      <w:r w:rsidRPr="00EA2DC6">
        <w:t xml:space="preserve"> trees with crown that have a high representation of epicormic growth are a long way from being in “good” condition, and a substantial proportion of trees that generate epicormic growth in response to watering do not sustain the response (i.e. they don’t successfully recover as a result, pers. comm. Todd Wallace, November 2016))</w:t>
      </w:r>
      <w:r w:rsidRPr="00EA2DC6">
        <w:rPr>
          <w:rFonts w:cs="Arial"/>
          <w:color w:val="000000" w:themeColor="text1"/>
        </w:rPr>
        <w:t xml:space="preserve"> . Souter </w:t>
      </w:r>
      <w:r w:rsidRPr="00EA2DC6">
        <w:rPr>
          <w:rFonts w:cs="Arial"/>
          <w:i/>
          <w:color w:val="000000" w:themeColor="text1"/>
        </w:rPr>
        <w:t>et al.</w:t>
      </w:r>
      <w:r w:rsidRPr="00EA2DC6">
        <w:rPr>
          <w:rFonts w:cs="Arial"/>
          <w:color w:val="000000" w:themeColor="text1"/>
        </w:rPr>
        <w:t xml:space="preserve"> (2010) describes an interpretation of the balance between indicators of recover and decline:</w:t>
      </w:r>
    </w:p>
    <w:p w14:paraId="7E787DD3" w14:textId="423286A7" w:rsidR="00EA2DC6" w:rsidRPr="00EA2DC6" w:rsidRDefault="00EA2DC6" w:rsidP="00EA2DC6">
      <w:pPr>
        <w:spacing w:before="240" w:after="120"/>
        <w:ind w:left="425"/>
        <w:rPr>
          <w:rFonts w:cs="Arial"/>
          <w:i/>
          <w:color w:val="000000" w:themeColor="text1"/>
        </w:rPr>
      </w:pPr>
      <w:r w:rsidRPr="00EA2DC6">
        <w:rPr>
          <w:rFonts w:cs="Arial"/>
          <w:i/>
          <w:color w:val="000000" w:themeColor="text1"/>
        </w:rPr>
        <w:t xml:space="preserve">“Trees producing new tip growth suggest either </w:t>
      </w:r>
      <w:r w:rsidR="009B3015" w:rsidRPr="00EA2DC6">
        <w:rPr>
          <w:rFonts w:cs="Arial"/>
          <w:i/>
          <w:color w:val="000000" w:themeColor="text1"/>
        </w:rPr>
        <w:t>maintenance</w:t>
      </w:r>
      <w:r w:rsidRPr="00EA2DC6">
        <w:rPr>
          <w:rFonts w:cs="Arial"/>
          <w:i/>
          <w:color w:val="000000" w:themeColor="text1"/>
        </w:rPr>
        <w:t xml:space="preserve"> in condition for healthy trees or recovery from stress and a possible future increase in condition (if suitable environmental conditions are maintained) in unhealthy trees. Trees producing epicormic growth suggest a recovery from stress and a possible future increase in condition (if suitable environmental conditions are maintained) in unhealthy trees. In contrast, trees that have leaves dying off, and/or deeply cracked bark may be under stress and may continue to decline in condition.”</w:t>
      </w:r>
    </w:p>
    <w:p w14:paraId="6F800335" w14:textId="77777777" w:rsidR="00EA2DC6" w:rsidRPr="00EA2DC6" w:rsidRDefault="00EA2DC6" w:rsidP="00EA2DC6">
      <w:pPr>
        <w:spacing w:before="240" w:after="120"/>
        <w:rPr>
          <w:szCs w:val="20"/>
        </w:rPr>
      </w:pPr>
      <w:r w:rsidRPr="00EA2DC6">
        <w:rPr>
          <w:szCs w:val="20"/>
        </w:rPr>
        <w:t xml:space="preserve">Measures of </w:t>
      </w:r>
      <w:r w:rsidRPr="00EA2DC6">
        <w:rPr>
          <w:rFonts w:eastAsiaTheme="minorHAnsi"/>
          <w:szCs w:val="20"/>
        </w:rPr>
        <w:t>Diameter at Breast Height (</w:t>
      </w:r>
      <w:r w:rsidRPr="00EA2DC6">
        <w:rPr>
          <w:szCs w:val="20"/>
        </w:rPr>
        <w:t>DBH) together with an assessment of the number of live/dead trees can be used to generate an indicator of percentage live basal area (LBA) per site. Representative hemispherical photos are used to generate the Plant Area Index (the area of leaves and stems per unit ground area). A measure of crown extent (or the percentage of assessable crown in which there are live leaves) is reported in alignment with scaled categories.  A stand condition score (SCS) can then be calculated from the average score of the three condition indicators (plant condition index, live basal area and crown condition).</w:t>
      </w:r>
    </w:p>
    <w:p w14:paraId="1D07F653" w14:textId="77777777" w:rsidR="00EA2DC6" w:rsidRDefault="00EA2DC6" w:rsidP="00EA2DC6">
      <w:pPr>
        <w:spacing w:before="240" w:after="120"/>
      </w:pPr>
      <w:r w:rsidRPr="00EA2DC6">
        <w:t>A recommended measure, as relevant to the achievement of the MDBA (2014) Environmental Watering outcome for improved Black Box recruitment, is gaining an understanding of the age class distribution of trees at any site. For the Black Box population to be sustainable, this distribution needs to cover all age classes including seedlings which are required to replace senescent trees and renew existing populations.</w:t>
      </w:r>
    </w:p>
    <w:p w14:paraId="008C1CC9" w14:textId="1E0DF6AE" w:rsidR="00244345" w:rsidRDefault="000170F5" w:rsidP="00EA2DC6">
      <w:pPr>
        <w:keepNext/>
        <w:spacing w:before="240" w:after="100"/>
      </w:pPr>
      <w:r>
        <w:t>N</w:t>
      </w:r>
      <w:r w:rsidR="00362133">
        <w:t xml:space="preserve">oting that </w:t>
      </w:r>
      <w:r w:rsidR="00244345">
        <w:t>biophysical</w:t>
      </w:r>
      <w:r w:rsidR="00362133">
        <w:t xml:space="preserve"> responses may be slow to occur and be detectable, surrogate physical measures may also be appropriate to indicate a </w:t>
      </w:r>
      <w:r w:rsidR="00244345">
        <w:t xml:space="preserve">trajectory of change linked to the </w:t>
      </w:r>
      <w:r w:rsidR="00362133">
        <w:t xml:space="preserve">abiotic conditions known to </w:t>
      </w:r>
      <w:r w:rsidR="00244345">
        <w:t>influence</w:t>
      </w:r>
      <w:r w:rsidR="00362133">
        <w:t xml:space="preserve"> healthy Black Box condition. For example, these may include soil salinity, soil moisture availability, groundwater salinity, depth to groundwater</w:t>
      </w:r>
      <w:r>
        <w:t xml:space="preserve"> etc</w:t>
      </w:r>
      <w:r w:rsidR="00362133">
        <w:t xml:space="preserve">. A response in these measures to an applied management regime would be expected to occur more rapidly than the ecological response that </w:t>
      </w:r>
      <w:r w:rsidR="005C4005">
        <w:t>follows and</w:t>
      </w:r>
      <w:r w:rsidR="00362133">
        <w:t xml:space="preserve"> could be used as a surrogate demonstrating a </w:t>
      </w:r>
      <w:r w:rsidR="005C4005">
        <w:t>short-term</w:t>
      </w:r>
      <w:r w:rsidR="00362133">
        <w:t xml:space="preserve"> change which is linked to the </w:t>
      </w:r>
      <w:r w:rsidR="005C4005">
        <w:t>long-term</w:t>
      </w:r>
      <w:r w:rsidR="00362133">
        <w:t xml:space="preserve"> restoration </w:t>
      </w:r>
      <w:r>
        <w:t xml:space="preserve">goals of the </w:t>
      </w:r>
      <w:r w:rsidR="00362133">
        <w:t>project.</w:t>
      </w:r>
      <w:r>
        <w:t xml:space="preserve"> </w:t>
      </w:r>
      <w:r w:rsidR="00244345">
        <w:t>These indicators link to the operational objectives identified in Chapter 3.</w:t>
      </w:r>
      <w:bookmarkStart w:id="356" w:name="_Ref463541292"/>
      <w:bookmarkStart w:id="357" w:name="_Toc464486024"/>
    </w:p>
    <w:p w14:paraId="691F5811" w14:textId="27746008" w:rsidR="00EA2DC6" w:rsidRPr="00EA2DC6" w:rsidRDefault="00EA2DC6" w:rsidP="007A45D5">
      <w:pPr>
        <w:pStyle w:val="Caption"/>
      </w:pPr>
      <w:bookmarkStart w:id="358" w:name="_Toc514018116"/>
      <w:r w:rsidRPr="00EA2DC6">
        <w:t xml:space="preserve">Figure </w:t>
      </w:r>
      <w:r w:rsidR="004F42DD">
        <w:fldChar w:fldCharType="begin"/>
      </w:r>
      <w:r w:rsidR="004F42DD">
        <w:instrText xml:space="preserve"> STYLEREF 1 \s </w:instrText>
      </w:r>
      <w:r w:rsidR="004F42DD">
        <w:fldChar w:fldCharType="separate"/>
      </w:r>
      <w:r w:rsidR="00BF015B">
        <w:rPr>
          <w:noProof/>
        </w:rPr>
        <w:t>7</w:t>
      </w:r>
      <w:r w:rsidR="004F42DD">
        <w:fldChar w:fldCharType="end"/>
      </w:r>
      <w:r w:rsidR="004F42DD">
        <w:noBreakHyphen/>
      </w:r>
      <w:r w:rsidR="004F42DD">
        <w:fldChar w:fldCharType="begin"/>
      </w:r>
      <w:r w:rsidR="004F42DD">
        <w:instrText xml:space="preserve"> SEQ Figure \* ARABIC \s 1 </w:instrText>
      </w:r>
      <w:r w:rsidR="004F42DD">
        <w:fldChar w:fldCharType="separate"/>
      </w:r>
      <w:r w:rsidR="00BF015B">
        <w:rPr>
          <w:noProof/>
        </w:rPr>
        <w:t>4</w:t>
      </w:r>
      <w:r w:rsidR="004F42DD">
        <w:fldChar w:fldCharType="end"/>
      </w:r>
      <w:bookmarkEnd w:id="356"/>
      <w:r w:rsidRPr="00EA2DC6">
        <w:t xml:space="preserve">: </w:t>
      </w:r>
      <w:r w:rsidR="00A71E89">
        <w:t>TLM</w:t>
      </w:r>
      <w:r w:rsidRPr="00EA2DC6">
        <w:t xml:space="preserve"> indicators of Black Box condition</w:t>
      </w:r>
      <w:bookmarkEnd w:id="357"/>
      <w:r w:rsidR="00EE61C2">
        <w:t xml:space="preserve"> (</w:t>
      </w:r>
      <w:r w:rsidR="00362133">
        <w:t xml:space="preserve">Souter </w:t>
      </w:r>
      <w:r w:rsidR="00362133" w:rsidRPr="00244345">
        <w:rPr>
          <w:i/>
        </w:rPr>
        <w:t>et al.</w:t>
      </w:r>
      <w:r w:rsidR="003F2755">
        <w:rPr>
          <w:i/>
        </w:rPr>
        <w:t>,</w:t>
      </w:r>
      <w:r w:rsidR="00362133">
        <w:t xml:space="preserve"> 2010</w:t>
      </w:r>
      <w:r w:rsidR="00EE61C2">
        <w:t>)</w:t>
      </w:r>
      <w:bookmarkEnd w:id="358"/>
    </w:p>
    <w:p w14:paraId="728266B4" w14:textId="77777777" w:rsidR="00EA2DC6" w:rsidRPr="00EA2DC6" w:rsidRDefault="00EA2DC6" w:rsidP="00EA2DC6">
      <w:pPr>
        <w:spacing w:before="240" w:after="120"/>
        <w:rPr>
          <w:rFonts w:cs="Arial"/>
          <w:color w:val="000000" w:themeColor="text1"/>
        </w:rPr>
      </w:pPr>
      <w:r w:rsidRPr="00EA2DC6">
        <w:rPr>
          <w:rFonts w:ascii="Arial Narrow" w:hAnsi="Arial Narrow"/>
          <w:b/>
          <w:noProof/>
          <w:lang w:eastAsia="en-AU"/>
        </w:rPr>
        <mc:AlternateContent>
          <mc:Choice Requires="wps">
            <w:drawing>
              <wp:inline distT="0" distB="0" distL="0" distR="0" wp14:anchorId="19C3F20E" wp14:editId="0D29B7B0">
                <wp:extent cx="6267600" cy="3441940"/>
                <wp:effectExtent l="0" t="0" r="19050" b="25400"/>
                <wp:docPr id="2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7600" cy="3441940"/>
                        </a:xfrm>
                        <a:prstGeom prst="rect">
                          <a:avLst/>
                        </a:prstGeom>
                        <a:gradFill>
                          <a:gsLst>
                            <a:gs pos="0">
                              <a:srgbClr val="90AC97">
                                <a:lumMod val="40000"/>
                                <a:lumOff val="60000"/>
                              </a:srgbClr>
                            </a:gs>
                            <a:gs pos="50000">
                              <a:srgbClr val="90AC97">
                                <a:lumMod val="60000"/>
                                <a:lumOff val="40000"/>
                              </a:srgbClr>
                            </a:gs>
                            <a:gs pos="100000">
                              <a:srgbClr val="90AC97">
                                <a:lumMod val="75000"/>
                              </a:srgbClr>
                            </a:gs>
                          </a:gsLst>
                          <a:lin ang="5400000" scaled="0"/>
                        </a:gradFill>
                        <a:ln w="6350">
                          <a:solidFill>
                            <a:prstClr val="black"/>
                          </a:solidFill>
                        </a:ln>
                        <a:effectLst/>
                      </wps:spPr>
                      <wps:txbx>
                        <w:txbxContent>
                          <w:p w14:paraId="12144D3F" w14:textId="77777777" w:rsidR="00CF0933" w:rsidRPr="00F50518" w:rsidRDefault="00CF0933" w:rsidP="00EA2DC6">
                            <w:pPr>
                              <w:spacing w:before="60" w:after="60" w:line="240" w:lineRule="auto"/>
                              <w:rPr>
                                <w:sz w:val="18"/>
                                <w:szCs w:val="18"/>
                              </w:rPr>
                            </w:pPr>
                            <w:r w:rsidRPr="00F50518">
                              <w:rPr>
                                <w:b/>
                                <w:sz w:val="18"/>
                                <w:szCs w:val="18"/>
                              </w:rPr>
                              <w:t>Direct ecological indicators</w:t>
                            </w:r>
                            <w:r w:rsidRPr="00F50518">
                              <w:rPr>
                                <w:sz w:val="18"/>
                                <w:szCs w:val="18"/>
                              </w:rPr>
                              <w:t xml:space="preserve"> of Black Box stand condition:</w:t>
                            </w:r>
                          </w:p>
                          <w:p w14:paraId="2FE43005"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 xml:space="preserve">Average crown extent (percentage of the assessable crown in which there are live leaves) </w:t>
                            </w:r>
                          </w:p>
                          <w:p w14:paraId="60130A41"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Crown density (amount of skylight blocked by the foliated portions of the crown)</w:t>
                            </w:r>
                          </w:p>
                          <w:p w14:paraId="557D42AB"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 xml:space="preserve">Diversity and distribution of age class (i.e. seedlings through to senescent trees). </w:t>
                            </w:r>
                          </w:p>
                          <w:p w14:paraId="417378E8" w14:textId="77777777" w:rsidR="00CF0933" w:rsidRPr="00F50518" w:rsidRDefault="00CF0933" w:rsidP="00F22225">
                            <w:pPr>
                              <w:numPr>
                                <w:ilvl w:val="0"/>
                                <w:numId w:val="33"/>
                              </w:numPr>
                              <w:spacing w:before="60" w:after="60" w:line="240" w:lineRule="auto"/>
                              <w:rPr>
                                <w:rFonts w:eastAsiaTheme="minorHAnsi" w:cs="Arial"/>
                                <w:sz w:val="18"/>
                                <w:szCs w:val="18"/>
                              </w:rPr>
                            </w:pPr>
                            <w:r w:rsidRPr="00F50518">
                              <w:rPr>
                                <w:rFonts w:eastAsiaTheme="minorHAnsi" w:cs="Arial"/>
                                <w:sz w:val="18"/>
                                <w:szCs w:val="18"/>
                              </w:rPr>
                              <w:t xml:space="preserve">Ratio of live to dead Black Box on site </w:t>
                            </w:r>
                          </w:p>
                          <w:p w14:paraId="05F22D82" w14:textId="77777777" w:rsidR="00CF0933" w:rsidRPr="00F50518" w:rsidRDefault="00CF0933" w:rsidP="00F22225">
                            <w:pPr>
                              <w:numPr>
                                <w:ilvl w:val="0"/>
                                <w:numId w:val="33"/>
                              </w:numPr>
                              <w:spacing w:before="60" w:after="60" w:line="240" w:lineRule="auto"/>
                              <w:rPr>
                                <w:rFonts w:eastAsiaTheme="minorHAnsi" w:cs="Arial"/>
                                <w:sz w:val="18"/>
                                <w:szCs w:val="18"/>
                              </w:rPr>
                            </w:pPr>
                            <w:r w:rsidRPr="00F50518">
                              <w:rPr>
                                <w:rFonts w:eastAsiaTheme="minorHAnsi" w:cs="Arial"/>
                                <w:sz w:val="18"/>
                                <w:szCs w:val="18"/>
                              </w:rPr>
                              <w:t>Distribution of Diameter at Breast Height (DBH)</w:t>
                            </w:r>
                          </w:p>
                          <w:p w14:paraId="36C883CF" w14:textId="77777777" w:rsidR="00CF0933" w:rsidRPr="00F50518" w:rsidRDefault="00CF0933" w:rsidP="00F22225">
                            <w:pPr>
                              <w:numPr>
                                <w:ilvl w:val="0"/>
                                <w:numId w:val="33"/>
                              </w:numPr>
                              <w:spacing w:before="60" w:after="60" w:line="240" w:lineRule="auto"/>
                              <w:rPr>
                                <w:rFonts w:eastAsiaTheme="minorHAnsi" w:cs="Arial"/>
                                <w:sz w:val="18"/>
                                <w:szCs w:val="18"/>
                              </w:rPr>
                            </w:pPr>
                            <w:r w:rsidRPr="00F50518">
                              <w:rPr>
                                <w:rFonts w:eastAsiaTheme="minorHAnsi" w:cs="Arial"/>
                                <w:sz w:val="18"/>
                                <w:szCs w:val="18"/>
                              </w:rPr>
                              <w:t>Seedling counts</w:t>
                            </w:r>
                          </w:p>
                          <w:p w14:paraId="45755CCA"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 xml:space="preserve">Leaf </w:t>
                            </w:r>
                            <w:r>
                              <w:rPr>
                                <w:rFonts w:eastAsiaTheme="minorHAnsi"/>
                                <w:sz w:val="18"/>
                                <w:szCs w:val="18"/>
                              </w:rPr>
                              <w:t>condition</w:t>
                            </w:r>
                            <w:r w:rsidRPr="00F50518">
                              <w:rPr>
                                <w:rFonts w:eastAsiaTheme="minorHAnsi"/>
                                <w:sz w:val="18"/>
                                <w:szCs w:val="18"/>
                              </w:rPr>
                              <w:t>:</w:t>
                            </w:r>
                          </w:p>
                          <w:p w14:paraId="42757AE3" w14:textId="77777777" w:rsidR="00CF0933" w:rsidRPr="00F50518" w:rsidRDefault="00CF0933" w:rsidP="00F22225">
                            <w:pPr>
                              <w:numPr>
                                <w:ilvl w:val="0"/>
                                <w:numId w:val="34"/>
                              </w:numPr>
                              <w:spacing w:before="60" w:after="60" w:line="240" w:lineRule="auto"/>
                              <w:rPr>
                                <w:rFonts w:eastAsiaTheme="minorHAnsi" w:cs="Arial"/>
                                <w:sz w:val="18"/>
                                <w:szCs w:val="18"/>
                              </w:rPr>
                            </w:pPr>
                            <w:r w:rsidRPr="00F50518">
                              <w:rPr>
                                <w:rFonts w:eastAsiaTheme="minorHAnsi" w:cs="Arial"/>
                                <w:sz w:val="18"/>
                                <w:szCs w:val="18"/>
                              </w:rPr>
                              <w:t>New tip growth</w:t>
                            </w:r>
                          </w:p>
                          <w:p w14:paraId="2FF83793" w14:textId="77777777" w:rsidR="00CF0933" w:rsidRPr="00F50518" w:rsidRDefault="00CF0933" w:rsidP="00F22225">
                            <w:pPr>
                              <w:numPr>
                                <w:ilvl w:val="0"/>
                                <w:numId w:val="34"/>
                              </w:numPr>
                              <w:spacing w:before="60" w:after="60" w:line="240" w:lineRule="auto"/>
                              <w:rPr>
                                <w:rFonts w:eastAsiaTheme="minorHAnsi" w:cs="Arial"/>
                                <w:sz w:val="18"/>
                                <w:szCs w:val="18"/>
                              </w:rPr>
                            </w:pPr>
                            <w:r w:rsidRPr="00F50518">
                              <w:rPr>
                                <w:rFonts w:eastAsiaTheme="minorHAnsi" w:cs="Arial"/>
                                <w:sz w:val="18"/>
                                <w:szCs w:val="18"/>
                              </w:rPr>
                              <w:t xml:space="preserve">Leaf-die off </w:t>
                            </w:r>
                          </w:p>
                          <w:p w14:paraId="6078C576" w14:textId="77777777" w:rsidR="00CF0933" w:rsidRPr="00F50518" w:rsidRDefault="00CF0933" w:rsidP="00F22225">
                            <w:pPr>
                              <w:numPr>
                                <w:ilvl w:val="0"/>
                                <w:numId w:val="34"/>
                              </w:numPr>
                              <w:spacing w:before="60" w:after="60" w:line="240" w:lineRule="auto"/>
                              <w:rPr>
                                <w:rFonts w:eastAsiaTheme="minorHAnsi" w:cs="Arial"/>
                                <w:sz w:val="18"/>
                                <w:szCs w:val="18"/>
                              </w:rPr>
                            </w:pPr>
                            <w:r w:rsidRPr="00F50518">
                              <w:rPr>
                                <w:rFonts w:eastAsiaTheme="minorHAnsi" w:cs="Arial"/>
                                <w:sz w:val="18"/>
                                <w:szCs w:val="18"/>
                              </w:rPr>
                              <w:t>Dominance of epicormic growth</w:t>
                            </w:r>
                          </w:p>
                          <w:p w14:paraId="143C2F83"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Mistletoe dominance</w:t>
                            </w:r>
                          </w:p>
                          <w:p w14:paraId="63F780CA"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Insect damage (leaf and bark / trunk)</w:t>
                            </w:r>
                          </w:p>
                          <w:p w14:paraId="2914BB2C"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 xml:space="preserve">Live Basal Area % for trees (i.e. with DBH ≥ 10 cm) </w:t>
                            </w:r>
                          </w:p>
                          <w:p w14:paraId="65B1EED8" w14:textId="77777777" w:rsidR="00CF0933" w:rsidRPr="00F50518" w:rsidRDefault="00CF0933" w:rsidP="00EA2DC6">
                            <w:pPr>
                              <w:spacing w:before="120" w:after="60" w:line="240" w:lineRule="auto"/>
                              <w:rPr>
                                <w:b/>
                                <w:sz w:val="18"/>
                                <w:szCs w:val="18"/>
                              </w:rPr>
                            </w:pPr>
                            <w:r w:rsidRPr="00F50518">
                              <w:rPr>
                                <w:b/>
                                <w:sz w:val="18"/>
                                <w:szCs w:val="18"/>
                              </w:rPr>
                              <w:t xml:space="preserve">Direct ecological indicators </w:t>
                            </w:r>
                            <w:r w:rsidRPr="00F50518">
                              <w:rPr>
                                <w:sz w:val="18"/>
                                <w:szCs w:val="18"/>
                              </w:rPr>
                              <w:t xml:space="preserve">of condition as relevant to reproductive </w:t>
                            </w:r>
                            <w:r>
                              <w:rPr>
                                <w:sz w:val="18"/>
                                <w:szCs w:val="18"/>
                              </w:rPr>
                              <w:t>fecundity</w:t>
                            </w:r>
                            <w:r w:rsidRPr="00F50518">
                              <w:rPr>
                                <w:sz w:val="18"/>
                                <w:szCs w:val="18"/>
                              </w:rPr>
                              <w:t>:</w:t>
                            </w:r>
                          </w:p>
                          <w:p w14:paraId="7624BB58"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Flowering / seed-set frequency</w:t>
                            </w:r>
                          </w:p>
                          <w:p w14:paraId="7A3407DD"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Seedling establishment</w:t>
                            </w:r>
                          </w:p>
                          <w:p w14:paraId="391EB4E1"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Seedling / sapling growth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9C3F20E" id="Text Box 12" o:spid="_x0000_s1036" type="#_x0000_t202" style="width:493.5pt;height:2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" fillcolor="#d3ded5" strokeweight=".5pt">
                <v:fill color2="#65886e" colors="0 #d3ded5;.5 #bccdc1;1 #65886e" focus="100%" type="gradient">
                  <o:fill v:ext="view" type="gradientUnscaled"/>
                </v:fill>
                <v:path arrowok="t"/>
                <v:textbox>
                  <w:txbxContent>
                    <w:p w14:paraId="12144D3F" w14:textId="77777777" w:rsidR="00CF0933" w:rsidRPr="00F50518" w:rsidRDefault="00CF0933" w:rsidP="00EA2DC6">
                      <w:pPr>
                        <w:spacing w:before="60" w:after="60" w:line="240" w:lineRule="auto"/>
                        <w:rPr>
                          <w:sz w:val="18"/>
                          <w:szCs w:val="18"/>
                        </w:rPr>
                      </w:pPr>
                      <w:r w:rsidRPr="00F50518">
                        <w:rPr>
                          <w:b/>
                          <w:sz w:val="18"/>
                          <w:szCs w:val="18"/>
                        </w:rPr>
                        <w:t>Direct ecological indicators</w:t>
                      </w:r>
                      <w:r w:rsidRPr="00F50518">
                        <w:rPr>
                          <w:sz w:val="18"/>
                          <w:szCs w:val="18"/>
                        </w:rPr>
                        <w:t xml:space="preserve"> of Black Box stand condition:</w:t>
                      </w:r>
                    </w:p>
                    <w:p w14:paraId="2FE43005"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 xml:space="preserve">Average crown extent (percentage of the assessable crown in which there are live leaves) </w:t>
                      </w:r>
                    </w:p>
                    <w:p w14:paraId="60130A41"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Crown density (amount of skylight blocked by the foliated portions of the crown)</w:t>
                      </w:r>
                    </w:p>
                    <w:p w14:paraId="557D42AB"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 xml:space="preserve">Diversity and distribution of age class (i.e. seedlings through to senescent trees). </w:t>
                      </w:r>
                    </w:p>
                    <w:p w14:paraId="417378E8" w14:textId="77777777" w:rsidR="00CF0933" w:rsidRPr="00F50518" w:rsidRDefault="00CF0933" w:rsidP="00F22225">
                      <w:pPr>
                        <w:numPr>
                          <w:ilvl w:val="0"/>
                          <w:numId w:val="33"/>
                        </w:numPr>
                        <w:spacing w:before="60" w:after="60" w:line="240" w:lineRule="auto"/>
                        <w:rPr>
                          <w:rFonts w:eastAsiaTheme="minorHAnsi" w:cs="Arial"/>
                          <w:sz w:val="18"/>
                          <w:szCs w:val="18"/>
                        </w:rPr>
                      </w:pPr>
                      <w:r w:rsidRPr="00F50518">
                        <w:rPr>
                          <w:rFonts w:eastAsiaTheme="minorHAnsi" w:cs="Arial"/>
                          <w:sz w:val="18"/>
                          <w:szCs w:val="18"/>
                        </w:rPr>
                        <w:t xml:space="preserve">Ratio of live to dead Black Box on site </w:t>
                      </w:r>
                    </w:p>
                    <w:p w14:paraId="05F22D82" w14:textId="77777777" w:rsidR="00CF0933" w:rsidRPr="00F50518" w:rsidRDefault="00CF0933" w:rsidP="00F22225">
                      <w:pPr>
                        <w:numPr>
                          <w:ilvl w:val="0"/>
                          <w:numId w:val="33"/>
                        </w:numPr>
                        <w:spacing w:before="60" w:after="60" w:line="240" w:lineRule="auto"/>
                        <w:rPr>
                          <w:rFonts w:eastAsiaTheme="minorHAnsi" w:cs="Arial"/>
                          <w:sz w:val="18"/>
                          <w:szCs w:val="18"/>
                        </w:rPr>
                      </w:pPr>
                      <w:r w:rsidRPr="00F50518">
                        <w:rPr>
                          <w:rFonts w:eastAsiaTheme="minorHAnsi" w:cs="Arial"/>
                          <w:sz w:val="18"/>
                          <w:szCs w:val="18"/>
                        </w:rPr>
                        <w:t>Distribution of Diameter at Breast Height (DBH)</w:t>
                      </w:r>
                    </w:p>
                    <w:p w14:paraId="36C883CF" w14:textId="77777777" w:rsidR="00CF0933" w:rsidRPr="00F50518" w:rsidRDefault="00CF0933" w:rsidP="00F22225">
                      <w:pPr>
                        <w:numPr>
                          <w:ilvl w:val="0"/>
                          <w:numId w:val="33"/>
                        </w:numPr>
                        <w:spacing w:before="60" w:after="60" w:line="240" w:lineRule="auto"/>
                        <w:rPr>
                          <w:rFonts w:eastAsiaTheme="minorHAnsi" w:cs="Arial"/>
                          <w:sz w:val="18"/>
                          <w:szCs w:val="18"/>
                        </w:rPr>
                      </w:pPr>
                      <w:r w:rsidRPr="00F50518">
                        <w:rPr>
                          <w:rFonts w:eastAsiaTheme="minorHAnsi" w:cs="Arial"/>
                          <w:sz w:val="18"/>
                          <w:szCs w:val="18"/>
                        </w:rPr>
                        <w:t>Seedling counts</w:t>
                      </w:r>
                    </w:p>
                    <w:p w14:paraId="45755CCA"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 xml:space="preserve">Leaf </w:t>
                      </w:r>
                      <w:r>
                        <w:rPr>
                          <w:rFonts w:eastAsiaTheme="minorHAnsi"/>
                          <w:sz w:val="18"/>
                          <w:szCs w:val="18"/>
                        </w:rPr>
                        <w:t>condition</w:t>
                      </w:r>
                      <w:r w:rsidRPr="00F50518">
                        <w:rPr>
                          <w:rFonts w:eastAsiaTheme="minorHAnsi"/>
                          <w:sz w:val="18"/>
                          <w:szCs w:val="18"/>
                        </w:rPr>
                        <w:t>:</w:t>
                      </w:r>
                    </w:p>
                    <w:p w14:paraId="42757AE3" w14:textId="77777777" w:rsidR="00CF0933" w:rsidRPr="00F50518" w:rsidRDefault="00CF0933" w:rsidP="00F22225">
                      <w:pPr>
                        <w:numPr>
                          <w:ilvl w:val="0"/>
                          <w:numId w:val="34"/>
                        </w:numPr>
                        <w:spacing w:before="60" w:after="60" w:line="240" w:lineRule="auto"/>
                        <w:rPr>
                          <w:rFonts w:eastAsiaTheme="minorHAnsi" w:cs="Arial"/>
                          <w:sz w:val="18"/>
                          <w:szCs w:val="18"/>
                        </w:rPr>
                      </w:pPr>
                      <w:r w:rsidRPr="00F50518">
                        <w:rPr>
                          <w:rFonts w:eastAsiaTheme="minorHAnsi" w:cs="Arial"/>
                          <w:sz w:val="18"/>
                          <w:szCs w:val="18"/>
                        </w:rPr>
                        <w:t>New tip growth</w:t>
                      </w:r>
                    </w:p>
                    <w:p w14:paraId="2FF83793" w14:textId="77777777" w:rsidR="00CF0933" w:rsidRPr="00F50518" w:rsidRDefault="00CF0933" w:rsidP="00F22225">
                      <w:pPr>
                        <w:numPr>
                          <w:ilvl w:val="0"/>
                          <w:numId w:val="34"/>
                        </w:numPr>
                        <w:spacing w:before="60" w:after="60" w:line="240" w:lineRule="auto"/>
                        <w:rPr>
                          <w:rFonts w:eastAsiaTheme="minorHAnsi" w:cs="Arial"/>
                          <w:sz w:val="18"/>
                          <w:szCs w:val="18"/>
                        </w:rPr>
                      </w:pPr>
                      <w:r w:rsidRPr="00F50518">
                        <w:rPr>
                          <w:rFonts w:eastAsiaTheme="minorHAnsi" w:cs="Arial"/>
                          <w:sz w:val="18"/>
                          <w:szCs w:val="18"/>
                        </w:rPr>
                        <w:t xml:space="preserve">Leaf-die off </w:t>
                      </w:r>
                    </w:p>
                    <w:p w14:paraId="6078C576" w14:textId="77777777" w:rsidR="00CF0933" w:rsidRPr="00F50518" w:rsidRDefault="00CF0933" w:rsidP="00F22225">
                      <w:pPr>
                        <w:numPr>
                          <w:ilvl w:val="0"/>
                          <w:numId w:val="34"/>
                        </w:numPr>
                        <w:spacing w:before="60" w:after="60" w:line="240" w:lineRule="auto"/>
                        <w:rPr>
                          <w:rFonts w:eastAsiaTheme="minorHAnsi" w:cs="Arial"/>
                          <w:sz w:val="18"/>
                          <w:szCs w:val="18"/>
                        </w:rPr>
                      </w:pPr>
                      <w:r w:rsidRPr="00F50518">
                        <w:rPr>
                          <w:rFonts w:eastAsiaTheme="minorHAnsi" w:cs="Arial"/>
                          <w:sz w:val="18"/>
                          <w:szCs w:val="18"/>
                        </w:rPr>
                        <w:t>Dominance of epicormic growth</w:t>
                      </w:r>
                    </w:p>
                    <w:p w14:paraId="143C2F83"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Mistletoe dominance</w:t>
                      </w:r>
                    </w:p>
                    <w:p w14:paraId="63F780CA"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Insect damage (leaf and bark / trunk)</w:t>
                      </w:r>
                    </w:p>
                    <w:p w14:paraId="2914BB2C"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 xml:space="preserve">Live Basal Area % for trees (i.e. with DBH ≥ 10 cm) </w:t>
                      </w:r>
                    </w:p>
                    <w:p w14:paraId="65B1EED8" w14:textId="77777777" w:rsidR="00CF0933" w:rsidRPr="00F50518" w:rsidRDefault="00CF0933" w:rsidP="00EA2DC6">
                      <w:pPr>
                        <w:spacing w:before="120" w:after="60" w:line="240" w:lineRule="auto"/>
                        <w:rPr>
                          <w:b/>
                          <w:sz w:val="18"/>
                          <w:szCs w:val="18"/>
                        </w:rPr>
                      </w:pPr>
                      <w:r w:rsidRPr="00F50518">
                        <w:rPr>
                          <w:b/>
                          <w:sz w:val="18"/>
                          <w:szCs w:val="18"/>
                        </w:rPr>
                        <w:t xml:space="preserve">Direct ecological indicators </w:t>
                      </w:r>
                      <w:r w:rsidRPr="00F50518">
                        <w:rPr>
                          <w:sz w:val="18"/>
                          <w:szCs w:val="18"/>
                        </w:rPr>
                        <w:t xml:space="preserve">of condition as relevant to reproductive </w:t>
                      </w:r>
                      <w:r>
                        <w:rPr>
                          <w:sz w:val="18"/>
                          <w:szCs w:val="18"/>
                        </w:rPr>
                        <w:t>fecundity</w:t>
                      </w:r>
                      <w:r w:rsidRPr="00F50518">
                        <w:rPr>
                          <w:sz w:val="18"/>
                          <w:szCs w:val="18"/>
                        </w:rPr>
                        <w:t>:</w:t>
                      </w:r>
                    </w:p>
                    <w:p w14:paraId="7624BB58"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Flowering / seed-set frequency</w:t>
                      </w:r>
                    </w:p>
                    <w:p w14:paraId="7A3407DD"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Seedling establishment</w:t>
                      </w:r>
                    </w:p>
                    <w:p w14:paraId="391EB4E1" w14:textId="77777777" w:rsidR="00CF0933" w:rsidRPr="00F50518" w:rsidRDefault="00CF0933" w:rsidP="00EA2DC6">
                      <w:pPr>
                        <w:pStyle w:val="Para0bullet"/>
                        <w:spacing w:before="60" w:after="60" w:line="240" w:lineRule="auto"/>
                        <w:ind w:left="850"/>
                        <w:rPr>
                          <w:rFonts w:eastAsiaTheme="minorHAnsi"/>
                          <w:sz w:val="18"/>
                          <w:szCs w:val="18"/>
                        </w:rPr>
                      </w:pPr>
                      <w:r w:rsidRPr="00F50518">
                        <w:rPr>
                          <w:rFonts w:eastAsiaTheme="minorHAnsi"/>
                          <w:sz w:val="18"/>
                          <w:szCs w:val="18"/>
                        </w:rPr>
                        <w:t>Seedling / sapling growth rate</w:t>
                      </w:r>
                    </w:p>
                  </w:txbxContent>
                </v:textbox>
                <w10:anchorlock/>
              </v:shape>
            </w:pict>
          </mc:Fallback>
        </mc:AlternateContent>
      </w:r>
    </w:p>
    <w:p w14:paraId="0FAB0220" w14:textId="77777777" w:rsidR="00EA2DC6" w:rsidRPr="00EA2DC6" w:rsidRDefault="00EA2DC6" w:rsidP="00EA2DC6">
      <w:pPr>
        <w:spacing w:after="0" w:line="240" w:lineRule="auto"/>
        <w:rPr>
          <w:rFonts w:cs="Arial"/>
          <w:color w:val="000000" w:themeColor="text1"/>
        </w:rPr>
        <w:sectPr w:rsidR="00EA2DC6" w:rsidRPr="00EA2DC6" w:rsidSect="00D03F73">
          <w:headerReference w:type="even" r:id="rId106"/>
          <w:headerReference w:type="default" r:id="rId107"/>
          <w:footerReference w:type="default" r:id="rId108"/>
          <w:headerReference w:type="first" r:id="rId109"/>
          <w:footerReference w:type="first" r:id="rId110"/>
          <w:pgSz w:w="11901" w:h="16840" w:code="9"/>
          <w:pgMar w:top="567" w:right="851" w:bottom="851" w:left="1134" w:header="567" w:footer="369" w:gutter="0"/>
          <w:cols w:space="0"/>
          <w:formProt w:val="0"/>
          <w:docGrid w:linePitch="360"/>
        </w:sectPr>
      </w:pPr>
    </w:p>
    <w:p w14:paraId="2E7D4D7C" w14:textId="77777777" w:rsidR="00867284" w:rsidRDefault="00EA2DC6" w:rsidP="00867284">
      <w:pPr>
        <w:keepNext/>
        <w:spacing w:before="240" w:after="100"/>
        <w:jc w:val="center"/>
        <w:rPr>
          <w:rFonts w:ascii="Arial Narrow" w:hAnsi="Arial Narrow"/>
          <w:b/>
        </w:rPr>
      </w:pPr>
      <w:r w:rsidRPr="00EA2DC6">
        <w:rPr>
          <w:noProof/>
          <w:color w:val="FF0000"/>
          <w:lang w:eastAsia="en-AU"/>
        </w:rPr>
        <w:drawing>
          <wp:inline distT="0" distB="0" distL="0" distR="0" wp14:anchorId="1478A20C" wp14:editId="72ED684B">
            <wp:extent cx="8218968" cy="5046096"/>
            <wp:effectExtent l="0" t="0" r="0" b="254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M_method_indicators.GIF"/>
                    <pic:cNvPicPr/>
                  </pic:nvPicPr>
                  <pic:blipFill>
                    <a:blip r:embed="rId111" cstate="email">
                      <a:extLst>
                        <a:ext uri="{BEBA8EAE-BF5A-486C-A8C5-ECC9F3942E4B}">
                          <a14:imgProps xmlns:a14="http://schemas.microsoft.com/office/drawing/2010/main">
                            <a14:imgLayer r:embed="rId112">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8225602" cy="5050169"/>
                    </a:xfrm>
                    <a:prstGeom prst="rect">
                      <a:avLst/>
                    </a:prstGeom>
                  </pic:spPr>
                </pic:pic>
              </a:graphicData>
            </a:graphic>
          </wp:inline>
        </w:drawing>
      </w:r>
      <w:r w:rsidR="00867284" w:rsidRPr="00867284">
        <w:rPr>
          <w:rFonts w:ascii="Arial Narrow" w:hAnsi="Arial Narrow"/>
          <w:b/>
        </w:rPr>
        <w:t xml:space="preserve"> </w:t>
      </w:r>
    </w:p>
    <w:p w14:paraId="181248F1" w14:textId="3C1922AE" w:rsidR="00867284" w:rsidRPr="00EA2DC6" w:rsidRDefault="00867284" w:rsidP="007A45D5">
      <w:pPr>
        <w:pStyle w:val="Caption"/>
        <w:sectPr w:rsidR="00867284" w:rsidRPr="00EA2DC6" w:rsidSect="004B72AF">
          <w:headerReference w:type="default" r:id="rId113"/>
          <w:footerReference w:type="default" r:id="rId114"/>
          <w:pgSz w:w="16840" w:h="11901" w:orient="landscape" w:code="9"/>
          <w:pgMar w:top="1134" w:right="567" w:bottom="851" w:left="851" w:header="567" w:footer="369" w:gutter="0"/>
          <w:cols w:space="0"/>
          <w:formProt w:val="0"/>
          <w:docGrid w:linePitch="360"/>
        </w:sectPr>
      </w:pPr>
      <w:bookmarkStart w:id="359" w:name="_Toc514018117"/>
      <w:r w:rsidRPr="00EA2DC6">
        <w:t xml:space="preserve">Figure </w:t>
      </w:r>
      <w:r w:rsidR="004F42DD">
        <w:fldChar w:fldCharType="begin"/>
      </w:r>
      <w:r w:rsidR="004F42DD">
        <w:instrText xml:space="preserve"> STYLEREF 1 \s </w:instrText>
      </w:r>
      <w:r w:rsidR="004F42DD">
        <w:fldChar w:fldCharType="separate"/>
      </w:r>
      <w:r w:rsidR="00BF015B">
        <w:rPr>
          <w:noProof/>
        </w:rPr>
        <w:t>7</w:t>
      </w:r>
      <w:r w:rsidR="004F42DD">
        <w:fldChar w:fldCharType="end"/>
      </w:r>
      <w:r w:rsidR="004F42DD">
        <w:noBreakHyphen/>
      </w:r>
      <w:r w:rsidR="004F42DD">
        <w:fldChar w:fldCharType="begin"/>
      </w:r>
      <w:r w:rsidR="004F42DD">
        <w:instrText xml:space="preserve"> SEQ Figure \* ARABIC \s 1 </w:instrText>
      </w:r>
      <w:r w:rsidR="004F42DD">
        <w:fldChar w:fldCharType="separate"/>
      </w:r>
      <w:r w:rsidR="00BF015B">
        <w:rPr>
          <w:noProof/>
        </w:rPr>
        <w:t>5</w:t>
      </w:r>
      <w:r w:rsidR="004F42DD">
        <w:fldChar w:fldCharType="end"/>
      </w:r>
      <w:r w:rsidRPr="00EA2DC6">
        <w:t>: TLM measures as indicators and their relationship to analysis and reporting</w:t>
      </w:r>
      <w:bookmarkEnd w:id="359"/>
    </w:p>
    <w:p w14:paraId="12AE8760" w14:textId="756498BB" w:rsidR="0054034A" w:rsidRPr="004D3070" w:rsidRDefault="00781A70" w:rsidP="004D3070">
      <w:pPr>
        <w:pStyle w:val="Heading9"/>
        <w:numPr>
          <w:ilvl w:val="0"/>
          <w:numId w:val="8"/>
        </w:numPr>
        <w:spacing w:after="0" w:line="240" w:lineRule="auto"/>
        <w:ind w:left="1985" w:hanging="1985"/>
        <w:rPr>
          <w:color w:val="65876D" w:themeColor="accent4" w:themeShade="BF"/>
        </w:rPr>
      </w:pPr>
      <w:bookmarkStart w:id="360" w:name="_Ref506802223"/>
      <w:bookmarkStart w:id="361" w:name="_Ref506802974"/>
      <w:bookmarkStart w:id="362" w:name="_Toc510785224"/>
      <w:bookmarkStart w:id="363" w:name="_Ref506302901"/>
      <w:bookmarkStart w:id="364" w:name="_Ref459967800"/>
      <w:bookmarkStart w:id="365" w:name="_Toc464486750"/>
      <w:bookmarkStart w:id="366" w:name="_Toc468885422"/>
      <w:r>
        <w:rPr>
          <w:color w:val="65876D" w:themeColor="accent4" w:themeShade="BF"/>
        </w:rPr>
        <w:t xml:space="preserve">Potential </w:t>
      </w:r>
      <w:r w:rsidR="0054034A" w:rsidRPr="004D3070">
        <w:rPr>
          <w:color w:val="65876D" w:themeColor="accent4" w:themeShade="BF"/>
        </w:rPr>
        <w:t>Management Actions</w:t>
      </w:r>
      <w:bookmarkEnd w:id="360"/>
      <w:bookmarkEnd w:id="361"/>
      <w:bookmarkEnd w:id="362"/>
    </w:p>
    <w:p w14:paraId="2196A703" w14:textId="29CF59A3" w:rsidR="0054034A" w:rsidRPr="00F87434" w:rsidRDefault="0054034A" w:rsidP="008C06C0">
      <w:pPr>
        <w:pStyle w:val="Heading4"/>
        <w:numPr>
          <w:ilvl w:val="0"/>
          <w:numId w:val="0"/>
        </w:numPr>
        <w:ind w:left="851" w:hanging="851"/>
      </w:pPr>
      <w:r w:rsidRPr="00F87434">
        <w:t>Environmental watering</w:t>
      </w:r>
    </w:p>
    <w:tbl>
      <w:tblPr>
        <w:tblStyle w:val="TableGrid"/>
        <w:tblW w:w="491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14"/>
        <w:gridCol w:w="3621"/>
        <w:gridCol w:w="1253"/>
        <w:gridCol w:w="3758"/>
      </w:tblGrid>
      <w:tr w:rsidR="0054034A" w:rsidRPr="00F87434" w14:paraId="35FC8D09" w14:textId="77777777" w:rsidTr="0054034A">
        <w:tc>
          <w:tcPr>
            <w:tcW w:w="571" w:type="pct"/>
            <w:shd w:val="clear" w:color="auto" w:fill="65876D" w:themeFill="accent4" w:themeFillShade="BF"/>
            <w:vAlign w:val="center"/>
          </w:tcPr>
          <w:p w14:paraId="2B91DDEE" w14:textId="77777777" w:rsidR="0054034A" w:rsidRPr="00F87434" w:rsidRDefault="0054034A" w:rsidP="0054034A">
            <w:pPr>
              <w:pStyle w:val="Tablesmalltext"/>
            </w:pPr>
            <w:r w:rsidRPr="00F87434">
              <w:rPr>
                <w:rFonts w:ascii="Arial Black" w:hAnsi="Arial Black"/>
                <w:color w:val="FFFFFF" w:themeColor="background1"/>
              </w:rPr>
              <w:t>Cost / ha</w:t>
            </w:r>
          </w:p>
        </w:tc>
        <w:tc>
          <w:tcPr>
            <w:tcW w:w="1857" w:type="pct"/>
            <w:vAlign w:val="center"/>
          </w:tcPr>
          <w:p w14:paraId="15FBC403" w14:textId="77777777" w:rsidR="0054034A" w:rsidRPr="00F87434" w:rsidRDefault="0054034A" w:rsidP="0054034A">
            <w:pPr>
              <w:pStyle w:val="Tablesmalltext"/>
            </w:pPr>
            <w:r w:rsidRPr="00F87434">
              <w:t>Moderate –High depending on infrastructure</w:t>
            </w:r>
          </w:p>
        </w:tc>
        <w:tc>
          <w:tcPr>
            <w:tcW w:w="643" w:type="pct"/>
            <w:shd w:val="clear" w:color="auto" w:fill="65876D" w:themeFill="accent4" w:themeFillShade="BF"/>
            <w:vAlign w:val="center"/>
          </w:tcPr>
          <w:p w14:paraId="769B64AE" w14:textId="77777777" w:rsidR="0054034A" w:rsidRPr="00F87434" w:rsidRDefault="0054034A" w:rsidP="0054034A">
            <w:pPr>
              <w:pStyle w:val="Tablesmalltext"/>
            </w:pPr>
            <w:r w:rsidRPr="00F87434">
              <w:rPr>
                <w:rFonts w:ascii="Arial Black" w:hAnsi="Arial Black"/>
                <w:color w:val="FFFFFF" w:themeColor="background1"/>
              </w:rPr>
              <w:t>Applied area</w:t>
            </w:r>
          </w:p>
        </w:tc>
        <w:tc>
          <w:tcPr>
            <w:tcW w:w="1928" w:type="pct"/>
            <w:vAlign w:val="center"/>
          </w:tcPr>
          <w:p w14:paraId="42724CE4" w14:textId="77777777" w:rsidR="0054034A" w:rsidRPr="00F87434" w:rsidRDefault="0054034A" w:rsidP="0054034A">
            <w:pPr>
              <w:pStyle w:val="Tablesmalltext"/>
            </w:pPr>
            <w:r w:rsidRPr="00F87434">
              <w:t>Small – Large depending on infrastructure</w:t>
            </w:r>
          </w:p>
        </w:tc>
      </w:tr>
    </w:tbl>
    <w:p w14:paraId="34BB73AD" w14:textId="2F144C04" w:rsidR="0054034A" w:rsidRPr="00F87434" w:rsidRDefault="0054034A" w:rsidP="0054034A">
      <w:pPr>
        <w:spacing w:before="240" w:after="120"/>
      </w:pPr>
      <w:r w:rsidRPr="00F87434">
        <w:t xml:space="preserve">Environmental watering by surface inundation occurs where water is applied directly to the surface of the floodplain and ponded </w:t>
      </w:r>
      <w:r>
        <w:t xml:space="preserve">or retained </w:t>
      </w:r>
      <w:r w:rsidRPr="00F87434">
        <w:t>for some period</w:t>
      </w:r>
      <w:r>
        <w:t>. These actions</w:t>
      </w:r>
      <w:r w:rsidRPr="00F87434">
        <w:t xml:space="preserve"> </w:t>
      </w:r>
      <w:r>
        <w:t>target</w:t>
      </w:r>
      <w:r w:rsidRPr="00F87434">
        <w:t xml:space="preserve"> </w:t>
      </w:r>
      <w:r>
        <w:t xml:space="preserve">increased </w:t>
      </w:r>
      <w:r w:rsidRPr="00F87434">
        <w:t>infiltration</w:t>
      </w:r>
      <w:r>
        <w:t xml:space="preserve"> of</w:t>
      </w:r>
      <w:r w:rsidRPr="00F87434">
        <w:t xml:space="preserve"> </w:t>
      </w:r>
      <w:r>
        <w:t xml:space="preserve">water </w:t>
      </w:r>
      <w:r w:rsidRPr="00F87434">
        <w:t xml:space="preserve">into the soil profile to </w:t>
      </w:r>
      <w:r>
        <w:t>increase soil water content and hence total soil water potential (availability)</w:t>
      </w:r>
      <w:r w:rsidRPr="00F87434">
        <w:t>. Environmental watering has been routinely applied</w:t>
      </w:r>
      <w:r>
        <w:t xml:space="preserve"> to floodplain/wetlands using a range of methods</w:t>
      </w:r>
      <w:r w:rsidRPr="00F87434">
        <w:t xml:space="preserve"> to improve the condition of floodplain vegetation, particularly on the lower floodplain</w:t>
      </w:r>
      <w:r>
        <w:t xml:space="preserve"> terraces</w:t>
      </w:r>
      <w:r w:rsidRPr="00F87434">
        <w:t xml:space="preserve"> that are more easily accessible. </w:t>
      </w:r>
      <w:r>
        <w:t>W</w:t>
      </w:r>
      <w:r w:rsidRPr="00F87434">
        <w:t xml:space="preserve">ater may be applied and held on the floodplain for varying periods of time </w:t>
      </w:r>
      <w:r>
        <w:t>by using</w:t>
      </w:r>
      <w:r w:rsidRPr="00F87434">
        <w:t xml:space="preserve"> </w:t>
      </w:r>
      <w:r w:rsidR="005C4005" w:rsidRPr="00F87434">
        <w:t>purpose-built</w:t>
      </w:r>
      <w:r w:rsidRPr="00F87434">
        <w:t xml:space="preserve"> infrastructure (e.g. regulators, blocking banks, aqua dams etc.). It may also be possible to pump water into discrete wetlands </w:t>
      </w:r>
      <w:r>
        <w:t xml:space="preserve">or depressions </w:t>
      </w:r>
      <w:r w:rsidRPr="00F87434">
        <w:t>which are known to function as groundwater recharge basins</w:t>
      </w:r>
      <w:r>
        <w:t xml:space="preserve"> (i.e. infiltration galleries). </w:t>
      </w:r>
    </w:p>
    <w:p w14:paraId="165192C9" w14:textId="582CF2E8" w:rsidR="0054034A" w:rsidRPr="00F87434" w:rsidRDefault="0054034A" w:rsidP="0054034A">
      <w:pPr>
        <w:spacing w:before="240" w:after="120"/>
      </w:pPr>
      <w:r w:rsidRPr="004303E9">
        <w:t>With respect to soil salinisation stress, surface inundation may be used</w:t>
      </w:r>
      <w:r>
        <w:t>,</w:t>
      </w:r>
      <w:r w:rsidRPr="004303E9">
        <w:t xml:space="preserve"> </w:t>
      </w:r>
      <w:r>
        <w:t xml:space="preserve">to varying effect, </w:t>
      </w:r>
      <w:r w:rsidRPr="004303E9">
        <w:t>to flush salts from the unsaturated soil profile</w:t>
      </w:r>
      <w:r>
        <w:t xml:space="preserve"> over an extended </w:t>
      </w:r>
      <w:r w:rsidR="005C4005">
        <w:t>period</w:t>
      </w:r>
      <w:r>
        <w:t>. T</w:t>
      </w:r>
      <w:r w:rsidRPr="004303E9">
        <w:t>his can only be achieved where groundwater is at depth</w:t>
      </w:r>
      <w:r>
        <w:t xml:space="preserve"> and soil texture sufficiently permeable</w:t>
      </w:r>
      <w:r w:rsidRPr="004303E9">
        <w:t>. If the groundwater is shallow i.e. within the capillary fringe</w:t>
      </w:r>
      <w:r>
        <w:t>,</w:t>
      </w:r>
      <w:r w:rsidRPr="004303E9">
        <w:t xml:space="preserve"> there is </w:t>
      </w:r>
      <w:r>
        <w:t>less</w:t>
      </w:r>
      <w:r w:rsidRPr="004303E9">
        <w:t xml:space="preserve"> scope to flush salt out of the root zone and salt will </w:t>
      </w:r>
      <w:r>
        <w:t xml:space="preserve">continue to </w:t>
      </w:r>
      <w:r w:rsidRPr="004303E9">
        <w:t xml:space="preserve">accumulate in the </w:t>
      </w:r>
      <w:r>
        <w:t xml:space="preserve">unsaturated </w:t>
      </w:r>
      <w:r w:rsidRPr="004303E9">
        <w:t xml:space="preserve">soil profile over time. Flushing of salts from the </w:t>
      </w:r>
      <w:r>
        <w:t xml:space="preserve">managed section of </w:t>
      </w:r>
      <w:r w:rsidRPr="004303E9">
        <w:t>floodplain may result in the transference of impact to</w:t>
      </w:r>
      <w:r>
        <w:t>: (i)</w:t>
      </w:r>
      <w:r w:rsidRPr="004303E9">
        <w:t xml:space="preserve"> zones fringing the inundation area,</w:t>
      </w:r>
      <w:r>
        <w:t xml:space="preserve"> (ii)</w:t>
      </w:r>
      <w:r w:rsidRPr="004303E9">
        <w:t xml:space="preserve"> the adjacent river</w:t>
      </w:r>
      <w:r>
        <w:t>,</w:t>
      </w:r>
      <w:r w:rsidRPr="004303E9">
        <w:t xml:space="preserve"> or </w:t>
      </w:r>
      <w:r>
        <w:t xml:space="preserve">(iii) to </w:t>
      </w:r>
      <w:r w:rsidRPr="004303E9">
        <w:t>the groundwater zone below</w:t>
      </w:r>
      <w:r>
        <w:t xml:space="preserve"> which may or may not pose a risk to other stakeholders or assets.</w:t>
      </w:r>
      <w:r w:rsidRPr="004303E9">
        <w:t xml:space="preserve"> These potential impacts need to be considered in the risk assessment and managed accordingly. The management of salinity at a Basin scale and the obligations around this are described in </w:t>
      </w:r>
      <w:r w:rsidRPr="006E38F7">
        <w:fldChar w:fldCharType="begin"/>
      </w:r>
      <w:r w:rsidRPr="006E38F7">
        <w:instrText xml:space="preserve"> REF _Ref459991192 \n \h  \* MERGEFORMAT </w:instrText>
      </w:r>
      <w:r w:rsidRPr="006E38F7">
        <w:fldChar w:fldCharType="separate"/>
      </w:r>
      <w:r w:rsidR="00BF015B">
        <w:t>Appendix H</w:t>
      </w:r>
      <w:r w:rsidRPr="006E38F7">
        <w:fldChar w:fldCharType="end"/>
      </w:r>
      <w:r w:rsidRPr="006E38F7">
        <w:t>.</w:t>
      </w:r>
    </w:p>
    <w:p w14:paraId="5278E1D0" w14:textId="24D6DA27" w:rsidR="0054034A" w:rsidRDefault="0054034A" w:rsidP="0054034A">
      <w:pPr>
        <w:spacing w:before="240" w:after="120"/>
      </w:pPr>
      <w:r>
        <w:t xml:space="preserve">The timing of environmental watering would preferentially occur during winter to early summer, aligned with natural hydrological signals. However, the timing of watering events may be determined based on a broader range of site objectives and critical requirements. Black Box watering requirements generally cover multiple years to achieve a change in condition (refer to </w:t>
      </w:r>
      <w:r w:rsidR="005A4E06">
        <w:t>chapter</w:t>
      </w:r>
      <w:r>
        <w:t xml:space="preserve"> 3.2.3 Transition model). </w:t>
      </w:r>
    </w:p>
    <w:p w14:paraId="027BDCA1" w14:textId="77777777" w:rsidR="0054034A" w:rsidRPr="00F87434" w:rsidRDefault="0054034A" w:rsidP="008C06C0">
      <w:pPr>
        <w:pStyle w:val="Heading4"/>
        <w:numPr>
          <w:ilvl w:val="0"/>
          <w:numId w:val="0"/>
        </w:numPr>
        <w:ind w:left="851" w:hanging="851"/>
      </w:pPr>
      <w:r w:rsidRPr="00F87434">
        <w:t>Groundwater pumping</w:t>
      </w:r>
    </w:p>
    <w:tbl>
      <w:tblPr>
        <w:tblStyle w:val="TableGrid"/>
        <w:tblW w:w="491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14"/>
        <w:gridCol w:w="3621"/>
        <w:gridCol w:w="1253"/>
        <w:gridCol w:w="3758"/>
      </w:tblGrid>
      <w:tr w:rsidR="0054034A" w:rsidRPr="00F87434" w14:paraId="0FF7E7EC" w14:textId="77777777" w:rsidTr="0054034A">
        <w:trPr>
          <w:trHeight w:val="112"/>
        </w:trPr>
        <w:tc>
          <w:tcPr>
            <w:tcW w:w="571" w:type="pct"/>
            <w:shd w:val="clear" w:color="auto" w:fill="65876D" w:themeFill="accent4" w:themeFillShade="BF"/>
            <w:vAlign w:val="center"/>
          </w:tcPr>
          <w:p w14:paraId="64CBCDD3" w14:textId="77777777" w:rsidR="0054034A" w:rsidRPr="00F87434" w:rsidRDefault="0054034A" w:rsidP="0054034A">
            <w:pPr>
              <w:pStyle w:val="Tablesmalltext"/>
            </w:pPr>
            <w:r w:rsidRPr="00F87434">
              <w:rPr>
                <w:rFonts w:ascii="Arial Black" w:hAnsi="Arial Black"/>
                <w:color w:val="FFFFFF" w:themeColor="background1"/>
              </w:rPr>
              <w:t>Cost / ha</w:t>
            </w:r>
          </w:p>
        </w:tc>
        <w:tc>
          <w:tcPr>
            <w:tcW w:w="1857" w:type="pct"/>
            <w:vAlign w:val="center"/>
          </w:tcPr>
          <w:p w14:paraId="79A4007A" w14:textId="77777777" w:rsidR="0054034A" w:rsidRPr="00F87434" w:rsidRDefault="0054034A" w:rsidP="0054034A">
            <w:pPr>
              <w:pStyle w:val="Tablesmalltext"/>
            </w:pPr>
            <w:r w:rsidRPr="00F87434">
              <w:rPr>
                <w:color w:val="000000" w:themeColor="text1"/>
              </w:rPr>
              <w:t>High</w:t>
            </w:r>
          </w:p>
        </w:tc>
        <w:tc>
          <w:tcPr>
            <w:tcW w:w="643" w:type="pct"/>
            <w:shd w:val="clear" w:color="auto" w:fill="65876D" w:themeFill="accent4" w:themeFillShade="BF"/>
            <w:vAlign w:val="center"/>
          </w:tcPr>
          <w:p w14:paraId="23B33D96" w14:textId="77777777" w:rsidR="0054034A" w:rsidRPr="00F87434" w:rsidRDefault="0054034A" w:rsidP="0054034A">
            <w:pPr>
              <w:pStyle w:val="Tablesmalltext"/>
            </w:pPr>
            <w:r w:rsidRPr="00F87434">
              <w:rPr>
                <w:rFonts w:ascii="Arial Black" w:hAnsi="Arial Black"/>
                <w:color w:val="FFFFFF" w:themeColor="background1"/>
              </w:rPr>
              <w:t>Applied area</w:t>
            </w:r>
          </w:p>
        </w:tc>
        <w:tc>
          <w:tcPr>
            <w:tcW w:w="1928" w:type="pct"/>
            <w:vAlign w:val="center"/>
          </w:tcPr>
          <w:p w14:paraId="2E4E614F" w14:textId="77777777" w:rsidR="0054034A" w:rsidRPr="00F87434" w:rsidRDefault="0054034A" w:rsidP="0054034A">
            <w:pPr>
              <w:pStyle w:val="Tablesmalltext"/>
            </w:pPr>
            <w:r w:rsidRPr="00F87434">
              <w:rPr>
                <w:color w:val="000000" w:themeColor="text1"/>
              </w:rPr>
              <w:t>Small – Large depending on infrastructure</w:t>
            </w:r>
          </w:p>
        </w:tc>
      </w:tr>
    </w:tbl>
    <w:p w14:paraId="34890281" w14:textId="77777777" w:rsidR="0054034A" w:rsidRPr="00F87434" w:rsidRDefault="0054034A" w:rsidP="0054034A">
      <w:pPr>
        <w:pStyle w:val="Para0"/>
      </w:pPr>
      <w:r w:rsidRPr="00F87434">
        <w:t xml:space="preserve">In its simplest form, </w:t>
      </w:r>
      <w:r>
        <w:t xml:space="preserve">groundwater </w:t>
      </w:r>
      <w:r w:rsidRPr="00F87434">
        <w:t xml:space="preserve">pumping can be used to draw down the </w:t>
      </w:r>
      <w:r>
        <w:t>water</w:t>
      </w:r>
      <w:r w:rsidRPr="00F87434">
        <w:t xml:space="preserve"> </w:t>
      </w:r>
      <w:r>
        <w:t>table</w:t>
      </w:r>
      <w:r w:rsidRPr="00F87434">
        <w:t xml:space="preserve"> and increase the depth</w:t>
      </w:r>
      <w:r>
        <w:t xml:space="preserve"> of the unsaturated zone (increasing the distance</w:t>
      </w:r>
      <w:r w:rsidRPr="00F87434">
        <w:t xml:space="preserve"> between the </w:t>
      </w:r>
      <w:r>
        <w:t>top of the saturated zone (</w:t>
      </w:r>
      <w:r w:rsidRPr="00F87434">
        <w:t>groundwater</w:t>
      </w:r>
      <w:r>
        <w:t xml:space="preserve">) </w:t>
      </w:r>
      <w:r w:rsidRPr="00F87434">
        <w:t xml:space="preserve">and the </w:t>
      </w:r>
      <w:r>
        <w:t>soil surface)</w:t>
      </w:r>
      <w:r w:rsidRPr="00F87434">
        <w:t xml:space="preserve">. Groundwater pumping such as for </w:t>
      </w:r>
      <w:r>
        <w:t>salt interception schemes and floodplain groundwater management</w:t>
      </w:r>
      <w:r w:rsidRPr="00F87434">
        <w:t xml:space="preserve">, remove saline groundwater from the target aquifer for transport to and disposal at an offsite location. </w:t>
      </w:r>
      <w:r>
        <w:t>In some locations t</w:t>
      </w:r>
      <w:r w:rsidRPr="00F87434">
        <w:t>he removal of groundwater can encourage the formation of a freshwater lens through the creation of losing stream conditions</w:t>
      </w:r>
      <w:r>
        <w:t>,</w:t>
      </w:r>
      <w:r w:rsidRPr="00F87434">
        <w:t xml:space="preserve"> </w:t>
      </w:r>
      <w:r>
        <w:t>resulting in</w:t>
      </w:r>
      <w:r w:rsidRPr="00F87434">
        <w:t xml:space="preserve"> enha</w:t>
      </w:r>
      <w:r>
        <w:t>nced lateral recharge from the r</w:t>
      </w:r>
      <w:r w:rsidRPr="00F87434">
        <w:t>iver</w:t>
      </w:r>
      <w:r>
        <w:t xml:space="preserve"> or anabranch channels</w:t>
      </w:r>
      <w:r w:rsidRPr="00F87434">
        <w:t xml:space="preserve"> to the floodplain. Further study is required to better characterise and optimise </w:t>
      </w:r>
      <w:r>
        <w:t xml:space="preserve">the </w:t>
      </w:r>
      <w:r w:rsidRPr="00F87434">
        <w:t xml:space="preserve">potential of </w:t>
      </w:r>
      <w:r>
        <w:t xml:space="preserve">groundwater </w:t>
      </w:r>
      <w:r w:rsidRPr="00F87434">
        <w:t>pump</w:t>
      </w:r>
      <w:r>
        <w:t>ing</w:t>
      </w:r>
      <w:r w:rsidRPr="00F87434">
        <w:t xml:space="preserve"> to </w:t>
      </w:r>
      <w:r>
        <w:t xml:space="preserve">facilitate </w:t>
      </w:r>
      <w:r w:rsidRPr="00F87434">
        <w:t>freshwater lens formation</w:t>
      </w:r>
      <w:r>
        <w:t xml:space="preserve"> (e.g. to explore </w:t>
      </w:r>
      <w:r w:rsidRPr="00F87434">
        <w:t xml:space="preserve">the influence of groundwater gradients between the regional system and </w:t>
      </w:r>
      <w:r>
        <w:t>rivers</w:t>
      </w:r>
      <w:r w:rsidRPr="00F87434">
        <w:t>, the hydraulic</w:t>
      </w:r>
      <w:r>
        <w:t xml:space="preserve"> properties of the aquifer and r</w:t>
      </w:r>
      <w:r w:rsidRPr="00F87434">
        <w:t>iver skin</w:t>
      </w:r>
      <w:r>
        <w:t xml:space="preserve"> etc.).</w:t>
      </w:r>
    </w:p>
    <w:p w14:paraId="0731EA6E" w14:textId="77777777" w:rsidR="0054034A" w:rsidRPr="00F87434" w:rsidRDefault="0054034A" w:rsidP="0054034A">
      <w:pPr>
        <w:pStyle w:val="Para0"/>
      </w:pPr>
      <w:r>
        <w:t xml:space="preserve">Groundwater pumping is focused on the management of the symptom, rather than the cause. </w:t>
      </w:r>
      <w:r w:rsidRPr="00F87434">
        <w:t>The costs associated with gr</w:t>
      </w:r>
      <w:r>
        <w:t>oundwater pumping and disposal are very high. T</w:t>
      </w:r>
      <w:r w:rsidRPr="00F87434">
        <w:t xml:space="preserve">he area affected is limited by the size </w:t>
      </w:r>
      <w:r>
        <w:t xml:space="preserve">and physical properties </w:t>
      </w:r>
      <w:r w:rsidRPr="00F87434">
        <w:t>of the targeted aquifer</w:t>
      </w:r>
      <w:r>
        <w:t>,</w:t>
      </w:r>
      <w:r w:rsidRPr="00F87434">
        <w:t xml:space="preserve"> the volumes of extracted water</w:t>
      </w:r>
      <w:r>
        <w:t>, and the ability to dispose of extracted groundwater</w:t>
      </w:r>
      <w:r w:rsidRPr="00F87434">
        <w:t xml:space="preserve">. This approach would require access to </w:t>
      </w:r>
      <w:r>
        <w:t>electricity</w:t>
      </w:r>
      <w:r w:rsidRPr="00F87434">
        <w:t xml:space="preserve"> or diesel generator power source and multiple bores for extraction and monitoring. </w:t>
      </w:r>
      <w:r>
        <w:t xml:space="preserve">There are also potential ecological impacts of clearance for pipelines and maintenance tracks plus the carbon footprint of construction and pumping. However, groundwater pumping may be viable where existing infrastructure is already present or where Black Box is located close to areas of high social / economic / environmental value (i.e. multiple potential benefits associated with the intervention). </w:t>
      </w:r>
    </w:p>
    <w:p w14:paraId="20FB3017" w14:textId="77777777" w:rsidR="0054034A" w:rsidRPr="00F87434" w:rsidRDefault="0054034A" w:rsidP="008C06C0">
      <w:pPr>
        <w:pStyle w:val="Heading4"/>
        <w:numPr>
          <w:ilvl w:val="0"/>
          <w:numId w:val="0"/>
        </w:numPr>
        <w:ind w:left="851" w:hanging="851"/>
      </w:pPr>
      <w:r>
        <w:t>Removal of constraints to r</w:t>
      </w:r>
      <w:r w:rsidRPr="00F87434">
        <w:t>edevelop surface water flow paths</w:t>
      </w:r>
    </w:p>
    <w:tbl>
      <w:tblPr>
        <w:tblStyle w:val="TableGrid"/>
        <w:tblW w:w="491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14"/>
        <w:gridCol w:w="3621"/>
        <w:gridCol w:w="1253"/>
        <w:gridCol w:w="3758"/>
      </w:tblGrid>
      <w:tr w:rsidR="0054034A" w:rsidRPr="00F87434" w14:paraId="512653D6" w14:textId="77777777" w:rsidTr="0054034A">
        <w:tc>
          <w:tcPr>
            <w:tcW w:w="571" w:type="pct"/>
            <w:shd w:val="clear" w:color="auto" w:fill="65876D" w:themeFill="accent4" w:themeFillShade="BF"/>
            <w:vAlign w:val="center"/>
          </w:tcPr>
          <w:p w14:paraId="5F70A9B0" w14:textId="77777777" w:rsidR="0054034A" w:rsidRPr="00F87434" w:rsidRDefault="0054034A" w:rsidP="0054034A">
            <w:pPr>
              <w:pStyle w:val="Tablesmalltext"/>
              <w:keepNext/>
            </w:pPr>
            <w:r w:rsidRPr="00F87434">
              <w:rPr>
                <w:rFonts w:ascii="Arial Black" w:hAnsi="Arial Black"/>
                <w:color w:val="FFFFFF" w:themeColor="background1"/>
              </w:rPr>
              <w:t>Cost / ha</w:t>
            </w:r>
          </w:p>
        </w:tc>
        <w:tc>
          <w:tcPr>
            <w:tcW w:w="1857" w:type="pct"/>
            <w:vAlign w:val="center"/>
          </w:tcPr>
          <w:p w14:paraId="002A9BC9" w14:textId="77777777" w:rsidR="0054034A" w:rsidRPr="00F87434" w:rsidRDefault="0054034A" w:rsidP="0054034A">
            <w:pPr>
              <w:pStyle w:val="Tablesmalltext"/>
              <w:rPr>
                <w:color w:val="000000" w:themeColor="text1"/>
              </w:rPr>
            </w:pPr>
            <w:r w:rsidRPr="00F87434">
              <w:rPr>
                <w:color w:val="000000" w:themeColor="text1"/>
              </w:rPr>
              <w:t xml:space="preserve">Low </w:t>
            </w:r>
          </w:p>
        </w:tc>
        <w:tc>
          <w:tcPr>
            <w:tcW w:w="643" w:type="pct"/>
            <w:shd w:val="clear" w:color="auto" w:fill="65876D" w:themeFill="accent4" w:themeFillShade="BF"/>
            <w:vAlign w:val="center"/>
          </w:tcPr>
          <w:p w14:paraId="7DA70F22" w14:textId="77777777" w:rsidR="0054034A" w:rsidRPr="00F87434" w:rsidRDefault="0054034A" w:rsidP="0054034A">
            <w:pPr>
              <w:pStyle w:val="Tablesmalltext"/>
            </w:pPr>
            <w:r w:rsidRPr="00F87434">
              <w:rPr>
                <w:rFonts w:ascii="Arial Black" w:hAnsi="Arial Black"/>
                <w:color w:val="FFFFFF" w:themeColor="background1"/>
              </w:rPr>
              <w:t>Applied area</w:t>
            </w:r>
          </w:p>
        </w:tc>
        <w:tc>
          <w:tcPr>
            <w:tcW w:w="1928" w:type="pct"/>
            <w:vAlign w:val="center"/>
          </w:tcPr>
          <w:p w14:paraId="0CFC9680" w14:textId="77777777" w:rsidR="0054034A" w:rsidRPr="00F87434" w:rsidRDefault="0054034A" w:rsidP="0054034A">
            <w:pPr>
              <w:pStyle w:val="Tablesmalltext"/>
            </w:pPr>
            <w:r w:rsidRPr="00F87434">
              <w:rPr>
                <w:color w:val="000000" w:themeColor="text1"/>
              </w:rPr>
              <w:t>Small – only for Black Box areas adjacent the refurbished reach</w:t>
            </w:r>
          </w:p>
        </w:tc>
      </w:tr>
    </w:tbl>
    <w:p w14:paraId="466B2071" w14:textId="77777777" w:rsidR="0054034A" w:rsidRPr="00F87434" w:rsidRDefault="0054034A" w:rsidP="0054034A">
      <w:pPr>
        <w:pStyle w:val="Para0"/>
      </w:pPr>
      <w:r w:rsidRPr="00F87434">
        <w:t xml:space="preserve">The potential exists to restore tributary flow paths where these have been blocked or impaired by </w:t>
      </w:r>
      <w:r>
        <w:t xml:space="preserve">natural blockages or </w:t>
      </w:r>
      <w:r w:rsidRPr="00F87434">
        <w:t xml:space="preserve">man-made infrastructure that is no longer </w:t>
      </w:r>
      <w:r>
        <w:t>required, or simply to improve operational flexibility</w:t>
      </w:r>
      <w:r w:rsidRPr="00F87434">
        <w:t xml:space="preserve">. Reinstatement </w:t>
      </w:r>
      <w:r>
        <w:t xml:space="preserve">of the </w:t>
      </w:r>
      <w:r w:rsidRPr="00F87434">
        <w:t>natural flow path</w:t>
      </w:r>
      <w:r>
        <w:t xml:space="preserve"> is often</w:t>
      </w:r>
      <w:r w:rsidRPr="00F87434">
        <w:t xml:space="preserve"> </w:t>
      </w:r>
      <w:r>
        <w:t xml:space="preserve">relatively </w:t>
      </w:r>
      <w:r w:rsidRPr="00F87434">
        <w:t>simple and cost effective</w:t>
      </w:r>
      <w:r>
        <w:t xml:space="preserve"> but can be more complex in proximity to established roads and levies. </w:t>
      </w:r>
      <w:r w:rsidRPr="00F87434">
        <w:t xml:space="preserve">It may also be possible to </w:t>
      </w:r>
      <w:r>
        <w:t>land</w:t>
      </w:r>
      <w:r w:rsidRPr="00F87434">
        <w:t>form the flow path so that the passage of water is slowed</w:t>
      </w:r>
      <w:r>
        <w:t xml:space="preserve"> and/or to lower commence to flow thresholds,</w:t>
      </w:r>
      <w:r w:rsidRPr="00F87434">
        <w:t xml:space="preserve"> </w:t>
      </w:r>
      <w:r>
        <w:t xml:space="preserve">thereby </w:t>
      </w:r>
      <w:r w:rsidRPr="00F87434">
        <w:t>maximis</w:t>
      </w:r>
      <w:r>
        <w:t>ing</w:t>
      </w:r>
      <w:r w:rsidRPr="00F87434">
        <w:t xml:space="preserve"> the </w:t>
      </w:r>
      <w:r>
        <w:t xml:space="preserve">effectiveness of flows at </w:t>
      </w:r>
      <w:r w:rsidRPr="00F87434">
        <w:t xml:space="preserve">strategic locations for </w:t>
      </w:r>
      <w:r>
        <w:t>t</w:t>
      </w:r>
      <w:r w:rsidRPr="00F87434">
        <w:t xml:space="preserve">he adjacent floodplain. The </w:t>
      </w:r>
      <w:r>
        <w:t>flow path</w:t>
      </w:r>
      <w:r w:rsidRPr="00F87434">
        <w:t xml:space="preserve"> must be assessed as </w:t>
      </w:r>
      <w:r>
        <w:t xml:space="preserve">being </w:t>
      </w:r>
      <w:r w:rsidRPr="00F87434">
        <w:t>a losing system if an enhanced rate of lateral recharge (</w:t>
      </w:r>
      <w:r>
        <w:t xml:space="preserve">i.e. </w:t>
      </w:r>
      <w:r w:rsidRPr="00F87434">
        <w:t xml:space="preserve">through the bank wall) is to be achieved. </w:t>
      </w:r>
    </w:p>
    <w:p w14:paraId="16C877E1" w14:textId="77777777" w:rsidR="0054034A" w:rsidRDefault="0054034A" w:rsidP="0054034A">
      <w:pPr>
        <w:pStyle w:val="Para0"/>
      </w:pPr>
      <w:r w:rsidRPr="00F87434">
        <w:t xml:space="preserve">This management option requires prior agreement from the land owners and relinquishment of the </w:t>
      </w:r>
      <w:r>
        <w:t xml:space="preserve">impeding </w:t>
      </w:r>
      <w:r w:rsidRPr="00F87434">
        <w:t>infrastructure before works can be undertaken</w:t>
      </w:r>
      <w:r>
        <w:t>; in addition to standard regulatory requirements. F</w:t>
      </w:r>
      <w:r w:rsidRPr="00F87434">
        <w:t xml:space="preserve">urther negotiation </w:t>
      </w:r>
      <w:r>
        <w:t xml:space="preserve">may be required </w:t>
      </w:r>
      <w:r w:rsidRPr="00F87434">
        <w:t xml:space="preserve">with upstream users and operators to secure </w:t>
      </w:r>
      <w:r>
        <w:t>water access or finalise management planning</w:t>
      </w:r>
      <w:r w:rsidRPr="00F87434">
        <w:t xml:space="preserve">. </w:t>
      </w:r>
    </w:p>
    <w:p w14:paraId="23ABAAA3" w14:textId="77777777" w:rsidR="0054034A" w:rsidRPr="00B2176B" w:rsidRDefault="0054034A" w:rsidP="008C06C0">
      <w:pPr>
        <w:pStyle w:val="Heading4"/>
        <w:numPr>
          <w:ilvl w:val="0"/>
          <w:numId w:val="0"/>
        </w:numPr>
        <w:ind w:left="851" w:hanging="851"/>
      </w:pPr>
      <w:r w:rsidRPr="00B2176B">
        <w:t>Augmenting river flows with environmental watering/other river operations</w:t>
      </w:r>
    </w:p>
    <w:tbl>
      <w:tblPr>
        <w:tblStyle w:val="TableGrid"/>
        <w:tblW w:w="491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14"/>
        <w:gridCol w:w="3621"/>
        <w:gridCol w:w="1253"/>
        <w:gridCol w:w="3758"/>
      </w:tblGrid>
      <w:tr w:rsidR="0054034A" w:rsidRPr="00B2176B" w14:paraId="2B03FC79" w14:textId="77777777" w:rsidTr="0054034A">
        <w:tc>
          <w:tcPr>
            <w:tcW w:w="571" w:type="pct"/>
            <w:shd w:val="clear" w:color="auto" w:fill="65876D" w:themeFill="accent4" w:themeFillShade="BF"/>
            <w:vAlign w:val="center"/>
          </w:tcPr>
          <w:p w14:paraId="0BBDF607" w14:textId="77777777" w:rsidR="0054034A" w:rsidRPr="00B2176B" w:rsidRDefault="0054034A" w:rsidP="0054034A">
            <w:pPr>
              <w:pStyle w:val="Tablesmalltext"/>
              <w:keepNext/>
            </w:pPr>
            <w:r w:rsidRPr="00B2176B">
              <w:rPr>
                <w:rFonts w:ascii="Arial Black" w:hAnsi="Arial Black"/>
                <w:color w:val="FFFFFF" w:themeColor="background1"/>
              </w:rPr>
              <w:t>Cost / ha</w:t>
            </w:r>
          </w:p>
        </w:tc>
        <w:tc>
          <w:tcPr>
            <w:tcW w:w="1857" w:type="pct"/>
            <w:vAlign w:val="center"/>
          </w:tcPr>
          <w:p w14:paraId="1194109C" w14:textId="77777777" w:rsidR="0054034A" w:rsidRPr="00B2176B" w:rsidRDefault="0054034A" w:rsidP="0054034A">
            <w:pPr>
              <w:pStyle w:val="Tablesmalltext"/>
            </w:pPr>
            <w:r>
              <w:t xml:space="preserve">Moderate </w:t>
            </w:r>
          </w:p>
          <w:p w14:paraId="784DEEA2" w14:textId="77777777" w:rsidR="0054034A" w:rsidRPr="00B2176B" w:rsidRDefault="0054034A" w:rsidP="0054034A">
            <w:pPr>
              <w:pStyle w:val="Tablesmalltext"/>
            </w:pPr>
            <w:r w:rsidRPr="00B2176B">
              <w:t>(additional cost associated with delivery method at the specific location)</w:t>
            </w:r>
          </w:p>
        </w:tc>
        <w:tc>
          <w:tcPr>
            <w:tcW w:w="643" w:type="pct"/>
            <w:shd w:val="clear" w:color="auto" w:fill="65876D" w:themeFill="accent4" w:themeFillShade="BF"/>
            <w:vAlign w:val="center"/>
          </w:tcPr>
          <w:p w14:paraId="60C8C55F" w14:textId="77777777" w:rsidR="0054034A" w:rsidRPr="00B2176B" w:rsidRDefault="0054034A" w:rsidP="0054034A">
            <w:pPr>
              <w:pStyle w:val="Tablesmalltext"/>
            </w:pPr>
            <w:r w:rsidRPr="00B2176B">
              <w:rPr>
                <w:rFonts w:ascii="Arial Black" w:hAnsi="Arial Black"/>
                <w:color w:val="FFFFFF" w:themeColor="background1"/>
              </w:rPr>
              <w:t>Applied area</w:t>
            </w:r>
          </w:p>
        </w:tc>
        <w:tc>
          <w:tcPr>
            <w:tcW w:w="1928" w:type="pct"/>
            <w:vAlign w:val="center"/>
          </w:tcPr>
          <w:p w14:paraId="1148A58E" w14:textId="77777777" w:rsidR="0054034A" w:rsidRPr="00B2176B" w:rsidRDefault="0054034A" w:rsidP="0054034A">
            <w:pPr>
              <w:pStyle w:val="Tablesmalltext"/>
            </w:pPr>
            <w:r>
              <w:t>Moderate</w:t>
            </w:r>
            <w:r w:rsidRPr="00B2176B">
              <w:t xml:space="preserve"> – Large depending on operational constraints</w:t>
            </w:r>
          </w:p>
        </w:tc>
      </w:tr>
    </w:tbl>
    <w:p w14:paraId="52F97729" w14:textId="77777777" w:rsidR="0054034A" w:rsidRPr="00B2176B" w:rsidRDefault="0054034A" w:rsidP="0054034A">
      <w:pPr>
        <w:pStyle w:val="Para0"/>
        <w:keepLines/>
      </w:pPr>
      <w:r>
        <w:t>Regular</w:t>
      </w:r>
      <w:r w:rsidRPr="00B2176B">
        <w:t xml:space="preserve"> river flows may be enhanced through the timely and coordinated release of environmental water from the major storages and the implementation of </w:t>
      </w:r>
      <w:r>
        <w:t>appropriate</w:t>
      </w:r>
      <w:r w:rsidRPr="00B2176B">
        <w:t xml:space="preserve"> operating strategies for river / floodplain infrastructure e.g. weirs, regulators. These operations seek t</w:t>
      </w:r>
      <w:r>
        <w:t xml:space="preserve">o maximise the effective height, </w:t>
      </w:r>
      <w:r w:rsidRPr="00B2176B">
        <w:t xml:space="preserve">duration </w:t>
      </w:r>
      <w:r>
        <w:t xml:space="preserve">and extent </w:t>
      </w:r>
      <w:r w:rsidRPr="00B2176B">
        <w:t xml:space="preserve">of inundation. The timing of water releases from river storages </w:t>
      </w:r>
      <w:r>
        <w:t>will need to</w:t>
      </w:r>
      <w:r w:rsidRPr="00B2176B">
        <w:t xml:space="preserve"> </w:t>
      </w:r>
      <w:r>
        <w:t xml:space="preserve">be </w:t>
      </w:r>
      <w:r w:rsidRPr="00B2176B">
        <w:t>coordinate</w:t>
      </w:r>
      <w:r>
        <w:t>d with</w:t>
      </w:r>
      <w:r w:rsidRPr="00B2176B">
        <w:t xml:space="preserve"> natural </w:t>
      </w:r>
      <w:r>
        <w:t xml:space="preserve">high </w:t>
      </w:r>
      <w:r w:rsidRPr="00B2176B">
        <w:t xml:space="preserve">river flows </w:t>
      </w:r>
      <w:r>
        <w:t>to achieve the effective flow rates required to inundate areas inhabited by Black Box vegetation (see Chapter 5 for more information).</w:t>
      </w:r>
      <w:r w:rsidRPr="00B2176B">
        <w:t xml:space="preserve"> </w:t>
      </w:r>
    </w:p>
    <w:p w14:paraId="475D4B7E" w14:textId="77777777" w:rsidR="0054034A" w:rsidRPr="00FC0395" w:rsidRDefault="0054034A" w:rsidP="008C06C0">
      <w:pPr>
        <w:pStyle w:val="Heading4"/>
        <w:numPr>
          <w:ilvl w:val="0"/>
          <w:numId w:val="0"/>
        </w:numPr>
        <w:ind w:left="851" w:hanging="851"/>
      </w:pPr>
      <w:r w:rsidRPr="00FC0395">
        <w:t>Weir pool manipulation</w:t>
      </w:r>
    </w:p>
    <w:tbl>
      <w:tblPr>
        <w:tblStyle w:val="TableGrid"/>
        <w:tblW w:w="491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14"/>
        <w:gridCol w:w="3621"/>
        <w:gridCol w:w="1253"/>
        <w:gridCol w:w="3758"/>
      </w:tblGrid>
      <w:tr w:rsidR="0054034A" w:rsidRPr="00F87434" w14:paraId="658468E0" w14:textId="77777777" w:rsidTr="0054034A">
        <w:tc>
          <w:tcPr>
            <w:tcW w:w="571" w:type="pct"/>
            <w:shd w:val="clear" w:color="auto" w:fill="65876D" w:themeFill="accent4" w:themeFillShade="BF"/>
            <w:vAlign w:val="center"/>
          </w:tcPr>
          <w:p w14:paraId="6125F451" w14:textId="77777777" w:rsidR="0054034A" w:rsidRPr="00F87434" w:rsidRDefault="0054034A" w:rsidP="0054034A">
            <w:pPr>
              <w:pStyle w:val="Tablesmalltext"/>
            </w:pPr>
            <w:r w:rsidRPr="00F87434">
              <w:rPr>
                <w:rFonts w:ascii="Arial Black" w:hAnsi="Arial Black"/>
                <w:color w:val="FFFFFF" w:themeColor="background1"/>
              </w:rPr>
              <w:t>Cost / ha</w:t>
            </w:r>
          </w:p>
        </w:tc>
        <w:tc>
          <w:tcPr>
            <w:tcW w:w="1857" w:type="pct"/>
            <w:vAlign w:val="center"/>
          </w:tcPr>
          <w:p w14:paraId="081AB593" w14:textId="77777777" w:rsidR="0054034A" w:rsidRPr="00F87434" w:rsidRDefault="0054034A" w:rsidP="0054034A">
            <w:pPr>
              <w:pStyle w:val="Tablesmalltext"/>
            </w:pPr>
            <w:r w:rsidRPr="00F87434">
              <w:rPr>
                <w:color w:val="000000" w:themeColor="text1"/>
              </w:rPr>
              <w:t>Low</w:t>
            </w:r>
          </w:p>
        </w:tc>
        <w:tc>
          <w:tcPr>
            <w:tcW w:w="643" w:type="pct"/>
            <w:shd w:val="clear" w:color="auto" w:fill="65876D" w:themeFill="accent4" w:themeFillShade="BF"/>
            <w:vAlign w:val="center"/>
          </w:tcPr>
          <w:p w14:paraId="03B47C55" w14:textId="77777777" w:rsidR="0054034A" w:rsidRPr="00F87434" w:rsidRDefault="0054034A" w:rsidP="0054034A">
            <w:pPr>
              <w:pStyle w:val="Tablesmalltext"/>
            </w:pPr>
            <w:r w:rsidRPr="00F87434">
              <w:rPr>
                <w:rFonts w:ascii="Arial Black" w:hAnsi="Arial Black"/>
                <w:color w:val="FFFFFF" w:themeColor="background1"/>
              </w:rPr>
              <w:t>Applied area</w:t>
            </w:r>
          </w:p>
        </w:tc>
        <w:tc>
          <w:tcPr>
            <w:tcW w:w="1928" w:type="pct"/>
            <w:vAlign w:val="center"/>
          </w:tcPr>
          <w:p w14:paraId="3E1277A2" w14:textId="77777777" w:rsidR="0054034A" w:rsidRPr="00F87434" w:rsidRDefault="0054034A" w:rsidP="0054034A">
            <w:pPr>
              <w:pStyle w:val="Tablesmalltext"/>
            </w:pPr>
            <w:r w:rsidRPr="00F87434">
              <w:rPr>
                <w:color w:val="000000" w:themeColor="text1"/>
              </w:rPr>
              <w:t>Small – Large depending on reach and infrastructure</w:t>
            </w:r>
          </w:p>
        </w:tc>
      </w:tr>
    </w:tbl>
    <w:p w14:paraId="23B85037" w14:textId="3BA784CD" w:rsidR="0054034A" w:rsidRDefault="0054034A" w:rsidP="0054034A">
      <w:pPr>
        <w:spacing w:before="240" w:after="120"/>
      </w:pPr>
      <w:r w:rsidRPr="00F87434">
        <w:t xml:space="preserve">Lowering a weir pool will increase the discharge of groundwater to the river but once the weir is raised the </w:t>
      </w:r>
      <w:r>
        <w:t>hydraulic gradient may</w:t>
      </w:r>
      <w:r w:rsidRPr="00F87434">
        <w:t xml:space="preserve"> reverse with fresh river water flowing laterally </w:t>
      </w:r>
      <w:r>
        <w:t>into</w:t>
      </w:r>
      <w:r w:rsidRPr="00F87434">
        <w:t xml:space="preserve"> the river bank</w:t>
      </w:r>
      <w:r>
        <w:t>. A program of weir pool raising and lowering</w:t>
      </w:r>
      <w:r w:rsidRPr="00F87434">
        <w:t xml:space="preserve"> has the potential to create a freshwater lens</w:t>
      </w:r>
      <w:r>
        <w:t xml:space="preserve">, flush salts from the unsaturated zone, and/or </w:t>
      </w:r>
      <w:r w:rsidRPr="00F87434">
        <w:t>freshen the adjacent groundwater</w:t>
      </w:r>
      <w:r>
        <w:t>. Note that greater benefit</w:t>
      </w:r>
      <w:r w:rsidR="005C4005">
        <w:t>s</w:t>
      </w:r>
      <w:r>
        <w:t xml:space="preserve"> are realised through a regime of weir pool manipulation lowering and raising over </w:t>
      </w:r>
      <w:r w:rsidR="005C4005">
        <w:t>several</w:t>
      </w:r>
      <w:r>
        <w:t xml:space="preserve"> years, rather than singular events. </w:t>
      </w:r>
    </w:p>
    <w:p w14:paraId="70EA049A" w14:textId="77777777" w:rsidR="0054034A" w:rsidRDefault="0054034A" w:rsidP="0054034A">
      <w:pPr>
        <w:spacing w:before="240" w:after="120"/>
      </w:pPr>
      <w:r w:rsidRPr="00F87434">
        <w:t>The distance from the river that experiences this freshening will depend on the head difference created by the weir pool raising and lowering</w:t>
      </w:r>
      <w:r>
        <w:t xml:space="preserve"> (magnitude of change in water level)</w:t>
      </w:r>
      <w:r w:rsidRPr="00F87434">
        <w:t>, the hydraulic conductivity</w:t>
      </w:r>
      <w:r>
        <w:t xml:space="preserve"> of the soils,</w:t>
      </w:r>
      <w:r w:rsidRPr="00F87434">
        <w:t xml:space="preserve"> and the</w:t>
      </w:r>
      <w:r>
        <w:t xml:space="preserve"> duration and frequency of</w:t>
      </w:r>
      <w:r w:rsidRPr="00F87434">
        <w:t xml:space="preserve"> raising and lowering cycle</w:t>
      </w:r>
      <w:r>
        <w:t>s</w:t>
      </w:r>
      <w:r w:rsidRPr="00F87434">
        <w:t>.</w:t>
      </w:r>
      <w:r>
        <w:t xml:space="preserve"> The effectiveness of weir pool manipulation may also be enhanced by cycles of raising and lower in combination with flow augmentation (either to add to the surface of the floodplain or to dilute saline water discharge into the adjacent river. This management option may be more challenging for community to accept due to the temporary impact on associated infrastructure and change in historic practice.</w:t>
      </w:r>
      <w:r w:rsidRPr="00D53F4A">
        <w:t xml:space="preserve"> </w:t>
      </w:r>
      <w:r>
        <w:t>The approach will require buy-in from multiple stakeholders and managers across multiple reaches/jurisdictions, achieving broader area of benefit (i.e. beyond the primary site) but a potential for third party impacts.</w:t>
      </w:r>
    </w:p>
    <w:p w14:paraId="5CBF71BE" w14:textId="77777777" w:rsidR="0054034A" w:rsidRPr="00F87434" w:rsidRDefault="0054034A" w:rsidP="008C06C0">
      <w:pPr>
        <w:pStyle w:val="Heading4"/>
        <w:numPr>
          <w:ilvl w:val="0"/>
          <w:numId w:val="0"/>
        </w:numPr>
        <w:ind w:left="851" w:hanging="851"/>
      </w:pPr>
      <w:r w:rsidRPr="00F87434">
        <w:t xml:space="preserve">Groundwater injection </w:t>
      </w:r>
    </w:p>
    <w:tbl>
      <w:tblPr>
        <w:tblStyle w:val="TableGrid"/>
        <w:tblW w:w="491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14"/>
        <w:gridCol w:w="3621"/>
        <w:gridCol w:w="1253"/>
        <w:gridCol w:w="3758"/>
      </w:tblGrid>
      <w:tr w:rsidR="0054034A" w:rsidRPr="00F87434" w14:paraId="030CC32A" w14:textId="77777777" w:rsidTr="0054034A">
        <w:tc>
          <w:tcPr>
            <w:tcW w:w="571" w:type="pct"/>
            <w:shd w:val="clear" w:color="auto" w:fill="65876D" w:themeFill="accent4" w:themeFillShade="BF"/>
            <w:vAlign w:val="center"/>
          </w:tcPr>
          <w:p w14:paraId="377B7225" w14:textId="77777777" w:rsidR="0054034A" w:rsidRPr="00F87434" w:rsidRDefault="0054034A" w:rsidP="0054034A">
            <w:pPr>
              <w:pStyle w:val="Tablesmalltext"/>
              <w:keepNext/>
            </w:pPr>
            <w:r w:rsidRPr="00F87434">
              <w:rPr>
                <w:rFonts w:ascii="Arial Black" w:hAnsi="Arial Black"/>
                <w:color w:val="FFFFFF" w:themeColor="background1"/>
              </w:rPr>
              <w:t>Cost / ha</w:t>
            </w:r>
          </w:p>
        </w:tc>
        <w:tc>
          <w:tcPr>
            <w:tcW w:w="1857" w:type="pct"/>
            <w:vAlign w:val="center"/>
          </w:tcPr>
          <w:p w14:paraId="15D6D368" w14:textId="77777777" w:rsidR="0054034A" w:rsidRPr="00F87434" w:rsidRDefault="0054034A" w:rsidP="0054034A">
            <w:pPr>
              <w:pStyle w:val="Tablesmalltext"/>
              <w:keepNext/>
              <w:rPr>
                <w:color w:val="000000" w:themeColor="text1"/>
              </w:rPr>
            </w:pPr>
            <w:r w:rsidRPr="00F87434">
              <w:rPr>
                <w:color w:val="000000" w:themeColor="text1"/>
              </w:rPr>
              <w:t xml:space="preserve">High </w:t>
            </w:r>
          </w:p>
        </w:tc>
        <w:tc>
          <w:tcPr>
            <w:tcW w:w="643" w:type="pct"/>
            <w:shd w:val="clear" w:color="auto" w:fill="65876D" w:themeFill="accent4" w:themeFillShade="BF"/>
            <w:vAlign w:val="center"/>
          </w:tcPr>
          <w:p w14:paraId="6D78E7B6" w14:textId="77777777" w:rsidR="0054034A" w:rsidRPr="00F87434" w:rsidRDefault="0054034A" w:rsidP="0054034A">
            <w:pPr>
              <w:pStyle w:val="Tablesmalltext"/>
            </w:pPr>
            <w:r w:rsidRPr="00F87434">
              <w:rPr>
                <w:rFonts w:ascii="Arial Black" w:hAnsi="Arial Black"/>
                <w:color w:val="FFFFFF" w:themeColor="background1"/>
              </w:rPr>
              <w:t>Applied area</w:t>
            </w:r>
          </w:p>
        </w:tc>
        <w:tc>
          <w:tcPr>
            <w:tcW w:w="1928" w:type="pct"/>
            <w:vAlign w:val="center"/>
          </w:tcPr>
          <w:p w14:paraId="525E3464" w14:textId="77777777" w:rsidR="0054034A" w:rsidRPr="00F87434" w:rsidRDefault="0054034A" w:rsidP="0054034A">
            <w:pPr>
              <w:pStyle w:val="Tablesmalltext"/>
              <w:rPr>
                <w:color w:val="000000" w:themeColor="text1"/>
              </w:rPr>
            </w:pPr>
            <w:r w:rsidRPr="00F87434">
              <w:rPr>
                <w:color w:val="000000" w:themeColor="text1"/>
              </w:rPr>
              <w:t>Small – Large depending on size of target aquifer and volumes of injected water</w:t>
            </w:r>
          </w:p>
        </w:tc>
      </w:tr>
    </w:tbl>
    <w:p w14:paraId="1BA7C5C7" w14:textId="6E2D2D8D" w:rsidR="0054034A" w:rsidRPr="00F87434" w:rsidRDefault="0054034A" w:rsidP="0054034A">
      <w:pPr>
        <w:pStyle w:val="Para0"/>
      </w:pPr>
      <w:r w:rsidRPr="00F87434">
        <w:t xml:space="preserve">Injection and storage of </w:t>
      </w:r>
      <w:r>
        <w:t>freshwater</w:t>
      </w:r>
      <w:r w:rsidRPr="00F87434">
        <w:t xml:space="preserve"> within aquifers is an established method employed across Australia, often to temporarily store excess surface water flows such as storm water runoff and then harvest this water later for irrigation or industrial uses</w:t>
      </w:r>
      <w:r>
        <w:t xml:space="preserve"> (known as Managed Aquifer Recharge or MAR)</w:t>
      </w:r>
      <w:r w:rsidRPr="00F87434">
        <w:t xml:space="preserve">. </w:t>
      </w:r>
      <w:r>
        <w:t xml:space="preserve"> The creation of a freshwater lens, or a shallow layer of water with comparatively low salinity lying on top of a relatively high salinity groundwater layer, could provide Black Box with a fresher alternative water source where salinity stress is a key issue. </w:t>
      </w:r>
      <w:r w:rsidRPr="00F87434">
        <w:t>AWE</w:t>
      </w:r>
      <w:r>
        <w:t> </w:t>
      </w:r>
      <w:r w:rsidRPr="00F87434">
        <w:t>(201</w:t>
      </w:r>
      <w:r>
        <w:t>5</w:t>
      </w:r>
      <w:r w:rsidRPr="00F87434">
        <w:t>) note that this method has not yet been employed in a floodplain environment</w:t>
      </w:r>
      <w:r>
        <w:t xml:space="preserve"> on a broad </w:t>
      </w:r>
      <w:r w:rsidR="005C4005">
        <w:t>scale</w:t>
      </w:r>
      <w:r w:rsidR="005C4005" w:rsidRPr="00F87434">
        <w:t xml:space="preserve"> but</w:t>
      </w:r>
      <w:r w:rsidRPr="00F87434">
        <w:t xml:space="preserve"> suggest</w:t>
      </w:r>
      <w:r>
        <w:t>s</w:t>
      </w:r>
      <w:r w:rsidRPr="00F87434">
        <w:t xml:space="preserve"> that this approach may be possible depending on the presence of suitable aquifer </w:t>
      </w:r>
      <w:r>
        <w:t xml:space="preserve">and soil </w:t>
      </w:r>
      <w:r w:rsidRPr="00F87434">
        <w:t>characteristics at any given site</w:t>
      </w:r>
      <w:r>
        <w:t>. This approach is likely to have more technical complexities compared to other management options that will require detailed investigation and design</w:t>
      </w:r>
      <w:r w:rsidRPr="00F87434">
        <w:t xml:space="preserve">. </w:t>
      </w:r>
    </w:p>
    <w:p w14:paraId="0E5B1A85" w14:textId="77777777" w:rsidR="0054034A" w:rsidRPr="00F87434" w:rsidRDefault="0054034A" w:rsidP="0054034A">
      <w:pPr>
        <w:pStyle w:val="Para0"/>
      </w:pPr>
      <w:r w:rsidRPr="00F87434">
        <w:t>The costs associated with groundwater injection are likely to be high, with the area affected limited by the characteristics of the targeted aquifer and the volumes of injected water. This approach would require access to permanent or diesel generator power sources and multiple bores for injection and monitoring. A trial study</w:t>
      </w:r>
      <w:r>
        <w:t xml:space="preserve"> in Bookpurnong (SA)</w:t>
      </w:r>
      <w:r w:rsidRPr="00F87434">
        <w:t xml:space="preserve"> by Berens </w:t>
      </w:r>
      <w:r w:rsidRPr="00F87434">
        <w:rPr>
          <w:i/>
        </w:rPr>
        <w:t xml:space="preserve">et al. </w:t>
      </w:r>
      <w:r w:rsidRPr="00F87434">
        <w:t>(2009, as referenced in AWE 201</w:t>
      </w:r>
      <w:r>
        <w:t>5</w:t>
      </w:r>
      <w:r w:rsidRPr="00F87434">
        <w:t>) highlight</w:t>
      </w:r>
      <w:r>
        <w:t>s</w:t>
      </w:r>
      <w:r w:rsidRPr="00F87434">
        <w:t xml:space="preserve"> the importance of injecting filtered water with low biological and particulate matter to limit </w:t>
      </w:r>
      <w:r>
        <w:t xml:space="preserve">aquifer clogging. </w:t>
      </w:r>
      <w:r w:rsidRPr="00F87434">
        <w:t>Pre-filtration could also be required to attain necessary water chemistry parameters (i.e. free of contaminants, compatible water chemistry). A successful trial project would require further investigation to increase confidence in its application for the desired site targets/operational objectives.</w:t>
      </w:r>
    </w:p>
    <w:p w14:paraId="581525C6" w14:textId="77777777" w:rsidR="0054034A" w:rsidRPr="00F87434" w:rsidRDefault="0054034A" w:rsidP="008C06C0">
      <w:pPr>
        <w:pStyle w:val="Heading4"/>
        <w:numPr>
          <w:ilvl w:val="0"/>
          <w:numId w:val="0"/>
        </w:numPr>
        <w:ind w:left="851" w:hanging="851"/>
      </w:pPr>
      <w:r w:rsidRPr="00F87434">
        <w:t>Minimisation of land clearance</w:t>
      </w:r>
    </w:p>
    <w:tbl>
      <w:tblPr>
        <w:tblStyle w:val="TableGrid"/>
        <w:tblW w:w="491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14"/>
        <w:gridCol w:w="3621"/>
        <w:gridCol w:w="1253"/>
        <w:gridCol w:w="3758"/>
      </w:tblGrid>
      <w:tr w:rsidR="0054034A" w:rsidRPr="00F87434" w14:paraId="4241158F" w14:textId="77777777" w:rsidTr="0054034A">
        <w:tc>
          <w:tcPr>
            <w:tcW w:w="571" w:type="pct"/>
            <w:shd w:val="clear" w:color="auto" w:fill="65876D" w:themeFill="accent4" w:themeFillShade="BF"/>
            <w:vAlign w:val="center"/>
          </w:tcPr>
          <w:p w14:paraId="3E570561" w14:textId="77777777" w:rsidR="0054034A" w:rsidRPr="00F87434" w:rsidRDefault="0054034A" w:rsidP="0054034A">
            <w:pPr>
              <w:pStyle w:val="Tablesmalltext"/>
            </w:pPr>
            <w:r w:rsidRPr="00F87434">
              <w:rPr>
                <w:rFonts w:ascii="Arial Black" w:hAnsi="Arial Black"/>
                <w:color w:val="FFFFFF" w:themeColor="background1"/>
              </w:rPr>
              <w:t>Cost / ha</w:t>
            </w:r>
          </w:p>
        </w:tc>
        <w:tc>
          <w:tcPr>
            <w:tcW w:w="1857" w:type="pct"/>
            <w:vAlign w:val="center"/>
          </w:tcPr>
          <w:p w14:paraId="2B763C05" w14:textId="77777777" w:rsidR="0054034A" w:rsidRPr="00F87434" w:rsidRDefault="0054034A" w:rsidP="0054034A">
            <w:pPr>
              <w:pStyle w:val="Tablesmalltext"/>
            </w:pPr>
            <w:r w:rsidRPr="00F87434">
              <w:t>Low</w:t>
            </w:r>
          </w:p>
        </w:tc>
        <w:tc>
          <w:tcPr>
            <w:tcW w:w="643" w:type="pct"/>
            <w:shd w:val="clear" w:color="auto" w:fill="65876D" w:themeFill="accent4" w:themeFillShade="BF"/>
            <w:vAlign w:val="center"/>
          </w:tcPr>
          <w:p w14:paraId="71E9673A" w14:textId="77777777" w:rsidR="0054034A" w:rsidRPr="00F87434" w:rsidRDefault="0054034A" w:rsidP="0054034A">
            <w:pPr>
              <w:pStyle w:val="Tablesmalltext"/>
            </w:pPr>
            <w:r w:rsidRPr="00F87434">
              <w:rPr>
                <w:rFonts w:ascii="Arial Black" w:hAnsi="Arial Black"/>
                <w:color w:val="FFFFFF" w:themeColor="background1"/>
              </w:rPr>
              <w:t>Applied area</w:t>
            </w:r>
          </w:p>
        </w:tc>
        <w:tc>
          <w:tcPr>
            <w:tcW w:w="1928" w:type="pct"/>
            <w:vAlign w:val="center"/>
          </w:tcPr>
          <w:p w14:paraId="222A0CFD" w14:textId="77777777" w:rsidR="0054034A" w:rsidRPr="00F87434" w:rsidRDefault="0054034A" w:rsidP="0054034A">
            <w:pPr>
              <w:pStyle w:val="Tablesmalltext"/>
            </w:pPr>
            <w:r w:rsidRPr="00F87434">
              <w:t xml:space="preserve">Small – Large </w:t>
            </w:r>
          </w:p>
        </w:tc>
      </w:tr>
    </w:tbl>
    <w:p w14:paraId="55E4EC02" w14:textId="13D7CC75" w:rsidR="0054034A" w:rsidRPr="00F87434" w:rsidRDefault="0054034A" w:rsidP="0054034A">
      <w:pPr>
        <w:pStyle w:val="Para0"/>
      </w:pPr>
      <w:r w:rsidRPr="00F87434">
        <w:t>To avoid land clearance there are two options:</w:t>
      </w:r>
      <w:r>
        <w:t xml:space="preserve"> </w:t>
      </w:r>
      <w:r w:rsidRPr="00F87434">
        <w:t>1) formal protection for Black Box site through legislative mechanisms</w:t>
      </w:r>
      <w:r>
        <w:t>;</w:t>
      </w:r>
      <w:r w:rsidRPr="00F87434">
        <w:t xml:space="preserve"> and 2) leveraging additional support from landholders for management of Black Box through voluntary agreements</w:t>
      </w:r>
      <w:r>
        <w:t xml:space="preserve"> and </w:t>
      </w:r>
      <w:r w:rsidR="005C4005">
        <w:t>market-based</w:t>
      </w:r>
      <w:r>
        <w:t xml:space="preserve"> instruments</w:t>
      </w:r>
      <w:r w:rsidRPr="00F87434">
        <w:t xml:space="preserve">. Pathways of this </w:t>
      </w:r>
      <w:r>
        <w:t>type</w:t>
      </w:r>
      <w:r w:rsidRPr="00F87434">
        <w:t xml:space="preserve"> will take time to navigate and require significant commitment from the land owner</w:t>
      </w:r>
      <w:r>
        <w:t xml:space="preserve"> and support from state regulatory and regional </w:t>
      </w:r>
      <w:r w:rsidR="005C4005">
        <w:t>authorities</w:t>
      </w:r>
      <w:r w:rsidR="005C4005" w:rsidRPr="00F87434">
        <w:t xml:space="preserve"> but</w:t>
      </w:r>
      <w:r w:rsidRPr="00F87434">
        <w:t xml:space="preserve"> can </w:t>
      </w:r>
      <w:r w:rsidR="005C4005" w:rsidRPr="00F87434">
        <w:t>open</w:t>
      </w:r>
      <w:r w:rsidRPr="00F87434">
        <w:t xml:space="preserve"> additional avenues for assistance to help manage the Black Box on a site.</w:t>
      </w:r>
    </w:p>
    <w:p w14:paraId="4A3EF97E" w14:textId="77777777" w:rsidR="0054034A" w:rsidRPr="00F87434" w:rsidRDefault="0054034A" w:rsidP="008C06C0">
      <w:pPr>
        <w:pStyle w:val="Heading4"/>
        <w:numPr>
          <w:ilvl w:val="0"/>
          <w:numId w:val="0"/>
        </w:numPr>
        <w:ind w:left="851" w:hanging="851"/>
      </w:pPr>
      <w:r w:rsidRPr="00F87434">
        <w:t>Minimisation of other land degradation processes</w:t>
      </w:r>
    </w:p>
    <w:tbl>
      <w:tblPr>
        <w:tblStyle w:val="TableGrid"/>
        <w:tblW w:w="491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14"/>
        <w:gridCol w:w="3621"/>
        <w:gridCol w:w="1253"/>
        <w:gridCol w:w="3758"/>
      </w:tblGrid>
      <w:tr w:rsidR="0054034A" w:rsidRPr="00F87434" w14:paraId="10069482" w14:textId="77777777" w:rsidTr="0054034A">
        <w:tc>
          <w:tcPr>
            <w:tcW w:w="571" w:type="pct"/>
            <w:shd w:val="clear" w:color="auto" w:fill="65876D" w:themeFill="accent4" w:themeFillShade="BF"/>
            <w:vAlign w:val="center"/>
          </w:tcPr>
          <w:p w14:paraId="6CF63EC6" w14:textId="77777777" w:rsidR="0054034A" w:rsidRPr="00F87434" w:rsidRDefault="0054034A" w:rsidP="0054034A">
            <w:pPr>
              <w:pStyle w:val="Tablesmalltext"/>
            </w:pPr>
            <w:r w:rsidRPr="00F87434">
              <w:rPr>
                <w:rFonts w:ascii="Arial Black" w:hAnsi="Arial Black"/>
                <w:color w:val="FFFFFF" w:themeColor="background1"/>
              </w:rPr>
              <w:t>Cost / ha</w:t>
            </w:r>
          </w:p>
        </w:tc>
        <w:tc>
          <w:tcPr>
            <w:tcW w:w="1857" w:type="pct"/>
            <w:vAlign w:val="center"/>
          </w:tcPr>
          <w:p w14:paraId="3DD31044" w14:textId="77777777" w:rsidR="0054034A" w:rsidRPr="00F87434" w:rsidRDefault="0054034A" w:rsidP="0054034A">
            <w:pPr>
              <w:pStyle w:val="Tablesmalltext"/>
            </w:pPr>
            <w:r w:rsidRPr="00F87434">
              <w:t>Low</w:t>
            </w:r>
          </w:p>
        </w:tc>
        <w:tc>
          <w:tcPr>
            <w:tcW w:w="643" w:type="pct"/>
            <w:shd w:val="clear" w:color="auto" w:fill="65876D" w:themeFill="accent4" w:themeFillShade="BF"/>
            <w:vAlign w:val="center"/>
          </w:tcPr>
          <w:p w14:paraId="6523CE8D" w14:textId="77777777" w:rsidR="0054034A" w:rsidRPr="00F87434" w:rsidRDefault="0054034A" w:rsidP="0054034A">
            <w:pPr>
              <w:pStyle w:val="Tablesmalltext"/>
            </w:pPr>
            <w:r w:rsidRPr="00F87434">
              <w:rPr>
                <w:rFonts w:ascii="Arial Black" w:hAnsi="Arial Black"/>
                <w:color w:val="FFFFFF" w:themeColor="background1"/>
              </w:rPr>
              <w:t>Applied area</w:t>
            </w:r>
          </w:p>
        </w:tc>
        <w:tc>
          <w:tcPr>
            <w:tcW w:w="1928" w:type="pct"/>
            <w:vAlign w:val="center"/>
          </w:tcPr>
          <w:p w14:paraId="29B7ECDD" w14:textId="77777777" w:rsidR="0054034A" w:rsidRPr="00F87434" w:rsidRDefault="0054034A" w:rsidP="0054034A">
            <w:pPr>
              <w:pStyle w:val="Tablesmalltext"/>
            </w:pPr>
            <w:r w:rsidRPr="00F87434">
              <w:t>Small – Large depending on infrastructure and resource investment</w:t>
            </w:r>
          </w:p>
        </w:tc>
      </w:tr>
    </w:tbl>
    <w:p w14:paraId="677BF7DF" w14:textId="615221B1" w:rsidR="0054034A" w:rsidRPr="00F87434" w:rsidRDefault="0054034A" w:rsidP="0054034A">
      <w:pPr>
        <w:pStyle w:val="Para0"/>
      </w:pPr>
      <w:r w:rsidRPr="00F87434">
        <w:t xml:space="preserve">Land degradation covers a range of </w:t>
      </w:r>
      <w:r>
        <w:t>stressors</w:t>
      </w:r>
      <w:r w:rsidRPr="00F87434">
        <w:t xml:space="preserve"> associated with human activity</w:t>
      </w:r>
      <w:r>
        <w:t xml:space="preserve">. </w:t>
      </w:r>
      <w:r w:rsidRPr="00F87434">
        <w:t xml:space="preserve">Activities can be grouped largely into agricultural, recreational and social. Salinisation is a significant land degradation issue particularly relevant for the southern </w:t>
      </w:r>
      <w:r w:rsidR="005C4005" w:rsidRPr="00F87434">
        <w:t>Basin and</w:t>
      </w:r>
      <w:r w:rsidRPr="00F87434">
        <w:t xml:space="preserve"> is dealt with separately by multiple management options in this </w:t>
      </w:r>
      <w:r w:rsidR="005A4E06">
        <w:t>chapter</w:t>
      </w:r>
      <w:r w:rsidRPr="00F87434">
        <w:t xml:space="preserve">. </w:t>
      </w:r>
    </w:p>
    <w:p w14:paraId="19E10C24" w14:textId="77777777" w:rsidR="0054034A" w:rsidRPr="00F87434" w:rsidRDefault="0054034A" w:rsidP="0054034A">
      <w:pPr>
        <w:pStyle w:val="Para0"/>
      </w:pPr>
      <w:r w:rsidRPr="00F87434">
        <w:t xml:space="preserve">Agricultural land degradation processes may include land clearance, inefficient water resource extraction and use, erosion, off target pesticide / herbicide drift, indiscriminate browsing and soil compaction by sheep and cattle, and contamination and spread of agricultural weeds. </w:t>
      </w:r>
      <w:r>
        <w:t>In many cases, the existing evidence of land degradation is a relic of past practices but nevertheless presents an enduring impact on vegetation condition.</w:t>
      </w:r>
    </w:p>
    <w:p w14:paraId="699B8AA8" w14:textId="77777777" w:rsidR="0054034A" w:rsidRPr="00F87434" w:rsidRDefault="0054034A" w:rsidP="0054034A">
      <w:pPr>
        <w:pStyle w:val="Para0"/>
      </w:pPr>
      <w:r w:rsidRPr="00F87434">
        <w:t>Recreational impacts particularly on a floodplain are localised and tend to include off-track driving leading to more tracks, compaction and loss of vegetative cover and greater fragmentation of remaining habitat (with associated greater edge effects), introduction and spread of weeds, and inappropriate resource use (e.g. burning native wood for campfires).</w:t>
      </w:r>
    </w:p>
    <w:p w14:paraId="0F23371C" w14:textId="3DEF3006" w:rsidR="0054034A" w:rsidRPr="00F87434" w:rsidRDefault="0054034A" w:rsidP="0054034A">
      <w:pPr>
        <w:pStyle w:val="Para0"/>
      </w:pPr>
      <w:r w:rsidRPr="00F87434">
        <w:t>Grazing pressure by native, introduce</w:t>
      </w:r>
      <w:r>
        <w:t>d</w:t>
      </w:r>
      <w:r w:rsidRPr="00F87434">
        <w:t xml:space="preserve"> pest</w:t>
      </w:r>
      <w:r>
        <w:t>s</w:t>
      </w:r>
      <w:r w:rsidRPr="00F87434">
        <w:t xml:space="preserve"> and farmed agricultural animals can be significant on Black Box (Horner </w:t>
      </w:r>
      <w:r w:rsidRPr="00F87434">
        <w:rPr>
          <w:i/>
        </w:rPr>
        <w:t>et al.</w:t>
      </w:r>
      <w:r w:rsidR="003F2755">
        <w:rPr>
          <w:i/>
        </w:rPr>
        <w:t>,</w:t>
      </w:r>
      <w:r w:rsidRPr="00F87434">
        <w:t xml:space="preserve"> 2016), and has contributed to an age class distribution of trees that is skewed towards mature and senescent trees. </w:t>
      </w:r>
    </w:p>
    <w:p w14:paraId="5F3FDE30" w14:textId="77777777" w:rsidR="0054034A" w:rsidRDefault="0054034A" w:rsidP="0054034A">
      <w:pPr>
        <w:spacing w:after="0" w:line="240" w:lineRule="auto"/>
      </w:pPr>
    </w:p>
    <w:p w14:paraId="303BC67C" w14:textId="77777777" w:rsidR="0054034A" w:rsidRPr="00F87434" w:rsidRDefault="0054034A" w:rsidP="008C06C0">
      <w:pPr>
        <w:pStyle w:val="Heading4"/>
        <w:numPr>
          <w:ilvl w:val="0"/>
          <w:numId w:val="0"/>
        </w:numPr>
        <w:ind w:left="851" w:hanging="851"/>
      </w:pPr>
      <w:r w:rsidRPr="00F87434">
        <w:t xml:space="preserve">Minimisation of </w:t>
      </w:r>
      <w:r>
        <w:t>deep drainage from highland irrigation</w:t>
      </w:r>
    </w:p>
    <w:tbl>
      <w:tblPr>
        <w:tblStyle w:val="TableGrid"/>
        <w:tblW w:w="491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14"/>
        <w:gridCol w:w="3621"/>
        <w:gridCol w:w="1253"/>
        <w:gridCol w:w="3758"/>
      </w:tblGrid>
      <w:tr w:rsidR="0054034A" w:rsidRPr="00F87434" w14:paraId="6B45156D" w14:textId="77777777" w:rsidTr="0054034A">
        <w:tc>
          <w:tcPr>
            <w:tcW w:w="571" w:type="pct"/>
            <w:shd w:val="clear" w:color="auto" w:fill="65876D" w:themeFill="accent4" w:themeFillShade="BF"/>
            <w:vAlign w:val="center"/>
          </w:tcPr>
          <w:p w14:paraId="003A3DDF" w14:textId="77777777" w:rsidR="0054034A" w:rsidRPr="00F87434" w:rsidRDefault="0054034A" w:rsidP="0054034A">
            <w:pPr>
              <w:pStyle w:val="Tablesmalltext"/>
            </w:pPr>
            <w:r w:rsidRPr="00F87434">
              <w:rPr>
                <w:rFonts w:ascii="Arial Black" w:hAnsi="Arial Black"/>
                <w:color w:val="FFFFFF" w:themeColor="background1"/>
              </w:rPr>
              <w:t>Cost / ha</w:t>
            </w:r>
          </w:p>
        </w:tc>
        <w:tc>
          <w:tcPr>
            <w:tcW w:w="1857" w:type="pct"/>
            <w:vAlign w:val="center"/>
          </w:tcPr>
          <w:p w14:paraId="556437AD" w14:textId="77777777" w:rsidR="0054034A" w:rsidRPr="00F87434" w:rsidRDefault="0054034A" w:rsidP="0054034A">
            <w:pPr>
              <w:pStyle w:val="Tablesmalltext"/>
            </w:pPr>
            <w:r w:rsidRPr="00F87434">
              <w:t>Low-High (multi-layered potential impact)</w:t>
            </w:r>
          </w:p>
        </w:tc>
        <w:tc>
          <w:tcPr>
            <w:tcW w:w="643" w:type="pct"/>
            <w:shd w:val="clear" w:color="auto" w:fill="65876D" w:themeFill="accent4" w:themeFillShade="BF"/>
            <w:vAlign w:val="center"/>
          </w:tcPr>
          <w:p w14:paraId="00B8D360" w14:textId="77777777" w:rsidR="0054034A" w:rsidRPr="00F87434" w:rsidRDefault="0054034A" w:rsidP="0054034A">
            <w:pPr>
              <w:pStyle w:val="Tablesmalltext"/>
            </w:pPr>
            <w:r w:rsidRPr="00F87434">
              <w:rPr>
                <w:rFonts w:ascii="Arial Black" w:hAnsi="Arial Black"/>
                <w:color w:val="FFFFFF" w:themeColor="background1"/>
              </w:rPr>
              <w:t>Applied area</w:t>
            </w:r>
          </w:p>
        </w:tc>
        <w:tc>
          <w:tcPr>
            <w:tcW w:w="1928" w:type="pct"/>
            <w:vAlign w:val="center"/>
          </w:tcPr>
          <w:p w14:paraId="4D91BE79" w14:textId="77777777" w:rsidR="0054034A" w:rsidRPr="00F87434" w:rsidRDefault="0054034A" w:rsidP="0054034A">
            <w:pPr>
              <w:pStyle w:val="Tablesmalltext"/>
            </w:pPr>
            <w:r w:rsidRPr="00F87434">
              <w:t>Small – Large depending on size of local irrigation industry</w:t>
            </w:r>
          </w:p>
        </w:tc>
      </w:tr>
    </w:tbl>
    <w:p w14:paraId="5453EA5C" w14:textId="256FDA89" w:rsidR="0054034A" w:rsidRDefault="0054034A" w:rsidP="0054034A">
      <w:pPr>
        <w:pStyle w:val="Para0"/>
      </w:pPr>
      <w:r w:rsidRPr="00F87434">
        <w:t xml:space="preserve">Leaching of salt below the root zones in an irrigation area is </w:t>
      </w:r>
      <w:r>
        <w:t xml:space="preserve">sometimes </w:t>
      </w:r>
      <w:r w:rsidRPr="00F87434">
        <w:t>required to maintain a salt balance</w:t>
      </w:r>
      <w:r>
        <w:t xml:space="preserve">. </w:t>
      </w:r>
      <w:r w:rsidRPr="00F87434">
        <w:t>This can lead to the development of groundwater mounds on top of the regional groundwater under irrigation districts, which increases the rate of saline groundwater discharging to the floodplain and the river</w:t>
      </w:r>
      <w:r>
        <w:t xml:space="preserve">. </w:t>
      </w:r>
      <w:r w:rsidRPr="00F87434">
        <w:t xml:space="preserve">The height of groundwater mounds can be reduced by optimising water application to minimise the leaching fraction </w:t>
      </w:r>
      <w:r>
        <w:t>and/or</w:t>
      </w:r>
      <w:r w:rsidRPr="00F87434">
        <w:t xml:space="preserve"> </w:t>
      </w:r>
      <w:r w:rsidR="005C4005" w:rsidRPr="00F87434">
        <w:t>using</w:t>
      </w:r>
      <w:r w:rsidRPr="00F87434">
        <w:t xml:space="preserve"> </w:t>
      </w:r>
      <w:r>
        <w:t>salt interception schemes</w:t>
      </w:r>
      <w:r w:rsidRPr="00F87434">
        <w:t xml:space="preserve"> to reduce the rate of groundwater discharge to the floodplain/river.</w:t>
      </w:r>
    </w:p>
    <w:p w14:paraId="3252BDB0" w14:textId="77777777" w:rsidR="0054034A" w:rsidRDefault="0054034A" w:rsidP="0054034A">
      <w:pPr>
        <w:pStyle w:val="Para0"/>
      </w:pPr>
    </w:p>
    <w:p w14:paraId="2B43E2DA" w14:textId="77777777" w:rsidR="0054034A" w:rsidRPr="00F87434" w:rsidRDefault="0054034A" w:rsidP="008C06C0">
      <w:pPr>
        <w:pStyle w:val="Heading4"/>
        <w:numPr>
          <w:ilvl w:val="0"/>
          <w:numId w:val="0"/>
        </w:numPr>
        <w:ind w:left="851" w:hanging="851"/>
      </w:pPr>
      <w:r>
        <w:t>Drip or spray irrigation of Black Box vegetation</w:t>
      </w:r>
    </w:p>
    <w:tbl>
      <w:tblPr>
        <w:tblStyle w:val="TableGrid"/>
        <w:tblW w:w="491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15"/>
        <w:gridCol w:w="3622"/>
        <w:gridCol w:w="1253"/>
        <w:gridCol w:w="3756"/>
      </w:tblGrid>
      <w:tr w:rsidR="0054034A" w:rsidRPr="00F87434" w14:paraId="386A2E17" w14:textId="77777777" w:rsidTr="0054034A">
        <w:tc>
          <w:tcPr>
            <w:tcW w:w="572" w:type="pct"/>
            <w:shd w:val="clear" w:color="auto" w:fill="65876D" w:themeFill="accent4" w:themeFillShade="BF"/>
            <w:vAlign w:val="center"/>
          </w:tcPr>
          <w:p w14:paraId="66629DD5" w14:textId="77777777" w:rsidR="0054034A" w:rsidRPr="00F87434" w:rsidRDefault="0054034A" w:rsidP="0054034A">
            <w:pPr>
              <w:pStyle w:val="Tablesmalltext"/>
            </w:pPr>
            <w:r w:rsidRPr="00F87434">
              <w:rPr>
                <w:rFonts w:ascii="Arial Black" w:hAnsi="Arial Black"/>
                <w:color w:val="FFFFFF" w:themeColor="background1"/>
              </w:rPr>
              <w:t>Cost / ha</w:t>
            </w:r>
          </w:p>
        </w:tc>
        <w:tc>
          <w:tcPr>
            <w:tcW w:w="1858" w:type="pct"/>
            <w:vAlign w:val="center"/>
          </w:tcPr>
          <w:p w14:paraId="704DF002" w14:textId="77777777" w:rsidR="0054034A" w:rsidRPr="00F87434" w:rsidRDefault="0054034A" w:rsidP="0054034A">
            <w:pPr>
              <w:pStyle w:val="Tablesmalltext"/>
            </w:pPr>
            <w:r>
              <w:t>High (installation of irrigation infrastructure and operational costs for pumping)</w:t>
            </w:r>
          </w:p>
        </w:tc>
        <w:tc>
          <w:tcPr>
            <w:tcW w:w="643" w:type="pct"/>
            <w:shd w:val="clear" w:color="auto" w:fill="65876D" w:themeFill="accent4" w:themeFillShade="BF"/>
            <w:vAlign w:val="center"/>
          </w:tcPr>
          <w:p w14:paraId="78FD71B0" w14:textId="77777777" w:rsidR="0054034A" w:rsidRPr="00F87434" w:rsidRDefault="0054034A" w:rsidP="0054034A">
            <w:pPr>
              <w:pStyle w:val="Tablesmalltext"/>
            </w:pPr>
            <w:r w:rsidRPr="00F87434">
              <w:rPr>
                <w:rFonts w:ascii="Arial Black" w:hAnsi="Arial Black"/>
                <w:color w:val="FFFFFF" w:themeColor="background1"/>
              </w:rPr>
              <w:t>Applied area</w:t>
            </w:r>
          </w:p>
        </w:tc>
        <w:tc>
          <w:tcPr>
            <w:tcW w:w="1928" w:type="pct"/>
            <w:vAlign w:val="center"/>
          </w:tcPr>
          <w:p w14:paraId="2DFF5B9C" w14:textId="77777777" w:rsidR="0054034A" w:rsidRPr="00F87434" w:rsidRDefault="0054034A" w:rsidP="0054034A">
            <w:pPr>
              <w:pStyle w:val="Tablesmalltext"/>
            </w:pPr>
            <w:r w:rsidRPr="00F87434">
              <w:t>Small – Large depending on size o</w:t>
            </w:r>
            <w:r>
              <w:t>f infrastructure</w:t>
            </w:r>
          </w:p>
        </w:tc>
      </w:tr>
    </w:tbl>
    <w:p w14:paraId="5C76E798" w14:textId="77777777" w:rsidR="0054034A" w:rsidRDefault="0054034A" w:rsidP="0054034A">
      <w:pPr>
        <w:spacing w:before="40" w:after="40" w:line="240" w:lineRule="auto"/>
        <w:rPr>
          <w:rFonts w:eastAsia="Times New Roman" w:cs="Arial"/>
          <w:color w:val="000000"/>
          <w:szCs w:val="20"/>
        </w:rPr>
      </w:pPr>
    </w:p>
    <w:p w14:paraId="589F97BF" w14:textId="55A8F9AC" w:rsidR="0054034A" w:rsidRPr="008E0C6A" w:rsidRDefault="0054034A" w:rsidP="0054034A">
      <w:pPr>
        <w:spacing w:before="40" w:after="40" w:line="240" w:lineRule="auto"/>
        <w:rPr>
          <w:rFonts w:asciiTheme="minorHAnsi" w:hAnsiTheme="minorHAnsi" w:cstheme="minorHAnsi"/>
          <w:color w:val="000000"/>
        </w:rPr>
      </w:pPr>
      <w:r>
        <w:rPr>
          <w:rFonts w:eastAsia="Times New Roman" w:cs="Arial"/>
          <w:color w:val="000000"/>
          <w:szCs w:val="20"/>
        </w:rPr>
        <w:t>D</w:t>
      </w:r>
      <w:r w:rsidRPr="00CE47B7">
        <w:rPr>
          <w:rFonts w:eastAsia="Times New Roman" w:cs="Arial"/>
          <w:color w:val="000000"/>
          <w:szCs w:val="20"/>
        </w:rPr>
        <w:t xml:space="preserve">rip or spray irrigation counters stressors to Black Box vegetation through increasing infiltration of water into the soil profile to increase soil water content and availability. In some very specific conditions, surface inundation can also be used to target salinity stressors by flushing salts from the unsaturated soil profile over an extended </w:t>
      </w:r>
      <w:r w:rsidR="005C4005" w:rsidRPr="00CE47B7">
        <w:rPr>
          <w:rFonts w:eastAsia="Times New Roman" w:cs="Arial"/>
          <w:color w:val="000000"/>
          <w:szCs w:val="20"/>
        </w:rPr>
        <w:t>period</w:t>
      </w:r>
      <w:r w:rsidRPr="00CE47B7">
        <w:rPr>
          <w:rFonts w:eastAsia="Times New Roman" w:cs="Arial"/>
          <w:color w:val="000000"/>
          <w:szCs w:val="20"/>
        </w:rPr>
        <w:t>.</w:t>
      </w:r>
      <w:r w:rsidRPr="00981365">
        <w:rPr>
          <w:rFonts w:eastAsia="Times New Roman" w:cs="Arial"/>
          <w:color w:val="000000"/>
          <w:szCs w:val="20"/>
        </w:rPr>
        <w:t xml:space="preserve"> </w:t>
      </w:r>
      <w:r w:rsidRPr="00CE47B7">
        <w:rPr>
          <w:rFonts w:eastAsia="Times New Roman" w:cs="Arial"/>
          <w:color w:val="000000"/>
          <w:szCs w:val="20"/>
        </w:rPr>
        <w:t>Generally, drip or spray irrigation is most appropriate for Black Box trees that are located in the higher margins of the floodplain, and so are not affected by inundation through weir pool raising.</w:t>
      </w:r>
      <w:r>
        <w:rPr>
          <w:rFonts w:eastAsia="Times New Roman" w:cs="Arial"/>
          <w:color w:val="000000"/>
          <w:szCs w:val="20"/>
        </w:rPr>
        <w:t xml:space="preserve"> </w:t>
      </w:r>
      <w:r w:rsidRPr="00DF4A1A">
        <w:rPr>
          <w:rFonts w:eastAsia="Times New Roman" w:cs="Arial"/>
          <w:color w:val="000000"/>
          <w:szCs w:val="20"/>
        </w:rPr>
        <w:t>The area of Black Box that can be watered at one time is quite limited without significant infrastructure spread throughout the floodplain.</w:t>
      </w:r>
    </w:p>
    <w:p w14:paraId="38815332" w14:textId="77777777" w:rsidR="0054034A" w:rsidRPr="003744EB" w:rsidRDefault="0054034A" w:rsidP="004D3070">
      <w:pPr>
        <w:pStyle w:val="Para0"/>
      </w:pPr>
    </w:p>
    <w:p w14:paraId="63D37F04" w14:textId="7F1044D4" w:rsidR="00B36126" w:rsidRDefault="0062464D" w:rsidP="004B72AF">
      <w:pPr>
        <w:pStyle w:val="Heading9"/>
        <w:numPr>
          <w:ilvl w:val="0"/>
          <w:numId w:val="8"/>
        </w:numPr>
        <w:spacing w:after="0" w:line="240" w:lineRule="auto"/>
        <w:ind w:left="1985" w:hanging="1985"/>
        <w:rPr>
          <w:color w:val="65876D" w:themeColor="accent4" w:themeShade="BF"/>
        </w:rPr>
      </w:pPr>
      <w:bookmarkStart w:id="367" w:name="_Toc506818012"/>
      <w:bookmarkStart w:id="368" w:name="_Toc506818013"/>
      <w:bookmarkStart w:id="369" w:name="_Toc506818014"/>
      <w:bookmarkStart w:id="370" w:name="_Ref506813492"/>
      <w:bookmarkStart w:id="371" w:name="_Toc510785225"/>
      <w:bookmarkStart w:id="372" w:name="_Ref461098914"/>
      <w:bookmarkStart w:id="373" w:name="_Toc464486752"/>
      <w:bookmarkStart w:id="374" w:name="_Toc468885424"/>
      <w:bookmarkEnd w:id="363"/>
      <w:bookmarkEnd w:id="364"/>
      <w:bookmarkEnd w:id="365"/>
      <w:bookmarkEnd w:id="366"/>
      <w:bookmarkEnd w:id="367"/>
      <w:bookmarkEnd w:id="368"/>
      <w:bookmarkEnd w:id="369"/>
      <w:r>
        <w:rPr>
          <w:color w:val="65876D" w:themeColor="accent4" w:themeShade="BF"/>
        </w:rPr>
        <w:t>Rapid</w:t>
      </w:r>
      <w:r w:rsidR="00433921">
        <w:rPr>
          <w:color w:val="65876D" w:themeColor="accent4" w:themeShade="BF"/>
        </w:rPr>
        <w:t xml:space="preserve"> Prioritisation Method</w:t>
      </w:r>
      <w:bookmarkEnd w:id="370"/>
      <w:bookmarkEnd w:id="371"/>
    </w:p>
    <w:p w14:paraId="3FAC40D1" w14:textId="599CC8E6" w:rsidR="00433921" w:rsidRDefault="0062464D" w:rsidP="008C06C0">
      <w:pPr>
        <w:pStyle w:val="Para0"/>
      </w:pPr>
      <w:r>
        <w:t xml:space="preserve">This appendix </w:t>
      </w:r>
      <w:r w:rsidR="00433921">
        <w:t xml:space="preserve">provides guidance on a rapid prioritisation method that could be used for prioritising Black Box management units and management options and shortlisting management scenarios. This method should be used for relatively small sites, where the investigation of management options (Step 5 in Part A of the Framework) shows a small number of feasible management units and options, and where the level of investment being sought for management is low. This process uses a qualitative comparison of multiple criteria to compare potential management options, however does not include detailed scoring and weighting of criteria. </w:t>
      </w:r>
    </w:p>
    <w:p w14:paraId="6ED40947" w14:textId="14BD94D5" w:rsidR="00433921" w:rsidRDefault="00433921" w:rsidP="008C06C0">
      <w:pPr>
        <w:pStyle w:val="Para0"/>
      </w:pPr>
      <w:r>
        <w:t xml:space="preserve">It is recommended this process be completed as part of a workshop with key stakeholders, so that all relevant knowledge is captured and included in the prioritisation. </w:t>
      </w:r>
    </w:p>
    <w:p w14:paraId="480378CF" w14:textId="2F1F8133" w:rsidR="00E64058" w:rsidRPr="005C2C5A" w:rsidRDefault="00E64058" w:rsidP="008C06C0">
      <w:pPr>
        <w:pStyle w:val="Para0"/>
      </w:pPr>
      <w:r w:rsidRPr="008C06C0">
        <w:rPr>
          <w:b/>
        </w:rPr>
        <w:t>Step 1: Summary of Benefits, Dis-benefits and Risks</w:t>
      </w:r>
    </w:p>
    <w:p w14:paraId="1ADA3EBC" w14:textId="2D115A68" w:rsidR="00433921" w:rsidRDefault="00433921" w:rsidP="008C06C0">
      <w:pPr>
        <w:pStyle w:val="Para0"/>
      </w:pPr>
      <w:r>
        <w:t>The first step in this process is to summarise the key benefits, dis-benefits and risks of each of the options, using the information gathered in Step 5 of Part A of the Framework (Identifying a range of management actions and options).</w:t>
      </w:r>
      <w:r w:rsidR="00FC5FE5">
        <w:t xml:space="preserve"> When the benefits, dis-benefits and risks have been summarised for each option, each option can be assigned a ranking, based on which is shown to be preferable. No quantitative assessment of the relative importance of each benefit and dis-benefit is proposed for this assessment, however it is recommended these are discussed with a stakeholder group </w:t>
      </w:r>
      <w:r w:rsidR="005C4005">
        <w:t>to</w:t>
      </w:r>
      <w:r w:rsidR="00FC5FE5">
        <w:t xml:space="preserve"> come up with defendable rankings. </w:t>
      </w:r>
      <w:r w:rsidR="00E64058">
        <w:t>The Table below</w:t>
      </w:r>
      <w:r>
        <w:t xml:space="preserve"> suggests an example </w:t>
      </w:r>
      <w:r w:rsidR="00E64058">
        <w:t xml:space="preserve">format for completing this process: </w:t>
      </w:r>
    </w:p>
    <w:p w14:paraId="6BF630C2" w14:textId="77777777" w:rsidR="00FC5FE5" w:rsidRDefault="00FC5FE5" w:rsidP="008C06C0">
      <w:pPr>
        <w:pStyle w:val="Para0"/>
      </w:pPr>
    </w:p>
    <w:tbl>
      <w:tblPr>
        <w:tblStyle w:val="TableGrid"/>
        <w:tblW w:w="4956" w:type="pct"/>
        <w:tblInd w:w="8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276"/>
        <w:gridCol w:w="1805"/>
        <w:gridCol w:w="1958"/>
        <w:gridCol w:w="2392"/>
        <w:gridCol w:w="2388"/>
      </w:tblGrid>
      <w:tr w:rsidR="00FC5FE5" w:rsidRPr="00EA2DC6" w14:paraId="2D2E48B8" w14:textId="229C1935" w:rsidTr="008C06C0">
        <w:trPr>
          <w:tblHeader/>
        </w:trPr>
        <w:tc>
          <w:tcPr>
            <w:tcW w:w="650" w:type="pct"/>
            <w:tcBorders>
              <w:left w:val="single" w:sz="4" w:space="0" w:color="FFFFFF" w:themeColor="background1"/>
              <w:right w:val="single" w:sz="4" w:space="0" w:color="FFFFFF" w:themeColor="background1"/>
            </w:tcBorders>
            <w:shd w:val="clear" w:color="auto" w:fill="65876D" w:themeFill="accent4" w:themeFillShade="BF"/>
          </w:tcPr>
          <w:p w14:paraId="20DB14DA" w14:textId="2F601F65" w:rsidR="00FC5FE5" w:rsidRPr="00EA2DC6" w:rsidRDefault="00FC5FE5" w:rsidP="00E4655B">
            <w:pPr>
              <w:keepNext/>
              <w:spacing w:before="100" w:after="100"/>
              <w:rPr>
                <w:rFonts w:ascii="Arial Black" w:hAnsi="Arial Black"/>
                <w:color w:val="FFFFFF" w:themeColor="background1"/>
                <w:sz w:val="16"/>
              </w:rPr>
            </w:pPr>
            <w:r>
              <w:rPr>
                <w:rFonts w:ascii="Arial Black" w:hAnsi="Arial Black"/>
                <w:color w:val="FFFFFF" w:themeColor="background1"/>
                <w:sz w:val="16"/>
              </w:rPr>
              <w:t>Option</w:t>
            </w:r>
          </w:p>
        </w:tc>
        <w:tc>
          <w:tcPr>
            <w:tcW w:w="919" w:type="pct"/>
            <w:tcBorders>
              <w:left w:val="single" w:sz="4" w:space="0" w:color="FFFFFF" w:themeColor="background1"/>
              <w:right w:val="single" w:sz="4" w:space="0" w:color="FFFFFF" w:themeColor="background1"/>
            </w:tcBorders>
            <w:shd w:val="clear" w:color="auto" w:fill="65876D" w:themeFill="accent4" w:themeFillShade="BF"/>
          </w:tcPr>
          <w:p w14:paraId="0FBBA825" w14:textId="5254452A" w:rsidR="00FC5FE5" w:rsidRPr="00EA2DC6" w:rsidRDefault="00FC5FE5" w:rsidP="00E4655B">
            <w:pPr>
              <w:keepNext/>
              <w:spacing w:before="100" w:after="100"/>
              <w:rPr>
                <w:rFonts w:ascii="Arial Black" w:hAnsi="Arial Black"/>
                <w:color w:val="FFFFFF" w:themeColor="background1"/>
                <w:sz w:val="16"/>
              </w:rPr>
            </w:pPr>
            <w:r>
              <w:rPr>
                <w:rFonts w:ascii="Arial Black" w:hAnsi="Arial Black"/>
                <w:color w:val="FFFFFF" w:themeColor="background1"/>
                <w:sz w:val="16"/>
              </w:rPr>
              <w:t>Option A</w:t>
            </w:r>
          </w:p>
        </w:tc>
        <w:tc>
          <w:tcPr>
            <w:tcW w:w="997" w:type="pct"/>
            <w:tcBorders>
              <w:left w:val="single" w:sz="4" w:space="0" w:color="FFFFFF" w:themeColor="background1"/>
              <w:right w:val="single" w:sz="4" w:space="0" w:color="FFFFFF" w:themeColor="background1"/>
            </w:tcBorders>
            <w:shd w:val="clear" w:color="auto" w:fill="65876D" w:themeFill="accent4" w:themeFillShade="BF"/>
          </w:tcPr>
          <w:p w14:paraId="377F353C" w14:textId="1705DAA5" w:rsidR="00FC5FE5" w:rsidRPr="00EA2DC6" w:rsidRDefault="00FC5FE5" w:rsidP="00E4655B">
            <w:pPr>
              <w:keepNext/>
              <w:spacing w:before="100" w:after="100"/>
              <w:rPr>
                <w:rFonts w:ascii="Arial Black" w:hAnsi="Arial Black"/>
                <w:color w:val="FFFFFF" w:themeColor="background1"/>
                <w:sz w:val="16"/>
              </w:rPr>
            </w:pPr>
            <w:r>
              <w:rPr>
                <w:rFonts w:ascii="Arial Black" w:hAnsi="Arial Black"/>
                <w:color w:val="FFFFFF" w:themeColor="background1"/>
                <w:sz w:val="16"/>
              </w:rPr>
              <w:t>Option B</w:t>
            </w:r>
          </w:p>
        </w:tc>
        <w:tc>
          <w:tcPr>
            <w:tcW w:w="1218" w:type="pct"/>
            <w:tcBorders>
              <w:left w:val="single" w:sz="4" w:space="0" w:color="FFFFFF" w:themeColor="background1"/>
              <w:right w:val="single" w:sz="4" w:space="0" w:color="FFFFFF" w:themeColor="background1"/>
            </w:tcBorders>
            <w:shd w:val="clear" w:color="auto" w:fill="65876D" w:themeFill="accent4" w:themeFillShade="BF"/>
          </w:tcPr>
          <w:p w14:paraId="0AC57C66" w14:textId="5CD3C4FA" w:rsidR="00FC5FE5" w:rsidRPr="00EA2DC6" w:rsidRDefault="00FC5FE5" w:rsidP="00E4655B">
            <w:pPr>
              <w:keepNext/>
              <w:spacing w:before="100" w:after="100"/>
              <w:rPr>
                <w:rFonts w:ascii="Arial Black" w:hAnsi="Arial Black"/>
                <w:color w:val="FFFFFF" w:themeColor="background1"/>
                <w:sz w:val="16"/>
              </w:rPr>
            </w:pPr>
            <w:r>
              <w:rPr>
                <w:rFonts w:ascii="Arial Black" w:hAnsi="Arial Black"/>
                <w:color w:val="FFFFFF" w:themeColor="background1"/>
                <w:sz w:val="16"/>
              </w:rPr>
              <w:t>Option C</w:t>
            </w:r>
          </w:p>
        </w:tc>
        <w:tc>
          <w:tcPr>
            <w:tcW w:w="1216" w:type="pct"/>
            <w:tcBorders>
              <w:left w:val="single" w:sz="4" w:space="0" w:color="FFFFFF" w:themeColor="background1"/>
              <w:right w:val="single" w:sz="4" w:space="0" w:color="FFFFFF" w:themeColor="background1"/>
            </w:tcBorders>
            <w:shd w:val="clear" w:color="auto" w:fill="65876D" w:themeFill="accent4" w:themeFillShade="BF"/>
          </w:tcPr>
          <w:p w14:paraId="597FCCC3" w14:textId="58E0581C" w:rsidR="00FC5FE5" w:rsidRDefault="00FC5FE5" w:rsidP="00E4655B">
            <w:pPr>
              <w:keepNext/>
              <w:spacing w:before="100" w:after="100"/>
              <w:rPr>
                <w:rFonts w:ascii="Arial Black" w:hAnsi="Arial Black"/>
                <w:color w:val="FFFFFF" w:themeColor="background1"/>
                <w:sz w:val="16"/>
              </w:rPr>
            </w:pPr>
            <w:r>
              <w:rPr>
                <w:rFonts w:ascii="Arial Black" w:hAnsi="Arial Black"/>
                <w:color w:val="FFFFFF" w:themeColor="background1"/>
                <w:sz w:val="16"/>
              </w:rPr>
              <w:t>Option D</w:t>
            </w:r>
          </w:p>
        </w:tc>
      </w:tr>
      <w:tr w:rsidR="00FC5FE5" w:rsidRPr="00EA2DC6" w14:paraId="2654BB0F" w14:textId="16DF2BC2" w:rsidTr="008C06C0">
        <w:tc>
          <w:tcPr>
            <w:tcW w:w="650" w:type="pct"/>
          </w:tcPr>
          <w:p w14:paraId="63A873F0" w14:textId="2A8395B3" w:rsidR="00FC5FE5" w:rsidRPr="00EA2DC6" w:rsidRDefault="00FC5FE5" w:rsidP="00E4655B">
            <w:pPr>
              <w:spacing w:before="40" w:after="40"/>
              <w:rPr>
                <w:sz w:val="16"/>
              </w:rPr>
            </w:pPr>
            <w:r>
              <w:rPr>
                <w:sz w:val="16"/>
              </w:rPr>
              <w:t>Benefits</w:t>
            </w:r>
          </w:p>
        </w:tc>
        <w:tc>
          <w:tcPr>
            <w:tcW w:w="919" w:type="pct"/>
          </w:tcPr>
          <w:p w14:paraId="5074A7C3" w14:textId="41B60345" w:rsidR="00FC5FE5" w:rsidRPr="00EA2DC6" w:rsidRDefault="00FC5FE5" w:rsidP="00E4655B">
            <w:pPr>
              <w:spacing w:before="40" w:after="40"/>
              <w:rPr>
                <w:sz w:val="16"/>
              </w:rPr>
            </w:pPr>
          </w:p>
        </w:tc>
        <w:tc>
          <w:tcPr>
            <w:tcW w:w="997" w:type="pct"/>
          </w:tcPr>
          <w:p w14:paraId="360BCD64" w14:textId="77777777" w:rsidR="00FC5FE5" w:rsidRPr="00EA2DC6" w:rsidRDefault="00FC5FE5" w:rsidP="00E4655B">
            <w:pPr>
              <w:spacing w:before="40" w:after="40"/>
              <w:rPr>
                <w:sz w:val="16"/>
              </w:rPr>
            </w:pPr>
          </w:p>
        </w:tc>
        <w:tc>
          <w:tcPr>
            <w:tcW w:w="1218" w:type="pct"/>
          </w:tcPr>
          <w:p w14:paraId="62F4A811" w14:textId="262A0B9A" w:rsidR="00FC5FE5" w:rsidRPr="00EA2DC6" w:rsidRDefault="00FC5FE5" w:rsidP="00E4655B">
            <w:pPr>
              <w:spacing w:before="40" w:after="40"/>
              <w:rPr>
                <w:sz w:val="16"/>
              </w:rPr>
            </w:pPr>
          </w:p>
        </w:tc>
        <w:tc>
          <w:tcPr>
            <w:tcW w:w="1216" w:type="pct"/>
          </w:tcPr>
          <w:p w14:paraId="0A9E7FEE" w14:textId="77777777" w:rsidR="00FC5FE5" w:rsidRPr="00EA2DC6" w:rsidRDefault="00FC5FE5" w:rsidP="00E4655B">
            <w:pPr>
              <w:spacing w:before="40" w:after="40"/>
              <w:rPr>
                <w:sz w:val="16"/>
              </w:rPr>
            </w:pPr>
          </w:p>
        </w:tc>
      </w:tr>
      <w:tr w:rsidR="00FC5FE5" w:rsidRPr="00EA2DC6" w14:paraId="54FFE8E7" w14:textId="7D9E87C0" w:rsidTr="008C06C0">
        <w:tc>
          <w:tcPr>
            <w:tcW w:w="650" w:type="pct"/>
          </w:tcPr>
          <w:p w14:paraId="1B98F269" w14:textId="5C64A1C0" w:rsidR="00FC5FE5" w:rsidRPr="00EA2DC6" w:rsidRDefault="00FC5FE5" w:rsidP="00E4655B">
            <w:pPr>
              <w:spacing w:before="40" w:after="40"/>
              <w:rPr>
                <w:sz w:val="16"/>
              </w:rPr>
            </w:pPr>
            <w:r>
              <w:rPr>
                <w:sz w:val="16"/>
              </w:rPr>
              <w:t>Dis-benefits</w:t>
            </w:r>
          </w:p>
        </w:tc>
        <w:tc>
          <w:tcPr>
            <w:tcW w:w="919" w:type="pct"/>
          </w:tcPr>
          <w:p w14:paraId="55987651" w14:textId="1AF208E7" w:rsidR="00FC5FE5" w:rsidRPr="00EA2DC6" w:rsidRDefault="00FC5FE5" w:rsidP="00E4655B">
            <w:pPr>
              <w:spacing w:before="40" w:after="40"/>
              <w:rPr>
                <w:sz w:val="16"/>
              </w:rPr>
            </w:pPr>
          </w:p>
        </w:tc>
        <w:tc>
          <w:tcPr>
            <w:tcW w:w="997" w:type="pct"/>
          </w:tcPr>
          <w:p w14:paraId="2CB98B81" w14:textId="77777777" w:rsidR="00FC5FE5" w:rsidRPr="00EA2DC6" w:rsidRDefault="00FC5FE5" w:rsidP="00E4655B">
            <w:pPr>
              <w:spacing w:before="40" w:after="40"/>
              <w:rPr>
                <w:sz w:val="16"/>
              </w:rPr>
            </w:pPr>
          </w:p>
        </w:tc>
        <w:tc>
          <w:tcPr>
            <w:tcW w:w="1218" w:type="pct"/>
          </w:tcPr>
          <w:p w14:paraId="640BB410" w14:textId="7DD342E0" w:rsidR="00FC5FE5" w:rsidRPr="00EA2DC6" w:rsidRDefault="00FC5FE5" w:rsidP="00E4655B">
            <w:pPr>
              <w:spacing w:before="40" w:after="40"/>
              <w:rPr>
                <w:sz w:val="16"/>
              </w:rPr>
            </w:pPr>
          </w:p>
        </w:tc>
        <w:tc>
          <w:tcPr>
            <w:tcW w:w="1216" w:type="pct"/>
          </w:tcPr>
          <w:p w14:paraId="45CADD17" w14:textId="77777777" w:rsidR="00FC5FE5" w:rsidRPr="00EA2DC6" w:rsidRDefault="00FC5FE5" w:rsidP="00E4655B">
            <w:pPr>
              <w:spacing w:before="40" w:after="40"/>
              <w:rPr>
                <w:sz w:val="16"/>
              </w:rPr>
            </w:pPr>
          </w:p>
        </w:tc>
      </w:tr>
      <w:tr w:rsidR="00FC5FE5" w:rsidRPr="00EA2DC6" w14:paraId="23C6A8E9" w14:textId="12909D71" w:rsidTr="008C06C0">
        <w:tc>
          <w:tcPr>
            <w:tcW w:w="650" w:type="pct"/>
          </w:tcPr>
          <w:p w14:paraId="7896B9D6" w14:textId="17661216" w:rsidR="00FC5FE5" w:rsidRPr="00EA2DC6" w:rsidRDefault="00FC5FE5" w:rsidP="00E4655B">
            <w:pPr>
              <w:spacing w:before="40" w:after="40"/>
              <w:rPr>
                <w:sz w:val="16"/>
              </w:rPr>
            </w:pPr>
            <w:r>
              <w:rPr>
                <w:sz w:val="16"/>
              </w:rPr>
              <w:t>Risks</w:t>
            </w:r>
          </w:p>
        </w:tc>
        <w:tc>
          <w:tcPr>
            <w:tcW w:w="919" w:type="pct"/>
          </w:tcPr>
          <w:p w14:paraId="4964315D" w14:textId="524C39B1" w:rsidR="00FC5FE5" w:rsidRPr="00EA2DC6" w:rsidRDefault="00FC5FE5" w:rsidP="00E4655B">
            <w:pPr>
              <w:spacing w:before="40" w:after="40"/>
              <w:rPr>
                <w:sz w:val="16"/>
              </w:rPr>
            </w:pPr>
          </w:p>
        </w:tc>
        <w:tc>
          <w:tcPr>
            <w:tcW w:w="997" w:type="pct"/>
          </w:tcPr>
          <w:p w14:paraId="08BABDEE" w14:textId="77777777" w:rsidR="00FC5FE5" w:rsidRPr="00EA2DC6" w:rsidRDefault="00FC5FE5" w:rsidP="00E4655B">
            <w:pPr>
              <w:spacing w:before="40" w:after="40"/>
              <w:rPr>
                <w:sz w:val="16"/>
              </w:rPr>
            </w:pPr>
          </w:p>
        </w:tc>
        <w:tc>
          <w:tcPr>
            <w:tcW w:w="1218" w:type="pct"/>
          </w:tcPr>
          <w:p w14:paraId="30EA2629" w14:textId="65299EB7" w:rsidR="00FC5FE5" w:rsidRPr="00EA2DC6" w:rsidRDefault="00FC5FE5" w:rsidP="00E4655B">
            <w:pPr>
              <w:spacing w:before="40" w:after="40"/>
              <w:rPr>
                <w:sz w:val="16"/>
              </w:rPr>
            </w:pPr>
          </w:p>
        </w:tc>
        <w:tc>
          <w:tcPr>
            <w:tcW w:w="1216" w:type="pct"/>
          </w:tcPr>
          <w:p w14:paraId="50F4A29C" w14:textId="77777777" w:rsidR="00FC5FE5" w:rsidRPr="00EA2DC6" w:rsidRDefault="00FC5FE5" w:rsidP="00E4655B">
            <w:pPr>
              <w:spacing w:before="40" w:after="40"/>
              <w:rPr>
                <w:sz w:val="16"/>
              </w:rPr>
            </w:pPr>
          </w:p>
        </w:tc>
      </w:tr>
      <w:tr w:rsidR="00FC5FE5" w:rsidRPr="00EA2DC6" w14:paraId="60B2E24A" w14:textId="3CC1C51C" w:rsidTr="008C06C0">
        <w:tc>
          <w:tcPr>
            <w:tcW w:w="650" w:type="pct"/>
          </w:tcPr>
          <w:p w14:paraId="2EE109A4" w14:textId="5193ED8C" w:rsidR="00FC5FE5" w:rsidRDefault="00FC5FE5" w:rsidP="00E4655B">
            <w:pPr>
              <w:spacing w:before="40" w:after="40"/>
              <w:rPr>
                <w:sz w:val="16"/>
              </w:rPr>
            </w:pPr>
            <w:r>
              <w:rPr>
                <w:sz w:val="16"/>
              </w:rPr>
              <w:t>Ranking (1-5) – 1 is preferred</w:t>
            </w:r>
          </w:p>
        </w:tc>
        <w:tc>
          <w:tcPr>
            <w:tcW w:w="919" w:type="pct"/>
          </w:tcPr>
          <w:p w14:paraId="0A3BA78E" w14:textId="77777777" w:rsidR="00FC5FE5" w:rsidRPr="00EA2DC6" w:rsidRDefault="00FC5FE5" w:rsidP="00E4655B">
            <w:pPr>
              <w:spacing w:before="40" w:after="40"/>
              <w:rPr>
                <w:sz w:val="16"/>
              </w:rPr>
            </w:pPr>
          </w:p>
        </w:tc>
        <w:tc>
          <w:tcPr>
            <w:tcW w:w="997" w:type="pct"/>
          </w:tcPr>
          <w:p w14:paraId="2D97B74C" w14:textId="77777777" w:rsidR="00FC5FE5" w:rsidRPr="00EA2DC6" w:rsidRDefault="00FC5FE5" w:rsidP="00E4655B">
            <w:pPr>
              <w:spacing w:before="40" w:after="40"/>
              <w:rPr>
                <w:sz w:val="16"/>
              </w:rPr>
            </w:pPr>
          </w:p>
        </w:tc>
        <w:tc>
          <w:tcPr>
            <w:tcW w:w="1218" w:type="pct"/>
          </w:tcPr>
          <w:p w14:paraId="305FA7BE" w14:textId="77777777" w:rsidR="00FC5FE5" w:rsidRPr="00EA2DC6" w:rsidRDefault="00FC5FE5" w:rsidP="00E4655B">
            <w:pPr>
              <w:spacing w:before="40" w:after="40"/>
              <w:rPr>
                <w:sz w:val="16"/>
              </w:rPr>
            </w:pPr>
          </w:p>
        </w:tc>
        <w:tc>
          <w:tcPr>
            <w:tcW w:w="1216" w:type="pct"/>
          </w:tcPr>
          <w:p w14:paraId="70B38C00" w14:textId="77777777" w:rsidR="00FC5FE5" w:rsidRPr="00EA2DC6" w:rsidRDefault="00FC5FE5" w:rsidP="00E4655B">
            <w:pPr>
              <w:spacing w:before="40" w:after="40"/>
              <w:rPr>
                <w:sz w:val="16"/>
              </w:rPr>
            </w:pPr>
          </w:p>
        </w:tc>
      </w:tr>
    </w:tbl>
    <w:p w14:paraId="41D5AB39" w14:textId="57DFCE70" w:rsidR="00E64058" w:rsidRDefault="00E64058" w:rsidP="008C06C0">
      <w:pPr>
        <w:pStyle w:val="Para0"/>
      </w:pPr>
    </w:p>
    <w:p w14:paraId="0C13A814" w14:textId="1F2EBF62" w:rsidR="00433921" w:rsidRDefault="00E64058" w:rsidP="008C06C0">
      <w:pPr>
        <w:pStyle w:val="Para0"/>
      </w:pPr>
      <w:r w:rsidRPr="008C06C0">
        <w:rPr>
          <w:b/>
        </w:rPr>
        <w:t>Step 2: Assessment of Options Against Objectives</w:t>
      </w:r>
    </w:p>
    <w:p w14:paraId="5F70CDB8" w14:textId="4AE60FE3" w:rsidR="00E64058" w:rsidRDefault="00E64058" w:rsidP="008C06C0">
      <w:pPr>
        <w:autoSpaceDE w:val="0"/>
        <w:autoSpaceDN w:val="0"/>
        <w:adjustRightInd w:val="0"/>
        <w:spacing w:after="0" w:line="240" w:lineRule="auto"/>
        <w:rPr>
          <w:rFonts w:cs="Arial"/>
          <w:szCs w:val="20"/>
        </w:rPr>
      </w:pPr>
      <w:r w:rsidRPr="008C06C0">
        <w:rPr>
          <w:rFonts w:cs="Arial"/>
          <w:szCs w:val="20"/>
        </w:rPr>
        <w:t>Next, an assessment of the extent to which each of the potential options is likely to contribute to achieving the objectives for Black Box at the site is undertaken. This assessment can provide a semi-</w:t>
      </w:r>
      <w:r w:rsidR="00FC5FE5" w:rsidRPr="00C87406">
        <w:rPr>
          <w:rFonts w:cs="Arial"/>
          <w:szCs w:val="20"/>
        </w:rPr>
        <w:t>quantitative</w:t>
      </w:r>
      <w:r w:rsidRPr="008C06C0">
        <w:rPr>
          <w:rFonts w:cs="Arial"/>
          <w:szCs w:val="20"/>
        </w:rPr>
        <w:t xml:space="preserve"> assessment through scoring each option out of 5 for each of the main objective areas.</w:t>
      </w:r>
      <w:r w:rsidR="00FC5FE5" w:rsidRPr="00C87406">
        <w:rPr>
          <w:rFonts w:cs="Arial"/>
          <w:szCs w:val="20"/>
        </w:rPr>
        <w:t xml:space="preserve"> </w:t>
      </w:r>
      <w:r w:rsidR="00FC5FE5">
        <w:rPr>
          <w:rFonts w:cs="Arial"/>
          <w:szCs w:val="20"/>
        </w:rPr>
        <w:t>A</w:t>
      </w:r>
      <w:r>
        <w:rPr>
          <w:rFonts w:cs="Arial"/>
          <w:szCs w:val="20"/>
        </w:rPr>
        <w:t xml:space="preserve"> score of 5 means that the option is expected to deliver 100% of the </w:t>
      </w:r>
      <w:r w:rsidR="00FC5FE5">
        <w:rPr>
          <w:rFonts w:cs="Arial"/>
          <w:szCs w:val="20"/>
        </w:rPr>
        <w:t xml:space="preserve">outcomes targeted for that objective, while a score of 0 means that the option is expected to deliver none of the outcomes targeted for that objective. In this way, the expected progress toward achieving the Black Box objectives can be compared for each option. The table below provides an example of the format for this assessment. </w:t>
      </w:r>
    </w:p>
    <w:p w14:paraId="7C6904E5" w14:textId="08DE4CC3" w:rsidR="00FC5FE5" w:rsidRDefault="00FC5FE5" w:rsidP="008C06C0">
      <w:pPr>
        <w:autoSpaceDE w:val="0"/>
        <w:autoSpaceDN w:val="0"/>
        <w:adjustRightInd w:val="0"/>
        <w:spacing w:after="0" w:line="240" w:lineRule="auto"/>
        <w:rPr>
          <w:rFonts w:cs="Arial"/>
          <w:szCs w:val="20"/>
        </w:rPr>
      </w:pPr>
    </w:p>
    <w:tbl>
      <w:tblPr>
        <w:tblStyle w:val="TableGrid"/>
        <w:tblW w:w="4956" w:type="pct"/>
        <w:tblInd w:w="8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276"/>
        <w:gridCol w:w="1805"/>
        <w:gridCol w:w="1958"/>
        <w:gridCol w:w="2392"/>
        <w:gridCol w:w="2388"/>
      </w:tblGrid>
      <w:tr w:rsidR="00FC5FE5" w:rsidRPr="00EA2DC6" w14:paraId="61D4E841" w14:textId="7FBDB3FB" w:rsidTr="008C06C0">
        <w:trPr>
          <w:tblHeader/>
        </w:trPr>
        <w:tc>
          <w:tcPr>
            <w:tcW w:w="650" w:type="pct"/>
            <w:tcBorders>
              <w:left w:val="single" w:sz="4" w:space="0" w:color="FFFFFF" w:themeColor="background1"/>
              <w:right w:val="single" w:sz="4" w:space="0" w:color="FFFFFF" w:themeColor="background1"/>
            </w:tcBorders>
            <w:shd w:val="clear" w:color="auto" w:fill="65876D" w:themeFill="accent4" w:themeFillShade="BF"/>
          </w:tcPr>
          <w:p w14:paraId="076E5028" w14:textId="33908661" w:rsidR="00FC5FE5" w:rsidRPr="00EA2DC6" w:rsidRDefault="00FC5FE5" w:rsidP="00E4655B">
            <w:pPr>
              <w:keepNext/>
              <w:spacing w:before="100" w:after="100"/>
              <w:rPr>
                <w:rFonts w:ascii="Arial Black" w:hAnsi="Arial Black"/>
                <w:color w:val="FFFFFF" w:themeColor="background1"/>
                <w:sz w:val="16"/>
              </w:rPr>
            </w:pPr>
            <w:r>
              <w:rPr>
                <w:rFonts w:ascii="Arial Black" w:hAnsi="Arial Black"/>
                <w:color w:val="FFFFFF" w:themeColor="background1"/>
                <w:sz w:val="16"/>
              </w:rPr>
              <w:t>Objectives</w:t>
            </w:r>
          </w:p>
        </w:tc>
        <w:tc>
          <w:tcPr>
            <w:tcW w:w="919" w:type="pct"/>
            <w:tcBorders>
              <w:left w:val="single" w:sz="4" w:space="0" w:color="FFFFFF" w:themeColor="background1"/>
              <w:right w:val="single" w:sz="4" w:space="0" w:color="FFFFFF" w:themeColor="background1"/>
            </w:tcBorders>
            <w:shd w:val="clear" w:color="auto" w:fill="65876D" w:themeFill="accent4" w:themeFillShade="BF"/>
          </w:tcPr>
          <w:p w14:paraId="2E05BD10" w14:textId="58D7FD55" w:rsidR="00FC5FE5" w:rsidRPr="00EA2DC6" w:rsidRDefault="00FC5FE5" w:rsidP="00E4655B">
            <w:pPr>
              <w:keepNext/>
              <w:spacing w:before="100" w:after="100"/>
              <w:rPr>
                <w:rFonts w:ascii="Arial Black" w:hAnsi="Arial Black"/>
                <w:color w:val="FFFFFF" w:themeColor="background1"/>
                <w:sz w:val="16"/>
              </w:rPr>
            </w:pPr>
            <w:r>
              <w:rPr>
                <w:rFonts w:ascii="Arial Black" w:hAnsi="Arial Black"/>
                <w:color w:val="FFFFFF" w:themeColor="background1"/>
                <w:sz w:val="16"/>
              </w:rPr>
              <w:t>Option A</w:t>
            </w:r>
          </w:p>
        </w:tc>
        <w:tc>
          <w:tcPr>
            <w:tcW w:w="997" w:type="pct"/>
            <w:tcBorders>
              <w:left w:val="single" w:sz="4" w:space="0" w:color="FFFFFF" w:themeColor="background1"/>
              <w:right w:val="single" w:sz="4" w:space="0" w:color="FFFFFF" w:themeColor="background1"/>
            </w:tcBorders>
            <w:shd w:val="clear" w:color="auto" w:fill="65876D" w:themeFill="accent4" w:themeFillShade="BF"/>
          </w:tcPr>
          <w:p w14:paraId="2D32E0EF" w14:textId="2623F4C2" w:rsidR="00FC5FE5" w:rsidRPr="00EA2DC6" w:rsidRDefault="00FC5FE5" w:rsidP="00E4655B">
            <w:pPr>
              <w:keepNext/>
              <w:spacing w:before="100" w:after="100"/>
              <w:rPr>
                <w:rFonts w:ascii="Arial Black" w:hAnsi="Arial Black"/>
                <w:color w:val="FFFFFF" w:themeColor="background1"/>
                <w:sz w:val="16"/>
              </w:rPr>
            </w:pPr>
            <w:r>
              <w:rPr>
                <w:rFonts w:ascii="Arial Black" w:hAnsi="Arial Black"/>
                <w:color w:val="FFFFFF" w:themeColor="background1"/>
                <w:sz w:val="16"/>
              </w:rPr>
              <w:t>Option B</w:t>
            </w:r>
          </w:p>
        </w:tc>
        <w:tc>
          <w:tcPr>
            <w:tcW w:w="1218" w:type="pct"/>
            <w:tcBorders>
              <w:left w:val="single" w:sz="4" w:space="0" w:color="FFFFFF" w:themeColor="background1"/>
              <w:right w:val="single" w:sz="4" w:space="0" w:color="FFFFFF" w:themeColor="background1"/>
            </w:tcBorders>
            <w:shd w:val="clear" w:color="auto" w:fill="65876D" w:themeFill="accent4" w:themeFillShade="BF"/>
          </w:tcPr>
          <w:p w14:paraId="13EC0DAA" w14:textId="2496D26E" w:rsidR="00FC5FE5" w:rsidRPr="00EA2DC6" w:rsidRDefault="00FC5FE5" w:rsidP="00E4655B">
            <w:pPr>
              <w:keepNext/>
              <w:spacing w:before="100" w:after="100"/>
              <w:rPr>
                <w:rFonts w:ascii="Arial Black" w:hAnsi="Arial Black"/>
                <w:color w:val="FFFFFF" w:themeColor="background1"/>
                <w:sz w:val="16"/>
              </w:rPr>
            </w:pPr>
            <w:r>
              <w:rPr>
                <w:rFonts w:ascii="Arial Black" w:hAnsi="Arial Black"/>
                <w:color w:val="FFFFFF" w:themeColor="background1"/>
                <w:sz w:val="16"/>
              </w:rPr>
              <w:t>Option C</w:t>
            </w:r>
          </w:p>
        </w:tc>
        <w:tc>
          <w:tcPr>
            <w:tcW w:w="1217" w:type="pct"/>
            <w:tcBorders>
              <w:left w:val="single" w:sz="4" w:space="0" w:color="FFFFFF" w:themeColor="background1"/>
              <w:right w:val="single" w:sz="4" w:space="0" w:color="FFFFFF" w:themeColor="background1"/>
            </w:tcBorders>
            <w:shd w:val="clear" w:color="auto" w:fill="65876D" w:themeFill="accent4" w:themeFillShade="BF"/>
          </w:tcPr>
          <w:p w14:paraId="2BAE9578" w14:textId="0C673BDF" w:rsidR="00FC5FE5" w:rsidRDefault="00FC5FE5" w:rsidP="00E4655B">
            <w:pPr>
              <w:keepNext/>
              <w:spacing w:before="100" w:after="100"/>
              <w:rPr>
                <w:rFonts w:ascii="Arial Black" w:hAnsi="Arial Black"/>
                <w:color w:val="FFFFFF" w:themeColor="background1"/>
                <w:sz w:val="16"/>
              </w:rPr>
            </w:pPr>
            <w:r>
              <w:rPr>
                <w:rFonts w:ascii="Arial Black" w:hAnsi="Arial Black"/>
                <w:color w:val="FFFFFF" w:themeColor="background1"/>
                <w:sz w:val="16"/>
              </w:rPr>
              <w:t>Option D</w:t>
            </w:r>
          </w:p>
        </w:tc>
      </w:tr>
      <w:tr w:rsidR="00FC5FE5" w:rsidRPr="00EA2DC6" w14:paraId="241A392D" w14:textId="63A8D982" w:rsidTr="008C06C0">
        <w:tc>
          <w:tcPr>
            <w:tcW w:w="650" w:type="pct"/>
          </w:tcPr>
          <w:p w14:paraId="3FDEF9FA" w14:textId="48B6A6BB" w:rsidR="00FC5FE5" w:rsidRPr="00EA2DC6" w:rsidRDefault="00FC5FE5" w:rsidP="00E4655B">
            <w:pPr>
              <w:spacing w:before="40" w:after="40"/>
              <w:rPr>
                <w:sz w:val="16"/>
              </w:rPr>
            </w:pPr>
            <w:r>
              <w:rPr>
                <w:sz w:val="16"/>
              </w:rPr>
              <w:t>Objective 1</w:t>
            </w:r>
          </w:p>
        </w:tc>
        <w:tc>
          <w:tcPr>
            <w:tcW w:w="919" w:type="pct"/>
          </w:tcPr>
          <w:p w14:paraId="6828C907" w14:textId="3713D7FC" w:rsidR="00FC5FE5" w:rsidRPr="00EA2DC6" w:rsidRDefault="00FC5FE5" w:rsidP="00E4655B">
            <w:pPr>
              <w:spacing w:before="40" w:after="40"/>
              <w:rPr>
                <w:sz w:val="16"/>
              </w:rPr>
            </w:pPr>
            <w:r>
              <w:rPr>
                <w:sz w:val="16"/>
              </w:rPr>
              <w:t>Score from 0-5 (0 means option provides no outcomes for Objective, 5 means option provides 100% of outcomes for objective)</w:t>
            </w:r>
          </w:p>
        </w:tc>
        <w:tc>
          <w:tcPr>
            <w:tcW w:w="997" w:type="pct"/>
          </w:tcPr>
          <w:p w14:paraId="7FB5103E" w14:textId="77777777" w:rsidR="00FC5FE5" w:rsidRPr="00EA2DC6" w:rsidRDefault="00FC5FE5" w:rsidP="00E4655B">
            <w:pPr>
              <w:spacing w:before="40" w:after="40"/>
              <w:rPr>
                <w:sz w:val="16"/>
              </w:rPr>
            </w:pPr>
          </w:p>
        </w:tc>
        <w:tc>
          <w:tcPr>
            <w:tcW w:w="1218" w:type="pct"/>
          </w:tcPr>
          <w:p w14:paraId="603D20A5" w14:textId="77777777" w:rsidR="00FC5FE5" w:rsidRPr="00EA2DC6" w:rsidRDefault="00FC5FE5" w:rsidP="00E4655B">
            <w:pPr>
              <w:spacing w:before="40" w:after="40"/>
              <w:rPr>
                <w:sz w:val="16"/>
              </w:rPr>
            </w:pPr>
          </w:p>
        </w:tc>
        <w:tc>
          <w:tcPr>
            <w:tcW w:w="1217" w:type="pct"/>
          </w:tcPr>
          <w:p w14:paraId="5FAD43EA" w14:textId="77777777" w:rsidR="00FC5FE5" w:rsidRPr="00EA2DC6" w:rsidRDefault="00FC5FE5" w:rsidP="00E4655B">
            <w:pPr>
              <w:spacing w:before="40" w:after="40"/>
              <w:rPr>
                <w:sz w:val="16"/>
              </w:rPr>
            </w:pPr>
          </w:p>
        </w:tc>
      </w:tr>
      <w:tr w:rsidR="00FC5FE5" w:rsidRPr="00EA2DC6" w14:paraId="5E57967F" w14:textId="1513533C" w:rsidTr="008C06C0">
        <w:tc>
          <w:tcPr>
            <w:tcW w:w="650" w:type="pct"/>
          </w:tcPr>
          <w:p w14:paraId="1D104805" w14:textId="4BE6622D" w:rsidR="00FC5FE5" w:rsidRPr="00EA2DC6" w:rsidRDefault="00FC5FE5" w:rsidP="00E4655B">
            <w:pPr>
              <w:spacing w:before="40" w:after="40"/>
              <w:rPr>
                <w:sz w:val="16"/>
              </w:rPr>
            </w:pPr>
            <w:r>
              <w:rPr>
                <w:sz w:val="16"/>
              </w:rPr>
              <w:t>Objective 2</w:t>
            </w:r>
          </w:p>
        </w:tc>
        <w:tc>
          <w:tcPr>
            <w:tcW w:w="919" w:type="pct"/>
          </w:tcPr>
          <w:p w14:paraId="14A7A509" w14:textId="77777777" w:rsidR="00FC5FE5" w:rsidRPr="00EA2DC6" w:rsidRDefault="00FC5FE5" w:rsidP="00E4655B">
            <w:pPr>
              <w:spacing w:before="40" w:after="40"/>
              <w:rPr>
                <w:sz w:val="16"/>
              </w:rPr>
            </w:pPr>
          </w:p>
        </w:tc>
        <w:tc>
          <w:tcPr>
            <w:tcW w:w="997" w:type="pct"/>
          </w:tcPr>
          <w:p w14:paraId="7E730D1A" w14:textId="77777777" w:rsidR="00FC5FE5" w:rsidRPr="00EA2DC6" w:rsidRDefault="00FC5FE5" w:rsidP="00E4655B">
            <w:pPr>
              <w:spacing w:before="40" w:after="40"/>
              <w:rPr>
                <w:sz w:val="16"/>
              </w:rPr>
            </w:pPr>
          </w:p>
        </w:tc>
        <w:tc>
          <w:tcPr>
            <w:tcW w:w="1218" w:type="pct"/>
          </w:tcPr>
          <w:p w14:paraId="1ECA9F8D" w14:textId="77777777" w:rsidR="00FC5FE5" w:rsidRPr="00EA2DC6" w:rsidRDefault="00FC5FE5" w:rsidP="00E4655B">
            <w:pPr>
              <w:spacing w:before="40" w:after="40"/>
              <w:rPr>
                <w:sz w:val="16"/>
              </w:rPr>
            </w:pPr>
          </w:p>
        </w:tc>
        <w:tc>
          <w:tcPr>
            <w:tcW w:w="1217" w:type="pct"/>
          </w:tcPr>
          <w:p w14:paraId="216CD581" w14:textId="77777777" w:rsidR="00FC5FE5" w:rsidRPr="00EA2DC6" w:rsidRDefault="00FC5FE5" w:rsidP="00E4655B">
            <w:pPr>
              <w:spacing w:before="40" w:after="40"/>
              <w:rPr>
                <w:sz w:val="16"/>
              </w:rPr>
            </w:pPr>
          </w:p>
        </w:tc>
      </w:tr>
      <w:tr w:rsidR="00FC5FE5" w:rsidRPr="00EA2DC6" w14:paraId="1020AB38" w14:textId="67476BE2" w:rsidTr="008C06C0">
        <w:tc>
          <w:tcPr>
            <w:tcW w:w="650" w:type="pct"/>
          </w:tcPr>
          <w:p w14:paraId="613581C4" w14:textId="2428DDA5" w:rsidR="00FC5FE5" w:rsidRPr="00EA2DC6" w:rsidRDefault="00FC5FE5" w:rsidP="00E4655B">
            <w:pPr>
              <w:spacing w:before="40" w:after="40"/>
              <w:rPr>
                <w:sz w:val="16"/>
              </w:rPr>
            </w:pPr>
            <w:r>
              <w:rPr>
                <w:sz w:val="16"/>
              </w:rPr>
              <w:t>Objective 3</w:t>
            </w:r>
          </w:p>
        </w:tc>
        <w:tc>
          <w:tcPr>
            <w:tcW w:w="919" w:type="pct"/>
          </w:tcPr>
          <w:p w14:paraId="5CC0312A" w14:textId="77777777" w:rsidR="00FC5FE5" w:rsidRPr="00EA2DC6" w:rsidRDefault="00FC5FE5" w:rsidP="00E4655B">
            <w:pPr>
              <w:spacing w:before="40" w:after="40"/>
              <w:rPr>
                <w:sz w:val="16"/>
              </w:rPr>
            </w:pPr>
          </w:p>
        </w:tc>
        <w:tc>
          <w:tcPr>
            <w:tcW w:w="997" w:type="pct"/>
          </w:tcPr>
          <w:p w14:paraId="542B06DA" w14:textId="77777777" w:rsidR="00FC5FE5" w:rsidRPr="00EA2DC6" w:rsidRDefault="00FC5FE5" w:rsidP="00E4655B">
            <w:pPr>
              <w:spacing w:before="40" w:after="40"/>
              <w:rPr>
                <w:sz w:val="16"/>
              </w:rPr>
            </w:pPr>
          </w:p>
        </w:tc>
        <w:tc>
          <w:tcPr>
            <w:tcW w:w="1218" w:type="pct"/>
          </w:tcPr>
          <w:p w14:paraId="11B2B6EF" w14:textId="77777777" w:rsidR="00FC5FE5" w:rsidRPr="00EA2DC6" w:rsidRDefault="00FC5FE5" w:rsidP="00E4655B">
            <w:pPr>
              <w:spacing w:before="40" w:after="40"/>
              <w:rPr>
                <w:sz w:val="16"/>
              </w:rPr>
            </w:pPr>
          </w:p>
        </w:tc>
        <w:tc>
          <w:tcPr>
            <w:tcW w:w="1217" w:type="pct"/>
          </w:tcPr>
          <w:p w14:paraId="3A02BBE2" w14:textId="77777777" w:rsidR="00FC5FE5" w:rsidRPr="00EA2DC6" w:rsidRDefault="00FC5FE5" w:rsidP="00E4655B">
            <w:pPr>
              <w:spacing w:before="40" w:after="40"/>
              <w:rPr>
                <w:sz w:val="16"/>
              </w:rPr>
            </w:pPr>
          </w:p>
        </w:tc>
      </w:tr>
      <w:tr w:rsidR="00FC5FE5" w:rsidRPr="00EA2DC6" w14:paraId="47A4BC07" w14:textId="15EE8D78" w:rsidTr="008C06C0">
        <w:tc>
          <w:tcPr>
            <w:tcW w:w="650" w:type="pct"/>
          </w:tcPr>
          <w:p w14:paraId="50554641" w14:textId="70183660" w:rsidR="00FC5FE5" w:rsidRPr="00EA2DC6" w:rsidRDefault="00FC5FE5" w:rsidP="00E4655B">
            <w:pPr>
              <w:spacing w:before="40" w:after="40"/>
              <w:rPr>
                <w:sz w:val="16"/>
              </w:rPr>
            </w:pPr>
            <w:r>
              <w:rPr>
                <w:sz w:val="16"/>
              </w:rPr>
              <w:t>Objective 4</w:t>
            </w:r>
          </w:p>
        </w:tc>
        <w:tc>
          <w:tcPr>
            <w:tcW w:w="919" w:type="pct"/>
          </w:tcPr>
          <w:p w14:paraId="72750D51" w14:textId="77777777" w:rsidR="00FC5FE5" w:rsidRPr="00EA2DC6" w:rsidRDefault="00FC5FE5" w:rsidP="00E4655B">
            <w:pPr>
              <w:spacing w:before="40" w:after="40"/>
              <w:rPr>
                <w:sz w:val="16"/>
              </w:rPr>
            </w:pPr>
          </w:p>
        </w:tc>
        <w:tc>
          <w:tcPr>
            <w:tcW w:w="997" w:type="pct"/>
          </w:tcPr>
          <w:p w14:paraId="0F8CD73D" w14:textId="77777777" w:rsidR="00FC5FE5" w:rsidRPr="00EA2DC6" w:rsidRDefault="00FC5FE5" w:rsidP="00E4655B">
            <w:pPr>
              <w:spacing w:before="40" w:after="40"/>
              <w:rPr>
                <w:sz w:val="16"/>
              </w:rPr>
            </w:pPr>
          </w:p>
        </w:tc>
        <w:tc>
          <w:tcPr>
            <w:tcW w:w="1218" w:type="pct"/>
          </w:tcPr>
          <w:p w14:paraId="2929E78C" w14:textId="77777777" w:rsidR="00FC5FE5" w:rsidRPr="00EA2DC6" w:rsidRDefault="00FC5FE5" w:rsidP="00E4655B">
            <w:pPr>
              <w:spacing w:before="40" w:after="40"/>
              <w:rPr>
                <w:sz w:val="16"/>
              </w:rPr>
            </w:pPr>
          </w:p>
        </w:tc>
        <w:tc>
          <w:tcPr>
            <w:tcW w:w="1217" w:type="pct"/>
          </w:tcPr>
          <w:p w14:paraId="7BB5E931" w14:textId="77777777" w:rsidR="00FC5FE5" w:rsidRPr="00EA2DC6" w:rsidRDefault="00FC5FE5" w:rsidP="00E4655B">
            <w:pPr>
              <w:spacing w:before="40" w:after="40"/>
              <w:rPr>
                <w:sz w:val="16"/>
              </w:rPr>
            </w:pPr>
          </w:p>
        </w:tc>
      </w:tr>
      <w:tr w:rsidR="00FC5FE5" w:rsidRPr="00EA2DC6" w14:paraId="1298E279" w14:textId="0CBFEA46" w:rsidTr="008C06C0">
        <w:tc>
          <w:tcPr>
            <w:tcW w:w="650" w:type="pct"/>
          </w:tcPr>
          <w:p w14:paraId="220D4D3A" w14:textId="615B866A" w:rsidR="00FC5FE5" w:rsidRDefault="00FC5FE5" w:rsidP="00E4655B">
            <w:pPr>
              <w:spacing w:before="40" w:after="40"/>
              <w:rPr>
                <w:sz w:val="16"/>
              </w:rPr>
            </w:pPr>
            <w:r>
              <w:rPr>
                <w:sz w:val="16"/>
              </w:rPr>
              <w:t>Total score</w:t>
            </w:r>
          </w:p>
        </w:tc>
        <w:tc>
          <w:tcPr>
            <w:tcW w:w="919" w:type="pct"/>
          </w:tcPr>
          <w:p w14:paraId="73587C44" w14:textId="77777777" w:rsidR="00FC5FE5" w:rsidRPr="00EA2DC6" w:rsidRDefault="00FC5FE5" w:rsidP="00E4655B">
            <w:pPr>
              <w:spacing w:before="40" w:after="40"/>
              <w:rPr>
                <w:sz w:val="16"/>
              </w:rPr>
            </w:pPr>
          </w:p>
        </w:tc>
        <w:tc>
          <w:tcPr>
            <w:tcW w:w="997" w:type="pct"/>
          </w:tcPr>
          <w:p w14:paraId="24A42082" w14:textId="77777777" w:rsidR="00FC5FE5" w:rsidRPr="00EA2DC6" w:rsidRDefault="00FC5FE5" w:rsidP="00E4655B">
            <w:pPr>
              <w:spacing w:before="40" w:after="40"/>
              <w:rPr>
                <w:sz w:val="16"/>
              </w:rPr>
            </w:pPr>
          </w:p>
        </w:tc>
        <w:tc>
          <w:tcPr>
            <w:tcW w:w="1218" w:type="pct"/>
          </w:tcPr>
          <w:p w14:paraId="477FF2F8" w14:textId="77777777" w:rsidR="00FC5FE5" w:rsidRPr="00EA2DC6" w:rsidRDefault="00FC5FE5" w:rsidP="00E4655B">
            <w:pPr>
              <w:spacing w:before="40" w:after="40"/>
              <w:rPr>
                <w:sz w:val="16"/>
              </w:rPr>
            </w:pPr>
          </w:p>
        </w:tc>
        <w:tc>
          <w:tcPr>
            <w:tcW w:w="1217" w:type="pct"/>
          </w:tcPr>
          <w:p w14:paraId="398B4171" w14:textId="77777777" w:rsidR="00FC5FE5" w:rsidRPr="00EA2DC6" w:rsidRDefault="00FC5FE5" w:rsidP="00E4655B">
            <w:pPr>
              <w:spacing w:before="40" w:after="40"/>
              <w:rPr>
                <w:sz w:val="16"/>
              </w:rPr>
            </w:pPr>
          </w:p>
        </w:tc>
      </w:tr>
    </w:tbl>
    <w:p w14:paraId="15CE2E0A" w14:textId="77777777" w:rsidR="00FC5FE5" w:rsidRDefault="00FC5FE5" w:rsidP="00FC5FE5">
      <w:pPr>
        <w:pStyle w:val="Para0"/>
      </w:pPr>
    </w:p>
    <w:p w14:paraId="596B16B3" w14:textId="2A2FFCA8" w:rsidR="00D17632" w:rsidRDefault="00D17632" w:rsidP="00D17632">
      <w:pPr>
        <w:pStyle w:val="Para0"/>
        <w:rPr>
          <w:b/>
        </w:rPr>
      </w:pPr>
      <w:r w:rsidRPr="00727B6E">
        <w:rPr>
          <w:b/>
        </w:rPr>
        <w:t xml:space="preserve">Step </w:t>
      </w:r>
      <w:r>
        <w:rPr>
          <w:b/>
        </w:rPr>
        <w:t>3</w:t>
      </w:r>
      <w:r w:rsidRPr="00727B6E">
        <w:rPr>
          <w:b/>
        </w:rPr>
        <w:t xml:space="preserve">: </w:t>
      </w:r>
      <w:r>
        <w:rPr>
          <w:b/>
        </w:rPr>
        <w:t>Discussion and Selection of Priority Option/s</w:t>
      </w:r>
    </w:p>
    <w:p w14:paraId="53338E62" w14:textId="1841F938" w:rsidR="00FC5FE5" w:rsidRPr="008C06C0" w:rsidRDefault="00D17632" w:rsidP="008C06C0">
      <w:pPr>
        <w:autoSpaceDE w:val="0"/>
        <w:autoSpaceDN w:val="0"/>
        <w:adjustRightInd w:val="0"/>
        <w:spacing w:after="0" w:line="240" w:lineRule="auto"/>
      </w:pPr>
      <w:r w:rsidRPr="00C87406">
        <w:t>The tables populated in steps 1 and 2 are intended to provide a basis for discussion and ag</w:t>
      </w:r>
      <w:r w:rsidRPr="005C2C5A">
        <w:t xml:space="preserve">reement of the priority options. Key stakeholders should be included in this discussion. </w:t>
      </w:r>
    </w:p>
    <w:p w14:paraId="3AA06637" w14:textId="314DC72A" w:rsidR="00EA2DC6" w:rsidRPr="00EA2DC6" w:rsidRDefault="00B36126" w:rsidP="004B72AF">
      <w:pPr>
        <w:pStyle w:val="Heading9"/>
        <w:numPr>
          <w:ilvl w:val="0"/>
          <w:numId w:val="8"/>
        </w:numPr>
        <w:spacing w:after="0" w:line="240" w:lineRule="auto"/>
        <w:ind w:left="1985" w:hanging="1985"/>
        <w:rPr>
          <w:color w:val="65876D" w:themeColor="accent4" w:themeShade="BF"/>
        </w:rPr>
      </w:pPr>
      <w:bookmarkStart w:id="375" w:name="_Ref506813601"/>
      <w:bookmarkStart w:id="376" w:name="_Toc510785226"/>
      <w:bookmarkEnd w:id="372"/>
      <w:bookmarkEnd w:id="373"/>
      <w:bookmarkEnd w:id="374"/>
      <w:r>
        <w:rPr>
          <w:color w:val="65876D" w:themeColor="accent4" w:themeShade="BF"/>
        </w:rPr>
        <w:t>Multi Criteria Assessment</w:t>
      </w:r>
      <w:bookmarkEnd w:id="375"/>
      <w:bookmarkEnd w:id="376"/>
    </w:p>
    <w:p w14:paraId="45516B42" w14:textId="1FD7E0DA" w:rsidR="00EA2DC6" w:rsidRPr="00EA2DC6" w:rsidRDefault="00EA2DC6" w:rsidP="00EA2DC6">
      <w:pPr>
        <w:spacing w:before="240" w:after="120"/>
      </w:pPr>
      <w:r w:rsidRPr="00EA2DC6">
        <w:t xml:space="preserve">MCA is a decision supporting tool that is commonly used to assess a list of sites and options, through a robust and transparent process that compares potential options against an agreed set of weighted criteria. The process allows for additional review of the outcomes of the assessment, if required, as the knowledge base for a </w:t>
      </w:r>
      <w:r w:rsidR="005C4005" w:rsidRPr="00EA2DC6">
        <w:t>site</w:t>
      </w:r>
      <w:r w:rsidRPr="00EA2DC6">
        <w:t xml:space="preserve"> is expanded.</w:t>
      </w:r>
    </w:p>
    <w:p w14:paraId="31D99366" w14:textId="77777777" w:rsidR="00B36126" w:rsidRPr="000F678F" w:rsidRDefault="00B36126" w:rsidP="00B36126">
      <w:pPr>
        <w:pStyle w:val="Para0"/>
      </w:pPr>
      <w:r w:rsidRPr="000F678F">
        <w:t>In the context of prioritising sites and selecting suitable management options, the benefits of using an MCA style approach are:</w:t>
      </w:r>
    </w:p>
    <w:p w14:paraId="02F88F71" w14:textId="77777777" w:rsidR="00B36126" w:rsidRPr="000F678F" w:rsidRDefault="00B36126" w:rsidP="00F22225">
      <w:pPr>
        <w:pStyle w:val="Para1bullet"/>
        <w:numPr>
          <w:ilvl w:val="0"/>
          <w:numId w:val="42"/>
        </w:numPr>
        <w:tabs>
          <w:tab w:val="clear" w:pos="851"/>
        </w:tabs>
        <w:spacing w:after="0"/>
      </w:pPr>
      <w:r w:rsidRPr="000F678F">
        <w:t>Multiple criteria can be included in the assessment, including criteria that are specific to the sites and/or available management options.</w:t>
      </w:r>
    </w:p>
    <w:p w14:paraId="14A39E4C" w14:textId="77777777" w:rsidR="00B36126" w:rsidRPr="000F678F" w:rsidRDefault="00B36126" w:rsidP="00F22225">
      <w:pPr>
        <w:pStyle w:val="Para1bullet"/>
        <w:numPr>
          <w:ilvl w:val="0"/>
          <w:numId w:val="42"/>
        </w:numPr>
        <w:tabs>
          <w:tab w:val="clear" w:pos="851"/>
        </w:tabs>
        <w:spacing w:after="0"/>
      </w:pPr>
      <w:r w:rsidRPr="000F678F">
        <w:t xml:space="preserve">The analysis uses qualitative measure and so can be completed based on preliminary desktop assessment and information within the constraints of limited data and uncertainty. More detailed technical studies are likely to be required at a later stage. </w:t>
      </w:r>
    </w:p>
    <w:p w14:paraId="63FC7E96" w14:textId="77777777" w:rsidR="00B36126" w:rsidRPr="000F678F" w:rsidRDefault="00B36126" w:rsidP="00F22225">
      <w:pPr>
        <w:pStyle w:val="Para1bullet"/>
        <w:numPr>
          <w:ilvl w:val="0"/>
          <w:numId w:val="42"/>
        </w:numPr>
        <w:tabs>
          <w:tab w:val="clear" w:pos="851"/>
        </w:tabs>
        <w:spacing w:after="0"/>
      </w:pPr>
      <w:r w:rsidRPr="000F678F">
        <w:t>Assessment outcomes can be generated relatively quickly, and sites and options compared on both total scores and on individual criteria.</w:t>
      </w:r>
    </w:p>
    <w:p w14:paraId="68911B14" w14:textId="77777777" w:rsidR="00B36126" w:rsidRPr="000F678F" w:rsidRDefault="00B36126" w:rsidP="00F22225">
      <w:pPr>
        <w:pStyle w:val="Para1bullet"/>
        <w:numPr>
          <w:ilvl w:val="0"/>
          <w:numId w:val="42"/>
        </w:numPr>
        <w:tabs>
          <w:tab w:val="clear" w:pos="851"/>
        </w:tabs>
        <w:spacing w:after="0"/>
      </w:pPr>
      <w:r w:rsidRPr="000F678F">
        <w:t>Criteria and weightings used for the assessment are selected and refined by practitioners or a reference group of project leaders or specialists. They are not bound by a prescriptive method.</w:t>
      </w:r>
    </w:p>
    <w:p w14:paraId="21C8BF42" w14:textId="2B63B70E" w:rsidR="00B36126" w:rsidRDefault="00B36126" w:rsidP="00F22225">
      <w:pPr>
        <w:pStyle w:val="Para1bullet"/>
        <w:numPr>
          <w:ilvl w:val="0"/>
          <w:numId w:val="42"/>
        </w:numPr>
        <w:tabs>
          <w:tab w:val="clear" w:pos="851"/>
        </w:tabs>
        <w:spacing w:after="240"/>
      </w:pPr>
      <w:r w:rsidRPr="000F678F">
        <w:t xml:space="preserve">Sensitivity analyses of the outcomes can be completed quickly through varying criteria scores or weightings. This is particularly useful where there is uncertainty around condition assessment, site stressors and or the likely response to different management options (refer to </w:t>
      </w:r>
      <w:r w:rsidR="005A4E06">
        <w:t>chapter</w:t>
      </w:r>
      <w:r w:rsidRPr="000F678F">
        <w:t> 3.5).</w:t>
      </w:r>
    </w:p>
    <w:p w14:paraId="2D5E1D85" w14:textId="77777777" w:rsidR="00B36126" w:rsidRPr="000F678F" w:rsidRDefault="00B36126" w:rsidP="00B36126">
      <w:pPr>
        <w:pStyle w:val="Para1bullet"/>
      </w:pPr>
      <w:r w:rsidRPr="000F678F">
        <w:t xml:space="preserve">A potential limitation of using an MCA approach is that unreasonably large financial costs or other “pass/fail” criteria can be hidden since the score for each criterion may only make a small contribution to the overall ranking. For this reason, when using an MCA approach a sensitivity analysis should be undertaken by varying the weightings of the different criteria to test the influence of any one criteria (including the estimated cost of a management option) on the assessment outcome. </w:t>
      </w:r>
    </w:p>
    <w:p w14:paraId="0E9F494B" w14:textId="77777777" w:rsidR="00B36126" w:rsidRPr="000F678F" w:rsidRDefault="00B36126" w:rsidP="00B36126">
      <w:pPr>
        <w:pStyle w:val="Para0"/>
        <w:shd w:val="clear" w:color="auto" w:fill="FFFFFF" w:themeFill="background1"/>
      </w:pPr>
      <w:r w:rsidRPr="000F678F">
        <w:t xml:space="preserve">The MCA </w:t>
      </w:r>
      <w:r>
        <w:t>described</w:t>
      </w:r>
      <w:r w:rsidRPr="000F678F">
        <w:t xml:space="preserve"> within this Framework includes six broad assessment categories including:</w:t>
      </w:r>
    </w:p>
    <w:p w14:paraId="0FCB6AC9" w14:textId="77777777" w:rsidR="00B36126" w:rsidRPr="000F678F" w:rsidRDefault="00B36126" w:rsidP="00F22225">
      <w:pPr>
        <w:pStyle w:val="Para1bullet"/>
        <w:numPr>
          <w:ilvl w:val="0"/>
          <w:numId w:val="83"/>
        </w:numPr>
        <w:spacing w:after="0"/>
      </w:pPr>
      <w:r w:rsidRPr="000F678F">
        <w:t>environmental</w:t>
      </w:r>
    </w:p>
    <w:p w14:paraId="09CC5EC4" w14:textId="77777777" w:rsidR="00B36126" w:rsidRPr="000F678F" w:rsidRDefault="00B36126" w:rsidP="00F22225">
      <w:pPr>
        <w:pStyle w:val="Para1bullet"/>
        <w:numPr>
          <w:ilvl w:val="0"/>
          <w:numId w:val="83"/>
        </w:numPr>
        <w:spacing w:after="0"/>
        <w:ind w:left="850" w:hanging="357"/>
      </w:pPr>
      <w:r w:rsidRPr="000F678F">
        <w:t xml:space="preserve">economic </w:t>
      </w:r>
    </w:p>
    <w:p w14:paraId="005C2C18" w14:textId="77777777" w:rsidR="00B36126" w:rsidRPr="000F678F" w:rsidRDefault="00B36126" w:rsidP="00F22225">
      <w:pPr>
        <w:pStyle w:val="Para1bullet"/>
        <w:numPr>
          <w:ilvl w:val="0"/>
          <w:numId w:val="83"/>
        </w:numPr>
        <w:spacing w:after="0"/>
        <w:ind w:left="850" w:hanging="357"/>
      </w:pPr>
      <w:r w:rsidRPr="000F678F">
        <w:t>social</w:t>
      </w:r>
    </w:p>
    <w:p w14:paraId="6B14529B" w14:textId="77777777" w:rsidR="00B36126" w:rsidRPr="000F678F" w:rsidRDefault="00B36126" w:rsidP="00F22225">
      <w:pPr>
        <w:pStyle w:val="Para1bullet"/>
        <w:numPr>
          <w:ilvl w:val="0"/>
          <w:numId w:val="83"/>
        </w:numPr>
        <w:spacing w:after="0"/>
        <w:ind w:left="850" w:hanging="357"/>
      </w:pPr>
      <w:r w:rsidRPr="000F678F">
        <w:t>cultural</w:t>
      </w:r>
    </w:p>
    <w:p w14:paraId="4E4D5383" w14:textId="77777777" w:rsidR="00B36126" w:rsidRDefault="00B36126" w:rsidP="00F22225">
      <w:pPr>
        <w:pStyle w:val="Para1bullet"/>
        <w:numPr>
          <w:ilvl w:val="0"/>
          <w:numId w:val="83"/>
        </w:numPr>
        <w:spacing w:after="0"/>
      </w:pPr>
      <w:r>
        <w:t>political</w:t>
      </w:r>
    </w:p>
    <w:p w14:paraId="06452B69" w14:textId="7B6FC18D" w:rsidR="00B36126" w:rsidRDefault="00B36126" w:rsidP="00F22225">
      <w:pPr>
        <w:pStyle w:val="Para1bullet"/>
        <w:numPr>
          <w:ilvl w:val="0"/>
          <w:numId w:val="83"/>
        </w:numPr>
        <w:spacing w:after="0"/>
      </w:pPr>
      <w:r w:rsidRPr="000F678F">
        <w:t>implementation</w:t>
      </w:r>
    </w:p>
    <w:p w14:paraId="57001CEB" w14:textId="1DEE480C" w:rsidR="00B36126" w:rsidRDefault="00B36126" w:rsidP="008C06C0">
      <w:pPr>
        <w:pStyle w:val="Para1bullet"/>
        <w:spacing w:after="0"/>
      </w:pPr>
    </w:p>
    <w:p w14:paraId="594EBD1D" w14:textId="65DC281E" w:rsidR="00B36126" w:rsidRDefault="00B36126" w:rsidP="008C06C0">
      <w:pPr>
        <w:pStyle w:val="Para1bullet"/>
        <w:spacing w:after="0"/>
      </w:pPr>
    </w:p>
    <w:p w14:paraId="49FBF8F0" w14:textId="2B724F5B" w:rsidR="00B36126" w:rsidRPr="008C06C0" w:rsidRDefault="00B36126" w:rsidP="008C06C0">
      <w:pPr>
        <w:pStyle w:val="Para1bullet"/>
        <w:spacing w:after="0"/>
      </w:pPr>
      <w:r>
        <w:t xml:space="preserve">The following </w:t>
      </w:r>
      <w:r w:rsidR="005A4E06">
        <w:t>chapters</w:t>
      </w:r>
      <w:r>
        <w:t xml:space="preserve"> describe steps in a generic MCA process.</w:t>
      </w:r>
    </w:p>
    <w:p w14:paraId="61D94830" w14:textId="089F1534" w:rsidR="00781A70" w:rsidRPr="008C06C0" w:rsidRDefault="00781A70" w:rsidP="008C06C0">
      <w:pPr>
        <w:pStyle w:val="Para1bullet"/>
        <w:spacing w:after="0"/>
        <w:rPr>
          <w:color w:val="65876D" w:themeColor="accent4" w:themeShade="BF"/>
          <w:sz w:val="28"/>
          <w:szCs w:val="28"/>
        </w:rPr>
      </w:pPr>
    </w:p>
    <w:p w14:paraId="5F8C9792" w14:textId="09D23F76" w:rsidR="00EA2DC6" w:rsidRPr="004D3070" w:rsidRDefault="00EA2DC6" w:rsidP="008C06C0">
      <w:pPr>
        <w:pStyle w:val="Heading3noTOC"/>
        <w:rPr>
          <w:color w:val="65876D" w:themeColor="accent4" w:themeShade="BF"/>
          <w:sz w:val="28"/>
          <w:szCs w:val="28"/>
        </w:rPr>
      </w:pPr>
      <w:r w:rsidRPr="004D3070">
        <w:rPr>
          <w:color w:val="65876D" w:themeColor="accent4" w:themeShade="BF"/>
          <w:sz w:val="28"/>
          <w:szCs w:val="28"/>
          <w:lang w:eastAsia="en-US"/>
        </w:rPr>
        <w:t>Development of evaluation criteria</w:t>
      </w:r>
    </w:p>
    <w:p w14:paraId="2F9FA41E" w14:textId="001CE536" w:rsidR="00EA2DC6" w:rsidRPr="00EE61C2" w:rsidRDefault="00EA2DC6" w:rsidP="00EA2DC6">
      <w:pPr>
        <w:spacing w:before="240" w:after="120"/>
      </w:pPr>
      <w:r w:rsidRPr="00EA2DC6">
        <w:t xml:space="preserve">The first step in </w:t>
      </w:r>
      <w:r w:rsidR="005C4005" w:rsidRPr="00EA2DC6">
        <w:t>an</w:t>
      </w:r>
      <w:r w:rsidRPr="00EA2DC6">
        <w:t xml:space="preserve"> MCA, as a common example of a framework analysis tool, is to develop a set of decision criteria and then weight these according to their importance to the project. This forms the basis of the site or options comparison, and will be used in selection of a preferred site and option. It is suggested that the development of evaluation criteria be carried out early within the site selection and management options identification process, so that </w:t>
      </w:r>
      <w:r w:rsidRPr="00EE61C2">
        <w:t>identification and development of options for each site are carried out in accordance with how the options are likely to be evaluated and compared. Examples of suggested criteria for site assessment are provided in Appendix C, and for management options assessment in Appendix D, which can be taken by the framework practitioner and applied or adapted to the suit the project.</w:t>
      </w:r>
    </w:p>
    <w:p w14:paraId="1A67D1D7" w14:textId="1D1DA2A8" w:rsidR="00EA2DC6" w:rsidRPr="00EA2DC6" w:rsidRDefault="00EA2DC6" w:rsidP="00EA2DC6">
      <w:pPr>
        <w:spacing w:before="240" w:after="120"/>
      </w:pPr>
      <w:r w:rsidRPr="00EA2DC6">
        <w:t xml:space="preserve">There are </w:t>
      </w:r>
      <w:r w:rsidR="005C4005" w:rsidRPr="00EA2DC6">
        <w:t>several</w:t>
      </w:r>
      <w:r w:rsidRPr="00EA2DC6">
        <w:t xml:space="preserve"> critical elements required to ensure the MCA process provides a robust outcome, i.e. transparency and consistency in application. The key attributes of effective </w:t>
      </w:r>
      <w:r w:rsidR="005C4005" w:rsidRPr="00EA2DC6">
        <w:t>decision-making</w:t>
      </w:r>
      <w:r w:rsidRPr="00EA2DC6">
        <w:t xml:space="preserve"> evaluation criteria include:</w:t>
      </w:r>
    </w:p>
    <w:p w14:paraId="1BE9EEC3" w14:textId="77777777" w:rsidR="00EA2DC6" w:rsidRPr="00EA2DC6" w:rsidRDefault="00EA2DC6" w:rsidP="008C06C0">
      <w:pPr>
        <w:pStyle w:val="Para0bullet"/>
        <w:ind w:left="709"/>
      </w:pPr>
      <w:r w:rsidRPr="00EA2DC6">
        <w:t>Criteria with clear definitions</w:t>
      </w:r>
    </w:p>
    <w:p w14:paraId="78797784" w14:textId="77777777" w:rsidR="00EA2DC6" w:rsidRPr="00EA2DC6" w:rsidRDefault="00EA2DC6" w:rsidP="008C06C0">
      <w:pPr>
        <w:pStyle w:val="Para0bullet"/>
        <w:ind w:left="709"/>
      </w:pPr>
      <w:r w:rsidRPr="00EA2DC6">
        <w:t>Criteria that reflect the agreed project objectives and would realistically affect the decision of one or more stakeholders</w:t>
      </w:r>
    </w:p>
    <w:p w14:paraId="66EB0A7F" w14:textId="77777777" w:rsidR="00EA2DC6" w:rsidRPr="00EA2DC6" w:rsidRDefault="00EA2DC6" w:rsidP="008C06C0">
      <w:pPr>
        <w:pStyle w:val="Para0bullet"/>
        <w:ind w:left="709"/>
      </w:pPr>
      <w:r w:rsidRPr="00EA2DC6">
        <w:t xml:space="preserve">Criteria that are measurable (either directly or using surrogate indicators) </w:t>
      </w:r>
    </w:p>
    <w:p w14:paraId="61FE9A9A" w14:textId="77777777" w:rsidR="00EA2DC6" w:rsidRPr="00EA2DC6" w:rsidRDefault="00EA2DC6" w:rsidP="008C06C0">
      <w:pPr>
        <w:pStyle w:val="Para0bullet"/>
        <w:ind w:left="709"/>
      </w:pPr>
      <w:r w:rsidRPr="00EA2DC6">
        <w:t>Criteria that are mutually independent (minimising overlap)</w:t>
      </w:r>
    </w:p>
    <w:p w14:paraId="7F7DF86F" w14:textId="77777777" w:rsidR="00EA2DC6" w:rsidRPr="00EA2DC6" w:rsidRDefault="00EA2DC6" w:rsidP="008C06C0">
      <w:pPr>
        <w:pStyle w:val="Para0bullet"/>
        <w:ind w:left="709"/>
      </w:pPr>
      <w:r w:rsidRPr="00EA2DC6">
        <w:t>Criteria for which data / information are available and which are independent of each other (i.e. there is no “doubling counting” within criteria)</w:t>
      </w:r>
    </w:p>
    <w:p w14:paraId="1EB0A925" w14:textId="77777777" w:rsidR="00EA2DC6" w:rsidRPr="00EA2DC6" w:rsidRDefault="00EA2DC6" w:rsidP="008C06C0">
      <w:pPr>
        <w:pStyle w:val="Para0bullet"/>
        <w:ind w:left="709"/>
      </w:pPr>
      <w:r w:rsidRPr="00EA2DC6">
        <w:t>A refined list of criteria which adequately differentiate the options</w:t>
      </w:r>
    </w:p>
    <w:p w14:paraId="7A55BCCA" w14:textId="77777777" w:rsidR="00EA2DC6" w:rsidRPr="00EA2DC6" w:rsidRDefault="00EA2DC6" w:rsidP="00EA2DC6">
      <w:pPr>
        <w:spacing w:before="240" w:after="120"/>
      </w:pPr>
      <w:r w:rsidRPr="00EA2DC6">
        <w:t>The following table provides a suggested criteria checklist that could be applied when adopting, adapting or developing these for a project:</w:t>
      </w:r>
    </w:p>
    <w:tbl>
      <w:tblPr>
        <w:tblStyle w:val="TableGrid"/>
        <w:tblW w:w="4918" w:type="pct"/>
        <w:tblInd w:w="8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668"/>
        <w:gridCol w:w="8076"/>
      </w:tblGrid>
      <w:tr w:rsidR="00EA2DC6" w:rsidRPr="00EA2DC6" w14:paraId="0797CA41" w14:textId="77777777" w:rsidTr="00C70D7A">
        <w:trPr>
          <w:tblHeader/>
        </w:trPr>
        <w:tc>
          <w:tcPr>
            <w:tcW w:w="856" w:type="pct"/>
            <w:tcBorders>
              <w:left w:val="single" w:sz="4" w:space="0" w:color="FFFFFF" w:themeColor="background1"/>
              <w:right w:val="single" w:sz="4" w:space="0" w:color="FFFFFF" w:themeColor="background1"/>
            </w:tcBorders>
            <w:shd w:val="clear" w:color="auto" w:fill="65876D" w:themeFill="accent4" w:themeFillShade="BF"/>
          </w:tcPr>
          <w:p w14:paraId="4638951B" w14:textId="77777777" w:rsidR="00EA2DC6" w:rsidRPr="00EA2DC6" w:rsidRDefault="00EA2DC6" w:rsidP="00EA2DC6">
            <w:pPr>
              <w:keepNext/>
              <w:spacing w:before="100" w:after="100"/>
              <w:rPr>
                <w:rFonts w:ascii="Arial Black" w:hAnsi="Arial Black"/>
                <w:color w:val="FFFFFF" w:themeColor="background1"/>
                <w:sz w:val="16"/>
              </w:rPr>
            </w:pPr>
            <w:r w:rsidRPr="00EA2DC6">
              <w:rPr>
                <w:rFonts w:ascii="Arial Black" w:hAnsi="Arial Black"/>
                <w:color w:val="FFFFFF" w:themeColor="background1"/>
                <w:sz w:val="16"/>
              </w:rPr>
              <w:t>Requirements for criteria</w:t>
            </w:r>
          </w:p>
        </w:tc>
        <w:tc>
          <w:tcPr>
            <w:tcW w:w="4144" w:type="pct"/>
            <w:tcBorders>
              <w:left w:val="single" w:sz="4" w:space="0" w:color="FFFFFF" w:themeColor="background1"/>
              <w:right w:val="single" w:sz="4" w:space="0" w:color="FFFFFF" w:themeColor="background1"/>
            </w:tcBorders>
            <w:shd w:val="clear" w:color="auto" w:fill="65876D" w:themeFill="accent4" w:themeFillShade="BF"/>
          </w:tcPr>
          <w:p w14:paraId="03BD133D" w14:textId="77777777" w:rsidR="00EA2DC6" w:rsidRPr="00EA2DC6" w:rsidRDefault="00EA2DC6" w:rsidP="00EA2DC6">
            <w:pPr>
              <w:keepNext/>
              <w:spacing w:before="100" w:after="100"/>
              <w:rPr>
                <w:rFonts w:ascii="Arial Black" w:hAnsi="Arial Black"/>
                <w:color w:val="FFFFFF" w:themeColor="background1"/>
                <w:sz w:val="16"/>
              </w:rPr>
            </w:pPr>
            <w:r w:rsidRPr="00EA2DC6">
              <w:rPr>
                <w:rFonts w:ascii="Arial Black" w:hAnsi="Arial Black"/>
                <w:color w:val="FFFFFF" w:themeColor="background1"/>
                <w:sz w:val="16"/>
              </w:rPr>
              <w:t>Description / examples</w:t>
            </w:r>
          </w:p>
        </w:tc>
      </w:tr>
      <w:tr w:rsidR="00EA2DC6" w:rsidRPr="00EA2DC6" w14:paraId="4CA0DC36" w14:textId="77777777" w:rsidTr="00C70D7A">
        <w:tc>
          <w:tcPr>
            <w:tcW w:w="856" w:type="pct"/>
          </w:tcPr>
          <w:p w14:paraId="6536D0D7" w14:textId="77777777" w:rsidR="00EA2DC6" w:rsidRPr="00EA2DC6" w:rsidRDefault="00EA2DC6" w:rsidP="00EA2DC6">
            <w:pPr>
              <w:spacing w:before="40" w:after="40"/>
              <w:rPr>
                <w:sz w:val="16"/>
              </w:rPr>
            </w:pPr>
            <w:r w:rsidRPr="00EA2DC6">
              <w:rPr>
                <w:sz w:val="16"/>
              </w:rPr>
              <w:t>Comprehensive</w:t>
            </w:r>
          </w:p>
        </w:tc>
        <w:tc>
          <w:tcPr>
            <w:tcW w:w="4144" w:type="pct"/>
          </w:tcPr>
          <w:p w14:paraId="02F6AEE9" w14:textId="77777777" w:rsidR="00EA2DC6" w:rsidRPr="00EA2DC6" w:rsidRDefault="00EA2DC6" w:rsidP="00EA2DC6">
            <w:pPr>
              <w:spacing w:before="40" w:after="40"/>
              <w:rPr>
                <w:sz w:val="16"/>
              </w:rPr>
            </w:pPr>
            <w:r w:rsidRPr="00EA2DC6">
              <w:rPr>
                <w:sz w:val="16"/>
              </w:rPr>
              <w:t>Select criteria that cover all important areas of performance for a site and subsequent management options.</w:t>
            </w:r>
          </w:p>
        </w:tc>
      </w:tr>
      <w:tr w:rsidR="00EA2DC6" w:rsidRPr="00EA2DC6" w14:paraId="2C3AE667" w14:textId="77777777" w:rsidTr="00C70D7A">
        <w:tc>
          <w:tcPr>
            <w:tcW w:w="856" w:type="pct"/>
          </w:tcPr>
          <w:p w14:paraId="522CECF8" w14:textId="77777777" w:rsidR="00EA2DC6" w:rsidRPr="00EA2DC6" w:rsidRDefault="00EA2DC6" w:rsidP="00EA2DC6">
            <w:pPr>
              <w:spacing w:before="40" w:after="40"/>
              <w:rPr>
                <w:sz w:val="16"/>
              </w:rPr>
            </w:pPr>
            <w:r w:rsidRPr="00EA2DC6">
              <w:rPr>
                <w:sz w:val="16"/>
              </w:rPr>
              <w:t>Balanced</w:t>
            </w:r>
          </w:p>
        </w:tc>
        <w:tc>
          <w:tcPr>
            <w:tcW w:w="4144" w:type="pct"/>
          </w:tcPr>
          <w:p w14:paraId="208BBF69" w14:textId="347979A5" w:rsidR="00EA2DC6" w:rsidRPr="00EA2DC6" w:rsidRDefault="00EA2DC6" w:rsidP="00EA2DC6">
            <w:pPr>
              <w:spacing w:before="40" w:after="40"/>
              <w:rPr>
                <w:sz w:val="16"/>
              </w:rPr>
            </w:pPr>
            <w:r w:rsidRPr="00EA2DC6">
              <w:rPr>
                <w:sz w:val="16"/>
              </w:rPr>
              <w:t xml:space="preserve">Select criteria that do not emphasise one benefit at the expense of others, and that avoid double counting. For example, the possible risk of algal blooms and eutrophication are both measures of high nutrient loads (a potential risk of site watering). To use </w:t>
            </w:r>
            <w:r w:rsidR="005C4005" w:rsidRPr="00EA2DC6">
              <w:rPr>
                <w:sz w:val="16"/>
              </w:rPr>
              <w:t>both</w:t>
            </w:r>
            <w:r w:rsidRPr="00EA2DC6">
              <w:rPr>
                <w:sz w:val="16"/>
              </w:rPr>
              <w:t xml:space="preserve"> as criteria would lead to double counting.</w:t>
            </w:r>
          </w:p>
        </w:tc>
      </w:tr>
      <w:tr w:rsidR="00EA2DC6" w:rsidRPr="00EA2DC6" w14:paraId="1B9F463D" w14:textId="77777777" w:rsidTr="00C70D7A">
        <w:tc>
          <w:tcPr>
            <w:tcW w:w="856" w:type="pct"/>
          </w:tcPr>
          <w:p w14:paraId="6AA5CD4A" w14:textId="77777777" w:rsidR="00EA2DC6" w:rsidRPr="00EA2DC6" w:rsidRDefault="00EA2DC6" w:rsidP="00EA2DC6">
            <w:pPr>
              <w:spacing w:before="40" w:after="40"/>
              <w:rPr>
                <w:sz w:val="16"/>
              </w:rPr>
            </w:pPr>
            <w:r w:rsidRPr="00EA2DC6">
              <w:rPr>
                <w:sz w:val="16"/>
              </w:rPr>
              <w:t>Evenly applicable</w:t>
            </w:r>
          </w:p>
        </w:tc>
        <w:tc>
          <w:tcPr>
            <w:tcW w:w="4144" w:type="pct"/>
          </w:tcPr>
          <w:p w14:paraId="75C181D9" w14:textId="77777777" w:rsidR="00EA2DC6" w:rsidRPr="00EA2DC6" w:rsidRDefault="00EA2DC6" w:rsidP="00EA2DC6">
            <w:pPr>
              <w:spacing w:before="40" w:after="40"/>
              <w:rPr>
                <w:sz w:val="16"/>
              </w:rPr>
            </w:pPr>
            <w:r w:rsidRPr="00EA2DC6">
              <w:rPr>
                <w:sz w:val="16"/>
              </w:rPr>
              <w:t>Apply selected criteria in the same manner for all options under consideration.</w:t>
            </w:r>
          </w:p>
        </w:tc>
      </w:tr>
      <w:tr w:rsidR="00EA2DC6" w:rsidRPr="00EA2DC6" w14:paraId="56B3F28C" w14:textId="77777777" w:rsidTr="00C70D7A">
        <w:tc>
          <w:tcPr>
            <w:tcW w:w="856" w:type="pct"/>
          </w:tcPr>
          <w:p w14:paraId="485654EC" w14:textId="77777777" w:rsidR="00EA2DC6" w:rsidRPr="00EA2DC6" w:rsidRDefault="00EA2DC6" w:rsidP="00EA2DC6">
            <w:pPr>
              <w:spacing w:before="40" w:after="40"/>
              <w:rPr>
                <w:sz w:val="16"/>
              </w:rPr>
            </w:pPr>
            <w:r w:rsidRPr="00EA2DC6">
              <w:rPr>
                <w:sz w:val="16"/>
              </w:rPr>
              <w:t>Transparent</w:t>
            </w:r>
          </w:p>
        </w:tc>
        <w:tc>
          <w:tcPr>
            <w:tcW w:w="4144" w:type="pct"/>
          </w:tcPr>
          <w:p w14:paraId="3304B581" w14:textId="77777777" w:rsidR="00EA2DC6" w:rsidRPr="00EA2DC6" w:rsidRDefault="00EA2DC6" w:rsidP="00EA2DC6">
            <w:pPr>
              <w:spacing w:before="40" w:after="40"/>
              <w:rPr>
                <w:sz w:val="16"/>
              </w:rPr>
            </w:pPr>
            <w:r w:rsidRPr="00EA2DC6">
              <w:rPr>
                <w:sz w:val="16"/>
              </w:rPr>
              <w:t>Developing a clear statement of justification for choosing or excluding any criterion will aid in transparency and communication during the consultation and planning and approvals phases.</w:t>
            </w:r>
          </w:p>
        </w:tc>
      </w:tr>
      <w:tr w:rsidR="00EA2DC6" w:rsidRPr="00EA2DC6" w14:paraId="19A571D3" w14:textId="77777777" w:rsidTr="00C70D7A">
        <w:tc>
          <w:tcPr>
            <w:tcW w:w="856" w:type="pct"/>
          </w:tcPr>
          <w:p w14:paraId="506CD926" w14:textId="77777777" w:rsidR="00EA2DC6" w:rsidRPr="00EA2DC6" w:rsidRDefault="00EA2DC6" w:rsidP="00EA2DC6">
            <w:pPr>
              <w:spacing w:before="40" w:after="40"/>
              <w:rPr>
                <w:sz w:val="16"/>
              </w:rPr>
            </w:pPr>
            <w:r w:rsidRPr="00EA2DC6">
              <w:rPr>
                <w:sz w:val="16"/>
              </w:rPr>
              <w:t>Relevant</w:t>
            </w:r>
          </w:p>
        </w:tc>
        <w:tc>
          <w:tcPr>
            <w:tcW w:w="4144" w:type="pct"/>
          </w:tcPr>
          <w:p w14:paraId="7AD35D0B" w14:textId="77777777" w:rsidR="00EA2DC6" w:rsidRPr="00EA2DC6" w:rsidRDefault="00EA2DC6" w:rsidP="00EA2DC6">
            <w:pPr>
              <w:spacing w:before="40" w:after="40"/>
              <w:rPr>
                <w:sz w:val="16"/>
              </w:rPr>
            </w:pPr>
            <w:r w:rsidRPr="00EA2DC6">
              <w:rPr>
                <w:sz w:val="16"/>
              </w:rPr>
              <w:t>The chosen criteria need to take account of region specific circumstances. In general, the number of criteria will reflect the complexity of the sites or management options being considered.</w:t>
            </w:r>
          </w:p>
        </w:tc>
      </w:tr>
      <w:tr w:rsidR="00EA2DC6" w:rsidRPr="00EA2DC6" w14:paraId="704D0A9F" w14:textId="77777777" w:rsidTr="00C70D7A">
        <w:tc>
          <w:tcPr>
            <w:tcW w:w="856" w:type="pct"/>
          </w:tcPr>
          <w:p w14:paraId="7B0C64D2" w14:textId="77777777" w:rsidR="00EA2DC6" w:rsidRPr="00EA2DC6" w:rsidRDefault="00EA2DC6" w:rsidP="00EA2DC6">
            <w:pPr>
              <w:spacing w:before="40" w:after="40"/>
              <w:rPr>
                <w:sz w:val="16"/>
              </w:rPr>
            </w:pPr>
            <w:r w:rsidRPr="00EA2DC6">
              <w:rPr>
                <w:sz w:val="16"/>
              </w:rPr>
              <w:t>Minimum number</w:t>
            </w:r>
          </w:p>
        </w:tc>
        <w:tc>
          <w:tcPr>
            <w:tcW w:w="4144" w:type="pct"/>
          </w:tcPr>
          <w:p w14:paraId="2584BCD5" w14:textId="77777777" w:rsidR="00EA2DC6" w:rsidRPr="00EA2DC6" w:rsidRDefault="00EA2DC6" w:rsidP="00EA2DC6">
            <w:pPr>
              <w:spacing w:before="40" w:after="40"/>
              <w:rPr>
                <w:sz w:val="16"/>
              </w:rPr>
            </w:pPr>
            <w:r w:rsidRPr="00EA2DC6">
              <w:rPr>
                <w:sz w:val="16"/>
              </w:rPr>
              <w:t>The set of criteria should represent the fewest possible criteria that can provide a comprehensive representation of the practitioners / regions objectives. Where possible, merge or remove criteria.</w:t>
            </w:r>
          </w:p>
        </w:tc>
      </w:tr>
      <w:tr w:rsidR="00EA2DC6" w:rsidRPr="00EA2DC6" w14:paraId="6C147F97" w14:textId="77777777" w:rsidTr="00C70D7A">
        <w:tc>
          <w:tcPr>
            <w:tcW w:w="856" w:type="pct"/>
          </w:tcPr>
          <w:p w14:paraId="569D6E65" w14:textId="77777777" w:rsidR="00EA2DC6" w:rsidRPr="00EA2DC6" w:rsidRDefault="00EA2DC6" w:rsidP="00EA2DC6">
            <w:pPr>
              <w:spacing w:before="40" w:after="40"/>
              <w:rPr>
                <w:sz w:val="16"/>
              </w:rPr>
            </w:pPr>
            <w:r w:rsidRPr="00EA2DC6">
              <w:rPr>
                <w:sz w:val="16"/>
              </w:rPr>
              <w:t>Use high quality data</w:t>
            </w:r>
          </w:p>
        </w:tc>
        <w:tc>
          <w:tcPr>
            <w:tcW w:w="4144" w:type="pct"/>
          </w:tcPr>
          <w:p w14:paraId="70A1039D" w14:textId="77777777" w:rsidR="00EA2DC6" w:rsidRPr="00EA2DC6" w:rsidRDefault="00EA2DC6" w:rsidP="00EA2DC6">
            <w:pPr>
              <w:spacing w:before="40" w:after="40"/>
              <w:rPr>
                <w:sz w:val="16"/>
              </w:rPr>
            </w:pPr>
            <w:r w:rsidRPr="00EA2DC6">
              <w:rPr>
                <w:sz w:val="16"/>
              </w:rPr>
              <w:t>The use of high quality data, or data with clearly stated uncertainty, is important for the correct interpretation of each criterion.</w:t>
            </w:r>
          </w:p>
        </w:tc>
      </w:tr>
    </w:tbl>
    <w:p w14:paraId="6D6649DA" w14:textId="77777777" w:rsidR="00781A70" w:rsidRDefault="00781A70" w:rsidP="00781A70">
      <w:pPr>
        <w:pStyle w:val="Heading3noTOC"/>
        <w:rPr>
          <w:color w:val="65876D" w:themeColor="accent4" w:themeShade="BF"/>
          <w:sz w:val="28"/>
          <w:szCs w:val="28"/>
          <w:lang w:eastAsia="en-US"/>
        </w:rPr>
      </w:pPr>
    </w:p>
    <w:p w14:paraId="696FB0E0" w14:textId="628D9A53" w:rsidR="00EA2DC6" w:rsidRPr="004D3070" w:rsidRDefault="00EA2DC6" w:rsidP="008C06C0">
      <w:pPr>
        <w:pStyle w:val="Heading3noTOC"/>
        <w:rPr>
          <w:color w:val="65876D" w:themeColor="accent4" w:themeShade="BF"/>
          <w:sz w:val="28"/>
          <w:szCs w:val="28"/>
        </w:rPr>
      </w:pPr>
      <w:r w:rsidRPr="004D3070">
        <w:rPr>
          <w:color w:val="65876D" w:themeColor="accent4" w:themeShade="BF"/>
          <w:sz w:val="28"/>
          <w:szCs w:val="28"/>
          <w:lang w:eastAsia="en-US"/>
        </w:rPr>
        <w:t>Option for MCA and short-listing workshop</w:t>
      </w:r>
    </w:p>
    <w:p w14:paraId="7CE1664D" w14:textId="58278D42" w:rsidR="00EA2DC6" w:rsidRPr="00EA2DC6" w:rsidRDefault="005C4005" w:rsidP="00EA2DC6">
      <w:pPr>
        <w:spacing w:before="240" w:after="120"/>
      </w:pPr>
      <w:r w:rsidRPr="00EA2DC6">
        <w:t>For</w:t>
      </w:r>
      <w:r w:rsidR="00EA2DC6" w:rsidRPr="00EA2DC6">
        <w:t xml:space="preserve"> site and option screening and shortlisting, the options identified will be developed to provide high level attributes that inform and enable the MCA to take place. Through the options development, each option will be assigned with scores based on the selected evaluation criteria. </w:t>
      </w:r>
    </w:p>
    <w:p w14:paraId="6E1E8B82" w14:textId="77777777" w:rsidR="00EA2DC6" w:rsidRPr="00EA2DC6" w:rsidRDefault="00EA2DC6" w:rsidP="00EA2DC6">
      <w:pPr>
        <w:spacing w:before="240" w:after="120"/>
      </w:pPr>
      <w:r w:rsidRPr="00EA2DC6">
        <w:t>This will typically be the relative or quantifiable measures for the selected evaluation criteria such as cost, potential improvement in site metrics (e.g. soil moisture content), implementation risk (e.g. high, moderate, low) etc. For the short-listing purposes, it is envisaged that the options will be developed at a high level, only to sufficiently enable the identification of the options that may be dismissed for any further analysis.</w:t>
      </w:r>
    </w:p>
    <w:p w14:paraId="24DAFE07" w14:textId="56CE03DC" w:rsidR="00EA2DC6" w:rsidRPr="00EA2DC6" w:rsidRDefault="00EA2DC6" w:rsidP="00EA2DC6">
      <w:pPr>
        <w:spacing w:before="240" w:after="120"/>
      </w:pPr>
      <w:r w:rsidRPr="00EA2DC6">
        <w:t>Another input to the MCA is the weighting on evaluation criteria that are used in the analysis to assign relative importance to decision criteria. Each criterion is assigned with a weight o</w:t>
      </w:r>
      <w:r w:rsidR="005C4005" w:rsidRPr="00EA2DC6">
        <w:t>based on</w:t>
      </w:r>
      <w:r w:rsidRPr="00EA2DC6">
        <w:t>their importance relative to other criteria selected for the project. Lower level criteria are also given weights based on their relative importance within the relevant criterion or sub-criterion. Weights are typically assigned by the key decision makers for the site – however there are some useful techniques that that can assist with this process (such as paired analysis).</w:t>
      </w:r>
    </w:p>
    <w:p w14:paraId="00501981" w14:textId="5E2F1FAC" w:rsidR="00EA2DC6" w:rsidRPr="00EA2DC6" w:rsidRDefault="00EA2DC6" w:rsidP="00EA2DC6">
      <w:pPr>
        <w:spacing w:before="240" w:after="120"/>
      </w:pPr>
      <w:r w:rsidRPr="00EA2DC6">
        <w:t xml:space="preserve">MCA is carried out based on combining the options attributes and the relative weighting under the evaluation criterion. The typical outcome of </w:t>
      </w:r>
      <w:r w:rsidR="005C4005" w:rsidRPr="00EA2DC6">
        <w:t>an</w:t>
      </w:r>
      <w:r w:rsidRPr="00EA2DC6">
        <w:t xml:space="preserve"> MCA is the ranking of options based on the overall rating. Interpretation and sensitivity testing should be made on the findings of the results as well as an understanding of the level of uncertainty that the assessment is based on. </w:t>
      </w:r>
    </w:p>
    <w:p w14:paraId="1BEF1DDE" w14:textId="77777777" w:rsidR="00EA2DC6" w:rsidRPr="00EA2DC6" w:rsidRDefault="00EA2DC6" w:rsidP="00EA2DC6">
      <w:pPr>
        <w:spacing w:before="240" w:after="120"/>
      </w:pPr>
      <w:r w:rsidRPr="00EA2DC6">
        <w:t>Short-listing workshops or stakeholder forums can be useful to present the long list of sites / options identified and their attributes, and a discussion on how these were reflected into the scores in accordance with the defined and agreed evaluation criteria. The draft outputs of the MCA or related assessments can be presented to broader site or region stakeholders and sensitivities can be checked during consultation, with testing of possible variations in the weighting of the evaluation criteria.</w:t>
      </w:r>
    </w:p>
    <w:p w14:paraId="3F598360" w14:textId="6500FB1C" w:rsidR="00EA2DC6" w:rsidRPr="00EA2DC6" w:rsidRDefault="00EA2DC6" w:rsidP="00EA2DC6">
      <w:pPr>
        <w:spacing w:before="240" w:after="120"/>
      </w:pPr>
      <w:r w:rsidRPr="00EA2DC6">
        <w:t xml:space="preserve">The outcome of this assessment task with could be short-listed sites / options or a clear preferred option. Where a clear preferred option is not evident, the assessment and confidence appraisal can further assist to define what additional investigations or information is required to refine the assessment outcome. The following </w:t>
      </w:r>
      <w:r w:rsidRPr="00E71160">
        <w:rPr>
          <w:b/>
        </w:rPr>
        <w:t>Figure E.1</w:t>
      </w:r>
      <w:r w:rsidRPr="00EA2DC6">
        <w:t xml:space="preserve"> provides an example of </w:t>
      </w:r>
      <w:r w:rsidR="005C4005" w:rsidRPr="00EA2DC6">
        <w:t>an</w:t>
      </w:r>
      <w:r w:rsidRPr="00EA2DC6">
        <w:t xml:space="preserve"> MCA output for a site assessment and prioritisation.</w:t>
      </w:r>
    </w:p>
    <w:p w14:paraId="6811C4CD" w14:textId="6A5613A3" w:rsidR="00EA2DC6" w:rsidRPr="00EA2DC6" w:rsidRDefault="00EA2DC6" w:rsidP="007A45D5">
      <w:pPr>
        <w:pStyle w:val="Caption"/>
      </w:pPr>
      <w:bookmarkStart w:id="377" w:name="_Toc464486026"/>
      <w:bookmarkStart w:id="378" w:name="_Toc514018118"/>
      <w:r w:rsidRPr="00EA2DC6">
        <w:t xml:space="preserve">Figure </w:t>
      </w:r>
      <w:r w:rsidR="004F42DD">
        <w:fldChar w:fldCharType="begin"/>
      </w:r>
      <w:r w:rsidR="004F42DD">
        <w:instrText xml:space="preserve"> STYLEREF 1 \s </w:instrText>
      </w:r>
      <w:r w:rsidR="004F42DD">
        <w:fldChar w:fldCharType="separate"/>
      </w:r>
      <w:r w:rsidR="00BF015B">
        <w:rPr>
          <w:noProof/>
        </w:rPr>
        <w:t>7</w:t>
      </w:r>
      <w:r w:rsidR="004F42DD">
        <w:fldChar w:fldCharType="end"/>
      </w:r>
      <w:r w:rsidR="004F42DD">
        <w:noBreakHyphen/>
      </w:r>
      <w:r w:rsidR="004F42DD">
        <w:fldChar w:fldCharType="begin"/>
      </w:r>
      <w:r w:rsidR="004F42DD">
        <w:instrText xml:space="preserve"> SEQ Figure \* ARABIC \s 1 </w:instrText>
      </w:r>
      <w:r w:rsidR="004F42DD">
        <w:fldChar w:fldCharType="separate"/>
      </w:r>
      <w:r w:rsidR="00BF015B">
        <w:rPr>
          <w:noProof/>
        </w:rPr>
        <w:t>6</w:t>
      </w:r>
      <w:r w:rsidR="004F42DD">
        <w:fldChar w:fldCharType="end"/>
      </w:r>
      <w:r w:rsidRPr="00EA2DC6">
        <w:t>: Example MCA output</w:t>
      </w:r>
      <w:bookmarkEnd w:id="377"/>
      <w:bookmarkEnd w:id="378"/>
    </w:p>
    <w:p w14:paraId="0CB7DEE4" w14:textId="77777777" w:rsidR="00EA2DC6" w:rsidRPr="00EA2DC6" w:rsidRDefault="00EA2DC6" w:rsidP="00EA2DC6">
      <w:pPr>
        <w:spacing w:before="240" w:after="120"/>
      </w:pPr>
      <w:r w:rsidRPr="00EA2DC6">
        <w:rPr>
          <w:noProof/>
          <w:color w:val="000000"/>
          <w:szCs w:val="20"/>
          <w:lang w:eastAsia="en-AU"/>
        </w:rPr>
        <w:drawing>
          <wp:inline distT="0" distB="0" distL="0" distR="0" wp14:anchorId="12EC83CA" wp14:editId="16888885">
            <wp:extent cx="6305910" cy="3752490"/>
            <wp:effectExtent l="0" t="0" r="0" b="63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rotWithShape="1">
                    <a:blip r:embed="rId115" cstate="email">
                      <a:extLst>
                        <a:ext uri="{28A0092B-C50C-407E-A947-70E740481C1C}">
                          <a14:useLocalDpi xmlns:a14="http://schemas.microsoft.com/office/drawing/2010/main"/>
                        </a:ext>
                      </a:extLst>
                    </a:blip>
                    <a:srcRect t="25318" b="4971"/>
                    <a:stretch/>
                  </pic:blipFill>
                  <pic:spPr bwMode="auto">
                    <a:xfrm>
                      <a:off x="0" y="0"/>
                      <a:ext cx="6305910" cy="3752490"/>
                    </a:xfrm>
                    <a:prstGeom prst="rect">
                      <a:avLst/>
                    </a:prstGeom>
                    <a:noFill/>
                    <a:ln>
                      <a:noFill/>
                    </a:ln>
                    <a:extLst>
                      <a:ext uri="{53640926-AAD7-44D8-BBD7-CCE9431645EC}">
                        <a14:shadowObscured xmlns:a14="http://schemas.microsoft.com/office/drawing/2010/main"/>
                      </a:ext>
                    </a:extLst>
                  </pic:spPr>
                </pic:pic>
              </a:graphicData>
            </a:graphic>
          </wp:inline>
        </w:drawing>
      </w:r>
    </w:p>
    <w:p w14:paraId="04EE9252" w14:textId="2514FB77" w:rsidR="00B36126" w:rsidRDefault="00EA2DC6" w:rsidP="00EA2DC6">
      <w:pPr>
        <w:spacing w:before="240" w:after="120"/>
      </w:pPr>
      <w:r w:rsidRPr="00EA2DC6">
        <w:t xml:space="preserve">It is noted that practitioners and land managers may have preferred assessment and MCA frameworks and as such, the </w:t>
      </w:r>
      <w:r w:rsidR="00225D29">
        <w:t>Framework</w:t>
      </w:r>
      <w:r w:rsidRPr="00EA2DC6">
        <w:t xml:space="preserve"> has not prescribed a specific assessment framework or MCA format. This approach can be used as a check against the current assessment processes undertaken within an </w:t>
      </w:r>
      <w:r w:rsidR="005C4005" w:rsidRPr="00EA2DC6">
        <w:t>organisation</w:t>
      </w:r>
      <w:r w:rsidR="005C4005">
        <w:t>,</w:t>
      </w:r>
      <w:r w:rsidR="005C4005" w:rsidRPr="00EA2DC6">
        <w:t xml:space="preserve"> or</w:t>
      </w:r>
      <w:r w:rsidRPr="00EA2DC6">
        <w:t xml:space="preserve"> adopted for organisations that do not yet utilise a formal assessment framework. This approach will ensure flexibility in how site prioritisation and options assessment </w:t>
      </w:r>
      <w:r w:rsidR="005C4005" w:rsidRPr="00EA2DC6">
        <w:t>take</w:t>
      </w:r>
      <w:r w:rsidRPr="00EA2DC6">
        <w:t xml:space="preserve"> place across sites and regions with variable management, objectives, drivers, stressors and site complexities.</w:t>
      </w:r>
    </w:p>
    <w:p w14:paraId="2176B04A" w14:textId="71FE4223" w:rsidR="00EA2DC6" w:rsidRDefault="00B36126" w:rsidP="008C06C0">
      <w:pPr>
        <w:spacing w:after="0" w:line="240" w:lineRule="auto"/>
      </w:pPr>
      <w:r>
        <w:br w:type="page"/>
      </w:r>
    </w:p>
    <w:p w14:paraId="1E5025A1" w14:textId="77777777" w:rsidR="00B36126" w:rsidRDefault="00B36126" w:rsidP="00B36126">
      <w:pPr>
        <w:pStyle w:val="Heading9"/>
        <w:numPr>
          <w:ilvl w:val="0"/>
          <w:numId w:val="8"/>
        </w:numPr>
        <w:spacing w:after="0" w:line="240" w:lineRule="auto"/>
        <w:ind w:left="1985" w:hanging="1985"/>
        <w:rPr>
          <w:color w:val="65876D" w:themeColor="accent4" w:themeShade="BF"/>
        </w:rPr>
      </w:pPr>
      <w:bookmarkStart w:id="379" w:name="_Ref506813640"/>
      <w:bookmarkStart w:id="380" w:name="_Toc510785227"/>
      <w:bookmarkStart w:id="381" w:name="_Ref459991192"/>
      <w:bookmarkStart w:id="382" w:name="_Toc464486017"/>
      <w:bookmarkStart w:id="383" w:name="_Toc464486753"/>
      <w:bookmarkStart w:id="384" w:name="_Toc468885425"/>
      <w:bookmarkStart w:id="385" w:name="_Toc469237484"/>
      <w:r w:rsidRPr="004D3070">
        <w:rPr>
          <w:color w:val="65876D" w:themeColor="accent4" w:themeShade="BF"/>
        </w:rPr>
        <w:t>Assessment Criteria for Selection of Black Box Management Units</w:t>
      </w:r>
      <w:bookmarkEnd w:id="379"/>
      <w:bookmarkEnd w:id="380"/>
    </w:p>
    <w:p w14:paraId="03C046D7" w14:textId="77777777" w:rsidR="00B36126" w:rsidRPr="004D3070" w:rsidRDefault="00B36126" w:rsidP="00B36126">
      <w:pPr>
        <w:pStyle w:val="Para0"/>
      </w:pPr>
    </w:p>
    <w:tbl>
      <w:tblPr>
        <w:tblStyle w:val="TableGrid"/>
        <w:tblW w:w="4997" w:type="pct"/>
        <w:tblInd w:w="8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264"/>
        <w:gridCol w:w="2381"/>
        <w:gridCol w:w="6255"/>
      </w:tblGrid>
      <w:tr w:rsidR="00B36126" w:rsidRPr="00EA2DC6" w14:paraId="74211C93" w14:textId="77777777" w:rsidTr="00307BF3">
        <w:trPr>
          <w:tblHeader/>
        </w:trPr>
        <w:tc>
          <w:tcPr>
            <w:tcW w:w="638" w:type="pct"/>
            <w:tcBorders>
              <w:left w:val="single" w:sz="4" w:space="0" w:color="FFFFFF" w:themeColor="background1"/>
              <w:right w:val="single" w:sz="4" w:space="0" w:color="FFFFFF" w:themeColor="background1"/>
            </w:tcBorders>
            <w:shd w:val="clear" w:color="auto" w:fill="65876D" w:themeFill="accent4" w:themeFillShade="BF"/>
          </w:tcPr>
          <w:p w14:paraId="026A662C" w14:textId="77777777" w:rsidR="00B36126" w:rsidRPr="00EA2DC6" w:rsidRDefault="00B36126" w:rsidP="00307BF3">
            <w:pPr>
              <w:keepNext/>
              <w:spacing w:before="100" w:after="100"/>
              <w:rPr>
                <w:rFonts w:ascii="Arial Black" w:hAnsi="Arial Black"/>
                <w:color w:val="FFFFFF" w:themeColor="background1"/>
                <w:sz w:val="16"/>
              </w:rPr>
            </w:pPr>
            <w:r w:rsidRPr="00EA2DC6">
              <w:rPr>
                <w:rFonts w:ascii="Arial Black" w:hAnsi="Arial Black"/>
                <w:color w:val="FFFFFF" w:themeColor="background1"/>
                <w:sz w:val="16"/>
              </w:rPr>
              <w:t>MCA criteria</w:t>
            </w:r>
          </w:p>
        </w:tc>
        <w:tc>
          <w:tcPr>
            <w:tcW w:w="1203" w:type="pct"/>
            <w:tcBorders>
              <w:left w:val="single" w:sz="4" w:space="0" w:color="FFFFFF" w:themeColor="background1"/>
              <w:right w:val="single" w:sz="4" w:space="0" w:color="FFFFFF" w:themeColor="background1"/>
            </w:tcBorders>
            <w:shd w:val="clear" w:color="auto" w:fill="65876D" w:themeFill="accent4" w:themeFillShade="BF"/>
          </w:tcPr>
          <w:p w14:paraId="46DE6513" w14:textId="77777777" w:rsidR="00B36126" w:rsidRPr="00EA2DC6" w:rsidRDefault="00B36126" w:rsidP="00307BF3">
            <w:pPr>
              <w:keepNext/>
              <w:spacing w:before="100" w:after="100"/>
              <w:rPr>
                <w:rFonts w:ascii="Arial Black" w:hAnsi="Arial Black"/>
                <w:color w:val="FFFFFF" w:themeColor="background1"/>
                <w:sz w:val="16"/>
              </w:rPr>
            </w:pPr>
            <w:r w:rsidRPr="00EA2DC6">
              <w:rPr>
                <w:rFonts w:ascii="Arial Black" w:hAnsi="Arial Black"/>
                <w:color w:val="FFFFFF" w:themeColor="background1"/>
                <w:sz w:val="16"/>
              </w:rPr>
              <w:t xml:space="preserve">MCA sub-criteria </w:t>
            </w:r>
          </w:p>
        </w:tc>
        <w:tc>
          <w:tcPr>
            <w:tcW w:w="3159" w:type="pct"/>
            <w:tcBorders>
              <w:left w:val="single" w:sz="4" w:space="0" w:color="FFFFFF" w:themeColor="background1"/>
              <w:right w:val="single" w:sz="4" w:space="0" w:color="FFFFFF" w:themeColor="background1"/>
            </w:tcBorders>
            <w:shd w:val="clear" w:color="auto" w:fill="65876D" w:themeFill="accent4" w:themeFillShade="BF"/>
          </w:tcPr>
          <w:p w14:paraId="5CD8617F" w14:textId="77777777" w:rsidR="00B36126" w:rsidRPr="00EA2DC6" w:rsidRDefault="00B36126" w:rsidP="00307BF3">
            <w:pPr>
              <w:keepNext/>
              <w:tabs>
                <w:tab w:val="left" w:pos="7604"/>
              </w:tabs>
              <w:spacing w:before="100" w:after="100"/>
              <w:jc w:val="center"/>
              <w:rPr>
                <w:rFonts w:ascii="Arial Black" w:hAnsi="Arial Black"/>
                <w:color w:val="FFFFFF" w:themeColor="background1"/>
                <w:sz w:val="16"/>
              </w:rPr>
            </w:pPr>
            <w:r w:rsidRPr="00EA2DC6">
              <w:rPr>
                <w:rFonts w:ascii="Arial Black" w:hAnsi="Arial Black"/>
                <w:color w:val="FFFFFF" w:themeColor="background1"/>
                <w:sz w:val="16"/>
              </w:rPr>
              <w:t xml:space="preserve">Potential parameters that could be used to score </w:t>
            </w:r>
          </w:p>
        </w:tc>
      </w:tr>
      <w:tr w:rsidR="00B36126" w:rsidRPr="00EA2DC6" w14:paraId="4F0DC630" w14:textId="77777777" w:rsidTr="00307BF3">
        <w:tc>
          <w:tcPr>
            <w:tcW w:w="638" w:type="pct"/>
          </w:tcPr>
          <w:p w14:paraId="355232A2" w14:textId="77777777" w:rsidR="00B36126" w:rsidRPr="00EA2DC6" w:rsidRDefault="00B36126" w:rsidP="00307BF3">
            <w:pPr>
              <w:spacing w:before="40" w:after="40"/>
              <w:rPr>
                <w:sz w:val="16"/>
                <w:szCs w:val="18"/>
              </w:rPr>
            </w:pPr>
            <w:r w:rsidRPr="00EA2DC6">
              <w:rPr>
                <w:sz w:val="16"/>
                <w:szCs w:val="18"/>
              </w:rPr>
              <w:t>Environment</w:t>
            </w:r>
          </w:p>
        </w:tc>
        <w:tc>
          <w:tcPr>
            <w:tcW w:w="1203" w:type="pct"/>
          </w:tcPr>
          <w:p w14:paraId="2D6D34D0" w14:textId="77777777" w:rsidR="00B36126" w:rsidRPr="00EA2DC6" w:rsidRDefault="00B36126" w:rsidP="00307BF3">
            <w:pPr>
              <w:spacing w:before="40" w:after="40"/>
              <w:rPr>
                <w:sz w:val="16"/>
                <w:szCs w:val="18"/>
              </w:rPr>
            </w:pPr>
            <w:r w:rsidRPr="00EA2DC6">
              <w:rPr>
                <w:sz w:val="16"/>
                <w:szCs w:val="18"/>
              </w:rPr>
              <w:t>Potential for recovery / regeneration</w:t>
            </w:r>
          </w:p>
        </w:tc>
        <w:tc>
          <w:tcPr>
            <w:tcW w:w="3159" w:type="pct"/>
          </w:tcPr>
          <w:p w14:paraId="518FDFBC" w14:textId="3BF410E4" w:rsidR="00B36126" w:rsidRPr="00EA2DC6" w:rsidRDefault="005C4005" w:rsidP="00F22225">
            <w:pPr>
              <w:numPr>
                <w:ilvl w:val="0"/>
                <w:numId w:val="32"/>
              </w:numPr>
              <w:spacing w:before="40" w:after="40"/>
              <w:ind w:left="340"/>
              <w:rPr>
                <w:sz w:val="16"/>
                <w:szCs w:val="18"/>
              </w:rPr>
            </w:pPr>
            <w:r w:rsidRPr="00EA2DC6">
              <w:rPr>
                <w:sz w:val="16"/>
                <w:szCs w:val="18"/>
              </w:rPr>
              <w:t>Condition of stand</w:t>
            </w:r>
            <w:r w:rsidR="00B36126" w:rsidRPr="00EA2DC6">
              <w:rPr>
                <w:sz w:val="16"/>
                <w:szCs w:val="18"/>
              </w:rPr>
              <w:t xml:space="preserve"> based on percentage of remaining viable trees within responsive condition (i.e. where is it on a scale from recovery to improvement)</w:t>
            </w:r>
          </w:p>
          <w:p w14:paraId="178716C7" w14:textId="77777777" w:rsidR="00B36126" w:rsidRPr="00EA2DC6" w:rsidRDefault="00B36126" w:rsidP="00F22225">
            <w:pPr>
              <w:numPr>
                <w:ilvl w:val="0"/>
                <w:numId w:val="32"/>
              </w:numPr>
              <w:spacing w:before="40" w:after="40"/>
              <w:ind w:left="340"/>
              <w:rPr>
                <w:sz w:val="16"/>
                <w:szCs w:val="18"/>
              </w:rPr>
            </w:pPr>
            <w:r>
              <w:rPr>
                <w:sz w:val="16"/>
                <w:szCs w:val="18"/>
              </w:rPr>
              <w:t>Unit</w:t>
            </w:r>
            <w:r w:rsidRPr="00EA2DC6">
              <w:rPr>
                <w:sz w:val="16"/>
                <w:szCs w:val="18"/>
              </w:rPr>
              <w:t xml:space="preserve"> size and connectedness of </w:t>
            </w:r>
            <w:r>
              <w:rPr>
                <w:sz w:val="16"/>
                <w:szCs w:val="18"/>
              </w:rPr>
              <w:t>units</w:t>
            </w:r>
            <w:r w:rsidRPr="00EA2DC6">
              <w:rPr>
                <w:sz w:val="16"/>
                <w:szCs w:val="18"/>
              </w:rPr>
              <w:t xml:space="preserve"> within the landscape</w:t>
            </w:r>
          </w:p>
          <w:p w14:paraId="34817DDA" w14:textId="77777777" w:rsidR="00B36126" w:rsidRPr="00EA2DC6" w:rsidRDefault="00B36126" w:rsidP="00F22225">
            <w:pPr>
              <w:numPr>
                <w:ilvl w:val="0"/>
                <w:numId w:val="32"/>
              </w:numPr>
              <w:spacing w:before="40" w:after="40"/>
              <w:ind w:left="340"/>
              <w:rPr>
                <w:sz w:val="16"/>
                <w:szCs w:val="18"/>
              </w:rPr>
            </w:pPr>
            <w:r w:rsidRPr="00EA2DC6">
              <w:rPr>
                <w:sz w:val="16"/>
                <w:szCs w:val="18"/>
              </w:rPr>
              <w:t>Condition transition / maintenance targeted by the project (i.e. moderate to good, poor to moderate etc., and linked to ecological objectives and targets)</w:t>
            </w:r>
          </w:p>
          <w:p w14:paraId="66C5D874" w14:textId="77777777" w:rsidR="00B36126" w:rsidRPr="00EA2DC6" w:rsidRDefault="00B36126" w:rsidP="00F22225">
            <w:pPr>
              <w:numPr>
                <w:ilvl w:val="0"/>
                <w:numId w:val="32"/>
              </w:numPr>
              <w:spacing w:before="40" w:after="40"/>
              <w:ind w:left="340"/>
              <w:rPr>
                <w:sz w:val="16"/>
                <w:szCs w:val="18"/>
              </w:rPr>
            </w:pPr>
            <w:r w:rsidRPr="00EA2DC6">
              <w:rPr>
                <w:sz w:val="16"/>
                <w:szCs w:val="18"/>
              </w:rPr>
              <w:t>Level of stakeholder knowledge of site (management history, ecological change, water regime, climatic extremes)</w:t>
            </w:r>
          </w:p>
        </w:tc>
      </w:tr>
      <w:tr w:rsidR="00B36126" w:rsidRPr="00EA2DC6" w14:paraId="00FE6A2F" w14:textId="77777777" w:rsidTr="00307BF3">
        <w:tc>
          <w:tcPr>
            <w:tcW w:w="638" w:type="pct"/>
          </w:tcPr>
          <w:p w14:paraId="5E78F66D" w14:textId="77777777" w:rsidR="00B36126" w:rsidRPr="00EA2DC6" w:rsidRDefault="00B36126" w:rsidP="00307BF3">
            <w:pPr>
              <w:spacing w:before="40" w:after="40"/>
              <w:rPr>
                <w:sz w:val="16"/>
                <w:szCs w:val="18"/>
              </w:rPr>
            </w:pPr>
            <w:r w:rsidRPr="00EA2DC6">
              <w:rPr>
                <w:sz w:val="16"/>
                <w:szCs w:val="18"/>
              </w:rPr>
              <w:t>Environment</w:t>
            </w:r>
          </w:p>
        </w:tc>
        <w:tc>
          <w:tcPr>
            <w:tcW w:w="1203" w:type="pct"/>
          </w:tcPr>
          <w:p w14:paraId="6192AF61" w14:textId="77777777" w:rsidR="00B36126" w:rsidRPr="00EA2DC6" w:rsidRDefault="00B36126" w:rsidP="00307BF3">
            <w:pPr>
              <w:spacing w:before="40" w:after="40"/>
              <w:rPr>
                <w:sz w:val="16"/>
                <w:szCs w:val="18"/>
              </w:rPr>
            </w:pPr>
            <w:r w:rsidRPr="00EA2DC6">
              <w:rPr>
                <w:sz w:val="16"/>
                <w:szCs w:val="18"/>
              </w:rPr>
              <w:t xml:space="preserve">Site holds important biodiversity values </w:t>
            </w:r>
          </w:p>
        </w:tc>
        <w:tc>
          <w:tcPr>
            <w:tcW w:w="3159" w:type="pct"/>
          </w:tcPr>
          <w:p w14:paraId="535EF8C6" w14:textId="77777777" w:rsidR="00B36126" w:rsidRPr="00EA2DC6" w:rsidRDefault="00B36126" w:rsidP="00F22225">
            <w:pPr>
              <w:numPr>
                <w:ilvl w:val="0"/>
                <w:numId w:val="32"/>
              </w:numPr>
              <w:spacing w:before="40" w:after="40"/>
              <w:ind w:left="340"/>
              <w:rPr>
                <w:sz w:val="16"/>
                <w:szCs w:val="18"/>
              </w:rPr>
            </w:pPr>
            <w:r w:rsidRPr="00EA2DC6">
              <w:rPr>
                <w:sz w:val="16"/>
                <w:szCs w:val="18"/>
              </w:rPr>
              <w:t>Site supports Coolibah - Black Box Woodlands of the Darling Riverine Plains and the Brigalow Belt South Bioregions (EPBC / NSW endangered)</w:t>
            </w:r>
          </w:p>
          <w:p w14:paraId="7D7AAA47" w14:textId="77777777" w:rsidR="00B36126" w:rsidRPr="00EA2DC6" w:rsidRDefault="00B36126" w:rsidP="00F22225">
            <w:pPr>
              <w:numPr>
                <w:ilvl w:val="0"/>
                <w:numId w:val="32"/>
              </w:numPr>
              <w:spacing w:before="40" w:after="40"/>
              <w:ind w:left="340"/>
              <w:rPr>
                <w:sz w:val="16"/>
                <w:szCs w:val="18"/>
              </w:rPr>
            </w:pPr>
            <w:r w:rsidRPr="00EA2DC6">
              <w:rPr>
                <w:sz w:val="16"/>
                <w:szCs w:val="18"/>
              </w:rPr>
              <w:t>Site provides feeding, shelter, breeding habitat and other resources for rare / threatened species</w:t>
            </w:r>
          </w:p>
          <w:p w14:paraId="65E36AA4" w14:textId="77777777" w:rsidR="00B36126" w:rsidRPr="00EA2DC6" w:rsidRDefault="00B36126" w:rsidP="00F22225">
            <w:pPr>
              <w:numPr>
                <w:ilvl w:val="0"/>
                <w:numId w:val="32"/>
              </w:numPr>
              <w:spacing w:before="40" w:after="40"/>
              <w:ind w:left="340"/>
              <w:rPr>
                <w:sz w:val="16"/>
                <w:szCs w:val="18"/>
              </w:rPr>
            </w:pPr>
            <w:r w:rsidRPr="00EA2DC6">
              <w:rPr>
                <w:sz w:val="16"/>
                <w:szCs w:val="18"/>
              </w:rPr>
              <w:t xml:space="preserve">Site provides important linkages (between adjacent habitats) </w:t>
            </w:r>
            <w:r>
              <w:rPr>
                <w:sz w:val="16"/>
                <w:szCs w:val="18"/>
              </w:rPr>
              <w:t>and/or</w:t>
            </w:r>
            <w:r w:rsidRPr="00EA2DC6">
              <w:rPr>
                <w:sz w:val="16"/>
                <w:szCs w:val="18"/>
              </w:rPr>
              <w:t xml:space="preserve"> diversity</w:t>
            </w:r>
          </w:p>
          <w:p w14:paraId="607EF15D" w14:textId="77777777" w:rsidR="00B36126" w:rsidRPr="00EA2DC6" w:rsidRDefault="00B36126" w:rsidP="00F22225">
            <w:pPr>
              <w:numPr>
                <w:ilvl w:val="0"/>
                <w:numId w:val="32"/>
              </w:numPr>
              <w:spacing w:before="40" w:after="40"/>
              <w:ind w:left="340"/>
              <w:rPr>
                <w:sz w:val="16"/>
                <w:szCs w:val="18"/>
              </w:rPr>
            </w:pPr>
            <w:r w:rsidRPr="00EA2DC6">
              <w:rPr>
                <w:sz w:val="16"/>
                <w:szCs w:val="18"/>
              </w:rPr>
              <w:t>Uniqueness / refuge</w:t>
            </w:r>
          </w:p>
        </w:tc>
      </w:tr>
      <w:tr w:rsidR="00B36126" w:rsidRPr="00EA2DC6" w14:paraId="60EF5535" w14:textId="77777777" w:rsidTr="00307BF3">
        <w:tc>
          <w:tcPr>
            <w:tcW w:w="638" w:type="pct"/>
          </w:tcPr>
          <w:p w14:paraId="3B3C480B" w14:textId="77777777" w:rsidR="00B36126" w:rsidRPr="00EA2DC6" w:rsidRDefault="00B36126" w:rsidP="00307BF3">
            <w:pPr>
              <w:spacing w:before="40" w:after="40"/>
              <w:rPr>
                <w:sz w:val="16"/>
                <w:szCs w:val="18"/>
              </w:rPr>
            </w:pPr>
            <w:r w:rsidRPr="00EA2DC6">
              <w:rPr>
                <w:sz w:val="16"/>
                <w:szCs w:val="18"/>
              </w:rPr>
              <w:t>Environment</w:t>
            </w:r>
          </w:p>
        </w:tc>
        <w:tc>
          <w:tcPr>
            <w:tcW w:w="1203" w:type="pct"/>
          </w:tcPr>
          <w:p w14:paraId="12A4A5F7" w14:textId="77777777" w:rsidR="00B36126" w:rsidRPr="00EA2DC6" w:rsidRDefault="00B36126" w:rsidP="00307BF3">
            <w:pPr>
              <w:spacing w:before="40" w:after="40"/>
              <w:rPr>
                <w:sz w:val="16"/>
                <w:szCs w:val="18"/>
              </w:rPr>
            </w:pPr>
            <w:r w:rsidRPr="00EA2DC6">
              <w:rPr>
                <w:sz w:val="16"/>
                <w:szCs w:val="18"/>
              </w:rPr>
              <w:t>Site is part of larger environmental picture / plan</w:t>
            </w:r>
          </w:p>
        </w:tc>
        <w:tc>
          <w:tcPr>
            <w:tcW w:w="3159" w:type="pct"/>
          </w:tcPr>
          <w:p w14:paraId="517FBD1C" w14:textId="77777777" w:rsidR="00B36126" w:rsidRPr="00EA2DC6" w:rsidRDefault="00B36126" w:rsidP="00F22225">
            <w:pPr>
              <w:numPr>
                <w:ilvl w:val="0"/>
                <w:numId w:val="32"/>
              </w:numPr>
              <w:spacing w:before="40" w:after="40"/>
              <w:ind w:left="340"/>
              <w:rPr>
                <w:sz w:val="16"/>
                <w:szCs w:val="18"/>
              </w:rPr>
            </w:pPr>
            <w:r w:rsidRPr="00EA2DC6">
              <w:rPr>
                <w:sz w:val="16"/>
                <w:szCs w:val="18"/>
              </w:rPr>
              <w:t xml:space="preserve">Site project meets objectives in regional / basin plans, </w:t>
            </w:r>
          </w:p>
          <w:p w14:paraId="2C86C6D8" w14:textId="77777777" w:rsidR="00B36126" w:rsidRPr="00EA2DC6" w:rsidRDefault="00B36126" w:rsidP="00F22225">
            <w:pPr>
              <w:numPr>
                <w:ilvl w:val="0"/>
                <w:numId w:val="32"/>
              </w:numPr>
              <w:spacing w:before="40" w:after="40"/>
              <w:ind w:left="340"/>
              <w:rPr>
                <w:sz w:val="16"/>
                <w:szCs w:val="18"/>
              </w:rPr>
            </w:pPr>
            <w:r w:rsidRPr="00EA2DC6">
              <w:rPr>
                <w:sz w:val="16"/>
                <w:szCs w:val="18"/>
              </w:rPr>
              <w:t>Site complements agency watering / floodplain management projects</w:t>
            </w:r>
          </w:p>
          <w:p w14:paraId="498726FB" w14:textId="77777777" w:rsidR="00B36126" w:rsidRPr="00EA2DC6" w:rsidRDefault="00B36126" w:rsidP="00F22225">
            <w:pPr>
              <w:numPr>
                <w:ilvl w:val="0"/>
                <w:numId w:val="32"/>
              </w:numPr>
              <w:spacing w:before="40" w:after="40"/>
              <w:ind w:left="340"/>
              <w:rPr>
                <w:sz w:val="16"/>
                <w:szCs w:val="18"/>
              </w:rPr>
            </w:pPr>
            <w:r w:rsidRPr="00EA2DC6">
              <w:rPr>
                <w:sz w:val="16"/>
                <w:szCs w:val="18"/>
              </w:rPr>
              <w:t>key site stressors may have direct flow on benefits or impact to the environment</w:t>
            </w:r>
          </w:p>
        </w:tc>
      </w:tr>
      <w:tr w:rsidR="00B36126" w:rsidRPr="00EA2DC6" w14:paraId="72179849" w14:textId="77777777" w:rsidTr="00307BF3">
        <w:tc>
          <w:tcPr>
            <w:tcW w:w="638" w:type="pct"/>
          </w:tcPr>
          <w:p w14:paraId="58A4ACEA" w14:textId="77777777" w:rsidR="00B36126" w:rsidRPr="00EA2DC6" w:rsidRDefault="00B36126" w:rsidP="00307BF3">
            <w:pPr>
              <w:spacing w:before="40" w:after="40"/>
              <w:rPr>
                <w:sz w:val="16"/>
                <w:szCs w:val="18"/>
              </w:rPr>
            </w:pPr>
            <w:r w:rsidRPr="00EA2DC6">
              <w:rPr>
                <w:sz w:val="16"/>
                <w:szCs w:val="18"/>
              </w:rPr>
              <w:t>Economic</w:t>
            </w:r>
          </w:p>
        </w:tc>
        <w:tc>
          <w:tcPr>
            <w:tcW w:w="1203" w:type="pct"/>
          </w:tcPr>
          <w:p w14:paraId="408A84F8" w14:textId="77777777" w:rsidR="00B36126" w:rsidRPr="00EA2DC6" w:rsidRDefault="00B36126" w:rsidP="00307BF3">
            <w:pPr>
              <w:spacing w:before="40" w:after="40"/>
              <w:rPr>
                <w:sz w:val="16"/>
                <w:szCs w:val="18"/>
              </w:rPr>
            </w:pPr>
            <w:r w:rsidRPr="00EA2DC6">
              <w:rPr>
                <w:sz w:val="16"/>
                <w:szCs w:val="18"/>
              </w:rPr>
              <w:t>Improved landscape amenity at site will have value for local community / tourism.</w:t>
            </w:r>
          </w:p>
        </w:tc>
        <w:tc>
          <w:tcPr>
            <w:tcW w:w="3159" w:type="pct"/>
          </w:tcPr>
          <w:p w14:paraId="1D1BF084" w14:textId="77777777" w:rsidR="00B36126" w:rsidRPr="00EA2DC6" w:rsidRDefault="00B36126" w:rsidP="00F22225">
            <w:pPr>
              <w:numPr>
                <w:ilvl w:val="0"/>
                <w:numId w:val="32"/>
              </w:numPr>
              <w:spacing w:before="40" w:after="40"/>
              <w:ind w:left="340"/>
              <w:rPr>
                <w:sz w:val="16"/>
                <w:szCs w:val="18"/>
              </w:rPr>
            </w:pPr>
            <w:r w:rsidRPr="00EA2DC6">
              <w:rPr>
                <w:sz w:val="16"/>
                <w:szCs w:val="18"/>
              </w:rPr>
              <w:t>Proximity of associated tourism / recreational facilities to the site</w:t>
            </w:r>
          </w:p>
          <w:p w14:paraId="53E6CA4C" w14:textId="77777777" w:rsidR="00B36126" w:rsidRPr="00EA2DC6" w:rsidRDefault="00B36126" w:rsidP="00F22225">
            <w:pPr>
              <w:numPr>
                <w:ilvl w:val="0"/>
                <w:numId w:val="32"/>
              </w:numPr>
              <w:spacing w:before="40" w:after="40"/>
              <w:ind w:left="340"/>
              <w:rPr>
                <w:sz w:val="16"/>
                <w:szCs w:val="18"/>
              </w:rPr>
            </w:pPr>
            <w:r w:rsidRPr="00EA2DC6">
              <w:rPr>
                <w:sz w:val="16"/>
                <w:szCs w:val="18"/>
              </w:rPr>
              <w:t>Diversity of tourism / recreational activities known / predicted to occur at the site</w:t>
            </w:r>
          </w:p>
          <w:p w14:paraId="57EBB759" w14:textId="77777777" w:rsidR="00B36126" w:rsidRPr="00EA2DC6" w:rsidRDefault="00B36126" w:rsidP="00F22225">
            <w:pPr>
              <w:numPr>
                <w:ilvl w:val="0"/>
                <w:numId w:val="32"/>
              </w:numPr>
              <w:spacing w:before="40" w:after="40"/>
              <w:ind w:left="340"/>
              <w:rPr>
                <w:sz w:val="16"/>
                <w:szCs w:val="18"/>
              </w:rPr>
            </w:pPr>
            <w:r w:rsidRPr="00EA2DC6">
              <w:rPr>
                <w:sz w:val="16"/>
                <w:szCs w:val="18"/>
              </w:rPr>
              <w:t>Additional destination for visitors which will enhance town community profile / local ‘green’ image</w:t>
            </w:r>
          </w:p>
          <w:p w14:paraId="08E5C733" w14:textId="77777777" w:rsidR="00B36126" w:rsidRPr="00EA2DC6" w:rsidRDefault="00B36126" w:rsidP="00F22225">
            <w:pPr>
              <w:numPr>
                <w:ilvl w:val="0"/>
                <w:numId w:val="32"/>
              </w:numPr>
              <w:spacing w:before="40" w:after="40"/>
              <w:ind w:left="340"/>
              <w:rPr>
                <w:sz w:val="16"/>
                <w:szCs w:val="18"/>
              </w:rPr>
            </w:pPr>
            <w:r w:rsidRPr="00EA2DC6">
              <w:rPr>
                <w:sz w:val="16"/>
                <w:szCs w:val="18"/>
              </w:rPr>
              <w:t>Supports previous investment</w:t>
            </w:r>
          </w:p>
        </w:tc>
      </w:tr>
      <w:tr w:rsidR="00B36126" w:rsidRPr="00EA2DC6" w14:paraId="76CD8982" w14:textId="77777777" w:rsidTr="00307BF3">
        <w:tc>
          <w:tcPr>
            <w:tcW w:w="638" w:type="pct"/>
          </w:tcPr>
          <w:p w14:paraId="0E3A2188" w14:textId="77777777" w:rsidR="00B36126" w:rsidRPr="00EA2DC6" w:rsidRDefault="00B36126" w:rsidP="00307BF3">
            <w:pPr>
              <w:spacing w:before="40" w:after="40"/>
              <w:rPr>
                <w:sz w:val="16"/>
                <w:szCs w:val="18"/>
              </w:rPr>
            </w:pPr>
            <w:r w:rsidRPr="00EA2DC6">
              <w:rPr>
                <w:sz w:val="16"/>
                <w:szCs w:val="18"/>
              </w:rPr>
              <w:t>Economic</w:t>
            </w:r>
          </w:p>
        </w:tc>
        <w:tc>
          <w:tcPr>
            <w:tcW w:w="1203" w:type="pct"/>
          </w:tcPr>
          <w:p w14:paraId="67251F5E" w14:textId="77777777" w:rsidR="00B36126" w:rsidRPr="00EA2DC6" w:rsidRDefault="00B36126" w:rsidP="00307BF3">
            <w:pPr>
              <w:spacing w:before="40" w:after="40"/>
              <w:rPr>
                <w:sz w:val="16"/>
                <w:szCs w:val="18"/>
              </w:rPr>
            </w:pPr>
            <w:r w:rsidRPr="00EA2DC6">
              <w:rPr>
                <w:sz w:val="16"/>
                <w:szCs w:val="18"/>
              </w:rPr>
              <w:t>Existing capacity to deliver project at site</w:t>
            </w:r>
          </w:p>
        </w:tc>
        <w:tc>
          <w:tcPr>
            <w:tcW w:w="3159" w:type="pct"/>
          </w:tcPr>
          <w:p w14:paraId="1631457F" w14:textId="77777777" w:rsidR="00B36126" w:rsidRPr="00EA2DC6" w:rsidRDefault="00B36126" w:rsidP="00F22225">
            <w:pPr>
              <w:numPr>
                <w:ilvl w:val="0"/>
                <w:numId w:val="32"/>
              </w:numPr>
              <w:spacing w:before="40" w:after="40"/>
              <w:ind w:left="340"/>
              <w:rPr>
                <w:sz w:val="16"/>
                <w:szCs w:val="18"/>
              </w:rPr>
            </w:pPr>
            <w:r w:rsidRPr="00EA2DC6">
              <w:rPr>
                <w:sz w:val="16"/>
                <w:szCs w:val="18"/>
              </w:rPr>
              <w:t xml:space="preserve">Capacity to deliver management to site is high with existing or upgradable </w:t>
            </w:r>
            <w:r>
              <w:rPr>
                <w:sz w:val="16"/>
                <w:szCs w:val="18"/>
              </w:rPr>
              <w:t>infrastructure or equipment</w:t>
            </w:r>
            <w:r w:rsidRPr="00EA2DC6">
              <w:rPr>
                <w:sz w:val="16"/>
                <w:szCs w:val="18"/>
              </w:rPr>
              <w:t xml:space="preserve"> present on / in proximity to the site (i.e. pumps, regulators, power, wells etc.)</w:t>
            </w:r>
          </w:p>
          <w:p w14:paraId="7B43E5A3" w14:textId="77777777" w:rsidR="00B36126" w:rsidRPr="00EA2DC6" w:rsidRDefault="00B36126" w:rsidP="00F22225">
            <w:pPr>
              <w:numPr>
                <w:ilvl w:val="0"/>
                <w:numId w:val="32"/>
              </w:numPr>
              <w:spacing w:before="40" w:after="40"/>
              <w:ind w:left="340"/>
              <w:rPr>
                <w:sz w:val="16"/>
                <w:szCs w:val="18"/>
              </w:rPr>
            </w:pPr>
            <w:r w:rsidRPr="00EA2DC6">
              <w:rPr>
                <w:sz w:val="16"/>
                <w:szCs w:val="18"/>
              </w:rPr>
              <w:t>Cost</w:t>
            </w:r>
          </w:p>
        </w:tc>
      </w:tr>
      <w:tr w:rsidR="00B36126" w:rsidRPr="00EA2DC6" w14:paraId="4DA1975E" w14:textId="77777777" w:rsidTr="00307BF3">
        <w:tc>
          <w:tcPr>
            <w:tcW w:w="638" w:type="pct"/>
          </w:tcPr>
          <w:p w14:paraId="462144A0" w14:textId="77777777" w:rsidR="00B36126" w:rsidRPr="00EA2DC6" w:rsidRDefault="00B36126" w:rsidP="00307BF3">
            <w:pPr>
              <w:spacing w:before="40" w:after="40"/>
              <w:rPr>
                <w:sz w:val="16"/>
                <w:szCs w:val="18"/>
              </w:rPr>
            </w:pPr>
            <w:r w:rsidRPr="00EA2DC6">
              <w:rPr>
                <w:sz w:val="16"/>
                <w:szCs w:val="18"/>
              </w:rPr>
              <w:t>Economic</w:t>
            </w:r>
          </w:p>
        </w:tc>
        <w:tc>
          <w:tcPr>
            <w:tcW w:w="1203" w:type="pct"/>
          </w:tcPr>
          <w:p w14:paraId="05528678" w14:textId="77777777" w:rsidR="00B36126" w:rsidRPr="00EA2DC6" w:rsidRDefault="00B36126" w:rsidP="00307BF3">
            <w:pPr>
              <w:spacing w:before="40" w:after="40"/>
              <w:rPr>
                <w:sz w:val="16"/>
                <w:szCs w:val="18"/>
              </w:rPr>
            </w:pPr>
            <w:r w:rsidRPr="00EA2DC6">
              <w:rPr>
                <w:sz w:val="16"/>
                <w:szCs w:val="18"/>
              </w:rPr>
              <w:t>Capacity to keep managing into the future</w:t>
            </w:r>
          </w:p>
        </w:tc>
        <w:tc>
          <w:tcPr>
            <w:tcW w:w="3159" w:type="pct"/>
          </w:tcPr>
          <w:p w14:paraId="49FD62FD" w14:textId="77777777" w:rsidR="00B36126" w:rsidRPr="00EA2DC6" w:rsidRDefault="00B36126" w:rsidP="00F22225">
            <w:pPr>
              <w:numPr>
                <w:ilvl w:val="0"/>
                <w:numId w:val="32"/>
              </w:numPr>
              <w:spacing w:before="40" w:after="40"/>
              <w:ind w:left="340"/>
              <w:rPr>
                <w:sz w:val="16"/>
                <w:szCs w:val="18"/>
              </w:rPr>
            </w:pPr>
            <w:r w:rsidRPr="00EA2DC6">
              <w:rPr>
                <w:sz w:val="16"/>
                <w:szCs w:val="18"/>
              </w:rPr>
              <w:t xml:space="preserve">Capacity to continue delivering management to site across an appropriate time scale to provide meaningful improvement to Black Box condition </w:t>
            </w:r>
          </w:p>
          <w:p w14:paraId="18CB62FF" w14:textId="77777777" w:rsidR="00B36126" w:rsidRPr="00EA2DC6" w:rsidRDefault="00B36126" w:rsidP="00F22225">
            <w:pPr>
              <w:numPr>
                <w:ilvl w:val="0"/>
                <w:numId w:val="32"/>
              </w:numPr>
              <w:spacing w:before="40" w:after="40"/>
              <w:ind w:left="340"/>
              <w:rPr>
                <w:sz w:val="16"/>
                <w:szCs w:val="18"/>
              </w:rPr>
            </w:pPr>
            <w:r w:rsidRPr="00EA2DC6">
              <w:rPr>
                <w:sz w:val="16"/>
                <w:szCs w:val="18"/>
              </w:rPr>
              <w:t>Cost</w:t>
            </w:r>
          </w:p>
        </w:tc>
      </w:tr>
      <w:tr w:rsidR="00B36126" w:rsidRPr="00EA2DC6" w14:paraId="3047BACF" w14:textId="77777777" w:rsidTr="00307BF3">
        <w:tc>
          <w:tcPr>
            <w:tcW w:w="638" w:type="pct"/>
          </w:tcPr>
          <w:p w14:paraId="4B38DCF8" w14:textId="77777777" w:rsidR="00B36126" w:rsidRPr="00EA2DC6" w:rsidRDefault="00B36126" w:rsidP="00307BF3">
            <w:pPr>
              <w:spacing w:before="40" w:after="40"/>
              <w:rPr>
                <w:sz w:val="16"/>
                <w:szCs w:val="18"/>
              </w:rPr>
            </w:pPr>
            <w:r w:rsidRPr="00EA2DC6">
              <w:rPr>
                <w:sz w:val="16"/>
                <w:szCs w:val="18"/>
              </w:rPr>
              <w:t xml:space="preserve">Cultural </w:t>
            </w:r>
          </w:p>
        </w:tc>
        <w:tc>
          <w:tcPr>
            <w:tcW w:w="1203" w:type="pct"/>
          </w:tcPr>
          <w:p w14:paraId="5F81FE8B" w14:textId="77777777" w:rsidR="00B36126" w:rsidRPr="00EA2DC6" w:rsidRDefault="00B36126" w:rsidP="00307BF3">
            <w:pPr>
              <w:spacing w:before="40" w:after="40"/>
              <w:rPr>
                <w:sz w:val="16"/>
                <w:szCs w:val="18"/>
              </w:rPr>
            </w:pPr>
            <w:r w:rsidRPr="00EA2DC6">
              <w:rPr>
                <w:sz w:val="16"/>
                <w:szCs w:val="18"/>
              </w:rPr>
              <w:t>Aboriginal partners involved in the project</w:t>
            </w:r>
          </w:p>
        </w:tc>
        <w:tc>
          <w:tcPr>
            <w:tcW w:w="3159" w:type="pct"/>
          </w:tcPr>
          <w:p w14:paraId="190EFC48" w14:textId="77777777" w:rsidR="00B36126" w:rsidRPr="00EA2DC6" w:rsidRDefault="00B36126" w:rsidP="00F22225">
            <w:pPr>
              <w:numPr>
                <w:ilvl w:val="0"/>
                <w:numId w:val="32"/>
              </w:numPr>
              <w:spacing w:before="40" w:after="40"/>
              <w:ind w:left="340"/>
              <w:rPr>
                <w:sz w:val="16"/>
                <w:szCs w:val="18"/>
              </w:rPr>
            </w:pPr>
            <w:r w:rsidRPr="00EA2DC6">
              <w:rPr>
                <w:sz w:val="16"/>
                <w:szCs w:val="18"/>
              </w:rPr>
              <w:t>Support from indigenous partners for management of environment at the site</w:t>
            </w:r>
          </w:p>
          <w:p w14:paraId="6EF10B34" w14:textId="77777777" w:rsidR="00B36126" w:rsidRPr="00EA2DC6" w:rsidRDefault="00B36126" w:rsidP="00F22225">
            <w:pPr>
              <w:numPr>
                <w:ilvl w:val="0"/>
                <w:numId w:val="32"/>
              </w:numPr>
              <w:spacing w:before="40" w:after="40"/>
              <w:ind w:left="340"/>
              <w:rPr>
                <w:sz w:val="16"/>
                <w:szCs w:val="18"/>
              </w:rPr>
            </w:pPr>
            <w:r w:rsidRPr="00EA2DC6">
              <w:rPr>
                <w:sz w:val="16"/>
                <w:szCs w:val="18"/>
              </w:rPr>
              <w:t>Active involvement of cultural groups / representatives with site management</w:t>
            </w:r>
          </w:p>
        </w:tc>
      </w:tr>
      <w:tr w:rsidR="00B36126" w:rsidRPr="00EA2DC6" w14:paraId="3760A538" w14:textId="77777777" w:rsidTr="00307BF3">
        <w:tc>
          <w:tcPr>
            <w:tcW w:w="638" w:type="pct"/>
          </w:tcPr>
          <w:p w14:paraId="4AD666D9" w14:textId="77777777" w:rsidR="00B36126" w:rsidRPr="00EA2DC6" w:rsidRDefault="00B36126" w:rsidP="00307BF3">
            <w:pPr>
              <w:spacing w:before="40" w:after="40"/>
              <w:rPr>
                <w:sz w:val="16"/>
                <w:szCs w:val="18"/>
              </w:rPr>
            </w:pPr>
            <w:r w:rsidRPr="00EA2DC6">
              <w:rPr>
                <w:sz w:val="16"/>
                <w:szCs w:val="18"/>
              </w:rPr>
              <w:t>Cultural</w:t>
            </w:r>
          </w:p>
        </w:tc>
        <w:tc>
          <w:tcPr>
            <w:tcW w:w="1203" w:type="pct"/>
          </w:tcPr>
          <w:p w14:paraId="1E346FE5" w14:textId="77777777" w:rsidR="00B36126" w:rsidRPr="00EA2DC6" w:rsidRDefault="00B36126" w:rsidP="00307BF3">
            <w:pPr>
              <w:spacing w:before="40" w:after="40"/>
              <w:rPr>
                <w:sz w:val="16"/>
                <w:szCs w:val="18"/>
              </w:rPr>
            </w:pPr>
            <w:r w:rsidRPr="00EA2DC6">
              <w:rPr>
                <w:sz w:val="16"/>
                <w:szCs w:val="18"/>
              </w:rPr>
              <w:t>Project objectives and cultural objectives aligned at the site</w:t>
            </w:r>
          </w:p>
        </w:tc>
        <w:tc>
          <w:tcPr>
            <w:tcW w:w="3159" w:type="pct"/>
          </w:tcPr>
          <w:p w14:paraId="5CB56E98" w14:textId="77777777" w:rsidR="00B36126" w:rsidRPr="00EA2DC6" w:rsidRDefault="00B36126" w:rsidP="00F22225">
            <w:pPr>
              <w:numPr>
                <w:ilvl w:val="0"/>
                <w:numId w:val="32"/>
              </w:numPr>
              <w:spacing w:before="40" w:after="40"/>
              <w:ind w:left="340"/>
              <w:rPr>
                <w:sz w:val="16"/>
                <w:szCs w:val="18"/>
              </w:rPr>
            </w:pPr>
            <w:r w:rsidRPr="00EA2DC6">
              <w:rPr>
                <w:sz w:val="16"/>
                <w:szCs w:val="18"/>
              </w:rPr>
              <w:t>Management of the site likely to achieve cultural goals which are linked to a healthy / sustainable Black Box community</w:t>
            </w:r>
          </w:p>
        </w:tc>
      </w:tr>
      <w:tr w:rsidR="00B36126" w:rsidRPr="00EA2DC6" w14:paraId="6915ABAF" w14:textId="77777777" w:rsidTr="00307BF3">
        <w:tc>
          <w:tcPr>
            <w:tcW w:w="638" w:type="pct"/>
          </w:tcPr>
          <w:p w14:paraId="11AF33AE" w14:textId="77777777" w:rsidR="00B36126" w:rsidRPr="00EA2DC6" w:rsidRDefault="00B36126" w:rsidP="00307BF3">
            <w:pPr>
              <w:spacing w:before="40" w:after="40"/>
              <w:rPr>
                <w:sz w:val="16"/>
                <w:szCs w:val="18"/>
              </w:rPr>
            </w:pPr>
            <w:r w:rsidRPr="00EA2DC6">
              <w:rPr>
                <w:sz w:val="16"/>
                <w:szCs w:val="18"/>
              </w:rPr>
              <w:t xml:space="preserve">Social </w:t>
            </w:r>
          </w:p>
        </w:tc>
        <w:tc>
          <w:tcPr>
            <w:tcW w:w="1203" w:type="pct"/>
          </w:tcPr>
          <w:p w14:paraId="095E67FD" w14:textId="77777777" w:rsidR="00B36126" w:rsidRPr="00EA2DC6" w:rsidRDefault="00B36126" w:rsidP="00307BF3">
            <w:pPr>
              <w:spacing w:before="40" w:after="40"/>
              <w:rPr>
                <w:sz w:val="16"/>
                <w:szCs w:val="18"/>
              </w:rPr>
            </w:pPr>
            <w:r w:rsidRPr="00EA2DC6">
              <w:rPr>
                <w:sz w:val="16"/>
                <w:szCs w:val="18"/>
              </w:rPr>
              <w:t>Level of stakeholder interest / engagement at site</w:t>
            </w:r>
          </w:p>
        </w:tc>
        <w:tc>
          <w:tcPr>
            <w:tcW w:w="3159" w:type="pct"/>
          </w:tcPr>
          <w:p w14:paraId="05C81D38" w14:textId="77777777" w:rsidR="00B36126" w:rsidRPr="00EA2DC6" w:rsidRDefault="00B36126" w:rsidP="00F22225">
            <w:pPr>
              <w:numPr>
                <w:ilvl w:val="0"/>
                <w:numId w:val="32"/>
              </w:numPr>
              <w:spacing w:before="40" w:after="40"/>
              <w:ind w:left="340"/>
              <w:rPr>
                <w:sz w:val="16"/>
                <w:szCs w:val="18"/>
              </w:rPr>
            </w:pPr>
            <w:r w:rsidRPr="00EA2DC6">
              <w:rPr>
                <w:sz w:val="16"/>
                <w:szCs w:val="18"/>
              </w:rPr>
              <w:t>Number of stakeholders and community groups with active involvement / interest in site</w:t>
            </w:r>
          </w:p>
        </w:tc>
      </w:tr>
      <w:tr w:rsidR="00B36126" w:rsidRPr="00EA2DC6" w14:paraId="240DD38F" w14:textId="77777777" w:rsidTr="00307BF3">
        <w:tc>
          <w:tcPr>
            <w:tcW w:w="638" w:type="pct"/>
          </w:tcPr>
          <w:p w14:paraId="7F683735" w14:textId="77777777" w:rsidR="00B36126" w:rsidRPr="00EA2DC6" w:rsidRDefault="00B36126" w:rsidP="00307BF3">
            <w:pPr>
              <w:spacing w:before="40" w:after="40"/>
              <w:rPr>
                <w:sz w:val="16"/>
                <w:szCs w:val="18"/>
              </w:rPr>
            </w:pPr>
            <w:r w:rsidRPr="00EA2DC6">
              <w:rPr>
                <w:sz w:val="16"/>
                <w:szCs w:val="18"/>
              </w:rPr>
              <w:t xml:space="preserve">Social </w:t>
            </w:r>
          </w:p>
        </w:tc>
        <w:tc>
          <w:tcPr>
            <w:tcW w:w="1203" w:type="pct"/>
          </w:tcPr>
          <w:p w14:paraId="5C1AD5E7" w14:textId="77777777" w:rsidR="00B36126" w:rsidRPr="00EA2DC6" w:rsidRDefault="00B36126" w:rsidP="00307BF3">
            <w:pPr>
              <w:spacing w:before="40" w:after="40"/>
              <w:rPr>
                <w:sz w:val="16"/>
                <w:szCs w:val="18"/>
              </w:rPr>
            </w:pPr>
            <w:r w:rsidRPr="00EA2DC6">
              <w:rPr>
                <w:sz w:val="16"/>
                <w:szCs w:val="18"/>
              </w:rPr>
              <w:t>Potential for 3</w:t>
            </w:r>
            <w:r w:rsidRPr="00EA2DC6">
              <w:rPr>
                <w:sz w:val="16"/>
                <w:szCs w:val="18"/>
                <w:vertAlign w:val="superscript"/>
              </w:rPr>
              <w:t>rd</w:t>
            </w:r>
            <w:r w:rsidRPr="00EA2DC6">
              <w:rPr>
                <w:sz w:val="16"/>
                <w:szCs w:val="18"/>
              </w:rPr>
              <w:t xml:space="preserve"> party impacts</w:t>
            </w:r>
          </w:p>
        </w:tc>
        <w:tc>
          <w:tcPr>
            <w:tcW w:w="3159" w:type="pct"/>
          </w:tcPr>
          <w:p w14:paraId="0C8CDD42" w14:textId="77777777" w:rsidR="00B36126" w:rsidRPr="00EA2DC6" w:rsidRDefault="00B36126" w:rsidP="00F22225">
            <w:pPr>
              <w:numPr>
                <w:ilvl w:val="0"/>
                <w:numId w:val="32"/>
              </w:numPr>
              <w:spacing w:before="40" w:after="40"/>
              <w:ind w:left="340"/>
              <w:rPr>
                <w:sz w:val="16"/>
                <w:szCs w:val="18"/>
              </w:rPr>
            </w:pPr>
            <w:r w:rsidRPr="00EA2DC6">
              <w:rPr>
                <w:sz w:val="16"/>
                <w:szCs w:val="18"/>
              </w:rPr>
              <w:t>Proximity and potential impact to</w:t>
            </w:r>
            <w:r>
              <w:rPr>
                <w:sz w:val="16"/>
                <w:szCs w:val="18"/>
              </w:rPr>
              <w:t>/from</w:t>
            </w:r>
            <w:r w:rsidRPr="00EA2DC6">
              <w:rPr>
                <w:sz w:val="16"/>
                <w:szCs w:val="18"/>
              </w:rPr>
              <w:t xml:space="preserve"> associated tourism and recreational facilities</w:t>
            </w:r>
          </w:p>
          <w:p w14:paraId="1310D464" w14:textId="77777777" w:rsidR="00B36126" w:rsidRPr="00EA2DC6" w:rsidRDefault="00B36126" w:rsidP="00F22225">
            <w:pPr>
              <w:numPr>
                <w:ilvl w:val="0"/>
                <w:numId w:val="32"/>
              </w:numPr>
              <w:spacing w:before="40" w:after="40"/>
              <w:ind w:left="340"/>
              <w:rPr>
                <w:sz w:val="16"/>
                <w:szCs w:val="18"/>
              </w:rPr>
            </w:pPr>
            <w:r w:rsidRPr="00EA2DC6">
              <w:rPr>
                <w:sz w:val="16"/>
                <w:szCs w:val="18"/>
              </w:rPr>
              <w:t xml:space="preserve">Proximity and potential impact to regional industries </w:t>
            </w:r>
          </w:p>
          <w:p w14:paraId="07B0C8A3" w14:textId="77777777" w:rsidR="00B36126" w:rsidRPr="00EA2DC6" w:rsidRDefault="00B36126" w:rsidP="00F22225">
            <w:pPr>
              <w:numPr>
                <w:ilvl w:val="0"/>
                <w:numId w:val="32"/>
              </w:numPr>
              <w:spacing w:before="40" w:after="40"/>
              <w:ind w:left="340"/>
              <w:rPr>
                <w:sz w:val="16"/>
                <w:szCs w:val="18"/>
              </w:rPr>
            </w:pPr>
            <w:r w:rsidRPr="00EA2DC6">
              <w:rPr>
                <w:sz w:val="16"/>
                <w:szCs w:val="18"/>
              </w:rPr>
              <w:t>Potential for fringe degradation in areas where depth to saline groundwater is less</w:t>
            </w:r>
          </w:p>
        </w:tc>
      </w:tr>
      <w:tr w:rsidR="00B36126" w:rsidRPr="00EA2DC6" w14:paraId="48AD84FA" w14:textId="77777777" w:rsidTr="00307BF3">
        <w:tc>
          <w:tcPr>
            <w:tcW w:w="638" w:type="pct"/>
          </w:tcPr>
          <w:p w14:paraId="4179CD38" w14:textId="77777777" w:rsidR="00B36126" w:rsidRPr="00EA2DC6" w:rsidRDefault="00B36126" w:rsidP="00307BF3">
            <w:pPr>
              <w:spacing w:before="40" w:after="40"/>
              <w:rPr>
                <w:sz w:val="16"/>
                <w:szCs w:val="18"/>
              </w:rPr>
            </w:pPr>
            <w:r w:rsidRPr="00EA2DC6">
              <w:rPr>
                <w:sz w:val="16"/>
                <w:szCs w:val="18"/>
              </w:rPr>
              <w:t>Political</w:t>
            </w:r>
          </w:p>
        </w:tc>
        <w:tc>
          <w:tcPr>
            <w:tcW w:w="1203" w:type="pct"/>
          </w:tcPr>
          <w:p w14:paraId="78C2C6FD" w14:textId="77777777" w:rsidR="00B36126" w:rsidRPr="00EA2DC6" w:rsidRDefault="00B36126" w:rsidP="00307BF3">
            <w:pPr>
              <w:spacing w:before="40" w:after="40"/>
              <w:rPr>
                <w:sz w:val="16"/>
                <w:szCs w:val="18"/>
              </w:rPr>
            </w:pPr>
            <w:r w:rsidRPr="00EA2DC6">
              <w:rPr>
                <w:sz w:val="16"/>
                <w:szCs w:val="18"/>
              </w:rPr>
              <w:t>Management of the site provides direct opportunity for political coverage / education of Black Box importance / plight</w:t>
            </w:r>
          </w:p>
        </w:tc>
        <w:tc>
          <w:tcPr>
            <w:tcW w:w="3159" w:type="pct"/>
          </w:tcPr>
          <w:p w14:paraId="6358DC75" w14:textId="77777777" w:rsidR="00B36126" w:rsidRPr="00EA2DC6" w:rsidRDefault="00B36126" w:rsidP="00F22225">
            <w:pPr>
              <w:numPr>
                <w:ilvl w:val="0"/>
                <w:numId w:val="32"/>
              </w:numPr>
              <w:spacing w:before="40" w:after="40"/>
              <w:ind w:left="340"/>
              <w:rPr>
                <w:sz w:val="16"/>
                <w:szCs w:val="18"/>
              </w:rPr>
            </w:pPr>
            <w:r w:rsidRPr="00EA2DC6">
              <w:rPr>
                <w:sz w:val="16"/>
                <w:szCs w:val="18"/>
              </w:rPr>
              <w:t>Profile of site in the community / media</w:t>
            </w:r>
          </w:p>
          <w:p w14:paraId="630E5AC7" w14:textId="77777777" w:rsidR="00B36126" w:rsidRPr="00EA2DC6" w:rsidRDefault="00B36126" w:rsidP="00F22225">
            <w:pPr>
              <w:numPr>
                <w:ilvl w:val="0"/>
                <w:numId w:val="32"/>
              </w:numPr>
              <w:spacing w:before="40" w:after="40"/>
              <w:ind w:left="340"/>
              <w:rPr>
                <w:sz w:val="16"/>
                <w:szCs w:val="18"/>
              </w:rPr>
            </w:pPr>
            <w:r w:rsidRPr="00EA2DC6">
              <w:rPr>
                <w:sz w:val="16"/>
                <w:szCs w:val="18"/>
              </w:rPr>
              <w:t>Potential for publicity in a variety of multi-media formats</w:t>
            </w:r>
          </w:p>
          <w:p w14:paraId="38BD822C" w14:textId="77777777" w:rsidR="00B36126" w:rsidRDefault="00B36126" w:rsidP="00F22225">
            <w:pPr>
              <w:numPr>
                <w:ilvl w:val="0"/>
                <w:numId w:val="32"/>
              </w:numPr>
              <w:spacing w:before="40" w:after="40"/>
              <w:ind w:left="340"/>
              <w:rPr>
                <w:sz w:val="16"/>
                <w:szCs w:val="18"/>
              </w:rPr>
            </w:pPr>
            <w:r w:rsidRPr="00EA2DC6">
              <w:rPr>
                <w:sz w:val="16"/>
                <w:szCs w:val="18"/>
              </w:rPr>
              <w:t>Potential for project to become example of success story delivered under the framework</w:t>
            </w:r>
          </w:p>
          <w:p w14:paraId="5937B1D1" w14:textId="77777777" w:rsidR="00B36126" w:rsidRPr="00EA2DC6" w:rsidRDefault="00B36126" w:rsidP="00F22225">
            <w:pPr>
              <w:numPr>
                <w:ilvl w:val="0"/>
                <w:numId w:val="32"/>
              </w:numPr>
              <w:spacing w:before="40" w:after="40"/>
              <w:ind w:left="340"/>
              <w:rPr>
                <w:sz w:val="16"/>
                <w:szCs w:val="18"/>
              </w:rPr>
            </w:pPr>
            <w:r>
              <w:rPr>
                <w:sz w:val="16"/>
                <w:szCs w:val="18"/>
              </w:rPr>
              <w:t>Supports previous investment</w:t>
            </w:r>
          </w:p>
        </w:tc>
      </w:tr>
      <w:tr w:rsidR="00B36126" w:rsidRPr="00EA2DC6" w14:paraId="02ED6C91" w14:textId="77777777" w:rsidTr="00307BF3">
        <w:tc>
          <w:tcPr>
            <w:tcW w:w="638" w:type="pct"/>
          </w:tcPr>
          <w:p w14:paraId="43D353CC" w14:textId="77777777" w:rsidR="00B36126" w:rsidRPr="00EA2DC6" w:rsidRDefault="00B36126" w:rsidP="00307BF3">
            <w:pPr>
              <w:spacing w:before="40" w:after="40"/>
              <w:rPr>
                <w:sz w:val="16"/>
                <w:szCs w:val="18"/>
              </w:rPr>
            </w:pPr>
            <w:r w:rsidRPr="00EA2DC6">
              <w:rPr>
                <w:sz w:val="16"/>
                <w:szCs w:val="18"/>
              </w:rPr>
              <w:t>Implementation</w:t>
            </w:r>
          </w:p>
        </w:tc>
        <w:tc>
          <w:tcPr>
            <w:tcW w:w="1203" w:type="pct"/>
          </w:tcPr>
          <w:p w14:paraId="1D427EF2" w14:textId="77777777" w:rsidR="00B36126" w:rsidRPr="00EA2DC6" w:rsidRDefault="00B36126" w:rsidP="00307BF3">
            <w:pPr>
              <w:spacing w:before="40" w:after="40"/>
              <w:rPr>
                <w:sz w:val="16"/>
                <w:szCs w:val="18"/>
              </w:rPr>
            </w:pPr>
            <w:r w:rsidRPr="00EA2DC6">
              <w:rPr>
                <w:sz w:val="16"/>
                <w:szCs w:val="18"/>
              </w:rPr>
              <w:t>Ease of delivery of any management to the site</w:t>
            </w:r>
          </w:p>
        </w:tc>
        <w:tc>
          <w:tcPr>
            <w:tcW w:w="3159" w:type="pct"/>
          </w:tcPr>
          <w:p w14:paraId="1B0CC87B" w14:textId="77777777" w:rsidR="00B36126" w:rsidRPr="00EA2DC6" w:rsidRDefault="00B36126" w:rsidP="00F22225">
            <w:pPr>
              <w:numPr>
                <w:ilvl w:val="0"/>
                <w:numId w:val="32"/>
              </w:numPr>
              <w:spacing w:before="40" w:after="40"/>
              <w:ind w:left="340"/>
              <w:rPr>
                <w:sz w:val="16"/>
                <w:szCs w:val="18"/>
              </w:rPr>
            </w:pPr>
            <w:r w:rsidRPr="00EA2DC6">
              <w:rPr>
                <w:sz w:val="16"/>
                <w:szCs w:val="18"/>
              </w:rPr>
              <w:t>Proximity to resources (e.g. disposal sites, power, water source.)</w:t>
            </w:r>
          </w:p>
          <w:p w14:paraId="5473E3DC" w14:textId="77777777" w:rsidR="00B36126" w:rsidRPr="00EA2DC6" w:rsidRDefault="00B36126" w:rsidP="00F22225">
            <w:pPr>
              <w:numPr>
                <w:ilvl w:val="0"/>
                <w:numId w:val="32"/>
              </w:numPr>
              <w:spacing w:before="40" w:after="40"/>
              <w:ind w:left="340"/>
              <w:rPr>
                <w:sz w:val="16"/>
                <w:szCs w:val="18"/>
              </w:rPr>
            </w:pPr>
            <w:r w:rsidRPr="00EA2DC6">
              <w:rPr>
                <w:color w:val="000000" w:themeColor="text1"/>
                <w:sz w:val="16"/>
                <w:szCs w:val="18"/>
              </w:rPr>
              <w:t>Ease of access to site for all project phases (seasonal variation in conditions / existing tracks, installation of new equipment, servicing, monitoring and evaluation)</w:t>
            </w:r>
          </w:p>
          <w:p w14:paraId="7CF94C34" w14:textId="77777777" w:rsidR="00B36126" w:rsidRPr="00EA2DC6" w:rsidRDefault="00B36126" w:rsidP="00F22225">
            <w:pPr>
              <w:numPr>
                <w:ilvl w:val="0"/>
                <w:numId w:val="32"/>
              </w:numPr>
              <w:spacing w:before="40" w:after="40"/>
              <w:ind w:left="340"/>
              <w:rPr>
                <w:sz w:val="16"/>
                <w:szCs w:val="18"/>
              </w:rPr>
            </w:pPr>
            <w:r w:rsidRPr="00EA2DC6">
              <w:rPr>
                <w:color w:val="000000" w:themeColor="text1"/>
                <w:sz w:val="16"/>
                <w:szCs w:val="18"/>
              </w:rPr>
              <w:t>Scope and difficulty of works to get water to upper floodplain and to contain and manage it on the site</w:t>
            </w:r>
          </w:p>
        </w:tc>
      </w:tr>
      <w:tr w:rsidR="00B36126" w:rsidRPr="00EA2DC6" w14:paraId="1894A01F" w14:textId="77777777" w:rsidTr="00307BF3">
        <w:tc>
          <w:tcPr>
            <w:tcW w:w="638" w:type="pct"/>
          </w:tcPr>
          <w:p w14:paraId="696AABF3" w14:textId="77777777" w:rsidR="00B36126" w:rsidRPr="00EA2DC6" w:rsidRDefault="00B36126" w:rsidP="00307BF3">
            <w:pPr>
              <w:spacing w:before="40" w:after="40"/>
              <w:rPr>
                <w:sz w:val="16"/>
                <w:szCs w:val="18"/>
              </w:rPr>
            </w:pPr>
            <w:r w:rsidRPr="00EA2DC6">
              <w:rPr>
                <w:sz w:val="16"/>
                <w:szCs w:val="18"/>
              </w:rPr>
              <w:t>Implementation</w:t>
            </w:r>
          </w:p>
        </w:tc>
        <w:tc>
          <w:tcPr>
            <w:tcW w:w="1203" w:type="pct"/>
          </w:tcPr>
          <w:p w14:paraId="3C5368BD" w14:textId="77777777" w:rsidR="00B36126" w:rsidRPr="00EA2DC6" w:rsidRDefault="00B36126" w:rsidP="00307BF3">
            <w:pPr>
              <w:spacing w:before="40" w:after="40"/>
              <w:rPr>
                <w:sz w:val="16"/>
                <w:szCs w:val="18"/>
              </w:rPr>
            </w:pPr>
            <w:r w:rsidRPr="00EA2DC6">
              <w:rPr>
                <w:sz w:val="16"/>
                <w:szCs w:val="18"/>
              </w:rPr>
              <w:t>Compatibility with land tenure</w:t>
            </w:r>
          </w:p>
        </w:tc>
        <w:tc>
          <w:tcPr>
            <w:tcW w:w="3159" w:type="pct"/>
          </w:tcPr>
          <w:p w14:paraId="66E5F4DF" w14:textId="77777777" w:rsidR="00B36126" w:rsidRPr="00EA2DC6" w:rsidRDefault="00B36126" w:rsidP="00F22225">
            <w:pPr>
              <w:numPr>
                <w:ilvl w:val="0"/>
                <w:numId w:val="32"/>
              </w:numPr>
              <w:spacing w:before="40" w:after="40"/>
              <w:ind w:left="340"/>
              <w:rPr>
                <w:sz w:val="16"/>
                <w:szCs w:val="18"/>
              </w:rPr>
            </w:pPr>
            <w:r w:rsidRPr="00EA2DC6">
              <w:rPr>
                <w:color w:val="000000" w:themeColor="text1"/>
                <w:sz w:val="16"/>
                <w:szCs w:val="18"/>
              </w:rPr>
              <w:t>Willingness of the landholder to participate if on private land, and for anticipated duration of active management</w:t>
            </w:r>
          </w:p>
          <w:p w14:paraId="1EF00387" w14:textId="77777777" w:rsidR="00B36126" w:rsidRPr="00EA2DC6" w:rsidRDefault="00B36126" w:rsidP="00F22225">
            <w:pPr>
              <w:numPr>
                <w:ilvl w:val="0"/>
                <w:numId w:val="32"/>
              </w:numPr>
              <w:spacing w:before="40" w:after="40"/>
              <w:ind w:left="340"/>
              <w:rPr>
                <w:sz w:val="16"/>
                <w:szCs w:val="18"/>
              </w:rPr>
            </w:pPr>
            <w:r w:rsidRPr="00EA2DC6">
              <w:rPr>
                <w:color w:val="000000" w:themeColor="text1"/>
                <w:sz w:val="16"/>
                <w:szCs w:val="18"/>
              </w:rPr>
              <w:t>Ease of securing approvals if on public lands (site fits with broader regional plans and strategies, regional management actions and priorities)</w:t>
            </w:r>
          </w:p>
          <w:p w14:paraId="78C416D3" w14:textId="77777777" w:rsidR="00B36126" w:rsidRPr="00EA2DC6" w:rsidRDefault="00B36126" w:rsidP="00F22225">
            <w:pPr>
              <w:numPr>
                <w:ilvl w:val="0"/>
                <w:numId w:val="32"/>
              </w:numPr>
              <w:spacing w:before="40" w:after="40"/>
              <w:ind w:left="340"/>
              <w:rPr>
                <w:sz w:val="16"/>
                <w:szCs w:val="18"/>
              </w:rPr>
            </w:pPr>
            <w:r w:rsidRPr="00EA2DC6">
              <w:rPr>
                <w:color w:val="000000" w:themeColor="text1"/>
                <w:sz w:val="16"/>
                <w:szCs w:val="18"/>
              </w:rPr>
              <w:t>If multi-use, all land uses compatible with intent of management proposal (e.g. does not include agricultural grazing).</w:t>
            </w:r>
          </w:p>
          <w:p w14:paraId="15AC931E" w14:textId="77777777" w:rsidR="00B36126" w:rsidRPr="00EA2DC6" w:rsidRDefault="00B36126" w:rsidP="00F22225">
            <w:pPr>
              <w:numPr>
                <w:ilvl w:val="0"/>
                <w:numId w:val="32"/>
              </w:numPr>
              <w:spacing w:before="40" w:after="40"/>
              <w:ind w:left="340"/>
              <w:rPr>
                <w:sz w:val="16"/>
                <w:szCs w:val="18"/>
              </w:rPr>
            </w:pPr>
            <w:r w:rsidRPr="00EA2DC6">
              <w:rPr>
                <w:color w:val="000000" w:themeColor="text1"/>
                <w:sz w:val="16"/>
                <w:szCs w:val="18"/>
              </w:rPr>
              <w:t>Site is protected by voluntary conservation agreement (or equivalent)</w:t>
            </w:r>
          </w:p>
        </w:tc>
      </w:tr>
      <w:tr w:rsidR="00B36126" w:rsidRPr="00EA2DC6" w14:paraId="2BE6DD6F" w14:textId="77777777" w:rsidTr="00307BF3">
        <w:tc>
          <w:tcPr>
            <w:tcW w:w="638" w:type="pct"/>
            <w:tcBorders>
              <w:bottom w:val="single" w:sz="4" w:space="0" w:color="808080"/>
            </w:tcBorders>
          </w:tcPr>
          <w:p w14:paraId="18CF7DE9" w14:textId="77777777" w:rsidR="00B36126" w:rsidRPr="00EA2DC6" w:rsidRDefault="00B36126" w:rsidP="00307BF3">
            <w:pPr>
              <w:spacing w:before="40" w:after="40"/>
              <w:rPr>
                <w:sz w:val="16"/>
                <w:szCs w:val="18"/>
              </w:rPr>
            </w:pPr>
            <w:r w:rsidRPr="00EA2DC6">
              <w:rPr>
                <w:sz w:val="16"/>
                <w:szCs w:val="18"/>
              </w:rPr>
              <w:t>Implementation</w:t>
            </w:r>
          </w:p>
        </w:tc>
        <w:tc>
          <w:tcPr>
            <w:tcW w:w="1203" w:type="pct"/>
            <w:tcBorders>
              <w:bottom w:val="single" w:sz="4" w:space="0" w:color="808080"/>
            </w:tcBorders>
          </w:tcPr>
          <w:p w14:paraId="6B1E1368" w14:textId="77777777" w:rsidR="00B36126" w:rsidRPr="00EA2DC6" w:rsidRDefault="00B36126" w:rsidP="00307BF3">
            <w:pPr>
              <w:spacing w:before="40" w:after="40"/>
              <w:rPr>
                <w:sz w:val="16"/>
                <w:szCs w:val="18"/>
              </w:rPr>
            </w:pPr>
            <w:r w:rsidRPr="00EA2DC6">
              <w:rPr>
                <w:sz w:val="16"/>
                <w:szCs w:val="18"/>
              </w:rPr>
              <w:t>Complexity of hydrology / water regimes</w:t>
            </w:r>
          </w:p>
        </w:tc>
        <w:tc>
          <w:tcPr>
            <w:tcW w:w="3159" w:type="pct"/>
            <w:tcBorders>
              <w:bottom w:val="single" w:sz="4" w:space="0" w:color="808080"/>
            </w:tcBorders>
          </w:tcPr>
          <w:p w14:paraId="7BDB6CB9" w14:textId="77777777" w:rsidR="00B36126" w:rsidRPr="00EA2DC6" w:rsidRDefault="00B36126" w:rsidP="00F22225">
            <w:pPr>
              <w:numPr>
                <w:ilvl w:val="0"/>
                <w:numId w:val="32"/>
              </w:numPr>
              <w:spacing w:before="40" w:after="40"/>
              <w:ind w:left="340"/>
              <w:rPr>
                <w:sz w:val="16"/>
                <w:szCs w:val="18"/>
              </w:rPr>
            </w:pPr>
            <w:r w:rsidRPr="00EA2DC6">
              <w:rPr>
                <w:sz w:val="16"/>
                <w:szCs w:val="18"/>
              </w:rPr>
              <w:t>Capacity for management to address / reverse stressor(s) identified as key to the site e.g. Soil salinization, hydrological regime</w:t>
            </w:r>
          </w:p>
        </w:tc>
      </w:tr>
    </w:tbl>
    <w:p w14:paraId="52C9B846" w14:textId="77777777" w:rsidR="00B36126" w:rsidRPr="00EA2DC6" w:rsidRDefault="00B36126" w:rsidP="00B36126">
      <w:pPr>
        <w:spacing w:before="240" w:after="120"/>
      </w:pPr>
    </w:p>
    <w:p w14:paraId="1FAF442D" w14:textId="77777777" w:rsidR="00B36126" w:rsidRPr="00EA2DC6" w:rsidRDefault="00B36126" w:rsidP="00B36126">
      <w:pPr>
        <w:pStyle w:val="Heading9"/>
        <w:numPr>
          <w:ilvl w:val="0"/>
          <w:numId w:val="8"/>
        </w:numPr>
        <w:spacing w:after="240" w:line="240" w:lineRule="auto"/>
        <w:ind w:left="357" w:hanging="357"/>
        <w:rPr>
          <w:color w:val="65876D" w:themeColor="accent4" w:themeShade="BF"/>
        </w:rPr>
      </w:pPr>
      <w:bookmarkStart w:id="386" w:name="_Ref506813647"/>
      <w:bookmarkStart w:id="387" w:name="_Toc510785228"/>
      <w:r w:rsidRPr="00EA2DC6">
        <w:rPr>
          <w:color w:val="65876D" w:themeColor="accent4" w:themeShade="BF"/>
        </w:rPr>
        <w:t>Assessment Criteria for Management Options</w:t>
      </w:r>
      <w:bookmarkEnd w:id="386"/>
      <w:bookmarkEnd w:id="387"/>
    </w:p>
    <w:tbl>
      <w:tblPr>
        <w:tblStyle w:val="TableGrid"/>
        <w:tblW w:w="4945" w:type="pct"/>
        <w:tblInd w:w="8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264"/>
        <w:gridCol w:w="2473"/>
        <w:gridCol w:w="6060"/>
      </w:tblGrid>
      <w:tr w:rsidR="00B36126" w:rsidRPr="00EA2DC6" w14:paraId="36C960FB" w14:textId="77777777" w:rsidTr="005E0EB1">
        <w:trPr>
          <w:tblHeader/>
        </w:trPr>
        <w:tc>
          <w:tcPr>
            <w:tcW w:w="645" w:type="pct"/>
            <w:tcBorders>
              <w:left w:val="single" w:sz="4" w:space="0" w:color="FFFFFF" w:themeColor="background1"/>
              <w:right w:val="single" w:sz="4" w:space="0" w:color="FFFFFF" w:themeColor="background1"/>
            </w:tcBorders>
            <w:shd w:val="clear" w:color="auto" w:fill="65876D" w:themeFill="accent4" w:themeFillShade="BF"/>
          </w:tcPr>
          <w:p w14:paraId="21D737A9" w14:textId="77777777" w:rsidR="00B36126" w:rsidRPr="00EA2DC6" w:rsidRDefault="00B36126" w:rsidP="00307BF3">
            <w:pPr>
              <w:keepNext/>
              <w:spacing w:before="100" w:after="100"/>
              <w:rPr>
                <w:rFonts w:ascii="Arial Black" w:hAnsi="Arial Black"/>
                <w:color w:val="FFFFFF" w:themeColor="background1"/>
                <w:sz w:val="16"/>
              </w:rPr>
            </w:pPr>
            <w:r w:rsidRPr="00EA2DC6">
              <w:rPr>
                <w:rFonts w:ascii="Arial Black" w:hAnsi="Arial Black"/>
                <w:color w:val="FFFFFF" w:themeColor="background1"/>
                <w:sz w:val="16"/>
              </w:rPr>
              <w:t>MCA criteria</w:t>
            </w:r>
          </w:p>
        </w:tc>
        <w:tc>
          <w:tcPr>
            <w:tcW w:w="1262" w:type="pct"/>
            <w:tcBorders>
              <w:left w:val="single" w:sz="4" w:space="0" w:color="FFFFFF" w:themeColor="background1"/>
              <w:right w:val="single" w:sz="4" w:space="0" w:color="FFFFFF" w:themeColor="background1"/>
            </w:tcBorders>
            <w:shd w:val="clear" w:color="auto" w:fill="65876D" w:themeFill="accent4" w:themeFillShade="BF"/>
          </w:tcPr>
          <w:p w14:paraId="587F028B" w14:textId="77777777" w:rsidR="00B36126" w:rsidRPr="00EA2DC6" w:rsidRDefault="00B36126" w:rsidP="00307BF3">
            <w:pPr>
              <w:keepNext/>
              <w:spacing w:before="100" w:after="100"/>
              <w:rPr>
                <w:rFonts w:ascii="Arial Black" w:hAnsi="Arial Black"/>
                <w:color w:val="FFFFFF" w:themeColor="background1"/>
                <w:sz w:val="16"/>
              </w:rPr>
            </w:pPr>
            <w:r w:rsidRPr="00EA2DC6">
              <w:rPr>
                <w:rFonts w:ascii="Arial Black" w:hAnsi="Arial Black"/>
                <w:color w:val="FFFFFF" w:themeColor="background1"/>
                <w:sz w:val="16"/>
              </w:rPr>
              <w:t>MCA sub-criteria (plug these into MCA analysis)</w:t>
            </w:r>
          </w:p>
        </w:tc>
        <w:tc>
          <w:tcPr>
            <w:tcW w:w="3093" w:type="pct"/>
            <w:tcBorders>
              <w:left w:val="single" w:sz="4" w:space="0" w:color="FFFFFF" w:themeColor="background1"/>
              <w:right w:val="single" w:sz="4" w:space="0" w:color="FFFFFF" w:themeColor="background1"/>
            </w:tcBorders>
            <w:shd w:val="clear" w:color="auto" w:fill="65876D" w:themeFill="accent4" w:themeFillShade="BF"/>
          </w:tcPr>
          <w:p w14:paraId="1B917886" w14:textId="77777777" w:rsidR="00B36126" w:rsidRPr="00EA2DC6" w:rsidRDefault="00B36126" w:rsidP="00307BF3">
            <w:pPr>
              <w:keepNext/>
              <w:tabs>
                <w:tab w:val="left" w:pos="7604"/>
              </w:tabs>
              <w:spacing w:before="100" w:after="100"/>
              <w:jc w:val="center"/>
              <w:rPr>
                <w:rFonts w:ascii="Arial Black" w:hAnsi="Arial Black"/>
                <w:color w:val="FFFFFF" w:themeColor="background1"/>
                <w:sz w:val="16"/>
              </w:rPr>
            </w:pPr>
            <w:r w:rsidRPr="00EA2DC6">
              <w:rPr>
                <w:rFonts w:ascii="Arial Black" w:hAnsi="Arial Black"/>
                <w:color w:val="FFFFFF" w:themeColor="background1"/>
                <w:sz w:val="16"/>
              </w:rPr>
              <w:t xml:space="preserve">Potential parameters that could be used to score </w:t>
            </w:r>
          </w:p>
        </w:tc>
      </w:tr>
      <w:tr w:rsidR="00B36126" w:rsidRPr="00EA2DC6" w14:paraId="0255286B" w14:textId="77777777" w:rsidTr="005E0EB1">
        <w:tc>
          <w:tcPr>
            <w:tcW w:w="645" w:type="pct"/>
          </w:tcPr>
          <w:p w14:paraId="669A4EC7" w14:textId="77777777" w:rsidR="00B36126" w:rsidRPr="00EA2DC6" w:rsidRDefault="00B36126" w:rsidP="005E0EB1">
            <w:pPr>
              <w:spacing w:after="0"/>
              <w:rPr>
                <w:sz w:val="16"/>
                <w:szCs w:val="18"/>
              </w:rPr>
            </w:pPr>
            <w:r w:rsidRPr="00EA2DC6">
              <w:rPr>
                <w:sz w:val="16"/>
                <w:szCs w:val="18"/>
              </w:rPr>
              <w:t>Environment</w:t>
            </w:r>
          </w:p>
        </w:tc>
        <w:tc>
          <w:tcPr>
            <w:tcW w:w="1262" w:type="pct"/>
          </w:tcPr>
          <w:p w14:paraId="48CD2114" w14:textId="77777777" w:rsidR="00B36126" w:rsidRPr="00EA2DC6" w:rsidRDefault="00B36126" w:rsidP="005E0EB1">
            <w:pPr>
              <w:spacing w:after="0"/>
              <w:rPr>
                <w:sz w:val="16"/>
                <w:szCs w:val="18"/>
              </w:rPr>
            </w:pPr>
            <w:r w:rsidRPr="00EA2DC6">
              <w:rPr>
                <w:sz w:val="16"/>
                <w:szCs w:val="18"/>
              </w:rPr>
              <w:t>Area of Black Box that this measure could be applied to</w:t>
            </w:r>
          </w:p>
        </w:tc>
        <w:tc>
          <w:tcPr>
            <w:tcW w:w="3093" w:type="pct"/>
          </w:tcPr>
          <w:p w14:paraId="007ACE9E" w14:textId="77777777" w:rsidR="00B36126" w:rsidRPr="00EA2DC6" w:rsidRDefault="00B36126" w:rsidP="00F22225">
            <w:pPr>
              <w:numPr>
                <w:ilvl w:val="0"/>
                <w:numId w:val="32"/>
              </w:numPr>
              <w:spacing w:after="0"/>
              <w:ind w:left="340"/>
              <w:rPr>
                <w:sz w:val="16"/>
                <w:szCs w:val="18"/>
              </w:rPr>
            </w:pPr>
            <w:r w:rsidRPr="00EA2DC6">
              <w:rPr>
                <w:sz w:val="16"/>
                <w:szCs w:val="18"/>
              </w:rPr>
              <w:t xml:space="preserve">Small, medium, large area of Black Box on the floodplain (which the practitioner can define as ha thresholds </w:t>
            </w:r>
            <w:r>
              <w:rPr>
                <w:sz w:val="16"/>
                <w:szCs w:val="18"/>
              </w:rPr>
              <w:t>and/or</w:t>
            </w:r>
            <w:r w:rsidRPr="00EA2DC6">
              <w:rPr>
                <w:sz w:val="16"/>
                <w:szCs w:val="18"/>
              </w:rPr>
              <w:t xml:space="preserve"> percent of floodplain unit).</w:t>
            </w:r>
          </w:p>
        </w:tc>
      </w:tr>
      <w:tr w:rsidR="00B36126" w:rsidRPr="00EA2DC6" w14:paraId="397DE33D" w14:textId="77777777" w:rsidTr="005E0EB1">
        <w:tc>
          <w:tcPr>
            <w:tcW w:w="645" w:type="pct"/>
          </w:tcPr>
          <w:p w14:paraId="17FC3A03" w14:textId="77777777" w:rsidR="00B36126" w:rsidRPr="00EA2DC6" w:rsidRDefault="00B36126" w:rsidP="005E0EB1">
            <w:pPr>
              <w:spacing w:after="0"/>
              <w:rPr>
                <w:sz w:val="16"/>
                <w:szCs w:val="18"/>
              </w:rPr>
            </w:pPr>
            <w:r w:rsidRPr="00EA2DC6">
              <w:rPr>
                <w:sz w:val="16"/>
                <w:szCs w:val="18"/>
              </w:rPr>
              <w:t>Environment</w:t>
            </w:r>
          </w:p>
        </w:tc>
        <w:tc>
          <w:tcPr>
            <w:tcW w:w="1262" w:type="pct"/>
          </w:tcPr>
          <w:p w14:paraId="424A395A" w14:textId="77777777" w:rsidR="00B36126" w:rsidRPr="00EA2DC6" w:rsidRDefault="00B36126" w:rsidP="005E0EB1">
            <w:pPr>
              <w:spacing w:after="0"/>
              <w:rPr>
                <w:sz w:val="16"/>
                <w:szCs w:val="18"/>
              </w:rPr>
            </w:pPr>
            <w:r w:rsidRPr="00EA2DC6">
              <w:rPr>
                <w:sz w:val="16"/>
                <w:szCs w:val="18"/>
              </w:rPr>
              <w:t>Location on site that this management option could be applied to</w:t>
            </w:r>
          </w:p>
        </w:tc>
        <w:tc>
          <w:tcPr>
            <w:tcW w:w="3093" w:type="pct"/>
          </w:tcPr>
          <w:p w14:paraId="3486FBFD" w14:textId="77777777" w:rsidR="00B36126" w:rsidRPr="00EA2DC6" w:rsidRDefault="00B36126" w:rsidP="00F22225">
            <w:pPr>
              <w:numPr>
                <w:ilvl w:val="0"/>
                <w:numId w:val="32"/>
              </w:numPr>
              <w:spacing w:after="0"/>
              <w:ind w:left="340"/>
              <w:rPr>
                <w:sz w:val="16"/>
                <w:szCs w:val="18"/>
              </w:rPr>
            </w:pPr>
            <w:r w:rsidRPr="00EA2DC6">
              <w:rPr>
                <w:sz w:val="16"/>
                <w:szCs w:val="18"/>
              </w:rPr>
              <w:t>In close proximity to river / anabranch, to upper reaches of floodplain, multiple (if resources / investment not limited)</w:t>
            </w:r>
            <w:r>
              <w:rPr>
                <w:sz w:val="16"/>
                <w:szCs w:val="18"/>
              </w:rPr>
              <w:t>.</w:t>
            </w:r>
          </w:p>
        </w:tc>
      </w:tr>
      <w:tr w:rsidR="00B36126" w:rsidRPr="00EA2DC6" w14:paraId="5D818412" w14:textId="77777777" w:rsidTr="005E0EB1">
        <w:tc>
          <w:tcPr>
            <w:tcW w:w="645" w:type="pct"/>
          </w:tcPr>
          <w:p w14:paraId="2D837C32" w14:textId="77777777" w:rsidR="00B36126" w:rsidRPr="00EA2DC6" w:rsidRDefault="00B36126" w:rsidP="005E0EB1">
            <w:pPr>
              <w:spacing w:after="0"/>
              <w:rPr>
                <w:sz w:val="16"/>
                <w:szCs w:val="18"/>
              </w:rPr>
            </w:pPr>
            <w:r w:rsidRPr="00EA2DC6">
              <w:rPr>
                <w:sz w:val="16"/>
                <w:szCs w:val="18"/>
              </w:rPr>
              <w:t>Environment</w:t>
            </w:r>
          </w:p>
        </w:tc>
        <w:tc>
          <w:tcPr>
            <w:tcW w:w="1262" w:type="pct"/>
          </w:tcPr>
          <w:p w14:paraId="28404642" w14:textId="77777777" w:rsidR="00B36126" w:rsidRPr="00EA2DC6" w:rsidRDefault="00B36126" w:rsidP="005E0EB1">
            <w:pPr>
              <w:spacing w:after="0"/>
              <w:rPr>
                <w:sz w:val="16"/>
                <w:szCs w:val="18"/>
              </w:rPr>
            </w:pPr>
            <w:r w:rsidRPr="00EA2DC6">
              <w:rPr>
                <w:sz w:val="16"/>
                <w:szCs w:val="18"/>
              </w:rPr>
              <w:t xml:space="preserve">Management regime will restore </w:t>
            </w:r>
            <w:r>
              <w:rPr>
                <w:sz w:val="16"/>
                <w:szCs w:val="18"/>
              </w:rPr>
              <w:t xml:space="preserve">either or </w:t>
            </w:r>
            <w:r w:rsidRPr="00EA2DC6">
              <w:rPr>
                <w:sz w:val="16"/>
                <w:szCs w:val="18"/>
              </w:rPr>
              <w:t xml:space="preserve">both the water and salt balance required to support healthy / sustainable Black Box </w:t>
            </w:r>
          </w:p>
        </w:tc>
        <w:tc>
          <w:tcPr>
            <w:tcW w:w="3093" w:type="pct"/>
          </w:tcPr>
          <w:p w14:paraId="44D41F61" w14:textId="419DFA9D" w:rsidR="00B36126" w:rsidRPr="00EA2DC6" w:rsidRDefault="00B36126" w:rsidP="00F22225">
            <w:pPr>
              <w:numPr>
                <w:ilvl w:val="0"/>
                <w:numId w:val="32"/>
              </w:numPr>
              <w:spacing w:after="0"/>
              <w:ind w:left="340"/>
              <w:rPr>
                <w:sz w:val="16"/>
                <w:szCs w:val="18"/>
              </w:rPr>
            </w:pPr>
            <w:r w:rsidRPr="00EA2DC6">
              <w:rPr>
                <w:sz w:val="16"/>
                <w:szCs w:val="18"/>
              </w:rPr>
              <w:t xml:space="preserve">Does it provide sufficient soil moisture availability to maintain or </w:t>
            </w:r>
            <w:r w:rsidR="005C4005" w:rsidRPr="00EA2DC6">
              <w:rPr>
                <w:sz w:val="16"/>
                <w:szCs w:val="18"/>
              </w:rPr>
              <w:t>improve Black</w:t>
            </w:r>
            <w:r w:rsidRPr="00EA2DC6">
              <w:rPr>
                <w:sz w:val="16"/>
                <w:szCs w:val="18"/>
              </w:rPr>
              <w:t xml:space="preserve"> Box condition and functionality</w:t>
            </w:r>
          </w:p>
          <w:p w14:paraId="18C49812" w14:textId="77777777" w:rsidR="00B36126" w:rsidRPr="00EA2DC6" w:rsidRDefault="00B36126" w:rsidP="00F22225">
            <w:pPr>
              <w:numPr>
                <w:ilvl w:val="0"/>
                <w:numId w:val="32"/>
              </w:numPr>
              <w:spacing w:after="0"/>
              <w:ind w:left="340"/>
              <w:rPr>
                <w:sz w:val="16"/>
                <w:szCs w:val="18"/>
              </w:rPr>
            </w:pPr>
            <w:r w:rsidRPr="00EA2DC6">
              <w:rPr>
                <w:sz w:val="16"/>
                <w:szCs w:val="18"/>
              </w:rPr>
              <w:t>Restore soil salinity conditions to a suitable range to complement required soil moisture availability to maintain or improve Black Box condition</w:t>
            </w:r>
          </w:p>
          <w:p w14:paraId="490A971F" w14:textId="77777777" w:rsidR="00B36126" w:rsidRPr="00EA2DC6" w:rsidRDefault="00B36126" w:rsidP="00F22225">
            <w:pPr>
              <w:numPr>
                <w:ilvl w:val="0"/>
                <w:numId w:val="32"/>
              </w:numPr>
              <w:spacing w:after="0"/>
              <w:ind w:left="340"/>
              <w:rPr>
                <w:sz w:val="16"/>
                <w:szCs w:val="18"/>
              </w:rPr>
            </w:pPr>
            <w:r w:rsidRPr="00EA2DC6">
              <w:rPr>
                <w:sz w:val="16"/>
                <w:szCs w:val="18"/>
              </w:rPr>
              <w:t>Establish groundwater conditions (depth / salinity) conducive to maintaining a healthy Black Box community</w:t>
            </w:r>
          </w:p>
          <w:p w14:paraId="36545D06" w14:textId="77777777" w:rsidR="00B36126" w:rsidRPr="00EA2DC6" w:rsidRDefault="00B36126" w:rsidP="00F22225">
            <w:pPr>
              <w:numPr>
                <w:ilvl w:val="0"/>
                <w:numId w:val="32"/>
              </w:numPr>
              <w:spacing w:after="0"/>
              <w:ind w:left="340"/>
              <w:rPr>
                <w:sz w:val="16"/>
                <w:szCs w:val="18"/>
              </w:rPr>
            </w:pPr>
            <w:r w:rsidRPr="00EA2DC6">
              <w:rPr>
                <w:sz w:val="16"/>
                <w:szCs w:val="18"/>
              </w:rPr>
              <w:t>Option interferes with natural floodplain hydrological regime</w:t>
            </w:r>
          </w:p>
        </w:tc>
      </w:tr>
      <w:tr w:rsidR="00B36126" w:rsidRPr="00EA2DC6" w14:paraId="4AF03ACF" w14:textId="77777777" w:rsidTr="005E0EB1">
        <w:tc>
          <w:tcPr>
            <w:tcW w:w="645" w:type="pct"/>
          </w:tcPr>
          <w:p w14:paraId="4CB49F06" w14:textId="77777777" w:rsidR="00B36126" w:rsidRPr="00EA2DC6" w:rsidRDefault="00B36126" w:rsidP="005E0EB1">
            <w:pPr>
              <w:spacing w:after="0"/>
              <w:rPr>
                <w:sz w:val="16"/>
                <w:szCs w:val="18"/>
              </w:rPr>
            </w:pPr>
            <w:r w:rsidRPr="00EA2DC6">
              <w:rPr>
                <w:sz w:val="16"/>
                <w:szCs w:val="18"/>
              </w:rPr>
              <w:t>Environment</w:t>
            </w:r>
          </w:p>
        </w:tc>
        <w:tc>
          <w:tcPr>
            <w:tcW w:w="1262" w:type="pct"/>
          </w:tcPr>
          <w:p w14:paraId="48458604" w14:textId="77777777" w:rsidR="00B36126" w:rsidRPr="00EA2DC6" w:rsidRDefault="00B36126" w:rsidP="005E0EB1">
            <w:pPr>
              <w:spacing w:after="0"/>
              <w:rPr>
                <w:sz w:val="16"/>
                <w:szCs w:val="18"/>
              </w:rPr>
            </w:pPr>
            <w:r w:rsidRPr="00EA2DC6">
              <w:rPr>
                <w:sz w:val="16"/>
                <w:szCs w:val="18"/>
              </w:rPr>
              <w:t>Likely ability of management option to limit / reverse impacts of stressor(s) to the current and projected life stages of Black Box</w:t>
            </w:r>
          </w:p>
        </w:tc>
        <w:tc>
          <w:tcPr>
            <w:tcW w:w="3093" w:type="pct"/>
          </w:tcPr>
          <w:p w14:paraId="2E332351" w14:textId="77777777" w:rsidR="00B36126" w:rsidRPr="00EA2DC6" w:rsidRDefault="00B36126" w:rsidP="00F22225">
            <w:pPr>
              <w:numPr>
                <w:ilvl w:val="0"/>
                <w:numId w:val="32"/>
              </w:numPr>
              <w:spacing w:after="0"/>
              <w:ind w:left="340"/>
              <w:rPr>
                <w:sz w:val="16"/>
                <w:szCs w:val="18"/>
              </w:rPr>
            </w:pPr>
            <w:r w:rsidRPr="00EA2DC6">
              <w:rPr>
                <w:sz w:val="16"/>
                <w:szCs w:val="18"/>
              </w:rPr>
              <w:t>No. of stressors likely to be addressed by the management option</w:t>
            </w:r>
          </w:p>
          <w:p w14:paraId="7ADEA86C" w14:textId="77777777" w:rsidR="00B36126" w:rsidRPr="00EA2DC6" w:rsidRDefault="00B36126" w:rsidP="00F22225">
            <w:pPr>
              <w:numPr>
                <w:ilvl w:val="0"/>
                <w:numId w:val="32"/>
              </w:numPr>
              <w:spacing w:after="0"/>
              <w:ind w:left="340"/>
              <w:rPr>
                <w:sz w:val="16"/>
                <w:szCs w:val="18"/>
              </w:rPr>
            </w:pPr>
            <w:r w:rsidRPr="00EA2DC6">
              <w:rPr>
                <w:sz w:val="16"/>
                <w:szCs w:val="18"/>
              </w:rPr>
              <w:t>No. of life stages of Black Box that are likely to be benefited by management option</w:t>
            </w:r>
          </w:p>
        </w:tc>
      </w:tr>
      <w:tr w:rsidR="00B36126" w:rsidRPr="00EA2DC6" w14:paraId="4F0B234D" w14:textId="77777777" w:rsidTr="005E0EB1">
        <w:tc>
          <w:tcPr>
            <w:tcW w:w="645" w:type="pct"/>
          </w:tcPr>
          <w:p w14:paraId="7D0CEF89" w14:textId="77777777" w:rsidR="00B36126" w:rsidRPr="00EA2DC6" w:rsidRDefault="00B36126" w:rsidP="005E0EB1">
            <w:pPr>
              <w:spacing w:after="0"/>
              <w:rPr>
                <w:sz w:val="16"/>
                <w:szCs w:val="18"/>
              </w:rPr>
            </w:pPr>
            <w:r w:rsidRPr="00EA2DC6">
              <w:rPr>
                <w:sz w:val="16"/>
                <w:szCs w:val="18"/>
              </w:rPr>
              <w:t>Environment</w:t>
            </w:r>
          </w:p>
        </w:tc>
        <w:tc>
          <w:tcPr>
            <w:tcW w:w="1262" w:type="pct"/>
          </w:tcPr>
          <w:p w14:paraId="744E60E3" w14:textId="77777777" w:rsidR="00B36126" w:rsidRPr="00EA2DC6" w:rsidRDefault="00B36126" w:rsidP="005E0EB1">
            <w:pPr>
              <w:spacing w:after="0"/>
              <w:rPr>
                <w:sz w:val="16"/>
                <w:szCs w:val="18"/>
              </w:rPr>
            </w:pPr>
            <w:r w:rsidRPr="00EA2DC6">
              <w:rPr>
                <w:sz w:val="16"/>
                <w:szCs w:val="18"/>
              </w:rPr>
              <w:t>Potential for offsite salinity impacts</w:t>
            </w:r>
          </w:p>
        </w:tc>
        <w:tc>
          <w:tcPr>
            <w:tcW w:w="3093" w:type="pct"/>
          </w:tcPr>
          <w:p w14:paraId="7DE7EA0F" w14:textId="77777777" w:rsidR="00B36126" w:rsidRPr="00EA2DC6" w:rsidRDefault="00B36126" w:rsidP="00F22225">
            <w:pPr>
              <w:numPr>
                <w:ilvl w:val="0"/>
                <w:numId w:val="32"/>
              </w:numPr>
              <w:spacing w:after="0"/>
              <w:ind w:left="340"/>
              <w:rPr>
                <w:sz w:val="16"/>
                <w:szCs w:val="18"/>
              </w:rPr>
            </w:pPr>
            <w:r w:rsidRPr="00EA2DC6">
              <w:rPr>
                <w:sz w:val="16"/>
                <w:szCs w:val="18"/>
              </w:rPr>
              <w:t xml:space="preserve">Potential impact on fringe zones outside of the managed areas; </w:t>
            </w:r>
          </w:p>
          <w:p w14:paraId="450B3C8E" w14:textId="77777777" w:rsidR="00B36126" w:rsidRPr="00EA2DC6" w:rsidRDefault="00B36126" w:rsidP="00F22225">
            <w:pPr>
              <w:numPr>
                <w:ilvl w:val="0"/>
                <w:numId w:val="32"/>
              </w:numPr>
              <w:spacing w:after="0"/>
              <w:ind w:left="340"/>
              <w:rPr>
                <w:sz w:val="16"/>
                <w:szCs w:val="18"/>
              </w:rPr>
            </w:pPr>
            <w:r w:rsidRPr="00EA2DC6">
              <w:rPr>
                <w:sz w:val="16"/>
                <w:szCs w:val="18"/>
              </w:rPr>
              <w:t>Possible degradation of freshwater lenses</w:t>
            </w:r>
            <w:r>
              <w:rPr>
                <w:sz w:val="16"/>
                <w:szCs w:val="18"/>
              </w:rPr>
              <w:t xml:space="preserve"> or groundwater mounding</w:t>
            </w:r>
            <w:r w:rsidRPr="00EA2DC6">
              <w:rPr>
                <w:sz w:val="16"/>
                <w:szCs w:val="18"/>
              </w:rPr>
              <w:t>;</w:t>
            </w:r>
          </w:p>
          <w:p w14:paraId="5B1EFE35" w14:textId="77777777" w:rsidR="00B36126" w:rsidRPr="00EA2DC6" w:rsidRDefault="00B36126" w:rsidP="00F22225">
            <w:pPr>
              <w:numPr>
                <w:ilvl w:val="0"/>
                <w:numId w:val="32"/>
              </w:numPr>
              <w:spacing w:after="0"/>
              <w:ind w:left="340"/>
              <w:rPr>
                <w:sz w:val="16"/>
                <w:szCs w:val="18"/>
              </w:rPr>
            </w:pPr>
            <w:r w:rsidRPr="00EA2DC6">
              <w:rPr>
                <w:sz w:val="16"/>
                <w:szCs w:val="18"/>
              </w:rPr>
              <w:t>Potential for salt export to the river</w:t>
            </w:r>
          </w:p>
        </w:tc>
      </w:tr>
      <w:tr w:rsidR="00B36126" w:rsidRPr="00EA2DC6" w14:paraId="55EA5A08" w14:textId="77777777" w:rsidTr="005E0EB1">
        <w:tc>
          <w:tcPr>
            <w:tcW w:w="645" w:type="pct"/>
          </w:tcPr>
          <w:p w14:paraId="795617F6" w14:textId="77777777" w:rsidR="00B36126" w:rsidRPr="00EA2DC6" w:rsidRDefault="00B36126" w:rsidP="005E0EB1">
            <w:pPr>
              <w:spacing w:after="0"/>
              <w:rPr>
                <w:sz w:val="16"/>
                <w:szCs w:val="18"/>
              </w:rPr>
            </w:pPr>
            <w:r w:rsidRPr="00EA2DC6">
              <w:rPr>
                <w:sz w:val="16"/>
                <w:szCs w:val="18"/>
              </w:rPr>
              <w:t>Economic</w:t>
            </w:r>
          </w:p>
        </w:tc>
        <w:tc>
          <w:tcPr>
            <w:tcW w:w="1262" w:type="pct"/>
          </w:tcPr>
          <w:p w14:paraId="76E23425" w14:textId="77777777" w:rsidR="00B36126" w:rsidRPr="00EA2DC6" w:rsidRDefault="00B36126" w:rsidP="005E0EB1">
            <w:pPr>
              <w:spacing w:after="0"/>
              <w:rPr>
                <w:sz w:val="16"/>
                <w:szCs w:val="18"/>
              </w:rPr>
            </w:pPr>
            <w:r w:rsidRPr="00EA2DC6">
              <w:rPr>
                <w:sz w:val="16"/>
                <w:szCs w:val="18"/>
              </w:rPr>
              <w:t>Cost Benefit Assessment Ratio</w:t>
            </w:r>
          </w:p>
        </w:tc>
        <w:tc>
          <w:tcPr>
            <w:tcW w:w="3093" w:type="pct"/>
          </w:tcPr>
          <w:p w14:paraId="5EF77257" w14:textId="77777777" w:rsidR="00B36126" w:rsidRPr="00EA2DC6" w:rsidRDefault="00B36126" w:rsidP="00F22225">
            <w:pPr>
              <w:numPr>
                <w:ilvl w:val="0"/>
                <w:numId w:val="32"/>
              </w:numPr>
              <w:spacing w:after="0"/>
              <w:ind w:left="340"/>
              <w:rPr>
                <w:sz w:val="16"/>
                <w:szCs w:val="18"/>
              </w:rPr>
            </w:pPr>
            <w:r w:rsidRPr="00EA2DC6">
              <w:rPr>
                <w:sz w:val="16"/>
                <w:szCs w:val="18"/>
              </w:rPr>
              <w:t>Score from the CBA</w:t>
            </w:r>
          </w:p>
        </w:tc>
      </w:tr>
      <w:tr w:rsidR="00B36126" w:rsidRPr="00EA2DC6" w14:paraId="7A93BCC2" w14:textId="77777777" w:rsidTr="005E0EB1">
        <w:tc>
          <w:tcPr>
            <w:tcW w:w="645" w:type="pct"/>
          </w:tcPr>
          <w:p w14:paraId="1A8CCA5D" w14:textId="77777777" w:rsidR="00B36126" w:rsidRPr="00EA2DC6" w:rsidRDefault="00B36126" w:rsidP="005E0EB1">
            <w:pPr>
              <w:spacing w:after="0"/>
              <w:rPr>
                <w:sz w:val="16"/>
                <w:szCs w:val="18"/>
              </w:rPr>
            </w:pPr>
            <w:r w:rsidRPr="00EA2DC6">
              <w:rPr>
                <w:sz w:val="16"/>
                <w:szCs w:val="18"/>
              </w:rPr>
              <w:t>Economic</w:t>
            </w:r>
          </w:p>
        </w:tc>
        <w:tc>
          <w:tcPr>
            <w:tcW w:w="1262" w:type="pct"/>
          </w:tcPr>
          <w:p w14:paraId="263C0304" w14:textId="77777777" w:rsidR="00B36126" w:rsidRPr="00EA2DC6" w:rsidRDefault="00B36126" w:rsidP="005E0EB1">
            <w:pPr>
              <w:spacing w:after="0"/>
              <w:rPr>
                <w:sz w:val="16"/>
                <w:szCs w:val="18"/>
              </w:rPr>
            </w:pPr>
            <w:r w:rsidRPr="00EA2DC6">
              <w:rPr>
                <w:sz w:val="16"/>
                <w:szCs w:val="18"/>
              </w:rPr>
              <w:t>Pre-existing services to deliver project at site</w:t>
            </w:r>
          </w:p>
        </w:tc>
        <w:tc>
          <w:tcPr>
            <w:tcW w:w="3093" w:type="pct"/>
          </w:tcPr>
          <w:p w14:paraId="674C70E4" w14:textId="77777777" w:rsidR="00B36126" w:rsidRPr="00EA2DC6" w:rsidRDefault="00B36126" w:rsidP="00F22225">
            <w:pPr>
              <w:numPr>
                <w:ilvl w:val="0"/>
                <w:numId w:val="32"/>
              </w:numPr>
              <w:spacing w:after="0"/>
              <w:ind w:left="340"/>
              <w:rPr>
                <w:sz w:val="16"/>
                <w:szCs w:val="18"/>
              </w:rPr>
            </w:pPr>
            <w:r w:rsidRPr="00EA2DC6">
              <w:rPr>
                <w:sz w:val="16"/>
                <w:szCs w:val="18"/>
              </w:rPr>
              <w:t>Capacity to deliver management option is high with existing or upgradable services present on / in proximity to the site (i.e. pumps, regulators, power, wells etc.)</w:t>
            </w:r>
          </w:p>
        </w:tc>
      </w:tr>
      <w:tr w:rsidR="00B36126" w:rsidRPr="00EA2DC6" w14:paraId="41E73C3C" w14:textId="77777777" w:rsidTr="005E0EB1">
        <w:tc>
          <w:tcPr>
            <w:tcW w:w="645" w:type="pct"/>
          </w:tcPr>
          <w:p w14:paraId="10BD47D4" w14:textId="77777777" w:rsidR="00B36126" w:rsidRPr="00EA2DC6" w:rsidRDefault="00B36126" w:rsidP="005E0EB1">
            <w:pPr>
              <w:spacing w:after="0"/>
              <w:rPr>
                <w:sz w:val="16"/>
                <w:szCs w:val="18"/>
              </w:rPr>
            </w:pPr>
            <w:r w:rsidRPr="00EA2DC6">
              <w:rPr>
                <w:sz w:val="16"/>
                <w:szCs w:val="18"/>
              </w:rPr>
              <w:t>Social</w:t>
            </w:r>
          </w:p>
        </w:tc>
        <w:tc>
          <w:tcPr>
            <w:tcW w:w="1262" w:type="pct"/>
          </w:tcPr>
          <w:p w14:paraId="4879527A" w14:textId="77777777" w:rsidR="00B36126" w:rsidRPr="00EA2DC6" w:rsidRDefault="00B36126" w:rsidP="005E0EB1">
            <w:pPr>
              <w:spacing w:after="0"/>
              <w:rPr>
                <w:sz w:val="16"/>
                <w:szCs w:val="18"/>
              </w:rPr>
            </w:pPr>
            <w:r w:rsidRPr="00EA2DC6">
              <w:rPr>
                <w:sz w:val="16"/>
                <w:szCs w:val="18"/>
              </w:rPr>
              <w:t>Potential for 3</w:t>
            </w:r>
            <w:r w:rsidRPr="00EA2DC6">
              <w:rPr>
                <w:sz w:val="16"/>
                <w:szCs w:val="18"/>
                <w:vertAlign w:val="superscript"/>
              </w:rPr>
              <w:t>rd</w:t>
            </w:r>
            <w:r w:rsidRPr="00EA2DC6">
              <w:rPr>
                <w:sz w:val="16"/>
                <w:szCs w:val="18"/>
              </w:rPr>
              <w:t xml:space="preserve"> party impacts</w:t>
            </w:r>
          </w:p>
        </w:tc>
        <w:tc>
          <w:tcPr>
            <w:tcW w:w="3093" w:type="pct"/>
          </w:tcPr>
          <w:p w14:paraId="715DF094" w14:textId="77777777" w:rsidR="00B36126" w:rsidRPr="00EA2DC6" w:rsidRDefault="00B36126" w:rsidP="00F22225">
            <w:pPr>
              <w:numPr>
                <w:ilvl w:val="0"/>
                <w:numId w:val="32"/>
              </w:numPr>
              <w:spacing w:after="0"/>
              <w:ind w:left="340"/>
              <w:rPr>
                <w:sz w:val="16"/>
                <w:szCs w:val="18"/>
              </w:rPr>
            </w:pPr>
            <w:r w:rsidRPr="00EA2DC6">
              <w:rPr>
                <w:sz w:val="16"/>
                <w:szCs w:val="18"/>
              </w:rPr>
              <w:t>Impact to floodplain public existing usage (e.g. access, recreation, public vehicle and boat access, etc.)</w:t>
            </w:r>
          </w:p>
          <w:p w14:paraId="3BE34AF0" w14:textId="77777777" w:rsidR="00B36126" w:rsidRPr="00EA2DC6" w:rsidRDefault="00B36126" w:rsidP="00F22225">
            <w:pPr>
              <w:numPr>
                <w:ilvl w:val="0"/>
                <w:numId w:val="32"/>
              </w:numPr>
              <w:spacing w:after="0"/>
              <w:ind w:left="340"/>
              <w:rPr>
                <w:sz w:val="16"/>
                <w:szCs w:val="18"/>
              </w:rPr>
            </w:pPr>
            <w:r w:rsidRPr="00EA2DC6">
              <w:rPr>
                <w:sz w:val="16"/>
                <w:szCs w:val="18"/>
              </w:rPr>
              <w:t>Impact to upstream / downstream water users and associated assets</w:t>
            </w:r>
          </w:p>
          <w:p w14:paraId="19BEA5B1" w14:textId="77777777" w:rsidR="00B36126" w:rsidRPr="00EA2DC6" w:rsidRDefault="00B36126" w:rsidP="00F22225">
            <w:pPr>
              <w:numPr>
                <w:ilvl w:val="0"/>
                <w:numId w:val="32"/>
              </w:numPr>
              <w:spacing w:after="0"/>
              <w:ind w:left="340"/>
              <w:rPr>
                <w:sz w:val="16"/>
                <w:szCs w:val="18"/>
              </w:rPr>
            </w:pPr>
            <w:r w:rsidRPr="00EA2DC6">
              <w:rPr>
                <w:sz w:val="16"/>
                <w:szCs w:val="18"/>
              </w:rPr>
              <w:t>Impact on irrigation communities</w:t>
            </w:r>
          </w:p>
        </w:tc>
      </w:tr>
      <w:tr w:rsidR="00B36126" w:rsidRPr="00EA2DC6" w14:paraId="231D9870" w14:textId="77777777" w:rsidTr="005E0EB1">
        <w:tc>
          <w:tcPr>
            <w:tcW w:w="645" w:type="pct"/>
          </w:tcPr>
          <w:p w14:paraId="5EFEA7D5" w14:textId="77777777" w:rsidR="00B36126" w:rsidRPr="00EA2DC6" w:rsidRDefault="00B36126" w:rsidP="005E0EB1">
            <w:pPr>
              <w:spacing w:after="0"/>
              <w:rPr>
                <w:sz w:val="16"/>
                <w:szCs w:val="18"/>
              </w:rPr>
            </w:pPr>
            <w:r w:rsidRPr="00EA2DC6">
              <w:rPr>
                <w:sz w:val="16"/>
                <w:szCs w:val="18"/>
              </w:rPr>
              <w:t>Cultural</w:t>
            </w:r>
          </w:p>
        </w:tc>
        <w:tc>
          <w:tcPr>
            <w:tcW w:w="1262" w:type="pct"/>
          </w:tcPr>
          <w:p w14:paraId="6A796EA4" w14:textId="77777777" w:rsidR="00B36126" w:rsidRPr="00EA2DC6" w:rsidRDefault="00B36126" w:rsidP="005E0EB1">
            <w:pPr>
              <w:spacing w:after="0"/>
              <w:rPr>
                <w:sz w:val="16"/>
                <w:szCs w:val="18"/>
              </w:rPr>
            </w:pPr>
            <w:r w:rsidRPr="00EA2DC6">
              <w:rPr>
                <w:sz w:val="16"/>
                <w:szCs w:val="18"/>
              </w:rPr>
              <w:t>Potential for impact on matters of cultural heritage / significance</w:t>
            </w:r>
          </w:p>
        </w:tc>
        <w:tc>
          <w:tcPr>
            <w:tcW w:w="3093" w:type="pct"/>
          </w:tcPr>
          <w:p w14:paraId="4F9688BB" w14:textId="77777777" w:rsidR="00B36126" w:rsidRPr="00EA2DC6" w:rsidRDefault="00B36126" w:rsidP="00F22225">
            <w:pPr>
              <w:numPr>
                <w:ilvl w:val="0"/>
                <w:numId w:val="32"/>
              </w:numPr>
              <w:spacing w:after="0"/>
              <w:ind w:left="340"/>
              <w:rPr>
                <w:sz w:val="16"/>
                <w:szCs w:val="18"/>
              </w:rPr>
            </w:pPr>
            <w:r w:rsidRPr="00EA2DC6">
              <w:rPr>
                <w:sz w:val="16"/>
                <w:szCs w:val="18"/>
              </w:rPr>
              <w:t>Impact on Indigenous cultural heritage</w:t>
            </w:r>
          </w:p>
          <w:p w14:paraId="5D085123" w14:textId="77777777" w:rsidR="00B36126" w:rsidRPr="00EA2DC6" w:rsidRDefault="00B36126" w:rsidP="00F22225">
            <w:pPr>
              <w:numPr>
                <w:ilvl w:val="0"/>
                <w:numId w:val="32"/>
              </w:numPr>
              <w:spacing w:after="0"/>
              <w:ind w:left="340"/>
              <w:rPr>
                <w:sz w:val="16"/>
                <w:szCs w:val="18"/>
              </w:rPr>
            </w:pPr>
            <w:r w:rsidRPr="00EA2DC6">
              <w:rPr>
                <w:sz w:val="16"/>
                <w:szCs w:val="18"/>
              </w:rPr>
              <w:t>Impact on European cultural heritage</w:t>
            </w:r>
          </w:p>
        </w:tc>
      </w:tr>
      <w:tr w:rsidR="00B36126" w:rsidRPr="00EA2DC6" w14:paraId="26F2BDE4" w14:textId="77777777" w:rsidTr="005E0EB1">
        <w:tc>
          <w:tcPr>
            <w:tcW w:w="645" w:type="pct"/>
          </w:tcPr>
          <w:p w14:paraId="416DC9AB" w14:textId="77777777" w:rsidR="00B36126" w:rsidRPr="00EA2DC6" w:rsidRDefault="00B36126" w:rsidP="005E0EB1">
            <w:pPr>
              <w:spacing w:after="0"/>
              <w:rPr>
                <w:sz w:val="16"/>
                <w:szCs w:val="18"/>
              </w:rPr>
            </w:pPr>
            <w:r w:rsidRPr="00EA2DC6">
              <w:rPr>
                <w:sz w:val="16"/>
                <w:szCs w:val="18"/>
              </w:rPr>
              <w:t>Cultural</w:t>
            </w:r>
          </w:p>
        </w:tc>
        <w:tc>
          <w:tcPr>
            <w:tcW w:w="1262" w:type="pct"/>
          </w:tcPr>
          <w:p w14:paraId="2BDE7BD1" w14:textId="77777777" w:rsidR="00B36126" w:rsidRPr="00EA2DC6" w:rsidRDefault="00B36126" w:rsidP="005E0EB1">
            <w:pPr>
              <w:spacing w:after="0"/>
              <w:rPr>
                <w:sz w:val="16"/>
                <w:szCs w:val="18"/>
              </w:rPr>
            </w:pPr>
            <w:r w:rsidRPr="00EA2DC6">
              <w:rPr>
                <w:sz w:val="16"/>
                <w:szCs w:val="18"/>
              </w:rPr>
              <w:t>Indigenous partners involved in the project</w:t>
            </w:r>
          </w:p>
        </w:tc>
        <w:tc>
          <w:tcPr>
            <w:tcW w:w="3093" w:type="pct"/>
          </w:tcPr>
          <w:p w14:paraId="1140BA79" w14:textId="77777777" w:rsidR="00B36126" w:rsidRPr="00EA2DC6" w:rsidRDefault="00B36126" w:rsidP="00F22225">
            <w:pPr>
              <w:numPr>
                <w:ilvl w:val="0"/>
                <w:numId w:val="32"/>
              </w:numPr>
              <w:spacing w:after="0"/>
              <w:ind w:left="340"/>
              <w:rPr>
                <w:sz w:val="16"/>
                <w:szCs w:val="18"/>
              </w:rPr>
            </w:pPr>
            <w:r w:rsidRPr="00EA2DC6">
              <w:rPr>
                <w:sz w:val="16"/>
                <w:szCs w:val="18"/>
              </w:rPr>
              <w:t>Support of indigenous partners for type of management proposed at the site</w:t>
            </w:r>
          </w:p>
          <w:p w14:paraId="7B3E7A9C" w14:textId="77777777" w:rsidR="00B36126" w:rsidRPr="00EA2DC6" w:rsidRDefault="00B36126" w:rsidP="00F22225">
            <w:pPr>
              <w:numPr>
                <w:ilvl w:val="0"/>
                <w:numId w:val="32"/>
              </w:numPr>
              <w:spacing w:after="0"/>
              <w:ind w:left="340"/>
              <w:rPr>
                <w:sz w:val="16"/>
                <w:szCs w:val="18"/>
              </w:rPr>
            </w:pPr>
            <w:r w:rsidRPr="00EA2DC6">
              <w:rPr>
                <w:sz w:val="16"/>
                <w:szCs w:val="18"/>
              </w:rPr>
              <w:t>Acknowledged contribution to achieving cultural goals</w:t>
            </w:r>
          </w:p>
        </w:tc>
      </w:tr>
      <w:tr w:rsidR="00B36126" w:rsidRPr="00EA2DC6" w14:paraId="3BA2285D" w14:textId="77777777" w:rsidTr="005E0EB1">
        <w:tc>
          <w:tcPr>
            <w:tcW w:w="645" w:type="pct"/>
          </w:tcPr>
          <w:p w14:paraId="496B9A2F" w14:textId="77777777" w:rsidR="00B36126" w:rsidRPr="00EA2DC6" w:rsidRDefault="00B36126" w:rsidP="005E0EB1">
            <w:pPr>
              <w:spacing w:after="0"/>
              <w:rPr>
                <w:sz w:val="16"/>
                <w:szCs w:val="18"/>
              </w:rPr>
            </w:pPr>
            <w:r w:rsidRPr="00EA2DC6">
              <w:rPr>
                <w:sz w:val="16"/>
                <w:szCs w:val="18"/>
              </w:rPr>
              <w:t>Political</w:t>
            </w:r>
          </w:p>
        </w:tc>
        <w:tc>
          <w:tcPr>
            <w:tcW w:w="1262" w:type="pct"/>
          </w:tcPr>
          <w:p w14:paraId="4006EC6B" w14:textId="77777777" w:rsidR="00B36126" w:rsidRPr="00EA2DC6" w:rsidRDefault="00B36126" w:rsidP="005E0EB1">
            <w:pPr>
              <w:spacing w:after="0"/>
              <w:rPr>
                <w:sz w:val="16"/>
                <w:szCs w:val="18"/>
              </w:rPr>
            </w:pPr>
            <w:r w:rsidRPr="00EA2DC6">
              <w:rPr>
                <w:sz w:val="16"/>
                <w:szCs w:val="18"/>
              </w:rPr>
              <w:t>Political willingness to fund long term management options</w:t>
            </w:r>
          </w:p>
        </w:tc>
        <w:tc>
          <w:tcPr>
            <w:tcW w:w="3093" w:type="pct"/>
          </w:tcPr>
          <w:p w14:paraId="64A89B90" w14:textId="77777777" w:rsidR="00B36126" w:rsidRPr="00EA2DC6" w:rsidRDefault="00B36126" w:rsidP="00F22225">
            <w:pPr>
              <w:numPr>
                <w:ilvl w:val="0"/>
                <w:numId w:val="32"/>
              </w:numPr>
              <w:spacing w:after="0"/>
              <w:ind w:left="340"/>
              <w:rPr>
                <w:sz w:val="16"/>
                <w:szCs w:val="18"/>
              </w:rPr>
            </w:pPr>
            <w:r w:rsidRPr="00EA2DC6">
              <w:rPr>
                <w:sz w:val="16"/>
                <w:szCs w:val="18"/>
              </w:rPr>
              <w:t xml:space="preserve">Longer-term duration of promised funding / management / operation </w:t>
            </w:r>
          </w:p>
          <w:p w14:paraId="3364C339" w14:textId="77777777" w:rsidR="00B36126" w:rsidRPr="00EA2DC6" w:rsidRDefault="00B36126" w:rsidP="00F22225">
            <w:pPr>
              <w:numPr>
                <w:ilvl w:val="0"/>
                <w:numId w:val="32"/>
              </w:numPr>
              <w:spacing w:after="0"/>
              <w:ind w:left="340"/>
              <w:rPr>
                <w:sz w:val="16"/>
                <w:szCs w:val="18"/>
              </w:rPr>
            </w:pPr>
            <w:r w:rsidRPr="00EA2DC6">
              <w:rPr>
                <w:sz w:val="16"/>
                <w:szCs w:val="18"/>
              </w:rPr>
              <w:t xml:space="preserve">Longer term </w:t>
            </w:r>
            <w:r w:rsidRPr="00204F28">
              <w:rPr>
                <w:sz w:val="16"/>
                <w:szCs w:val="18"/>
              </w:rPr>
              <w:t>monitoring and evaluation</w:t>
            </w:r>
            <w:r w:rsidRPr="00EA2DC6" w:rsidDel="00C147E4">
              <w:rPr>
                <w:sz w:val="16"/>
                <w:szCs w:val="18"/>
              </w:rPr>
              <w:t xml:space="preserve"> </w:t>
            </w:r>
            <w:r w:rsidRPr="00EA2DC6">
              <w:rPr>
                <w:sz w:val="16"/>
                <w:szCs w:val="18"/>
              </w:rPr>
              <w:t>needed to match recovery rates and to quantify the benefit / improvement</w:t>
            </w:r>
          </w:p>
        </w:tc>
      </w:tr>
      <w:tr w:rsidR="00B36126" w:rsidRPr="00EA2DC6" w14:paraId="70F25793" w14:textId="77777777" w:rsidTr="005E0EB1">
        <w:tc>
          <w:tcPr>
            <w:tcW w:w="645" w:type="pct"/>
          </w:tcPr>
          <w:p w14:paraId="56F35CA3" w14:textId="77777777" w:rsidR="00B36126" w:rsidRPr="00EA2DC6" w:rsidRDefault="00B36126" w:rsidP="005E0EB1">
            <w:pPr>
              <w:spacing w:after="0"/>
              <w:rPr>
                <w:sz w:val="16"/>
                <w:szCs w:val="18"/>
              </w:rPr>
            </w:pPr>
            <w:r>
              <w:rPr>
                <w:sz w:val="16"/>
                <w:szCs w:val="18"/>
              </w:rPr>
              <w:t>Implementation</w:t>
            </w:r>
            <w:r w:rsidRPr="00EA2DC6">
              <w:rPr>
                <w:sz w:val="16"/>
                <w:szCs w:val="18"/>
              </w:rPr>
              <w:t xml:space="preserve"> </w:t>
            </w:r>
          </w:p>
        </w:tc>
        <w:tc>
          <w:tcPr>
            <w:tcW w:w="1262" w:type="pct"/>
          </w:tcPr>
          <w:p w14:paraId="5135C5C9" w14:textId="77777777" w:rsidR="00B36126" w:rsidRPr="00EA2DC6" w:rsidRDefault="00B36126" w:rsidP="005E0EB1">
            <w:pPr>
              <w:spacing w:after="0"/>
              <w:rPr>
                <w:sz w:val="16"/>
                <w:szCs w:val="18"/>
              </w:rPr>
            </w:pPr>
            <w:r w:rsidRPr="00EA2DC6">
              <w:rPr>
                <w:sz w:val="16"/>
                <w:szCs w:val="18"/>
              </w:rPr>
              <w:t>Constructability of management option</w:t>
            </w:r>
          </w:p>
        </w:tc>
        <w:tc>
          <w:tcPr>
            <w:tcW w:w="3093" w:type="pct"/>
          </w:tcPr>
          <w:p w14:paraId="16F1916E" w14:textId="77777777" w:rsidR="00B36126" w:rsidRPr="00EA2DC6" w:rsidRDefault="00B36126" w:rsidP="00F22225">
            <w:pPr>
              <w:numPr>
                <w:ilvl w:val="0"/>
                <w:numId w:val="32"/>
              </w:numPr>
              <w:spacing w:after="0"/>
              <w:ind w:left="340"/>
              <w:rPr>
                <w:sz w:val="16"/>
                <w:szCs w:val="18"/>
              </w:rPr>
            </w:pPr>
            <w:r w:rsidRPr="00EA2DC6">
              <w:rPr>
                <w:sz w:val="16"/>
                <w:szCs w:val="18"/>
              </w:rPr>
              <w:t>Options considered stable, serviceable and structurally adequate</w:t>
            </w:r>
          </w:p>
          <w:p w14:paraId="4C64E188" w14:textId="77777777" w:rsidR="00B36126" w:rsidRPr="00EA2DC6" w:rsidRDefault="00B36126" w:rsidP="00F22225">
            <w:pPr>
              <w:numPr>
                <w:ilvl w:val="0"/>
                <w:numId w:val="32"/>
              </w:numPr>
              <w:spacing w:after="0"/>
              <w:ind w:left="340"/>
              <w:rPr>
                <w:sz w:val="16"/>
                <w:szCs w:val="18"/>
              </w:rPr>
            </w:pPr>
            <w:r w:rsidRPr="00EA2DC6">
              <w:rPr>
                <w:sz w:val="16"/>
                <w:szCs w:val="18"/>
              </w:rPr>
              <w:t>Option implementation requires ground disturbance that is dependent on variable/unknown ground/geotechnical conditions</w:t>
            </w:r>
          </w:p>
          <w:p w14:paraId="552CFD90" w14:textId="77777777" w:rsidR="00B36126" w:rsidRPr="00EA2DC6" w:rsidRDefault="00B36126" w:rsidP="00F22225">
            <w:pPr>
              <w:numPr>
                <w:ilvl w:val="0"/>
                <w:numId w:val="32"/>
              </w:numPr>
              <w:spacing w:after="0"/>
              <w:ind w:left="340"/>
              <w:rPr>
                <w:sz w:val="16"/>
                <w:szCs w:val="18"/>
              </w:rPr>
            </w:pPr>
            <w:r w:rsidRPr="00EA2DC6">
              <w:rPr>
                <w:sz w:val="16"/>
                <w:szCs w:val="18"/>
              </w:rPr>
              <w:t>Option presents challenging construction, mobilisation access and requirement for unique construction techniques and installation methods</w:t>
            </w:r>
          </w:p>
          <w:p w14:paraId="3A087161" w14:textId="77777777" w:rsidR="00B36126" w:rsidRPr="00EA2DC6" w:rsidRDefault="00B36126" w:rsidP="00F22225">
            <w:pPr>
              <w:numPr>
                <w:ilvl w:val="0"/>
                <w:numId w:val="32"/>
              </w:numPr>
              <w:spacing w:after="0"/>
              <w:ind w:left="340"/>
              <w:rPr>
                <w:sz w:val="16"/>
                <w:szCs w:val="18"/>
              </w:rPr>
            </w:pPr>
            <w:r w:rsidRPr="00EA2DC6">
              <w:rPr>
                <w:sz w:val="16"/>
                <w:szCs w:val="18"/>
              </w:rPr>
              <w:t>Expected duration of construction and likelihood of disruption due to seasonal access to site</w:t>
            </w:r>
          </w:p>
        </w:tc>
      </w:tr>
      <w:tr w:rsidR="00B36126" w:rsidRPr="00EA2DC6" w14:paraId="44AD2B41" w14:textId="77777777" w:rsidTr="005E0EB1">
        <w:tc>
          <w:tcPr>
            <w:tcW w:w="645" w:type="pct"/>
          </w:tcPr>
          <w:p w14:paraId="1C168B3B" w14:textId="77777777" w:rsidR="00B36126" w:rsidRPr="00EA2DC6" w:rsidRDefault="00B36126" w:rsidP="005E0EB1">
            <w:pPr>
              <w:spacing w:after="0"/>
              <w:rPr>
                <w:sz w:val="16"/>
                <w:szCs w:val="18"/>
              </w:rPr>
            </w:pPr>
            <w:r w:rsidRPr="00EA2DC6">
              <w:rPr>
                <w:sz w:val="16"/>
                <w:szCs w:val="18"/>
              </w:rPr>
              <w:t>Operations / Maintenance</w:t>
            </w:r>
          </w:p>
        </w:tc>
        <w:tc>
          <w:tcPr>
            <w:tcW w:w="1262" w:type="pct"/>
          </w:tcPr>
          <w:p w14:paraId="27E80E68" w14:textId="77777777" w:rsidR="00B36126" w:rsidRPr="00EA2DC6" w:rsidRDefault="00B36126" w:rsidP="005E0EB1">
            <w:pPr>
              <w:spacing w:after="0"/>
              <w:rPr>
                <w:sz w:val="16"/>
                <w:szCs w:val="18"/>
              </w:rPr>
            </w:pPr>
            <w:r w:rsidRPr="00EA2DC6">
              <w:rPr>
                <w:sz w:val="16"/>
                <w:szCs w:val="18"/>
              </w:rPr>
              <w:t>The complexity and duration of the ongoing operations / maintenance</w:t>
            </w:r>
          </w:p>
        </w:tc>
        <w:tc>
          <w:tcPr>
            <w:tcW w:w="3093" w:type="pct"/>
          </w:tcPr>
          <w:p w14:paraId="0C7D798F" w14:textId="77777777" w:rsidR="00B36126" w:rsidRPr="00EA2DC6" w:rsidRDefault="00B36126" w:rsidP="00F22225">
            <w:pPr>
              <w:numPr>
                <w:ilvl w:val="0"/>
                <w:numId w:val="32"/>
              </w:numPr>
              <w:spacing w:after="0"/>
              <w:ind w:left="340"/>
              <w:rPr>
                <w:sz w:val="16"/>
                <w:szCs w:val="18"/>
              </w:rPr>
            </w:pPr>
            <w:r w:rsidRPr="00EA2DC6">
              <w:rPr>
                <w:sz w:val="16"/>
                <w:szCs w:val="18"/>
              </w:rPr>
              <w:t>Expected level of ongoing maintenance and frequency of operation as part of the greater system</w:t>
            </w:r>
          </w:p>
        </w:tc>
      </w:tr>
    </w:tbl>
    <w:p w14:paraId="4F6FFDD3" w14:textId="3A84F14E" w:rsidR="00EE520E" w:rsidRPr="00EA2DC6" w:rsidRDefault="00EE520E" w:rsidP="00EE520E">
      <w:pPr>
        <w:pStyle w:val="Heading9"/>
        <w:numPr>
          <w:ilvl w:val="0"/>
          <w:numId w:val="8"/>
        </w:numPr>
        <w:spacing w:after="0" w:line="240" w:lineRule="auto"/>
        <w:ind w:left="1985" w:hanging="1985"/>
        <w:rPr>
          <w:color w:val="65876D" w:themeColor="accent4" w:themeShade="BF"/>
        </w:rPr>
      </w:pPr>
      <w:bookmarkStart w:id="388" w:name="_Toc510785229"/>
      <w:r w:rsidRPr="00EA2DC6">
        <w:rPr>
          <w:color w:val="65876D" w:themeColor="accent4" w:themeShade="BF"/>
        </w:rPr>
        <w:t xml:space="preserve">Managing </w:t>
      </w:r>
      <w:r w:rsidR="00781A70">
        <w:rPr>
          <w:color w:val="65876D" w:themeColor="accent4" w:themeShade="BF"/>
        </w:rPr>
        <w:t>S</w:t>
      </w:r>
      <w:r w:rsidRPr="00EA2DC6">
        <w:rPr>
          <w:color w:val="65876D" w:themeColor="accent4" w:themeShade="BF"/>
        </w:rPr>
        <w:t xml:space="preserve">alinity from </w:t>
      </w:r>
      <w:r w:rsidR="00781A70">
        <w:rPr>
          <w:color w:val="65876D" w:themeColor="accent4" w:themeShade="BF"/>
        </w:rPr>
        <w:t>E</w:t>
      </w:r>
      <w:r w:rsidRPr="00EA2DC6">
        <w:rPr>
          <w:color w:val="65876D" w:themeColor="accent4" w:themeShade="BF"/>
        </w:rPr>
        <w:t xml:space="preserve">nvironmental </w:t>
      </w:r>
      <w:r w:rsidR="00781A70">
        <w:rPr>
          <w:color w:val="65876D" w:themeColor="accent4" w:themeShade="BF"/>
        </w:rPr>
        <w:t>W</w:t>
      </w:r>
      <w:r w:rsidRPr="00EA2DC6">
        <w:rPr>
          <w:color w:val="65876D" w:themeColor="accent4" w:themeShade="BF"/>
        </w:rPr>
        <w:t>atering</w:t>
      </w:r>
      <w:bookmarkEnd w:id="381"/>
      <w:bookmarkEnd w:id="382"/>
      <w:bookmarkEnd w:id="383"/>
      <w:bookmarkEnd w:id="384"/>
      <w:bookmarkEnd w:id="385"/>
      <w:bookmarkEnd w:id="388"/>
    </w:p>
    <w:p w14:paraId="1E73636C" w14:textId="65BBCE9E" w:rsidR="00EE2951" w:rsidRDefault="00EE2951" w:rsidP="00EE520E">
      <w:pPr>
        <w:spacing w:before="240" w:after="120"/>
      </w:pPr>
      <w:r>
        <w:t xml:space="preserve">This Appendix discusses the active management of mobilisation and transport of accumulated salt from floodplain environments, which can occur as part of environmental watering. </w:t>
      </w:r>
    </w:p>
    <w:p w14:paraId="16695DAC" w14:textId="1C43EF13" w:rsidR="00EE520E" w:rsidRPr="00EA2DC6" w:rsidRDefault="00EE520E" w:rsidP="00EE520E">
      <w:pPr>
        <w:spacing w:before="240" w:after="120"/>
      </w:pPr>
      <w:r w:rsidRPr="00EA2DC6">
        <w:t>Under Basin Salinity Management 2030 (BSM2030), environmental watering will provide long-term substantial dilution benefits in the river, but it can also mobilise salt from floodplains into the river system</w:t>
      </w:r>
      <w:r w:rsidR="00EE2951">
        <w:t xml:space="preserve">. This also an objective of the plan, as it removes salt accumulated at the soil surface and reduces salinity in the unsaturated zone, improving site conditions. </w:t>
      </w:r>
      <w:r w:rsidRPr="00EA2DC6">
        <w:t xml:space="preserve">  The salinity impacts of environmental watering must be explicitly included in the existing Basin salinity accountability framework with the positive and negative salinity impacts associated with environmental water management being included under the different registers. To reduce the overall administrative </w:t>
      </w:r>
      <w:r w:rsidR="005C4005" w:rsidRPr="00EA2DC6">
        <w:t>burden,</w:t>
      </w:r>
      <w:r w:rsidRPr="00EA2DC6">
        <w:t xml:space="preserve"> it has been agreed by all partner governments the credits or debits will be held collectively. In the first instance, they have agreed to be collectively accountable for any salinity impacts associated with:</w:t>
      </w:r>
    </w:p>
    <w:p w14:paraId="633B570A" w14:textId="77777777" w:rsidR="00EE520E" w:rsidRPr="00EA2DC6" w:rsidRDefault="00EE520E" w:rsidP="008C06C0">
      <w:pPr>
        <w:pStyle w:val="Para0bullet"/>
        <w:ind w:left="709"/>
      </w:pPr>
      <w:r w:rsidRPr="00EA2DC6">
        <w:t>the use of environmental water under the Basin Plan environmental watering plan (excluding use associated with the operation of SDL works and measures and where already accounted for under TLM).</w:t>
      </w:r>
    </w:p>
    <w:p w14:paraId="76870660" w14:textId="77777777" w:rsidR="00EE520E" w:rsidRPr="00EA2DC6" w:rsidRDefault="00EE520E" w:rsidP="008C06C0">
      <w:pPr>
        <w:pStyle w:val="Para0bullet"/>
        <w:ind w:left="709"/>
      </w:pPr>
      <w:r w:rsidRPr="00EA2DC6">
        <w:t>changes to river operations to support environmental outcomes (that are not part of the SDL adjustment mechanism).</w:t>
      </w:r>
    </w:p>
    <w:p w14:paraId="3F4BB0D2" w14:textId="7EC329A2" w:rsidR="00EE520E" w:rsidRPr="00EA2DC6" w:rsidRDefault="00EE520E" w:rsidP="00EE520E">
      <w:pPr>
        <w:spacing w:before="240" w:after="120"/>
      </w:pPr>
      <w:r w:rsidRPr="00EA2DC6">
        <w:t xml:space="preserve">There will be a need to monitor and assess the cumulative system-scale salinity impacts arising from environmental watering regimes – including changes to river operations designed to support environmental outcomes. With greater volumes of environmental water available there is greater potential to improve river salinity through increased dilution. Environmental watering can also, in some circumstances, </w:t>
      </w:r>
      <w:r>
        <w:t xml:space="preserve">result in temporary </w:t>
      </w:r>
      <w:r w:rsidRPr="00EA2DC6">
        <w:t>increase salinity</w:t>
      </w:r>
      <w:r>
        <w:t xml:space="preserve"> as salt is mobilised and transported for export through the River Murray</w:t>
      </w:r>
      <w:r w:rsidR="00EE2951">
        <w:t>, improving site conditions through removal of accumulated salts</w:t>
      </w:r>
      <w:r w:rsidR="00867284">
        <w:t xml:space="preserve"> (export of salt out of the Basin, such as from the floodplain, is a Basin Plan target</w:t>
      </w:r>
      <w:r w:rsidR="00471ACF">
        <w:t>)</w:t>
      </w:r>
      <w:r w:rsidR="00471ACF" w:rsidRPr="00EA2DC6">
        <w:t>.</w:t>
      </w:r>
      <w:r w:rsidR="00471ACF">
        <w:t xml:space="preserve"> Management of this mobilisation and transport of salts needs to be carefully managed. </w:t>
      </w:r>
      <w:r w:rsidRPr="00EA2DC6">
        <w:t xml:space="preserve"> </w:t>
      </w:r>
      <w:r w:rsidR="00867284">
        <w:t>Practitioners should consider the</w:t>
      </w:r>
      <w:r w:rsidRPr="00EA2DC6">
        <w:t xml:space="preserve"> Basin Plan salinity targets for managing water flows</w:t>
      </w:r>
      <w:r w:rsidR="00867284">
        <w:t>,</w:t>
      </w:r>
      <w:r w:rsidRPr="00EA2DC6">
        <w:t xml:space="preserve"> </w:t>
      </w:r>
      <w:r w:rsidR="00867284">
        <w:t xml:space="preserve">and the potential need to </w:t>
      </w:r>
      <w:r w:rsidR="009B3015">
        <w:t>manage</w:t>
      </w:r>
      <w:r w:rsidR="00867284">
        <w:t xml:space="preserve"> off target impacts</w:t>
      </w:r>
      <w:r w:rsidRPr="00EA2DC6">
        <w:t>.</w:t>
      </w:r>
    </w:p>
    <w:p w14:paraId="55CB4A4B" w14:textId="32789CEA" w:rsidR="00EE520E" w:rsidRPr="00EA2DC6" w:rsidRDefault="00EE520E" w:rsidP="00EE520E">
      <w:pPr>
        <w:spacing w:before="240" w:after="120"/>
      </w:pPr>
      <w:r w:rsidRPr="00EA2DC6">
        <w:t xml:space="preserve">At the site-scale, environmental water holders and managers need to understand </w:t>
      </w:r>
      <w:r w:rsidR="00EE61C2">
        <w:t>the e</w:t>
      </w:r>
      <w:r>
        <w:t>ffect of</w:t>
      </w:r>
      <w:r w:rsidRPr="00EA2DC6">
        <w:t xml:space="preserve"> watering at </w:t>
      </w:r>
      <w:r>
        <w:t>a</w:t>
      </w:r>
      <w:r w:rsidRPr="00EA2DC6">
        <w:t xml:space="preserve"> site </w:t>
      </w:r>
      <w:r>
        <w:t>on any potential</w:t>
      </w:r>
      <w:r w:rsidRPr="00EA2DC6">
        <w:t xml:space="preserve"> </w:t>
      </w:r>
      <w:r>
        <w:t xml:space="preserve">risks arising from the </w:t>
      </w:r>
      <w:r w:rsidRPr="00EA2DC6">
        <w:t>mobilis</w:t>
      </w:r>
      <w:r>
        <w:t>ation of</w:t>
      </w:r>
      <w:r w:rsidRPr="00EA2DC6">
        <w:t xml:space="preserve"> salt to the river, and then seek to appropriately </w:t>
      </w:r>
      <w:r w:rsidR="009B3015" w:rsidRPr="00EA2DC6">
        <w:t>manage</w:t>
      </w:r>
      <w:r w:rsidRPr="00EA2DC6">
        <w:t xml:space="preserve"> potential impacts to </w:t>
      </w:r>
      <w:r w:rsidR="00EE61C2">
        <w:t xml:space="preserve">third </w:t>
      </w:r>
      <w:r w:rsidRPr="00EA2DC6">
        <w:t>party users and other assets downstream. The management of this risk is strongly tied to ambient salinity conditions (i.e. of less concern when higher flows mean that mobilised salts will be sufficiently diluted)</w:t>
      </w:r>
      <w:r>
        <w:t>.</w:t>
      </w:r>
      <w:r w:rsidRPr="00EA2DC6">
        <w:t xml:space="preserve"> Decisions about watering at high risk sites will require greater efforts to </w:t>
      </w:r>
      <w:r>
        <w:t xml:space="preserve">investigate and </w:t>
      </w:r>
      <w:r w:rsidRPr="00EA2DC6">
        <w:t xml:space="preserve">mitigate risks. </w:t>
      </w:r>
    </w:p>
    <w:p w14:paraId="72EE0F90" w14:textId="77777777" w:rsidR="00EE520E" w:rsidRPr="00EA2DC6" w:rsidRDefault="00EE520E" w:rsidP="00EE520E">
      <w:pPr>
        <w:spacing w:before="240" w:after="120"/>
      </w:pPr>
      <w:r w:rsidRPr="00EA2DC6">
        <w:t xml:space="preserve">At the system-scale, </w:t>
      </w:r>
      <w:r>
        <w:t>practitioners</w:t>
      </w:r>
      <w:r w:rsidRPr="00EA2DC6">
        <w:t xml:space="preserve"> need to understand and manage the potential for cumulative (spatial and temporal) salinity risks when multiple sites are being watered – either in series on one river, or in parallel in different tributaries. </w:t>
      </w:r>
    </w:p>
    <w:p w14:paraId="31D7EBDE" w14:textId="421B5874" w:rsidR="00EE520E" w:rsidRPr="00EA2DC6" w:rsidRDefault="00EE520E" w:rsidP="00EE520E">
      <w:pPr>
        <w:spacing w:before="240" w:after="120"/>
      </w:pPr>
      <w:r w:rsidRPr="00EA2DC6">
        <w:t>T</w:t>
      </w:r>
      <w:r w:rsidR="00EE61C2">
        <w:t>he existing 14 jointly managed salt interception schemes</w:t>
      </w:r>
      <w:r w:rsidRPr="00EA2DC6">
        <w:t xml:space="preserve"> have been very successful in reducing base salt loads to the river and continue to be essential to achieving the Basin Salinity Target and for managing in-river salinity peaks during low flow periods. Modelling indicates that there will be no need for further joint capital investment in new schemes for the life of BSM2030. Largely this is because of the dilution benefits associated with environmental water benefiting the river, the lower than expected increase in river salinity associated with the legacy of land clearing and the net salinity credit balances currently held by the partner governments.</w:t>
      </w:r>
    </w:p>
    <w:p w14:paraId="4380747F" w14:textId="77777777" w:rsidR="008F0156" w:rsidRDefault="00EE520E" w:rsidP="00EE520E">
      <w:pPr>
        <w:spacing w:before="240" w:after="120"/>
        <w:sectPr w:rsidR="008F0156" w:rsidSect="00D03F73">
          <w:headerReference w:type="even" r:id="rId116"/>
          <w:headerReference w:type="default" r:id="rId117"/>
          <w:footerReference w:type="default" r:id="rId118"/>
          <w:headerReference w:type="first" r:id="rId119"/>
          <w:footerReference w:type="first" r:id="rId120"/>
          <w:pgSz w:w="11901" w:h="16840" w:code="9"/>
          <w:pgMar w:top="567" w:right="851" w:bottom="851" w:left="1134" w:header="567" w:footer="369" w:gutter="0"/>
          <w:cols w:space="0"/>
          <w:formProt w:val="0"/>
          <w:docGrid w:linePitch="360"/>
        </w:sectPr>
      </w:pPr>
      <w:r w:rsidRPr="00EA2DC6">
        <w:t>BSM2030 will explore the potential to operate SIS to reduce operations and costs during periods of low in-river salinity. Given the uncertainty regarding changing SIS operations, responsive SIS management will initially be trialled for a 3-year period commencing in 2016, with the effectiveness of the trial to be reviewed in 2019. The review will analyse and document the river salinity impacts, third-party impacts, floodplain environmental impacts, benefits and costs. It will also make recommendations on the future operation of SIS to achieve optimal outcomes.</w:t>
      </w:r>
    </w:p>
    <w:p w14:paraId="3202059A" w14:textId="20212397" w:rsidR="008F0156" w:rsidRPr="00EA2DC6" w:rsidRDefault="00C354CD" w:rsidP="008F0156">
      <w:pPr>
        <w:pStyle w:val="Heading9"/>
        <w:numPr>
          <w:ilvl w:val="0"/>
          <w:numId w:val="8"/>
        </w:numPr>
        <w:spacing w:after="0" w:line="240" w:lineRule="auto"/>
        <w:ind w:left="1985" w:hanging="1985"/>
        <w:rPr>
          <w:color w:val="65876D" w:themeColor="accent4" w:themeShade="BF"/>
        </w:rPr>
      </w:pPr>
      <w:bookmarkStart w:id="389" w:name="_Toc510785230"/>
      <w:r>
        <w:rPr>
          <w:color w:val="65876D" w:themeColor="accent4" w:themeShade="BF"/>
        </w:rPr>
        <w:t xml:space="preserve">Reach </w:t>
      </w:r>
      <w:r w:rsidR="00781A70">
        <w:rPr>
          <w:color w:val="65876D" w:themeColor="accent4" w:themeShade="BF"/>
        </w:rPr>
        <w:t>S</w:t>
      </w:r>
      <w:r w:rsidR="008F0156">
        <w:rPr>
          <w:color w:val="65876D" w:themeColor="accent4" w:themeShade="BF"/>
        </w:rPr>
        <w:t xml:space="preserve">cale </w:t>
      </w:r>
      <w:r w:rsidR="00781A70">
        <w:rPr>
          <w:color w:val="65876D" w:themeColor="accent4" w:themeShade="BF"/>
        </w:rPr>
        <w:t>A</w:t>
      </w:r>
      <w:r w:rsidR="008F0156">
        <w:rPr>
          <w:color w:val="65876D" w:themeColor="accent4" w:themeShade="BF"/>
        </w:rPr>
        <w:t xml:space="preserve">nalysis of Black Box under </w:t>
      </w:r>
      <w:r w:rsidR="00781A70">
        <w:rPr>
          <w:color w:val="65876D" w:themeColor="accent4" w:themeShade="BF"/>
        </w:rPr>
        <w:t>F</w:t>
      </w:r>
      <w:r w:rsidR="008F0156" w:rsidRPr="008C34D6">
        <w:rPr>
          <w:color w:val="65876D" w:themeColor="accent4" w:themeShade="BF"/>
        </w:rPr>
        <w:t xml:space="preserve">low </w:t>
      </w:r>
      <w:r w:rsidR="00781A70">
        <w:rPr>
          <w:color w:val="65876D" w:themeColor="accent4" w:themeShade="BF"/>
        </w:rPr>
        <w:t>S</w:t>
      </w:r>
      <w:r w:rsidR="008F0156" w:rsidRPr="008C34D6">
        <w:rPr>
          <w:color w:val="65876D" w:themeColor="accent4" w:themeShade="BF"/>
        </w:rPr>
        <w:t xml:space="preserve">tress, </w:t>
      </w:r>
      <w:r w:rsidR="00781A70">
        <w:rPr>
          <w:color w:val="65876D" w:themeColor="accent4" w:themeShade="BF"/>
        </w:rPr>
        <w:t>S</w:t>
      </w:r>
      <w:r w:rsidR="008F0156" w:rsidRPr="008C34D6">
        <w:rPr>
          <w:color w:val="65876D" w:themeColor="accent4" w:themeShade="BF"/>
        </w:rPr>
        <w:t xml:space="preserve">alinity </w:t>
      </w:r>
      <w:r w:rsidR="00781A70">
        <w:rPr>
          <w:color w:val="65876D" w:themeColor="accent4" w:themeShade="BF"/>
        </w:rPr>
        <w:t>S</w:t>
      </w:r>
      <w:r w:rsidR="008F0156" w:rsidRPr="008C34D6">
        <w:rPr>
          <w:color w:val="65876D" w:themeColor="accent4" w:themeShade="BF"/>
        </w:rPr>
        <w:t xml:space="preserve">tress, </w:t>
      </w:r>
      <w:r w:rsidR="00781A70">
        <w:rPr>
          <w:color w:val="65876D" w:themeColor="accent4" w:themeShade="BF"/>
        </w:rPr>
        <w:t>F</w:t>
      </w:r>
      <w:r w:rsidR="008F0156" w:rsidRPr="008C34D6">
        <w:rPr>
          <w:color w:val="65876D" w:themeColor="accent4" w:themeShade="BF"/>
        </w:rPr>
        <w:t xml:space="preserve">low </w:t>
      </w:r>
      <w:r w:rsidR="00781A70">
        <w:rPr>
          <w:color w:val="65876D" w:themeColor="accent4" w:themeShade="BF"/>
        </w:rPr>
        <w:t>and</w:t>
      </w:r>
      <w:r w:rsidR="008F0156" w:rsidRPr="008C34D6">
        <w:rPr>
          <w:color w:val="65876D" w:themeColor="accent4" w:themeShade="BF"/>
        </w:rPr>
        <w:t xml:space="preserve"> </w:t>
      </w:r>
      <w:r w:rsidR="00781A70">
        <w:rPr>
          <w:color w:val="65876D" w:themeColor="accent4" w:themeShade="BF"/>
        </w:rPr>
        <w:t>S</w:t>
      </w:r>
      <w:r w:rsidR="008F0156" w:rsidRPr="008C34D6">
        <w:rPr>
          <w:color w:val="65876D" w:themeColor="accent4" w:themeShade="BF"/>
        </w:rPr>
        <w:t xml:space="preserve">alinity </w:t>
      </w:r>
      <w:r w:rsidR="00781A70">
        <w:rPr>
          <w:color w:val="65876D" w:themeColor="accent4" w:themeShade="BF"/>
        </w:rPr>
        <w:t>S</w:t>
      </w:r>
      <w:r w:rsidR="008F0156" w:rsidRPr="008C34D6">
        <w:rPr>
          <w:color w:val="65876D" w:themeColor="accent4" w:themeShade="BF"/>
        </w:rPr>
        <w:t>tress</w:t>
      </w:r>
      <w:r w:rsidR="008F0156">
        <w:rPr>
          <w:color w:val="65876D" w:themeColor="accent4" w:themeShade="BF"/>
        </w:rPr>
        <w:t xml:space="preserve"> and </w:t>
      </w:r>
      <w:r w:rsidR="00781A70">
        <w:rPr>
          <w:color w:val="65876D" w:themeColor="accent4" w:themeShade="BF"/>
        </w:rPr>
        <w:t>L</w:t>
      </w:r>
      <w:r w:rsidR="008F0156">
        <w:rPr>
          <w:color w:val="65876D" w:themeColor="accent4" w:themeShade="BF"/>
        </w:rPr>
        <w:t xml:space="preserve">ow </w:t>
      </w:r>
      <w:r w:rsidR="00781A70">
        <w:rPr>
          <w:color w:val="65876D" w:themeColor="accent4" w:themeShade="BF"/>
        </w:rPr>
        <w:t>S</w:t>
      </w:r>
      <w:r w:rsidR="008F0156">
        <w:rPr>
          <w:color w:val="65876D" w:themeColor="accent4" w:themeShade="BF"/>
        </w:rPr>
        <w:t xml:space="preserve">tress for 60 – 80 </w:t>
      </w:r>
      <w:r w:rsidR="00C259BC">
        <w:rPr>
          <w:color w:val="65876D" w:themeColor="accent4" w:themeShade="BF"/>
        </w:rPr>
        <w:t>ML/day</w:t>
      </w:r>
      <w:r w:rsidR="008F0156">
        <w:rPr>
          <w:color w:val="65876D" w:themeColor="accent4" w:themeShade="BF"/>
        </w:rPr>
        <w:t xml:space="preserve"> </w:t>
      </w:r>
      <w:r w:rsidR="00781A70">
        <w:rPr>
          <w:color w:val="65876D" w:themeColor="accent4" w:themeShade="BF"/>
        </w:rPr>
        <w:t>F</w:t>
      </w:r>
      <w:r w:rsidR="008F0156">
        <w:rPr>
          <w:color w:val="65876D" w:themeColor="accent4" w:themeShade="BF"/>
        </w:rPr>
        <w:t>lows</w:t>
      </w:r>
      <w:r w:rsidR="00157BBB">
        <w:rPr>
          <w:color w:val="65876D" w:themeColor="accent4" w:themeShade="BF"/>
        </w:rPr>
        <w:t xml:space="preserve"> at the South Australian </w:t>
      </w:r>
      <w:r w:rsidR="00781A70">
        <w:rPr>
          <w:color w:val="65876D" w:themeColor="accent4" w:themeShade="BF"/>
        </w:rPr>
        <w:t>B</w:t>
      </w:r>
      <w:r w:rsidR="00157BBB">
        <w:rPr>
          <w:color w:val="65876D" w:themeColor="accent4" w:themeShade="BF"/>
        </w:rPr>
        <w:t>order</w:t>
      </w:r>
      <w:bookmarkEnd w:id="389"/>
    </w:p>
    <w:p w14:paraId="129DBA24" w14:textId="77777777" w:rsidR="00EE520E" w:rsidRDefault="00EE520E" w:rsidP="00EA2DC6">
      <w:pPr>
        <w:spacing w:before="240" w:after="120"/>
      </w:pPr>
    </w:p>
    <w:p w14:paraId="47FABEB6" w14:textId="4218E579" w:rsidR="008F0156" w:rsidRPr="00864171" w:rsidRDefault="008C39B7" w:rsidP="007A45D5">
      <w:pPr>
        <w:pStyle w:val="Caption"/>
      </w:pPr>
      <w:bookmarkStart w:id="390" w:name="_Toc514068805"/>
      <w:r>
        <w:t>Table</w:t>
      </w:r>
      <w:r w:rsidRPr="00EA2DC6">
        <w:t xml:space="preserve"> </w:t>
      </w:r>
      <w:r w:rsidR="002D4BCF">
        <w:fldChar w:fldCharType="begin"/>
      </w:r>
      <w:r w:rsidR="002D4BCF">
        <w:instrText xml:space="preserve"> STYLEREF 1 \s </w:instrText>
      </w:r>
      <w:r w:rsidR="002D4BCF">
        <w:fldChar w:fldCharType="separate"/>
      </w:r>
      <w:r w:rsidR="00BF015B">
        <w:rPr>
          <w:noProof/>
        </w:rPr>
        <w:t>7</w:t>
      </w:r>
      <w:r w:rsidR="002D4BCF">
        <w:fldChar w:fldCharType="end"/>
      </w:r>
      <w:r w:rsidR="002D4BCF">
        <w:noBreakHyphen/>
      </w:r>
      <w:r w:rsidR="002D4BCF">
        <w:fldChar w:fldCharType="begin"/>
      </w:r>
      <w:r w:rsidR="002D4BCF">
        <w:instrText xml:space="preserve"> SEQ Table \* ARABIC \s 1 </w:instrText>
      </w:r>
      <w:r w:rsidR="002D4BCF">
        <w:fldChar w:fldCharType="separate"/>
      </w:r>
      <w:r w:rsidR="00BF015B">
        <w:rPr>
          <w:noProof/>
        </w:rPr>
        <w:t>5</w:t>
      </w:r>
      <w:r w:rsidR="002D4BCF">
        <w:fldChar w:fldCharType="end"/>
      </w:r>
      <w:r w:rsidR="008F0156">
        <w:t xml:space="preserve">: Areas of flow stress, salinity stress, flow &amp; salinity stress and low stress, and </w:t>
      </w:r>
      <w:r w:rsidR="00244345">
        <w:t xml:space="preserve">tree </w:t>
      </w:r>
      <w:r w:rsidR="008F0156">
        <w:t xml:space="preserve">condition, for Black Box inundated by a </w:t>
      </w:r>
      <w:r w:rsidR="008F0156" w:rsidRPr="0029683B">
        <w:rPr>
          <w:u w:val="single"/>
        </w:rPr>
        <w:t>60,000</w:t>
      </w:r>
      <w:r w:rsidR="00C259BC">
        <w:rPr>
          <w:u w:val="single"/>
        </w:rPr>
        <w:t>ML/day</w:t>
      </w:r>
      <w:r w:rsidR="008F0156">
        <w:t xml:space="preserve"> at South Australian border.</w:t>
      </w:r>
      <w:bookmarkEnd w:id="390"/>
    </w:p>
    <w:tbl>
      <w:tblPr>
        <w:tblW w:w="2135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12"/>
        <w:gridCol w:w="1817"/>
        <w:gridCol w:w="860"/>
        <w:gridCol w:w="990"/>
        <w:gridCol w:w="1665"/>
        <w:gridCol w:w="1665"/>
        <w:gridCol w:w="863"/>
        <w:gridCol w:w="992"/>
        <w:gridCol w:w="1605"/>
        <w:gridCol w:w="1048"/>
        <w:gridCol w:w="891"/>
        <w:gridCol w:w="992"/>
        <w:gridCol w:w="1048"/>
        <w:gridCol w:w="1048"/>
        <w:gridCol w:w="891"/>
        <w:gridCol w:w="992"/>
        <w:gridCol w:w="1048"/>
        <w:gridCol w:w="1048"/>
        <w:gridCol w:w="1280"/>
      </w:tblGrid>
      <w:tr w:rsidR="000662A8" w:rsidRPr="00F00CE9" w14:paraId="5A5FE39E" w14:textId="77777777" w:rsidTr="00AF44CC">
        <w:trPr>
          <w:trHeight w:val="350"/>
        </w:trPr>
        <w:tc>
          <w:tcPr>
            <w:tcW w:w="612" w:type="dxa"/>
            <w:vMerge w:val="restart"/>
            <w:shd w:val="clear" w:color="auto" w:fill="65876D"/>
            <w:noWrap/>
            <w:vAlign w:val="center"/>
            <w:hideMark/>
          </w:tcPr>
          <w:p w14:paraId="79731877" w14:textId="77777777" w:rsidR="000662A8" w:rsidRPr="00296B7B" w:rsidRDefault="000662A8" w:rsidP="00E52A35">
            <w:pPr>
              <w:pStyle w:val="Tableheading"/>
              <w:jc w:val="center"/>
              <w:rPr>
                <w:color w:val="FFFFFF" w:themeColor="background1"/>
                <w:sz w:val="15"/>
                <w:szCs w:val="15"/>
              </w:rPr>
            </w:pPr>
            <w:r w:rsidRPr="00296B7B">
              <w:rPr>
                <w:color w:val="FFFFFF" w:themeColor="background1"/>
                <w:sz w:val="15"/>
                <w:szCs w:val="15"/>
              </w:rPr>
              <w:t>Reach #</w:t>
            </w:r>
          </w:p>
        </w:tc>
        <w:tc>
          <w:tcPr>
            <w:tcW w:w="1817" w:type="dxa"/>
            <w:vMerge w:val="restart"/>
            <w:shd w:val="clear" w:color="auto" w:fill="65876D"/>
            <w:noWrap/>
            <w:vAlign w:val="center"/>
            <w:hideMark/>
          </w:tcPr>
          <w:p w14:paraId="4F7E90F4" w14:textId="77777777" w:rsidR="000662A8" w:rsidRPr="00296B7B" w:rsidRDefault="000662A8" w:rsidP="00E52A35">
            <w:pPr>
              <w:pStyle w:val="Tableheading"/>
              <w:jc w:val="center"/>
              <w:rPr>
                <w:color w:val="FFFFFF" w:themeColor="background1"/>
                <w:sz w:val="15"/>
                <w:szCs w:val="15"/>
              </w:rPr>
            </w:pPr>
            <w:r w:rsidRPr="00296B7B">
              <w:rPr>
                <w:color w:val="FFFFFF" w:themeColor="background1"/>
                <w:sz w:val="15"/>
                <w:szCs w:val="15"/>
              </w:rPr>
              <w:t>Reach Name</w:t>
            </w:r>
          </w:p>
        </w:tc>
        <w:tc>
          <w:tcPr>
            <w:tcW w:w="5180" w:type="dxa"/>
            <w:gridSpan w:val="4"/>
            <w:shd w:val="clear" w:color="auto" w:fill="65876D"/>
            <w:vAlign w:val="center"/>
          </w:tcPr>
          <w:p w14:paraId="458BC711" w14:textId="61890AE6" w:rsidR="000662A8" w:rsidRPr="00296B7B" w:rsidRDefault="000662A8" w:rsidP="00E52A35">
            <w:pPr>
              <w:pStyle w:val="Tableheading"/>
              <w:jc w:val="center"/>
              <w:rPr>
                <w:color w:val="FFFFFF" w:themeColor="background1"/>
                <w:sz w:val="15"/>
                <w:szCs w:val="15"/>
              </w:rPr>
            </w:pPr>
            <w:r w:rsidRPr="00296B7B">
              <w:rPr>
                <w:color w:val="FFFFFF" w:themeColor="background1"/>
                <w:sz w:val="15"/>
                <w:szCs w:val="15"/>
              </w:rPr>
              <w:t>Flow Stressed</w:t>
            </w:r>
          </w:p>
        </w:tc>
        <w:tc>
          <w:tcPr>
            <w:tcW w:w="4508" w:type="dxa"/>
            <w:gridSpan w:val="4"/>
            <w:shd w:val="clear" w:color="auto" w:fill="65876D"/>
            <w:vAlign w:val="center"/>
          </w:tcPr>
          <w:p w14:paraId="1E60BCA2" w14:textId="77777777" w:rsidR="000662A8" w:rsidRPr="00296B7B" w:rsidRDefault="000662A8" w:rsidP="00E52A35">
            <w:pPr>
              <w:pStyle w:val="Tableheading"/>
              <w:jc w:val="center"/>
              <w:rPr>
                <w:color w:val="FFFFFF" w:themeColor="background1"/>
                <w:sz w:val="15"/>
                <w:szCs w:val="15"/>
              </w:rPr>
            </w:pPr>
            <w:r w:rsidRPr="00296B7B">
              <w:rPr>
                <w:color w:val="FFFFFF" w:themeColor="background1"/>
                <w:sz w:val="15"/>
                <w:szCs w:val="15"/>
              </w:rPr>
              <w:t>Salinity Stressed</w:t>
            </w:r>
          </w:p>
        </w:tc>
        <w:tc>
          <w:tcPr>
            <w:tcW w:w="3979" w:type="dxa"/>
            <w:gridSpan w:val="4"/>
            <w:shd w:val="clear" w:color="auto" w:fill="65876D"/>
            <w:vAlign w:val="center"/>
          </w:tcPr>
          <w:p w14:paraId="00314415" w14:textId="77777777" w:rsidR="000662A8" w:rsidRPr="00296B7B" w:rsidRDefault="000662A8" w:rsidP="00E52A35">
            <w:pPr>
              <w:pStyle w:val="Tableheading"/>
              <w:jc w:val="center"/>
              <w:rPr>
                <w:color w:val="FFFFFF" w:themeColor="background1"/>
                <w:sz w:val="15"/>
                <w:szCs w:val="15"/>
              </w:rPr>
            </w:pPr>
            <w:r w:rsidRPr="00296B7B">
              <w:rPr>
                <w:color w:val="FFFFFF" w:themeColor="background1"/>
                <w:sz w:val="15"/>
                <w:szCs w:val="15"/>
              </w:rPr>
              <w:t>Flow &amp; Salinity Stressed</w:t>
            </w:r>
          </w:p>
        </w:tc>
        <w:tc>
          <w:tcPr>
            <w:tcW w:w="3979" w:type="dxa"/>
            <w:gridSpan w:val="4"/>
            <w:shd w:val="clear" w:color="auto" w:fill="65876D"/>
            <w:vAlign w:val="center"/>
          </w:tcPr>
          <w:p w14:paraId="7D0D9A10" w14:textId="77777777" w:rsidR="000662A8" w:rsidRPr="00296B7B" w:rsidRDefault="000662A8" w:rsidP="00E52A35">
            <w:pPr>
              <w:pStyle w:val="Tableheading"/>
              <w:jc w:val="center"/>
              <w:rPr>
                <w:color w:val="FFFFFF" w:themeColor="background1"/>
                <w:sz w:val="15"/>
                <w:szCs w:val="15"/>
              </w:rPr>
            </w:pPr>
            <w:r>
              <w:rPr>
                <w:color w:val="FFFFFF" w:themeColor="background1"/>
                <w:sz w:val="15"/>
                <w:szCs w:val="15"/>
              </w:rPr>
              <w:t>Low stress</w:t>
            </w:r>
          </w:p>
        </w:tc>
        <w:tc>
          <w:tcPr>
            <w:tcW w:w="1280" w:type="dxa"/>
            <w:vMerge w:val="restart"/>
            <w:shd w:val="clear" w:color="auto" w:fill="65876D"/>
            <w:vAlign w:val="center"/>
          </w:tcPr>
          <w:p w14:paraId="0DDC601D" w14:textId="77777777" w:rsidR="000662A8" w:rsidRPr="00296B7B" w:rsidRDefault="000662A8" w:rsidP="00E52A35">
            <w:pPr>
              <w:pStyle w:val="Tableheading"/>
              <w:jc w:val="center"/>
              <w:rPr>
                <w:rFonts w:ascii="Calibri" w:eastAsia="Times New Roman" w:hAnsi="Calibri" w:cs="Times New Roman"/>
                <w:b/>
                <w:color w:val="FFFFFF" w:themeColor="background1"/>
                <w:sz w:val="15"/>
                <w:szCs w:val="15"/>
                <w:lang w:eastAsia="en-AU"/>
              </w:rPr>
            </w:pPr>
            <w:r w:rsidRPr="00296B7B">
              <w:rPr>
                <w:color w:val="FFFFFF" w:themeColor="background1"/>
                <w:sz w:val="15"/>
                <w:szCs w:val="15"/>
              </w:rPr>
              <w:t>Area no salinity data (ha)</w:t>
            </w:r>
          </w:p>
        </w:tc>
      </w:tr>
      <w:tr w:rsidR="00AF44CC" w:rsidRPr="00F00CE9" w14:paraId="5F2A71B1" w14:textId="77777777" w:rsidTr="00AF44CC">
        <w:trPr>
          <w:trHeight w:val="20"/>
        </w:trPr>
        <w:tc>
          <w:tcPr>
            <w:tcW w:w="612" w:type="dxa"/>
            <w:vMerge/>
            <w:shd w:val="clear" w:color="auto" w:fill="65876D"/>
            <w:vAlign w:val="center"/>
            <w:hideMark/>
          </w:tcPr>
          <w:p w14:paraId="2BAC0F3F" w14:textId="40311529" w:rsidR="00AF44CC" w:rsidRPr="008C406A" w:rsidRDefault="00AF44CC" w:rsidP="00E52A35">
            <w:pPr>
              <w:pStyle w:val="Tableheading"/>
              <w:jc w:val="center"/>
              <w:rPr>
                <w:color w:val="FFFFFF" w:themeColor="background1"/>
                <w:sz w:val="15"/>
                <w:szCs w:val="15"/>
              </w:rPr>
            </w:pPr>
          </w:p>
        </w:tc>
        <w:tc>
          <w:tcPr>
            <w:tcW w:w="1817" w:type="dxa"/>
            <w:vMerge/>
            <w:shd w:val="clear" w:color="auto" w:fill="65876D"/>
            <w:vAlign w:val="center"/>
            <w:hideMark/>
          </w:tcPr>
          <w:p w14:paraId="02D1BE7B" w14:textId="77777777" w:rsidR="00AF44CC" w:rsidRPr="008C406A" w:rsidRDefault="00AF44CC" w:rsidP="00E52A35">
            <w:pPr>
              <w:pStyle w:val="Tableheading"/>
              <w:rPr>
                <w:color w:val="FFFFFF" w:themeColor="background1"/>
                <w:sz w:val="15"/>
                <w:szCs w:val="15"/>
              </w:rPr>
            </w:pPr>
          </w:p>
        </w:tc>
        <w:tc>
          <w:tcPr>
            <w:tcW w:w="860" w:type="dxa"/>
            <w:tcBorders>
              <w:bottom w:val="single" w:sz="4" w:space="0" w:color="auto"/>
            </w:tcBorders>
            <w:shd w:val="clear" w:color="auto" w:fill="65876D"/>
            <w:vAlign w:val="center"/>
          </w:tcPr>
          <w:p w14:paraId="438518F3" w14:textId="15A9FDCB" w:rsidR="00AF44CC" w:rsidRPr="008C406A" w:rsidRDefault="00AF44CC" w:rsidP="00E52A35">
            <w:pPr>
              <w:spacing w:after="0" w:line="240" w:lineRule="auto"/>
              <w:jc w:val="center"/>
              <w:rPr>
                <w:rFonts w:ascii="Arial Black" w:hAnsi="Arial Black"/>
                <w:color w:val="FFFFFF" w:themeColor="background1"/>
                <w:sz w:val="15"/>
                <w:szCs w:val="15"/>
              </w:rPr>
            </w:pPr>
            <w:r w:rsidRPr="008C406A">
              <w:rPr>
                <w:rFonts w:ascii="Arial Black" w:hAnsi="Arial Black"/>
                <w:color w:val="FFFFFF" w:themeColor="background1"/>
                <w:sz w:val="15"/>
                <w:szCs w:val="15"/>
              </w:rPr>
              <w:t>Area (ha)</w:t>
            </w:r>
            <w:r w:rsidRPr="00244345">
              <w:rPr>
                <w:rFonts w:ascii="Arial Black" w:hAnsi="Arial Black"/>
                <w:color w:val="FFFFFF" w:themeColor="background1"/>
                <w:sz w:val="15"/>
                <w:szCs w:val="15"/>
                <w:vertAlign w:val="superscript"/>
              </w:rPr>
              <w:t>1</w:t>
            </w:r>
          </w:p>
        </w:tc>
        <w:tc>
          <w:tcPr>
            <w:tcW w:w="990" w:type="dxa"/>
            <w:tcBorders>
              <w:bottom w:val="single" w:sz="4" w:space="0" w:color="auto"/>
            </w:tcBorders>
            <w:shd w:val="clear" w:color="auto" w:fill="65876D"/>
            <w:vAlign w:val="center"/>
          </w:tcPr>
          <w:p w14:paraId="641AF8D2" w14:textId="7857ECDD" w:rsidR="00AF44CC" w:rsidRPr="008C406A" w:rsidRDefault="00AF44CC" w:rsidP="00AF44CC">
            <w:pPr>
              <w:spacing w:after="0" w:line="240" w:lineRule="auto"/>
              <w:jc w:val="center"/>
              <w:rPr>
                <w:rFonts w:ascii="Arial Black" w:hAnsi="Arial Black"/>
                <w:color w:val="FFFFFF" w:themeColor="background1"/>
                <w:sz w:val="15"/>
                <w:szCs w:val="15"/>
              </w:rPr>
            </w:pPr>
            <w:r>
              <w:rPr>
                <w:rFonts w:ascii="Arial Black" w:hAnsi="Arial Black"/>
                <w:color w:val="FFFFFF" w:themeColor="background1"/>
                <w:sz w:val="15"/>
                <w:szCs w:val="15"/>
              </w:rPr>
              <w:t xml:space="preserve">Cover of condition </w:t>
            </w:r>
            <w:r w:rsidRPr="008C406A">
              <w:rPr>
                <w:rFonts w:ascii="Arial Black" w:hAnsi="Arial Black"/>
                <w:color w:val="FFFFFF" w:themeColor="background1"/>
                <w:sz w:val="15"/>
                <w:szCs w:val="15"/>
              </w:rPr>
              <w:t>data</w:t>
            </w:r>
            <w:r>
              <w:rPr>
                <w:rFonts w:ascii="Arial Black" w:hAnsi="Arial Black"/>
                <w:color w:val="FFFFFF" w:themeColor="background1"/>
                <w:sz w:val="15"/>
                <w:szCs w:val="15"/>
              </w:rPr>
              <w:t xml:space="preserve"> (%)</w:t>
            </w:r>
            <w:r w:rsidRPr="00244345">
              <w:rPr>
                <w:rFonts w:ascii="Arial Black" w:hAnsi="Arial Black"/>
                <w:color w:val="FFFFFF" w:themeColor="background1"/>
                <w:sz w:val="15"/>
                <w:szCs w:val="15"/>
                <w:vertAlign w:val="superscript"/>
              </w:rPr>
              <w:t>2</w:t>
            </w:r>
          </w:p>
        </w:tc>
        <w:tc>
          <w:tcPr>
            <w:tcW w:w="1665" w:type="dxa"/>
            <w:tcBorders>
              <w:bottom w:val="single" w:sz="4" w:space="0" w:color="auto"/>
            </w:tcBorders>
            <w:shd w:val="clear" w:color="auto" w:fill="65876D"/>
            <w:vAlign w:val="center"/>
          </w:tcPr>
          <w:p w14:paraId="79C87943" w14:textId="3F1D3F5C" w:rsidR="00AF44CC" w:rsidRPr="008C406A" w:rsidRDefault="00AF44CC" w:rsidP="00244345">
            <w:pPr>
              <w:spacing w:after="0" w:line="240" w:lineRule="auto"/>
              <w:jc w:val="center"/>
              <w:rPr>
                <w:rFonts w:ascii="Arial Black" w:hAnsi="Arial Black"/>
                <w:color w:val="FFFFFF" w:themeColor="background1"/>
                <w:sz w:val="15"/>
                <w:szCs w:val="15"/>
              </w:rPr>
            </w:pPr>
            <w:r w:rsidRPr="008C406A">
              <w:rPr>
                <w:rFonts w:ascii="Arial Black" w:hAnsi="Arial Black"/>
                <w:color w:val="FFFFFF" w:themeColor="background1"/>
                <w:sz w:val="15"/>
                <w:szCs w:val="15"/>
              </w:rPr>
              <w:t>poor</w:t>
            </w:r>
            <w:r>
              <w:rPr>
                <w:rFonts w:ascii="Arial Black" w:hAnsi="Arial Black"/>
                <w:color w:val="FFFFFF" w:themeColor="background1"/>
                <w:sz w:val="15"/>
                <w:szCs w:val="15"/>
              </w:rPr>
              <w:t xml:space="preserve"> </w:t>
            </w:r>
            <w:r>
              <w:rPr>
                <w:rFonts w:ascii="Arial Black" w:hAnsi="Arial Black"/>
                <w:color w:val="FFFFFF" w:themeColor="background1"/>
                <w:sz w:val="15"/>
                <w:szCs w:val="15"/>
              </w:rPr>
              <w:br/>
              <w:t>condition</w:t>
            </w:r>
            <w:r w:rsidR="00EB10D3">
              <w:rPr>
                <w:rFonts w:ascii="Arial Black" w:hAnsi="Arial Black"/>
                <w:color w:val="FFFFFF" w:themeColor="background1"/>
                <w:sz w:val="15"/>
                <w:szCs w:val="15"/>
              </w:rPr>
              <w:t xml:space="preserve"> (%)</w:t>
            </w:r>
            <w:r w:rsidRPr="00244345">
              <w:rPr>
                <w:rFonts w:ascii="Arial Black" w:hAnsi="Arial Black"/>
                <w:color w:val="FFFFFF" w:themeColor="background1"/>
                <w:sz w:val="15"/>
                <w:szCs w:val="15"/>
                <w:vertAlign w:val="superscript"/>
              </w:rPr>
              <w:t>3</w:t>
            </w:r>
          </w:p>
        </w:tc>
        <w:tc>
          <w:tcPr>
            <w:tcW w:w="1665" w:type="dxa"/>
            <w:tcBorders>
              <w:bottom w:val="single" w:sz="4" w:space="0" w:color="auto"/>
            </w:tcBorders>
            <w:shd w:val="clear" w:color="auto" w:fill="65876D"/>
            <w:vAlign w:val="center"/>
          </w:tcPr>
          <w:p w14:paraId="1AE0EB8A" w14:textId="6014730A" w:rsidR="00AF44CC" w:rsidRPr="008C406A" w:rsidRDefault="00AF44CC" w:rsidP="00244345">
            <w:pPr>
              <w:spacing w:after="0" w:line="240" w:lineRule="auto"/>
              <w:jc w:val="center"/>
              <w:rPr>
                <w:rFonts w:ascii="Arial Black" w:hAnsi="Arial Black"/>
                <w:color w:val="FFFFFF" w:themeColor="background1"/>
                <w:sz w:val="15"/>
                <w:szCs w:val="15"/>
              </w:rPr>
            </w:pPr>
            <w:r w:rsidRPr="008C406A">
              <w:rPr>
                <w:rFonts w:ascii="Arial Black" w:hAnsi="Arial Black"/>
                <w:color w:val="FFFFFF" w:themeColor="background1"/>
                <w:sz w:val="15"/>
                <w:szCs w:val="15"/>
              </w:rPr>
              <w:t>mod. /good</w:t>
            </w:r>
            <w:r>
              <w:rPr>
                <w:rFonts w:ascii="Arial Black" w:hAnsi="Arial Black"/>
                <w:color w:val="FFFFFF" w:themeColor="background1"/>
                <w:sz w:val="15"/>
                <w:szCs w:val="15"/>
              </w:rPr>
              <w:t xml:space="preserve"> condition</w:t>
            </w:r>
            <w:r w:rsidR="00EB10D3">
              <w:rPr>
                <w:rFonts w:ascii="Arial Black" w:hAnsi="Arial Black"/>
                <w:color w:val="FFFFFF" w:themeColor="background1"/>
                <w:sz w:val="15"/>
                <w:szCs w:val="15"/>
              </w:rPr>
              <w:t xml:space="preserve"> (%)</w:t>
            </w:r>
            <w:r w:rsidRPr="00244345">
              <w:rPr>
                <w:rFonts w:ascii="Arial Black" w:hAnsi="Arial Black"/>
                <w:color w:val="FFFFFF" w:themeColor="background1"/>
                <w:sz w:val="15"/>
                <w:szCs w:val="15"/>
                <w:vertAlign w:val="superscript"/>
              </w:rPr>
              <w:t>3</w:t>
            </w:r>
          </w:p>
        </w:tc>
        <w:tc>
          <w:tcPr>
            <w:tcW w:w="863" w:type="dxa"/>
            <w:tcBorders>
              <w:bottom w:val="single" w:sz="4" w:space="0" w:color="auto"/>
            </w:tcBorders>
            <w:shd w:val="clear" w:color="auto" w:fill="65876D"/>
            <w:vAlign w:val="center"/>
          </w:tcPr>
          <w:p w14:paraId="41B8CBB3" w14:textId="4ECA3319" w:rsidR="00AF44CC" w:rsidRPr="008C406A" w:rsidRDefault="00AF44CC" w:rsidP="00E52A35">
            <w:pPr>
              <w:spacing w:after="0" w:line="240" w:lineRule="auto"/>
              <w:jc w:val="center"/>
              <w:rPr>
                <w:rFonts w:ascii="Arial Black" w:hAnsi="Arial Black"/>
                <w:color w:val="FFFFFF" w:themeColor="background1"/>
                <w:sz w:val="15"/>
                <w:szCs w:val="15"/>
              </w:rPr>
            </w:pPr>
            <w:r w:rsidRPr="008C406A">
              <w:rPr>
                <w:rFonts w:ascii="Arial Black" w:hAnsi="Arial Black"/>
                <w:color w:val="FFFFFF" w:themeColor="background1"/>
                <w:sz w:val="15"/>
                <w:szCs w:val="15"/>
              </w:rPr>
              <w:t>Area (ha)</w:t>
            </w:r>
            <w:r w:rsidRPr="00244345">
              <w:rPr>
                <w:rFonts w:ascii="Arial Black" w:hAnsi="Arial Black"/>
                <w:color w:val="FFFFFF" w:themeColor="background1"/>
                <w:sz w:val="15"/>
                <w:szCs w:val="15"/>
                <w:vertAlign w:val="superscript"/>
              </w:rPr>
              <w:t>1</w:t>
            </w:r>
          </w:p>
        </w:tc>
        <w:tc>
          <w:tcPr>
            <w:tcW w:w="992" w:type="dxa"/>
            <w:tcBorders>
              <w:bottom w:val="single" w:sz="4" w:space="0" w:color="auto"/>
            </w:tcBorders>
            <w:shd w:val="clear" w:color="auto" w:fill="65876D"/>
            <w:vAlign w:val="center"/>
          </w:tcPr>
          <w:p w14:paraId="696B5F34" w14:textId="7E36A19A" w:rsidR="00AF44CC" w:rsidRPr="008C406A" w:rsidRDefault="00AF44CC" w:rsidP="00E52A35">
            <w:pPr>
              <w:spacing w:after="0" w:line="240" w:lineRule="auto"/>
              <w:jc w:val="center"/>
              <w:rPr>
                <w:rFonts w:ascii="Arial Black" w:hAnsi="Arial Black"/>
                <w:color w:val="FFFFFF" w:themeColor="background1"/>
                <w:sz w:val="15"/>
                <w:szCs w:val="15"/>
              </w:rPr>
            </w:pPr>
            <w:r>
              <w:rPr>
                <w:rFonts w:ascii="Arial Black" w:hAnsi="Arial Black"/>
                <w:color w:val="FFFFFF" w:themeColor="background1"/>
                <w:sz w:val="15"/>
                <w:szCs w:val="15"/>
              </w:rPr>
              <w:t xml:space="preserve">Cover of condition </w:t>
            </w:r>
            <w:r w:rsidRPr="008C406A">
              <w:rPr>
                <w:rFonts w:ascii="Arial Black" w:hAnsi="Arial Black"/>
                <w:color w:val="FFFFFF" w:themeColor="background1"/>
                <w:sz w:val="15"/>
                <w:szCs w:val="15"/>
              </w:rPr>
              <w:t>data</w:t>
            </w:r>
            <w:r>
              <w:rPr>
                <w:rFonts w:ascii="Arial Black" w:hAnsi="Arial Black"/>
                <w:color w:val="FFFFFF" w:themeColor="background1"/>
                <w:sz w:val="15"/>
                <w:szCs w:val="15"/>
              </w:rPr>
              <w:t xml:space="preserve"> (%)</w:t>
            </w:r>
            <w:r w:rsidRPr="00614A1D">
              <w:rPr>
                <w:rFonts w:ascii="Arial Black" w:hAnsi="Arial Black"/>
                <w:color w:val="FFFFFF" w:themeColor="background1"/>
                <w:sz w:val="15"/>
                <w:szCs w:val="15"/>
                <w:vertAlign w:val="superscript"/>
              </w:rPr>
              <w:t>2</w:t>
            </w:r>
          </w:p>
        </w:tc>
        <w:tc>
          <w:tcPr>
            <w:tcW w:w="1605" w:type="dxa"/>
            <w:tcBorders>
              <w:bottom w:val="single" w:sz="4" w:space="0" w:color="auto"/>
            </w:tcBorders>
            <w:shd w:val="clear" w:color="auto" w:fill="65876D"/>
            <w:vAlign w:val="center"/>
          </w:tcPr>
          <w:p w14:paraId="57302B2D" w14:textId="6A82C575" w:rsidR="00AF44CC" w:rsidRPr="008C406A" w:rsidRDefault="00AF44CC" w:rsidP="00E52A35">
            <w:pPr>
              <w:spacing w:after="0" w:line="240" w:lineRule="auto"/>
              <w:jc w:val="center"/>
              <w:rPr>
                <w:rFonts w:ascii="Arial Black" w:hAnsi="Arial Black"/>
                <w:color w:val="FFFFFF" w:themeColor="background1"/>
                <w:sz w:val="15"/>
                <w:szCs w:val="15"/>
              </w:rPr>
            </w:pPr>
            <w:r w:rsidRPr="008C406A">
              <w:rPr>
                <w:rFonts w:ascii="Arial Black" w:hAnsi="Arial Black"/>
                <w:color w:val="FFFFFF" w:themeColor="background1"/>
                <w:sz w:val="15"/>
                <w:szCs w:val="15"/>
              </w:rPr>
              <w:t>poor</w:t>
            </w:r>
            <w:r>
              <w:rPr>
                <w:rFonts w:ascii="Arial Black" w:hAnsi="Arial Black"/>
                <w:color w:val="FFFFFF" w:themeColor="background1"/>
                <w:sz w:val="15"/>
                <w:szCs w:val="15"/>
              </w:rPr>
              <w:t xml:space="preserve"> </w:t>
            </w:r>
            <w:r>
              <w:rPr>
                <w:rFonts w:ascii="Arial Black" w:hAnsi="Arial Black"/>
                <w:color w:val="FFFFFF" w:themeColor="background1"/>
                <w:sz w:val="15"/>
                <w:szCs w:val="15"/>
              </w:rPr>
              <w:br/>
              <w:t>condition</w:t>
            </w:r>
            <w:r w:rsidR="00EB10D3">
              <w:rPr>
                <w:rFonts w:ascii="Arial Black" w:hAnsi="Arial Black"/>
                <w:color w:val="FFFFFF" w:themeColor="background1"/>
                <w:sz w:val="15"/>
                <w:szCs w:val="15"/>
              </w:rPr>
              <w:t xml:space="preserve"> (%)</w:t>
            </w:r>
            <w:r w:rsidRPr="00614A1D">
              <w:rPr>
                <w:rFonts w:ascii="Arial Black" w:hAnsi="Arial Black"/>
                <w:color w:val="FFFFFF" w:themeColor="background1"/>
                <w:sz w:val="15"/>
                <w:szCs w:val="15"/>
                <w:vertAlign w:val="superscript"/>
              </w:rPr>
              <w:t>3</w:t>
            </w:r>
          </w:p>
        </w:tc>
        <w:tc>
          <w:tcPr>
            <w:tcW w:w="1048" w:type="dxa"/>
            <w:tcBorders>
              <w:bottom w:val="single" w:sz="4" w:space="0" w:color="auto"/>
            </w:tcBorders>
            <w:shd w:val="clear" w:color="auto" w:fill="65876D"/>
            <w:vAlign w:val="center"/>
          </w:tcPr>
          <w:p w14:paraId="6DF53CA7" w14:textId="35DE0BD8" w:rsidR="00AF44CC" w:rsidRPr="008C406A" w:rsidRDefault="00AF44CC" w:rsidP="00244345">
            <w:pPr>
              <w:spacing w:after="0" w:line="240" w:lineRule="auto"/>
              <w:jc w:val="center"/>
              <w:rPr>
                <w:rFonts w:ascii="Arial Black" w:hAnsi="Arial Black"/>
                <w:color w:val="FFFFFF" w:themeColor="background1"/>
                <w:sz w:val="15"/>
                <w:szCs w:val="15"/>
              </w:rPr>
            </w:pPr>
            <w:r w:rsidRPr="008C406A">
              <w:rPr>
                <w:rFonts w:ascii="Arial Black" w:hAnsi="Arial Black"/>
                <w:color w:val="FFFFFF" w:themeColor="background1"/>
                <w:sz w:val="15"/>
                <w:szCs w:val="15"/>
              </w:rPr>
              <w:t>mod. /good</w:t>
            </w:r>
            <w:r>
              <w:rPr>
                <w:rFonts w:ascii="Arial Black" w:hAnsi="Arial Black"/>
                <w:color w:val="FFFFFF" w:themeColor="background1"/>
                <w:sz w:val="15"/>
                <w:szCs w:val="15"/>
              </w:rPr>
              <w:t xml:space="preserve"> condition</w:t>
            </w:r>
            <w:r w:rsidR="00EB10D3">
              <w:rPr>
                <w:rFonts w:ascii="Arial Black" w:hAnsi="Arial Black"/>
                <w:color w:val="FFFFFF" w:themeColor="background1"/>
                <w:sz w:val="15"/>
                <w:szCs w:val="15"/>
              </w:rPr>
              <w:t xml:space="preserve"> (%)</w:t>
            </w:r>
            <w:r w:rsidRPr="00614A1D">
              <w:rPr>
                <w:rFonts w:ascii="Arial Black" w:hAnsi="Arial Black"/>
                <w:color w:val="FFFFFF" w:themeColor="background1"/>
                <w:sz w:val="15"/>
                <w:szCs w:val="15"/>
                <w:vertAlign w:val="superscript"/>
              </w:rPr>
              <w:t>3</w:t>
            </w:r>
          </w:p>
        </w:tc>
        <w:tc>
          <w:tcPr>
            <w:tcW w:w="891" w:type="dxa"/>
            <w:shd w:val="clear" w:color="auto" w:fill="65876D"/>
            <w:vAlign w:val="center"/>
          </w:tcPr>
          <w:p w14:paraId="7424D4AA" w14:textId="3ED2FE72" w:rsidR="00AF44CC" w:rsidRPr="008C406A" w:rsidRDefault="00AF44CC" w:rsidP="00E52A35">
            <w:pPr>
              <w:spacing w:after="0" w:line="240" w:lineRule="auto"/>
              <w:jc w:val="center"/>
              <w:rPr>
                <w:rFonts w:ascii="Arial Black" w:hAnsi="Arial Black"/>
                <w:color w:val="FFFFFF" w:themeColor="background1"/>
                <w:sz w:val="15"/>
                <w:szCs w:val="15"/>
              </w:rPr>
            </w:pPr>
            <w:r w:rsidRPr="008C406A">
              <w:rPr>
                <w:rFonts w:ascii="Arial Black" w:hAnsi="Arial Black"/>
                <w:color w:val="FFFFFF" w:themeColor="background1"/>
                <w:sz w:val="15"/>
                <w:szCs w:val="15"/>
              </w:rPr>
              <w:t>Area (ha)</w:t>
            </w:r>
            <w:r w:rsidRPr="00614A1D">
              <w:rPr>
                <w:rFonts w:ascii="Arial Black" w:hAnsi="Arial Black"/>
                <w:color w:val="FFFFFF" w:themeColor="background1"/>
                <w:sz w:val="15"/>
                <w:szCs w:val="15"/>
                <w:vertAlign w:val="superscript"/>
              </w:rPr>
              <w:t>1</w:t>
            </w:r>
          </w:p>
        </w:tc>
        <w:tc>
          <w:tcPr>
            <w:tcW w:w="992" w:type="dxa"/>
            <w:shd w:val="clear" w:color="auto" w:fill="65876D"/>
            <w:vAlign w:val="center"/>
          </w:tcPr>
          <w:p w14:paraId="43FF83A8" w14:textId="65AF0509" w:rsidR="00AF44CC" w:rsidRPr="008C406A" w:rsidRDefault="00AF44CC" w:rsidP="00AF44CC">
            <w:pPr>
              <w:spacing w:after="0" w:line="240" w:lineRule="auto"/>
              <w:jc w:val="center"/>
              <w:rPr>
                <w:rFonts w:ascii="Arial Black" w:hAnsi="Arial Black"/>
                <w:color w:val="FFFFFF" w:themeColor="background1"/>
                <w:sz w:val="15"/>
                <w:szCs w:val="15"/>
              </w:rPr>
            </w:pPr>
            <w:r>
              <w:rPr>
                <w:rFonts w:ascii="Arial Black" w:hAnsi="Arial Black"/>
                <w:color w:val="FFFFFF" w:themeColor="background1"/>
                <w:sz w:val="15"/>
                <w:szCs w:val="15"/>
              </w:rPr>
              <w:t xml:space="preserve">Cover of condition </w:t>
            </w:r>
            <w:r w:rsidRPr="008C406A">
              <w:rPr>
                <w:rFonts w:ascii="Arial Black" w:hAnsi="Arial Black"/>
                <w:color w:val="FFFFFF" w:themeColor="background1"/>
                <w:sz w:val="15"/>
                <w:szCs w:val="15"/>
              </w:rPr>
              <w:t>data</w:t>
            </w:r>
            <w:r>
              <w:rPr>
                <w:rFonts w:ascii="Arial Black" w:hAnsi="Arial Black"/>
                <w:color w:val="FFFFFF" w:themeColor="background1"/>
                <w:sz w:val="15"/>
                <w:szCs w:val="15"/>
              </w:rPr>
              <w:t xml:space="preserve"> (%)</w:t>
            </w:r>
            <w:r w:rsidRPr="00614A1D">
              <w:rPr>
                <w:rFonts w:ascii="Arial Black" w:hAnsi="Arial Black"/>
                <w:color w:val="FFFFFF" w:themeColor="background1"/>
                <w:sz w:val="15"/>
                <w:szCs w:val="15"/>
                <w:vertAlign w:val="superscript"/>
              </w:rPr>
              <w:t>2</w:t>
            </w:r>
          </w:p>
        </w:tc>
        <w:tc>
          <w:tcPr>
            <w:tcW w:w="1048" w:type="dxa"/>
            <w:shd w:val="clear" w:color="auto" w:fill="65876D"/>
            <w:vAlign w:val="center"/>
          </w:tcPr>
          <w:p w14:paraId="3C6A8E49" w14:textId="22793E5A" w:rsidR="00AF44CC" w:rsidRPr="008C406A" w:rsidRDefault="00AF44CC" w:rsidP="00E53BEB">
            <w:pPr>
              <w:spacing w:after="0" w:line="240" w:lineRule="auto"/>
              <w:jc w:val="center"/>
              <w:rPr>
                <w:rFonts w:ascii="Arial Black" w:hAnsi="Arial Black"/>
                <w:color w:val="FFFFFF" w:themeColor="background1"/>
                <w:sz w:val="15"/>
                <w:szCs w:val="15"/>
              </w:rPr>
            </w:pPr>
            <w:r w:rsidRPr="008C406A">
              <w:rPr>
                <w:rFonts w:ascii="Arial Black" w:hAnsi="Arial Black"/>
                <w:color w:val="FFFFFF" w:themeColor="background1"/>
                <w:sz w:val="15"/>
                <w:szCs w:val="15"/>
              </w:rPr>
              <w:t>poor</w:t>
            </w:r>
            <w:r>
              <w:rPr>
                <w:rFonts w:ascii="Arial Black" w:hAnsi="Arial Black"/>
                <w:color w:val="FFFFFF" w:themeColor="background1"/>
                <w:sz w:val="15"/>
                <w:szCs w:val="15"/>
              </w:rPr>
              <w:t xml:space="preserve"> </w:t>
            </w:r>
            <w:r>
              <w:rPr>
                <w:rFonts w:ascii="Arial Black" w:hAnsi="Arial Black"/>
                <w:color w:val="FFFFFF" w:themeColor="background1"/>
                <w:sz w:val="15"/>
                <w:szCs w:val="15"/>
              </w:rPr>
              <w:br/>
              <w:t>condition</w:t>
            </w:r>
            <w:r w:rsidR="00EB10D3">
              <w:rPr>
                <w:rFonts w:ascii="Arial Black" w:hAnsi="Arial Black"/>
                <w:color w:val="FFFFFF" w:themeColor="background1"/>
                <w:sz w:val="15"/>
                <w:szCs w:val="15"/>
              </w:rPr>
              <w:t xml:space="preserve"> (%)</w:t>
            </w:r>
            <w:r w:rsidRPr="00614A1D">
              <w:rPr>
                <w:rFonts w:ascii="Arial Black" w:hAnsi="Arial Black"/>
                <w:color w:val="FFFFFF" w:themeColor="background1"/>
                <w:sz w:val="15"/>
                <w:szCs w:val="15"/>
                <w:vertAlign w:val="superscript"/>
              </w:rPr>
              <w:t>3</w:t>
            </w:r>
          </w:p>
        </w:tc>
        <w:tc>
          <w:tcPr>
            <w:tcW w:w="1048" w:type="dxa"/>
            <w:shd w:val="clear" w:color="auto" w:fill="65876D"/>
            <w:vAlign w:val="center"/>
          </w:tcPr>
          <w:p w14:paraId="5EE16095" w14:textId="2059D737" w:rsidR="00AF44CC" w:rsidRPr="008C406A" w:rsidRDefault="00AF44CC" w:rsidP="00E52A35">
            <w:pPr>
              <w:spacing w:after="0" w:line="240" w:lineRule="auto"/>
              <w:jc w:val="center"/>
              <w:rPr>
                <w:rFonts w:ascii="Arial Black" w:hAnsi="Arial Black"/>
                <w:color w:val="FFFFFF" w:themeColor="background1"/>
                <w:sz w:val="15"/>
                <w:szCs w:val="15"/>
              </w:rPr>
            </w:pPr>
            <w:r w:rsidRPr="008C406A">
              <w:rPr>
                <w:rFonts w:ascii="Arial Black" w:hAnsi="Arial Black"/>
                <w:color w:val="FFFFFF" w:themeColor="background1"/>
                <w:sz w:val="15"/>
                <w:szCs w:val="15"/>
              </w:rPr>
              <w:t>mod. /good</w:t>
            </w:r>
            <w:r>
              <w:rPr>
                <w:rFonts w:ascii="Arial Black" w:hAnsi="Arial Black"/>
                <w:color w:val="FFFFFF" w:themeColor="background1"/>
                <w:sz w:val="15"/>
                <w:szCs w:val="15"/>
              </w:rPr>
              <w:t xml:space="preserve"> condition</w:t>
            </w:r>
            <w:r w:rsidR="00EB10D3">
              <w:rPr>
                <w:rFonts w:ascii="Arial Black" w:hAnsi="Arial Black"/>
                <w:color w:val="FFFFFF" w:themeColor="background1"/>
                <w:sz w:val="15"/>
                <w:szCs w:val="15"/>
              </w:rPr>
              <w:t xml:space="preserve"> (%)</w:t>
            </w:r>
            <w:r w:rsidRPr="00614A1D">
              <w:rPr>
                <w:rFonts w:ascii="Arial Black" w:hAnsi="Arial Black"/>
                <w:color w:val="FFFFFF" w:themeColor="background1"/>
                <w:sz w:val="15"/>
                <w:szCs w:val="15"/>
                <w:vertAlign w:val="superscript"/>
              </w:rPr>
              <w:t>3</w:t>
            </w:r>
          </w:p>
        </w:tc>
        <w:tc>
          <w:tcPr>
            <w:tcW w:w="891" w:type="dxa"/>
            <w:shd w:val="clear" w:color="auto" w:fill="65876D"/>
            <w:vAlign w:val="center"/>
          </w:tcPr>
          <w:p w14:paraId="07431AB6" w14:textId="43FC69AC" w:rsidR="00AF44CC" w:rsidRPr="008C406A" w:rsidRDefault="00AF44CC" w:rsidP="00E52A35">
            <w:pPr>
              <w:spacing w:after="0" w:line="240" w:lineRule="auto"/>
              <w:jc w:val="center"/>
              <w:rPr>
                <w:rFonts w:ascii="Arial Black" w:hAnsi="Arial Black"/>
                <w:color w:val="FFFFFF" w:themeColor="background1"/>
                <w:sz w:val="15"/>
                <w:szCs w:val="15"/>
              </w:rPr>
            </w:pPr>
            <w:r w:rsidRPr="008C406A">
              <w:rPr>
                <w:rFonts w:ascii="Arial Black" w:hAnsi="Arial Black"/>
                <w:color w:val="FFFFFF" w:themeColor="background1"/>
                <w:sz w:val="15"/>
                <w:szCs w:val="15"/>
              </w:rPr>
              <w:t>Area (ha)</w:t>
            </w:r>
            <w:r w:rsidRPr="00614A1D">
              <w:rPr>
                <w:rFonts w:ascii="Arial Black" w:hAnsi="Arial Black"/>
                <w:color w:val="FFFFFF" w:themeColor="background1"/>
                <w:sz w:val="15"/>
                <w:szCs w:val="15"/>
                <w:vertAlign w:val="superscript"/>
              </w:rPr>
              <w:t>1</w:t>
            </w:r>
          </w:p>
        </w:tc>
        <w:tc>
          <w:tcPr>
            <w:tcW w:w="992" w:type="dxa"/>
            <w:shd w:val="clear" w:color="auto" w:fill="65876D"/>
            <w:vAlign w:val="center"/>
          </w:tcPr>
          <w:p w14:paraId="34645EC8" w14:textId="1E657B02" w:rsidR="00AF44CC" w:rsidRPr="008C406A" w:rsidRDefault="00AF44CC" w:rsidP="00AF44CC">
            <w:pPr>
              <w:spacing w:after="0" w:line="240" w:lineRule="auto"/>
              <w:jc w:val="center"/>
              <w:rPr>
                <w:rFonts w:ascii="Arial Black" w:hAnsi="Arial Black"/>
                <w:color w:val="FFFFFF" w:themeColor="background1"/>
                <w:sz w:val="15"/>
                <w:szCs w:val="15"/>
              </w:rPr>
            </w:pPr>
            <w:r>
              <w:rPr>
                <w:rFonts w:ascii="Arial Black" w:hAnsi="Arial Black"/>
                <w:color w:val="FFFFFF" w:themeColor="background1"/>
                <w:sz w:val="15"/>
                <w:szCs w:val="15"/>
              </w:rPr>
              <w:t xml:space="preserve">Cover of condition </w:t>
            </w:r>
            <w:r w:rsidRPr="008C406A">
              <w:rPr>
                <w:rFonts w:ascii="Arial Black" w:hAnsi="Arial Black"/>
                <w:color w:val="FFFFFF" w:themeColor="background1"/>
                <w:sz w:val="15"/>
                <w:szCs w:val="15"/>
              </w:rPr>
              <w:t>data</w:t>
            </w:r>
            <w:r>
              <w:rPr>
                <w:rFonts w:ascii="Arial Black" w:hAnsi="Arial Black"/>
                <w:color w:val="FFFFFF" w:themeColor="background1"/>
                <w:sz w:val="15"/>
                <w:szCs w:val="15"/>
              </w:rPr>
              <w:t xml:space="preserve"> (%)</w:t>
            </w:r>
            <w:r w:rsidRPr="00614A1D">
              <w:rPr>
                <w:rFonts w:ascii="Arial Black" w:hAnsi="Arial Black"/>
                <w:color w:val="FFFFFF" w:themeColor="background1"/>
                <w:sz w:val="15"/>
                <w:szCs w:val="15"/>
                <w:vertAlign w:val="superscript"/>
              </w:rPr>
              <w:t>2</w:t>
            </w:r>
          </w:p>
        </w:tc>
        <w:tc>
          <w:tcPr>
            <w:tcW w:w="1048" w:type="dxa"/>
            <w:shd w:val="clear" w:color="auto" w:fill="65876D"/>
            <w:vAlign w:val="center"/>
          </w:tcPr>
          <w:p w14:paraId="0994EE02" w14:textId="31A22EA0" w:rsidR="00AF44CC" w:rsidRPr="008C406A" w:rsidRDefault="00AF44CC" w:rsidP="00EB10D3">
            <w:pPr>
              <w:spacing w:after="0" w:line="240" w:lineRule="auto"/>
              <w:jc w:val="center"/>
              <w:rPr>
                <w:rFonts w:ascii="Arial Black" w:hAnsi="Arial Black"/>
                <w:color w:val="FFFFFF" w:themeColor="background1"/>
                <w:sz w:val="15"/>
                <w:szCs w:val="15"/>
              </w:rPr>
            </w:pPr>
            <w:r w:rsidRPr="008C406A">
              <w:rPr>
                <w:rFonts w:ascii="Arial Black" w:hAnsi="Arial Black"/>
                <w:color w:val="FFFFFF" w:themeColor="background1"/>
                <w:sz w:val="15"/>
                <w:szCs w:val="15"/>
              </w:rPr>
              <w:t>poor</w:t>
            </w:r>
            <w:r>
              <w:rPr>
                <w:rFonts w:ascii="Arial Black" w:hAnsi="Arial Black"/>
                <w:color w:val="FFFFFF" w:themeColor="background1"/>
                <w:sz w:val="15"/>
                <w:szCs w:val="15"/>
              </w:rPr>
              <w:t xml:space="preserve"> </w:t>
            </w:r>
            <w:r>
              <w:rPr>
                <w:rFonts w:ascii="Arial Black" w:hAnsi="Arial Black"/>
                <w:color w:val="FFFFFF" w:themeColor="background1"/>
                <w:sz w:val="15"/>
                <w:szCs w:val="15"/>
              </w:rPr>
              <w:br/>
              <w:t>condition</w:t>
            </w:r>
            <w:r w:rsidR="00EB10D3">
              <w:rPr>
                <w:rFonts w:ascii="Arial Black" w:hAnsi="Arial Black"/>
                <w:color w:val="FFFFFF" w:themeColor="background1"/>
                <w:sz w:val="15"/>
                <w:szCs w:val="15"/>
              </w:rPr>
              <w:t xml:space="preserve"> (%)</w:t>
            </w:r>
            <w:r w:rsidRPr="00614A1D">
              <w:rPr>
                <w:rFonts w:ascii="Arial Black" w:hAnsi="Arial Black"/>
                <w:color w:val="FFFFFF" w:themeColor="background1"/>
                <w:sz w:val="15"/>
                <w:szCs w:val="15"/>
                <w:vertAlign w:val="superscript"/>
              </w:rPr>
              <w:t>3</w:t>
            </w:r>
          </w:p>
        </w:tc>
        <w:tc>
          <w:tcPr>
            <w:tcW w:w="1048" w:type="dxa"/>
            <w:shd w:val="clear" w:color="auto" w:fill="65876D"/>
            <w:vAlign w:val="center"/>
          </w:tcPr>
          <w:p w14:paraId="317B83EA" w14:textId="35E37B34" w:rsidR="00AF44CC" w:rsidRPr="008C406A" w:rsidRDefault="00AF44CC" w:rsidP="00EB10D3">
            <w:pPr>
              <w:spacing w:after="0" w:line="240" w:lineRule="auto"/>
              <w:jc w:val="center"/>
              <w:rPr>
                <w:rFonts w:ascii="Arial Black" w:hAnsi="Arial Black"/>
                <w:color w:val="FFFFFF" w:themeColor="background1"/>
                <w:sz w:val="15"/>
                <w:szCs w:val="15"/>
              </w:rPr>
            </w:pPr>
            <w:r w:rsidRPr="008C406A">
              <w:rPr>
                <w:rFonts w:ascii="Arial Black" w:hAnsi="Arial Black"/>
                <w:color w:val="FFFFFF" w:themeColor="background1"/>
                <w:sz w:val="15"/>
                <w:szCs w:val="15"/>
              </w:rPr>
              <w:t>mod. /good</w:t>
            </w:r>
            <w:r>
              <w:rPr>
                <w:rFonts w:ascii="Arial Black" w:hAnsi="Arial Black"/>
                <w:color w:val="FFFFFF" w:themeColor="background1"/>
                <w:sz w:val="15"/>
                <w:szCs w:val="15"/>
              </w:rPr>
              <w:t xml:space="preserve"> condition</w:t>
            </w:r>
            <w:r w:rsidR="00EB10D3">
              <w:rPr>
                <w:rFonts w:ascii="Arial Black" w:hAnsi="Arial Black"/>
                <w:color w:val="FFFFFF" w:themeColor="background1"/>
                <w:sz w:val="15"/>
                <w:szCs w:val="15"/>
              </w:rPr>
              <w:t xml:space="preserve"> (%)</w:t>
            </w:r>
            <w:r w:rsidRPr="00614A1D">
              <w:rPr>
                <w:rFonts w:ascii="Arial Black" w:hAnsi="Arial Black"/>
                <w:color w:val="FFFFFF" w:themeColor="background1"/>
                <w:sz w:val="15"/>
                <w:szCs w:val="15"/>
                <w:vertAlign w:val="superscript"/>
              </w:rPr>
              <w:t>3</w:t>
            </w:r>
          </w:p>
        </w:tc>
        <w:tc>
          <w:tcPr>
            <w:tcW w:w="1280" w:type="dxa"/>
            <w:vMerge/>
          </w:tcPr>
          <w:p w14:paraId="6A8082E5" w14:textId="77777777" w:rsidR="00AF44CC" w:rsidRPr="00F00CE9" w:rsidRDefault="00AF44CC" w:rsidP="00E52A35">
            <w:pPr>
              <w:spacing w:after="0" w:line="240" w:lineRule="auto"/>
              <w:jc w:val="center"/>
              <w:rPr>
                <w:rFonts w:ascii="Calibri" w:hAnsi="Calibri"/>
                <w:b/>
                <w:color w:val="FFFFFF" w:themeColor="background1"/>
                <w:sz w:val="16"/>
                <w:szCs w:val="18"/>
              </w:rPr>
            </w:pPr>
          </w:p>
        </w:tc>
      </w:tr>
      <w:tr w:rsidR="00AF44CC" w:rsidRPr="00C778D3" w14:paraId="7C232975" w14:textId="77777777" w:rsidTr="00AF44CC">
        <w:trPr>
          <w:trHeight w:val="454"/>
        </w:trPr>
        <w:tc>
          <w:tcPr>
            <w:tcW w:w="612" w:type="dxa"/>
            <w:shd w:val="clear" w:color="auto" w:fill="auto"/>
            <w:noWrap/>
            <w:vAlign w:val="center"/>
            <w:hideMark/>
          </w:tcPr>
          <w:p w14:paraId="7A587FB8"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7</w:t>
            </w:r>
          </w:p>
        </w:tc>
        <w:tc>
          <w:tcPr>
            <w:tcW w:w="1817" w:type="dxa"/>
            <w:shd w:val="clear" w:color="auto" w:fill="auto"/>
            <w:vAlign w:val="center"/>
            <w:hideMark/>
          </w:tcPr>
          <w:p w14:paraId="3028AFAE"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Lock 26 (Torrumbarry) to downstream of Gunbower</w:t>
            </w:r>
          </w:p>
        </w:tc>
        <w:tc>
          <w:tcPr>
            <w:tcW w:w="860" w:type="dxa"/>
            <w:shd w:val="clear" w:color="auto" w:fill="auto"/>
            <w:vAlign w:val="center"/>
          </w:tcPr>
          <w:p w14:paraId="23E8672D"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0" w:type="dxa"/>
            <w:shd w:val="clear" w:color="auto" w:fill="auto"/>
            <w:vAlign w:val="center"/>
          </w:tcPr>
          <w:p w14:paraId="25CAEF55"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754C5C61"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0D80E08A"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63" w:type="dxa"/>
            <w:shd w:val="clear" w:color="auto" w:fill="auto"/>
            <w:vAlign w:val="center"/>
          </w:tcPr>
          <w:p w14:paraId="2432C5CE"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46</w:t>
            </w:r>
          </w:p>
        </w:tc>
        <w:tc>
          <w:tcPr>
            <w:tcW w:w="992" w:type="dxa"/>
            <w:shd w:val="clear" w:color="auto" w:fill="auto"/>
            <w:vAlign w:val="center"/>
          </w:tcPr>
          <w:p w14:paraId="4ADB481A" w14:textId="261E11E9"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93</w:t>
            </w:r>
          </w:p>
        </w:tc>
        <w:tc>
          <w:tcPr>
            <w:tcW w:w="1605" w:type="dxa"/>
            <w:shd w:val="clear" w:color="auto" w:fill="auto"/>
            <w:vAlign w:val="center"/>
          </w:tcPr>
          <w:p w14:paraId="5969E63C" w14:textId="7D972D9B"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4</w:t>
            </w:r>
          </w:p>
        </w:tc>
        <w:tc>
          <w:tcPr>
            <w:tcW w:w="1048" w:type="dxa"/>
            <w:shd w:val="clear" w:color="auto" w:fill="auto"/>
            <w:vAlign w:val="center"/>
          </w:tcPr>
          <w:p w14:paraId="4EB26F00" w14:textId="38C1B42B"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4</w:t>
            </w:r>
          </w:p>
        </w:tc>
        <w:tc>
          <w:tcPr>
            <w:tcW w:w="891" w:type="dxa"/>
            <w:vAlign w:val="center"/>
          </w:tcPr>
          <w:p w14:paraId="2E593FB9"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2" w:type="dxa"/>
            <w:vAlign w:val="center"/>
          </w:tcPr>
          <w:p w14:paraId="30EE6530"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44ACB921" w14:textId="78444DDF"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314706E6" w14:textId="765D66F9"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91" w:type="dxa"/>
            <w:vAlign w:val="center"/>
          </w:tcPr>
          <w:p w14:paraId="0CE06C37"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159</w:t>
            </w:r>
          </w:p>
        </w:tc>
        <w:tc>
          <w:tcPr>
            <w:tcW w:w="992" w:type="dxa"/>
            <w:vAlign w:val="center"/>
          </w:tcPr>
          <w:p w14:paraId="18A43879" w14:textId="168ACAA0"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86</w:t>
            </w:r>
          </w:p>
        </w:tc>
        <w:tc>
          <w:tcPr>
            <w:tcW w:w="1048" w:type="dxa"/>
            <w:vAlign w:val="center"/>
          </w:tcPr>
          <w:p w14:paraId="6F17402A" w14:textId="116338DC"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7</w:t>
            </w:r>
          </w:p>
        </w:tc>
        <w:tc>
          <w:tcPr>
            <w:tcW w:w="1048" w:type="dxa"/>
            <w:vAlign w:val="center"/>
          </w:tcPr>
          <w:p w14:paraId="6A056CAA" w14:textId="72FA53E0"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7</w:t>
            </w:r>
          </w:p>
        </w:tc>
        <w:tc>
          <w:tcPr>
            <w:tcW w:w="1280" w:type="dxa"/>
            <w:vAlign w:val="center"/>
          </w:tcPr>
          <w:p w14:paraId="6D2694B1"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1,451</w:t>
            </w:r>
          </w:p>
        </w:tc>
      </w:tr>
      <w:tr w:rsidR="00AF44CC" w:rsidRPr="00D00073" w14:paraId="45CE7D12" w14:textId="77777777" w:rsidTr="00AF44CC">
        <w:trPr>
          <w:trHeight w:val="454"/>
        </w:trPr>
        <w:tc>
          <w:tcPr>
            <w:tcW w:w="612" w:type="dxa"/>
            <w:shd w:val="clear" w:color="auto" w:fill="auto"/>
            <w:noWrap/>
            <w:vAlign w:val="center"/>
            <w:hideMark/>
          </w:tcPr>
          <w:p w14:paraId="6BFA61B7"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8</w:t>
            </w:r>
          </w:p>
        </w:tc>
        <w:tc>
          <w:tcPr>
            <w:tcW w:w="1817" w:type="dxa"/>
            <w:shd w:val="clear" w:color="auto" w:fill="auto"/>
            <w:vAlign w:val="center"/>
            <w:hideMark/>
          </w:tcPr>
          <w:p w14:paraId="7F839F30"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Downstream of Gunbower to Swan Hill</w:t>
            </w:r>
          </w:p>
        </w:tc>
        <w:tc>
          <w:tcPr>
            <w:tcW w:w="860" w:type="dxa"/>
            <w:shd w:val="clear" w:color="auto" w:fill="auto"/>
            <w:vAlign w:val="center"/>
          </w:tcPr>
          <w:p w14:paraId="777F026C"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0" w:type="dxa"/>
            <w:shd w:val="clear" w:color="auto" w:fill="auto"/>
            <w:vAlign w:val="center"/>
          </w:tcPr>
          <w:p w14:paraId="5E8CF187"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601AB177"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7B1711DF"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63" w:type="dxa"/>
            <w:shd w:val="clear" w:color="auto" w:fill="auto"/>
            <w:vAlign w:val="center"/>
          </w:tcPr>
          <w:p w14:paraId="3F158A94"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20</w:t>
            </w:r>
          </w:p>
        </w:tc>
        <w:tc>
          <w:tcPr>
            <w:tcW w:w="992" w:type="dxa"/>
            <w:shd w:val="clear" w:color="auto" w:fill="auto"/>
            <w:vAlign w:val="center"/>
          </w:tcPr>
          <w:p w14:paraId="38721F44" w14:textId="6AA1EBC9"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88</w:t>
            </w:r>
          </w:p>
        </w:tc>
        <w:tc>
          <w:tcPr>
            <w:tcW w:w="1605" w:type="dxa"/>
            <w:shd w:val="clear" w:color="auto" w:fill="auto"/>
            <w:vAlign w:val="center"/>
          </w:tcPr>
          <w:p w14:paraId="0D2642D5" w14:textId="2301B811" w:rsidR="008F0156" w:rsidRPr="00064617"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6</w:t>
            </w:r>
          </w:p>
        </w:tc>
        <w:tc>
          <w:tcPr>
            <w:tcW w:w="1048" w:type="dxa"/>
            <w:shd w:val="clear" w:color="auto" w:fill="auto"/>
            <w:vAlign w:val="center"/>
          </w:tcPr>
          <w:p w14:paraId="0FDE91AA" w14:textId="7A299C80"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5</w:t>
            </w:r>
          </w:p>
        </w:tc>
        <w:tc>
          <w:tcPr>
            <w:tcW w:w="891" w:type="dxa"/>
            <w:vAlign w:val="center"/>
          </w:tcPr>
          <w:p w14:paraId="6886E7A5"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2" w:type="dxa"/>
            <w:vAlign w:val="center"/>
          </w:tcPr>
          <w:p w14:paraId="1A718A52"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10D43C6A"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391E7311" w14:textId="6F6C681C"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91" w:type="dxa"/>
            <w:vAlign w:val="center"/>
          </w:tcPr>
          <w:p w14:paraId="603134BB"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239</w:t>
            </w:r>
          </w:p>
        </w:tc>
        <w:tc>
          <w:tcPr>
            <w:tcW w:w="992" w:type="dxa"/>
            <w:vAlign w:val="center"/>
          </w:tcPr>
          <w:p w14:paraId="5AC0D6CE" w14:textId="658C222E"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86</w:t>
            </w:r>
          </w:p>
        </w:tc>
        <w:tc>
          <w:tcPr>
            <w:tcW w:w="1048" w:type="dxa"/>
            <w:vAlign w:val="center"/>
          </w:tcPr>
          <w:p w14:paraId="32FD73C1" w14:textId="2688FAEF"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3</w:t>
            </w:r>
          </w:p>
        </w:tc>
        <w:tc>
          <w:tcPr>
            <w:tcW w:w="1048" w:type="dxa"/>
            <w:vAlign w:val="center"/>
          </w:tcPr>
          <w:p w14:paraId="404E8190" w14:textId="0870BE5A"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11</w:t>
            </w:r>
          </w:p>
        </w:tc>
        <w:tc>
          <w:tcPr>
            <w:tcW w:w="1280" w:type="dxa"/>
            <w:vAlign w:val="center"/>
          </w:tcPr>
          <w:p w14:paraId="1ECD51F9"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803</w:t>
            </w:r>
          </w:p>
        </w:tc>
      </w:tr>
      <w:tr w:rsidR="00AF44CC" w:rsidRPr="00D00073" w14:paraId="101CE657" w14:textId="77777777" w:rsidTr="00AF44CC">
        <w:trPr>
          <w:trHeight w:val="454"/>
        </w:trPr>
        <w:tc>
          <w:tcPr>
            <w:tcW w:w="612" w:type="dxa"/>
            <w:shd w:val="clear" w:color="auto" w:fill="auto"/>
            <w:noWrap/>
            <w:vAlign w:val="center"/>
            <w:hideMark/>
          </w:tcPr>
          <w:p w14:paraId="1DA0FD8C"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9</w:t>
            </w:r>
          </w:p>
        </w:tc>
        <w:tc>
          <w:tcPr>
            <w:tcW w:w="1817" w:type="dxa"/>
            <w:shd w:val="clear" w:color="auto" w:fill="auto"/>
            <w:vAlign w:val="center"/>
            <w:hideMark/>
          </w:tcPr>
          <w:p w14:paraId="442BADD0"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Swan Hill to Murray/Wakool junction</w:t>
            </w:r>
          </w:p>
        </w:tc>
        <w:tc>
          <w:tcPr>
            <w:tcW w:w="860" w:type="dxa"/>
            <w:shd w:val="clear" w:color="auto" w:fill="auto"/>
            <w:vAlign w:val="center"/>
          </w:tcPr>
          <w:p w14:paraId="5AB7E91D"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0" w:type="dxa"/>
            <w:shd w:val="clear" w:color="auto" w:fill="auto"/>
            <w:vAlign w:val="center"/>
          </w:tcPr>
          <w:p w14:paraId="5C76F498"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5A925D1C"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3C0AD89C"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63" w:type="dxa"/>
            <w:shd w:val="clear" w:color="auto" w:fill="auto"/>
            <w:vAlign w:val="center"/>
          </w:tcPr>
          <w:p w14:paraId="07249F8F"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24</w:t>
            </w:r>
          </w:p>
        </w:tc>
        <w:tc>
          <w:tcPr>
            <w:tcW w:w="992" w:type="dxa"/>
            <w:shd w:val="clear" w:color="auto" w:fill="auto"/>
            <w:vAlign w:val="center"/>
          </w:tcPr>
          <w:p w14:paraId="2309DDFC" w14:textId="60DF7D8C"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78</w:t>
            </w:r>
          </w:p>
        </w:tc>
        <w:tc>
          <w:tcPr>
            <w:tcW w:w="1605" w:type="dxa"/>
            <w:shd w:val="clear" w:color="auto" w:fill="auto"/>
            <w:vAlign w:val="center"/>
          </w:tcPr>
          <w:p w14:paraId="4C95C664" w14:textId="13FF1DE0"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16</w:t>
            </w:r>
          </w:p>
        </w:tc>
        <w:tc>
          <w:tcPr>
            <w:tcW w:w="1048" w:type="dxa"/>
            <w:shd w:val="clear" w:color="auto" w:fill="auto"/>
            <w:vAlign w:val="center"/>
          </w:tcPr>
          <w:p w14:paraId="28E8CCDC" w14:textId="2965D443"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6</w:t>
            </w:r>
          </w:p>
        </w:tc>
        <w:tc>
          <w:tcPr>
            <w:tcW w:w="891" w:type="dxa"/>
            <w:vAlign w:val="center"/>
          </w:tcPr>
          <w:p w14:paraId="0607E84C"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2" w:type="dxa"/>
            <w:vAlign w:val="center"/>
          </w:tcPr>
          <w:p w14:paraId="78674CF3"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2DFFFFF6"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510B599B"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91" w:type="dxa"/>
            <w:vAlign w:val="center"/>
          </w:tcPr>
          <w:p w14:paraId="3B7975F6"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106</w:t>
            </w:r>
          </w:p>
        </w:tc>
        <w:tc>
          <w:tcPr>
            <w:tcW w:w="992" w:type="dxa"/>
            <w:vAlign w:val="center"/>
          </w:tcPr>
          <w:p w14:paraId="3DAF325D" w14:textId="4C08388B"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67</w:t>
            </w:r>
          </w:p>
        </w:tc>
        <w:tc>
          <w:tcPr>
            <w:tcW w:w="1048" w:type="dxa"/>
            <w:vAlign w:val="center"/>
          </w:tcPr>
          <w:p w14:paraId="052BE504" w14:textId="700F6056"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11</w:t>
            </w:r>
          </w:p>
        </w:tc>
        <w:tc>
          <w:tcPr>
            <w:tcW w:w="1048" w:type="dxa"/>
            <w:vAlign w:val="center"/>
          </w:tcPr>
          <w:p w14:paraId="7FFD8C03" w14:textId="68432D7A"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22</w:t>
            </w:r>
          </w:p>
        </w:tc>
        <w:tc>
          <w:tcPr>
            <w:tcW w:w="1280" w:type="dxa"/>
            <w:vAlign w:val="center"/>
          </w:tcPr>
          <w:p w14:paraId="3CF14CD2"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80</w:t>
            </w:r>
          </w:p>
        </w:tc>
      </w:tr>
      <w:tr w:rsidR="00AF44CC" w:rsidRPr="00D00073" w14:paraId="425B55FB" w14:textId="77777777" w:rsidTr="00AF44CC">
        <w:trPr>
          <w:trHeight w:val="454"/>
        </w:trPr>
        <w:tc>
          <w:tcPr>
            <w:tcW w:w="612" w:type="dxa"/>
            <w:shd w:val="clear" w:color="auto" w:fill="auto"/>
            <w:noWrap/>
            <w:vAlign w:val="center"/>
            <w:hideMark/>
          </w:tcPr>
          <w:p w14:paraId="3FBD471C"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10</w:t>
            </w:r>
          </w:p>
        </w:tc>
        <w:tc>
          <w:tcPr>
            <w:tcW w:w="1817" w:type="dxa"/>
            <w:shd w:val="clear" w:color="auto" w:fill="auto"/>
            <w:vAlign w:val="center"/>
            <w:hideMark/>
          </w:tcPr>
          <w:p w14:paraId="5B5DDD27"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 xml:space="preserve">Murray/Wakool junction to Murrumbidgee/Murray junction </w:t>
            </w:r>
          </w:p>
        </w:tc>
        <w:tc>
          <w:tcPr>
            <w:tcW w:w="860" w:type="dxa"/>
            <w:shd w:val="clear" w:color="auto" w:fill="auto"/>
            <w:vAlign w:val="center"/>
          </w:tcPr>
          <w:p w14:paraId="3AFA1528"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0" w:type="dxa"/>
            <w:shd w:val="clear" w:color="auto" w:fill="auto"/>
            <w:vAlign w:val="center"/>
          </w:tcPr>
          <w:p w14:paraId="270A8044"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58E77749"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42D80968"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63" w:type="dxa"/>
            <w:shd w:val="clear" w:color="auto" w:fill="auto"/>
            <w:vAlign w:val="center"/>
          </w:tcPr>
          <w:p w14:paraId="74EDA51B"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50</w:t>
            </w:r>
          </w:p>
        </w:tc>
        <w:tc>
          <w:tcPr>
            <w:tcW w:w="992" w:type="dxa"/>
            <w:shd w:val="clear" w:color="auto" w:fill="auto"/>
            <w:vAlign w:val="center"/>
          </w:tcPr>
          <w:p w14:paraId="5BE40434" w14:textId="78E0438A"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37</w:t>
            </w:r>
          </w:p>
        </w:tc>
        <w:tc>
          <w:tcPr>
            <w:tcW w:w="1605" w:type="dxa"/>
            <w:shd w:val="clear" w:color="auto" w:fill="auto"/>
            <w:vAlign w:val="center"/>
          </w:tcPr>
          <w:p w14:paraId="5582216C" w14:textId="0701BEEC" w:rsidR="008F0156" w:rsidRPr="00064617"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37</w:t>
            </w:r>
          </w:p>
        </w:tc>
        <w:tc>
          <w:tcPr>
            <w:tcW w:w="1048" w:type="dxa"/>
            <w:shd w:val="clear" w:color="auto" w:fill="auto"/>
            <w:vAlign w:val="center"/>
          </w:tcPr>
          <w:p w14:paraId="7C49009A" w14:textId="428CC842"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27</w:t>
            </w:r>
          </w:p>
        </w:tc>
        <w:tc>
          <w:tcPr>
            <w:tcW w:w="891" w:type="dxa"/>
            <w:vAlign w:val="center"/>
          </w:tcPr>
          <w:p w14:paraId="17A90205"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2" w:type="dxa"/>
            <w:vAlign w:val="center"/>
          </w:tcPr>
          <w:p w14:paraId="49BF26D9"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4542330A"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17ACE92B"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91" w:type="dxa"/>
            <w:vAlign w:val="center"/>
          </w:tcPr>
          <w:p w14:paraId="5F79C4A0"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565</w:t>
            </w:r>
          </w:p>
        </w:tc>
        <w:tc>
          <w:tcPr>
            <w:tcW w:w="992" w:type="dxa"/>
            <w:vAlign w:val="center"/>
          </w:tcPr>
          <w:p w14:paraId="5D791C31" w14:textId="03F58BE6" w:rsidR="008F0156" w:rsidRPr="00064617"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9</w:t>
            </w:r>
          </w:p>
        </w:tc>
        <w:tc>
          <w:tcPr>
            <w:tcW w:w="1048" w:type="dxa"/>
            <w:vAlign w:val="center"/>
          </w:tcPr>
          <w:p w14:paraId="0A3B7D7D" w14:textId="18EFC851"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32</w:t>
            </w:r>
          </w:p>
        </w:tc>
        <w:tc>
          <w:tcPr>
            <w:tcW w:w="1048" w:type="dxa"/>
            <w:vAlign w:val="center"/>
          </w:tcPr>
          <w:p w14:paraId="2749D74A" w14:textId="743496A8"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61</w:t>
            </w:r>
          </w:p>
        </w:tc>
        <w:tc>
          <w:tcPr>
            <w:tcW w:w="1280" w:type="dxa"/>
            <w:vAlign w:val="center"/>
          </w:tcPr>
          <w:p w14:paraId="56D4F22C"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334</w:t>
            </w:r>
          </w:p>
        </w:tc>
      </w:tr>
      <w:tr w:rsidR="00AF44CC" w:rsidRPr="00D00073" w14:paraId="432449E5" w14:textId="77777777" w:rsidTr="00AF44CC">
        <w:trPr>
          <w:trHeight w:val="454"/>
        </w:trPr>
        <w:tc>
          <w:tcPr>
            <w:tcW w:w="612" w:type="dxa"/>
            <w:shd w:val="clear" w:color="auto" w:fill="auto"/>
            <w:noWrap/>
            <w:vAlign w:val="center"/>
            <w:hideMark/>
          </w:tcPr>
          <w:p w14:paraId="44FE4969"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11</w:t>
            </w:r>
          </w:p>
        </w:tc>
        <w:tc>
          <w:tcPr>
            <w:tcW w:w="1817" w:type="dxa"/>
            <w:shd w:val="clear" w:color="auto" w:fill="auto"/>
            <w:vAlign w:val="center"/>
            <w:hideMark/>
          </w:tcPr>
          <w:p w14:paraId="6A532911"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 xml:space="preserve">Murrumbidgee/Murray junction to Lock 15 </w:t>
            </w:r>
          </w:p>
        </w:tc>
        <w:tc>
          <w:tcPr>
            <w:tcW w:w="860" w:type="dxa"/>
            <w:shd w:val="clear" w:color="auto" w:fill="auto"/>
            <w:vAlign w:val="center"/>
          </w:tcPr>
          <w:p w14:paraId="135B6EE9"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0" w:type="dxa"/>
            <w:shd w:val="clear" w:color="auto" w:fill="auto"/>
            <w:vAlign w:val="center"/>
          </w:tcPr>
          <w:p w14:paraId="35BA8C2E"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50A088A4"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39A6E3CE"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63" w:type="dxa"/>
            <w:shd w:val="clear" w:color="auto" w:fill="auto"/>
            <w:vAlign w:val="center"/>
          </w:tcPr>
          <w:p w14:paraId="527E22B6"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193</w:t>
            </w:r>
          </w:p>
        </w:tc>
        <w:tc>
          <w:tcPr>
            <w:tcW w:w="992" w:type="dxa"/>
            <w:shd w:val="clear" w:color="auto" w:fill="auto"/>
            <w:vAlign w:val="center"/>
          </w:tcPr>
          <w:p w14:paraId="4C0687E4" w14:textId="4E8C039C"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88</w:t>
            </w:r>
          </w:p>
        </w:tc>
        <w:tc>
          <w:tcPr>
            <w:tcW w:w="1605" w:type="dxa"/>
            <w:shd w:val="clear" w:color="auto" w:fill="auto"/>
            <w:vAlign w:val="center"/>
          </w:tcPr>
          <w:p w14:paraId="3198259F" w14:textId="2CA0A2AA" w:rsidR="008F0156" w:rsidRPr="00064617"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3</w:t>
            </w:r>
          </w:p>
        </w:tc>
        <w:tc>
          <w:tcPr>
            <w:tcW w:w="1048" w:type="dxa"/>
            <w:shd w:val="clear" w:color="auto" w:fill="auto"/>
            <w:vAlign w:val="center"/>
          </w:tcPr>
          <w:p w14:paraId="34E81EE7" w14:textId="3D069992" w:rsidR="008F0156" w:rsidRPr="00064617"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9</w:t>
            </w:r>
          </w:p>
        </w:tc>
        <w:tc>
          <w:tcPr>
            <w:tcW w:w="891" w:type="dxa"/>
            <w:vAlign w:val="center"/>
          </w:tcPr>
          <w:p w14:paraId="47F64B1A"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2" w:type="dxa"/>
            <w:vAlign w:val="center"/>
          </w:tcPr>
          <w:p w14:paraId="4EABED5A"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34BD656C"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60E89DE6"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91" w:type="dxa"/>
            <w:vAlign w:val="center"/>
          </w:tcPr>
          <w:p w14:paraId="56FE6D33"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724</w:t>
            </w:r>
          </w:p>
        </w:tc>
        <w:tc>
          <w:tcPr>
            <w:tcW w:w="992" w:type="dxa"/>
            <w:vAlign w:val="center"/>
          </w:tcPr>
          <w:p w14:paraId="79B025E6" w14:textId="7E04A4EF"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65</w:t>
            </w:r>
          </w:p>
        </w:tc>
        <w:tc>
          <w:tcPr>
            <w:tcW w:w="1048" w:type="dxa"/>
            <w:vAlign w:val="center"/>
          </w:tcPr>
          <w:p w14:paraId="75AAE9BA" w14:textId="68E37A01" w:rsidR="008F0156" w:rsidRPr="00064617"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6</w:t>
            </w:r>
          </w:p>
        </w:tc>
        <w:tc>
          <w:tcPr>
            <w:tcW w:w="1048" w:type="dxa"/>
            <w:vAlign w:val="center"/>
          </w:tcPr>
          <w:p w14:paraId="38D58A78" w14:textId="2084961B"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30</w:t>
            </w:r>
          </w:p>
        </w:tc>
        <w:tc>
          <w:tcPr>
            <w:tcW w:w="1280" w:type="dxa"/>
            <w:vAlign w:val="center"/>
          </w:tcPr>
          <w:p w14:paraId="732DE7D8"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210</w:t>
            </w:r>
          </w:p>
        </w:tc>
      </w:tr>
      <w:tr w:rsidR="00AF44CC" w:rsidRPr="00D00073" w14:paraId="6E1A6A0F" w14:textId="77777777" w:rsidTr="00AF44CC">
        <w:trPr>
          <w:trHeight w:val="454"/>
        </w:trPr>
        <w:tc>
          <w:tcPr>
            <w:tcW w:w="612" w:type="dxa"/>
            <w:shd w:val="clear" w:color="auto" w:fill="auto"/>
            <w:noWrap/>
            <w:vAlign w:val="center"/>
            <w:hideMark/>
          </w:tcPr>
          <w:p w14:paraId="6233BCEB"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12</w:t>
            </w:r>
          </w:p>
        </w:tc>
        <w:tc>
          <w:tcPr>
            <w:tcW w:w="1817" w:type="dxa"/>
            <w:shd w:val="clear" w:color="auto" w:fill="auto"/>
            <w:vAlign w:val="center"/>
            <w:hideMark/>
          </w:tcPr>
          <w:p w14:paraId="75E35E55"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 xml:space="preserve">Lock 15 to Lock 10 </w:t>
            </w:r>
          </w:p>
        </w:tc>
        <w:tc>
          <w:tcPr>
            <w:tcW w:w="860" w:type="dxa"/>
            <w:shd w:val="clear" w:color="auto" w:fill="auto"/>
            <w:vAlign w:val="center"/>
          </w:tcPr>
          <w:p w14:paraId="2EA6D05A"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0" w:type="dxa"/>
            <w:shd w:val="clear" w:color="auto" w:fill="auto"/>
            <w:vAlign w:val="center"/>
          </w:tcPr>
          <w:p w14:paraId="5093CEB5"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516DD091"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7CE72A35"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63" w:type="dxa"/>
            <w:shd w:val="clear" w:color="auto" w:fill="auto"/>
            <w:vAlign w:val="center"/>
          </w:tcPr>
          <w:p w14:paraId="4B4B23CC"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118</w:t>
            </w:r>
          </w:p>
        </w:tc>
        <w:tc>
          <w:tcPr>
            <w:tcW w:w="992" w:type="dxa"/>
            <w:shd w:val="clear" w:color="auto" w:fill="auto"/>
            <w:vAlign w:val="center"/>
          </w:tcPr>
          <w:p w14:paraId="1CA91C5B" w14:textId="6C7368E3"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80</w:t>
            </w:r>
          </w:p>
        </w:tc>
        <w:tc>
          <w:tcPr>
            <w:tcW w:w="1605" w:type="dxa"/>
            <w:shd w:val="clear" w:color="auto" w:fill="auto"/>
            <w:vAlign w:val="center"/>
          </w:tcPr>
          <w:p w14:paraId="1EB1A155" w14:textId="298D2FD9"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10</w:t>
            </w:r>
          </w:p>
        </w:tc>
        <w:tc>
          <w:tcPr>
            <w:tcW w:w="1048" w:type="dxa"/>
            <w:shd w:val="clear" w:color="auto" w:fill="auto"/>
            <w:vAlign w:val="center"/>
          </w:tcPr>
          <w:p w14:paraId="1F86FE4A" w14:textId="413E3E1F"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10</w:t>
            </w:r>
          </w:p>
        </w:tc>
        <w:tc>
          <w:tcPr>
            <w:tcW w:w="891" w:type="dxa"/>
            <w:vAlign w:val="center"/>
          </w:tcPr>
          <w:p w14:paraId="18D63081"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2" w:type="dxa"/>
            <w:vAlign w:val="center"/>
          </w:tcPr>
          <w:p w14:paraId="6C0F939C"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2C9EC434"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61D9D488"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91" w:type="dxa"/>
            <w:vAlign w:val="center"/>
          </w:tcPr>
          <w:p w14:paraId="7CBB56D8"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1,433</w:t>
            </w:r>
          </w:p>
        </w:tc>
        <w:tc>
          <w:tcPr>
            <w:tcW w:w="992" w:type="dxa"/>
            <w:vAlign w:val="center"/>
          </w:tcPr>
          <w:p w14:paraId="39FF9CD2" w14:textId="13384F60"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64</w:t>
            </w:r>
          </w:p>
        </w:tc>
        <w:tc>
          <w:tcPr>
            <w:tcW w:w="1048" w:type="dxa"/>
            <w:vAlign w:val="center"/>
          </w:tcPr>
          <w:p w14:paraId="1E3003FA" w14:textId="41E495AE"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14</w:t>
            </w:r>
          </w:p>
        </w:tc>
        <w:tc>
          <w:tcPr>
            <w:tcW w:w="1048" w:type="dxa"/>
            <w:vAlign w:val="center"/>
          </w:tcPr>
          <w:p w14:paraId="33153F93" w14:textId="197F5304"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22</w:t>
            </w:r>
          </w:p>
        </w:tc>
        <w:tc>
          <w:tcPr>
            <w:tcW w:w="1280" w:type="dxa"/>
            <w:vAlign w:val="center"/>
          </w:tcPr>
          <w:p w14:paraId="5134B541"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1,794</w:t>
            </w:r>
          </w:p>
        </w:tc>
      </w:tr>
      <w:tr w:rsidR="00AF44CC" w:rsidRPr="00D00073" w14:paraId="5EA614DF" w14:textId="77777777" w:rsidTr="00AF44CC">
        <w:trPr>
          <w:trHeight w:val="454"/>
        </w:trPr>
        <w:tc>
          <w:tcPr>
            <w:tcW w:w="612" w:type="dxa"/>
            <w:shd w:val="clear" w:color="auto" w:fill="auto"/>
            <w:noWrap/>
            <w:vAlign w:val="center"/>
            <w:hideMark/>
          </w:tcPr>
          <w:p w14:paraId="0663AD6D"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13</w:t>
            </w:r>
          </w:p>
        </w:tc>
        <w:tc>
          <w:tcPr>
            <w:tcW w:w="1817" w:type="dxa"/>
            <w:shd w:val="clear" w:color="auto" w:fill="auto"/>
            <w:vAlign w:val="center"/>
            <w:hideMark/>
          </w:tcPr>
          <w:p w14:paraId="3900D855"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 xml:space="preserve">Lock 10 to Lock 9 </w:t>
            </w:r>
          </w:p>
        </w:tc>
        <w:tc>
          <w:tcPr>
            <w:tcW w:w="860" w:type="dxa"/>
            <w:shd w:val="clear" w:color="auto" w:fill="auto"/>
            <w:vAlign w:val="center"/>
          </w:tcPr>
          <w:p w14:paraId="70781562"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0" w:type="dxa"/>
            <w:shd w:val="clear" w:color="auto" w:fill="auto"/>
            <w:vAlign w:val="center"/>
          </w:tcPr>
          <w:p w14:paraId="49D94F01"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30B8C3B0"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3B38071D"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63" w:type="dxa"/>
            <w:shd w:val="clear" w:color="auto" w:fill="auto"/>
            <w:vAlign w:val="center"/>
          </w:tcPr>
          <w:p w14:paraId="6F75A4A5"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300</w:t>
            </w:r>
          </w:p>
        </w:tc>
        <w:tc>
          <w:tcPr>
            <w:tcW w:w="992" w:type="dxa"/>
            <w:shd w:val="clear" w:color="auto" w:fill="auto"/>
            <w:vAlign w:val="center"/>
          </w:tcPr>
          <w:p w14:paraId="0F3A483A" w14:textId="228BB7EA"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94</w:t>
            </w:r>
          </w:p>
        </w:tc>
        <w:tc>
          <w:tcPr>
            <w:tcW w:w="1605" w:type="dxa"/>
            <w:shd w:val="clear" w:color="auto" w:fill="auto"/>
            <w:vAlign w:val="center"/>
          </w:tcPr>
          <w:p w14:paraId="49F19D54" w14:textId="1EBEB7BA" w:rsidR="008F0156" w:rsidRPr="00064617"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5</w:t>
            </w:r>
          </w:p>
        </w:tc>
        <w:tc>
          <w:tcPr>
            <w:tcW w:w="1048" w:type="dxa"/>
            <w:shd w:val="clear" w:color="auto" w:fill="auto"/>
            <w:vAlign w:val="center"/>
          </w:tcPr>
          <w:p w14:paraId="552D8B90" w14:textId="77695972" w:rsidR="008F0156" w:rsidRPr="00064617"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1</w:t>
            </w:r>
          </w:p>
        </w:tc>
        <w:tc>
          <w:tcPr>
            <w:tcW w:w="891" w:type="dxa"/>
            <w:vAlign w:val="center"/>
          </w:tcPr>
          <w:p w14:paraId="4F4FEA4E"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2" w:type="dxa"/>
            <w:vAlign w:val="center"/>
          </w:tcPr>
          <w:p w14:paraId="47DC87C1"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7250D3A6"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21D46DA9"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91" w:type="dxa"/>
            <w:vAlign w:val="center"/>
          </w:tcPr>
          <w:p w14:paraId="6D7FA4AA"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1023</w:t>
            </w:r>
          </w:p>
        </w:tc>
        <w:tc>
          <w:tcPr>
            <w:tcW w:w="992" w:type="dxa"/>
            <w:vAlign w:val="center"/>
          </w:tcPr>
          <w:p w14:paraId="54DCF768" w14:textId="7249D4BD"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58</w:t>
            </w:r>
          </w:p>
        </w:tc>
        <w:tc>
          <w:tcPr>
            <w:tcW w:w="1048" w:type="dxa"/>
            <w:vAlign w:val="center"/>
          </w:tcPr>
          <w:p w14:paraId="3C0C2F1E" w14:textId="79CC6BD3"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16</w:t>
            </w:r>
          </w:p>
        </w:tc>
        <w:tc>
          <w:tcPr>
            <w:tcW w:w="1048" w:type="dxa"/>
            <w:vAlign w:val="center"/>
          </w:tcPr>
          <w:p w14:paraId="3A785FAD" w14:textId="44A085B0"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25</w:t>
            </w:r>
          </w:p>
        </w:tc>
        <w:tc>
          <w:tcPr>
            <w:tcW w:w="1280" w:type="dxa"/>
            <w:vAlign w:val="center"/>
          </w:tcPr>
          <w:p w14:paraId="36FB3828"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9</w:t>
            </w:r>
          </w:p>
        </w:tc>
      </w:tr>
      <w:tr w:rsidR="00AF44CC" w:rsidRPr="00D00073" w14:paraId="27092CC3" w14:textId="77777777" w:rsidTr="00AF44CC">
        <w:trPr>
          <w:trHeight w:val="454"/>
        </w:trPr>
        <w:tc>
          <w:tcPr>
            <w:tcW w:w="612" w:type="dxa"/>
            <w:shd w:val="clear" w:color="auto" w:fill="auto"/>
            <w:noWrap/>
            <w:vAlign w:val="center"/>
            <w:hideMark/>
          </w:tcPr>
          <w:p w14:paraId="247B8DA6"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14</w:t>
            </w:r>
          </w:p>
        </w:tc>
        <w:tc>
          <w:tcPr>
            <w:tcW w:w="1817" w:type="dxa"/>
            <w:shd w:val="clear" w:color="auto" w:fill="auto"/>
            <w:vAlign w:val="center"/>
            <w:hideMark/>
          </w:tcPr>
          <w:p w14:paraId="32F5DC97"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Lock 9 to Lock 8</w:t>
            </w:r>
          </w:p>
        </w:tc>
        <w:tc>
          <w:tcPr>
            <w:tcW w:w="860" w:type="dxa"/>
            <w:shd w:val="clear" w:color="auto" w:fill="auto"/>
            <w:vAlign w:val="center"/>
          </w:tcPr>
          <w:p w14:paraId="1D1C6B0B"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0" w:type="dxa"/>
            <w:shd w:val="clear" w:color="auto" w:fill="auto"/>
            <w:vAlign w:val="center"/>
          </w:tcPr>
          <w:p w14:paraId="664344D5"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3DB4964A"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53F678D6"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63" w:type="dxa"/>
            <w:shd w:val="clear" w:color="auto" w:fill="auto"/>
            <w:vAlign w:val="center"/>
          </w:tcPr>
          <w:p w14:paraId="31868F6C"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81</w:t>
            </w:r>
          </w:p>
        </w:tc>
        <w:tc>
          <w:tcPr>
            <w:tcW w:w="992" w:type="dxa"/>
            <w:shd w:val="clear" w:color="auto" w:fill="auto"/>
            <w:vAlign w:val="center"/>
          </w:tcPr>
          <w:p w14:paraId="1238E85F" w14:textId="651B51C4"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93</w:t>
            </w:r>
          </w:p>
        </w:tc>
        <w:tc>
          <w:tcPr>
            <w:tcW w:w="1605" w:type="dxa"/>
            <w:shd w:val="clear" w:color="auto" w:fill="auto"/>
            <w:vAlign w:val="center"/>
          </w:tcPr>
          <w:p w14:paraId="2C373897" w14:textId="786854AD" w:rsidR="008F0156" w:rsidRPr="00064617"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7</w:t>
            </w:r>
          </w:p>
        </w:tc>
        <w:tc>
          <w:tcPr>
            <w:tcW w:w="1048" w:type="dxa"/>
            <w:shd w:val="clear" w:color="auto" w:fill="auto"/>
            <w:vAlign w:val="center"/>
          </w:tcPr>
          <w:p w14:paraId="5D82B58C" w14:textId="1F9952F1"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91" w:type="dxa"/>
            <w:vAlign w:val="center"/>
          </w:tcPr>
          <w:p w14:paraId="7A7B9AA4"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2" w:type="dxa"/>
            <w:vAlign w:val="center"/>
          </w:tcPr>
          <w:p w14:paraId="72E87D29"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5C168A33"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67C0AD8D"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91" w:type="dxa"/>
            <w:vAlign w:val="center"/>
          </w:tcPr>
          <w:p w14:paraId="65CEF10F"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566</w:t>
            </w:r>
          </w:p>
        </w:tc>
        <w:tc>
          <w:tcPr>
            <w:tcW w:w="992" w:type="dxa"/>
            <w:vAlign w:val="center"/>
          </w:tcPr>
          <w:p w14:paraId="4F02A96F" w14:textId="15733FB6"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76</w:t>
            </w:r>
          </w:p>
        </w:tc>
        <w:tc>
          <w:tcPr>
            <w:tcW w:w="1048" w:type="dxa"/>
            <w:vAlign w:val="center"/>
          </w:tcPr>
          <w:p w14:paraId="342AF120" w14:textId="7ACEF24E" w:rsidR="008F0156" w:rsidRPr="00064617"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9</w:t>
            </w:r>
          </w:p>
        </w:tc>
        <w:tc>
          <w:tcPr>
            <w:tcW w:w="1048" w:type="dxa"/>
            <w:vAlign w:val="center"/>
          </w:tcPr>
          <w:p w14:paraId="6E711E61" w14:textId="5D35847B"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15</w:t>
            </w:r>
          </w:p>
        </w:tc>
        <w:tc>
          <w:tcPr>
            <w:tcW w:w="1280" w:type="dxa"/>
            <w:vAlign w:val="center"/>
          </w:tcPr>
          <w:p w14:paraId="04A77391"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r>
      <w:tr w:rsidR="00AF44CC" w:rsidRPr="00D00073" w14:paraId="2E0616FA" w14:textId="77777777" w:rsidTr="00AF44CC">
        <w:trPr>
          <w:trHeight w:val="454"/>
        </w:trPr>
        <w:tc>
          <w:tcPr>
            <w:tcW w:w="612" w:type="dxa"/>
            <w:shd w:val="clear" w:color="auto" w:fill="auto"/>
            <w:noWrap/>
            <w:vAlign w:val="center"/>
            <w:hideMark/>
          </w:tcPr>
          <w:p w14:paraId="2606F954"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15</w:t>
            </w:r>
          </w:p>
        </w:tc>
        <w:tc>
          <w:tcPr>
            <w:tcW w:w="1817" w:type="dxa"/>
            <w:shd w:val="clear" w:color="auto" w:fill="auto"/>
            <w:vAlign w:val="center"/>
            <w:hideMark/>
          </w:tcPr>
          <w:p w14:paraId="7497BFBD"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Lock 8 to Lock 7</w:t>
            </w:r>
          </w:p>
        </w:tc>
        <w:tc>
          <w:tcPr>
            <w:tcW w:w="860" w:type="dxa"/>
            <w:shd w:val="clear" w:color="auto" w:fill="auto"/>
            <w:vAlign w:val="center"/>
          </w:tcPr>
          <w:p w14:paraId="7CA3A6A6"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0" w:type="dxa"/>
            <w:shd w:val="clear" w:color="auto" w:fill="auto"/>
            <w:vAlign w:val="center"/>
          </w:tcPr>
          <w:p w14:paraId="2D3D2B36"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1EAF88AB"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4F1AB7A0"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63" w:type="dxa"/>
            <w:shd w:val="clear" w:color="auto" w:fill="auto"/>
            <w:vAlign w:val="center"/>
          </w:tcPr>
          <w:p w14:paraId="4F03551C"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17</w:t>
            </w:r>
          </w:p>
        </w:tc>
        <w:tc>
          <w:tcPr>
            <w:tcW w:w="992" w:type="dxa"/>
            <w:shd w:val="clear" w:color="auto" w:fill="auto"/>
            <w:vAlign w:val="center"/>
          </w:tcPr>
          <w:p w14:paraId="4DE4E0CC" w14:textId="641CAA29"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85</w:t>
            </w:r>
          </w:p>
        </w:tc>
        <w:tc>
          <w:tcPr>
            <w:tcW w:w="1605" w:type="dxa"/>
            <w:shd w:val="clear" w:color="auto" w:fill="auto"/>
            <w:vAlign w:val="center"/>
          </w:tcPr>
          <w:p w14:paraId="6090D2D7" w14:textId="55855ED7"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14</w:t>
            </w:r>
          </w:p>
        </w:tc>
        <w:tc>
          <w:tcPr>
            <w:tcW w:w="1048" w:type="dxa"/>
            <w:shd w:val="clear" w:color="auto" w:fill="auto"/>
            <w:vAlign w:val="center"/>
          </w:tcPr>
          <w:p w14:paraId="2EF56F0D" w14:textId="580FAA03"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w:t>
            </w:r>
          </w:p>
        </w:tc>
        <w:tc>
          <w:tcPr>
            <w:tcW w:w="891" w:type="dxa"/>
            <w:vAlign w:val="center"/>
          </w:tcPr>
          <w:p w14:paraId="18B2239C"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2" w:type="dxa"/>
            <w:vAlign w:val="center"/>
          </w:tcPr>
          <w:p w14:paraId="050CE201"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5A46FB08"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7019445C"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91" w:type="dxa"/>
            <w:vAlign w:val="center"/>
          </w:tcPr>
          <w:p w14:paraId="14607130"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605</w:t>
            </w:r>
          </w:p>
        </w:tc>
        <w:tc>
          <w:tcPr>
            <w:tcW w:w="992" w:type="dxa"/>
            <w:vAlign w:val="center"/>
          </w:tcPr>
          <w:p w14:paraId="52E30A57" w14:textId="015FF613"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77</w:t>
            </w:r>
          </w:p>
        </w:tc>
        <w:tc>
          <w:tcPr>
            <w:tcW w:w="1048" w:type="dxa"/>
            <w:vAlign w:val="center"/>
          </w:tcPr>
          <w:p w14:paraId="6B108584" w14:textId="70329BF6"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7</w:t>
            </w:r>
          </w:p>
        </w:tc>
        <w:tc>
          <w:tcPr>
            <w:tcW w:w="1048" w:type="dxa"/>
            <w:vAlign w:val="center"/>
          </w:tcPr>
          <w:p w14:paraId="73DF17F4" w14:textId="692850D3"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16</w:t>
            </w:r>
          </w:p>
        </w:tc>
        <w:tc>
          <w:tcPr>
            <w:tcW w:w="1280" w:type="dxa"/>
            <w:vAlign w:val="center"/>
          </w:tcPr>
          <w:p w14:paraId="50A6E759"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4</w:t>
            </w:r>
          </w:p>
        </w:tc>
      </w:tr>
      <w:tr w:rsidR="00AF44CC" w:rsidRPr="00D00073" w14:paraId="30ED56F8" w14:textId="77777777" w:rsidTr="00AF44CC">
        <w:trPr>
          <w:trHeight w:val="454"/>
        </w:trPr>
        <w:tc>
          <w:tcPr>
            <w:tcW w:w="612" w:type="dxa"/>
            <w:shd w:val="clear" w:color="auto" w:fill="auto"/>
            <w:noWrap/>
            <w:vAlign w:val="center"/>
            <w:hideMark/>
          </w:tcPr>
          <w:p w14:paraId="3AAC3FE6"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16</w:t>
            </w:r>
          </w:p>
        </w:tc>
        <w:tc>
          <w:tcPr>
            <w:tcW w:w="1817" w:type="dxa"/>
            <w:shd w:val="clear" w:color="auto" w:fill="auto"/>
            <w:vAlign w:val="center"/>
            <w:hideMark/>
          </w:tcPr>
          <w:p w14:paraId="7D1C348A"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 xml:space="preserve">Lock 7 to Lock 6 </w:t>
            </w:r>
          </w:p>
        </w:tc>
        <w:tc>
          <w:tcPr>
            <w:tcW w:w="860" w:type="dxa"/>
            <w:shd w:val="clear" w:color="auto" w:fill="auto"/>
            <w:vAlign w:val="center"/>
          </w:tcPr>
          <w:p w14:paraId="3E18981B"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0" w:type="dxa"/>
            <w:shd w:val="clear" w:color="auto" w:fill="auto"/>
            <w:vAlign w:val="center"/>
          </w:tcPr>
          <w:p w14:paraId="509014F5"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4280C9FA"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61D166E4"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63" w:type="dxa"/>
            <w:shd w:val="clear" w:color="auto" w:fill="auto"/>
            <w:vAlign w:val="center"/>
          </w:tcPr>
          <w:p w14:paraId="39652852"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1,142</w:t>
            </w:r>
          </w:p>
        </w:tc>
        <w:tc>
          <w:tcPr>
            <w:tcW w:w="992" w:type="dxa"/>
            <w:shd w:val="clear" w:color="auto" w:fill="auto"/>
            <w:vAlign w:val="center"/>
          </w:tcPr>
          <w:p w14:paraId="78C8B66A" w14:textId="3AB8DE8E"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87</w:t>
            </w:r>
          </w:p>
        </w:tc>
        <w:tc>
          <w:tcPr>
            <w:tcW w:w="1605" w:type="dxa"/>
            <w:shd w:val="clear" w:color="auto" w:fill="auto"/>
            <w:vAlign w:val="center"/>
          </w:tcPr>
          <w:p w14:paraId="470AFE89" w14:textId="6CED65A6" w:rsidR="008F0156" w:rsidRPr="00064617"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11</w:t>
            </w:r>
          </w:p>
        </w:tc>
        <w:tc>
          <w:tcPr>
            <w:tcW w:w="1048" w:type="dxa"/>
            <w:shd w:val="clear" w:color="auto" w:fill="auto"/>
            <w:vAlign w:val="center"/>
          </w:tcPr>
          <w:p w14:paraId="0BD3BBB1" w14:textId="6BFA1359"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3</w:t>
            </w:r>
          </w:p>
        </w:tc>
        <w:tc>
          <w:tcPr>
            <w:tcW w:w="891" w:type="dxa"/>
            <w:vAlign w:val="center"/>
          </w:tcPr>
          <w:p w14:paraId="54D43AAF"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2" w:type="dxa"/>
            <w:vAlign w:val="center"/>
          </w:tcPr>
          <w:p w14:paraId="6CDC2D0E"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55B957FD"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42715FF3"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91" w:type="dxa"/>
            <w:vAlign w:val="center"/>
          </w:tcPr>
          <w:p w14:paraId="127ABB5B"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1,910</w:t>
            </w:r>
          </w:p>
        </w:tc>
        <w:tc>
          <w:tcPr>
            <w:tcW w:w="992" w:type="dxa"/>
            <w:vAlign w:val="center"/>
          </w:tcPr>
          <w:p w14:paraId="09724FE1" w14:textId="596FD8EB"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43</w:t>
            </w:r>
          </w:p>
        </w:tc>
        <w:tc>
          <w:tcPr>
            <w:tcW w:w="1048" w:type="dxa"/>
            <w:vAlign w:val="center"/>
          </w:tcPr>
          <w:p w14:paraId="016F1899" w14:textId="60960F7F"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21</w:t>
            </w:r>
          </w:p>
        </w:tc>
        <w:tc>
          <w:tcPr>
            <w:tcW w:w="1048" w:type="dxa"/>
            <w:vAlign w:val="center"/>
          </w:tcPr>
          <w:p w14:paraId="1E0F5F5B" w14:textId="4AB1AF4E"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37</w:t>
            </w:r>
          </w:p>
        </w:tc>
        <w:tc>
          <w:tcPr>
            <w:tcW w:w="1280" w:type="dxa"/>
            <w:vAlign w:val="center"/>
          </w:tcPr>
          <w:p w14:paraId="4EC9DB42"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r>
      <w:tr w:rsidR="00AF44CC" w:rsidRPr="00D00073" w14:paraId="45AE408B" w14:textId="77777777" w:rsidTr="00AF44CC">
        <w:trPr>
          <w:trHeight w:val="454"/>
        </w:trPr>
        <w:tc>
          <w:tcPr>
            <w:tcW w:w="612" w:type="dxa"/>
            <w:shd w:val="clear" w:color="auto" w:fill="auto"/>
            <w:noWrap/>
            <w:vAlign w:val="center"/>
          </w:tcPr>
          <w:p w14:paraId="1C2E3E1D"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17</w:t>
            </w:r>
          </w:p>
        </w:tc>
        <w:tc>
          <w:tcPr>
            <w:tcW w:w="1817" w:type="dxa"/>
            <w:shd w:val="clear" w:color="auto" w:fill="auto"/>
            <w:vAlign w:val="center"/>
          </w:tcPr>
          <w:p w14:paraId="3511A618"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 xml:space="preserve">Lock 6 to Lock 5 </w:t>
            </w:r>
          </w:p>
        </w:tc>
        <w:tc>
          <w:tcPr>
            <w:tcW w:w="860" w:type="dxa"/>
            <w:shd w:val="clear" w:color="auto" w:fill="auto"/>
            <w:vAlign w:val="center"/>
          </w:tcPr>
          <w:p w14:paraId="011DAC1B"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0" w:type="dxa"/>
            <w:shd w:val="clear" w:color="auto" w:fill="auto"/>
            <w:vAlign w:val="center"/>
          </w:tcPr>
          <w:p w14:paraId="6A6042ED"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09F46401"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7FAD3A80"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63" w:type="dxa"/>
            <w:shd w:val="clear" w:color="auto" w:fill="auto"/>
            <w:vAlign w:val="center"/>
          </w:tcPr>
          <w:p w14:paraId="33AA2CEC"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1,072</w:t>
            </w:r>
          </w:p>
        </w:tc>
        <w:tc>
          <w:tcPr>
            <w:tcW w:w="992" w:type="dxa"/>
            <w:shd w:val="clear" w:color="auto" w:fill="auto"/>
            <w:vAlign w:val="center"/>
          </w:tcPr>
          <w:p w14:paraId="228A2D48" w14:textId="613ECA7F"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96</w:t>
            </w:r>
          </w:p>
        </w:tc>
        <w:tc>
          <w:tcPr>
            <w:tcW w:w="1605" w:type="dxa"/>
            <w:shd w:val="clear" w:color="auto" w:fill="auto"/>
            <w:vAlign w:val="center"/>
          </w:tcPr>
          <w:p w14:paraId="29F7EAF0" w14:textId="383B2676" w:rsidR="008F0156" w:rsidRPr="00064617"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4</w:t>
            </w:r>
          </w:p>
        </w:tc>
        <w:tc>
          <w:tcPr>
            <w:tcW w:w="1048" w:type="dxa"/>
            <w:shd w:val="clear" w:color="auto" w:fill="auto"/>
            <w:vAlign w:val="center"/>
          </w:tcPr>
          <w:p w14:paraId="26FCD37A" w14:textId="73C52A80"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91" w:type="dxa"/>
            <w:vAlign w:val="center"/>
          </w:tcPr>
          <w:p w14:paraId="4C49C470"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2" w:type="dxa"/>
            <w:vAlign w:val="center"/>
          </w:tcPr>
          <w:p w14:paraId="4501E3B7"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7489B3F3"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61C974A0"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91" w:type="dxa"/>
            <w:vAlign w:val="center"/>
          </w:tcPr>
          <w:p w14:paraId="088C0801"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2,243</w:t>
            </w:r>
          </w:p>
        </w:tc>
        <w:tc>
          <w:tcPr>
            <w:tcW w:w="992" w:type="dxa"/>
            <w:vAlign w:val="center"/>
          </w:tcPr>
          <w:p w14:paraId="7F1BB4B9" w14:textId="32E19B0C"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81</w:t>
            </w:r>
          </w:p>
        </w:tc>
        <w:tc>
          <w:tcPr>
            <w:tcW w:w="1048" w:type="dxa"/>
            <w:vAlign w:val="center"/>
          </w:tcPr>
          <w:p w14:paraId="64F11D68" w14:textId="02DDB7CE" w:rsidR="008F0156" w:rsidRPr="00064617"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5</w:t>
            </w:r>
          </w:p>
        </w:tc>
        <w:tc>
          <w:tcPr>
            <w:tcW w:w="1048" w:type="dxa"/>
            <w:vAlign w:val="center"/>
          </w:tcPr>
          <w:p w14:paraId="110216E5" w14:textId="1D9F1875"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14</w:t>
            </w:r>
          </w:p>
        </w:tc>
        <w:tc>
          <w:tcPr>
            <w:tcW w:w="1280" w:type="dxa"/>
            <w:vAlign w:val="center"/>
          </w:tcPr>
          <w:p w14:paraId="18350930"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34</w:t>
            </w:r>
          </w:p>
        </w:tc>
      </w:tr>
      <w:tr w:rsidR="00AF44CC" w:rsidRPr="00D00073" w14:paraId="1E1E3CCE" w14:textId="77777777" w:rsidTr="00AF44CC">
        <w:trPr>
          <w:trHeight w:val="454"/>
        </w:trPr>
        <w:tc>
          <w:tcPr>
            <w:tcW w:w="612" w:type="dxa"/>
            <w:shd w:val="clear" w:color="auto" w:fill="auto"/>
            <w:noWrap/>
            <w:vAlign w:val="center"/>
          </w:tcPr>
          <w:p w14:paraId="48EEE09F"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18</w:t>
            </w:r>
          </w:p>
        </w:tc>
        <w:tc>
          <w:tcPr>
            <w:tcW w:w="1817" w:type="dxa"/>
            <w:shd w:val="clear" w:color="auto" w:fill="auto"/>
            <w:vAlign w:val="center"/>
          </w:tcPr>
          <w:p w14:paraId="0F2C2295" w14:textId="77777777" w:rsidR="008F0156" w:rsidRPr="00064617" w:rsidRDefault="008F0156"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 xml:space="preserve">Lock 5 to Lock 4 </w:t>
            </w:r>
          </w:p>
        </w:tc>
        <w:tc>
          <w:tcPr>
            <w:tcW w:w="860" w:type="dxa"/>
            <w:shd w:val="clear" w:color="auto" w:fill="auto"/>
            <w:vAlign w:val="center"/>
          </w:tcPr>
          <w:p w14:paraId="2B377A68"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0" w:type="dxa"/>
            <w:shd w:val="clear" w:color="auto" w:fill="auto"/>
            <w:vAlign w:val="center"/>
          </w:tcPr>
          <w:p w14:paraId="0A5FBE2D"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160F8863"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665" w:type="dxa"/>
            <w:shd w:val="clear" w:color="auto" w:fill="auto"/>
            <w:vAlign w:val="center"/>
          </w:tcPr>
          <w:p w14:paraId="6CEFEEBE"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63" w:type="dxa"/>
            <w:shd w:val="clear" w:color="auto" w:fill="auto"/>
            <w:vAlign w:val="center"/>
          </w:tcPr>
          <w:p w14:paraId="4BA6D261"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329</w:t>
            </w:r>
          </w:p>
        </w:tc>
        <w:tc>
          <w:tcPr>
            <w:tcW w:w="992" w:type="dxa"/>
            <w:shd w:val="clear" w:color="auto" w:fill="auto"/>
            <w:vAlign w:val="center"/>
          </w:tcPr>
          <w:p w14:paraId="59E1A7AE" w14:textId="40EB4CF8"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86</w:t>
            </w:r>
          </w:p>
        </w:tc>
        <w:tc>
          <w:tcPr>
            <w:tcW w:w="1605" w:type="dxa"/>
            <w:shd w:val="clear" w:color="auto" w:fill="auto"/>
            <w:vAlign w:val="center"/>
          </w:tcPr>
          <w:p w14:paraId="40EAB340" w14:textId="503F5B6D"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12</w:t>
            </w:r>
          </w:p>
        </w:tc>
        <w:tc>
          <w:tcPr>
            <w:tcW w:w="1048" w:type="dxa"/>
            <w:shd w:val="clear" w:color="auto" w:fill="auto"/>
            <w:vAlign w:val="center"/>
          </w:tcPr>
          <w:p w14:paraId="06EB6D74" w14:textId="6DFC635D"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2</w:t>
            </w:r>
          </w:p>
        </w:tc>
        <w:tc>
          <w:tcPr>
            <w:tcW w:w="891" w:type="dxa"/>
            <w:vAlign w:val="center"/>
          </w:tcPr>
          <w:p w14:paraId="10D2AE65"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992" w:type="dxa"/>
            <w:vAlign w:val="center"/>
          </w:tcPr>
          <w:p w14:paraId="7D791574"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29390F42"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1048" w:type="dxa"/>
            <w:vAlign w:val="center"/>
          </w:tcPr>
          <w:p w14:paraId="0D0B243B"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0</w:t>
            </w:r>
          </w:p>
        </w:tc>
        <w:tc>
          <w:tcPr>
            <w:tcW w:w="891" w:type="dxa"/>
            <w:vAlign w:val="center"/>
          </w:tcPr>
          <w:p w14:paraId="7F79A952"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384</w:t>
            </w:r>
          </w:p>
        </w:tc>
        <w:tc>
          <w:tcPr>
            <w:tcW w:w="992" w:type="dxa"/>
            <w:vAlign w:val="center"/>
          </w:tcPr>
          <w:p w14:paraId="7961B056" w14:textId="1405DAFA"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68</w:t>
            </w:r>
          </w:p>
        </w:tc>
        <w:tc>
          <w:tcPr>
            <w:tcW w:w="1048" w:type="dxa"/>
            <w:vAlign w:val="center"/>
          </w:tcPr>
          <w:p w14:paraId="33B6D5B2" w14:textId="0EE105D2"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14</w:t>
            </w:r>
          </w:p>
        </w:tc>
        <w:tc>
          <w:tcPr>
            <w:tcW w:w="1048" w:type="dxa"/>
            <w:vAlign w:val="center"/>
          </w:tcPr>
          <w:p w14:paraId="0830CA49" w14:textId="7B7A012A" w:rsidR="008F0156" w:rsidRPr="00064617" w:rsidRDefault="008F0156"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18</w:t>
            </w:r>
          </w:p>
        </w:tc>
        <w:tc>
          <w:tcPr>
            <w:tcW w:w="1280" w:type="dxa"/>
            <w:vAlign w:val="center"/>
          </w:tcPr>
          <w:p w14:paraId="52CD03F9" w14:textId="77777777" w:rsidR="008F0156" w:rsidRPr="00064617" w:rsidRDefault="008F0156"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064617">
              <w:rPr>
                <w:rFonts w:asciiTheme="minorHAnsi" w:eastAsia="Times New Roman" w:hAnsiTheme="minorHAnsi" w:cs="Arial"/>
                <w:color w:val="000000"/>
                <w:sz w:val="16"/>
                <w:szCs w:val="16"/>
                <w:lang w:eastAsia="en-AU"/>
              </w:rPr>
              <w:t>9</w:t>
            </w:r>
          </w:p>
        </w:tc>
      </w:tr>
      <w:tr w:rsidR="00AF44CC" w:rsidRPr="00D00073" w14:paraId="73E287EC" w14:textId="77777777" w:rsidTr="00AF44CC">
        <w:trPr>
          <w:trHeight w:val="454"/>
        </w:trPr>
        <w:tc>
          <w:tcPr>
            <w:tcW w:w="2429" w:type="dxa"/>
            <w:gridSpan w:val="2"/>
            <w:shd w:val="clear" w:color="auto" w:fill="auto"/>
            <w:noWrap/>
            <w:vAlign w:val="center"/>
          </w:tcPr>
          <w:p w14:paraId="090F5A0B" w14:textId="77777777" w:rsidR="008F0156" w:rsidRPr="00BB0419" w:rsidRDefault="008F0156" w:rsidP="00E52A35">
            <w:pPr>
              <w:spacing w:before="100" w:beforeAutospacing="1" w:after="100" w:afterAutospacing="1" w:line="240" w:lineRule="auto"/>
              <w:jc w:val="center"/>
              <w:rPr>
                <w:b/>
              </w:rPr>
            </w:pPr>
            <w:r w:rsidRPr="00BB0419">
              <w:rPr>
                <w:rFonts w:ascii="Calibri" w:hAnsi="Calibri"/>
                <w:b/>
                <w:color w:val="000000"/>
                <w:sz w:val="16"/>
                <w:szCs w:val="22"/>
              </w:rPr>
              <w:t xml:space="preserve">Total </w:t>
            </w:r>
          </w:p>
        </w:tc>
        <w:tc>
          <w:tcPr>
            <w:tcW w:w="860" w:type="dxa"/>
            <w:shd w:val="clear" w:color="auto" w:fill="auto"/>
            <w:vAlign w:val="center"/>
          </w:tcPr>
          <w:p w14:paraId="2CFE1C1B" w14:textId="77777777" w:rsidR="008F0156" w:rsidRPr="00BB0419" w:rsidRDefault="008F0156"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sidRPr="00BB0419">
              <w:rPr>
                <w:rFonts w:asciiTheme="minorHAnsi" w:eastAsia="Times New Roman" w:hAnsiTheme="minorHAnsi" w:cs="Arial"/>
                <w:b/>
                <w:color w:val="000000"/>
                <w:sz w:val="16"/>
                <w:szCs w:val="16"/>
                <w:lang w:eastAsia="en-AU"/>
              </w:rPr>
              <w:fldChar w:fldCharType="begin"/>
            </w:r>
            <w:r w:rsidRPr="00BB0419">
              <w:rPr>
                <w:rFonts w:asciiTheme="minorHAnsi" w:eastAsia="Times New Roman" w:hAnsiTheme="minorHAnsi" w:cs="Arial"/>
                <w:b/>
                <w:color w:val="000000"/>
                <w:sz w:val="16"/>
                <w:szCs w:val="16"/>
                <w:lang w:eastAsia="en-AU"/>
              </w:rPr>
              <w:instrText xml:space="preserve"> =SUM(ABOVE) </w:instrText>
            </w:r>
            <w:r w:rsidRPr="00BB0419">
              <w:rPr>
                <w:rFonts w:asciiTheme="minorHAnsi" w:eastAsia="Times New Roman" w:hAnsiTheme="minorHAnsi" w:cs="Arial"/>
                <w:b/>
                <w:color w:val="000000"/>
                <w:sz w:val="16"/>
                <w:szCs w:val="16"/>
                <w:lang w:eastAsia="en-AU"/>
              </w:rPr>
              <w:fldChar w:fldCharType="separate"/>
            </w:r>
            <w:r w:rsidRPr="00BB0419">
              <w:rPr>
                <w:rFonts w:asciiTheme="minorHAnsi" w:eastAsia="Times New Roman" w:hAnsiTheme="minorHAnsi" w:cs="Arial"/>
                <w:b/>
                <w:color w:val="000000"/>
                <w:sz w:val="16"/>
                <w:szCs w:val="16"/>
                <w:lang w:eastAsia="en-AU"/>
              </w:rPr>
              <w:t>0</w:t>
            </w:r>
            <w:r w:rsidRPr="00BB0419">
              <w:rPr>
                <w:rFonts w:asciiTheme="minorHAnsi" w:eastAsia="Times New Roman" w:hAnsiTheme="minorHAnsi" w:cs="Arial"/>
                <w:b/>
                <w:color w:val="000000"/>
                <w:sz w:val="16"/>
                <w:szCs w:val="16"/>
                <w:lang w:eastAsia="en-AU"/>
              </w:rPr>
              <w:fldChar w:fldCharType="end"/>
            </w:r>
          </w:p>
        </w:tc>
        <w:tc>
          <w:tcPr>
            <w:tcW w:w="990" w:type="dxa"/>
            <w:shd w:val="clear" w:color="auto" w:fill="auto"/>
            <w:vAlign w:val="center"/>
          </w:tcPr>
          <w:p w14:paraId="2B8915EC" w14:textId="411F0C04" w:rsidR="008F0156" w:rsidRPr="00BB0419" w:rsidRDefault="000662A8"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0</w:t>
            </w:r>
          </w:p>
        </w:tc>
        <w:tc>
          <w:tcPr>
            <w:tcW w:w="1665" w:type="dxa"/>
            <w:shd w:val="clear" w:color="auto" w:fill="auto"/>
            <w:vAlign w:val="center"/>
          </w:tcPr>
          <w:p w14:paraId="451AB79B" w14:textId="5F1CC34D" w:rsidR="008F0156" w:rsidRPr="00BB0419" w:rsidRDefault="000662A8"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0</w:t>
            </w:r>
          </w:p>
        </w:tc>
        <w:tc>
          <w:tcPr>
            <w:tcW w:w="1665" w:type="dxa"/>
            <w:shd w:val="clear" w:color="auto" w:fill="auto"/>
            <w:vAlign w:val="center"/>
          </w:tcPr>
          <w:p w14:paraId="2D0289FB" w14:textId="6D7D569C" w:rsidR="008F0156" w:rsidRPr="00BB0419" w:rsidRDefault="000662A8"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0</w:t>
            </w:r>
          </w:p>
        </w:tc>
        <w:tc>
          <w:tcPr>
            <w:tcW w:w="863" w:type="dxa"/>
            <w:shd w:val="clear" w:color="auto" w:fill="auto"/>
            <w:vAlign w:val="center"/>
          </w:tcPr>
          <w:p w14:paraId="55741F66" w14:textId="77777777" w:rsidR="008F0156" w:rsidRPr="00BB0419" w:rsidRDefault="008F0156"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sidRPr="00BB0419">
              <w:rPr>
                <w:rFonts w:asciiTheme="minorHAnsi" w:eastAsia="Times New Roman" w:hAnsiTheme="minorHAnsi" w:cs="Arial"/>
                <w:b/>
                <w:color w:val="000000"/>
                <w:sz w:val="16"/>
                <w:szCs w:val="16"/>
                <w:lang w:eastAsia="en-AU"/>
              </w:rPr>
              <w:fldChar w:fldCharType="begin"/>
            </w:r>
            <w:r w:rsidRPr="00BB0419">
              <w:rPr>
                <w:rFonts w:asciiTheme="minorHAnsi" w:eastAsia="Times New Roman" w:hAnsiTheme="minorHAnsi" w:cs="Arial"/>
                <w:b/>
                <w:color w:val="000000"/>
                <w:sz w:val="16"/>
                <w:szCs w:val="16"/>
                <w:lang w:eastAsia="en-AU"/>
              </w:rPr>
              <w:instrText xml:space="preserve"> =SUM(ABOVE) </w:instrText>
            </w:r>
            <w:r w:rsidRPr="00BB0419">
              <w:rPr>
                <w:rFonts w:asciiTheme="minorHAnsi" w:eastAsia="Times New Roman" w:hAnsiTheme="minorHAnsi" w:cs="Arial"/>
                <w:b/>
                <w:color w:val="000000"/>
                <w:sz w:val="16"/>
                <w:szCs w:val="16"/>
                <w:lang w:eastAsia="en-AU"/>
              </w:rPr>
              <w:fldChar w:fldCharType="separate"/>
            </w:r>
            <w:r w:rsidRPr="00BB0419">
              <w:rPr>
                <w:rFonts w:asciiTheme="minorHAnsi" w:eastAsia="Times New Roman" w:hAnsiTheme="minorHAnsi" w:cs="Arial"/>
                <w:b/>
                <w:color w:val="000000"/>
                <w:sz w:val="16"/>
                <w:szCs w:val="16"/>
                <w:lang w:eastAsia="en-AU"/>
              </w:rPr>
              <w:t>3,392</w:t>
            </w:r>
            <w:r w:rsidRPr="00BB0419">
              <w:rPr>
                <w:rFonts w:asciiTheme="minorHAnsi" w:eastAsia="Times New Roman" w:hAnsiTheme="minorHAnsi" w:cs="Arial"/>
                <w:b/>
                <w:color w:val="000000"/>
                <w:sz w:val="16"/>
                <w:szCs w:val="16"/>
                <w:lang w:eastAsia="en-AU"/>
              </w:rPr>
              <w:fldChar w:fldCharType="end"/>
            </w:r>
          </w:p>
        </w:tc>
        <w:tc>
          <w:tcPr>
            <w:tcW w:w="992" w:type="dxa"/>
            <w:shd w:val="clear" w:color="auto" w:fill="auto"/>
            <w:vAlign w:val="center"/>
          </w:tcPr>
          <w:p w14:paraId="62E57541" w14:textId="1DF48FFA" w:rsidR="008F0156" w:rsidRPr="00BB0419" w:rsidRDefault="0085540B" w:rsidP="00EB10D3">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89</w:t>
            </w:r>
          </w:p>
        </w:tc>
        <w:tc>
          <w:tcPr>
            <w:tcW w:w="1605" w:type="dxa"/>
            <w:shd w:val="clear" w:color="auto" w:fill="auto"/>
            <w:vAlign w:val="center"/>
          </w:tcPr>
          <w:p w14:paraId="17D0195B" w14:textId="77F25119" w:rsidR="008F0156" w:rsidRPr="00BB0419" w:rsidRDefault="00EB10D3"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8</w:t>
            </w:r>
          </w:p>
        </w:tc>
        <w:tc>
          <w:tcPr>
            <w:tcW w:w="1048" w:type="dxa"/>
            <w:shd w:val="clear" w:color="auto" w:fill="auto"/>
            <w:vAlign w:val="center"/>
          </w:tcPr>
          <w:p w14:paraId="25696A43" w14:textId="067CD229" w:rsidR="008F0156" w:rsidRPr="00BB0419" w:rsidRDefault="0085540B" w:rsidP="00EB10D3">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3</w:t>
            </w:r>
          </w:p>
        </w:tc>
        <w:tc>
          <w:tcPr>
            <w:tcW w:w="891" w:type="dxa"/>
            <w:vAlign w:val="center"/>
          </w:tcPr>
          <w:p w14:paraId="581E5AA4" w14:textId="77777777" w:rsidR="008F0156" w:rsidRPr="00BB0419" w:rsidRDefault="008F0156"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sidRPr="00BB0419">
              <w:rPr>
                <w:rFonts w:asciiTheme="minorHAnsi" w:eastAsia="Times New Roman" w:hAnsiTheme="minorHAnsi" w:cs="Arial"/>
                <w:b/>
                <w:color w:val="000000"/>
                <w:sz w:val="16"/>
                <w:szCs w:val="16"/>
                <w:lang w:eastAsia="en-AU"/>
              </w:rPr>
              <w:fldChar w:fldCharType="begin"/>
            </w:r>
            <w:r w:rsidRPr="00BB0419">
              <w:rPr>
                <w:rFonts w:asciiTheme="minorHAnsi" w:eastAsia="Times New Roman" w:hAnsiTheme="minorHAnsi" w:cs="Arial"/>
                <w:b/>
                <w:color w:val="000000"/>
                <w:sz w:val="16"/>
                <w:szCs w:val="16"/>
                <w:lang w:eastAsia="en-AU"/>
              </w:rPr>
              <w:instrText xml:space="preserve"> =SUM(ABOVE) </w:instrText>
            </w:r>
            <w:r w:rsidRPr="00BB0419">
              <w:rPr>
                <w:rFonts w:asciiTheme="minorHAnsi" w:eastAsia="Times New Roman" w:hAnsiTheme="minorHAnsi" w:cs="Arial"/>
                <w:b/>
                <w:color w:val="000000"/>
                <w:sz w:val="16"/>
                <w:szCs w:val="16"/>
                <w:lang w:eastAsia="en-AU"/>
              </w:rPr>
              <w:fldChar w:fldCharType="separate"/>
            </w:r>
            <w:r w:rsidRPr="00BB0419">
              <w:rPr>
                <w:rFonts w:asciiTheme="minorHAnsi" w:eastAsia="Times New Roman" w:hAnsiTheme="minorHAnsi" w:cs="Arial"/>
                <w:b/>
                <w:color w:val="000000"/>
                <w:sz w:val="16"/>
                <w:szCs w:val="16"/>
                <w:lang w:eastAsia="en-AU"/>
              </w:rPr>
              <w:t>0</w:t>
            </w:r>
            <w:r w:rsidRPr="00BB0419">
              <w:rPr>
                <w:rFonts w:asciiTheme="minorHAnsi" w:eastAsia="Times New Roman" w:hAnsiTheme="minorHAnsi" w:cs="Arial"/>
                <w:b/>
                <w:color w:val="000000"/>
                <w:sz w:val="16"/>
                <w:szCs w:val="16"/>
                <w:lang w:eastAsia="en-AU"/>
              </w:rPr>
              <w:fldChar w:fldCharType="end"/>
            </w:r>
          </w:p>
        </w:tc>
        <w:tc>
          <w:tcPr>
            <w:tcW w:w="992" w:type="dxa"/>
            <w:vAlign w:val="center"/>
          </w:tcPr>
          <w:p w14:paraId="1F88184D" w14:textId="0D20C39D" w:rsidR="008F0156" w:rsidRPr="00BB0419" w:rsidRDefault="0085540B"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0</w:t>
            </w:r>
          </w:p>
        </w:tc>
        <w:tc>
          <w:tcPr>
            <w:tcW w:w="1048" w:type="dxa"/>
            <w:vAlign w:val="center"/>
          </w:tcPr>
          <w:p w14:paraId="431909D4" w14:textId="3CFD1987" w:rsidR="008F0156" w:rsidRPr="00BB0419" w:rsidRDefault="0085540B"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0</w:t>
            </w:r>
          </w:p>
        </w:tc>
        <w:tc>
          <w:tcPr>
            <w:tcW w:w="1048" w:type="dxa"/>
            <w:vAlign w:val="center"/>
          </w:tcPr>
          <w:p w14:paraId="329AEB46" w14:textId="54C9326C" w:rsidR="008F0156" w:rsidRPr="00BB0419" w:rsidRDefault="0085540B"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0</w:t>
            </w:r>
          </w:p>
        </w:tc>
        <w:tc>
          <w:tcPr>
            <w:tcW w:w="891" w:type="dxa"/>
            <w:vAlign w:val="center"/>
          </w:tcPr>
          <w:p w14:paraId="7C40AD6C" w14:textId="77777777" w:rsidR="008F0156" w:rsidRPr="00BB0419" w:rsidRDefault="008F0156"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sidRPr="00BB0419">
              <w:rPr>
                <w:rFonts w:asciiTheme="minorHAnsi" w:eastAsia="Times New Roman" w:hAnsiTheme="minorHAnsi" w:cs="Arial"/>
                <w:b/>
                <w:color w:val="000000"/>
                <w:sz w:val="16"/>
                <w:szCs w:val="16"/>
                <w:lang w:eastAsia="en-AU"/>
              </w:rPr>
              <w:fldChar w:fldCharType="begin"/>
            </w:r>
            <w:r w:rsidRPr="00BB0419">
              <w:rPr>
                <w:rFonts w:asciiTheme="minorHAnsi" w:eastAsia="Times New Roman" w:hAnsiTheme="minorHAnsi" w:cs="Arial"/>
                <w:b/>
                <w:color w:val="000000"/>
                <w:sz w:val="16"/>
                <w:szCs w:val="16"/>
                <w:lang w:eastAsia="en-AU"/>
              </w:rPr>
              <w:instrText xml:space="preserve"> =SUM(ABOVE) </w:instrText>
            </w:r>
            <w:r w:rsidRPr="00BB0419">
              <w:rPr>
                <w:rFonts w:asciiTheme="minorHAnsi" w:eastAsia="Times New Roman" w:hAnsiTheme="minorHAnsi" w:cs="Arial"/>
                <w:b/>
                <w:color w:val="000000"/>
                <w:sz w:val="16"/>
                <w:szCs w:val="16"/>
                <w:lang w:eastAsia="en-AU"/>
              </w:rPr>
              <w:fldChar w:fldCharType="separate"/>
            </w:r>
            <w:r w:rsidRPr="00BB0419">
              <w:rPr>
                <w:rFonts w:asciiTheme="minorHAnsi" w:eastAsia="Times New Roman" w:hAnsiTheme="minorHAnsi" w:cs="Arial"/>
                <w:b/>
                <w:color w:val="000000"/>
                <w:sz w:val="16"/>
                <w:szCs w:val="16"/>
                <w:lang w:eastAsia="en-AU"/>
              </w:rPr>
              <w:t>9,957</w:t>
            </w:r>
            <w:r w:rsidRPr="00BB0419">
              <w:rPr>
                <w:rFonts w:asciiTheme="minorHAnsi" w:eastAsia="Times New Roman" w:hAnsiTheme="minorHAnsi" w:cs="Arial"/>
                <w:b/>
                <w:color w:val="000000"/>
                <w:sz w:val="16"/>
                <w:szCs w:val="16"/>
                <w:lang w:eastAsia="en-AU"/>
              </w:rPr>
              <w:fldChar w:fldCharType="end"/>
            </w:r>
          </w:p>
        </w:tc>
        <w:tc>
          <w:tcPr>
            <w:tcW w:w="992" w:type="dxa"/>
            <w:vAlign w:val="center"/>
          </w:tcPr>
          <w:p w14:paraId="584A15FF" w14:textId="66CBEFF7" w:rsidR="008F0156" w:rsidRPr="00BB0419" w:rsidRDefault="0085540B" w:rsidP="00EB10D3">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62</w:t>
            </w:r>
          </w:p>
        </w:tc>
        <w:tc>
          <w:tcPr>
            <w:tcW w:w="1048" w:type="dxa"/>
            <w:vAlign w:val="center"/>
          </w:tcPr>
          <w:p w14:paraId="2D3ACAF4" w14:textId="69A914AB" w:rsidR="008F0156" w:rsidRPr="00BB0419" w:rsidRDefault="0085540B" w:rsidP="00EB10D3">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13</w:t>
            </w:r>
          </w:p>
        </w:tc>
        <w:tc>
          <w:tcPr>
            <w:tcW w:w="1048" w:type="dxa"/>
            <w:vAlign w:val="center"/>
          </w:tcPr>
          <w:p w14:paraId="4388BB05" w14:textId="128B9F19" w:rsidR="008F0156" w:rsidRPr="00BB0419" w:rsidRDefault="0085540B" w:rsidP="00EB10D3">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25</w:t>
            </w:r>
          </w:p>
        </w:tc>
        <w:tc>
          <w:tcPr>
            <w:tcW w:w="1280" w:type="dxa"/>
            <w:vAlign w:val="center"/>
          </w:tcPr>
          <w:p w14:paraId="6F7B9A7C" w14:textId="77777777" w:rsidR="008F0156" w:rsidRPr="00C849AC" w:rsidRDefault="008F0156"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sidRPr="00C849AC">
              <w:rPr>
                <w:rFonts w:asciiTheme="minorHAnsi" w:eastAsia="Times New Roman" w:hAnsiTheme="minorHAnsi" w:cs="Arial"/>
                <w:b/>
                <w:color w:val="000000"/>
                <w:sz w:val="16"/>
                <w:szCs w:val="16"/>
                <w:lang w:eastAsia="en-AU"/>
              </w:rPr>
              <w:fldChar w:fldCharType="begin"/>
            </w:r>
            <w:r w:rsidRPr="00C849AC">
              <w:rPr>
                <w:rFonts w:asciiTheme="minorHAnsi" w:eastAsia="Times New Roman" w:hAnsiTheme="minorHAnsi" w:cs="Arial"/>
                <w:b/>
                <w:color w:val="000000"/>
                <w:sz w:val="16"/>
                <w:szCs w:val="16"/>
                <w:lang w:eastAsia="en-AU"/>
              </w:rPr>
              <w:instrText xml:space="preserve"> =SUM(ABOVE) </w:instrText>
            </w:r>
            <w:r w:rsidRPr="00C849AC">
              <w:rPr>
                <w:rFonts w:asciiTheme="minorHAnsi" w:eastAsia="Times New Roman" w:hAnsiTheme="minorHAnsi" w:cs="Arial"/>
                <w:b/>
                <w:color w:val="000000"/>
                <w:sz w:val="16"/>
                <w:szCs w:val="16"/>
                <w:lang w:eastAsia="en-AU"/>
              </w:rPr>
              <w:fldChar w:fldCharType="separate"/>
            </w:r>
            <w:r w:rsidRPr="00C849AC">
              <w:rPr>
                <w:rFonts w:asciiTheme="minorHAnsi" w:eastAsia="Times New Roman" w:hAnsiTheme="minorHAnsi" w:cs="Arial"/>
                <w:b/>
                <w:noProof/>
                <w:color w:val="000000"/>
                <w:sz w:val="16"/>
                <w:szCs w:val="16"/>
                <w:lang w:eastAsia="en-AU"/>
              </w:rPr>
              <w:t>4,728</w:t>
            </w:r>
            <w:r w:rsidRPr="00C849AC">
              <w:rPr>
                <w:rFonts w:asciiTheme="minorHAnsi" w:eastAsia="Times New Roman" w:hAnsiTheme="minorHAnsi" w:cs="Arial"/>
                <w:b/>
                <w:color w:val="000000"/>
                <w:sz w:val="16"/>
                <w:szCs w:val="16"/>
                <w:lang w:eastAsia="en-AU"/>
              </w:rPr>
              <w:fldChar w:fldCharType="end"/>
            </w:r>
          </w:p>
        </w:tc>
      </w:tr>
    </w:tbl>
    <w:p w14:paraId="56EBF298" w14:textId="32B477D1" w:rsidR="00AF44CC" w:rsidRPr="00614A1D" w:rsidRDefault="00AF44CC" w:rsidP="00AF44CC">
      <w:pPr>
        <w:pStyle w:val="Para0"/>
        <w:spacing w:before="0"/>
        <w:rPr>
          <w:sz w:val="16"/>
          <w:szCs w:val="16"/>
        </w:rPr>
      </w:pPr>
      <w:r w:rsidRPr="00614A1D">
        <w:rPr>
          <w:b/>
          <w:sz w:val="16"/>
          <w:szCs w:val="16"/>
        </w:rPr>
        <w:t>Note</w:t>
      </w:r>
      <w:r>
        <w:rPr>
          <w:b/>
          <w:sz w:val="16"/>
          <w:szCs w:val="16"/>
        </w:rPr>
        <w:t>s</w:t>
      </w:r>
      <w:r w:rsidRPr="00614A1D">
        <w:rPr>
          <w:sz w:val="16"/>
          <w:szCs w:val="16"/>
        </w:rPr>
        <w:t>: (1)</w:t>
      </w:r>
      <w:r>
        <w:rPr>
          <w:sz w:val="16"/>
          <w:szCs w:val="16"/>
        </w:rPr>
        <w:t xml:space="preserve"> </w:t>
      </w:r>
      <w:r w:rsidRPr="00614A1D">
        <w:rPr>
          <w:sz w:val="16"/>
          <w:szCs w:val="16"/>
        </w:rPr>
        <w:t>A zero</w:t>
      </w:r>
      <w:r>
        <w:rPr>
          <w:sz w:val="16"/>
          <w:szCs w:val="16"/>
        </w:rPr>
        <w:t xml:space="preserve"> (0) value in Area (ha) means that there is no area of Black Box that is attributable to the category in the location specified, (2) A zero (0) in Cover of Condition Data means there is 0% (or no) cover of predicted, modelled condition data for the area of Black Box. This column is zero by default if there is no area of Black Box. (3) and (4) Where modelled condition data exists, these columns show the percentage of condition data across two pooled condition classes; poor, or moderate / good. These columns by default are zero if Cover of Condition Data (%) is also zero.</w:t>
      </w:r>
    </w:p>
    <w:p w14:paraId="19C4B738" w14:textId="77777777" w:rsidR="008C39B7" w:rsidRDefault="008C39B7" w:rsidP="008C39B7">
      <w:pPr>
        <w:pStyle w:val="Para0"/>
      </w:pPr>
      <w:r>
        <w:br w:type="page"/>
      </w:r>
    </w:p>
    <w:p w14:paraId="2AB5918C" w14:textId="5C56AF3F" w:rsidR="008C39B7" w:rsidRPr="00864171" w:rsidRDefault="008C39B7" w:rsidP="007A45D5">
      <w:pPr>
        <w:pStyle w:val="Caption"/>
      </w:pPr>
      <w:bookmarkStart w:id="391" w:name="_Toc514068806"/>
      <w:r>
        <w:t>Table</w:t>
      </w:r>
      <w:r w:rsidRPr="00EA2DC6">
        <w:t xml:space="preserve"> </w:t>
      </w:r>
      <w:r w:rsidR="002D4BCF">
        <w:fldChar w:fldCharType="begin"/>
      </w:r>
      <w:r w:rsidR="002D4BCF">
        <w:instrText xml:space="preserve"> STYLEREF 1 \s </w:instrText>
      </w:r>
      <w:r w:rsidR="002D4BCF">
        <w:fldChar w:fldCharType="separate"/>
      </w:r>
      <w:r w:rsidR="00BF015B">
        <w:rPr>
          <w:noProof/>
        </w:rPr>
        <w:t>7</w:t>
      </w:r>
      <w:r w:rsidR="002D4BCF">
        <w:fldChar w:fldCharType="end"/>
      </w:r>
      <w:r w:rsidR="002D4BCF">
        <w:noBreakHyphen/>
      </w:r>
      <w:r w:rsidR="002D4BCF">
        <w:fldChar w:fldCharType="begin"/>
      </w:r>
      <w:r w:rsidR="002D4BCF">
        <w:instrText xml:space="preserve"> SEQ Table \* ARABIC \s 1 </w:instrText>
      </w:r>
      <w:r w:rsidR="002D4BCF">
        <w:fldChar w:fldCharType="separate"/>
      </w:r>
      <w:r w:rsidR="00BF015B">
        <w:rPr>
          <w:noProof/>
        </w:rPr>
        <w:t>6</w:t>
      </w:r>
      <w:r w:rsidR="002D4BCF">
        <w:fldChar w:fldCharType="end"/>
      </w:r>
      <w:r>
        <w:t>: Areas of flow stress, salinity stress, flow &amp; salinity stress, low stress, and modelled condition, for Black Box inundated b</w:t>
      </w:r>
      <w:r w:rsidR="003956D5">
        <w:t>etween a</w:t>
      </w:r>
      <w:r>
        <w:t xml:space="preserve"> 60,000</w:t>
      </w:r>
      <w:r w:rsidR="00C259BC">
        <w:t>ML/day</w:t>
      </w:r>
      <w:r>
        <w:t xml:space="preserve"> to </w:t>
      </w:r>
      <w:r w:rsidRPr="0029683B">
        <w:rPr>
          <w:u w:val="single"/>
        </w:rPr>
        <w:t>80,000</w:t>
      </w:r>
      <w:r w:rsidR="00C259BC">
        <w:rPr>
          <w:u w:val="single"/>
        </w:rPr>
        <w:t>ML/day</w:t>
      </w:r>
      <w:r>
        <w:t xml:space="preserve"> </w:t>
      </w:r>
      <w:r w:rsidR="003956D5">
        <w:t xml:space="preserve">flow </w:t>
      </w:r>
      <w:r>
        <w:t>at South Australian border.</w:t>
      </w:r>
      <w:bookmarkEnd w:id="391"/>
    </w:p>
    <w:tbl>
      <w:tblPr>
        <w:tblW w:w="21362"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10"/>
        <w:gridCol w:w="1815"/>
        <w:gridCol w:w="882"/>
        <w:gridCol w:w="922"/>
        <w:gridCol w:w="1699"/>
        <w:gridCol w:w="1699"/>
        <w:gridCol w:w="882"/>
        <w:gridCol w:w="922"/>
        <w:gridCol w:w="1748"/>
        <w:gridCol w:w="983"/>
        <w:gridCol w:w="882"/>
        <w:gridCol w:w="922"/>
        <w:gridCol w:w="983"/>
        <w:gridCol w:w="983"/>
        <w:gridCol w:w="882"/>
        <w:gridCol w:w="922"/>
        <w:gridCol w:w="922"/>
        <w:gridCol w:w="1640"/>
        <w:gridCol w:w="1064"/>
      </w:tblGrid>
      <w:tr w:rsidR="000662A8" w:rsidRPr="00296B7B" w14:paraId="58F407EE" w14:textId="77777777" w:rsidTr="00AF44CC">
        <w:trPr>
          <w:trHeight w:val="351"/>
        </w:trPr>
        <w:tc>
          <w:tcPr>
            <w:tcW w:w="610" w:type="dxa"/>
            <w:vMerge w:val="restart"/>
            <w:shd w:val="clear" w:color="auto" w:fill="65876D"/>
            <w:noWrap/>
            <w:vAlign w:val="center"/>
            <w:hideMark/>
          </w:tcPr>
          <w:p w14:paraId="66ABFCBA" w14:textId="6F0B50CC" w:rsidR="000662A8" w:rsidRDefault="000662A8" w:rsidP="003956D5">
            <w:pPr>
              <w:pStyle w:val="Tableheading"/>
              <w:jc w:val="center"/>
              <w:rPr>
                <w:color w:val="FFFFFF" w:themeColor="background1"/>
                <w:sz w:val="15"/>
                <w:szCs w:val="15"/>
              </w:rPr>
            </w:pPr>
            <w:r>
              <w:rPr>
                <w:color w:val="FFFFFF" w:themeColor="background1"/>
                <w:sz w:val="15"/>
                <w:szCs w:val="15"/>
              </w:rPr>
              <w:t>Reach</w:t>
            </w:r>
          </w:p>
          <w:p w14:paraId="129D762A" w14:textId="1202E5D5" w:rsidR="000662A8" w:rsidRPr="00296B7B" w:rsidRDefault="000662A8" w:rsidP="003956D5">
            <w:pPr>
              <w:pStyle w:val="Tableheading"/>
              <w:jc w:val="center"/>
              <w:rPr>
                <w:color w:val="FFFFFF" w:themeColor="background1"/>
                <w:sz w:val="15"/>
                <w:szCs w:val="15"/>
              </w:rPr>
            </w:pPr>
            <w:r>
              <w:rPr>
                <w:color w:val="FFFFFF" w:themeColor="background1"/>
                <w:sz w:val="15"/>
                <w:szCs w:val="15"/>
              </w:rPr>
              <w:t>#</w:t>
            </w:r>
          </w:p>
        </w:tc>
        <w:tc>
          <w:tcPr>
            <w:tcW w:w="1815" w:type="dxa"/>
            <w:vMerge w:val="restart"/>
            <w:shd w:val="clear" w:color="auto" w:fill="65876D"/>
            <w:noWrap/>
            <w:vAlign w:val="center"/>
            <w:hideMark/>
          </w:tcPr>
          <w:p w14:paraId="3DCAD59E" w14:textId="77777777" w:rsidR="000662A8" w:rsidRPr="00296B7B" w:rsidRDefault="000662A8" w:rsidP="00E52A35">
            <w:pPr>
              <w:pStyle w:val="Tableheading"/>
              <w:jc w:val="center"/>
              <w:rPr>
                <w:color w:val="FFFFFF" w:themeColor="background1"/>
                <w:sz w:val="15"/>
                <w:szCs w:val="15"/>
              </w:rPr>
            </w:pPr>
            <w:r w:rsidRPr="00296B7B">
              <w:rPr>
                <w:color w:val="FFFFFF" w:themeColor="background1"/>
                <w:sz w:val="15"/>
                <w:szCs w:val="15"/>
              </w:rPr>
              <w:t>Reach Name</w:t>
            </w:r>
          </w:p>
        </w:tc>
        <w:tc>
          <w:tcPr>
            <w:tcW w:w="5202" w:type="dxa"/>
            <w:gridSpan w:val="4"/>
            <w:shd w:val="clear" w:color="auto" w:fill="65876D"/>
            <w:vAlign w:val="center"/>
          </w:tcPr>
          <w:p w14:paraId="2971D642" w14:textId="77777777" w:rsidR="000662A8" w:rsidRPr="00296B7B" w:rsidRDefault="000662A8" w:rsidP="00E52A35">
            <w:pPr>
              <w:pStyle w:val="Tableheading"/>
              <w:jc w:val="center"/>
              <w:rPr>
                <w:color w:val="FFFFFF" w:themeColor="background1"/>
                <w:sz w:val="15"/>
                <w:szCs w:val="15"/>
              </w:rPr>
            </w:pPr>
            <w:r w:rsidRPr="00296B7B">
              <w:rPr>
                <w:color w:val="FFFFFF" w:themeColor="background1"/>
                <w:sz w:val="15"/>
                <w:szCs w:val="15"/>
              </w:rPr>
              <w:t>Flow Stressed</w:t>
            </w:r>
          </w:p>
        </w:tc>
        <w:tc>
          <w:tcPr>
            <w:tcW w:w="4535" w:type="dxa"/>
            <w:gridSpan w:val="4"/>
            <w:shd w:val="clear" w:color="auto" w:fill="65876D"/>
            <w:vAlign w:val="center"/>
          </w:tcPr>
          <w:p w14:paraId="0F355CE0" w14:textId="77777777" w:rsidR="000662A8" w:rsidRPr="00296B7B" w:rsidRDefault="000662A8" w:rsidP="00E52A35">
            <w:pPr>
              <w:pStyle w:val="Tableheading"/>
              <w:jc w:val="center"/>
              <w:rPr>
                <w:color w:val="FFFFFF" w:themeColor="background1"/>
                <w:sz w:val="15"/>
                <w:szCs w:val="15"/>
              </w:rPr>
            </w:pPr>
            <w:r w:rsidRPr="00296B7B">
              <w:rPr>
                <w:color w:val="FFFFFF" w:themeColor="background1"/>
                <w:sz w:val="15"/>
                <w:szCs w:val="15"/>
              </w:rPr>
              <w:t>Salinity Stressed</w:t>
            </w:r>
          </w:p>
        </w:tc>
        <w:tc>
          <w:tcPr>
            <w:tcW w:w="3770" w:type="dxa"/>
            <w:gridSpan w:val="4"/>
            <w:shd w:val="clear" w:color="auto" w:fill="65876D"/>
            <w:vAlign w:val="center"/>
          </w:tcPr>
          <w:p w14:paraId="0D38A803" w14:textId="77777777" w:rsidR="000662A8" w:rsidRPr="00296B7B" w:rsidRDefault="000662A8" w:rsidP="00E52A35">
            <w:pPr>
              <w:pStyle w:val="Tableheading"/>
              <w:jc w:val="center"/>
              <w:rPr>
                <w:color w:val="FFFFFF" w:themeColor="background1"/>
                <w:sz w:val="15"/>
                <w:szCs w:val="15"/>
              </w:rPr>
            </w:pPr>
            <w:r w:rsidRPr="00296B7B">
              <w:rPr>
                <w:color w:val="FFFFFF" w:themeColor="background1"/>
                <w:sz w:val="15"/>
                <w:szCs w:val="15"/>
              </w:rPr>
              <w:t>Flow &amp; Salinity Stressed</w:t>
            </w:r>
          </w:p>
        </w:tc>
        <w:tc>
          <w:tcPr>
            <w:tcW w:w="4366" w:type="dxa"/>
            <w:gridSpan w:val="4"/>
            <w:shd w:val="clear" w:color="auto" w:fill="65876D"/>
            <w:vAlign w:val="center"/>
          </w:tcPr>
          <w:p w14:paraId="51923C20" w14:textId="77777777" w:rsidR="000662A8" w:rsidRPr="00296B7B" w:rsidRDefault="000662A8" w:rsidP="00E52A35">
            <w:pPr>
              <w:pStyle w:val="Tableheading"/>
              <w:jc w:val="center"/>
              <w:rPr>
                <w:color w:val="FFFFFF" w:themeColor="background1"/>
                <w:sz w:val="15"/>
                <w:szCs w:val="15"/>
              </w:rPr>
            </w:pPr>
            <w:r>
              <w:rPr>
                <w:color w:val="FFFFFF" w:themeColor="background1"/>
                <w:sz w:val="15"/>
                <w:szCs w:val="15"/>
              </w:rPr>
              <w:t>Low stress</w:t>
            </w:r>
          </w:p>
        </w:tc>
        <w:tc>
          <w:tcPr>
            <w:tcW w:w="1064" w:type="dxa"/>
            <w:vMerge w:val="restart"/>
            <w:shd w:val="clear" w:color="auto" w:fill="65876D"/>
            <w:vAlign w:val="center"/>
          </w:tcPr>
          <w:p w14:paraId="72198AF0" w14:textId="77777777" w:rsidR="000662A8" w:rsidRPr="00296B7B" w:rsidRDefault="000662A8" w:rsidP="00E52A35">
            <w:pPr>
              <w:pStyle w:val="Tableheading"/>
              <w:jc w:val="center"/>
              <w:rPr>
                <w:rFonts w:ascii="Calibri" w:hAnsi="Calibri"/>
                <w:color w:val="FFFFFF" w:themeColor="background1"/>
                <w:sz w:val="15"/>
                <w:szCs w:val="15"/>
              </w:rPr>
            </w:pPr>
            <w:r w:rsidRPr="00296B7B">
              <w:rPr>
                <w:color w:val="FFFFFF" w:themeColor="background1"/>
                <w:sz w:val="15"/>
                <w:szCs w:val="15"/>
              </w:rPr>
              <w:t>Area no salinity data (</w:t>
            </w:r>
            <w:r>
              <w:rPr>
                <w:color w:val="FFFFFF" w:themeColor="background1"/>
                <w:sz w:val="15"/>
                <w:szCs w:val="15"/>
              </w:rPr>
              <w:t>ha</w:t>
            </w:r>
            <w:r w:rsidRPr="00296B7B">
              <w:rPr>
                <w:color w:val="FFFFFF" w:themeColor="background1"/>
                <w:sz w:val="15"/>
                <w:szCs w:val="15"/>
              </w:rPr>
              <w:t>)</w:t>
            </w:r>
          </w:p>
        </w:tc>
      </w:tr>
      <w:tr w:rsidR="00AF44CC" w:rsidRPr="00C778D3" w14:paraId="6D30FA77" w14:textId="77777777" w:rsidTr="00AF44CC">
        <w:trPr>
          <w:trHeight w:val="56"/>
        </w:trPr>
        <w:tc>
          <w:tcPr>
            <w:tcW w:w="610" w:type="dxa"/>
            <w:vMerge/>
            <w:shd w:val="clear" w:color="auto" w:fill="65876D"/>
            <w:vAlign w:val="center"/>
            <w:hideMark/>
          </w:tcPr>
          <w:p w14:paraId="24E12149" w14:textId="77777777" w:rsidR="00AF44CC" w:rsidRPr="00296B7B" w:rsidRDefault="00AF44CC" w:rsidP="00E52A35">
            <w:pPr>
              <w:pStyle w:val="Tableheading"/>
              <w:jc w:val="center"/>
              <w:rPr>
                <w:color w:val="FFFFFF" w:themeColor="background1"/>
                <w:sz w:val="15"/>
                <w:szCs w:val="15"/>
              </w:rPr>
            </w:pPr>
          </w:p>
        </w:tc>
        <w:tc>
          <w:tcPr>
            <w:tcW w:w="1815" w:type="dxa"/>
            <w:vMerge/>
            <w:shd w:val="clear" w:color="auto" w:fill="65876D"/>
            <w:vAlign w:val="center"/>
            <w:hideMark/>
          </w:tcPr>
          <w:p w14:paraId="6BC6AF9B" w14:textId="77777777" w:rsidR="00AF44CC" w:rsidRPr="00296B7B" w:rsidRDefault="00AF44CC" w:rsidP="00E52A35">
            <w:pPr>
              <w:pStyle w:val="Tableheading"/>
              <w:jc w:val="center"/>
              <w:rPr>
                <w:color w:val="FFFFFF" w:themeColor="background1"/>
                <w:sz w:val="15"/>
                <w:szCs w:val="15"/>
              </w:rPr>
            </w:pPr>
          </w:p>
        </w:tc>
        <w:tc>
          <w:tcPr>
            <w:tcW w:w="882" w:type="dxa"/>
            <w:tcBorders>
              <w:bottom w:val="single" w:sz="4" w:space="0" w:color="auto"/>
            </w:tcBorders>
            <w:shd w:val="clear" w:color="auto" w:fill="65876D"/>
            <w:vAlign w:val="center"/>
          </w:tcPr>
          <w:p w14:paraId="404BAF17" w14:textId="3DDA22F6" w:rsidR="00AF44CC" w:rsidRPr="00296B7B" w:rsidRDefault="00AF44CC" w:rsidP="00E52A35">
            <w:pPr>
              <w:pStyle w:val="Tableheading"/>
              <w:jc w:val="center"/>
              <w:rPr>
                <w:color w:val="FFFFFF" w:themeColor="background1"/>
                <w:sz w:val="15"/>
                <w:szCs w:val="15"/>
              </w:rPr>
            </w:pPr>
            <w:r w:rsidRPr="008C406A">
              <w:rPr>
                <w:color w:val="FFFFFF" w:themeColor="background1"/>
                <w:sz w:val="15"/>
                <w:szCs w:val="15"/>
              </w:rPr>
              <w:t>Area (ha)</w:t>
            </w:r>
            <w:r w:rsidRPr="00614A1D">
              <w:rPr>
                <w:color w:val="FFFFFF" w:themeColor="background1"/>
                <w:sz w:val="15"/>
                <w:szCs w:val="15"/>
                <w:vertAlign w:val="superscript"/>
              </w:rPr>
              <w:t>1</w:t>
            </w:r>
          </w:p>
        </w:tc>
        <w:tc>
          <w:tcPr>
            <w:tcW w:w="922" w:type="dxa"/>
            <w:tcBorders>
              <w:bottom w:val="single" w:sz="4" w:space="0" w:color="auto"/>
            </w:tcBorders>
            <w:shd w:val="clear" w:color="auto" w:fill="65876D"/>
            <w:vAlign w:val="center"/>
          </w:tcPr>
          <w:p w14:paraId="3288E0D8" w14:textId="170E07AF" w:rsidR="00AF44CC" w:rsidRPr="00296B7B" w:rsidRDefault="00AF44CC" w:rsidP="00EB10D3">
            <w:pPr>
              <w:spacing w:after="0" w:line="240" w:lineRule="auto"/>
              <w:jc w:val="center"/>
              <w:rPr>
                <w:color w:val="FFFFFF" w:themeColor="background1"/>
                <w:sz w:val="15"/>
                <w:szCs w:val="15"/>
              </w:rPr>
            </w:pPr>
            <w:r>
              <w:rPr>
                <w:rFonts w:ascii="Arial Black" w:hAnsi="Arial Black"/>
                <w:color w:val="FFFFFF" w:themeColor="background1"/>
                <w:sz w:val="15"/>
                <w:szCs w:val="15"/>
              </w:rPr>
              <w:t xml:space="preserve">Cover of condition </w:t>
            </w:r>
            <w:r w:rsidRPr="008C406A">
              <w:rPr>
                <w:rFonts w:ascii="Arial Black" w:hAnsi="Arial Black"/>
                <w:color w:val="FFFFFF" w:themeColor="background1"/>
                <w:sz w:val="15"/>
                <w:szCs w:val="15"/>
              </w:rPr>
              <w:t>data</w:t>
            </w:r>
            <w:r>
              <w:rPr>
                <w:rFonts w:ascii="Arial Black" w:hAnsi="Arial Black"/>
                <w:color w:val="FFFFFF" w:themeColor="background1"/>
                <w:sz w:val="15"/>
                <w:szCs w:val="15"/>
              </w:rPr>
              <w:t xml:space="preserve"> (%)</w:t>
            </w:r>
            <w:r w:rsidRPr="00614A1D">
              <w:rPr>
                <w:rFonts w:ascii="Arial Black" w:hAnsi="Arial Black"/>
                <w:color w:val="FFFFFF" w:themeColor="background1"/>
                <w:sz w:val="15"/>
                <w:szCs w:val="15"/>
                <w:vertAlign w:val="superscript"/>
              </w:rPr>
              <w:t>2</w:t>
            </w:r>
          </w:p>
        </w:tc>
        <w:tc>
          <w:tcPr>
            <w:tcW w:w="1699" w:type="dxa"/>
            <w:tcBorders>
              <w:bottom w:val="single" w:sz="4" w:space="0" w:color="auto"/>
            </w:tcBorders>
            <w:shd w:val="clear" w:color="auto" w:fill="65876D"/>
            <w:vAlign w:val="center"/>
          </w:tcPr>
          <w:p w14:paraId="48268FFE" w14:textId="3A89B051" w:rsidR="00AF44CC" w:rsidRPr="00296B7B" w:rsidRDefault="00AF44CC" w:rsidP="00EB10D3">
            <w:pPr>
              <w:pStyle w:val="Tableheading"/>
              <w:jc w:val="center"/>
              <w:rPr>
                <w:color w:val="FFFFFF" w:themeColor="background1"/>
                <w:sz w:val="15"/>
                <w:szCs w:val="15"/>
              </w:rPr>
            </w:pPr>
            <w:r w:rsidRPr="008C406A">
              <w:rPr>
                <w:color w:val="FFFFFF" w:themeColor="background1"/>
                <w:sz w:val="15"/>
                <w:szCs w:val="15"/>
              </w:rPr>
              <w:t>poor</w:t>
            </w:r>
            <w:r>
              <w:rPr>
                <w:color w:val="FFFFFF" w:themeColor="background1"/>
                <w:sz w:val="15"/>
                <w:szCs w:val="15"/>
              </w:rPr>
              <w:t xml:space="preserve"> </w:t>
            </w:r>
            <w:r>
              <w:rPr>
                <w:color w:val="FFFFFF" w:themeColor="background1"/>
                <w:sz w:val="15"/>
                <w:szCs w:val="15"/>
              </w:rPr>
              <w:br/>
              <w:t>condition</w:t>
            </w:r>
            <w:r w:rsidR="00EB10D3">
              <w:rPr>
                <w:color w:val="FFFFFF" w:themeColor="background1"/>
                <w:sz w:val="15"/>
                <w:szCs w:val="15"/>
              </w:rPr>
              <w:t xml:space="preserve"> (%)</w:t>
            </w:r>
            <w:r w:rsidRPr="00614A1D">
              <w:rPr>
                <w:color w:val="FFFFFF" w:themeColor="background1"/>
                <w:sz w:val="15"/>
                <w:szCs w:val="15"/>
                <w:vertAlign w:val="superscript"/>
              </w:rPr>
              <w:t>3</w:t>
            </w:r>
          </w:p>
        </w:tc>
        <w:tc>
          <w:tcPr>
            <w:tcW w:w="1699" w:type="dxa"/>
            <w:tcBorders>
              <w:bottom w:val="single" w:sz="4" w:space="0" w:color="auto"/>
            </w:tcBorders>
            <w:shd w:val="clear" w:color="auto" w:fill="65876D"/>
            <w:vAlign w:val="center"/>
          </w:tcPr>
          <w:p w14:paraId="0A6ECEBB" w14:textId="4F3DE1E0" w:rsidR="00AF44CC" w:rsidRPr="00296B7B" w:rsidRDefault="00AF44CC" w:rsidP="00E52A35">
            <w:pPr>
              <w:pStyle w:val="Tableheading"/>
              <w:jc w:val="center"/>
              <w:rPr>
                <w:color w:val="FFFFFF" w:themeColor="background1"/>
                <w:sz w:val="15"/>
                <w:szCs w:val="15"/>
              </w:rPr>
            </w:pPr>
            <w:r w:rsidRPr="008C406A">
              <w:rPr>
                <w:color w:val="FFFFFF" w:themeColor="background1"/>
                <w:sz w:val="15"/>
                <w:szCs w:val="15"/>
              </w:rPr>
              <w:t>mod. /good</w:t>
            </w:r>
            <w:r>
              <w:rPr>
                <w:color w:val="FFFFFF" w:themeColor="background1"/>
                <w:sz w:val="15"/>
                <w:szCs w:val="15"/>
              </w:rPr>
              <w:t xml:space="preserve"> condition</w:t>
            </w:r>
            <w:r w:rsidR="00EB10D3">
              <w:rPr>
                <w:color w:val="FFFFFF" w:themeColor="background1"/>
                <w:sz w:val="15"/>
                <w:szCs w:val="15"/>
              </w:rPr>
              <w:t xml:space="preserve"> (%)</w:t>
            </w:r>
            <w:r w:rsidRPr="00614A1D">
              <w:rPr>
                <w:color w:val="FFFFFF" w:themeColor="background1"/>
                <w:sz w:val="15"/>
                <w:szCs w:val="15"/>
                <w:vertAlign w:val="superscript"/>
              </w:rPr>
              <w:t>3</w:t>
            </w:r>
          </w:p>
        </w:tc>
        <w:tc>
          <w:tcPr>
            <w:tcW w:w="882" w:type="dxa"/>
            <w:tcBorders>
              <w:bottom w:val="single" w:sz="4" w:space="0" w:color="auto"/>
            </w:tcBorders>
            <w:shd w:val="clear" w:color="auto" w:fill="65876D"/>
            <w:vAlign w:val="center"/>
          </w:tcPr>
          <w:p w14:paraId="57FD8C09" w14:textId="41B26723" w:rsidR="00AF44CC" w:rsidRPr="00296B7B" w:rsidRDefault="00AF44CC" w:rsidP="00E52A35">
            <w:pPr>
              <w:pStyle w:val="Tableheading"/>
              <w:jc w:val="center"/>
              <w:rPr>
                <w:color w:val="FFFFFF" w:themeColor="background1"/>
                <w:sz w:val="15"/>
                <w:szCs w:val="15"/>
              </w:rPr>
            </w:pPr>
            <w:r w:rsidRPr="008C406A">
              <w:rPr>
                <w:color w:val="FFFFFF" w:themeColor="background1"/>
                <w:sz w:val="15"/>
                <w:szCs w:val="15"/>
              </w:rPr>
              <w:t>Area (ha)</w:t>
            </w:r>
            <w:r w:rsidRPr="00614A1D">
              <w:rPr>
                <w:color w:val="FFFFFF" w:themeColor="background1"/>
                <w:sz w:val="15"/>
                <w:szCs w:val="15"/>
                <w:vertAlign w:val="superscript"/>
              </w:rPr>
              <w:t>1</w:t>
            </w:r>
          </w:p>
        </w:tc>
        <w:tc>
          <w:tcPr>
            <w:tcW w:w="922" w:type="dxa"/>
            <w:tcBorders>
              <w:bottom w:val="single" w:sz="4" w:space="0" w:color="auto"/>
            </w:tcBorders>
            <w:shd w:val="clear" w:color="auto" w:fill="65876D"/>
            <w:vAlign w:val="center"/>
          </w:tcPr>
          <w:p w14:paraId="34F226A3" w14:textId="7FCD92AE" w:rsidR="00AF44CC" w:rsidRPr="00296B7B" w:rsidRDefault="00AF44CC" w:rsidP="00EB10D3">
            <w:pPr>
              <w:spacing w:after="0" w:line="240" w:lineRule="auto"/>
              <w:jc w:val="center"/>
              <w:rPr>
                <w:color w:val="FFFFFF" w:themeColor="background1"/>
                <w:sz w:val="15"/>
                <w:szCs w:val="15"/>
              </w:rPr>
            </w:pPr>
            <w:r>
              <w:rPr>
                <w:rFonts w:ascii="Arial Black" w:hAnsi="Arial Black"/>
                <w:color w:val="FFFFFF" w:themeColor="background1"/>
                <w:sz w:val="15"/>
                <w:szCs w:val="15"/>
              </w:rPr>
              <w:t xml:space="preserve">Cover of condition </w:t>
            </w:r>
            <w:r w:rsidRPr="008C406A">
              <w:rPr>
                <w:rFonts w:ascii="Arial Black" w:hAnsi="Arial Black"/>
                <w:color w:val="FFFFFF" w:themeColor="background1"/>
                <w:sz w:val="15"/>
                <w:szCs w:val="15"/>
              </w:rPr>
              <w:t>data</w:t>
            </w:r>
            <w:r>
              <w:rPr>
                <w:rFonts w:ascii="Arial Black" w:hAnsi="Arial Black"/>
                <w:color w:val="FFFFFF" w:themeColor="background1"/>
                <w:sz w:val="15"/>
                <w:szCs w:val="15"/>
              </w:rPr>
              <w:t xml:space="preserve"> (%)</w:t>
            </w:r>
            <w:r w:rsidRPr="00614A1D">
              <w:rPr>
                <w:rFonts w:ascii="Arial Black" w:hAnsi="Arial Black"/>
                <w:color w:val="FFFFFF" w:themeColor="background1"/>
                <w:sz w:val="15"/>
                <w:szCs w:val="15"/>
                <w:vertAlign w:val="superscript"/>
              </w:rPr>
              <w:t>2</w:t>
            </w:r>
          </w:p>
        </w:tc>
        <w:tc>
          <w:tcPr>
            <w:tcW w:w="1748" w:type="dxa"/>
            <w:tcBorders>
              <w:bottom w:val="single" w:sz="4" w:space="0" w:color="auto"/>
            </w:tcBorders>
            <w:shd w:val="clear" w:color="auto" w:fill="65876D"/>
            <w:vAlign w:val="center"/>
          </w:tcPr>
          <w:p w14:paraId="48C10E3C" w14:textId="0BD93FA9" w:rsidR="00AF44CC" w:rsidRPr="00296B7B" w:rsidRDefault="00AF44CC" w:rsidP="00E52A35">
            <w:pPr>
              <w:pStyle w:val="Tableheading"/>
              <w:jc w:val="center"/>
              <w:rPr>
                <w:color w:val="FFFFFF" w:themeColor="background1"/>
                <w:sz w:val="15"/>
                <w:szCs w:val="15"/>
              </w:rPr>
            </w:pPr>
            <w:r w:rsidRPr="008C406A">
              <w:rPr>
                <w:color w:val="FFFFFF" w:themeColor="background1"/>
                <w:sz w:val="15"/>
                <w:szCs w:val="15"/>
              </w:rPr>
              <w:t>poor</w:t>
            </w:r>
            <w:r>
              <w:rPr>
                <w:color w:val="FFFFFF" w:themeColor="background1"/>
                <w:sz w:val="15"/>
                <w:szCs w:val="15"/>
              </w:rPr>
              <w:t xml:space="preserve"> </w:t>
            </w:r>
            <w:r>
              <w:rPr>
                <w:color w:val="FFFFFF" w:themeColor="background1"/>
                <w:sz w:val="15"/>
                <w:szCs w:val="15"/>
              </w:rPr>
              <w:br/>
              <w:t>condition</w:t>
            </w:r>
            <w:r w:rsidR="00EB10D3">
              <w:rPr>
                <w:color w:val="FFFFFF" w:themeColor="background1"/>
                <w:sz w:val="15"/>
                <w:szCs w:val="15"/>
              </w:rPr>
              <w:t xml:space="preserve"> (%)</w:t>
            </w:r>
            <w:r w:rsidRPr="00614A1D">
              <w:rPr>
                <w:color w:val="FFFFFF" w:themeColor="background1"/>
                <w:sz w:val="15"/>
                <w:szCs w:val="15"/>
                <w:vertAlign w:val="superscript"/>
              </w:rPr>
              <w:t>3</w:t>
            </w:r>
          </w:p>
        </w:tc>
        <w:tc>
          <w:tcPr>
            <w:tcW w:w="983" w:type="dxa"/>
            <w:tcBorders>
              <w:bottom w:val="single" w:sz="4" w:space="0" w:color="auto"/>
            </w:tcBorders>
            <w:shd w:val="clear" w:color="auto" w:fill="65876D"/>
            <w:vAlign w:val="center"/>
          </w:tcPr>
          <w:p w14:paraId="314BF787" w14:textId="286BFACE" w:rsidR="00AF44CC" w:rsidRPr="00296B7B" w:rsidRDefault="00AF44CC" w:rsidP="00EB10D3">
            <w:pPr>
              <w:pStyle w:val="Tableheading"/>
              <w:jc w:val="center"/>
              <w:rPr>
                <w:color w:val="FFFFFF" w:themeColor="background1"/>
                <w:sz w:val="15"/>
                <w:szCs w:val="15"/>
              </w:rPr>
            </w:pPr>
            <w:r w:rsidRPr="008C406A">
              <w:rPr>
                <w:color w:val="FFFFFF" w:themeColor="background1"/>
                <w:sz w:val="15"/>
                <w:szCs w:val="15"/>
              </w:rPr>
              <w:t>mod. /good</w:t>
            </w:r>
            <w:r>
              <w:rPr>
                <w:color w:val="FFFFFF" w:themeColor="background1"/>
                <w:sz w:val="15"/>
                <w:szCs w:val="15"/>
              </w:rPr>
              <w:t xml:space="preserve"> condition</w:t>
            </w:r>
            <w:r w:rsidR="00EB10D3">
              <w:rPr>
                <w:color w:val="FFFFFF" w:themeColor="background1"/>
                <w:sz w:val="15"/>
                <w:szCs w:val="15"/>
              </w:rPr>
              <w:t xml:space="preserve"> (%)</w:t>
            </w:r>
            <w:r w:rsidRPr="00614A1D">
              <w:rPr>
                <w:color w:val="FFFFFF" w:themeColor="background1"/>
                <w:sz w:val="15"/>
                <w:szCs w:val="15"/>
                <w:vertAlign w:val="superscript"/>
              </w:rPr>
              <w:t>3</w:t>
            </w:r>
          </w:p>
        </w:tc>
        <w:tc>
          <w:tcPr>
            <w:tcW w:w="882" w:type="dxa"/>
            <w:shd w:val="clear" w:color="auto" w:fill="65876D"/>
            <w:vAlign w:val="center"/>
          </w:tcPr>
          <w:p w14:paraId="4A63C6D1" w14:textId="4AF3590A" w:rsidR="00AF44CC" w:rsidRPr="00296B7B" w:rsidRDefault="00AF44CC" w:rsidP="00E52A35">
            <w:pPr>
              <w:pStyle w:val="Tableheading"/>
              <w:jc w:val="center"/>
              <w:rPr>
                <w:color w:val="FFFFFF" w:themeColor="background1"/>
                <w:sz w:val="15"/>
                <w:szCs w:val="15"/>
              </w:rPr>
            </w:pPr>
            <w:r w:rsidRPr="008C406A">
              <w:rPr>
                <w:color w:val="FFFFFF" w:themeColor="background1"/>
                <w:sz w:val="15"/>
                <w:szCs w:val="15"/>
              </w:rPr>
              <w:t>Area (ha)</w:t>
            </w:r>
            <w:r w:rsidRPr="00614A1D">
              <w:rPr>
                <w:color w:val="FFFFFF" w:themeColor="background1"/>
                <w:sz w:val="15"/>
                <w:szCs w:val="15"/>
                <w:vertAlign w:val="superscript"/>
              </w:rPr>
              <w:t>1</w:t>
            </w:r>
          </w:p>
        </w:tc>
        <w:tc>
          <w:tcPr>
            <w:tcW w:w="922" w:type="dxa"/>
            <w:shd w:val="clear" w:color="auto" w:fill="65876D"/>
            <w:vAlign w:val="center"/>
          </w:tcPr>
          <w:p w14:paraId="70CF126B" w14:textId="267922DC" w:rsidR="00AF44CC" w:rsidRPr="00296B7B" w:rsidRDefault="00AF44CC" w:rsidP="00EB10D3">
            <w:pPr>
              <w:spacing w:after="0" w:line="240" w:lineRule="auto"/>
              <w:jc w:val="center"/>
              <w:rPr>
                <w:color w:val="FFFFFF" w:themeColor="background1"/>
                <w:sz w:val="15"/>
                <w:szCs w:val="15"/>
              </w:rPr>
            </w:pPr>
            <w:r>
              <w:rPr>
                <w:rFonts w:ascii="Arial Black" w:hAnsi="Arial Black"/>
                <w:color w:val="FFFFFF" w:themeColor="background1"/>
                <w:sz w:val="15"/>
                <w:szCs w:val="15"/>
              </w:rPr>
              <w:t xml:space="preserve">Cover of condition </w:t>
            </w:r>
            <w:r w:rsidRPr="008C406A">
              <w:rPr>
                <w:rFonts w:ascii="Arial Black" w:hAnsi="Arial Black"/>
                <w:color w:val="FFFFFF" w:themeColor="background1"/>
                <w:sz w:val="15"/>
                <w:szCs w:val="15"/>
              </w:rPr>
              <w:t>data</w:t>
            </w:r>
            <w:r>
              <w:rPr>
                <w:rFonts w:ascii="Arial Black" w:hAnsi="Arial Black"/>
                <w:color w:val="FFFFFF" w:themeColor="background1"/>
                <w:sz w:val="15"/>
                <w:szCs w:val="15"/>
              </w:rPr>
              <w:t xml:space="preserve"> (%)</w:t>
            </w:r>
            <w:r w:rsidRPr="00614A1D">
              <w:rPr>
                <w:rFonts w:ascii="Arial Black" w:hAnsi="Arial Black"/>
                <w:color w:val="FFFFFF" w:themeColor="background1"/>
                <w:sz w:val="15"/>
                <w:szCs w:val="15"/>
                <w:vertAlign w:val="superscript"/>
              </w:rPr>
              <w:t>2</w:t>
            </w:r>
          </w:p>
        </w:tc>
        <w:tc>
          <w:tcPr>
            <w:tcW w:w="983" w:type="dxa"/>
            <w:shd w:val="clear" w:color="auto" w:fill="65876D"/>
            <w:vAlign w:val="center"/>
          </w:tcPr>
          <w:p w14:paraId="5302928C" w14:textId="5469701E" w:rsidR="00AF44CC" w:rsidRPr="00296B7B" w:rsidRDefault="00AF44CC" w:rsidP="00E52A35">
            <w:pPr>
              <w:pStyle w:val="Tableheading"/>
              <w:jc w:val="center"/>
              <w:rPr>
                <w:color w:val="FFFFFF" w:themeColor="background1"/>
                <w:sz w:val="15"/>
                <w:szCs w:val="15"/>
              </w:rPr>
            </w:pPr>
            <w:r w:rsidRPr="008C406A">
              <w:rPr>
                <w:color w:val="FFFFFF" w:themeColor="background1"/>
                <w:sz w:val="15"/>
                <w:szCs w:val="15"/>
              </w:rPr>
              <w:t>poor</w:t>
            </w:r>
            <w:r>
              <w:rPr>
                <w:color w:val="FFFFFF" w:themeColor="background1"/>
                <w:sz w:val="15"/>
                <w:szCs w:val="15"/>
              </w:rPr>
              <w:t xml:space="preserve"> </w:t>
            </w:r>
            <w:r>
              <w:rPr>
                <w:color w:val="FFFFFF" w:themeColor="background1"/>
                <w:sz w:val="15"/>
                <w:szCs w:val="15"/>
              </w:rPr>
              <w:br/>
              <w:t>condition</w:t>
            </w:r>
            <w:r w:rsidR="009B3015">
              <w:rPr>
                <w:color w:val="FFFFFF" w:themeColor="background1"/>
                <w:sz w:val="15"/>
                <w:szCs w:val="15"/>
              </w:rPr>
              <w:t xml:space="preserve"> (%</w:t>
            </w:r>
            <w:r w:rsidRPr="008C406A">
              <w:rPr>
                <w:color w:val="FFFFFF" w:themeColor="background1"/>
                <w:sz w:val="15"/>
                <w:szCs w:val="15"/>
              </w:rPr>
              <w:t>)</w:t>
            </w:r>
            <w:r w:rsidRPr="00614A1D">
              <w:rPr>
                <w:color w:val="FFFFFF" w:themeColor="background1"/>
                <w:sz w:val="15"/>
                <w:szCs w:val="15"/>
                <w:vertAlign w:val="superscript"/>
              </w:rPr>
              <w:t>3</w:t>
            </w:r>
          </w:p>
        </w:tc>
        <w:tc>
          <w:tcPr>
            <w:tcW w:w="983" w:type="dxa"/>
            <w:shd w:val="clear" w:color="auto" w:fill="65876D"/>
            <w:vAlign w:val="center"/>
          </w:tcPr>
          <w:p w14:paraId="24BCF27B" w14:textId="176D85F1" w:rsidR="00AF44CC" w:rsidRPr="00296B7B" w:rsidRDefault="00AF44CC" w:rsidP="00E52A35">
            <w:pPr>
              <w:pStyle w:val="Tableheading"/>
              <w:jc w:val="center"/>
              <w:rPr>
                <w:color w:val="FFFFFF" w:themeColor="background1"/>
                <w:sz w:val="15"/>
                <w:szCs w:val="15"/>
              </w:rPr>
            </w:pPr>
            <w:r w:rsidRPr="008C406A">
              <w:rPr>
                <w:color w:val="FFFFFF" w:themeColor="background1"/>
                <w:sz w:val="15"/>
                <w:szCs w:val="15"/>
              </w:rPr>
              <w:t>mod. /good</w:t>
            </w:r>
            <w:r>
              <w:rPr>
                <w:color w:val="FFFFFF" w:themeColor="background1"/>
                <w:sz w:val="15"/>
                <w:szCs w:val="15"/>
              </w:rPr>
              <w:t xml:space="preserve"> condition</w:t>
            </w:r>
            <w:r w:rsidR="009B3015">
              <w:rPr>
                <w:color w:val="FFFFFF" w:themeColor="background1"/>
                <w:sz w:val="15"/>
                <w:szCs w:val="15"/>
              </w:rPr>
              <w:t xml:space="preserve"> (%</w:t>
            </w:r>
            <w:r w:rsidRPr="008C406A">
              <w:rPr>
                <w:color w:val="FFFFFF" w:themeColor="background1"/>
                <w:sz w:val="15"/>
                <w:szCs w:val="15"/>
              </w:rPr>
              <w:t>)</w:t>
            </w:r>
            <w:r w:rsidRPr="00614A1D">
              <w:rPr>
                <w:color w:val="FFFFFF" w:themeColor="background1"/>
                <w:sz w:val="15"/>
                <w:szCs w:val="15"/>
                <w:vertAlign w:val="superscript"/>
              </w:rPr>
              <w:t>3</w:t>
            </w:r>
          </w:p>
        </w:tc>
        <w:tc>
          <w:tcPr>
            <w:tcW w:w="882" w:type="dxa"/>
            <w:shd w:val="clear" w:color="auto" w:fill="65876D"/>
            <w:vAlign w:val="center"/>
          </w:tcPr>
          <w:p w14:paraId="7FAF288E" w14:textId="71C8B6F0" w:rsidR="00AF44CC" w:rsidRPr="00296B7B" w:rsidRDefault="00AF44CC" w:rsidP="00E52A35">
            <w:pPr>
              <w:pStyle w:val="Tableheading"/>
              <w:jc w:val="center"/>
              <w:rPr>
                <w:color w:val="FFFFFF" w:themeColor="background1"/>
                <w:sz w:val="15"/>
                <w:szCs w:val="15"/>
              </w:rPr>
            </w:pPr>
            <w:r w:rsidRPr="008C406A">
              <w:rPr>
                <w:color w:val="FFFFFF" w:themeColor="background1"/>
                <w:sz w:val="15"/>
                <w:szCs w:val="15"/>
              </w:rPr>
              <w:t>Area (ha)</w:t>
            </w:r>
            <w:r w:rsidRPr="00614A1D">
              <w:rPr>
                <w:color w:val="FFFFFF" w:themeColor="background1"/>
                <w:sz w:val="15"/>
                <w:szCs w:val="15"/>
                <w:vertAlign w:val="superscript"/>
              </w:rPr>
              <w:t>1</w:t>
            </w:r>
          </w:p>
        </w:tc>
        <w:tc>
          <w:tcPr>
            <w:tcW w:w="922" w:type="dxa"/>
            <w:shd w:val="clear" w:color="auto" w:fill="65876D"/>
            <w:vAlign w:val="center"/>
          </w:tcPr>
          <w:p w14:paraId="7DB3C18C" w14:textId="3D70E956" w:rsidR="00AF44CC" w:rsidRPr="00296B7B" w:rsidRDefault="00AF44CC" w:rsidP="00EB10D3">
            <w:pPr>
              <w:spacing w:after="0" w:line="240" w:lineRule="auto"/>
              <w:jc w:val="center"/>
              <w:rPr>
                <w:color w:val="FFFFFF" w:themeColor="background1"/>
                <w:sz w:val="15"/>
                <w:szCs w:val="15"/>
              </w:rPr>
            </w:pPr>
            <w:r>
              <w:rPr>
                <w:rFonts w:ascii="Arial Black" w:hAnsi="Arial Black"/>
                <w:color w:val="FFFFFF" w:themeColor="background1"/>
                <w:sz w:val="15"/>
                <w:szCs w:val="15"/>
              </w:rPr>
              <w:t xml:space="preserve">Cover of condition </w:t>
            </w:r>
            <w:r w:rsidRPr="008C406A">
              <w:rPr>
                <w:rFonts w:ascii="Arial Black" w:hAnsi="Arial Black"/>
                <w:color w:val="FFFFFF" w:themeColor="background1"/>
                <w:sz w:val="15"/>
                <w:szCs w:val="15"/>
              </w:rPr>
              <w:t>data</w:t>
            </w:r>
            <w:r>
              <w:rPr>
                <w:rFonts w:ascii="Arial Black" w:hAnsi="Arial Black"/>
                <w:color w:val="FFFFFF" w:themeColor="background1"/>
                <w:sz w:val="15"/>
                <w:szCs w:val="15"/>
              </w:rPr>
              <w:t xml:space="preserve"> (%)</w:t>
            </w:r>
            <w:r w:rsidRPr="00614A1D">
              <w:rPr>
                <w:rFonts w:ascii="Arial Black" w:hAnsi="Arial Black"/>
                <w:color w:val="FFFFFF" w:themeColor="background1"/>
                <w:sz w:val="15"/>
                <w:szCs w:val="15"/>
                <w:vertAlign w:val="superscript"/>
              </w:rPr>
              <w:t>2</w:t>
            </w:r>
          </w:p>
        </w:tc>
        <w:tc>
          <w:tcPr>
            <w:tcW w:w="922" w:type="dxa"/>
            <w:shd w:val="clear" w:color="auto" w:fill="65876D"/>
            <w:vAlign w:val="center"/>
          </w:tcPr>
          <w:p w14:paraId="741522B3" w14:textId="550A007C" w:rsidR="00AF44CC" w:rsidRPr="00296B7B" w:rsidRDefault="00AF44CC" w:rsidP="00E52A35">
            <w:pPr>
              <w:pStyle w:val="Tableheading"/>
              <w:jc w:val="center"/>
              <w:rPr>
                <w:color w:val="FFFFFF" w:themeColor="background1"/>
                <w:sz w:val="15"/>
                <w:szCs w:val="15"/>
              </w:rPr>
            </w:pPr>
            <w:r w:rsidRPr="008C406A">
              <w:rPr>
                <w:color w:val="FFFFFF" w:themeColor="background1"/>
                <w:sz w:val="15"/>
                <w:szCs w:val="15"/>
              </w:rPr>
              <w:t>poor</w:t>
            </w:r>
            <w:r>
              <w:rPr>
                <w:color w:val="FFFFFF" w:themeColor="background1"/>
                <w:sz w:val="15"/>
                <w:szCs w:val="15"/>
              </w:rPr>
              <w:t xml:space="preserve"> </w:t>
            </w:r>
            <w:r>
              <w:rPr>
                <w:color w:val="FFFFFF" w:themeColor="background1"/>
                <w:sz w:val="15"/>
                <w:szCs w:val="15"/>
              </w:rPr>
              <w:br/>
              <w:t>condition</w:t>
            </w:r>
            <w:r w:rsidR="009B3015">
              <w:rPr>
                <w:color w:val="FFFFFF" w:themeColor="background1"/>
                <w:sz w:val="15"/>
                <w:szCs w:val="15"/>
              </w:rPr>
              <w:t xml:space="preserve"> (%</w:t>
            </w:r>
            <w:r w:rsidRPr="008C406A">
              <w:rPr>
                <w:color w:val="FFFFFF" w:themeColor="background1"/>
                <w:sz w:val="15"/>
                <w:szCs w:val="15"/>
              </w:rPr>
              <w:t>)</w:t>
            </w:r>
            <w:r w:rsidRPr="00614A1D">
              <w:rPr>
                <w:color w:val="FFFFFF" w:themeColor="background1"/>
                <w:sz w:val="15"/>
                <w:szCs w:val="15"/>
                <w:vertAlign w:val="superscript"/>
              </w:rPr>
              <w:t>3</w:t>
            </w:r>
          </w:p>
        </w:tc>
        <w:tc>
          <w:tcPr>
            <w:tcW w:w="1640" w:type="dxa"/>
            <w:shd w:val="clear" w:color="auto" w:fill="65876D"/>
            <w:vAlign w:val="center"/>
          </w:tcPr>
          <w:p w14:paraId="69E11D31" w14:textId="1056747C" w:rsidR="00AF44CC" w:rsidRPr="00296B7B" w:rsidRDefault="00AF44CC" w:rsidP="00E52A35">
            <w:pPr>
              <w:pStyle w:val="Tableheading"/>
              <w:jc w:val="center"/>
              <w:rPr>
                <w:color w:val="FFFFFF" w:themeColor="background1"/>
                <w:sz w:val="15"/>
                <w:szCs w:val="15"/>
              </w:rPr>
            </w:pPr>
            <w:r w:rsidRPr="008C406A">
              <w:rPr>
                <w:color w:val="FFFFFF" w:themeColor="background1"/>
                <w:sz w:val="15"/>
                <w:szCs w:val="15"/>
              </w:rPr>
              <w:t>mod. /good</w:t>
            </w:r>
            <w:r>
              <w:rPr>
                <w:color w:val="FFFFFF" w:themeColor="background1"/>
                <w:sz w:val="15"/>
                <w:szCs w:val="15"/>
              </w:rPr>
              <w:t xml:space="preserve"> condition</w:t>
            </w:r>
            <w:r w:rsidRPr="008C406A">
              <w:rPr>
                <w:color w:val="FFFFFF" w:themeColor="background1"/>
                <w:sz w:val="15"/>
                <w:szCs w:val="15"/>
              </w:rPr>
              <w:t>)</w:t>
            </w:r>
            <w:r w:rsidRPr="00614A1D">
              <w:rPr>
                <w:color w:val="FFFFFF" w:themeColor="background1"/>
                <w:sz w:val="15"/>
                <w:szCs w:val="15"/>
                <w:vertAlign w:val="superscript"/>
              </w:rPr>
              <w:t>3</w:t>
            </w:r>
          </w:p>
        </w:tc>
        <w:tc>
          <w:tcPr>
            <w:tcW w:w="1064" w:type="dxa"/>
            <w:vMerge/>
          </w:tcPr>
          <w:p w14:paraId="7C29DDDA" w14:textId="77777777" w:rsidR="00AF44CC" w:rsidRPr="00C778D3" w:rsidRDefault="00AF44CC" w:rsidP="00E52A35">
            <w:pPr>
              <w:spacing w:after="0" w:line="240" w:lineRule="auto"/>
              <w:jc w:val="center"/>
              <w:rPr>
                <w:rFonts w:ascii="Calibri" w:hAnsi="Calibri"/>
                <w:color w:val="FFFFFF" w:themeColor="background1"/>
                <w:sz w:val="16"/>
                <w:szCs w:val="18"/>
              </w:rPr>
            </w:pPr>
          </w:p>
        </w:tc>
      </w:tr>
      <w:tr w:rsidR="00AF44CC" w:rsidRPr="001555F1" w14:paraId="470005EB" w14:textId="77777777" w:rsidTr="00AF44CC">
        <w:trPr>
          <w:trHeight w:val="454"/>
        </w:trPr>
        <w:tc>
          <w:tcPr>
            <w:tcW w:w="610" w:type="dxa"/>
            <w:shd w:val="clear" w:color="auto" w:fill="auto"/>
            <w:noWrap/>
            <w:vAlign w:val="center"/>
            <w:hideMark/>
          </w:tcPr>
          <w:p w14:paraId="0B059441" w14:textId="77777777" w:rsidR="008C39B7" w:rsidRPr="001555F1" w:rsidRDefault="008C39B7"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7</w:t>
            </w:r>
          </w:p>
        </w:tc>
        <w:tc>
          <w:tcPr>
            <w:tcW w:w="1815" w:type="dxa"/>
            <w:shd w:val="clear" w:color="auto" w:fill="auto"/>
            <w:vAlign w:val="center"/>
            <w:hideMark/>
          </w:tcPr>
          <w:p w14:paraId="7015402D"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Lock 26 (Torrumbarry) to downstream of Gunbower</w:t>
            </w:r>
          </w:p>
        </w:tc>
        <w:tc>
          <w:tcPr>
            <w:tcW w:w="882" w:type="dxa"/>
            <w:shd w:val="clear" w:color="auto" w:fill="auto"/>
            <w:vAlign w:val="center"/>
          </w:tcPr>
          <w:p w14:paraId="7A4BF1E2"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0</w:t>
            </w:r>
          </w:p>
        </w:tc>
        <w:tc>
          <w:tcPr>
            <w:tcW w:w="922" w:type="dxa"/>
            <w:shd w:val="clear" w:color="auto" w:fill="auto"/>
            <w:vAlign w:val="center"/>
          </w:tcPr>
          <w:p w14:paraId="4E8B6EE6" w14:textId="50655814"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0</w:t>
            </w:r>
          </w:p>
        </w:tc>
        <w:tc>
          <w:tcPr>
            <w:tcW w:w="1699" w:type="dxa"/>
            <w:shd w:val="clear" w:color="auto" w:fill="auto"/>
            <w:vAlign w:val="center"/>
          </w:tcPr>
          <w:p w14:paraId="562A5AE0" w14:textId="44F2977E" w:rsidR="008C39B7" w:rsidRPr="001555F1"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1699" w:type="dxa"/>
            <w:shd w:val="clear" w:color="auto" w:fill="auto"/>
            <w:vAlign w:val="center"/>
          </w:tcPr>
          <w:p w14:paraId="31ED1DBD" w14:textId="258C2BE3" w:rsidR="008C39B7" w:rsidRPr="001555F1"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882" w:type="dxa"/>
            <w:shd w:val="clear" w:color="auto" w:fill="auto"/>
            <w:vAlign w:val="center"/>
          </w:tcPr>
          <w:p w14:paraId="709AB7BF"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2</w:t>
            </w:r>
          </w:p>
        </w:tc>
        <w:tc>
          <w:tcPr>
            <w:tcW w:w="922" w:type="dxa"/>
            <w:shd w:val="clear" w:color="auto" w:fill="auto"/>
            <w:vAlign w:val="center"/>
          </w:tcPr>
          <w:p w14:paraId="7A87FD4A"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80%</w:t>
            </w:r>
          </w:p>
        </w:tc>
        <w:tc>
          <w:tcPr>
            <w:tcW w:w="1748" w:type="dxa"/>
            <w:shd w:val="clear" w:color="auto" w:fill="auto"/>
            <w:vAlign w:val="center"/>
          </w:tcPr>
          <w:p w14:paraId="4E0CF718" w14:textId="410285B1" w:rsidR="008C39B7" w:rsidRPr="001555F1" w:rsidRDefault="008C39B7" w:rsidP="009B301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0</w:t>
            </w:r>
          </w:p>
        </w:tc>
        <w:tc>
          <w:tcPr>
            <w:tcW w:w="983" w:type="dxa"/>
            <w:shd w:val="clear" w:color="auto" w:fill="auto"/>
            <w:vAlign w:val="center"/>
          </w:tcPr>
          <w:p w14:paraId="62702D42" w14:textId="2E74FC5B" w:rsidR="008C39B7" w:rsidRPr="001555F1" w:rsidRDefault="008C39B7" w:rsidP="009B301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20</w:t>
            </w:r>
          </w:p>
        </w:tc>
        <w:tc>
          <w:tcPr>
            <w:tcW w:w="882" w:type="dxa"/>
            <w:vAlign w:val="center"/>
          </w:tcPr>
          <w:p w14:paraId="04851924"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0</w:t>
            </w:r>
          </w:p>
        </w:tc>
        <w:tc>
          <w:tcPr>
            <w:tcW w:w="922" w:type="dxa"/>
            <w:vAlign w:val="center"/>
          </w:tcPr>
          <w:p w14:paraId="01223D98" w14:textId="18981B51"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983" w:type="dxa"/>
            <w:vAlign w:val="center"/>
          </w:tcPr>
          <w:p w14:paraId="19A19696" w14:textId="6BFF0FEE" w:rsidR="008C39B7" w:rsidRPr="001555F1" w:rsidRDefault="008C39B7" w:rsidP="009B301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0</w:t>
            </w:r>
          </w:p>
        </w:tc>
        <w:tc>
          <w:tcPr>
            <w:tcW w:w="983" w:type="dxa"/>
            <w:vAlign w:val="center"/>
          </w:tcPr>
          <w:p w14:paraId="671AABF8" w14:textId="363D755F"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882" w:type="dxa"/>
            <w:vAlign w:val="center"/>
          </w:tcPr>
          <w:p w14:paraId="05442645"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10</w:t>
            </w:r>
          </w:p>
        </w:tc>
        <w:tc>
          <w:tcPr>
            <w:tcW w:w="922" w:type="dxa"/>
            <w:vAlign w:val="center"/>
          </w:tcPr>
          <w:p w14:paraId="227CE6B5" w14:textId="176ED20F" w:rsidR="008C39B7" w:rsidRPr="001555F1" w:rsidRDefault="008C39B7" w:rsidP="009B301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57</w:t>
            </w:r>
          </w:p>
        </w:tc>
        <w:tc>
          <w:tcPr>
            <w:tcW w:w="922" w:type="dxa"/>
            <w:vAlign w:val="center"/>
          </w:tcPr>
          <w:p w14:paraId="2CAB65BA" w14:textId="46BC4CA7"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6</w:t>
            </w:r>
          </w:p>
        </w:tc>
        <w:tc>
          <w:tcPr>
            <w:tcW w:w="1640" w:type="dxa"/>
            <w:vAlign w:val="center"/>
          </w:tcPr>
          <w:p w14:paraId="466A5E59"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36%</w:t>
            </w:r>
          </w:p>
        </w:tc>
        <w:tc>
          <w:tcPr>
            <w:tcW w:w="1064" w:type="dxa"/>
            <w:vAlign w:val="center"/>
          </w:tcPr>
          <w:p w14:paraId="79B244A2"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59</w:t>
            </w:r>
          </w:p>
        </w:tc>
      </w:tr>
      <w:tr w:rsidR="00AF44CC" w:rsidRPr="001555F1" w14:paraId="65E47A40" w14:textId="77777777" w:rsidTr="00AF44CC">
        <w:trPr>
          <w:trHeight w:val="454"/>
        </w:trPr>
        <w:tc>
          <w:tcPr>
            <w:tcW w:w="610" w:type="dxa"/>
            <w:shd w:val="clear" w:color="auto" w:fill="auto"/>
            <w:noWrap/>
            <w:vAlign w:val="center"/>
            <w:hideMark/>
          </w:tcPr>
          <w:p w14:paraId="66EFE701" w14:textId="77777777" w:rsidR="008C39B7" w:rsidRPr="001555F1" w:rsidRDefault="008C39B7" w:rsidP="00E52A35">
            <w:pPr>
              <w:keepNext/>
              <w:spacing w:before="100" w:beforeAutospacing="1" w:after="100" w:afterAutospacing="1" w:line="240" w:lineRule="auto"/>
              <w:jc w:val="center"/>
              <w:rPr>
                <w:rFonts w:asciiTheme="minorHAnsi" w:eastAsia="Times New Roman" w:hAnsiTheme="minorHAnsi" w:cs="Arial"/>
                <w:sz w:val="16"/>
                <w:szCs w:val="16"/>
                <w:lang w:eastAsia="en-AU"/>
              </w:rPr>
            </w:pPr>
            <w:r w:rsidRPr="001555F1">
              <w:rPr>
                <w:rFonts w:asciiTheme="minorHAnsi" w:eastAsia="Times New Roman" w:hAnsiTheme="minorHAnsi" w:cs="Arial"/>
                <w:sz w:val="16"/>
                <w:szCs w:val="16"/>
                <w:lang w:eastAsia="en-AU"/>
              </w:rPr>
              <w:t>8</w:t>
            </w:r>
          </w:p>
        </w:tc>
        <w:tc>
          <w:tcPr>
            <w:tcW w:w="1815" w:type="dxa"/>
            <w:shd w:val="clear" w:color="auto" w:fill="auto"/>
            <w:vAlign w:val="center"/>
            <w:hideMark/>
          </w:tcPr>
          <w:p w14:paraId="1C7DFB04"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sz w:val="16"/>
                <w:szCs w:val="16"/>
                <w:lang w:eastAsia="en-AU"/>
              </w:rPr>
            </w:pPr>
            <w:r w:rsidRPr="001555F1">
              <w:rPr>
                <w:rFonts w:asciiTheme="minorHAnsi" w:eastAsia="Times New Roman" w:hAnsiTheme="minorHAnsi" w:cs="Arial"/>
                <w:sz w:val="16"/>
                <w:szCs w:val="16"/>
                <w:lang w:eastAsia="en-AU"/>
              </w:rPr>
              <w:t>Downstream of Gunbower to Swan Hill</w:t>
            </w:r>
          </w:p>
        </w:tc>
        <w:tc>
          <w:tcPr>
            <w:tcW w:w="882" w:type="dxa"/>
            <w:shd w:val="clear" w:color="auto" w:fill="auto"/>
            <w:vAlign w:val="center"/>
          </w:tcPr>
          <w:p w14:paraId="28138047"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0</w:t>
            </w:r>
          </w:p>
        </w:tc>
        <w:tc>
          <w:tcPr>
            <w:tcW w:w="922" w:type="dxa"/>
            <w:shd w:val="clear" w:color="auto" w:fill="auto"/>
            <w:vAlign w:val="center"/>
          </w:tcPr>
          <w:p w14:paraId="0F2CE3A3" w14:textId="64A3DE31" w:rsidR="008C39B7" w:rsidRPr="001555F1"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1699" w:type="dxa"/>
            <w:shd w:val="clear" w:color="auto" w:fill="auto"/>
            <w:vAlign w:val="center"/>
          </w:tcPr>
          <w:p w14:paraId="48258E66" w14:textId="29AA8408"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0</w:t>
            </w:r>
          </w:p>
        </w:tc>
        <w:tc>
          <w:tcPr>
            <w:tcW w:w="1699" w:type="dxa"/>
            <w:shd w:val="clear" w:color="auto" w:fill="auto"/>
            <w:vAlign w:val="center"/>
          </w:tcPr>
          <w:p w14:paraId="63D4C302" w14:textId="0D7C5F1C"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0</w:t>
            </w:r>
          </w:p>
        </w:tc>
        <w:tc>
          <w:tcPr>
            <w:tcW w:w="882" w:type="dxa"/>
            <w:shd w:val="clear" w:color="auto" w:fill="auto"/>
            <w:vAlign w:val="center"/>
          </w:tcPr>
          <w:p w14:paraId="744A0967"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40</w:t>
            </w:r>
          </w:p>
        </w:tc>
        <w:tc>
          <w:tcPr>
            <w:tcW w:w="922" w:type="dxa"/>
            <w:shd w:val="clear" w:color="auto" w:fill="auto"/>
            <w:vAlign w:val="center"/>
          </w:tcPr>
          <w:p w14:paraId="5757A0EA"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97%</w:t>
            </w:r>
          </w:p>
        </w:tc>
        <w:tc>
          <w:tcPr>
            <w:tcW w:w="1748" w:type="dxa"/>
            <w:shd w:val="clear" w:color="auto" w:fill="auto"/>
            <w:vAlign w:val="center"/>
          </w:tcPr>
          <w:p w14:paraId="57C50B72" w14:textId="72304ABB"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2</w:t>
            </w:r>
          </w:p>
        </w:tc>
        <w:tc>
          <w:tcPr>
            <w:tcW w:w="983" w:type="dxa"/>
            <w:shd w:val="clear" w:color="auto" w:fill="auto"/>
            <w:vAlign w:val="center"/>
          </w:tcPr>
          <w:p w14:paraId="3D54F778" w14:textId="3A30FE5D"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2</w:t>
            </w:r>
          </w:p>
        </w:tc>
        <w:tc>
          <w:tcPr>
            <w:tcW w:w="882" w:type="dxa"/>
            <w:vAlign w:val="center"/>
          </w:tcPr>
          <w:p w14:paraId="7FA69560"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0</w:t>
            </w:r>
          </w:p>
        </w:tc>
        <w:tc>
          <w:tcPr>
            <w:tcW w:w="922" w:type="dxa"/>
            <w:vAlign w:val="center"/>
          </w:tcPr>
          <w:p w14:paraId="34BD7B76" w14:textId="6685BBDC"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983" w:type="dxa"/>
            <w:vAlign w:val="center"/>
          </w:tcPr>
          <w:p w14:paraId="643633CF" w14:textId="7AF0A7EB"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983" w:type="dxa"/>
            <w:vAlign w:val="center"/>
          </w:tcPr>
          <w:p w14:paraId="0E6E7327" w14:textId="37AF4233"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882" w:type="dxa"/>
            <w:vAlign w:val="center"/>
          </w:tcPr>
          <w:p w14:paraId="3E4468AC"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4</w:t>
            </w:r>
          </w:p>
        </w:tc>
        <w:tc>
          <w:tcPr>
            <w:tcW w:w="922" w:type="dxa"/>
            <w:vAlign w:val="center"/>
          </w:tcPr>
          <w:p w14:paraId="61706F97" w14:textId="0DAB155C"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93</w:t>
            </w:r>
          </w:p>
        </w:tc>
        <w:tc>
          <w:tcPr>
            <w:tcW w:w="922" w:type="dxa"/>
            <w:vAlign w:val="center"/>
          </w:tcPr>
          <w:p w14:paraId="3175DD48" w14:textId="5B833CF6"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2</w:t>
            </w:r>
          </w:p>
        </w:tc>
        <w:tc>
          <w:tcPr>
            <w:tcW w:w="1640" w:type="dxa"/>
            <w:vAlign w:val="center"/>
          </w:tcPr>
          <w:p w14:paraId="11B6DC70"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5%</w:t>
            </w:r>
          </w:p>
        </w:tc>
        <w:tc>
          <w:tcPr>
            <w:tcW w:w="1064" w:type="dxa"/>
            <w:vAlign w:val="center"/>
          </w:tcPr>
          <w:p w14:paraId="2F3380E4"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124</w:t>
            </w:r>
          </w:p>
        </w:tc>
      </w:tr>
      <w:tr w:rsidR="00AF44CC" w:rsidRPr="001555F1" w14:paraId="4D928D12" w14:textId="77777777" w:rsidTr="00AF44CC">
        <w:trPr>
          <w:trHeight w:val="454"/>
        </w:trPr>
        <w:tc>
          <w:tcPr>
            <w:tcW w:w="610" w:type="dxa"/>
            <w:shd w:val="clear" w:color="auto" w:fill="auto"/>
            <w:noWrap/>
            <w:vAlign w:val="center"/>
            <w:hideMark/>
          </w:tcPr>
          <w:p w14:paraId="0932D7C6" w14:textId="77777777" w:rsidR="008C39B7" w:rsidRPr="001555F1" w:rsidRDefault="008C39B7" w:rsidP="00E52A35">
            <w:pPr>
              <w:keepNext/>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9</w:t>
            </w:r>
          </w:p>
        </w:tc>
        <w:tc>
          <w:tcPr>
            <w:tcW w:w="1815" w:type="dxa"/>
            <w:shd w:val="clear" w:color="auto" w:fill="auto"/>
            <w:vAlign w:val="center"/>
            <w:hideMark/>
          </w:tcPr>
          <w:p w14:paraId="7E8C7754"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Swan Hill to Murray/Wakool junction</w:t>
            </w:r>
          </w:p>
        </w:tc>
        <w:tc>
          <w:tcPr>
            <w:tcW w:w="882" w:type="dxa"/>
            <w:shd w:val="clear" w:color="auto" w:fill="auto"/>
            <w:vAlign w:val="center"/>
          </w:tcPr>
          <w:p w14:paraId="6DCADEC1"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0</w:t>
            </w:r>
          </w:p>
        </w:tc>
        <w:tc>
          <w:tcPr>
            <w:tcW w:w="922" w:type="dxa"/>
            <w:shd w:val="clear" w:color="auto" w:fill="auto"/>
            <w:vAlign w:val="center"/>
          </w:tcPr>
          <w:p w14:paraId="1AD07B17" w14:textId="16D12C65" w:rsidR="008C39B7" w:rsidRPr="001555F1"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1699" w:type="dxa"/>
            <w:shd w:val="clear" w:color="auto" w:fill="auto"/>
            <w:vAlign w:val="center"/>
          </w:tcPr>
          <w:p w14:paraId="4B0EE743" w14:textId="0D97F6C9"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0</w:t>
            </w:r>
          </w:p>
        </w:tc>
        <w:tc>
          <w:tcPr>
            <w:tcW w:w="1699" w:type="dxa"/>
            <w:shd w:val="clear" w:color="auto" w:fill="auto"/>
            <w:vAlign w:val="center"/>
          </w:tcPr>
          <w:p w14:paraId="15CAE13D" w14:textId="77597F20"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0</w:t>
            </w:r>
          </w:p>
        </w:tc>
        <w:tc>
          <w:tcPr>
            <w:tcW w:w="882" w:type="dxa"/>
            <w:shd w:val="clear" w:color="auto" w:fill="auto"/>
            <w:vAlign w:val="center"/>
          </w:tcPr>
          <w:p w14:paraId="232FAA38"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8</w:t>
            </w:r>
          </w:p>
        </w:tc>
        <w:tc>
          <w:tcPr>
            <w:tcW w:w="922" w:type="dxa"/>
            <w:shd w:val="clear" w:color="auto" w:fill="auto"/>
            <w:vAlign w:val="center"/>
          </w:tcPr>
          <w:p w14:paraId="76A1DDA3"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86%</w:t>
            </w:r>
          </w:p>
        </w:tc>
        <w:tc>
          <w:tcPr>
            <w:tcW w:w="1748" w:type="dxa"/>
            <w:shd w:val="clear" w:color="auto" w:fill="auto"/>
            <w:vAlign w:val="center"/>
          </w:tcPr>
          <w:p w14:paraId="3AC0B85E" w14:textId="41AFE00B" w:rsidR="008C39B7" w:rsidRPr="001555F1" w:rsidRDefault="008C39B7" w:rsidP="009B301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11</w:t>
            </w:r>
          </w:p>
        </w:tc>
        <w:tc>
          <w:tcPr>
            <w:tcW w:w="983" w:type="dxa"/>
            <w:shd w:val="clear" w:color="auto" w:fill="auto"/>
            <w:vAlign w:val="center"/>
          </w:tcPr>
          <w:p w14:paraId="0E6DB542" w14:textId="48B3C154"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3</w:t>
            </w:r>
          </w:p>
        </w:tc>
        <w:tc>
          <w:tcPr>
            <w:tcW w:w="882" w:type="dxa"/>
            <w:vAlign w:val="center"/>
          </w:tcPr>
          <w:p w14:paraId="21CF66EA"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0</w:t>
            </w:r>
          </w:p>
        </w:tc>
        <w:tc>
          <w:tcPr>
            <w:tcW w:w="922" w:type="dxa"/>
            <w:vAlign w:val="center"/>
          </w:tcPr>
          <w:p w14:paraId="2CABF2DB" w14:textId="09A6EAB3"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983" w:type="dxa"/>
            <w:vAlign w:val="center"/>
          </w:tcPr>
          <w:p w14:paraId="5B9078D9" w14:textId="6F0C135A"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983" w:type="dxa"/>
            <w:vAlign w:val="center"/>
          </w:tcPr>
          <w:p w14:paraId="50790D00" w14:textId="5462192B"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882" w:type="dxa"/>
            <w:vAlign w:val="center"/>
          </w:tcPr>
          <w:p w14:paraId="4EF48F9E"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23</w:t>
            </w:r>
          </w:p>
        </w:tc>
        <w:tc>
          <w:tcPr>
            <w:tcW w:w="922" w:type="dxa"/>
            <w:vAlign w:val="center"/>
          </w:tcPr>
          <w:p w14:paraId="17367957" w14:textId="152DA7B3"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85</w:t>
            </w:r>
          </w:p>
        </w:tc>
        <w:tc>
          <w:tcPr>
            <w:tcW w:w="922" w:type="dxa"/>
            <w:vAlign w:val="center"/>
          </w:tcPr>
          <w:p w14:paraId="1FD9C963" w14:textId="6327E5EF"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5</w:t>
            </w:r>
          </w:p>
        </w:tc>
        <w:tc>
          <w:tcPr>
            <w:tcW w:w="1640" w:type="dxa"/>
            <w:vAlign w:val="center"/>
          </w:tcPr>
          <w:p w14:paraId="010F9916"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10%</w:t>
            </w:r>
          </w:p>
        </w:tc>
        <w:tc>
          <w:tcPr>
            <w:tcW w:w="1064" w:type="dxa"/>
            <w:vAlign w:val="center"/>
          </w:tcPr>
          <w:p w14:paraId="4E70845C" w14:textId="77777777" w:rsidR="008C39B7" w:rsidRPr="001555F1" w:rsidRDefault="008C39B7" w:rsidP="008C39B7">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11</w:t>
            </w:r>
          </w:p>
        </w:tc>
      </w:tr>
      <w:tr w:rsidR="00AF44CC" w:rsidRPr="001555F1" w14:paraId="619EEC6F" w14:textId="77777777" w:rsidTr="00AF44CC">
        <w:trPr>
          <w:trHeight w:val="454"/>
        </w:trPr>
        <w:tc>
          <w:tcPr>
            <w:tcW w:w="610" w:type="dxa"/>
            <w:shd w:val="clear" w:color="auto" w:fill="auto"/>
            <w:noWrap/>
            <w:vAlign w:val="center"/>
            <w:hideMark/>
          </w:tcPr>
          <w:p w14:paraId="0A3AD411"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10</w:t>
            </w:r>
          </w:p>
        </w:tc>
        <w:tc>
          <w:tcPr>
            <w:tcW w:w="1815" w:type="dxa"/>
            <w:shd w:val="clear" w:color="auto" w:fill="auto"/>
            <w:vAlign w:val="center"/>
            <w:hideMark/>
          </w:tcPr>
          <w:p w14:paraId="0DE65291"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 xml:space="preserve">Murray/Wakool junction to Murrumbidgee/Murray junction </w:t>
            </w:r>
          </w:p>
        </w:tc>
        <w:tc>
          <w:tcPr>
            <w:tcW w:w="882" w:type="dxa"/>
            <w:shd w:val="clear" w:color="auto" w:fill="auto"/>
            <w:vAlign w:val="center"/>
          </w:tcPr>
          <w:p w14:paraId="57FA359A"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33</w:t>
            </w:r>
          </w:p>
        </w:tc>
        <w:tc>
          <w:tcPr>
            <w:tcW w:w="922" w:type="dxa"/>
            <w:shd w:val="clear" w:color="auto" w:fill="auto"/>
            <w:vAlign w:val="center"/>
          </w:tcPr>
          <w:p w14:paraId="34E7463D" w14:textId="71A0CEDE"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74</w:t>
            </w:r>
          </w:p>
        </w:tc>
        <w:tc>
          <w:tcPr>
            <w:tcW w:w="1699" w:type="dxa"/>
            <w:shd w:val="clear" w:color="auto" w:fill="auto"/>
            <w:vAlign w:val="center"/>
          </w:tcPr>
          <w:p w14:paraId="277E5E37" w14:textId="77522745"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6</w:t>
            </w:r>
          </w:p>
        </w:tc>
        <w:tc>
          <w:tcPr>
            <w:tcW w:w="1699" w:type="dxa"/>
            <w:shd w:val="clear" w:color="auto" w:fill="auto"/>
            <w:vAlign w:val="center"/>
          </w:tcPr>
          <w:p w14:paraId="35F12578" w14:textId="3F6ED32E"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20</w:t>
            </w:r>
          </w:p>
        </w:tc>
        <w:tc>
          <w:tcPr>
            <w:tcW w:w="882" w:type="dxa"/>
            <w:shd w:val="clear" w:color="auto" w:fill="auto"/>
            <w:vAlign w:val="center"/>
          </w:tcPr>
          <w:p w14:paraId="7F373CFD"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18</w:t>
            </w:r>
          </w:p>
        </w:tc>
        <w:tc>
          <w:tcPr>
            <w:tcW w:w="922" w:type="dxa"/>
            <w:shd w:val="clear" w:color="auto" w:fill="auto"/>
            <w:vAlign w:val="center"/>
          </w:tcPr>
          <w:p w14:paraId="052BB24C"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85%</w:t>
            </w:r>
          </w:p>
        </w:tc>
        <w:tc>
          <w:tcPr>
            <w:tcW w:w="1748" w:type="dxa"/>
            <w:shd w:val="clear" w:color="auto" w:fill="auto"/>
            <w:vAlign w:val="center"/>
          </w:tcPr>
          <w:p w14:paraId="7863AECD" w14:textId="22BEDB09"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9</w:t>
            </w:r>
          </w:p>
        </w:tc>
        <w:tc>
          <w:tcPr>
            <w:tcW w:w="983" w:type="dxa"/>
            <w:shd w:val="clear" w:color="auto" w:fill="auto"/>
            <w:vAlign w:val="center"/>
          </w:tcPr>
          <w:p w14:paraId="2335DA39" w14:textId="01B1E397"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6</w:t>
            </w:r>
          </w:p>
        </w:tc>
        <w:tc>
          <w:tcPr>
            <w:tcW w:w="882" w:type="dxa"/>
            <w:vAlign w:val="center"/>
          </w:tcPr>
          <w:p w14:paraId="640177F9"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2</w:t>
            </w:r>
          </w:p>
        </w:tc>
        <w:tc>
          <w:tcPr>
            <w:tcW w:w="922" w:type="dxa"/>
            <w:vAlign w:val="center"/>
          </w:tcPr>
          <w:p w14:paraId="27647F4C" w14:textId="269FE885" w:rsidR="008C39B7" w:rsidRPr="001555F1" w:rsidRDefault="009B3015" w:rsidP="009B301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81</w:t>
            </w:r>
          </w:p>
        </w:tc>
        <w:tc>
          <w:tcPr>
            <w:tcW w:w="983" w:type="dxa"/>
            <w:vAlign w:val="center"/>
          </w:tcPr>
          <w:p w14:paraId="55745967" w14:textId="3D4F4F38" w:rsidR="008C39B7" w:rsidRPr="001555F1" w:rsidRDefault="008C39B7" w:rsidP="009B301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19</w:t>
            </w:r>
          </w:p>
        </w:tc>
        <w:tc>
          <w:tcPr>
            <w:tcW w:w="983" w:type="dxa"/>
            <w:vAlign w:val="center"/>
          </w:tcPr>
          <w:p w14:paraId="6B96B99A" w14:textId="22FC9DB2"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882" w:type="dxa"/>
            <w:vAlign w:val="center"/>
          </w:tcPr>
          <w:p w14:paraId="105B4C73"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121</w:t>
            </w:r>
          </w:p>
        </w:tc>
        <w:tc>
          <w:tcPr>
            <w:tcW w:w="922" w:type="dxa"/>
            <w:vAlign w:val="center"/>
          </w:tcPr>
          <w:p w14:paraId="199082DD" w14:textId="437A7F6F"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42</w:t>
            </w:r>
          </w:p>
        </w:tc>
        <w:tc>
          <w:tcPr>
            <w:tcW w:w="922" w:type="dxa"/>
            <w:vAlign w:val="center"/>
          </w:tcPr>
          <w:p w14:paraId="57F91CC5" w14:textId="75196975" w:rsidR="008C39B7" w:rsidRPr="001555F1" w:rsidRDefault="009B3015" w:rsidP="009B301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19</w:t>
            </w:r>
          </w:p>
        </w:tc>
        <w:tc>
          <w:tcPr>
            <w:tcW w:w="1640" w:type="dxa"/>
            <w:vAlign w:val="center"/>
          </w:tcPr>
          <w:p w14:paraId="0AD18C29"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40%</w:t>
            </w:r>
          </w:p>
        </w:tc>
        <w:tc>
          <w:tcPr>
            <w:tcW w:w="1064" w:type="dxa"/>
            <w:vAlign w:val="center"/>
          </w:tcPr>
          <w:p w14:paraId="23FAA529" w14:textId="77777777" w:rsidR="008C39B7" w:rsidRPr="001555F1" w:rsidRDefault="008C39B7" w:rsidP="008C39B7">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135</w:t>
            </w:r>
          </w:p>
        </w:tc>
      </w:tr>
      <w:tr w:rsidR="00AF44CC" w:rsidRPr="001555F1" w14:paraId="693444D3" w14:textId="77777777" w:rsidTr="00AF44CC">
        <w:trPr>
          <w:trHeight w:val="454"/>
        </w:trPr>
        <w:tc>
          <w:tcPr>
            <w:tcW w:w="610" w:type="dxa"/>
            <w:shd w:val="clear" w:color="auto" w:fill="auto"/>
            <w:noWrap/>
            <w:vAlign w:val="center"/>
            <w:hideMark/>
          </w:tcPr>
          <w:p w14:paraId="28E156A9"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11</w:t>
            </w:r>
          </w:p>
        </w:tc>
        <w:tc>
          <w:tcPr>
            <w:tcW w:w="1815" w:type="dxa"/>
            <w:shd w:val="clear" w:color="auto" w:fill="auto"/>
            <w:vAlign w:val="center"/>
            <w:hideMark/>
          </w:tcPr>
          <w:p w14:paraId="67C6604B"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 xml:space="preserve">Murrumbidgee/Murray junction to Lock 15 </w:t>
            </w:r>
          </w:p>
        </w:tc>
        <w:tc>
          <w:tcPr>
            <w:tcW w:w="882" w:type="dxa"/>
            <w:shd w:val="clear" w:color="auto" w:fill="auto"/>
            <w:vAlign w:val="center"/>
          </w:tcPr>
          <w:p w14:paraId="4069015A"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81</w:t>
            </w:r>
          </w:p>
        </w:tc>
        <w:tc>
          <w:tcPr>
            <w:tcW w:w="922" w:type="dxa"/>
            <w:shd w:val="clear" w:color="auto" w:fill="auto"/>
            <w:vAlign w:val="center"/>
          </w:tcPr>
          <w:p w14:paraId="1765A6F3" w14:textId="793E1C98" w:rsidR="008C39B7" w:rsidRPr="001555F1"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93</w:t>
            </w:r>
          </w:p>
        </w:tc>
        <w:tc>
          <w:tcPr>
            <w:tcW w:w="1699" w:type="dxa"/>
            <w:shd w:val="clear" w:color="auto" w:fill="auto"/>
            <w:vAlign w:val="center"/>
          </w:tcPr>
          <w:p w14:paraId="31C2762B" w14:textId="25B9765B"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0</w:t>
            </w:r>
          </w:p>
        </w:tc>
        <w:tc>
          <w:tcPr>
            <w:tcW w:w="1699" w:type="dxa"/>
            <w:shd w:val="clear" w:color="auto" w:fill="auto"/>
            <w:vAlign w:val="center"/>
          </w:tcPr>
          <w:p w14:paraId="0C3C2AD0" w14:textId="6AF3B369" w:rsidR="008C39B7" w:rsidRPr="001555F1"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6</w:t>
            </w:r>
          </w:p>
        </w:tc>
        <w:tc>
          <w:tcPr>
            <w:tcW w:w="882" w:type="dxa"/>
            <w:shd w:val="clear" w:color="auto" w:fill="auto"/>
            <w:vAlign w:val="center"/>
          </w:tcPr>
          <w:p w14:paraId="7B432335"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269</w:t>
            </w:r>
          </w:p>
        </w:tc>
        <w:tc>
          <w:tcPr>
            <w:tcW w:w="922" w:type="dxa"/>
            <w:shd w:val="clear" w:color="auto" w:fill="auto"/>
            <w:vAlign w:val="center"/>
          </w:tcPr>
          <w:p w14:paraId="59AAAA8E"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98%</w:t>
            </w:r>
          </w:p>
        </w:tc>
        <w:tc>
          <w:tcPr>
            <w:tcW w:w="1748" w:type="dxa"/>
            <w:shd w:val="clear" w:color="auto" w:fill="auto"/>
            <w:vAlign w:val="center"/>
          </w:tcPr>
          <w:p w14:paraId="035DDEA2" w14:textId="1CA85CA0"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983" w:type="dxa"/>
            <w:shd w:val="clear" w:color="auto" w:fill="auto"/>
            <w:vAlign w:val="center"/>
          </w:tcPr>
          <w:p w14:paraId="4332A68C" w14:textId="3C7B241D"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2</w:t>
            </w:r>
          </w:p>
        </w:tc>
        <w:tc>
          <w:tcPr>
            <w:tcW w:w="882" w:type="dxa"/>
            <w:vAlign w:val="center"/>
          </w:tcPr>
          <w:p w14:paraId="092C1D75"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15</w:t>
            </w:r>
          </w:p>
        </w:tc>
        <w:tc>
          <w:tcPr>
            <w:tcW w:w="922" w:type="dxa"/>
            <w:vAlign w:val="center"/>
          </w:tcPr>
          <w:p w14:paraId="7C72C7C0" w14:textId="48E0557C"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98</w:t>
            </w:r>
          </w:p>
        </w:tc>
        <w:tc>
          <w:tcPr>
            <w:tcW w:w="983" w:type="dxa"/>
            <w:vAlign w:val="center"/>
          </w:tcPr>
          <w:p w14:paraId="5A65FE12" w14:textId="389D8082"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983" w:type="dxa"/>
            <w:vAlign w:val="center"/>
          </w:tcPr>
          <w:p w14:paraId="15D0D2FB" w14:textId="6F78325D"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2</w:t>
            </w:r>
          </w:p>
        </w:tc>
        <w:tc>
          <w:tcPr>
            <w:tcW w:w="882" w:type="dxa"/>
            <w:vAlign w:val="center"/>
          </w:tcPr>
          <w:p w14:paraId="073AA3E1"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870</w:t>
            </w:r>
          </w:p>
        </w:tc>
        <w:tc>
          <w:tcPr>
            <w:tcW w:w="922" w:type="dxa"/>
            <w:vAlign w:val="center"/>
          </w:tcPr>
          <w:p w14:paraId="6FADA728" w14:textId="00642878"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93</w:t>
            </w:r>
          </w:p>
        </w:tc>
        <w:tc>
          <w:tcPr>
            <w:tcW w:w="922" w:type="dxa"/>
            <w:vAlign w:val="center"/>
          </w:tcPr>
          <w:p w14:paraId="73F2A11D" w14:textId="06D3D6EB"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1</w:t>
            </w:r>
          </w:p>
        </w:tc>
        <w:tc>
          <w:tcPr>
            <w:tcW w:w="1640" w:type="dxa"/>
            <w:vAlign w:val="center"/>
          </w:tcPr>
          <w:p w14:paraId="3E1BD1D7"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7%</w:t>
            </w:r>
          </w:p>
        </w:tc>
        <w:tc>
          <w:tcPr>
            <w:tcW w:w="1064" w:type="dxa"/>
            <w:vAlign w:val="center"/>
          </w:tcPr>
          <w:p w14:paraId="4C4E0C22"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45</w:t>
            </w:r>
          </w:p>
        </w:tc>
      </w:tr>
      <w:tr w:rsidR="00AF44CC" w:rsidRPr="001555F1" w14:paraId="3865AEC0" w14:textId="77777777" w:rsidTr="00AF44CC">
        <w:trPr>
          <w:trHeight w:val="454"/>
        </w:trPr>
        <w:tc>
          <w:tcPr>
            <w:tcW w:w="610" w:type="dxa"/>
            <w:shd w:val="clear" w:color="auto" w:fill="auto"/>
            <w:noWrap/>
            <w:vAlign w:val="center"/>
            <w:hideMark/>
          </w:tcPr>
          <w:p w14:paraId="15412FA4" w14:textId="77777777" w:rsidR="008C39B7" w:rsidRPr="001555F1" w:rsidRDefault="008C39B7" w:rsidP="00E52A35">
            <w:pPr>
              <w:spacing w:before="100" w:beforeAutospacing="1" w:after="100" w:afterAutospacing="1" w:line="240" w:lineRule="auto"/>
              <w:jc w:val="center"/>
              <w:rPr>
                <w:rFonts w:ascii="Calibri" w:hAnsi="Calibri"/>
                <w:color w:val="000000"/>
                <w:sz w:val="16"/>
                <w:szCs w:val="22"/>
              </w:rPr>
            </w:pPr>
            <w:r w:rsidRPr="001555F1">
              <w:rPr>
                <w:rFonts w:ascii="Calibri" w:hAnsi="Calibri"/>
                <w:color w:val="000000"/>
                <w:sz w:val="16"/>
                <w:szCs w:val="22"/>
              </w:rPr>
              <w:t>12</w:t>
            </w:r>
          </w:p>
        </w:tc>
        <w:tc>
          <w:tcPr>
            <w:tcW w:w="1815" w:type="dxa"/>
            <w:shd w:val="clear" w:color="auto" w:fill="auto"/>
            <w:vAlign w:val="center"/>
            <w:hideMark/>
          </w:tcPr>
          <w:p w14:paraId="00CD6A05" w14:textId="77777777" w:rsidR="008C39B7" w:rsidRPr="001555F1" w:rsidRDefault="008C39B7" w:rsidP="00E52A35">
            <w:pPr>
              <w:spacing w:before="100" w:beforeAutospacing="1" w:after="100" w:afterAutospacing="1" w:line="240" w:lineRule="auto"/>
              <w:jc w:val="center"/>
              <w:rPr>
                <w:rFonts w:ascii="Calibri" w:hAnsi="Calibri"/>
                <w:color w:val="000000"/>
                <w:sz w:val="16"/>
                <w:szCs w:val="22"/>
              </w:rPr>
            </w:pPr>
            <w:r w:rsidRPr="001555F1">
              <w:rPr>
                <w:rFonts w:ascii="Calibri" w:hAnsi="Calibri"/>
                <w:color w:val="000000"/>
                <w:sz w:val="16"/>
                <w:szCs w:val="22"/>
              </w:rPr>
              <w:t xml:space="preserve">Lock 15 to Lock 10 </w:t>
            </w:r>
          </w:p>
        </w:tc>
        <w:tc>
          <w:tcPr>
            <w:tcW w:w="882" w:type="dxa"/>
            <w:shd w:val="clear" w:color="auto" w:fill="auto"/>
            <w:vAlign w:val="center"/>
          </w:tcPr>
          <w:p w14:paraId="6368E136"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968</w:t>
            </w:r>
          </w:p>
        </w:tc>
        <w:tc>
          <w:tcPr>
            <w:tcW w:w="922" w:type="dxa"/>
            <w:shd w:val="clear" w:color="auto" w:fill="auto"/>
            <w:vAlign w:val="center"/>
          </w:tcPr>
          <w:p w14:paraId="4994B294" w14:textId="34F70080" w:rsidR="008C39B7" w:rsidRPr="001555F1"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90</w:t>
            </w:r>
          </w:p>
        </w:tc>
        <w:tc>
          <w:tcPr>
            <w:tcW w:w="1699" w:type="dxa"/>
            <w:shd w:val="clear" w:color="auto" w:fill="auto"/>
            <w:vAlign w:val="center"/>
          </w:tcPr>
          <w:p w14:paraId="6893B486" w14:textId="56FE574D"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3</w:t>
            </w:r>
          </w:p>
        </w:tc>
        <w:tc>
          <w:tcPr>
            <w:tcW w:w="1699" w:type="dxa"/>
            <w:shd w:val="clear" w:color="auto" w:fill="auto"/>
            <w:vAlign w:val="center"/>
          </w:tcPr>
          <w:p w14:paraId="058173F1" w14:textId="2236BEB4"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7</w:t>
            </w:r>
          </w:p>
        </w:tc>
        <w:tc>
          <w:tcPr>
            <w:tcW w:w="882" w:type="dxa"/>
            <w:shd w:val="clear" w:color="auto" w:fill="auto"/>
            <w:vAlign w:val="center"/>
          </w:tcPr>
          <w:p w14:paraId="5249904F"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375</w:t>
            </w:r>
          </w:p>
        </w:tc>
        <w:tc>
          <w:tcPr>
            <w:tcW w:w="922" w:type="dxa"/>
            <w:shd w:val="clear" w:color="auto" w:fill="auto"/>
            <w:vAlign w:val="center"/>
          </w:tcPr>
          <w:p w14:paraId="6B320388"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92%</w:t>
            </w:r>
          </w:p>
        </w:tc>
        <w:tc>
          <w:tcPr>
            <w:tcW w:w="1748" w:type="dxa"/>
            <w:shd w:val="clear" w:color="auto" w:fill="auto"/>
            <w:vAlign w:val="center"/>
          </w:tcPr>
          <w:p w14:paraId="78BE7AA1" w14:textId="5C7155E3"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6</w:t>
            </w:r>
          </w:p>
        </w:tc>
        <w:tc>
          <w:tcPr>
            <w:tcW w:w="983" w:type="dxa"/>
            <w:shd w:val="clear" w:color="auto" w:fill="auto"/>
            <w:vAlign w:val="center"/>
          </w:tcPr>
          <w:p w14:paraId="3E736701" w14:textId="3E93F35C"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2</w:t>
            </w:r>
          </w:p>
        </w:tc>
        <w:tc>
          <w:tcPr>
            <w:tcW w:w="882" w:type="dxa"/>
            <w:vAlign w:val="center"/>
          </w:tcPr>
          <w:p w14:paraId="6C435638"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56</w:t>
            </w:r>
          </w:p>
        </w:tc>
        <w:tc>
          <w:tcPr>
            <w:tcW w:w="922" w:type="dxa"/>
            <w:vAlign w:val="center"/>
          </w:tcPr>
          <w:p w14:paraId="6E4F9FC5" w14:textId="633BB8D7"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95</w:t>
            </w:r>
          </w:p>
        </w:tc>
        <w:tc>
          <w:tcPr>
            <w:tcW w:w="983" w:type="dxa"/>
            <w:vAlign w:val="center"/>
          </w:tcPr>
          <w:p w14:paraId="7FB14B76" w14:textId="7CFA85D4"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3</w:t>
            </w:r>
          </w:p>
        </w:tc>
        <w:tc>
          <w:tcPr>
            <w:tcW w:w="983" w:type="dxa"/>
            <w:vAlign w:val="center"/>
          </w:tcPr>
          <w:p w14:paraId="4FA8FAA8" w14:textId="0185AA45"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2</w:t>
            </w:r>
          </w:p>
        </w:tc>
        <w:tc>
          <w:tcPr>
            <w:tcW w:w="882" w:type="dxa"/>
            <w:vAlign w:val="center"/>
          </w:tcPr>
          <w:p w14:paraId="20A4E490"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2,461</w:t>
            </w:r>
          </w:p>
        </w:tc>
        <w:tc>
          <w:tcPr>
            <w:tcW w:w="922" w:type="dxa"/>
            <w:vAlign w:val="center"/>
          </w:tcPr>
          <w:p w14:paraId="70E12082" w14:textId="1BCD7A0B"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80</w:t>
            </w:r>
          </w:p>
        </w:tc>
        <w:tc>
          <w:tcPr>
            <w:tcW w:w="922" w:type="dxa"/>
            <w:vAlign w:val="center"/>
          </w:tcPr>
          <w:p w14:paraId="07A8FDE9" w14:textId="066B3E6F"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8</w:t>
            </w:r>
          </w:p>
        </w:tc>
        <w:tc>
          <w:tcPr>
            <w:tcW w:w="1640" w:type="dxa"/>
            <w:vAlign w:val="center"/>
          </w:tcPr>
          <w:p w14:paraId="79218FA9"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12%</w:t>
            </w:r>
          </w:p>
        </w:tc>
        <w:tc>
          <w:tcPr>
            <w:tcW w:w="1064" w:type="dxa"/>
            <w:vAlign w:val="center"/>
          </w:tcPr>
          <w:p w14:paraId="17913331"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4</w:t>
            </w:r>
            <w:r>
              <w:rPr>
                <w:rFonts w:asciiTheme="minorHAnsi" w:eastAsia="Times New Roman" w:hAnsiTheme="minorHAnsi" w:cs="Arial"/>
                <w:color w:val="000000"/>
                <w:sz w:val="16"/>
                <w:szCs w:val="16"/>
                <w:lang w:eastAsia="en-AU"/>
              </w:rPr>
              <w:t>,</w:t>
            </w:r>
            <w:r w:rsidRPr="001555F1">
              <w:rPr>
                <w:rFonts w:asciiTheme="minorHAnsi" w:eastAsia="Times New Roman" w:hAnsiTheme="minorHAnsi" w:cs="Arial"/>
                <w:color w:val="000000"/>
                <w:sz w:val="16"/>
                <w:szCs w:val="16"/>
                <w:lang w:eastAsia="en-AU"/>
              </w:rPr>
              <w:t>736</w:t>
            </w:r>
          </w:p>
        </w:tc>
      </w:tr>
      <w:tr w:rsidR="00AF44CC" w:rsidRPr="001555F1" w14:paraId="409079F5" w14:textId="77777777" w:rsidTr="00AF44CC">
        <w:trPr>
          <w:trHeight w:val="454"/>
        </w:trPr>
        <w:tc>
          <w:tcPr>
            <w:tcW w:w="610" w:type="dxa"/>
            <w:shd w:val="clear" w:color="auto" w:fill="auto"/>
            <w:noWrap/>
            <w:vAlign w:val="center"/>
            <w:hideMark/>
          </w:tcPr>
          <w:p w14:paraId="2FEDCE53" w14:textId="77777777" w:rsidR="008C39B7" w:rsidRPr="001555F1" w:rsidRDefault="008C39B7" w:rsidP="00E52A35">
            <w:pPr>
              <w:spacing w:before="100" w:beforeAutospacing="1" w:after="100" w:afterAutospacing="1" w:line="240" w:lineRule="auto"/>
              <w:jc w:val="center"/>
              <w:rPr>
                <w:rFonts w:ascii="Calibri" w:hAnsi="Calibri"/>
                <w:color w:val="000000"/>
                <w:sz w:val="16"/>
                <w:szCs w:val="22"/>
              </w:rPr>
            </w:pPr>
            <w:r w:rsidRPr="001555F1">
              <w:rPr>
                <w:rFonts w:ascii="Calibri" w:hAnsi="Calibri"/>
                <w:color w:val="000000"/>
                <w:sz w:val="16"/>
                <w:szCs w:val="22"/>
              </w:rPr>
              <w:t>13</w:t>
            </w:r>
          </w:p>
        </w:tc>
        <w:tc>
          <w:tcPr>
            <w:tcW w:w="1815" w:type="dxa"/>
            <w:shd w:val="clear" w:color="auto" w:fill="auto"/>
            <w:vAlign w:val="center"/>
            <w:hideMark/>
          </w:tcPr>
          <w:p w14:paraId="51110012" w14:textId="77777777" w:rsidR="008C39B7" w:rsidRPr="001555F1" w:rsidRDefault="008C39B7" w:rsidP="00E52A35">
            <w:pPr>
              <w:spacing w:before="100" w:beforeAutospacing="1" w:after="100" w:afterAutospacing="1" w:line="240" w:lineRule="auto"/>
              <w:jc w:val="center"/>
              <w:rPr>
                <w:rFonts w:ascii="Calibri" w:hAnsi="Calibri"/>
                <w:color w:val="000000"/>
                <w:sz w:val="16"/>
                <w:szCs w:val="22"/>
              </w:rPr>
            </w:pPr>
            <w:r w:rsidRPr="001555F1">
              <w:rPr>
                <w:rFonts w:ascii="Calibri" w:hAnsi="Calibri"/>
                <w:color w:val="000000"/>
                <w:sz w:val="16"/>
                <w:szCs w:val="22"/>
              </w:rPr>
              <w:t xml:space="preserve">Lock 10 to Lock 9 </w:t>
            </w:r>
          </w:p>
        </w:tc>
        <w:tc>
          <w:tcPr>
            <w:tcW w:w="882" w:type="dxa"/>
            <w:shd w:val="clear" w:color="auto" w:fill="auto"/>
            <w:vAlign w:val="center"/>
          </w:tcPr>
          <w:p w14:paraId="143C9C0B"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509</w:t>
            </w:r>
          </w:p>
        </w:tc>
        <w:tc>
          <w:tcPr>
            <w:tcW w:w="922" w:type="dxa"/>
            <w:shd w:val="clear" w:color="auto" w:fill="auto"/>
            <w:vAlign w:val="center"/>
          </w:tcPr>
          <w:p w14:paraId="743AFBE1" w14:textId="25DEFA2B" w:rsidR="008C39B7" w:rsidRPr="001555F1"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95</w:t>
            </w:r>
          </w:p>
        </w:tc>
        <w:tc>
          <w:tcPr>
            <w:tcW w:w="1699" w:type="dxa"/>
            <w:shd w:val="clear" w:color="auto" w:fill="auto"/>
            <w:vAlign w:val="center"/>
          </w:tcPr>
          <w:p w14:paraId="15DDD52F" w14:textId="7668016E"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w:t>
            </w:r>
          </w:p>
        </w:tc>
        <w:tc>
          <w:tcPr>
            <w:tcW w:w="1699" w:type="dxa"/>
            <w:shd w:val="clear" w:color="auto" w:fill="auto"/>
            <w:vAlign w:val="center"/>
          </w:tcPr>
          <w:p w14:paraId="7A483C05" w14:textId="293EC719"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4</w:t>
            </w:r>
          </w:p>
        </w:tc>
        <w:tc>
          <w:tcPr>
            <w:tcW w:w="882" w:type="dxa"/>
            <w:shd w:val="clear" w:color="auto" w:fill="auto"/>
            <w:vAlign w:val="center"/>
          </w:tcPr>
          <w:p w14:paraId="403384C0"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989</w:t>
            </w:r>
          </w:p>
        </w:tc>
        <w:tc>
          <w:tcPr>
            <w:tcW w:w="922" w:type="dxa"/>
            <w:shd w:val="clear" w:color="auto" w:fill="auto"/>
            <w:vAlign w:val="center"/>
          </w:tcPr>
          <w:p w14:paraId="13789A30"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100%</w:t>
            </w:r>
          </w:p>
        </w:tc>
        <w:tc>
          <w:tcPr>
            <w:tcW w:w="1748" w:type="dxa"/>
            <w:shd w:val="clear" w:color="auto" w:fill="auto"/>
            <w:vAlign w:val="center"/>
          </w:tcPr>
          <w:p w14:paraId="14BFCE26" w14:textId="1E931C33"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983" w:type="dxa"/>
            <w:shd w:val="clear" w:color="auto" w:fill="auto"/>
            <w:vAlign w:val="center"/>
          </w:tcPr>
          <w:p w14:paraId="1D544FD0" w14:textId="1141E11E"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882" w:type="dxa"/>
            <w:vAlign w:val="center"/>
          </w:tcPr>
          <w:p w14:paraId="4686A765"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1,096</w:t>
            </w:r>
          </w:p>
        </w:tc>
        <w:tc>
          <w:tcPr>
            <w:tcW w:w="922" w:type="dxa"/>
            <w:vAlign w:val="center"/>
          </w:tcPr>
          <w:p w14:paraId="36D09673" w14:textId="052EFB55" w:rsidR="008C39B7" w:rsidRPr="001555F1" w:rsidRDefault="008C39B7" w:rsidP="009B301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100</w:t>
            </w:r>
          </w:p>
        </w:tc>
        <w:tc>
          <w:tcPr>
            <w:tcW w:w="983" w:type="dxa"/>
            <w:vAlign w:val="center"/>
          </w:tcPr>
          <w:p w14:paraId="7B287B90" w14:textId="6E43C20E"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983" w:type="dxa"/>
            <w:vAlign w:val="center"/>
          </w:tcPr>
          <w:p w14:paraId="5B192F95" w14:textId="113AA729"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882" w:type="dxa"/>
            <w:vAlign w:val="center"/>
          </w:tcPr>
          <w:p w14:paraId="70435319"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1067</w:t>
            </w:r>
          </w:p>
        </w:tc>
        <w:tc>
          <w:tcPr>
            <w:tcW w:w="922" w:type="dxa"/>
            <w:vAlign w:val="center"/>
          </w:tcPr>
          <w:p w14:paraId="61D7DC78" w14:textId="1E53CE3C"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90</w:t>
            </w:r>
          </w:p>
        </w:tc>
        <w:tc>
          <w:tcPr>
            <w:tcW w:w="922" w:type="dxa"/>
            <w:vAlign w:val="center"/>
          </w:tcPr>
          <w:p w14:paraId="3131C122" w14:textId="4A6AC220"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1</w:t>
            </w:r>
          </w:p>
        </w:tc>
        <w:tc>
          <w:tcPr>
            <w:tcW w:w="1640" w:type="dxa"/>
            <w:vAlign w:val="center"/>
          </w:tcPr>
          <w:p w14:paraId="5CCB1183"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8%</w:t>
            </w:r>
          </w:p>
        </w:tc>
        <w:tc>
          <w:tcPr>
            <w:tcW w:w="1064" w:type="dxa"/>
            <w:vAlign w:val="center"/>
          </w:tcPr>
          <w:p w14:paraId="756BB876"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6</w:t>
            </w:r>
          </w:p>
        </w:tc>
      </w:tr>
      <w:tr w:rsidR="00AF44CC" w:rsidRPr="001555F1" w14:paraId="1509DF58" w14:textId="77777777" w:rsidTr="00AF44CC">
        <w:trPr>
          <w:trHeight w:val="454"/>
        </w:trPr>
        <w:tc>
          <w:tcPr>
            <w:tcW w:w="610" w:type="dxa"/>
            <w:shd w:val="clear" w:color="auto" w:fill="auto"/>
            <w:noWrap/>
            <w:vAlign w:val="center"/>
            <w:hideMark/>
          </w:tcPr>
          <w:p w14:paraId="01A385D9" w14:textId="77777777" w:rsidR="008C39B7" w:rsidRPr="001555F1" w:rsidRDefault="008C39B7" w:rsidP="00E52A35">
            <w:pPr>
              <w:spacing w:before="100" w:beforeAutospacing="1" w:after="100" w:afterAutospacing="1" w:line="240" w:lineRule="auto"/>
              <w:jc w:val="center"/>
              <w:rPr>
                <w:rFonts w:ascii="Calibri" w:hAnsi="Calibri"/>
                <w:color w:val="000000"/>
                <w:sz w:val="16"/>
                <w:szCs w:val="22"/>
              </w:rPr>
            </w:pPr>
            <w:r w:rsidRPr="001555F1">
              <w:rPr>
                <w:rFonts w:ascii="Calibri" w:hAnsi="Calibri"/>
                <w:color w:val="000000"/>
                <w:sz w:val="16"/>
                <w:szCs w:val="22"/>
              </w:rPr>
              <w:t>14</w:t>
            </w:r>
          </w:p>
        </w:tc>
        <w:tc>
          <w:tcPr>
            <w:tcW w:w="1815" w:type="dxa"/>
            <w:shd w:val="clear" w:color="auto" w:fill="auto"/>
            <w:vAlign w:val="center"/>
            <w:hideMark/>
          </w:tcPr>
          <w:p w14:paraId="79528123" w14:textId="77777777" w:rsidR="008C39B7" w:rsidRPr="001555F1" w:rsidRDefault="008C39B7" w:rsidP="00E52A35">
            <w:pPr>
              <w:spacing w:before="100" w:beforeAutospacing="1" w:after="100" w:afterAutospacing="1" w:line="240" w:lineRule="auto"/>
              <w:jc w:val="center"/>
              <w:rPr>
                <w:rFonts w:ascii="Calibri" w:hAnsi="Calibri"/>
                <w:color w:val="000000"/>
                <w:sz w:val="16"/>
                <w:szCs w:val="22"/>
              </w:rPr>
            </w:pPr>
            <w:r w:rsidRPr="001555F1">
              <w:rPr>
                <w:rFonts w:ascii="Calibri" w:hAnsi="Calibri"/>
                <w:color w:val="000000"/>
                <w:sz w:val="16"/>
                <w:szCs w:val="22"/>
              </w:rPr>
              <w:t>Lock 9 to Lock 8</w:t>
            </w:r>
          </w:p>
        </w:tc>
        <w:tc>
          <w:tcPr>
            <w:tcW w:w="882" w:type="dxa"/>
            <w:shd w:val="clear" w:color="auto" w:fill="auto"/>
            <w:vAlign w:val="center"/>
          </w:tcPr>
          <w:p w14:paraId="6D311B77"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493</w:t>
            </w:r>
          </w:p>
        </w:tc>
        <w:tc>
          <w:tcPr>
            <w:tcW w:w="922" w:type="dxa"/>
            <w:shd w:val="clear" w:color="auto" w:fill="auto"/>
            <w:vAlign w:val="center"/>
          </w:tcPr>
          <w:p w14:paraId="0FF7A470" w14:textId="4E270B48" w:rsidR="008C39B7" w:rsidRPr="001555F1"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89</w:t>
            </w:r>
          </w:p>
        </w:tc>
        <w:tc>
          <w:tcPr>
            <w:tcW w:w="1699" w:type="dxa"/>
            <w:shd w:val="clear" w:color="auto" w:fill="auto"/>
            <w:vAlign w:val="center"/>
          </w:tcPr>
          <w:p w14:paraId="2A6C0813" w14:textId="0F0BDEB6"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3</w:t>
            </w:r>
          </w:p>
        </w:tc>
        <w:tc>
          <w:tcPr>
            <w:tcW w:w="1699" w:type="dxa"/>
            <w:shd w:val="clear" w:color="auto" w:fill="auto"/>
            <w:vAlign w:val="center"/>
          </w:tcPr>
          <w:p w14:paraId="0D7E7AE6" w14:textId="6868DD66"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8</w:t>
            </w:r>
          </w:p>
        </w:tc>
        <w:tc>
          <w:tcPr>
            <w:tcW w:w="882" w:type="dxa"/>
            <w:shd w:val="clear" w:color="auto" w:fill="auto"/>
            <w:vAlign w:val="center"/>
          </w:tcPr>
          <w:p w14:paraId="483D93A9"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202</w:t>
            </w:r>
          </w:p>
        </w:tc>
        <w:tc>
          <w:tcPr>
            <w:tcW w:w="922" w:type="dxa"/>
            <w:shd w:val="clear" w:color="auto" w:fill="auto"/>
            <w:vAlign w:val="center"/>
          </w:tcPr>
          <w:p w14:paraId="7D568685"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100%</w:t>
            </w:r>
          </w:p>
        </w:tc>
        <w:tc>
          <w:tcPr>
            <w:tcW w:w="1748" w:type="dxa"/>
            <w:shd w:val="clear" w:color="auto" w:fill="auto"/>
            <w:vAlign w:val="center"/>
          </w:tcPr>
          <w:p w14:paraId="7B738B22" w14:textId="798E0D70"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983" w:type="dxa"/>
            <w:shd w:val="clear" w:color="auto" w:fill="auto"/>
            <w:vAlign w:val="center"/>
          </w:tcPr>
          <w:p w14:paraId="1AAD8A12" w14:textId="0FDEA20C"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882" w:type="dxa"/>
            <w:vAlign w:val="center"/>
          </w:tcPr>
          <w:p w14:paraId="0E968B9D"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108</w:t>
            </w:r>
          </w:p>
        </w:tc>
        <w:tc>
          <w:tcPr>
            <w:tcW w:w="922" w:type="dxa"/>
            <w:vAlign w:val="center"/>
          </w:tcPr>
          <w:p w14:paraId="4076CCEB" w14:textId="3FBFDC84"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100</w:t>
            </w:r>
          </w:p>
        </w:tc>
        <w:tc>
          <w:tcPr>
            <w:tcW w:w="983" w:type="dxa"/>
            <w:vAlign w:val="center"/>
          </w:tcPr>
          <w:p w14:paraId="28A026C5" w14:textId="0366FED7"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983" w:type="dxa"/>
            <w:vAlign w:val="center"/>
          </w:tcPr>
          <w:p w14:paraId="22FC0D6A" w14:textId="2A6CE469"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882" w:type="dxa"/>
            <w:vAlign w:val="center"/>
          </w:tcPr>
          <w:p w14:paraId="3A9B57AD"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996</w:t>
            </w:r>
          </w:p>
        </w:tc>
        <w:tc>
          <w:tcPr>
            <w:tcW w:w="922" w:type="dxa"/>
            <w:vAlign w:val="center"/>
          </w:tcPr>
          <w:p w14:paraId="747F5C37" w14:textId="0D0FC3DC"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87</w:t>
            </w:r>
          </w:p>
        </w:tc>
        <w:tc>
          <w:tcPr>
            <w:tcW w:w="922" w:type="dxa"/>
            <w:vAlign w:val="center"/>
          </w:tcPr>
          <w:p w14:paraId="5501980D" w14:textId="0B4E72B3"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2</w:t>
            </w:r>
          </w:p>
        </w:tc>
        <w:tc>
          <w:tcPr>
            <w:tcW w:w="1640" w:type="dxa"/>
            <w:vAlign w:val="center"/>
          </w:tcPr>
          <w:p w14:paraId="3932FE1E"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10%</w:t>
            </w:r>
          </w:p>
        </w:tc>
        <w:tc>
          <w:tcPr>
            <w:tcW w:w="1064" w:type="dxa"/>
            <w:vAlign w:val="center"/>
          </w:tcPr>
          <w:p w14:paraId="744BA51A"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0</w:t>
            </w:r>
          </w:p>
        </w:tc>
      </w:tr>
      <w:tr w:rsidR="00AF44CC" w:rsidRPr="001555F1" w14:paraId="34C05510" w14:textId="77777777" w:rsidTr="00AF44CC">
        <w:trPr>
          <w:trHeight w:val="454"/>
        </w:trPr>
        <w:tc>
          <w:tcPr>
            <w:tcW w:w="610" w:type="dxa"/>
            <w:shd w:val="clear" w:color="auto" w:fill="auto"/>
            <w:noWrap/>
            <w:vAlign w:val="center"/>
            <w:hideMark/>
          </w:tcPr>
          <w:p w14:paraId="36C9E10D" w14:textId="77777777" w:rsidR="008C39B7" w:rsidRPr="001555F1" w:rsidRDefault="008C39B7" w:rsidP="00E52A35">
            <w:pPr>
              <w:spacing w:before="100" w:beforeAutospacing="1" w:after="100" w:afterAutospacing="1" w:line="240" w:lineRule="auto"/>
              <w:jc w:val="center"/>
              <w:rPr>
                <w:rFonts w:ascii="Calibri" w:hAnsi="Calibri"/>
                <w:color w:val="000000"/>
                <w:sz w:val="16"/>
                <w:szCs w:val="22"/>
              </w:rPr>
            </w:pPr>
            <w:r w:rsidRPr="001555F1">
              <w:rPr>
                <w:rFonts w:ascii="Calibri" w:hAnsi="Calibri"/>
                <w:color w:val="000000"/>
                <w:sz w:val="16"/>
                <w:szCs w:val="22"/>
              </w:rPr>
              <w:t>15</w:t>
            </w:r>
          </w:p>
        </w:tc>
        <w:tc>
          <w:tcPr>
            <w:tcW w:w="1815" w:type="dxa"/>
            <w:shd w:val="clear" w:color="auto" w:fill="auto"/>
            <w:vAlign w:val="center"/>
            <w:hideMark/>
          </w:tcPr>
          <w:p w14:paraId="79CB7E65" w14:textId="77777777" w:rsidR="008C39B7" w:rsidRPr="001555F1" w:rsidRDefault="008C39B7" w:rsidP="00E52A35">
            <w:pPr>
              <w:spacing w:before="100" w:beforeAutospacing="1" w:after="100" w:afterAutospacing="1" w:line="240" w:lineRule="auto"/>
              <w:jc w:val="center"/>
              <w:rPr>
                <w:rFonts w:ascii="Calibri" w:hAnsi="Calibri"/>
                <w:color w:val="000000"/>
                <w:sz w:val="16"/>
                <w:szCs w:val="22"/>
              </w:rPr>
            </w:pPr>
            <w:r w:rsidRPr="001555F1">
              <w:rPr>
                <w:rFonts w:ascii="Calibri" w:hAnsi="Calibri"/>
                <w:color w:val="000000"/>
                <w:sz w:val="16"/>
                <w:szCs w:val="22"/>
              </w:rPr>
              <w:t>Lock 8 to Lock 7</w:t>
            </w:r>
          </w:p>
        </w:tc>
        <w:tc>
          <w:tcPr>
            <w:tcW w:w="882" w:type="dxa"/>
            <w:shd w:val="clear" w:color="auto" w:fill="auto"/>
            <w:vAlign w:val="center"/>
          </w:tcPr>
          <w:p w14:paraId="0EBCDE42"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612</w:t>
            </w:r>
          </w:p>
        </w:tc>
        <w:tc>
          <w:tcPr>
            <w:tcW w:w="922" w:type="dxa"/>
            <w:shd w:val="clear" w:color="auto" w:fill="auto"/>
            <w:vAlign w:val="center"/>
          </w:tcPr>
          <w:p w14:paraId="7EA73D4D" w14:textId="2EEA006A" w:rsidR="008C39B7" w:rsidRPr="001555F1"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91</w:t>
            </w:r>
          </w:p>
        </w:tc>
        <w:tc>
          <w:tcPr>
            <w:tcW w:w="1699" w:type="dxa"/>
            <w:shd w:val="clear" w:color="auto" w:fill="auto"/>
            <w:vAlign w:val="center"/>
          </w:tcPr>
          <w:p w14:paraId="70E79D12" w14:textId="556BA86F"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4</w:t>
            </w:r>
          </w:p>
        </w:tc>
        <w:tc>
          <w:tcPr>
            <w:tcW w:w="1699" w:type="dxa"/>
            <w:shd w:val="clear" w:color="auto" w:fill="auto"/>
            <w:vAlign w:val="center"/>
          </w:tcPr>
          <w:p w14:paraId="00819D2D" w14:textId="1A0291A9"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5</w:t>
            </w:r>
          </w:p>
        </w:tc>
        <w:tc>
          <w:tcPr>
            <w:tcW w:w="882" w:type="dxa"/>
            <w:shd w:val="clear" w:color="auto" w:fill="auto"/>
            <w:vAlign w:val="center"/>
          </w:tcPr>
          <w:p w14:paraId="07776E8A"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94</w:t>
            </w:r>
          </w:p>
        </w:tc>
        <w:tc>
          <w:tcPr>
            <w:tcW w:w="922" w:type="dxa"/>
            <w:shd w:val="clear" w:color="auto" w:fill="auto"/>
            <w:vAlign w:val="center"/>
          </w:tcPr>
          <w:p w14:paraId="0BD8578A"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97%</w:t>
            </w:r>
          </w:p>
        </w:tc>
        <w:tc>
          <w:tcPr>
            <w:tcW w:w="1748" w:type="dxa"/>
            <w:shd w:val="clear" w:color="auto" w:fill="auto"/>
            <w:vAlign w:val="center"/>
          </w:tcPr>
          <w:p w14:paraId="05A2F8FA" w14:textId="62BDE5FD"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2</w:t>
            </w:r>
          </w:p>
        </w:tc>
        <w:tc>
          <w:tcPr>
            <w:tcW w:w="983" w:type="dxa"/>
            <w:shd w:val="clear" w:color="auto" w:fill="auto"/>
            <w:vAlign w:val="center"/>
          </w:tcPr>
          <w:p w14:paraId="5836549D" w14:textId="46C0C347"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882" w:type="dxa"/>
            <w:vAlign w:val="center"/>
          </w:tcPr>
          <w:p w14:paraId="3758FFA9"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168</w:t>
            </w:r>
          </w:p>
        </w:tc>
        <w:tc>
          <w:tcPr>
            <w:tcW w:w="922" w:type="dxa"/>
            <w:vAlign w:val="center"/>
          </w:tcPr>
          <w:p w14:paraId="6C54D8D9" w14:textId="24C7B8BF"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100</w:t>
            </w:r>
          </w:p>
        </w:tc>
        <w:tc>
          <w:tcPr>
            <w:tcW w:w="983" w:type="dxa"/>
            <w:vAlign w:val="center"/>
          </w:tcPr>
          <w:p w14:paraId="0E0FF09A" w14:textId="5C44181A"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983" w:type="dxa"/>
            <w:vAlign w:val="center"/>
          </w:tcPr>
          <w:p w14:paraId="148DE97D" w14:textId="7EBFE5AB"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882" w:type="dxa"/>
            <w:vAlign w:val="center"/>
          </w:tcPr>
          <w:p w14:paraId="234313F7"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580</w:t>
            </w:r>
          </w:p>
        </w:tc>
        <w:tc>
          <w:tcPr>
            <w:tcW w:w="922" w:type="dxa"/>
            <w:vAlign w:val="center"/>
          </w:tcPr>
          <w:p w14:paraId="5F619D01" w14:textId="265D72D8"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83</w:t>
            </w:r>
          </w:p>
        </w:tc>
        <w:tc>
          <w:tcPr>
            <w:tcW w:w="922" w:type="dxa"/>
            <w:vAlign w:val="center"/>
          </w:tcPr>
          <w:p w14:paraId="3ED12AFF" w14:textId="30D642E1"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4</w:t>
            </w:r>
          </w:p>
        </w:tc>
        <w:tc>
          <w:tcPr>
            <w:tcW w:w="1640" w:type="dxa"/>
            <w:vAlign w:val="center"/>
          </w:tcPr>
          <w:p w14:paraId="796B473C"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13%</w:t>
            </w:r>
          </w:p>
        </w:tc>
        <w:tc>
          <w:tcPr>
            <w:tcW w:w="1064" w:type="dxa"/>
            <w:vAlign w:val="center"/>
          </w:tcPr>
          <w:p w14:paraId="2398B765"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0</w:t>
            </w:r>
          </w:p>
        </w:tc>
      </w:tr>
      <w:tr w:rsidR="00AF44CC" w:rsidRPr="001555F1" w14:paraId="481DDE93" w14:textId="77777777" w:rsidTr="00AF44CC">
        <w:trPr>
          <w:trHeight w:val="454"/>
        </w:trPr>
        <w:tc>
          <w:tcPr>
            <w:tcW w:w="610" w:type="dxa"/>
            <w:shd w:val="clear" w:color="auto" w:fill="auto"/>
            <w:noWrap/>
            <w:vAlign w:val="center"/>
            <w:hideMark/>
          </w:tcPr>
          <w:p w14:paraId="518C2991" w14:textId="77777777" w:rsidR="008C39B7" w:rsidRPr="001555F1" w:rsidRDefault="008C39B7" w:rsidP="00E52A35">
            <w:pPr>
              <w:spacing w:before="100" w:beforeAutospacing="1" w:after="100" w:afterAutospacing="1" w:line="240" w:lineRule="auto"/>
              <w:jc w:val="center"/>
              <w:rPr>
                <w:rFonts w:ascii="Calibri" w:hAnsi="Calibri"/>
                <w:color w:val="000000"/>
                <w:sz w:val="16"/>
                <w:szCs w:val="22"/>
              </w:rPr>
            </w:pPr>
            <w:r w:rsidRPr="001555F1">
              <w:rPr>
                <w:rFonts w:ascii="Calibri" w:hAnsi="Calibri"/>
                <w:color w:val="000000"/>
                <w:sz w:val="16"/>
                <w:szCs w:val="22"/>
              </w:rPr>
              <w:t>16</w:t>
            </w:r>
          </w:p>
        </w:tc>
        <w:tc>
          <w:tcPr>
            <w:tcW w:w="1815" w:type="dxa"/>
            <w:shd w:val="clear" w:color="auto" w:fill="auto"/>
            <w:vAlign w:val="center"/>
            <w:hideMark/>
          </w:tcPr>
          <w:p w14:paraId="092388F4" w14:textId="77777777" w:rsidR="008C39B7" w:rsidRPr="001555F1" w:rsidRDefault="008C39B7" w:rsidP="00E52A35">
            <w:pPr>
              <w:spacing w:before="100" w:beforeAutospacing="1" w:after="100" w:afterAutospacing="1" w:line="240" w:lineRule="auto"/>
              <w:jc w:val="center"/>
              <w:rPr>
                <w:rFonts w:ascii="Calibri" w:hAnsi="Calibri"/>
                <w:color w:val="000000"/>
                <w:sz w:val="16"/>
                <w:szCs w:val="22"/>
              </w:rPr>
            </w:pPr>
            <w:r w:rsidRPr="001555F1">
              <w:rPr>
                <w:rFonts w:ascii="Calibri" w:hAnsi="Calibri"/>
                <w:color w:val="000000"/>
                <w:sz w:val="16"/>
                <w:szCs w:val="22"/>
              </w:rPr>
              <w:t xml:space="preserve">Lock 7 to Lock 6 </w:t>
            </w:r>
          </w:p>
        </w:tc>
        <w:tc>
          <w:tcPr>
            <w:tcW w:w="882" w:type="dxa"/>
            <w:shd w:val="clear" w:color="auto" w:fill="auto"/>
            <w:vAlign w:val="center"/>
          </w:tcPr>
          <w:p w14:paraId="3349B3FC"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1,720</w:t>
            </w:r>
          </w:p>
        </w:tc>
        <w:tc>
          <w:tcPr>
            <w:tcW w:w="922" w:type="dxa"/>
            <w:shd w:val="clear" w:color="auto" w:fill="auto"/>
            <w:vAlign w:val="center"/>
          </w:tcPr>
          <w:p w14:paraId="2D8A9EFE" w14:textId="5B9F0CD7" w:rsidR="008C39B7" w:rsidRPr="001555F1"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93</w:t>
            </w:r>
          </w:p>
        </w:tc>
        <w:tc>
          <w:tcPr>
            <w:tcW w:w="1699" w:type="dxa"/>
            <w:shd w:val="clear" w:color="auto" w:fill="auto"/>
            <w:vAlign w:val="center"/>
          </w:tcPr>
          <w:p w14:paraId="3A0244F3" w14:textId="1E298CA2"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w:t>
            </w:r>
          </w:p>
        </w:tc>
        <w:tc>
          <w:tcPr>
            <w:tcW w:w="1699" w:type="dxa"/>
            <w:shd w:val="clear" w:color="auto" w:fill="auto"/>
            <w:vAlign w:val="center"/>
          </w:tcPr>
          <w:p w14:paraId="041BED7B" w14:textId="6F9AC0AE"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6</w:t>
            </w:r>
          </w:p>
        </w:tc>
        <w:tc>
          <w:tcPr>
            <w:tcW w:w="882" w:type="dxa"/>
            <w:shd w:val="clear" w:color="auto" w:fill="auto"/>
            <w:vAlign w:val="center"/>
          </w:tcPr>
          <w:p w14:paraId="3E723AEF"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1,213</w:t>
            </w:r>
          </w:p>
        </w:tc>
        <w:tc>
          <w:tcPr>
            <w:tcW w:w="922" w:type="dxa"/>
            <w:shd w:val="clear" w:color="auto" w:fill="auto"/>
            <w:vAlign w:val="center"/>
          </w:tcPr>
          <w:p w14:paraId="3F4BC5F4"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88%</w:t>
            </w:r>
          </w:p>
        </w:tc>
        <w:tc>
          <w:tcPr>
            <w:tcW w:w="1748" w:type="dxa"/>
            <w:shd w:val="clear" w:color="auto" w:fill="auto"/>
            <w:vAlign w:val="center"/>
          </w:tcPr>
          <w:p w14:paraId="58F60764" w14:textId="3125656F" w:rsidR="008C39B7" w:rsidRPr="001555F1" w:rsidRDefault="009B3015" w:rsidP="009B301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11</w:t>
            </w:r>
          </w:p>
        </w:tc>
        <w:tc>
          <w:tcPr>
            <w:tcW w:w="983" w:type="dxa"/>
            <w:shd w:val="clear" w:color="auto" w:fill="auto"/>
            <w:vAlign w:val="center"/>
          </w:tcPr>
          <w:p w14:paraId="71867ACA" w14:textId="49A29B7D"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1</w:t>
            </w:r>
          </w:p>
        </w:tc>
        <w:tc>
          <w:tcPr>
            <w:tcW w:w="882" w:type="dxa"/>
            <w:vAlign w:val="center"/>
          </w:tcPr>
          <w:p w14:paraId="4F219410"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1,516</w:t>
            </w:r>
          </w:p>
        </w:tc>
        <w:tc>
          <w:tcPr>
            <w:tcW w:w="922" w:type="dxa"/>
            <w:vAlign w:val="center"/>
          </w:tcPr>
          <w:p w14:paraId="563A0D3E" w14:textId="3C50F4EA"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98</w:t>
            </w:r>
          </w:p>
        </w:tc>
        <w:tc>
          <w:tcPr>
            <w:tcW w:w="983" w:type="dxa"/>
            <w:vAlign w:val="center"/>
          </w:tcPr>
          <w:p w14:paraId="0C1ADECA" w14:textId="0DF7C333"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2</w:t>
            </w:r>
          </w:p>
        </w:tc>
        <w:tc>
          <w:tcPr>
            <w:tcW w:w="983" w:type="dxa"/>
            <w:vAlign w:val="center"/>
          </w:tcPr>
          <w:p w14:paraId="7DE1A7FF" w14:textId="4015E978"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1</w:t>
            </w:r>
          </w:p>
        </w:tc>
        <w:tc>
          <w:tcPr>
            <w:tcW w:w="882" w:type="dxa"/>
            <w:vAlign w:val="center"/>
          </w:tcPr>
          <w:p w14:paraId="54F6DFD1"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1,720</w:t>
            </w:r>
          </w:p>
        </w:tc>
        <w:tc>
          <w:tcPr>
            <w:tcW w:w="922" w:type="dxa"/>
            <w:vAlign w:val="center"/>
          </w:tcPr>
          <w:p w14:paraId="1DF52A46" w14:textId="5A788CB7"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84</w:t>
            </w:r>
          </w:p>
        </w:tc>
        <w:tc>
          <w:tcPr>
            <w:tcW w:w="922" w:type="dxa"/>
            <w:vAlign w:val="center"/>
          </w:tcPr>
          <w:p w14:paraId="61636EA2" w14:textId="279354F1"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4</w:t>
            </w:r>
          </w:p>
        </w:tc>
        <w:tc>
          <w:tcPr>
            <w:tcW w:w="1640" w:type="dxa"/>
            <w:vAlign w:val="center"/>
          </w:tcPr>
          <w:p w14:paraId="3E982753"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12%</w:t>
            </w:r>
          </w:p>
        </w:tc>
        <w:tc>
          <w:tcPr>
            <w:tcW w:w="1064" w:type="dxa"/>
            <w:vAlign w:val="center"/>
          </w:tcPr>
          <w:p w14:paraId="6E297943"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0</w:t>
            </w:r>
          </w:p>
        </w:tc>
      </w:tr>
      <w:tr w:rsidR="00AF44CC" w:rsidRPr="001555F1" w14:paraId="164438D2" w14:textId="77777777" w:rsidTr="00AF44CC">
        <w:trPr>
          <w:trHeight w:val="454"/>
        </w:trPr>
        <w:tc>
          <w:tcPr>
            <w:tcW w:w="610" w:type="dxa"/>
            <w:shd w:val="clear" w:color="auto" w:fill="auto"/>
            <w:noWrap/>
            <w:vAlign w:val="center"/>
          </w:tcPr>
          <w:p w14:paraId="3CF08226" w14:textId="77777777" w:rsidR="008C39B7" w:rsidRPr="001555F1" w:rsidRDefault="008C39B7" w:rsidP="00E52A35">
            <w:pPr>
              <w:spacing w:before="100" w:beforeAutospacing="1" w:after="100" w:afterAutospacing="1" w:line="240" w:lineRule="auto"/>
              <w:jc w:val="center"/>
              <w:rPr>
                <w:rFonts w:ascii="Calibri" w:hAnsi="Calibri"/>
                <w:color w:val="000000"/>
                <w:sz w:val="16"/>
                <w:szCs w:val="22"/>
              </w:rPr>
            </w:pPr>
            <w:r w:rsidRPr="001555F1">
              <w:rPr>
                <w:rFonts w:ascii="Calibri" w:hAnsi="Calibri"/>
                <w:color w:val="000000"/>
                <w:sz w:val="16"/>
                <w:szCs w:val="22"/>
              </w:rPr>
              <w:t>17</w:t>
            </w:r>
          </w:p>
        </w:tc>
        <w:tc>
          <w:tcPr>
            <w:tcW w:w="1815" w:type="dxa"/>
            <w:shd w:val="clear" w:color="auto" w:fill="auto"/>
            <w:vAlign w:val="center"/>
          </w:tcPr>
          <w:p w14:paraId="71BDAFFD" w14:textId="77777777" w:rsidR="008C39B7" w:rsidRPr="001555F1" w:rsidRDefault="008C39B7" w:rsidP="00E52A35">
            <w:pPr>
              <w:spacing w:before="100" w:beforeAutospacing="1" w:after="100" w:afterAutospacing="1" w:line="240" w:lineRule="auto"/>
              <w:jc w:val="center"/>
              <w:rPr>
                <w:rFonts w:ascii="Calibri" w:hAnsi="Calibri"/>
                <w:color w:val="000000"/>
                <w:sz w:val="16"/>
                <w:szCs w:val="22"/>
              </w:rPr>
            </w:pPr>
            <w:r w:rsidRPr="001555F1">
              <w:rPr>
                <w:rFonts w:ascii="Calibri" w:hAnsi="Calibri"/>
                <w:color w:val="000000"/>
                <w:sz w:val="16"/>
                <w:szCs w:val="22"/>
              </w:rPr>
              <w:t xml:space="preserve">Lock 6 to Lock 5 </w:t>
            </w:r>
          </w:p>
        </w:tc>
        <w:tc>
          <w:tcPr>
            <w:tcW w:w="882" w:type="dxa"/>
            <w:shd w:val="clear" w:color="auto" w:fill="auto"/>
            <w:vAlign w:val="center"/>
          </w:tcPr>
          <w:p w14:paraId="151561FE"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22</w:t>
            </w:r>
          </w:p>
        </w:tc>
        <w:tc>
          <w:tcPr>
            <w:tcW w:w="922" w:type="dxa"/>
            <w:shd w:val="clear" w:color="auto" w:fill="auto"/>
            <w:vAlign w:val="center"/>
          </w:tcPr>
          <w:p w14:paraId="705D0218" w14:textId="7BB8A43D" w:rsidR="008C39B7" w:rsidRPr="001555F1"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82</w:t>
            </w:r>
          </w:p>
        </w:tc>
        <w:tc>
          <w:tcPr>
            <w:tcW w:w="1699" w:type="dxa"/>
            <w:shd w:val="clear" w:color="auto" w:fill="auto"/>
            <w:vAlign w:val="center"/>
          </w:tcPr>
          <w:p w14:paraId="3B265518" w14:textId="3B04E251"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17</w:t>
            </w:r>
          </w:p>
        </w:tc>
        <w:tc>
          <w:tcPr>
            <w:tcW w:w="1699" w:type="dxa"/>
            <w:shd w:val="clear" w:color="auto" w:fill="auto"/>
            <w:vAlign w:val="center"/>
          </w:tcPr>
          <w:p w14:paraId="489B55A8" w14:textId="1EDECD92"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w:t>
            </w:r>
          </w:p>
        </w:tc>
        <w:tc>
          <w:tcPr>
            <w:tcW w:w="882" w:type="dxa"/>
            <w:shd w:val="clear" w:color="auto" w:fill="auto"/>
            <w:vAlign w:val="center"/>
          </w:tcPr>
          <w:p w14:paraId="0A31E301"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162</w:t>
            </w:r>
          </w:p>
        </w:tc>
        <w:tc>
          <w:tcPr>
            <w:tcW w:w="922" w:type="dxa"/>
            <w:shd w:val="clear" w:color="auto" w:fill="auto"/>
            <w:vAlign w:val="center"/>
          </w:tcPr>
          <w:p w14:paraId="36DE5017"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100%</w:t>
            </w:r>
          </w:p>
        </w:tc>
        <w:tc>
          <w:tcPr>
            <w:tcW w:w="1748" w:type="dxa"/>
            <w:shd w:val="clear" w:color="auto" w:fill="auto"/>
            <w:vAlign w:val="center"/>
          </w:tcPr>
          <w:p w14:paraId="09B35B13" w14:textId="61E218A5"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983" w:type="dxa"/>
            <w:shd w:val="clear" w:color="auto" w:fill="auto"/>
            <w:vAlign w:val="center"/>
          </w:tcPr>
          <w:p w14:paraId="40B99DC7" w14:textId="288BB421"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882" w:type="dxa"/>
            <w:vAlign w:val="center"/>
          </w:tcPr>
          <w:p w14:paraId="2BE6A5C6"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29</w:t>
            </w:r>
          </w:p>
        </w:tc>
        <w:tc>
          <w:tcPr>
            <w:tcW w:w="922" w:type="dxa"/>
            <w:vAlign w:val="center"/>
          </w:tcPr>
          <w:p w14:paraId="4A726589" w14:textId="3C3A4B71" w:rsidR="008C39B7" w:rsidRPr="001555F1" w:rsidRDefault="009B3015" w:rsidP="009B301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100</w:t>
            </w:r>
          </w:p>
        </w:tc>
        <w:tc>
          <w:tcPr>
            <w:tcW w:w="983" w:type="dxa"/>
            <w:vAlign w:val="center"/>
          </w:tcPr>
          <w:p w14:paraId="21AE12FC" w14:textId="584790C8"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983" w:type="dxa"/>
            <w:vAlign w:val="center"/>
          </w:tcPr>
          <w:p w14:paraId="2E1B1BB3" w14:textId="5C30BCA0"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882" w:type="dxa"/>
            <w:vAlign w:val="center"/>
          </w:tcPr>
          <w:p w14:paraId="610266CF"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190</w:t>
            </w:r>
          </w:p>
        </w:tc>
        <w:tc>
          <w:tcPr>
            <w:tcW w:w="922" w:type="dxa"/>
            <w:vAlign w:val="center"/>
          </w:tcPr>
          <w:p w14:paraId="342F09A9" w14:textId="72790EEB"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95</w:t>
            </w:r>
          </w:p>
        </w:tc>
        <w:tc>
          <w:tcPr>
            <w:tcW w:w="922" w:type="dxa"/>
            <w:vAlign w:val="center"/>
          </w:tcPr>
          <w:p w14:paraId="0B9278E8" w14:textId="42691236"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2</w:t>
            </w:r>
          </w:p>
        </w:tc>
        <w:tc>
          <w:tcPr>
            <w:tcW w:w="1640" w:type="dxa"/>
            <w:vAlign w:val="center"/>
          </w:tcPr>
          <w:p w14:paraId="0D350DF6"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3%</w:t>
            </w:r>
          </w:p>
        </w:tc>
        <w:tc>
          <w:tcPr>
            <w:tcW w:w="1064" w:type="dxa"/>
            <w:vAlign w:val="center"/>
          </w:tcPr>
          <w:p w14:paraId="47655A41"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108</w:t>
            </w:r>
          </w:p>
        </w:tc>
      </w:tr>
      <w:tr w:rsidR="00AF44CC" w:rsidRPr="001555F1" w14:paraId="4BCBC74F" w14:textId="77777777" w:rsidTr="00AF44CC">
        <w:trPr>
          <w:trHeight w:val="454"/>
        </w:trPr>
        <w:tc>
          <w:tcPr>
            <w:tcW w:w="610" w:type="dxa"/>
            <w:shd w:val="clear" w:color="auto" w:fill="auto"/>
            <w:noWrap/>
            <w:vAlign w:val="center"/>
          </w:tcPr>
          <w:p w14:paraId="52449586" w14:textId="77777777" w:rsidR="008C39B7" w:rsidRPr="001555F1" w:rsidRDefault="008C39B7" w:rsidP="00E52A35">
            <w:pPr>
              <w:spacing w:before="100" w:beforeAutospacing="1" w:after="100" w:afterAutospacing="1" w:line="240" w:lineRule="auto"/>
              <w:jc w:val="center"/>
              <w:rPr>
                <w:rFonts w:ascii="Calibri" w:hAnsi="Calibri"/>
                <w:color w:val="000000"/>
                <w:sz w:val="16"/>
                <w:szCs w:val="22"/>
              </w:rPr>
            </w:pPr>
            <w:r w:rsidRPr="001555F1">
              <w:rPr>
                <w:rFonts w:ascii="Calibri" w:hAnsi="Calibri"/>
                <w:color w:val="000000"/>
                <w:sz w:val="16"/>
                <w:szCs w:val="22"/>
              </w:rPr>
              <w:t>18</w:t>
            </w:r>
          </w:p>
        </w:tc>
        <w:tc>
          <w:tcPr>
            <w:tcW w:w="1815" w:type="dxa"/>
            <w:shd w:val="clear" w:color="auto" w:fill="auto"/>
            <w:vAlign w:val="center"/>
          </w:tcPr>
          <w:p w14:paraId="2C29093A" w14:textId="77777777" w:rsidR="008C39B7" w:rsidRPr="001555F1" w:rsidRDefault="008C39B7" w:rsidP="00E52A35">
            <w:pPr>
              <w:spacing w:before="100" w:beforeAutospacing="1" w:after="100" w:afterAutospacing="1" w:line="240" w:lineRule="auto"/>
              <w:jc w:val="center"/>
              <w:rPr>
                <w:rFonts w:ascii="Calibri" w:hAnsi="Calibri"/>
                <w:color w:val="000000"/>
                <w:sz w:val="16"/>
                <w:szCs w:val="22"/>
              </w:rPr>
            </w:pPr>
            <w:r w:rsidRPr="001555F1">
              <w:rPr>
                <w:rFonts w:ascii="Calibri" w:hAnsi="Calibri"/>
                <w:color w:val="000000"/>
                <w:sz w:val="16"/>
                <w:szCs w:val="22"/>
              </w:rPr>
              <w:t xml:space="preserve">Lock 5 to Lock 4 </w:t>
            </w:r>
          </w:p>
        </w:tc>
        <w:tc>
          <w:tcPr>
            <w:tcW w:w="882" w:type="dxa"/>
            <w:shd w:val="clear" w:color="auto" w:fill="auto"/>
            <w:vAlign w:val="center"/>
          </w:tcPr>
          <w:p w14:paraId="3D53BDDA"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208</w:t>
            </w:r>
          </w:p>
        </w:tc>
        <w:tc>
          <w:tcPr>
            <w:tcW w:w="922" w:type="dxa"/>
            <w:shd w:val="clear" w:color="auto" w:fill="auto"/>
            <w:vAlign w:val="center"/>
          </w:tcPr>
          <w:p w14:paraId="50A72E7C" w14:textId="0915415E" w:rsidR="008C39B7" w:rsidRPr="001555F1" w:rsidRDefault="00EB10D3"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77</w:t>
            </w:r>
          </w:p>
        </w:tc>
        <w:tc>
          <w:tcPr>
            <w:tcW w:w="1699" w:type="dxa"/>
            <w:shd w:val="clear" w:color="auto" w:fill="auto"/>
            <w:vAlign w:val="center"/>
          </w:tcPr>
          <w:p w14:paraId="38AF202B" w14:textId="456B117F"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10</w:t>
            </w:r>
          </w:p>
        </w:tc>
        <w:tc>
          <w:tcPr>
            <w:tcW w:w="1699" w:type="dxa"/>
            <w:shd w:val="clear" w:color="auto" w:fill="auto"/>
            <w:vAlign w:val="center"/>
          </w:tcPr>
          <w:p w14:paraId="3171D249" w14:textId="64812557" w:rsidR="008C39B7" w:rsidRPr="001555F1" w:rsidRDefault="008C39B7" w:rsidP="00EB10D3">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13</w:t>
            </w:r>
          </w:p>
        </w:tc>
        <w:tc>
          <w:tcPr>
            <w:tcW w:w="882" w:type="dxa"/>
            <w:shd w:val="clear" w:color="auto" w:fill="auto"/>
            <w:vAlign w:val="center"/>
          </w:tcPr>
          <w:p w14:paraId="769D0AFD"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477</w:t>
            </w:r>
          </w:p>
        </w:tc>
        <w:tc>
          <w:tcPr>
            <w:tcW w:w="922" w:type="dxa"/>
            <w:shd w:val="clear" w:color="auto" w:fill="auto"/>
            <w:vAlign w:val="center"/>
          </w:tcPr>
          <w:p w14:paraId="01BB8F43"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97%</w:t>
            </w:r>
          </w:p>
        </w:tc>
        <w:tc>
          <w:tcPr>
            <w:tcW w:w="1748" w:type="dxa"/>
            <w:shd w:val="clear" w:color="auto" w:fill="auto"/>
            <w:vAlign w:val="center"/>
          </w:tcPr>
          <w:p w14:paraId="1373C0DA" w14:textId="3B47702A"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3</w:t>
            </w:r>
          </w:p>
        </w:tc>
        <w:tc>
          <w:tcPr>
            <w:tcW w:w="983" w:type="dxa"/>
            <w:shd w:val="clear" w:color="auto" w:fill="auto"/>
            <w:vAlign w:val="center"/>
          </w:tcPr>
          <w:p w14:paraId="5ABA37EC" w14:textId="588DBE61"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0</w:t>
            </w:r>
          </w:p>
        </w:tc>
        <w:tc>
          <w:tcPr>
            <w:tcW w:w="882" w:type="dxa"/>
            <w:vAlign w:val="center"/>
          </w:tcPr>
          <w:p w14:paraId="35004994"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288</w:t>
            </w:r>
          </w:p>
        </w:tc>
        <w:tc>
          <w:tcPr>
            <w:tcW w:w="922" w:type="dxa"/>
            <w:vAlign w:val="center"/>
          </w:tcPr>
          <w:p w14:paraId="67137B5E" w14:textId="2A2D77FC"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98</w:t>
            </w:r>
          </w:p>
        </w:tc>
        <w:tc>
          <w:tcPr>
            <w:tcW w:w="983" w:type="dxa"/>
            <w:vAlign w:val="center"/>
          </w:tcPr>
          <w:p w14:paraId="7170C5B9" w14:textId="6B6867A6"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1</w:t>
            </w:r>
          </w:p>
        </w:tc>
        <w:tc>
          <w:tcPr>
            <w:tcW w:w="983" w:type="dxa"/>
            <w:vAlign w:val="center"/>
          </w:tcPr>
          <w:p w14:paraId="0E5E3EB9" w14:textId="147A8449"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1</w:t>
            </w:r>
          </w:p>
        </w:tc>
        <w:tc>
          <w:tcPr>
            <w:tcW w:w="882" w:type="dxa"/>
            <w:vAlign w:val="center"/>
          </w:tcPr>
          <w:p w14:paraId="50990411"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371</w:t>
            </w:r>
          </w:p>
        </w:tc>
        <w:tc>
          <w:tcPr>
            <w:tcW w:w="922" w:type="dxa"/>
            <w:vAlign w:val="center"/>
          </w:tcPr>
          <w:p w14:paraId="193DD73F" w14:textId="561053B3" w:rsidR="008C39B7" w:rsidRPr="001555F1" w:rsidRDefault="009B3015"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79</w:t>
            </w:r>
          </w:p>
        </w:tc>
        <w:tc>
          <w:tcPr>
            <w:tcW w:w="922" w:type="dxa"/>
            <w:vAlign w:val="center"/>
          </w:tcPr>
          <w:p w14:paraId="747741E8" w14:textId="5D76C3ED" w:rsidR="008C39B7" w:rsidRPr="001555F1" w:rsidRDefault="009B3015" w:rsidP="009B301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Pr>
                <w:rFonts w:asciiTheme="minorHAnsi" w:eastAsia="Times New Roman" w:hAnsiTheme="minorHAnsi" w:cs="Arial"/>
                <w:color w:val="000000"/>
                <w:sz w:val="16"/>
                <w:szCs w:val="16"/>
                <w:lang w:eastAsia="en-AU"/>
              </w:rPr>
              <w:t>10</w:t>
            </w:r>
          </w:p>
        </w:tc>
        <w:tc>
          <w:tcPr>
            <w:tcW w:w="1640" w:type="dxa"/>
            <w:vAlign w:val="center"/>
          </w:tcPr>
          <w:p w14:paraId="1E286010"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11%</w:t>
            </w:r>
          </w:p>
        </w:tc>
        <w:tc>
          <w:tcPr>
            <w:tcW w:w="1064" w:type="dxa"/>
            <w:vAlign w:val="center"/>
          </w:tcPr>
          <w:p w14:paraId="0DFA062E" w14:textId="77777777" w:rsidR="008C39B7" w:rsidRPr="001555F1" w:rsidRDefault="008C39B7" w:rsidP="00E52A35">
            <w:pPr>
              <w:spacing w:before="100" w:beforeAutospacing="1" w:after="100" w:afterAutospacing="1" w:line="240" w:lineRule="auto"/>
              <w:jc w:val="center"/>
              <w:rPr>
                <w:rFonts w:asciiTheme="minorHAnsi" w:eastAsia="Times New Roman" w:hAnsiTheme="minorHAnsi" w:cs="Arial"/>
                <w:color w:val="000000"/>
                <w:sz w:val="16"/>
                <w:szCs w:val="16"/>
                <w:lang w:eastAsia="en-AU"/>
              </w:rPr>
            </w:pPr>
            <w:r w:rsidRPr="001555F1">
              <w:rPr>
                <w:rFonts w:asciiTheme="minorHAnsi" w:eastAsia="Times New Roman" w:hAnsiTheme="minorHAnsi" w:cs="Arial"/>
                <w:color w:val="000000"/>
                <w:sz w:val="16"/>
                <w:szCs w:val="16"/>
                <w:lang w:eastAsia="en-AU"/>
              </w:rPr>
              <w:t>40</w:t>
            </w:r>
          </w:p>
        </w:tc>
      </w:tr>
      <w:tr w:rsidR="00AF44CC" w:rsidRPr="00BB0419" w14:paraId="4DB07810" w14:textId="77777777" w:rsidTr="00AF44CC">
        <w:trPr>
          <w:trHeight w:val="454"/>
        </w:trPr>
        <w:tc>
          <w:tcPr>
            <w:tcW w:w="2425" w:type="dxa"/>
            <w:gridSpan w:val="2"/>
            <w:shd w:val="clear" w:color="auto" w:fill="auto"/>
            <w:noWrap/>
            <w:vAlign w:val="center"/>
          </w:tcPr>
          <w:p w14:paraId="63AA0F2B" w14:textId="77777777" w:rsidR="008C39B7" w:rsidRPr="00BB0419" w:rsidRDefault="008C39B7" w:rsidP="00E52A35">
            <w:pPr>
              <w:spacing w:before="100" w:beforeAutospacing="1" w:after="100" w:afterAutospacing="1" w:line="240" w:lineRule="auto"/>
              <w:jc w:val="center"/>
              <w:rPr>
                <w:rFonts w:ascii="Calibri" w:hAnsi="Calibri"/>
                <w:b/>
                <w:color w:val="000000"/>
                <w:sz w:val="16"/>
                <w:szCs w:val="22"/>
              </w:rPr>
            </w:pPr>
            <w:r w:rsidRPr="00BB0419">
              <w:rPr>
                <w:rFonts w:ascii="Calibri" w:hAnsi="Calibri"/>
                <w:b/>
                <w:color w:val="000000"/>
                <w:sz w:val="16"/>
                <w:szCs w:val="22"/>
              </w:rPr>
              <w:t>Total</w:t>
            </w:r>
          </w:p>
        </w:tc>
        <w:tc>
          <w:tcPr>
            <w:tcW w:w="882" w:type="dxa"/>
            <w:shd w:val="clear" w:color="auto" w:fill="auto"/>
            <w:vAlign w:val="center"/>
          </w:tcPr>
          <w:p w14:paraId="0E14CCED" w14:textId="77777777" w:rsidR="008C39B7" w:rsidRPr="00BB0419" w:rsidRDefault="008C39B7"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sidRPr="00BB0419">
              <w:rPr>
                <w:rFonts w:asciiTheme="minorHAnsi" w:eastAsia="Times New Roman" w:hAnsiTheme="minorHAnsi" w:cs="Arial"/>
                <w:b/>
                <w:color w:val="000000"/>
                <w:sz w:val="16"/>
                <w:szCs w:val="16"/>
                <w:lang w:eastAsia="en-AU"/>
              </w:rPr>
              <w:fldChar w:fldCharType="begin"/>
            </w:r>
            <w:r w:rsidRPr="00BB0419">
              <w:rPr>
                <w:rFonts w:asciiTheme="minorHAnsi" w:eastAsia="Times New Roman" w:hAnsiTheme="minorHAnsi" w:cs="Arial"/>
                <w:b/>
                <w:color w:val="000000"/>
                <w:sz w:val="16"/>
                <w:szCs w:val="16"/>
                <w:lang w:eastAsia="en-AU"/>
              </w:rPr>
              <w:instrText xml:space="preserve"> =SUM(ABOVE) </w:instrText>
            </w:r>
            <w:r w:rsidRPr="00BB0419">
              <w:rPr>
                <w:rFonts w:asciiTheme="minorHAnsi" w:eastAsia="Times New Roman" w:hAnsiTheme="minorHAnsi" w:cs="Arial"/>
                <w:b/>
                <w:color w:val="000000"/>
                <w:sz w:val="16"/>
                <w:szCs w:val="16"/>
                <w:lang w:eastAsia="en-AU"/>
              </w:rPr>
              <w:fldChar w:fldCharType="separate"/>
            </w:r>
            <w:r w:rsidRPr="00BB0419">
              <w:rPr>
                <w:rFonts w:asciiTheme="minorHAnsi" w:eastAsia="Times New Roman" w:hAnsiTheme="minorHAnsi" w:cs="Arial"/>
                <w:b/>
                <w:noProof/>
                <w:color w:val="000000"/>
                <w:sz w:val="16"/>
                <w:szCs w:val="16"/>
                <w:lang w:eastAsia="en-AU"/>
              </w:rPr>
              <w:t>4,646</w:t>
            </w:r>
            <w:r w:rsidRPr="00BB0419">
              <w:rPr>
                <w:rFonts w:asciiTheme="minorHAnsi" w:eastAsia="Times New Roman" w:hAnsiTheme="minorHAnsi" w:cs="Arial"/>
                <w:b/>
                <w:color w:val="000000"/>
                <w:sz w:val="16"/>
                <w:szCs w:val="16"/>
                <w:lang w:eastAsia="en-AU"/>
              </w:rPr>
              <w:fldChar w:fldCharType="end"/>
            </w:r>
          </w:p>
        </w:tc>
        <w:tc>
          <w:tcPr>
            <w:tcW w:w="922" w:type="dxa"/>
            <w:shd w:val="clear" w:color="auto" w:fill="auto"/>
            <w:vAlign w:val="center"/>
          </w:tcPr>
          <w:p w14:paraId="4F064D94" w14:textId="40DE48BA" w:rsidR="008C39B7" w:rsidRPr="00BB0419" w:rsidRDefault="00EB10D3"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91</w:t>
            </w:r>
          </w:p>
        </w:tc>
        <w:tc>
          <w:tcPr>
            <w:tcW w:w="1699" w:type="dxa"/>
            <w:shd w:val="clear" w:color="auto" w:fill="auto"/>
            <w:vAlign w:val="center"/>
          </w:tcPr>
          <w:p w14:paraId="3FDB0A6C" w14:textId="6BA52BAE" w:rsidR="008C39B7" w:rsidRPr="00BB0419" w:rsidRDefault="00EB10D3"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3</w:t>
            </w:r>
          </w:p>
        </w:tc>
        <w:tc>
          <w:tcPr>
            <w:tcW w:w="1699" w:type="dxa"/>
            <w:shd w:val="clear" w:color="auto" w:fill="auto"/>
            <w:vAlign w:val="center"/>
          </w:tcPr>
          <w:p w14:paraId="512B9B0A" w14:textId="2B1626BF" w:rsidR="008C39B7" w:rsidRPr="00BB0419" w:rsidRDefault="00EB10D3"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6</w:t>
            </w:r>
          </w:p>
        </w:tc>
        <w:tc>
          <w:tcPr>
            <w:tcW w:w="882" w:type="dxa"/>
            <w:shd w:val="clear" w:color="auto" w:fill="auto"/>
            <w:vAlign w:val="center"/>
          </w:tcPr>
          <w:p w14:paraId="10E7A541" w14:textId="77777777" w:rsidR="008C39B7" w:rsidRPr="00BB0419" w:rsidRDefault="008C39B7"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sidRPr="00BB0419">
              <w:rPr>
                <w:rFonts w:asciiTheme="minorHAnsi" w:eastAsia="Times New Roman" w:hAnsiTheme="minorHAnsi" w:cs="Arial"/>
                <w:b/>
                <w:color w:val="000000"/>
                <w:sz w:val="16"/>
                <w:szCs w:val="16"/>
                <w:lang w:eastAsia="en-AU"/>
              </w:rPr>
              <w:fldChar w:fldCharType="begin"/>
            </w:r>
            <w:r w:rsidRPr="00BB0419">
              <w:rPr>
                <w:rFonts w:asciiTheme="minorHAnsi" w:eastAsia="Times New Roman" w:hAnsiTheme="minorHAnsi" w:cs="Arial"/>
                <w:b/>
                <w:color w:val="000000"/>
                <w:sz w:val="16"/>
                <w:szCs w:val="16"/>
                <w:lang w:eastAsia="en-AU"/>
              </w:rPr>
              <w:instrText xml:space="preserve"> =SUM(ABOVE) </w:instrText>
            </w:r>
            <w:r w:rsidRPr="00BB0419">
              <w:rPr>
                <w:rFonts w:asciiTheme="minorHAnsi" w:eastAsia="Times New Roman" w:hAnsiTheme="minorHAnsi" w:cs="Arial"/>
                <w:b/>
                <w:color w:val="000000"/>
                <w:sz w:val="16"/>
                <w:szCs w:val="16"/>
                <w:lang w:eastAsia="en-AU"/>
              </w:rPr>
              <w:fldChar w:fldCharType="separate"/>
            </w:r>
            <w:r w:rsidRPr="00BB0419">
              <w:rPr>
                <w:rFonts w:asciiTheme="minorHAnsi" w:eastAsia="Times New Roman" w:hAnsiTheme="minorHAnsi" w:cs="Arial"/>
                <w:b/>
                <w:noProof/>
                <w:color w:val="000000"/>
                <w:sz w:val="16"/>
                <w:szCs w:val="16"/>
                <w:lang w:eastAsia="en-AU"/>
              </w:rPr>
              <w:t>3,849</w:t>
            </w:r>
            <w:r w:rsidRPr="00BB0419">
              <w:rPr>
                <w:rFonts w:asciiTheme="minorHAnsi" w:eastAsia="Times New Roman" w:hAnsiTheme="minorHAnsi" w:cs="Arial"/>
                <w:b/>
                <w:color w:val="000000"/>
                <w:sz w:val="16"/>
                <w:szCs w:val="16"/>
                <w:lang w:eastAsia="en-AU"/>
              </w:rPr>
              <w:fldChar w:fldCharType="end"/>
            </w:r>
          </w:p>
        </w:tc>
        <w:tc>
          <w:tcPr>
            <w:tcW w:w="922" w:type="dxa"/>
            <w:shd w:val="clear" w:color="auto" w:fill="auto"/>
            <w:vAlign w:val="center"/>
          </w:tcPr>
          <w:p w14:paraId="21BB6131" w14:textId="4116BA7C" w:rsidR="008C39B7" w:rsidRPr="00BB0419" w:rsidRDefault="0085540B"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94%</w:t>
            </w:r>
          </w:p>
        </w:tc>
        <w:tc>
          <w:tcPr>
            <w:tcW w:w="1748" w:type="dxa"/>
            <w:shd w:val="clear" w:color="auto" w:fill="auto"/>
            <w:vAlign w:val="center"/>
          </w:tcPr>
          <w:p w14:paraId="2C8C5F95" w14:textId="23271C4A" w:rsidR="008C39B7" w:rsidRPr="00BB0419" w:rsidRDefault="009B3015"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5</w:t>
            </w:r>
          </w:p>
        </w:tc>
        <w:tc>
          <w:tcPr>
            <w:tcW w:w="983" w:type="dxa"/>
            <w:shd w:val="clear" w:color="auto" w:fill="auto"/>
            <w:vAlign w:val="center"/>
          </w:tcPr>
          <w:p w14:paraId="203B953F" w14:textId="7447AA4C" w:rsidR="008C39B7" w:rsidRPr="00BB0419" w:rsidRDefault="009B3015"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1</w:t>
            </w:r>
          </w:p>
        </w:tc>
        <w:tc>
          <w:tcPr>
            <w:tcW w:w="882" w:type="dxa"/>
            <w:vAlign w:val="center"/>
          </w:tcPr>
          <w:p w14:paraId="28D95B9E" w14:textId="77777777" w:rsidR="008C39B7" w:rsidRPr="00BB0419" w:rsidRDefault="008C39B7"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sidRPr="00BB0419">
              <w:rPr>
                <w:rFonts w:asciiTheme="minorHAnsi" w:eastAsia="Times New Roman" w:hAnsiTheme="minorHAnsi" w:cs="Arial"/>
                <w:b/>
                <w:color w:val="000000"/>
                <w:sz w:val="16"/>
                <w:szCs w:val="16"/>
                <w:lang w:eastAsia="en-AU"/>
              </w:rPr>
              <w:fldChar w:fldCharType="begin"/>
            </w:r>
            <w:r w:rsidRPr="00BB0419">
              <w:rPr>
                <w:rFonts w:asciiTheme="minorHAnsi" w:eastAsia="Times New Roman" w:hAnsiTheme="minorHAnsi" w:cs="Arial"/>
                <w:b/>
                <w:color w:val="000000"/>
                <w:sz w:val="16"/>
                <w:szCs w:val="16"/>
                <w:lang w:eastAsia="en-AU"/>
              </w:rPr>
              <w:instrText xml:space="preserve"> =SUM(ABOVE) </w:instrText>
            </w:r>
            <w:r w:rsidRPr="00BB0419">
              <w:rPr>
                <w:rFonts w:asciiTheme="minorHAnsi" w:eastAsia="Times New Roman" w:hAnsiTheme="minorHAnsi" w:cs="Arial"/>
                <w:b/>
                <w:color w:val="000000"/>
                <w:sz w:val="16"/>
                <w:szCs w:val="16"/>
                <w:lang w:eastAsia="en-AU"/>
              </w:rPr>
              <w:fldChar w:fldCharType="separate"/>
            </w:r>
            <w:r w:rsidRPr="00BB0419">
              <w:rPr>
                <w:rFonts w:asciiTheme="minorHAnsi" w:eastAsia="Times New Roman" w:hAnsiTheme="minorHAnsi" w:cs="Arial"/>
                <w:b/>
                <w:noProof/>
                <w:color w:val="000000"/>
                <w:sz w:val="16"/>
                <w:szCs w:val="16"/>
                <w:lang w:eastAsia="en-AU"/>
              </w:rPr>
              <w:t>3,278</w:t>
            </w:r>
            <w:r w:rsidRPr="00BB0419">
              <w:rPr>
                <w:rFonts w:asciiTheme="minorHAnsi" w:eastAsia="Times New Roman" w:hAnsiTheme="minorHAnsi" w:cs="Arial"/>
                <w:b/>
                <w:color w:val="000000"/>
                <w:sz w:val="16"/>
                <w:szCs w:val="16"/>
                <w:lang w:eastAsia="en-AU"/>
              </w:rPr>
              <w:fldChar w:fldCharType="end"/>
            </w:r>
          </w:p>
        </w:tc>
        <w:tc>
          <w:tcPr>
            <w:tcW w:w="922" w:type="dxa"/>
            <w:vAlign w:val="center"/>
          </w:tcPr>
          <w:p w14:paraId="359C8C0C" w14:textId="722A1B62" w:rsidR="008C39B7" w:rsidRPr="00BB0419" w:rsidRDefault="009B3015"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98</w:t>
            </w:r>
          </w:p>
        </w:tc>
        <w:tc>
          <w:tcPr>
            <w:tcW w:w="983" w:type="dxa"/>
            <w:vAlign w:val="center"/>
          </w:tcPr>
          <w:p w14:paraId="51B5856B" w14:textId="58859337" w:rsidR="008C39B7" w:rsidRPr="00BB0419" w:rsidRDefault="009B3015"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1</w:t>
            </w:r>
          </w:p>
        </w:tc>
        <w:tc>
          <w:tcPr>
            <w:tcW w:w="983" w:type="dxa"/>
            <w:vAlign w:val="center"/>
          </w:tcPr>
          <w:p w14:paraId="3BCC4AA4" w14:textId="7CA31523" w:rsidR="008C39B7" w:rsidRPr="00BB0419" w:rsidRDefault="009B3015"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1</w:t>
            </w:r>
          </w:p>
        </w:tc>
        <w:tc>
          <w:tcPr>
            <w:tcW w:w="882" w:type="dxa"/>
            <w:vAlign w:val="center"/>
          </w:tcPr>
          <w:p w14:paraId="27583738" w14:textId="77777777" w:rsidR="008C39B7" w:rsidRPr="00BB0419" w:rsidRDefault="008C39B7"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sidRPr="00BB0419">
              <w:rPr>
                <w:rFonts w:asciiTheme="minorHAnsi" w:eastAsia="Times New Roman" w:hAnsiTheme="minorHAnsi" w:cs="Arial"/>
                <w:b/>
                <w:color w:val="000000"/>
                <w:sz w:val="16"/>
                <w:szCs w:val="16"/>
                <w:lang w:eastAsia="en-AU"/>
              </w:rPr>
              <w:fldChar w:fldCharType="begin"/>
            </w:r>
            <w:r w:rsidRPr="00BB0419">
              <w:rPr>
                <w:rFonts w:asciiTheme="minorHAnsi" w:eastAsia="Times New Roman" w:hAnsiTheme="minorHAnsi" w:cs="Arial"/>
                <w:b/>
                <w:color w:val="000000"/>
                <w:sz w:val="16"/>
                <w:szCs w:val="16"/>
                <w:lang w:eastAsia="en-AU"/>
              </w:rPr>
              <w:instrText xml:space="preserve"> =SUM(ABOVE) </w:instrText>
            </w:r>
            <w:r w:rsidRPr="00BB0419">
              <w:rPr>
                <w:rFonts w:asciiTheme="minorHAnsi" w:eastAsia="Times New Roman" w:hAnsiTheme="minorHAnsi" w:cs="Arial"/>
                <w:b/>
                <w:color w:val="000000"/>
                <w:sz w:val="16"/>
                <w:szCs w:val="16"/>
                <w:lang w:eastAsia="en-AU"/>
              </w:rPr>
              <w:fldChar w:fldCharType="separate"/>
            </w:r>
            <w:r w:rsidRPr="00BB0419">
              <w:rPr>
                <w:rFonts w:asciiTheme="minorHAnsi" w:eastAsia="Times New Roman" w:hAnsiTheme="minorHAnsi" w:cs="Arial"/>
                <w:b/>
                <w:noProof/>
                <w:color w:val="000000"/>
                <w:sz w:val="16"/>
                <w:szCs w:val="16"/>
                <w:lang w:eastAsia="en-AU"/>
              </w:rPr>
              <w:t>8,413</w:t>
            </w:r>
            <w:r w:rsidRPr="00BB0419">
              <w:rPr>
                <w:rFonts w:asciiTheme="minorHAnsi" w:eastAsia="Times New Roman" w:hAnsiTheme="minorHAnsi" w:cs="Arial"/>
                <w:b/>
                <w:color w:val="000000"/>
                <w:sz w:val="16"/>
                <w:szCs w:val="16"/>
                <w:lang w:eastAsia="en-AU"/>
              </w:rPr>
              <w:fldChar w:fldCharType="end"/>
            </w:r>
          </w:p>
        </w:tc>
        <w:tc>
          <w:tcPr>
            <w:tcW w:w="922" w:type="dxa"/>
            <w:vAlign w:val="center"/>
          </w:tcPr>
          <w:p w14:paraId="7E4B1750" w14:textId="6BDB3EED" w:rsidR="008C39B7" w:rsidRPr="00BB0419" w:rsidRDefault="009B3015"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84</w:t>
            </w:r>
          </w:p>
        </w:tc>
        <w:tc>
          <w:tcPr>
            <w:tcW w:w="922" w:type="dxa"/>
            <w:vAlign w:val="center"/>
          </w:tcPr>
          <w:p w14:paraId="21CA4C34" w14:textId="37C96139" w:rsidR="008C39B7" w:rsidRPr="00BB0419" w:rsidRDefault="009B3015"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5</w:t>
            </w:r>
          </w:p>
        </w:tc>
        <w:tc>
          <w:tcPr>
            <w:tcW w:w="1640" w:type="dxa"/>
            <w:vAlign w:val="center"/>
          </w:tcPr>
          <w:p w14:paraId="68DA2F58" w14:textId="785CD8B6" w:rsidR="008C39B7" w:rsidRPr="00BB0419" w:rsidRDefault="0085540B"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t>11%</w:t>
            </w:r>
          </w:p>
        </w:tc>
        <w:tc>
          <w:tcPr>
            <w:tcW w:w="1064" w:type="dxa"/>
            <w:vAlign w:val="center"/>
          </w:tcPr>
          <w:p w14:paraId="1557359D" w14:textId="77777777" w:rsidR="008C39B7" w:rsidRPr="00BB0419" w:rsidRDefault="008C39B7" w:rsidP="00E52A35">
            <w:pPr>
              <w:spacing w:before="100" w:beforeAutospacing="1" w:after="100" w:afterAutospacing="1" w:line="240" w:lineRule="auto"/>
              <w:jc w:val="center"/>
              <w:rPr>
                <w:rFonts w:asciiTheme="minorHAnsi" w:eastAsia="Times New Roman" w:hAnsiTheme="minorHAnsi" w:cs="Arial"/>
                <w:b/>
                <w:color w:val="000000"/>
                <w:sz w:val="16"/>
                <w:szCs w:val="16"/>
                <w:lang w:eastAsia="en-AU"/>
              </w:rPr>
            </w:pPr>
            <w:r>
              <w:rPr>
                <w:rFonts w:asciiTheme="minorHAnsi" w:eastAsia="Times New Roman" w:hAnsiTheme="minorHAnsi" w:cs="Arial"/>
                <w:b/>
                <w:color w:val="000000"/>
                <w:sz w:val="16"/>
                <w:szCs w:val="16"/>
                <w:lang w:eastAsia="en-AU"/>
              </w:rPr>
              <w:fldChar w:fldCharType="begin"/>
            </w:r>
            <w:r>
              <w:rPr>
                <w:rFonts w:asciiTheme="minorHAnsi" w:eastAsia="Times New Roman" w:hAnsiTheme="minorHAnsi" w:cs="Arial"/>
                <w:b/>
                <w:color w:val="000000"/>
                <w:sz w:val="16"/>
                <w:szCs w:val="16"/>
                <w:lang w:eastAsia="en-AU"/>
              </w:rPr>
              <w:instrText xml:space="preserve"> =SUM(ABOVE) </w:instrText>
            </w:r>
            <w:r>
              <w:rPr>
                <w:rFonts w:asciiTheme="minorHAnsi" w:eastAsia="Times New Roman" w:hAnsiTheme="minorHAnsi" w:cs="Arial"/>
                <w:b/>
                <w:color w:val="000000"/>
                <w:sz w:val="16"/>
                <w:szCs w:val="16"/>
                <w:lang w:eastAsia="en-AU"/>
              </w:rPr>
              <w:fldChar w:fldCharType="separate"/>
            </w:r>
            <w:r>
              <w:rPr>
                <w:rFonts w:asciiTheme="minorHAnsi" w:eastAsia="Times New Roman" w:hAnsiTheme="minorHAnsi" w:cs="Arial"/>
                <w:b/>
                <w:noProof/>
                <w:color w:val="000000"/>
                <w:sz w:val="16"/>
                <w:szCs w:val="16"/>
                <w:lang w:eastAsia="en-AU"/>
              </w:rPr>
              <w:t>5,264</w:t>
            </w:r>
            <w:r>
              <w:rPr>
                <w:rFonts w:asciiTheme="minorHAnsi" w:eastAsia="Times New Roman" w:hAnsiTheme="minorHAnsi" w:cs="Arial"/>
                <w:b/>
                <w:color w:val="000000"/>
                <w:sz w:val="16"/>
                <w:szCs w:val="16"/>
                <w:lang w:eastAsia="en-AU"/>
              </w:rPr>
              <w:fldChar w:fldCharType="end"/>
            </w:r>
          </w:p>
        </w:tc>
      </w:tr>
    </w:tbl>
    <w:p w14:paraId="34C68284" w14:textId="4CD35585" w:rsidR="0073055B" w:rsidRDefault="00AF44CC" w:rsidP="00AF44CC">
      <w:pPr>
        <w:pStyle w:val="Para0"/>
        <w:spacing w:before="0"/>
        <w:rPr>
          <w:sz w:val="16"/>
          <w:szCs w:val="16"/>
        </w:rPr>
      </w:pPr>
      <w:r w:rsidRPr="00614A1D">
        <w:rPr>
          <w:b/>
          <w:sz w:val="16"/>
          <w:szCs w:val="16"/>
        </w:rPr>
        <w:t>Note</w:t>
      </w:r>
      <w:r>
        <w:rPr>
          <w:b/>
          <w:sz w:val="16"/>
          <w:szCs w:val="16"/>
        </w:rPr>
        <w:t>s</w:t>
      </w:r>
      <w:r w:rsidRPr="00614A1D">
        <w:rPr>
          <w:sz w:val="16"/>
          <w:szCs w:val="16"/>
        </w:rPr>
        <w:t>: (1)</w:t>
      </w:r>
      <w:r>
        <w:rPr>
          <w:sz w:val="16"/>
          <w:szCs w:val="16"/>
        </w:rPr>
        <w:t xml:space="preserve"> </w:t>
      </w:r>
      <w:r w:rsidRPr="00614A1D">
        <w:rPr>
          <w:sz w:val="16"/>
          <w:szCs w:val="16"/>
        </w:rPr>
        <w:t>A zero</w:t>
      </w:r>
      <w:r>
        <w:rPr>
          <w:sz w:val="16"/>
          <w:szCs w:val="16"/>
        </w:rPr>
        <w:t xml:space="preserve"> (0) value in Area (ha) means that there is no area of Black Box that is attributable to the category in the location specified, (2) A zero (0) in Cover of Condition Data means there is 0% (or no) cover of predicted, modelled condition data for the area of Black Box. This column is zero by default if there is no area of Black Box. (3) and (4) Where modelled condition data exists, these columns show the percentage </w:t>
      </w:r>
      <w:r w:rsidR="009B3015">
        <w:rPr>
          <w:sz w:val="16"/>
          <w:szCs w:val="16"/>
        </w:rPr>
        <w:t>of</w:t>
      </w:r>
      <w:r>
        <w:rPr>
          <w:sz w:val="16"/>
          <w:szCs w:val="16"/>
        </w:rPr>
        <w:t xml:space="preserve"> condition data across two pooled condition classes; poor, or moderate / good. These columns by default are zero if Cover of Condition Data (%) is also zero.</w:t>
      </w:r>
    </w:p>
    <w:p w14:paraId="494D2385" w14:textId="77777777" w:rsidR="0073055B" w:rsidRDefault="0073055B">
      <w:pPr>
        <w:spacing w:after="0" w:line="240" w:lineRule="auto"/>
        <w:rPr>
          <w:sz w:val="16"/>
          <w:szCs w:val="16"/>
        </w:rPr>
        <w:sectPr w:rsidR="0073055B" w:rsidSect="008C39B7">
          <w:headerReference w:type="default" r:id="rId121"/>
          <w:pgSz w:w="23814" w:h="16839" w:orient="landscape" w:code="8"/>
          <w:pgMar w:top="1134" w:right="567" w:bottom="851" w:left="851" w:header="567" w:footer="369" w:gutter="0"/>
          <w:cols w:space="0"/>
          <w:formProt w:val="0"/>
          <w:docGrid w:linePitch="360"/>
        </w:sectPr>
      </w:pPr>
    </w:p>
    <w:p w14:paraId="54EAF7CB" w14:textId="3EA0D77B" w:rsidR="002F5809" w:rsidRPr="00EA2DC6" w:rsidRDefault="002F5809" w:rsidP="002F5809">
      <w:pPr>
        <w:pStyle w:val="Heading9"/>
        <w:numPr>
          <w:ilvl w:val="0"/>
          <w:numId w:val="8"/>
        </w:numPr>
        <w:spacing w:after="0" w:line="240" w:lineRule="auto"/>
        <w:ind w:left="1985" w:hanging="1985"/>
        <w:rPr>
          <w:color w:val="65876D" w:themeColor="accent4" w:themeShade="BF"/>
        </w:rPr>
      </w:pPr>
      <w:bookmarkStart w:id="392" w:name="_Ref506560888"/>
      <w:bookmarkStart w:id="393" w:name="_Toc510785231"/>
      <w:r>
        <w:rPr>
          <w:color w:val="65876D" w:themeColor="accent4" w:themeShade="BF"/>
        </w:rPr>
        <w:t>Risk Assessment Process</w:t>
      </w:r>
      <w:bookmarkEnd w:id="392"/>
      <w:bookmarkEnd w:id="393"/>
    </w:p>
    <w:p w14:paraId="73CF154F" w14:textId="1DA20E78" w:rsidR="00B36E97" w:rsidRDefault="00B36E97" w:rsidP="00B36E97">
      <w:pPr>
        <w:pStyle w:val="Para0"/>
      </w:pPr>
      <w:r>
        <w:t xml:space="preserve">For any management scenario, a range of potential benefits and risks should be explored. </w:t>
      </w:r>
      <w:r w:rsidR="005C4005">
        <w:t>The</w:t>
      </w:r>
      <w:r>
        <w:t xml:space="preserve"> impacts (both positive and negative) to other site objectives, species, and third parties should be considered prior to any decision on implementation of management actions. </w:t>
      </w:r>
    </w:p>
    <w:p w14:paraId="15043B21" w14:textId="3F6F368E" w:rsidR="002F5809" w:rsidRDefault="00B36E97" w:rsidP="00E45BF0">
      <w:pPr>
        <w:pStyle w:val="Para0"/>
      </w:pPr>
      <w:r>
        <w:t>This Appendix</w:t>
      </w:r>
      <w:r w:rsidRPr="004D3539">
        <w:t xml:space="preserve"> </w:t>
      </w:r>
      <w:r>
        <w:t>presents a risk assessment matrix that can be used to explore the risks, likelihood and consequences for managing Black Box at a site</w:t>
      </w:r>
      <w:r w:rsidR="00012F8D">
        <w:t>, to support Step 7 of the Framework</w:t>
      </w:r>
      <w:r>
        <w:t xml:space="preserve">. </w:t>
      </w:r>
    </w:p>
    <w:p w14:paraId="75796B60" w14:textId="77777777" w:rsidR="00B36E97" w:rsidRDefault="00B36E97" w:rsidP="00B36E97">
      <w:pPr>
        <w:pStyle w:val="PIRSABulletPoints"/>
        <w:numPr>
          <w:ilvl w:val="0"/>
          <w:numId w:val="0"/>
        </w:numPr>
        <w:ind w:left="284"/>
        <w:rPr>
          <w:lang w:eastAsia="en-US"/>
        </w:rPr>
      </w:pPr>
    </w:p>
    <w:p w14:paraId="34BE8134" w14:textId="77777777" w:rsidR="002F5809" w:rsidRPr="005C32F1" w:rsidRDefault="002F5809" w:rsidP="00E45BF0">
      <w:pPr>
        <w:pStyle w:val="Heading3noTOC"/>
        <w:rPr>
          <w:b/>
          <w:color w:val="auto"/>
          <w:sz w:val="28"/>
          <w:szCs w:val="28"/>
        </w:rPr>
      </w:pPr>
      <w:bookmarkStart w:id="394" w:name="_Toc455688708"/>
      <w:bookmarkStart w:id="395" w:name="_Toc456041594"/>
      <w:bookmarkStart w:id="396" w:name="_Toc456041788"/>
      <w:bookmarkStart w:id="397" w:name="_Toc456041978"/>
      <w:bookmarkStart w:id="398" w:name="_Toc451166954"/>
      <w:bookmarkStart w:id="399" w:name="_Toc451168845"/>
      <w:bookmarkStart w:id="400" w:name="_Toc456041979"/>
      <w:bookmarkEnd w:id="394"/>
      <w:bookmarkEnd w:id="395"/>
      <w:bookmarkEnd w:id="396"/>
      <w:bookmarkEnd w:id="397"/>
      <w:r w:rsidRPr="005C32F1">
        <w:rPr>
          <w:b/>
          <w:color w:val="auto"/>
          <w:sz w:val="28"/>
          <w:szCs w:val="28"/>
          <w:lang w:eastAsia="en-US"/>
        </w:rPr>
        <w:t>Process of Identifying Risks</w:t>
      </w:r>
      <w:bookmarkEnd w:id="398"/>
      <w:bookmarkEnd w:id="399"/>
      <w:bookmarkEnd w:id="400"/>
    </w:p>
    <w:p w14:paraId="0B6F7F1C" w14:textId="77777777" w:rsidR="002F5809" w:rsidRPr="005C32F1" w:rsidRDefault="002F5809" w:rsidP="002F5809">
      <w:pPr>
        <w:pStyle w:val="Heading3noTOC"/>
        <w:rPr>
          <w:i/>
          <w:color w:val="auto"/>
          <w:lang w:eastAsia="en-US"/>
        </w:rPr>
      </w:pPr>
      <w:r w:rsidRPr="005C32F1">
        <w:rPr>
          <w:i/>
          <w:color w:val="auto"/>
          <w:lang w:eastAsia="en-US"/>
        </w:rPr>
        <w:t>Risk Identification</w:t>
      </w:r>
    </w:p>
    <w:p w14:paraId="4F6C1922" w14:textId="20E73A0F" w:rsidR="002F5809" w:rsidRPr="005C32F1" w:rsidRDefault="002F5809" w:rsidP="002F5809">
      <w:pPr>
        <w:rPr>
          <w:highlight w:val="yellow"/>
        </w:rPr>
      </w:pPr>
      <w:r w:rsidRPr="005C32F1">
        <w:t xml:space="preserve">The aim of the risk identification process is to understand all the key risk events that are relevant to the </w:t>
      </w:r>
      <w:r w:rsidR="00B36E97" w:rsidRPr="005C32F1">
        <w:t>Management Options</w:t>
      </w:r>
      <w:r w:rsidRPr="005C32F1">
        <w:t>; define their cause, identify the nature and extent of potential consequences, and understand their likelihood of occurrence. Risk is a combination of the likelihood of occurrence, and the consequences of an event happening.</w:t>
      </w:r>
    </w:p>
    <w:p w14:paraId="010CFD87" w14:textId="77777777" w:rsidR="002F5809" w:rsidRPr="005C32F1" w:rsidRDefault="002F5809" w:rsidP="002F5809">
      <w:r w:rsidRPr="005C32F1">
        <w:t>A risk event with severe consequences may not necessarily represent a high risk; - because the event or the consequences of the event may have a low probability of occurring. Similarly, a risk event which is highly likely may not necessarily represent a high risk as its consequences may be very small.</w:t>
      </w:r>
    </w:p>
    <w:p w14:paraId="6A66E527" w14:textId="77777777" w:rsidR="002F5809" w:rsidRPr="005C32F1" w:rsidRDefault="002F5809" w:rsidP="002F5809">
      <w:pPr>
        <w:pStyle w:val="Heading3noTOC"/>
        <w:rPr>
          <w:b/>
          <w:color w:val="auto"/>
          <w:highlight w:val="yellow"/>
          <w:lang w:eastAsia="en-US"/>
        </w:rPr>
      </w:pPr>
      <w:r w:rsidRPr="005C32F1">
        <w:rPr>
          <w:b/>
          <w:color w:val="auto"/>
          <w:lang w:eastAsia="en-US"/>
        </w:rPr>
        <w:t>Risk Analysis</w:t>
      </w:r>
    </w:p>
    <w:p w14:paraId="08720375" w14:textId="77777777" w:rsidR="002F5809" w:rsidRDefault="002F5809" w:rsidP="002F5809">
      <w:r w:rsidRPr="004902A5">
        <w:t xml:space="preserve">The objective of risk analysis is to understand risk events, such that the nature and distribution of risk can be evaluated, and to develop appropriate management strategies. The level of risk is determined by the potential consequences of a risk event, and the likelihood that the risk event will occur. The two measures are then considered together to define an overall level of risk. </w:t>
      </w:r>
    </w:p>
    <w:p w14:paraId="18FB48DE" w14:textId="77777777" w:rsidR="002F5809" w:rsidRDefault="002F5809" w:rsidP="002F5809">
      <w:r>
        <w:t>A summary of the ratings used to define likelihood, consequence and risk are provided below.</w:t>
      </w:r>
    </w:p>
    <w:p w14:paraId="7B272A50" w14:textId="77777777" w:rsidR="002F5809" w:rsidRPr="005C32F1" w:rsidRDefault="002F5809" w:rsidP="002F5809">
      <w:pPr>
        <w:pStyle w:val="Heading4noTOC"/>
        <w:rPr>
          <w:i/>
          <w:color w:val="auto"/>
          <w:lang w:eastAsia="en-US"/>
        </w:rPr>
      </w:pPr>
      <w:r w:rsidRPr="005C32F1">
        <w:rPr>
          <w:i/>
          <w:color w:val="auto"/>
          <w:lang w:eastAsia="en-US"/>
        </w:rPr>
        <w:t>Likelihood</w:t>
      </w:r>
    </w:p>
    <w:p w14:paraId="288F2BB6" w14:textId="7B5BBA34" w:rsidR="002F5809" w:rsidRDefault="002F5809" w:rsidP="002F5809">
      <w:r w:rsidRPr="008F740F">
        <w:t>A likelihood rating is applied to each of the identified risk events. The likelihood ranges from almost certain, to rare, and a description of the likelihood</w:t>
      </w:r>
      <w:r>
        <w:t xml:space="preserve"> ratings is provided in </w:t>
      </w:r>
      <w:r>
        <w:fldChar w:fldCharType="begin"/>
      </w:r>
      <w:r>
        <w:instrText xml:space="preserve"> REF _Ref450909047 \h </w:instrText>
      </w:r>
      <w:r>
        <w:fldChar w:fldCharType="separate"/>
      </w:r>
      <w:r w:rsidR="00BF015B">
        <w:t xml:space="preserve">Table </w:t>
      </w:r>
      <w:r w:rsidR="00BF015B">
        <w:rPr>
          <w:noProof/>
        </w:rPr>
        <w:t>7</w:t>
      </w:r>
      <w:r w:rsidR="00BF015B">
        <w:noBreakHyphen/>
      </w:r>
      <w:r w:rsidR="00BF015B">
        <w:rPr>
          <w:noProof/>
        </w:rPr>
        <w:t>7</w:t>
      </w:r>
      <w:r>
        <w:fldChar w:fldCharType="end"/>
      </w:r>
      <w:r>
        <w:t xml:space="preserve">. </w:t>
      </w:r>
    </w:p>
    <w:p w14:paraId="178CA748" w14:textId="4B1C8BDA" w:rsidR="002F5809" w:rsidRDefault="002F5809" w:rsidP="002F5809">
      <w:pPr>
        <w:pStyle w:val="Caption"/>
      </w:pPr>
      <w:bookmarkStart w:id="401" w:name="_Ref450909047"/>
      <w:bookmarkStart w:id="402" w:name="_Toc514068807"/>
      <w:r>
        <w:t xml:space="preserve">Table </w:t>
      </w:r>
      <w:r>
        <w:fldChar w:fldCharType="begin"/>
      </w:r>
      <w:r>
        <w:instrText xml:space="preserve"> STYLEREF 1 \s </w:instrText>
      </w:r>
      <w:r>
        <w:fldChar w:fldCharType="separate"/>
      </w:r>
      <w:r w:rsidR="00BF015B">
        <w:rPr>
          <w:noProof/>
        </w:rPr>
        <w:t>7</w:t>
      </w:r>
      <w:r>
        <w:rPr>
          <w:noProof/>
        </w:rPr>
        <w:fldChar w:fldCharType="end"/>
      </w:r>
      <w:r>
        <w:noBreakHyphen/>
      </w:r>
      <w:r>
        <w:fldChar w:fldCharType="begin"/>
      </w:r>
      <w:r>
        <w:instrText xml:space="preserve"> SEQ Table \* ARABIC \s 1 </w:instrText>
      </w:r>
      <w:r>
        <w:fldChar w:fldCharType="separate"/>
      </w:r>
      <w:r w:rsidR="00BF015B">
        <w:rPr>
          <w:noProof/>
        </w:rPr>
        <w:t>7</w:t>
      </w:r>
      <w:r>
        <w:rPr>
          <w:noProof/>
        </w:rPr>
        <w:fldChar w:fldCharType="end"/>
      </w:r>
      <w:bookmarkEnd w:id="401"/>
      <w:r w:rsidR="005C32F1">
        <w:rPr>
          <w:noProof/>
        </w:rPr>
        <w:t>:</w:t>
      </w:r>
      <w:r>
        <w:t xml:space="preserve"> Likelihood description guideline</w:t>
      </w:r>
      <w:bookmarkEnd w:id="402"/>
    </w:p>
    <w:tbl>
      <w:tblPr>
        <w:tblW w:w="491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621"/>
        <w:gridCol w:w="4469"/>
        <w:gridCol w:w="3660"/>
      </w:tblGrid>
      <w:tr w:rsidR="00B36E97" w:rsidRPr="00B36E97" w14:paraId="0ED85E50" w14:textId="77777777" w:rsidTr="00B36E97">
        <w:trPr>
          <w:tblHeader/>
        </w:trPr>
        <w:tc>
          <w:tcPr>
            <w:tcW w:w="831" w:type="pct"/>
            <w:shd w:val="clear" w:color="auto" w:fill="65876D" w:themeFill="accent4" w:themeFillShade="BF"/>
          </w:tcPr>
          <w:p w14:paraId="09FA378C" w14:textId="77777777" w:rsidR="002F5809" w:rsidRPr="00B36E97" w:rsidRDefault="002F5809" w:rsidP="00E87231">
            <w:pPr>
              <w:pStyle w:val="Tablesmallheading"/>
              <w:jc w:val="center"/>
              <w:rPr>
                <w:caps/>
                <w:color w:val="FFFFFF" w:themeColor="background1"/>
                <w:szCs w:val="36"/>
              </w:rPr>
            </w:pPr>
            <w:r w:rsidRPr="00B36E97">
              <w:rPr>
                <w:caps/>
                <w:color w:val="FFFFFF" w:themeColor="background1"/>
                <w:szCs w:val="36"/>
              </w:rPr>
              <w:t>Likelihood</w:t>
            </w:r>
          </w:p>
        </w:tc>
        <w:tc>
          <w:tcPr>
            <w:tcW w:w="4169" w:type="pct"/>
            <w:gridSpan w:val="2"/>
            <w:shd w:val="clear" w:color="auto" w:fill="65876D" w:themeFill="accent4" w:themeFillShade="BF"/>
          </w:tcPr>
          <w:p w14:paraId="5F31A6C9" w14:textId="77777777" w:rsidR="002F5809" w:rsidRPr="00B36E97" w:rsidRDefault="002F5809" w:rsidP="00E87231">
            <w:pPr>
              <w:pStyle w:val="Tablesmallheading"/>
              <w:jc w:val="center"/>
              <w:rPr>
                <w:caps/>
                <w:color w:val="FFFFFF" w:themeColor="background1"/>
                <w:szCs w:val="36"/>
              </w:rPr>
            </w:pPr>
            <w:r w:rsidRPr="00B36E97">
              <w:rPr>
                <w:caps/>
                <w:color w:val="FFFFFF" w:themeColor="background1"/>
                <w:szCs w:val="36"/>
              </w:rPr>
              <w:t>Description Guideline</w:t>
            </w:r>
          </w:p>
        </w:tc>
      </w:tr>
      <w:tr w:rsidR="002F5809" w:rsidRPr="002964FB" w14:paraId="478FFECD" w14:textId="77777777" w:rsidTr="00E87231">
        <w:tc>
          <w:tcPr>
            <w:tcW w:w="831" w:type="pct"/>
            <w:shd w:val="clear" w:color="auto" w:fill="auto"/>
          </w:tcPr>
          <w:p w14:paraId="1DA6EF1E" w14:textId="77777777" w:rsidR="002F5809" w:rsidRPr="00E75B44" w:rsidRDefault="002F5809" w:rsidP="00E87231">
            <w:pPr>
              <w:pStyle w:val="Tablesmalltext"/>
              <w:rPr>
                <w:rFonts w:ascii="Arial Narrow" w:hAnsi="Arial Narrow"/>
              </w:rPr>
            </w:pPr>
            <w:r>
              <w:rPr>
                <w:rFonts w:ascii="Arial Narrow" w:hAnsi="Arial Narrow"/>
              </w:rPr>
              <w:t>Almost Certain</w:t>
            </w:r>
          </w:p>
        </w:tc>
        <w:tc>
          <w:tcPr>
            <w:tcW w:w="2292" w:type="pct"/>
            <w:shd w:val="clear" w:color="auto" w:fill="auto"/>
          </w:tcPr>
          <w:p w14:paraId="28301363" w14:textId="77777777" w:rsidR="002F5809" w:rsidRPr="00A51C9C" w:rsidRDefault="002F5809" w:rsidP="00E87231">
            <w:pPr>
              <w:pStyle w:val="Tablesmalltext"/>
              <w:rPr>
                <w:rFonts w:ascii="Arial Narrow" w:hAnsi="Arial Narrow"/>
              </w:rPr>
            </w:pPr>
            <w:r w:rsidRPr="00A51C9C">
              <w:rPr>
                <w:rFonts w:ascii="Arial Narrow" w:hAnsi="Arial Narrow"/>
              </w:rPr>
              <w:t>Consequences is expected to occur in most circumstances</w:t>
            </w:r>
          </w:p>
        </w:tc>
        <w:tc>
          <w:tcPr>
            <w:tcW w:w="1877" w:type="pct"/>
            <w:shd w:val="clear" w:color="auto" w:fill="auto"/>
          </w:tcPr>
          <w:p w14:paraId="57648D5D" w14:textId="77777777" w:rsidR="002F5809" w:rsidRPr="00A51C9C" w:rsidRDefault="002F5809" w:rsidP="00E87231">
            <w:pPr>
              <w:pStyle w:val="Tablesmalltext"/>
              <w:rPr>
                <w:rFonts w:ascii="Arial Narrow" w:hAnsi="Arial Narrow"/>
              </w:rPr>
            </w:pPr>
            <w:r w:rsidRPr="00A51C9C">
              <w:rPr>
                <w:rFonts w:ascii="Arial Narrow" w:hAnsi="Arial Narrow"/>
              </w:rPr>
              <w:t>Occurs more than once a month</w:t>
            </w:r>
          </w:p>
        </w:tc>
      </w:tr>
      <w:tr w:rsidR="002F5809" w:rsidRPr="002964FB" w14:paraId="4FEFAB52" w14:textId="77777777" w:rsidTr="00E87231">
        <w:tc>
          <w:tcPr>
            <w:tcW w:w="831" w:type="pct"/>
            <w:shd w:val="clear" w:color="auto" w:fill="auto"/>
          </w:tcPr>
          <w:p w14:paraId="7A2EEC64" w14:textId="77777777" w:rsidR="002F5809" w:rsidRPr="00E75B44" w:rsidRDefault="002F5809" w:rsidP="00E87231">
            <w:pPr>
              <w:pStyle w:val="Tablesmalltext"/>
              <w:rPr>
                <w:rFonts w:ascii="Arial Narrow" w:hAnsi="Arial Narrow"/>
              </w:rPr>
            </w:pPr>
            <w:r>
              <w:rPr>
                <w:rFonts w:ascii="Arial Narrow" w:hAnsi="Arial Narrow"/>
              </w:rPr>
              <w:t>Likely</w:t>
            </w:r>
          </w:p>
        </w:tc>
        <w:tc>
          <w:tcPr>
            <w:tcW w:w="2292" w:type="pct"/>
            <w:shd w:val="clear" w:color="auto" w:fill="auto"/>
          </w:tcPr>
          <w:p w14:paraId="752FA412" w14:textId="77777777" w:rsidR="002F5809" w:rsidRPr="00A51C9C" w:rsidRDefault="002F5809" w:rsidP="00E87231">
            <w:pPr>
              <w:pStyle w:val="Tablesmalltext"/>
              <w:rPr>
                <w:rFonts w:ascii="Arial Narrow" w:hAnsi="Arial Narrow"/>
              </w:rPr>
            </w:pPr>
            <w:r w:rsidRPr="00A51C9C">
              <w:rPr>
                <w:rFonts w:ascii="Arial Narrow" w:hAnsi="Arial Narrow"/>
              </w:rPr>
              <w:t>Consequences will probably occur in most circumstances</w:t>
            </w:r>
          </w:p>
        </w:tc>
        <w:tc>
          <w:tcPr>
            <w:tcW w:w="1877" w:type="pct"/>
            <w:shd w:val="clear" w:color="auto" w:fill="auto"/>
          </w:tcPr>
          <w:p w14:paraId="3FB64E89" w14:textId="77777777" w:rsidR="002F5809" w:rsidRPr="00A51C9C" w:rsidRDefault="002F5809" w:rsidP="00E87231">
            <w:pPr>
              <w:pStyle w:val="Tablesmalltext"/>
              <w:rPr>
                <w:rFonts w:ascii="Arial Narrow" w:hAnsi="Arial Narrow"/>
              </w:rPr>
            </w:pPr>
            <w:r w:rsidRPr="00A51C9C">
              <w:rPr>
                <w:rFonts w:ascii="Arial Narrow" w:hAnsi="Arial Narrow"/>
              </w:rPr>
              <w:t>Occurs once every 1 month – 1 year</w:t>
            </w:r>
          </w:p>
        </w:tc>
      </w:tr>
      <w:tr w:rsidR="002F5809" w:rsidRPr="002964FB" w14:paraId="785F008A" w14:textId="77777777" w:rsidTr="00E87231">
        <w:tc>
          <w:tcPr>
            <w:tcW w:w="831" w:type="pct"/>
            <w:shd w:val="clear" w:color="auto" w:fill="auto"/>
          </w:tcPr>
          <w:p w14:paraId="388C428E" w14:textId="77777777" w:rsidR="002F5809" w:rsidRPr="00E75B44" w:rsidRDefault="002F5809" w:rsidP="00E87231">
            <w:pPr>
              <w:pStyle w:val="Tablesmalltext"/>
              <w:rPr>
                <w:rFonts w:ascii="Arial Narrow" w:hAnsi="Arial Narrow"/>
              </w:rPr>
            </w:pPr>
            <w:r>
              <w:rPr>
                <w:rFonts w:ascii="Arial Narrow" w:hAnsi="Arial Narrow"/>
              </w:rPr>
              <w:t>Possible</w:t>
            </w:r>
          </w:p>
        </w:tc>
        <w:tc>
          <w:tcPr>
            <w:tcW w:w="2292" w:type="pct"/>
            <w:shd w:val="clear" w:color="auto" w:fill="auto"/>
          </w:tcPr>
          <w:p w14:paraId="77E20C49" w14:textId="77777777" w:rsidR="002F5809" w:rsidRPr="00A51C9C" w:rsidRDefault="002F5809" w:rsidP="00E87231">
            <w:pPr>
              <w:pStyle w:val="Tablesmalltext"/>
              <w:rPr>
                <w:rFonts w:ascii="Arial Narrow" w:hAnsi="Arial Narrow"/>
              </w:rPr>
            </w:pPr>
            <w:r w:rsidRPr="00A51C9C">
              <w:rPr>
                <w:rFonts w:ascii="Arial Narrow" w:hAnsi="Arial Narrow"/>
              </w:rPr>
              <w:t>Consequences should occur at some time.</w:t>
            </w:r>
          </w:p>
        </w:tc>
        <w:tc>
          <w:tcPr>
            <w:tcW w:w="1877" w:type="pct"/>
            <w:shd w:val="clear" w:color="auto" w:fill="auto"/>
          </w:tcPr>
          <w:p w14:paraId="35FE5065" w14:textId="77777777" w:rsidR="002F5809" w:rsidRPr="00A51C9C" w:rsidRDefault="002F5809" w:rsidP="00E87231">
            <w:pPr>
              <w:pStyle w:val="Tablesmalltext"/>
              <w:rPr>
                <w:rFonts w:ascii="Arial Narrow" w:hAnsi="Arial Narrow"/>
              </w:rPr>
            </w:pPr>
            <w:r w:rsidRPr="00A51C9C">
              <w:rPr>
                <w:rFonts w:ascii="Arial Narrow" w:hAnsi="Arial Narrow"/>
              </w:rPr>
              <w:t>Occurs once every 1 year – 10 years</w:t>
            </w:r>
          </w:p>
        </w:tc>
      </w:tr>
      <w:tr w:rsidR="002F5809" w:rsidRPr="002964FB" w14:paraId="71015A57" w14:textId="77777777" w:rsidTr="00E87231">
        <w:tc>
          <w:tcPr>
            <w:tcW w:w="831" w:type="pct"/>
            <w:shd w:val="clear" w:color="auto" w:fill="auto"/>
          </w:tcPr>
          <w:p w14:paraId="6FA4A3C5" w14:textId="77777777" w:rsidR="002F5809" w:rsidRPr="00E75B44" w:rsidRDefault="002F5809" w:rsidP="00E87231">
            <w:pPr>
              <w:pStyle w:val="Tablesmalltext"/>
              <w:rPr>
                <w:rFonts w:ascii="Arial Narrow" w:hAnsi="Arial Narrow"/>
              </w:rPr>
            </w:pPr>
            <w:r>
              <w:rPr>
                <w:rFonts w:ascii="Arial Narrow" w:hAnsi="Arial Narrow"/>
              </w:rPr>
              <w:t>Unlikely</w:t>
            </w:r>
          </w:p>
        </w:tc>
        <w:tc>
          <w:tcPr>
            <w:tcW w:w="2292" w:type="pct"/>
            <w:shd w:val="clear" w:color="auto" w:fill="auto"/>
          </w:tcPr>
          <w:p w14:paraId="1A2B9D4D" w14:textId="77777777" w:rsidR="002F5809" w:rsidRPr="00A51C9C" w:rsidRDefault="002F5809" w:rsidP="00E87231">
            <w:pPr>
              <w:pStyle w:val="Tablesmalltext"/>
              <w:rPr>
                <w:rFonts w:ascii="Arial Narrow" w:hAnsi="Arial Narrow"/>
              </w:rPr>
            </w:pPr>
            <w:r w:rsidRPr="00A51C9C">
              <w:rPr>
                <w:rFonts w:ascii="Arial Narrow" w:hAnsi="Arial Narrow"/>
              </w:rPr>
              <w:t>Consequences could occur at some time</w:t>
            </w:r>
          </w:p>
        </w:tc>
        <w:tc>
          <w:tcPr>
            <w:tcW w:w="1877" w:type="pct"/>
            <w:shd w:val="clear" w:color="auto" w:fill="auto"/>
          </w:tcPr>
          <w:p w14:paraId="163E59A2" w14:textId="77777777" w:rsidR="002F5809" w:rsidRPr="00A51C9C" w:rsidRDefault="002F5809" w:rsidP="00E87231">
            <w:pPr>
              <w:pStyle w:val="Tablesmalltext"/>
              <w:rPr>
                <w:rFonts w:ascii="Arial Narrow" w:hAnsi="Arial Narrow"/>
              </w:rPr>
            </w:pPr>
            <w:r w:rsidRPr="00A51C9C">
              <w:rPr>
                <w:rFonts w:ascii="Arial Narrow" w:hAnsi="Arial Narrow"/>
              </w:rPr>
              <w:t>Occurs once every 10 years - 100 years</w:t>
            </w:r>
          </w:p>
        </w:tc>
      </w:tr>
      <w:tr w:rsidR="002F5809" w:rsidRPr="002964FB" w14:paraId="1A72F369" w14:textId="77777777" w:rsidTr="00E87231">
        <w:tc>
          <w:tcPr>
            <w:tcW w:w="831" w:type="pct"/>
            <w:shd w:val="clear" w:color="auto" w:fill="auto"/>
          </w:tcPr>
          <w:p w14:paraId="5BF3A82D" w14:textId="77777777" w:rsidR="002F5809" w:rsidRPr="00E75B44" w:rsidRDefault="002F5809" w:rsidP="00E87231">
            <w:pPr>
              <w:pStyle w:val="Tablesmalltext"/>
              <w:rPr>
                <w:rFonts w:ascii="Arial Narrow" w:hAnsi="Arial Narrow"/>
              </w:rPr>
            </w:pPr>
            <w:r>
              <w:rPr>
                <w:rFonts w:ascii="Arial Narrow" w:hAnsi="Arial Narrow"/>
              </w:rPr>
              <w:t>Rare</w:t>
            </w:r>
          </w:p>
        </w:tc>
        <w:tc>
          <w:tcPr>
            <w:tcW w:w="2292" w:type="pct"/>
            <w:shd w:val="clear" w:color="auto" w:fill="auto"/>
          </w:tcPr>
          <w:p w14:paraId="2D87A7D5" w14:textId="77777777" w:rsidR="002F5809" w:rsidRPr="00A51C9C" w:rsidRDefault="002F5809" w:rsidP="00E87231">
            <w:pPr>
              <w:pStyle w:val="Tablesmalltext"/>
              <w:rPr>
                <w:rFonts w:ascii="Arial Narrow" w:hAnsi="Arial Narrow"/>
              </w:rPr>
            </w:pPr>
            <w:r w:rsidRPr="00A51C9C">
              <w:rPr>
                <w:rFonts w:ascii="Arial Narrow" w:hAnsi="Arial Narrow"/>
              </w:rPr>
              <w:t>Consequences may only occur in exceptional circumstances</w:t>
            </w:r>
          </w:p>
        </w:tc>
        <w:tc>
          <w:tcPr>
            <w:tcW w:w="1877" w:type="pct"/>
            <w:shd w:val="clear" w:color="auto" w:fill="auto"/>
          </w:tcPr>
          <w:p w14:paraId="483E55EB" w14:textId="77777777" w:rsidR="002F5809" w:rsidRPr="00A51C9C" w:rsidRDefault="002F5809" w:rsidP="00E87231">
            <w:pPr>
              <w:pStyle w:val="Tablesmalltext"/>
              <w:rPr>
                <w:rFonts w:ascii="Arial Narrow" w:hAnsi="Arial Narrow"/>
              </w:rPr>
            </w:pPr>
            <w:r w:rsidRPr="00A51C9C">
              <w:rPr>
                <w:rFonts w:ascii="Arial Narrow" w:hAnsi="Arial Narrow"/>
              </w:rPr>
              <w:t>Occurs less than once every 100 years</w:t>
            </w:r>
          </w:p>
        </w:tc>
      </w:tr>
    </w:tbl>
    <w:p w14:paraId="31262752" w14:textId="77777777" w:rsidR="00B36E97" w:rsidRDefault="00B36E97" w:rsidP="002F5809">
      <w:pPr>
        <w:pStyle w:val="Heading4noTOC"/>
        <w:rPr>
          <w:color w:val="65876D" w:themeColor="accent4" w:themeShade="BF"/>
          <w:lang w:eastAsia="en-US"/>
        </w:rPr>
      </w:pPr>
    </w:p>
    <w:p w14:paraId="1F973586" w14:textId="602972CE" w:rsidR="002F5809" w:rsidRPr="005C32F1" w:rsidRDefault="002F5809" w:rsidP="002F5809">
      <w:pPr>
        <w:pStyle w:val="Heading4noTOC"/>
        <w:rPr>
          <w:i/>
          <w:color w:val="auto"/>
          <w:lang w:eastAsia="en-US"/>
        </w:rPr>
      </w:pPr>
      <w:r w:rsidRPr="005C32F1">
        <w:rPr>
          <w:i/>
          <w:color w:val="auto"/>
          <w:lang w:eastAsia="en-US"/>
        </w:rPr>
        <w:t>Consequence</w:t>
      </w:r>
    </w:p>
    <w:p w14:paraId="2B0306F8" w14:textId="124B26E9" w:rsidR="002F5809" w:rsidRDefault="002F5809" w:rsidP="00B36E97">
      <w:r w:rsidRPr="00443137">
        <w:t>Five levels of consequence have been utilised for assessing the relative impact, ranging from insignificant to severe</w:t>
      </w:r>
      <w:r w:rsidR="00B36E97">
        <w:t>, as described in the table below</w:t>
      </w:r>
      <w:r w:rsidRPr="00443137">
        <w:t xml:space="preserve">. </w:t>
      </w:r>
    </w:p>
    <w:tbl>
      <w:tblPr>
        <w:tblW w:w="498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295"/>
        <w:gridCol w:w="1299"/>
        <w:gridCol w:w="1786"/>
        <w:gridCol w:w="1946"/>
        <w:gridCol w:w="1621"/>
        <w:gridCol w:w="1940"/>
      </w:tblGrid>
      <w:tr w:rsidR="002F5809" w:rsidRPr="00E75B44" w14:paraId="3FCF28ED" w14:textId="77777777" w:rsidTr="00B36E97">
        <w:trPr>
          <w:tblHeader/>
        </w:trPr>
        <w:tc>
          <w:tcPr>
            <w:tcW w:w="655" w:type="pct"/>
            <w:vMerge w:val="restart"/>
            <w:shd w:val="clear" w:color="auto" w:fill="D9D9D9"/>
            <w:vAlign w:val="center"/>
          </w:tcPr>
          <w:p w14:paraId="2E2F26B2" w14:textId="77777777" w:rsidR="002F5809" w:rsidRDefault="002F5809" w:rsidP="00B36E97">
            <w:pPr>
              <w:pStyle w:val="Tablesmallheading"/>
              <w:jc w:val="center"/>
              <w:rPr>
                <w:caps/>
                <w:color w:val="7AC143"/>
                <w:szCs w:val="36"/>
              </w:rPr>
            </w:pPr>
            <w:r w:rsidRPr="00B36E97">
              <w:rPr>
                <w:caps/>
                <w:color w:val="65876D" w:themeColor="accent4" w:themeShade="BF"/>
                <w:szCs w:val="36"/>
              </w:rPr>
              <w:t>Category</w:t>
            </w:r>
          </w:p>
        </w:tc>
        <w:tc>
          <w:tcPr>
            <w:tcW w:w="4345" w:type="pct"/>
            <w:gridSpan w:val="5"/>
            <w:shd w:val="clear" w:color="auto" w:fill="D9D9D9"/>
          </w:tcPr>
          <w:p w14:paraId="61EC42E5" w14:textId="77777777" w:rsidR="002F5809" w:rsidRPr="00E75B44" w:rsidRDefault="002F5809" w:rsidP="00E87231">
            <w:pPr>
              <w:pStyle w:val="Tablesmallheading"/>
              <w:jc w:val="center"/>
              <w:rPr>
                <w:caps/>
                <w:color w:val="7AC143"/>
                <w:szCs w:val="36"/>
              </w:rPr>
            </w:pPr>
            <w:r w:rsidRPr="00B36E97">
              <w:rPr>
                <w:caps/>
                <w:color w:val="65876D" w:themeColor="accent4" w:themeShade="BF"/>
                <w:szCs w:val="36"/>
              </w:rPr>
              <w:t>Consequence</w:t>
            </w:r>
          </w:p>
        </w:tc>
      </w:tr>
      <w:tr w:rsidR="002F5809" w:rsidRPr="001B0F9B" w14:paraId="7BD1391A" w14:textId="77777777" w:rsidTr="00B36E97">
        <w:trPr>
          <w:tblHeader/>
        </w:trPr>
        <w:tc>
          <w:tcPr>
            <w:tcW w:w="655" w:type="pct"/>
            <w:vMerge/>
            <w:shd w:val="clear" w:color="auto" w:fill="D9D9D9"/>
          </w:tcPr>
          <w:p w14:paraId="0961EEDB" w14:textId="77777777" w:rsidR="002F5809" w:rsidRPr="00E75B44" w:rsidRDefault="002F5809" w:rsidP="00E87231">
            <w:pPr>
              <w:pStyle w:val="Tablesmallheading"/>
              <w:jc w:val="center"/>
              <w:rPr>
                <w:caps/>
                <w:color w:val="7AC143"/>
                <w:szCs w:val="36"/>
              </w:rPr>
            </w:pPr>
          </w:p>
        </w:tc>
        <w:tc>
          <w:tcPr>
            <w:tcW w:w="657" w:type="pct"/>
            <w:shd w:val="clear" w:color="auto" w:fill="D9D9D9"/>
          </w:tcPr>
          <w:p w14:paraId="0D150A79" w14:textId="77777777" w:rsidR="002F5809" w:rsidRPr="001B0F9B" w:rsidRDefault="002F5809" w:rsidP="00E87231">
            <w:pPr>
              <w:pStyle w:val="Tablesmallheading"/>
              <w:jc w:val="center"/>
              <w:rPr>
                <w:rFonts w:ascii="Arial Narrow" w:hAnsi="Arial Narrow"/>
                <w:szCs w:val="36"/>
              </w:rPr>
            </w:pPr>
            <w:r w:rsidRPr="001B0F9B">
              <w:rPr>
                <w:rFonts w:ascii="Arial Narrow" w:hAnsi="Arial Narrow"/>
                <w:szCs w:val="36"/>
              </w:rPr>
              <w:t>Insignificant</w:t>
            </w:r>
          </w:p>
        </w:tc>
        <w:tc>
          <w:tcPr>
            <w:tcW w:w="903" w:type="pct"/>
            <w:shd w:val="clear" w:color="auto" w:fill="D9D9D9"/>
          </w:tcPr>
          <w:p w14:paraId="7B3F7F4C" w14:textId="77777777" w:rsidR="002F5809" w:rsidRPr="001B0F9B" w:rsidRDefault="002F5809" w:rsidP="00E87231">
            <w:pPr>
              <w:pStyle w:val="Tablesmallheading"/>
              <w:jc w:val="center"/>
              <w:rPr>
                <w:rFonts w:ascii="Arial Narrow" w:hAnsi="Arial Narrow"/>
                <w:szCs w:val="36"/>
              </w:rPr>
            </w:pPr>
            <w:r w:rsidRPr="001B0F9B">
              <w:rPr>
                <w:rFonts w:ascii="Arial Narrow" w:hAnsi="Arial Narrow"/>
                <w:szCs w:val="36"/>
              </w:rPr>
              <w:t>Minor</w:t>
            </w:r>
          </w:p>
        </w:tc>
        <w:tc>
          <w:tcPr>
            <w:tcW w:w="984" w:type="pct"/>
            <w:shd w:val="clear" w:color="auto" w:fill="D9D9D9"/>
          </w:tcPr>
          <w:p w14:paraId="4E03816B" w14:textId="77777777" w:rsidR="002F5809" w:rsidRPr="001B0F9B" w:rsidRDefault="002F5809" w:rsidP="00E87231">
            <w:pPr>
              <w:pStyle w:val="Tablesmallheading"/>
              <w:jc w:val="center"/>
              <w:rPr>
                <w:rFonts w:ascii="Arial Narrow" w:hAnsi="Arial Narrow"/>
                <w:szCs w:val="36"/>
              </w:rPr>
            </w:pPr>
            <w:r w:rsidRPr="001B0F9B">
              <w:rPr>
                <w:rFonts w:ascii="Arial Narrow" w:hAnsi="Arial Narrow"/>
                <w:szCs w:val="36"/>
              </w:rPr>
              <w:t>Moderate</w:t>
            </w:r>
          </w:p>
        </w:tc>
        <w:tc>
          <w:tcPr>
            <w:tcW w:w="820" w:type="pct"/>
            <w:shd w:val="clear" w:color="auto" w:fill="D9D9D9"/>
          </w:tcPr>
          <w:p w14:paraId="7788B49E" w14:textId="77777777" w:rsidR="002F5809" w:rsidRPr="001B0F9B" w:rsidRDefault="002F5809" w:rsidP="00E87231">
            <w:pPr>
              <w:pStyle w:val="Tablesmallheading"/>
              <w:jc w:val="center"/>
              <w:rPr>
                <w:rFonts w:ascii="Arial Narrow" w:hAnsi="Arial Narrow"/>
                <w:szCs w:val="36"/>
              </w:rPr>
            </w:pPr>
            <w:r w:rsidRPr="001B0F9B">
              <w:rPr>
                <w:rFonts w:ascii="Arial Narrow" w:hAnsi="Arial Narrow"/>
                <w:szCs w:val="36"/>
              </w:rPr>
              <w:t>Major</w:t>
            </w:r>
          </w:p>
        </w:tc>
        <w:tc>
          <w:tcPr>
            <w:tcW w:w="981" w:type="pct"/>
            <w:shd w:val="clear" w:color="auto" w:fill="D9D9D9"/>
          </w:tcPr>
          <w:p w14:paraId="52860DEE" w14:textId="77777777" w:rsidR="002F5809" w:rsidRPr="001B0F9B" w:rsidRDefault="002F5809" w:rsidP="00E87231">
            <w:pPr>
              <w:pStyle w:val="Tablesmallheading"/>
              <w:jc w:val="center"/>
              <w:rPr>
                <w:rFonts w:ascii="Arial Narrow" w:hAnsi="Arial Narrow"/>
                <w:szCs w:val="36"/>
              </w:rPr>
            </w:pPr>
            <w:r w:rsidRPr="001B0F9B">
              <w:rPr>
                <w:rFonts w:ascii="Arial Narrow" w:hAnsi="Arial Narrow"/>
                <w:szCs w:val="36"/>
              </w:rPr>
              <w:t>Severe</w:t>
            </w:r>
          </w:p>
        </w:tc>
      </w:tr>
      <w:tr w:rsidR="002F5809" w:rsidRPr="00A51C9C" w14:paraId="645AFDDA" w14:textId="77777777" w:rsidTr="00B36E97">
        <w:tc>
          <w:tcPr>
            <w:tcW w:w="655" w:type="pct"/>
            <w:shd w:val="clear" w:color="auto" w:fill="D9D9D9"/>
          </w:tcPr>
          <w:p w14:paraId="24888BE4" w14:textId="77777777" w:rsidR="002F5809" w:rsidRPr="001B0F9B" w:rsidRDefault="002F5809" w:rsidP="00E87231">
            <w:pPr>
              <w:pStyle w:val="Tablesmallheading"/>
              <w:rPr>
                <w:rFonts w:ascii="Arial Narrow" w:hAnsi="Arial Narrow"/>
                <w:szCs w:val="36"/>
              </w:rPr>
            </w:pPr>
            <w:r>
              <w:rPr>
                <w:rFonts w:ascii="Arial Narrow" w:hAnsi="Arial Narrow"/>
                <w:szCs w:val="36"/>
              </w:rPr>
              <w:t>Corporate and Governance</w:t>
            </w:r>
          </w:p>
        </w:tc>
        <w:tc>
          <w:tcPr>
            <w:tcW w:w="657" w:type="pct"/>
            <w:shd w:val="clear" w:color="auto" w:fill="auto"/>
          </w:tcPr>
          <w:p w14:paraId="256B5D9B" w14:textId="77777777" w:rsidR="002F5809" w:rsidRPr="001B0F9B" w:rsidRDefault="002F5809" w:rsidP="00E87231">
            <w:pPr>
              <w:pStyle w:val="Tablesmalltext"/>
              <w:rPr>
                <w:rFonts w:ascii="Arial Narrow" w:hAnsi="Arial Narrow"/>
              </w:rPr>
            </w:pPr>
            <w:r w:rsidRPr="001B0F9B">
              <w:rPr>
                <w:rFonts w:ascii="Arial Narrow" w:hAnsi="Arial Narrow"/>
              </w:rPr>
              <w:t>Negligible impact on critical objectives. Minor impact on group objectives.</w:t>
            </w:r>
          </w:p>
          <w:p w14:paraId="22F2CA7E" w14:textId="77777777" w:rsidR="002F5809" w:rsidRPr="00A51C9C" w:rsidRDefault="002F5809" w:rsidP="00E87231">
            <w:pPr>
              <w:pStyle w:val="Tablesmalltext"/>
              <w:rPr>
                <w:rFonts w:ascii="Arial Narrow" w:hAnsi="Arial Narrow"/>
              </w:rPr>
            </w:pPr>
            <w:r w:rsidRPr="001B0F9B">
              <w:rPr>
                <w:rFonts w:ascii="Arial Narrow" w:hAnsi="Arial Narrow"/>
              </w:rPr>
              <w:t>Impact can be managed through routine activities.</w:t>
            </w:r>
          </w:p>
        </w:tc>
        <w:tc>
          <w:tcPr>
            <w:tcW w:w="903" w:type="pct"/>
            <w:shd w:val="clear" w:color="auto" w:fill="auto"/>
          </w:tcPr>
          <w:p w14:paraId="574F0CAD" w14:textId="77777777" w:rsidR="002F5809" w:rsidRPr="001B0F9B" w:rsidRDefault="002F5809" w:rsidP="00E87231">
            <w:pPr>
              <w:pStyle w:val="Tablesmalltext"/>
              <w:rPr>
                <w:rFonts w:ascii="Arial Narrow" w:hAnsi="Arial Narrow"/>
              </w:rPr>
            </w:pPr>
            <w:r w:rsidRPr="001B0F9B">
              <w:rPr>
                <w:rFonts w:ascii="Arial Narrow" w:hAnsi="Arial Narrow"/>
              </w:rPr>
              <w:t>Negligible impact on corporate objectives, major impact on group objectives.</w:t>
            </w:r>
          </w:p>
          <w:p w14:paraId="0EA63EF0" w14:textId="77777777" w:rsidR="002F5809" w:rsidRPr="00A51C9C" w:rsidRDefault="002F5809" w:rsidP="00E87231">
            <w:pPr>
              <w:pStyle w:val="Tablesmalltext"/>
              <w:rPr>
                <w:rFonts w:ascii="Arial Narrow" w:hAnsi="Arial Narrow"/>
              </w:rPr>
            </w:pPr>
            <w:r w:rsidRPr="001B0F9B">
              <w:rPr>
                <w:rFonts w:ascii="Arial Narrow" w:hAnsi="Arial Narrow"/>
              </w:rPr>
              <w:t>Impact requires moderate to minor internal management efforts required to manage impact.</w:t>
            </w:r>
          </w:p>
        </w:tc>
        <w:tc>
          <w:tcPr>
            <w:tcW w:w="984" w:type="pct"/>
            <w:shd w:val="clear" w:color="auto" w:fill="auto"/>
          </w:tcPr>
          <w:p w14:paraId="1AC93ADB" w14:textId="77777777" w:rsidR="002F5809" w:rsidRPr="001B0F9B" w:rsidRDefault="002F5809" w:rsidP="00E87231">
            <w:pPr>
              <w:pStyle w:val="Tablesmalltext"/>
              <w:rPr>
                <w:rFonts w:ascii="Arial Narrow" w:hAnsi="Arial Narrow"/>
              </w:rPr>
            </w:pPr>
            <w:r w:rsidRPr="001B0F9B">
              <w:rPr>
                <w:rFonts w:ascii="Arial Narrow" w:hAnsi="Arial Narrow"/>
              </w:rPr>
              <w:t>Minor impact on corporate objectives.</w:t>
            </w:r>
          </w:p>
          <w:p w14:paraId="34E3A9D8" w14:textId="77777777" w:rsidR="002F5809" w:rsidRPr="00A51C9C" w:rsidRDefault="002F5809" w:rsidP="00E87231">
            <w:pPr>
              <w:pStyle w:val="Tablesmalltext"/>
              <w:rPr>
                <w:rFonts w:ascii="Arial Narrow" w:hAnsi="Arial Narrow"/>
              </w:rPr>
            </w:pPr>
            <w:r w:rsidRPr="001B0F9B">
              <w:rPr>
                <w:rFonts w:ascii="Arial Narrow" w:hAnsi="Arial Narrow"/>
              </w:rPr>
              <w:t>Impact requires management and resources from key areas of business to respond.</w:t>
            </w:r>
          </w:p>
        </w:tc>
        <w:tc>
          <w:tcPr>
            <w:tcW w:w="820" w:type="pct"/>
            <w:shd w:val="clear" w:color="auto" w:fill="auto"/>
          </w:tcPr>
          <w:p w14:paraId="1CF7857C" w14:textId="77777777" w:rsidR="002F5809" w:rsidRPr="001B0F9B" w:rsidRDefault="002F5809" w:rsidP="00E87231">
            <w:pPr>
              <w:pStyle w:val="Tablesmalltext"/>
              <w:rPr>
                <w:rFonts w:ascii="Arial Narrow" w:hAnsi="Arial Narrow"/>
              </w:rPr>
            </w:pPr>
            <w:r w:rsidRPr="001B0F9B">
              <w:rPr>
                <w:rFonts w:ascii="Arial Narrow" w:hAnsi="Arial Narrow"/>
              </w:rPr>
              <w:t>Major impact on corporate objectives.</w:t>
            </w:r>
          </w:p>
          <w:p w14:paraId="5EC89A7F" w14:textId="77777777" w:rsidR="002F5809" w:rsidRPr="001B0F9B" w:rsidRDefault="002F5809" w:rsidP="00E87231">
            <w:pPr>
              <w:pStyle w:val="Tablesmalltext"/>
              <w:rPr>
                <w:rFonts w:ascii="Arial Narrow" w:hAnsi="Arial Narrow"/>
              </w:rPr>
            </w:pPr>
            <w:r w:rsidRPr="001B0F9B">
              <w:rPr>
                <w:rFonts w:ascii="Arial Narrow" w:hAnsi="Arial Narrow"/>
              </w:rPr>
              <w:t>Impact requires long term significant management and organisational resources to respond.</w:t>
            </w:r>
          </w:p>
        </w:tc>
        <w:tc>
          <w:tcPr>
            <w:tcW w:w="981" w:type="pct"/>
            <w:shd w:val="clear" w:color="auto" w:fill="auto"/>
          </w:tcPr>
          <w:p w14:paraId="50DBD9AB" w14:textId="77777777" w:rsidR="002F5809" w:rsidRPr="001B0F9B" w:rsidRDefault="002F5809" w:rsidP="00E87231">
            <w:pPr>
              <w:pStyle w:val="Tablesmalltext"/>
              <w:rPr>
                <w:rFonts w:ascii="Arial Narrow" w:hAnsi="Arial Narrow"/>
              </w:rPr>
            </w:pPr>
            <w:r w:rsidRPr="001B0F9B">
              <w:rPr>
                <w:rFonts w:ascii="Arial Narrow" w:hAnsi="Arial Narrow"/>
              </w:rPr>
              <w:t>Significant impact on critical DEWNR objectives.</w:t>
            </w:r>
          </w:p>
          <w:p w14:paraId="1D3A65AA" w14:textId="77777777" w:rsidR="002F5809" w:rsidRPr="00A51C9C" w:rsidRDefault="002F5809" w:rsidP="00E87231">
            <w:pPr>
              <w:pStyle w:val="Tablesmalltext"/>
              <w:rPr>
                <w:rFonts w:ascii="Arial Narrow" w:hAnsi="Arial Narrow"/>
              </w:rPr>
            </w:pPr>
            <w:r w:rsidRPr="001B0F9B">
              <w:rPr>
                <w:rFonts w:ascii="Arial Narrow" w:hAnsi="Arial Narrow"/>
              </w:rPr>
              <w:t>Impact cannot be managed within existing resources and threatens survival of the department.</w:t>
            </w:r>
          </w:p>
        </w:tc>
      </w:tr>
      <w:tr w:rsidR="002F5809" w:rsidRPr="00A51C9C" w14:paraId="32272D6A" w14:textId="77777777" w:rsidTr="00B36E97">
        <w:tc>
          <w:tcPr>
            <w:tcW w:w="655" w:type="pct"/>
            <w:shd w:val="clear" w:color="auto" w:fill="D9D9D9"/>
          </w:tcPr>
          <w:p w14:paraId="11C97EE5" w14:textId="77777777" w:rsidR="002F5809" w:rsidRPr="001B0F9B" w:rsidRDefault="002F5809" w:rsidP="00E87231">
            <w:pPr>
              <w:pStyle w:val="Tablesmallheading"/>
              <w:rPr>
                <w:rFonts w:ascii="Arial Narrow" w:hAnsi="Arial Narrow"/>
                <w:szCs w:val="36"/>
              </w:rPr>
            </w:pPr>
            <w:r>
              <w:rPr>
                <w:rFonts w:ascii="Arial Narrow" w:hAnsi="Arial Narrow"/>
                <w:szCs w:val="36"/>
              </w:rPr>
              <w:t>Financial</w:t>
            </w:r>
          </w:p>
        </w:tc>
        <w:tc>
          <w:tcPr>
            <w:tcW w:w="657" w:type="pct"/>
            <w:shd w:val="clear" w:color="auto" w:fill="auto"/>
          </w:tcPr>
          <w:p w14:paraId="7A15E3D7" w14:textId="77777777" w:rsidR="002F5809" w:rsidRPr="001B0F9B" w:rsidRDefault="002F5809" w:rsidP="00E87231">
            <w:pPr>
              <w:pStyle w:val="Tablesmalltext"/>
              <w:rPr>
                <w:rFonts w:ascii="Arial Narrow" w:hAnsi="Arial Narrow"/>
              </w:rPr>
            </w:pPr>
            <w:r w:rsidRPr="001B0F9B">
              <w:rPr>
                <w:rFonts w:ascii="Arial Narrow" w:hAnsi="Arial Narrow"/>
              </w:rPr>
              <w:t>Less than $100,000, negligible impact on overall budget.</w:t>
            </w:r>
          </w:p>
          <w:p w14:paraId="34D2A857" w14:textId="77777777" w:rsidR="002F5809" w:rsidRPr="00A51C9C" w:rsidRDefault="002F5809" w:rsidP="00E87231">
            <w:pPr>
              <w:pStyle w:val="Tablesmalltext"/>
              <w:rPr>
                <w:rFonts w:ascii="Arial Narrow" w:hAnsi="Arial Narrow"/>
              </w:rPr>
            </w:pPr>
            <w:r w:rsidRPr="001B0F9B">
              <w:rPr>
                <w:rFonts w:ascii="Arial Narrow" w:hAnsi="Arial Narrow"/>
              </w:rPr>
              <w:t>Assets receive minimal damage and are only temporarily unavailable.</w:t>
            </w:r>
          </w:p>
        </w:tc>
        <w:tc>
          <w:tcPr>
            <w:tcW w:w="903" w:type="pct"/>
            <w:shd w:val="clear" w:color="auto" w:fill="auto"/>
          </w:tcPr>
          <w:p w14:paraId="1090E78D" w14:textId="77777777" w:rsidR="002F5809" w:rsidRPr="001B0F9B" w:rsidRDefault="002F5809" w:rsidP="00E87231">
            <w:pPr>
              <w:pStyle w:val="Tablesmalltext"/>
              <w:rPr>
                <w:rFonts w:ascii="Arial Narrow" w:hAnsi="Arial Narrow"/>
              </w:rPr>
            </w:pPr>
            <w:r w:rsidRPr="001B0F9B">
              <w:rPr>
                <w:rFonts w:ascii="Arial Narrow" w:hAnsi="Arial Narrow"/>
              </w:rPr>
              <w:t>$100,000 - $500,000 financial impact on budget or 2% deviation from corporate budget, or 5% deviation from unit/program budget</w:t>
            </w:r>
          </w:p>
          <w:p w14:paraId="220FCCD0" w14:textId="4CA045F3" w:rsidR="002F5809" w:rsidRPr="00A51C9C" w:rsidRDefault="005C4005" w:rsidP="00E87231">
            <w:pPr>
              <w:pStyle w:val="Tablesmalltext"/>
              <w:rPr>
                <w:rFonts w:ascii="Arial Narrow" w:hAnsi="Arial Narrow"/>
              </w:rPr>
            </w:pPr>
            <w:r w:rsidRPr="001B0F9B">
              <w:rPr>
                <w:rFonts w:ascii="Arial Narrow" w:hAnsi="Arial Narrow"/>
              </w:rPr>
              <w:t>Several</w:t>
            </w:r>
            <w:r w:rsidR="002F5809" w:rsidRPr="001B0F9B">
              <w:rPr>
                <w:rFonts w:ascii="Arial Narrow" w:hAnsi="Arial Narrow"/>
              </w:rPr>
              <w:t xml:space="preserve"> assets unusable but can be replaced within acceptable timeframes</w:t>
            </w:r>
          </w:p>
        </w:tc>
        <w:tc>
          <w:tcPr>
            <w:tcW w:w="984" w:type="pct"/>
            <w:shd w:val="clear" w:color="auto" w:fill="auto"/>
          </w:tcPr>
          <w:p w14:paraId="53311111" w14:textId="77777777" w:rsidR="002F5809" w:rsidRPr="001B0F9B" w:rsidRDefault="002F5809" w:rsidP="00E87231">
            <w:pPr>
              <w:pStyle w:val="Tablesmalltext"/>
              <w:rPr>
                <w:rFonts w:ascii="Arial Narrow" w:hAnsi="Arial Narrow"/>
              </w:rPr>
            </w:pPr>
            <w:r w:rsidRPr="001B0F9B">
              <w:rPr>
                <w:rFonts w:ascii="Arial Narrow" w:hAnsi="Arial Narrow" w:hint="eastAsia"/>
              </w:rPr>
              <w:t xml:space="preserve">$500,000 - $1M financial impact on budget or 2% </w:t>
            </w:r>
            <w:r w:rsidRPr="001B0F9B">
              <w:rPr>
                <w:rFonts w:ascii="Arial Narrow" w:hAnsi="Arial Narrow" w:hint="eastAsia"/>
              </w:rPr>
              <w:t>→</w:t>
            </w:r>
            <w:r w:rsidRPr="001B0F9B">
              <w:rPr>
                <w:rFonts w:ascii="Arial Narrow" w:hAnsi="Arial Narrow" w:hint="eastAsia"/>
              </w:rPr>
              <w:t xml:space="preserve"> 5% deviation from corporate budget, or 5% </w:t>
            </w:r>
            <w:r w:rsidRPr="001B0F9B">
              <w:rPr>
                <w:rFonts w:ascii="Arial Narrow" w:hAnsi="Arial Narrow" w:hint="eastAsia"/>
              </w:rPr>
              <w:t>→</w:t>
            </w:r>
            <w:r w:rsidRPr="001B0F9B">
              <w:rPr>
                <w:rFonts w:ascii="Arial Narrow" w:hAnsi="Arial Narrow" w:hint="eastAsia"/>
              </w:rPr>
              <w:t xml:space="preserve"> 15% deviation from unit/program budget.</w:t>
            </w:r>
          </w:p>
          <w:p w14:paraId="1C689A49" w14:textId="77777777" w:rsidR="002F5809" w:rsidRPr="00A51C9C" w:rsidRDefault="002F5809" w:rsidP="00E87231">
            <w:pPr>
              <w:pStyle w:val="Tablesmalltext"/>
              <w:rPr>
                <w:rFonts w:ascii="Arial Narrow" w:hAnsi="Arial Narrow"/>
              </w:rPr>
            </w:pPr>
            <w:r w:rsidRPr="001B0F9B">
              <w:rPr>
                <w:rFonts w:ascii="Arial Narrow" w:hAnsi="Arial Narrow"/>
              </w:rPr>
              <w:t>A range of assets, including some significant assets, are unusable for weeks.</w:t>
            </w:r>
          </w:p>
        </w:tc>
        <w:tc>
          <w:tcPr>
            <w:tcW w:w="820" w:type="pct"/>
            <w:shd w:val="clear" w:color="auto" w:fill="auto"/>
          </w:tcPr>
          <w:p w14:paraId="73F3A594" w14:textId="77777777" w:rsidR="002F5809" w:rsidRPr="001B0F9B" w:rsidRDefault="002F5809" w:rsidP="00E87231">
            <w:pPr>
              <w:pStyle w:val="Tablesmalltext"/>
              <w:rPr>
                <w:rFonts w:ascii="Arial Narrow" w:hAnsi="Arial Narrow"/>
              </w:rPr>
            </w:pPr>
            <w:r w:rsidRPr="001B0F9B">
              <w:rPr>
                <w:rFonts w:ascii="Arial Narrow" w:hAnsi="Arial Narrow" w:hint="eastAsia"/>
              </w:rPr>
              <w:t xml:space="preserve">$1M - $2M financial impact on budget or 5% </w:t>
            </w:r>
            <w:r w:rsidRPr="001B0F9B">
              <w:rPr>
                <w:rFonts w:ascii="Arial Narrow" w:hAnsi="Arial Narrow" w:hint="eastAsia"/>
              </w:rPr>
              <w:t>→</w:t>
            </w:r>
            <w:r w:rsidRPr="001B0F9B">
              <w:rPr>
                <w:rFonts w:ascii="Arial Narrow" w:hAnsi="Arial Narrow" w:hint="eastAsia"/>
              </w:rPr>
              <w:t xml:space="preserve"> 15% deviation from corporate budget, or 15% </w:t>
            </w:r>
            <w:r w:rsidRPr="001B0F9B">
              <w:rPr>
                <w:rFonts w:ascii="Arial Narrow" w:hAnsi="Arial Narrow" w:hint="eastAsia"/>
              </w:rPr>
              <w:t>→</w:t>
            </w:r>
            <w:r w:rsidRPr="001B0F9B">
              <w:rPr>
                <w:rFonts w:ascii="Arial Narrow" w:hAnsi="Arial Narrow" w:hint="eastAsia"/>
              </w:rPr>
              <w:t xml:space="preserve"> 30% deviation from unit/program budget.</w:t>
            </w:r>
          </w:p>
          <w:p w14:paraId="65240E68" w14:textId="77777777" w:rsidR="002F5809" w:rsidRPr="00A51C9C" w:rsidRDefault="002F5809" w:rsidP="00E87231">
            <w:pPr>
              <w:pStyle w:val="Tablesmalltext"/>
              <w:rPr>
                <w:rFonts w:ascii="Arial Narrow" w:hAnsi="Arial Narrow"/>
              </w:rPr>
            </w:pPr>
            <w:r w:rsidRPr="001B0F9B">
              <w:rPr>
                <w:rFonts w:ascii="Arial Narrow" w:hAnsi="Arial Narrow"/>
              </w:rPr>
              <w:t>Significant or critical assets are unusable for weeks.</w:t>
            </w:r>
          </w:p>
        </w:tc>
        <w:tc>
          <w:tcPr>
            <w:tcW w:w="981" w:type="pct"/>
            <w:shd w:val="clear" w:color="auto" w:fill="auto"/>
          </w:tcPr>
          <w:p w14:paraId="33499E7F" w14:textId="77777777" w:rsidR="002F5809" w:rsidRPr="001B0F9B" w:rsidRDefault="002F5809" w:rsidP="00E87231">
            <w:pPr>
              <w:pStyle w:val="Tablesmalltext"/>
              <w:rPr>
                <w:rFonts w:ascii="Arial Narrow" w:hAnsi="Arial Narrow"/>
              </w:rPr>
            </w:pPr>
            <w:r w:rsidRPr="001B0F9B">
              <w:rPr>
                <w:rFonts w:ascii="Arial Narrow" w:hAnsi="Arial Narrow"/>
              </w:rPr>
              <w:t>Significant adverse impact on State budget</w:t>
            </w:r>
          </w:p>
          <w:p w14:paraId="2A524B80" w14:textId="77777777" w:rsidR="002F5809" w:rsidRPr="00A51C9C" w:rsidRDefault="002F5809" w:rsidP="00E87231">
            <w:pPr>
              <w:pStyle w:val="Tablesmalltext"/>
              <w:rPr>
                <w:rFonts w:ascii="Arial Narrow" w:hAnsi="Arial Narrow"/>
              </w:rPr>
            </w:pPr>
            <w:r w:rsidRPr="001B0F9B">
              <w:rPr>
                <w:rFonts w:ascii="Arial Narrow" w:hAnsi="Arial Narrow"/>
              </w:rPr>
              <w:t>Greater than $2M, financial impact on budget.</w:t>
            </w:r>
          </w:p>
        </w:tc>
      </w:tr>
      <w:tr w:rsidR="002F5809" w:rsidRPr="00A51C9C" w14:paraId="3F87105C" w14:textId="77777777" w:rsidTr="00B36E97">
        <w:tc>
          <w:tcPr>
            <w:tcW w:w="655" w:type="pct"/>
            <w:shd w:val="clear" w:color="auto" w:fill="D9D9D9"/>
          </w:tcPr>
          <w:p w14:paraId="24061307" w14:textId="77777777" w:rsidR="002F5809" w:rsidRPr="001B0F9B" w:rsidRDefault="002F5809" w:rsidP="00E87231">
            <w:pPr>
              <w:pStyle w:val="Tablesmallheading"/>
              <w:rPr>
                <w:rFonts w:ascii="Arial Narrow" w:hAnsi="Arial Narrow"/>
                <w:szCs w:val="36"/>
              </w:rPr>
            </w:pPr>
            <w:r>
              <w:rPr>
                <w:rFonts w:ascii="Arial Narrow" w:hAnsi="Arial Narrow"/>
                <w:szCs w:val="36"/>
              </w:rPr>
              <w:t>Business Performance</w:t>
            </w:r>
          </w:p>
        </w:tc>
        <w:tc>
          <w:tcPr>
            <w:tcW w:w="657" w:type="pct"/>
            <w:shd w:val="clear" w:color="auto" w:fill="auto"/>
          </w:tcPr>
          <w:p w14:paraId="1814AD04" w14:textId="77777777" w:rsidR="002F5809" w:rsidRPr="001B0F9B" w:rsidRDefault="002F5809" w:rsidP="00E87231">
            <w:pPr>
              <w:pStyle w:val="Tablesmalltext"/>
              <w:rPr>
                <w:rFonts w:ascii="Arial Narrow" w:hAnsi="Arial Narrow"/>
              </w:rPr>
            </w:pPr>
            <w:r w:rsidRPr="001B0F9B">
              <w:rPr>
                <w:rFonts w:ascii="Arial Narrow" w:hAnsi="Arial Narrow"/>
              </w:rPr>
              <w:t>Negligible impact on the effectiveness of the organisation.</w:t>
            </w:r>
          </w:p>
          <w:p w14:paraId="6C3E3224" w14:textId="5A571BFE" w:rsidR="002F5809" w:rsidRPr="00A51C9C" w:rsidRDefault="002F5809" w:rsidP="00E87231">
            <w:pPr>
              <w:pStyle w:val="Tablesmalltext"/>
              <w:rPr>
                <w:rFonts w:ascii="Arial Narrow" w:hAnsi="Arial Narrow"/>
              </w:rPr>
            </w:pPr>
            <w:r w:rsidRPr="001B0F9B">
              <w:rPr>
                <w:rFonts w:ascii="Arial Narrow" w:hAnsi="Arial Narrow"/>
              </w:rPr>
              <w:t xml:space="preserve">Isolated partial or </w:t>
            </w:r>
            <w:r w:rsidR="005C4005" w:rsidRPr="001B0F9B">
              <w:rPr>
                <w:rFonts w:ascii="Arial Narrow" w:hAnsi="Arial Narrow"/>
              </w:rPr>
              <w:t>short-term</w:t>
            </w:r>
            <w:r w:rsidRPr="001B0F9B">
              <w:rPr>
                <w:rFonts w:ascii="Arial Narrow" w:hAnsi="Arial Narrow"/>
              </w:rPr>
              <w:t xml:space="preserve"> service disruption.</w:t>
            </w:r>
          </w:p>
        </w:tc>
        <w:tc>
          <w:tcPr>
            <w:tcW w:w="903" w:type="pct"/>
            <w:shd w:val="clear" w:color="auto" w:fill="auto"/>
          </w:tcPr>
          <w:p w14:paraId="2916780E" w14:textId="77777777" w:rsidR="002F5809" w:rsidRPr="001B0F9B" w:rsidRDefault="002F5809" w:rsidP="00E87231">
            <w:pPr>
              <w:pStyle w:val="Tablesmalltext"/>
              <w:rPr>
                <w:rFonts w:ascii="Arial Narrow" w:hAnsi="Arial Narrow"/>
              </w:rPr>
            </w:pPr>
            <w:r w:rsidRPr="001B0F9B">
              <w:rPr>
                <w:rFonts w:ascii="Arial Narrow" w:hAnsi="Arial Narrow"/>
              </w:rPr>
              <w:t>Effectiveness and efficiency of elements of the department is reduced.</w:t>
            </w:r>
          </w:p>
          <w:p w14:paraId="5E0876FE" w14:textId="77777777" w:rsidR="002F5809" w:rsidRPr="001B0F9B" w:rsidRDefault="002F5809" w:rsidP="00E87231">
            <w:pPr>
              <w:pStyle w:val="Tablesmalltext"/>
              <w:rPr>
                <w:rFonts w:ascii="Arial Narrow" w:hAnsi="Arial Narrow"/>
              </w:rPr>
            </w:pPr>
            <w:r w:rsidRPr="001B0F9B">
              <w:rPr>
                <w:rFonts w:ascii="Arial Narrow" w:hAnsi="Arial Narrow"/>
              </w:rPr>
              <w:t>Part service disruption (for less than 2 days).</w:t>
            </w:r>
          </w:p>
          <w:p w14:paraId="05C9DA2D" w14:textId="77777777" w:rsidR="002F5809" w:rsidRPr="00A51C9C" w:rsidRDefault="002F5809" w:rsidP="00E87231">
            <w:pPr>
              <w:pStyle w:val="Tablesmalltext"/>
              <w:rPr>
                <w:rFonts w:ascii="Arial Narrow" w:hAnsi="Arial Narrow"/>
              </w:rPr>
            </w:pPr>
            <w:r w:rsidRPr="001B0F9B">
              <w:rPr>
                <w:rFonts w:ascii="Arial Narrow" w:hAnsi="Arial Narrow"/>
              </w:rPr>
              <w:t>Ability to achieve project objectives or deliver outcomes is affected.</w:t>
            </w:r>
          </w:p>
        </w:tc>
        <w:tc>
          <w:tcPr>
            <w:tcW w:w="984" w:type="pct"/>
            <w:shd w:val="clear" w:color="auto" w:fill="auto"/>
          </w:tcPr>
          <w:p w14:paraId="2BC3930B" w14:textId="77777777" w:rsidR="002F5809" w:rsidRPr="001B0F9B" w:rsidRDefault="002F5809" w:rsidP="00E87231">
            <w:pPr>
              <w:pStyle w:val="Tablesmalltext"/>
              <w:rPr>
                <w:rFonts w:ascii="Arial Narrow" w:hAnsi="Arial Narrow"/>
              </w:rPr>
            </w:pPr>
            <w:r w:rsidRPr="001B0F9B">
              <w:rPr>
                <w:rFonts w:ascii="Arial Narrow" w:hAnsi="Arial Narrow"/>
              </w:rPr>
              <w:t>Effectiveness and efficiency of major elements the department are reduced.</w:t>
            </w:r>
          </w:p>
          <w:p w14:paraId="08ECC44C" w14:textId="77777777" w:rsidR="002F5809" w:rsidRPr="001B0F9B" w:rsidRDefault="002F5809" w:rsidP="00E87231">
            <w:pPr>
              <w:pStyle w:val="Tablesmalltext"/>
              <w:rPr>
                <w:rFonts w:ascii="Arial Narrow" w:hAnsi="Arial Narrow"/>
              </w:rPr>
            </w:pPr>
            <w:r w:rsidRPr="001B0F9B">
              <w:rPr>
                <w:rFonts w:ascii="Arial Narrow" w:hAnsi="Arial Narrow"/>
              </w:rPr>
              <w:t>Full service disruption for 1 day or key services disruption for up to 3 days.</w:t>
            </w:r>
          </w:p>
          <w:p w14:paraId="7E334D08" w14:textId="77777777" w:rsidR="002F5809" w:rsidRPr="00A51C9C" w:rsidRDefault="002F5809" w:rsidP="00E87231">
            <w:pPr>
              <w:pStyle w:val="Tablesmalltext"/>
              <w:rPr>
                <w:rFonts w:ascii="Arial Narrow" w:hAnsi="Arial Narrow"/>
              </w:rPr>
            </w:pPr>
            <w:r w:rsidRPr="001B0F9B">
              <w:rPr>
                <w:rFonts w:ascii="Arial Narrow" w:hAnsi="Arial Narrow"/>
              </w:rPr>
              <w:t>One or more projects are significantly impaired.</w:t>
            </w:r>
          </w:p>
        </w:tc>
        <w:tc>
          <w:tcPr>
            <w:tcW w:w="820" w:type="pct"/>
            <w:shd w:val="clear" w:color="auto" w:fill="auto"/>
          </w:tcPr>
          <w:p w14:paraId="111F194E" w14:textId="77777777" w:rsidR="002F5809" w:rsidRPr="001B0F9B" w:rsidRDefault="002F5809" w:rsidP="00E87231">
            <w:pPr>
              <w:pStyle w:val="Tablesmalltext"/>
              <w:rPr>
                <w:rFonts w:ascii="Arial Narrow" w:hAnsi="Arial Narrow"/>
              </w:rPr>
            </w:pPr>
            <w:r w:rsidRPr="001B0F9B">
              <w:rPr>
                <w:rFonts w:ascii="Arial Narrow" w:hAnsi="Arial Narrow"/>
              </w:rPr>
              <w:t>Continued capability of the organisation is threatened.</w:t>
            </w:r>
          </w:p>
          <w:p w14:paraId="711A804D" w14:textId="77777777" w:rsidR="002F5809" w:rsidRPr="001B0F9B" w:rsidRDefault="002F5809" w:rsidP="00E87231">
            <w:pPr>
              <w:pStyle w:val="Tablesmalltext"/>
              <w:rPr>
                <w:rFonts w:ascii="Arial Narrow" w:hAnsi="Arial Narrow"/>
              </w:rPr>
            </w:pPr>
            <w:r w:rsidRPr="001B0F9B">
              <w:rPr>
                <w:rFonts w:ascii="Arial Narrow" w:hAnsi="Arial Narrow"/>
              </w:rPr>
              <w:t>Full service disruption for up to 3 days or a key service for up to 1 week.</w:t>
            </w:r>
          </w:p>
          <w:p w14:paraId="20B9084E" w14:textId="77777777" w:rsidR="002F5809" w:rsidRPr="00A51C9C" w:rsidRDefault="002F5809" w:rsidP="00E87231">
            <w:pPr>
              <w:pStyle w:val="Tablesmalltext"/>
              <w:rPr>
                <w:rFonts w:ascii="Arial Narrow" w:hAnsi="Arial Narrow"/>
              </w:rPr>
            </w:pPr>
            <w:r w:rsidRPr="001B0F9B">
              <w:rPr>
                <w:rFonts w:ascii="Arial Narrow" w:hAnsi="Arial Narrow"/>
              </w:rPr>
              <w:t>One or more critical projects cannot be achieved.</w:t>
            </w:r>
          </w:p>
        </w:tc>
        <w:tc>
          <w:tcPr>
            <w:tcW w:w="981" w:type="pct"/>
            <w:shd w:val="clear" w:color="auto" w:fill="auto"/>
          </w:tcPr>
          <w:p w14:paraId="75805566" w14:textId="77777777" w:rsidR="002F5809" w:rsidRPr="001B0F9B" w:rsidRDefault="002F5809" w:rsidP="00E87231">
            <w:pPr>
              <w:pStyle w:val="Tablesmalltext"/>
              <w:rPr>
                <w:rFonts w:ascii="Arial Narrow" w:hAnsi="Arial Narrow"/>
              </w:rPr>
            </w:pPr>
            <w:r w:rsidRPr="001B0F9B">
              <w:rPr>
                <w:rFonts w:ascii="Arial Narrow" w:hAnsi="Arial Narrow"/>
              </w:rPr>
              <w:t>Systemic failure and overall survival of the organisation is threatened.</w:t>
            </w:r>
          </w:p>
          <w:p w14:paraId="57592BAE" w14:textId="77777777" w:rsidR="002F5809" w:rsidRPr="001B0F9B" w:rsidRDefault="002F5809" w:rsidP="00E87231">
            <w:pPr>
              <w:pStyle w:val="Tablesmalltext"/>
              <w:rPr>
                <w:rFonts w:ascii="Arial Narrow" w:hAnsi="Arial Narrow"/>
              </w:rPr>
            </w:pPr>
            <w:r w:rsidRPr="001B0F9B">
              <w:rPr>
                <w:rFonts w:ascii="Arial Narrow" w:hAnsi="Arial Narrow"/>
              </w:rPr>
              <w:t>Full service disruption for more than 3 days or a key service for more than 1 week.</w:t>
            </w:r>
          </w:p>
          <w:p w14:paraId="12ED9558" w14:textId="77777777" w:rsidR="002F5809" w:rsidRPr="00A51C9C" w:rsidRDefault="002F5809" w:rsidP="00E87231">
            <w:pPr>
              <w:pStyle w:val="Tablesmalltext"/>
              <w:rPr>
                <w:rFonts w:ascii="Arial Narrow" w:hAnsi="Arial Narrow"/>
              </w:rPr>
            </w:pPr>
            <w:r w:rsidRPr="001B0F9B">
              <w:rPr>
                <w:rFonts w:ascii="Arial Narrow" w:hAnsi="Arial Narrow"/>
              </w:rPr>
              <w:t>Majority of critical projects cannot be achieved.</w:t>
            </w:r>
          </w:p>
        </w:tc>
      </w:tr>
      <w:tr w:rsidR="002F5809" w:rsidRPr="00A51C9C" w14:paraId="1987CCAD" w14:textId="77777777" w:rsidTr="00B36E97">
        <w:tc>
          <w:tcPr>
            <w:tcW w:w="655" w:type="pct"/>
            <w:shd w:val="clear" w:color="auto" w:fill="D9D9D9"/>
          </w:tcPr>
          <w:p w14:paraId="3B8B6686" w14:textId="77777777" w:rsidR="002F5809" w:rsidRPr="001B0F9B" w:rsidRDefault="002F5809" w:rsidP="00E87231">
            <w:pPr>
              <w:pStyle w:val="Tablesmallheading"/>
              <w:rPr>
                <w:rFonts w:ascii="Arial Narrow" w:hAnsi="Arial Narrow"/>
                <w:szCs w:val="36"/>
              </w:rPr>
            </w:pPr>
            <w:r>
              <w:rPr>
                <w:rFonts w:ascii="Arial Narrow" w:hAnsi="Arial Narrow"/>
                <w:szCs w:val="36"/>
              </w:rPr>
              <w:t>Health and Safety</w:t>
            </w:r>
          </w:p>
        </w:tc>
        <w:tc>
          <w:tcPr>
            <w:tcW w:w="657" w:type="pct"/>
            <w:shd w:val="clear" w:color="auto" w:fill="auto"/>
          </w:tcPr>
          <w:p w14:paraId="6DE8F8FF" w14:textId="77777777" w:rsidR="002F5809" w:rsidRPr="001B0F9B" w:rsidRDefault="002F5809" w:rsidP="00E87231">
            <w:pPr>
              <w:pStyle w:val="Tablesmalltext"/>
              <w:rPr>
                <w:rFonts w:ascii="Arial Narrow" w:hAnsi="Arial Narrow"/>
              </w:rPr>
            </w:pPr>
            <w:r w:rsidRPr="001B0F9B">
              <w:rPr>
                <w:rFonts w:ascii="Arial Narrow" w:hAnsi="Arial Narrow"/>
              </w:rPr>
              <w:t>Incidents with or without minor injury.</w:t>
            </w:r>
          </w:p>
          <w:p w14:paraId="1DA53212" w14:textId="77777777" w:rsidR="002F5809" w:rsidRPr="00A51C9C" w:rsidRDefault="002F5809" w:rsidP="00E87231">
            <w:pPr>
              <w:pStyle w:val="Tablesmalltext"/>
              <w:rPr>
                <w:rFonts w:ascii="Arial Narrow" w:hAnsi="Arial Narrow"/>
              </w:rPr>
            </w:pPr>
            <w:r w:rsidRPr="001B0F9B">
              <w:rPr>
                <w:rFonts w:ascii="Arial Narrow" w:hAnsi="Arial Narrow"/>
              </w:rPr>
              <w:t>Dialogue with industrial groups may be required, negligible impact.</w:t>
            </w:r>
          </w:p>
        </w:tc>
        <w:tc>
          <w:tcPr>
            <w:tcW w:w="903" w:type="pct"/>
            <w:shd w:val="clear" w:color="auto" w:fill="auto"/>
          </w:tcPr>
          <w:p w14:paraId="657E9183" w14:textId="77777777" w:rsidR="002F5809" w:rsidRPr="001B0F9B" w:rsidRDefault="002F5809" w:rsidP="00E87231">
            <w:pPr>
              <w:pStyle w:val="Tablesmalltext"/>
              <w:rPr>
                <w:rFonts w:ascii="Arial Narrow" w:hAnsi="Arial Narrow"/>
              </w:rPr>
            </w:pPr>
            <w:r w:rsidRPr="001B0F9B">
              <w:rPr>
                <w:rFonts w:ascii="Arial Narrow" w:hAnsi="Arial Narrow"/>
              </w:rPr>
              <w:t>Injuries requiring first aid treatment.</w:t>
            </w:r>
          </w:p>
          <w:p w14:paraId="43A1388A" w14:textId="77777777" w:rsidR="002F5809" w:rsidRPr="001B0F9B" w:rsidRDefault="002F5809" w:rsidP="00E87231">
            <w:pPr>
              <w:pStyle w:val="Tablesmalltext"/>
              <w:rPr>
                <w:rFonts w:ascii="Arial Narrow" w:hAnsi="Arial Narrow"/>
              </w:rPr>
            </w:pPr>
            <w:r w:rsidRPr="001B0F9B">
              <w:rPr>
                <w:rFonts w:ascii="Arial Narrow" w:hAnsi="Arial Narrow"/>
              </w:rPr>
              <w:t>Urgent dialogue with industrial group require, impact can be absorbed through normal activity.</w:t>
            </w:r>
          </w:p>
          <w:p w14:paraId="1B02D9D5" w14:textId="77777777" w:rsidR="002F5809" w:rsidRPr="00A51C9C" w:rsidRDefault="002F5809" w:rsidP="00E87231">
            <w:pPr>
              <w:pStyle w:val="Tablesmalltext"/>
              <w:rPr>
                <w:rFonts w:ascii="Arial Narrow" w:hAnsi="Arial Narrow"/>
              </w:rPr>
            </w:pPr>
            <w:r w:rsidRPr="001B0F9B">
              <w:rPr>
                <w:rFonts w:ascii="Arial Narrow" w:hAnsi="Arial Narrow"/>
              </w:rPr>
              <w:t>Increase in local staff absentee rate.</w:t>
            </w:r>
          </w:p>
        </w:tc>
        <w:tc>
          <w:tcPr>
            <w:tcW w:w="984" w:type="pct"/>
            <w:shd w:val="clear" w:color="auto" w:fill="auto"/>
          </w:tcPr>
          <w:p w14:paraId="576B6FBC" w14:textId="77777777" w:rsidR="002F5809" w:rsidRPr="001B0F9B" w:rsidRDefault="002F5809" w:rsidP="00E87231">
            <w:pPr>
              <w:pStyle w:val="Tablesmalltext"/>
              <w:rPr>
                <w:rFonts w:ascii="Arial Narrow" w:hAnsi="Arial Narrow"/>
              </w:rPr>
            </w:pPr>
            <w:r w:rsidRPr="001B0F9B">
              <w:rPr>
                <w:rFonts w:ascii="Arial Narrow" w:hAnsi="Arial Narrow"/>
              </w:rPr>
              <w:t>Injuries requiring medical treatment.</w:t>
            </w:r>
          </w:p>
          <w:p w14:paraId="4FAA5158" w14:textId="77777777" w:rsidR="002F5809" w:rsidRPr="001B0F9B" w:rsidRDefault="002F5809" w:rsidP="00E87231">
            <w:pPr>
              <w:pStyle w:val="Tablesmalltext"/>
              <w:rPr>
                <w:rFonts w:ascii="Arial Narrow" w:hAnsi="Arial Narrow"/>
              </w:rPr>
            </w:pPr>
            <w:r w:rsidRPr="001B0F9B">
              <w:rPr>
                <w:rFonts w:ascii="Arial Narrow" w:hAnsi="Arial Narrow"/>
              </w:rPr>
              <w:t>Threats of industrial action, impact can be absorbed, management action required.</w:t>
            </w:r>
          </w:p>
          <w:p w14:paraId="53FF72D6" w14:textId="77777777" w:rsidR="002F5809" w:rsidRPr="00A51C9C" w:rsidRDefault="002F5809" w:rsidP="00E87231">
            <w:pPr>
              <w:pStyle w:val="Tablesmalltext"/>
              <w:rPr>
                <w:rFonts w:ascii="Arial Narrow" w:hAnsi="Arial Narrow"/>
              </w:rPr>
            </w:pPr>
            <w:r w:rsidRPr="001B0F9B">
              <w:rPr>
                <w:rFonts w:ascii="Arial Narrow" w:hAnsi="Arial Narrow"/>
              </w:rPr>
              <w:t>Increase in department workforce absentee rate.</w:t>
            </w:r>
          </w:p>
        </w:tc>
        <w:tc>
          <w:tcPr>
            <w:tcW w:w="820" w:type="pct"/>
            <w:shd w:val="clear" w:color="auto" w:fill="auto"/>
          </w:tcPr>
          <w:p w14:paraId="09E55BBB" w14:textId="77777777" w:rsidR="002F5809" w:rsidRPr="001B0F9B" w:rsidRDefault="002F5809" w:rsidP="00E87231">
            <w:pPr>
              <w:pStyle w:val="Tablesmalltext"/>
              <w:rPr>
                <w:rFonts w:ascii="Arial Narrow" w:hAnsi="Arial Narrow"/>
              </w:rPr>
            </w:pPr>
            <w:r w:rsidRPr="001B0F9B">
              <w:rPr>
                <w:rFonts w:ascii="Arial Narrow" w:hAnsi="Arial Narrow"/>
              </w:rPr>
              <w:t>Single fatality, permanent or partial disabilities, injuries requiring hospitalisation.</w:t>
            </w:r>
          </w:p>
          <w:p w14:paraId="3EFCBC32" w14:textId="77777777" w:rsidR="002F5809" w:rsidRPr="001B0F9B" w:rsidRDefault="002F5809" w:rsidP="00E87231">
            <w:pPr>
              <w:pStyle w:val="Tablesmalltext"/>
              <w:rPr>
                <w:rFonts w:ascii="Arial Narrow" w:hAnsi="Arial Narrow"/>
              </w:rPr>
            </w:pPr>
            <w:r w:rsidRPr="001B0F9B">
              <w:rPr>
                <w:rFonts w:ascii="Arial Narrow" w:hAnsi="Arial Narrow"/>
              </w:rPr>
              <w:t>Industrial action over many months, significant management intervention required.</w:t>
            </w:r>
          </w:p>
          <w:p w14:paraId="00CCAAE7" w14:textId="77777777" w:rsidR="002F5809" w:rsidRPr="00A51C9C" w:rsidRDefault="002F5809" w:rsidP="00E87231">
            <w:pPr>
              <w:pStyle w:val="Tablesmalltext"/>
              <w:rPr>
                <w:rFonts w:ascii="Arial Narrow" w:hAnsi="Arial Narrow"/>
              </w:rPr>
            </w:pPr>
            <w:r w:rsidRPr="001B0F9B">
              <w:rPr>
                <w:rFonts w:ascii="Arial Narrow" w:hAnsi="Arial Narrow"/>
              </w:rPr>
              <w:t>Increase in workforce absentee rate.</w:t>
            </w:r>
          </w:p>
        </w:tc>
        <w:tc>
          <w:tcPr>
            <w:tcW w:w="981" w:type="pct"/>
            <w:shd w:val="clear" w:color="auto" w:fill="auto"/>
          </w:tcPr>
          <w:p w14:paraId="46C50023" w14:textId="77777777" w:rsidR="002F5809" w:rsidRPr="001B0F9B" w:rsidRDefault="002F5809" w:rsidP="00E87231">
            <w:pPr>
              <w:pStyle w:val="Tablesmalltext"/>
              <w:rPr>
                <w:rFonts w:ascii="Arial Narrow" w:hAnsi="Arial Narrow"/>
              </w:rPr>
            </w:pPr>
            <w:r w:rsidRPr="001B0F9B">
              <w:rPr>
                <w:rFonts w:ascii="Arial Narrow" w:hAnsi="Arial Narrow"/>
              </w:rPr>
              <w:t>Multiple fatalities, permanent or partial disabilities.</w:t>
            </w:r>
          </w:p>
          <w:p w14:paraId="0EA31C9B" w14:textId="77777777" w:rsidR="002F5809" w:rsidRPr="001B0F9B" w:rsidRDefault="002F5809" w:rsidP="00E87231">
            <w:pPr>
              <w:pStyle w:val="Tablesmalltext"/>
              <w:rPr>
                <w:rFonts w:ascii="Arial Narrow" w:hAnsi="Arial Narrow"/>
              </w:rPr>
            </w:pPr>
            <w:r w:rsidRPr="001B0F9B">
              <w:rPr>
                <w:rFonts w:ascii="Arial Narrow" w:hAnsi="Arial Narrow"/>
              </w:rPr>
              <w:t>Collapse of business function, widespread industrial action.</w:t>
            </w:r>
          </w:p>
          <w:p w14:paraId="228D15BE" w14:textId="77777777" w:rsidR="002F5809" w:rsidRPr="00A51C9C" w:rsidRDefault="002F5809" w:rsidP="00E87231">
            <w:pPr>
              <w:pStyle w:val="Tablesmalltext"/>
              <w:rPr>
                <w:rFonts w:ascii="Arial Narrow" w:hAnsi="Arial Narrow"/>
              </w:rPr>
            </w:pPr>
            <w:r w:rsidRPr="001B0F9B">
              <w:rPr>
                <w:rFonts w:ascii="Arial Narrow" w:hAnsi="Arial Narrow"/>
              </w:rPr>
              <w:t>Section of the community or workforce harmed.</w:t>
            </w:r>
          </w:p>
        </w:tc>
      </w:tr>
      <w:tr w:rsidR="002F5809" w:rsidRPr="00A51C9C" w14:paraId="51FB3B01" w14:textId="77777777" w:rsidTr="00B36E97">
        <w:tc>
          <w:tcPr>
            <w:tcW w:w="655" w:type="pct"/>
            <w:shd w:val="clear" w:color="auto" w:fill="D9D9D9"/>
          </w:tcPr>
          <w:p w14:paraId="09C3DA99" w14:textId="77777777" w:rsidR="002F5809" w:rsidRPr="001B0F9B" w:rsidRDefault="002F5809" w:rsidP="00E87231">
            <w:pPr>
              <w:pStyle w:val="Tablesmallheading"/>
              <w:rPr>
                <w:rFonts w:ascii="Arial Narrow" w:hAnsi="Arial Narrow"/>
                <w:szCs w:val="36"/>
              </w:rPr>
            </w:pPr>
            <w:r>
              <w:rPr>
                <w:rFonts w:ascii="Arial Narrow" w:hAnsi="Arial Narrow"/>
                <w:szCs w:val="36"/>
              </w:rPr>
              <w:t>Environment</w:t>
            </w:r>
          </w:p>
        </w:tc>
        <w:tc>
          <w:tcPr>
            <w:tcW w:w="657" w:type="pct"/>
            <w:shd w:val="clear" w:color="auto" w:fill="auto"/>
          </w:tcPr>
          <w:p w14:paraId="39A5D994" w14:textId="77777777" w:rsidR="002F5809" w:rsidRPr="00A51C9C" w:rsidRDefault="002F5809" w:rsidP="00E87231">
            <w:pPr>
              <w:pStyle w:val="Tablesmalltext"/>
              <w:rPr>
                <w:rFonts w:ascii="Arial Narrow" w:hAnsi="Arial Narrow"/>
              </w:rPr>
            </w:pPr>
            <w:r w:rsidRPr="001B0F9B">
              <w:rPr>
                <w:rFonts w:ascii="Arial Narrow" w:hAnsi="Arial Narrow"/>
              </w:rPr>
              <w:t>Minor temporary damage that normal practice can rectify.</w:t>
            </w:r>
          </w:p>
        </w:tc>
        <w:tc>
          <w:tcPr>
            <w:tcW w:w="903" w:type="pct"/>
            <w:shd w:val="clear" w:color="auto" w:fill="auto"/>
          </w:tcPr>
          <w:p w14:paraId="2A98CCDF" w14:textId="77777777" w:rsidR="002F5809" w:rsidRPr="001B0F9B" w:rsidRDefault="002F5809" w:rsidP="00E87231">
            <w:pPr>
              <w:pStyle w:val="Tablesmalltext"/>
              <w:rPr>
                <w:rFonts w:ascii="Arial Narrow" w:hAnsi="Arial Narrow"/>
              </w:rPr>
            </w:pPr>
            <w:r w:rsidRPr="001B0F9B">
              <w:rPr>
                <w:rFonts w:ascii="Arial Narrow" w:hAnsi="Arial Narrow"/>
              </w:rPr>
              <w:t>Temporary damage affecting local area.</w:t>
            </w:r>
          </w:p>
          <w:p w14:paraId="42F85324" w14:textId="77777777" w:rsidR="002F5809" w:rsidRPr="001B0F9B" w:rsidRDefault="002F5809" w:rsidP="00E87231">
            <w:pPr>
              <w:pStyle w:val="Tablesmalltext"/>
              <w:rPr>
                <w:rFonts w:ascii="Arial Narrow" w:hAnsi="Arial Narrow"/>
              </w:rPr>
            </w:pPr>
            <w:r w:rsidRPr="001B0F9B">
              <w:rPr>
                <w:rFonts w:ascii="Arial Narrow" w:hAnsi="Arial Narrow"/>
              </w:rPr>
              <w:t>No threat to fauna or flora.</w:t>
            </w:r>
          </w:p>
          <w:p w14:paraId="4B9A5489" w14:textId="77777777" w:rsidR="002F5809" w:rsidRPr="00A51C9C" w:rsidRDefault="002F5809" w:rsidP="00E87231">
            <w:pPr>
              <w:pStyle w:val="Tablesmalltext"/>
              <w:rPr>
                <w:rFonts w:ascii="Arial Narrow" w:hAnsi="Arial Narrow"/>
              </w:rPr>
            </w:pPr>
            <w:r w:rsidRPr="001B0F9B">
              <w:rPr>
                <w:rFonts w:ascii="Arial Narrow" w:hAnsi="Arial Narrow"/>
              </w:rPr>
              <w:t>No threat to community health.</w:t>
            </w:r>
          </w:p>
        </w:tc>
        <w:tc>
          <w:tcPr>
            <w:tcW w:w="984" w:type="pct"/>
            <w:shd w:val="clear" w:color="auto" w:fill="auto"/>
          </w:tcPr>
          <w:p w14:paraId="7AA9D80B" w14:textId="77777777" w:rsidR="002F5809" w:rsidRPr="001B0F9B" w:rsidRDefault="002F5809" w:rsidP="00E87231">
            <w:pPr>
              <w:pStyle w:val="Tablesmalltext"/>
              <w:rPr>
                <w:rFonts w:ascii="Arial Narrow" w:hAnsi="Arial Narrow"/>
              </w:rPr>
            </w:pPr>
            <w:r w:rsidRPr="001B0F9B">
              <w:rPr>
                <w:rFonts w:ascii="Arial Narrow" w:hAnsi="Arial Narrow"/>
              </w:rPr>
              <w:t>Severe temporary damage over limited area requiring extensive remediation.</w:t>
            </w:r>
          </w:p>
          <w:p w14:paraId="60D21AC0" w14:textId="34BA357B" w:rsidR="002F5809" w:rsidRPr="001B0F9B" w:rsidRDefault="002F5809" w:rsidP="00E87231">
            <w:pPr>
              <w:pStyle w:val="Tablesmalltext"/>
              <w:rPr>
                <w:rFonts w:ascii="Arial Narrow" w:hAnsi="Arial Narrow"/>
              </w:rPr>
            </w:pPr>
            <w:r w:rsidRPr="001B0F9B">
              <w:rPr>
                <w:rFonts w:ascii="Arial Narrow" w:hAnsi="Arial Narrow"/>
              </w:rPr>
              <w:t xml:space="preserve">Impact on flora or fauna is recoverable over a 6 to </w:t>
            </w:r>
            <w:r w:rsidR="005C4005" w:rsidRPr="001B0F9B">
              <w:rPr>
                <w:rFonts w:ascii="Arial Narrow" w:hAnsi="Arial Narrow"/>
              </w:rPr>
              <w:t>12-month</w:t>
            </w:r>
            <w:r w:rsidRPr="001B0F9B">
              <w:rPr>
                <w:rFonts w:ascii="Arial Narrow" w:hAnsi="Arial Narrow"/>
              </w:rPr>
              <w:t xml:space="preserve"> period.</w:t>
            </w:r>
          </w:p>
          <w:p w14:paraId="77592238" w14:textId="77777777" w:rsidR="002F5809" w:rsidRPr="00A51C9C" w:rsidRDefault="002F5809" w:rsidP="00E87231">
            <w:pPr>
              <w:pStyle w:val="Tablesmalltext"/>
              <w:rPr>
                <w:rFonts w:ascii="Arial Narrow" w:hAnsi="Arial Narrow"/>
              </w:rPr>
            </w:pPr>
            <w:r w:rsidRPr="001B0F9B">
              <w:rPr>
                <w:rFonts w:ascii="Arial Narrow" w:hAnsi="Arial Narrow"/>
              </w:rPr>
              <w:t>Localised threat to community health.</w:t>
            </w:r>
          </w:p>
        </w:tc>
        <w:tc>
          <w:tcPr>
            <w:tcW w:w="820" w:type="pct"/>
            <w:shd w:val="clear" w:color="auto" w:fill="auto"/>
          </w:tcPr>
          <w:p w14:paraId="3182C2D1" w14:textId="77777777" w:rsidR="002F5809" w:rsidRPr="001B0F9B" w:rsidRDefault="002F5809" w:rsidP="00E87231">
            <w:pPr>
              <w:pStyle w:val="Tablesmalltext"/>
              <w:rPr>
                <w:rFonts w:ascii="Arial Narrow" w:hAnsi="Arial Narrow"/>
              </w:rPr>
            </w:pPr>
            <w:r w:rsidRPr="001B0F9B">
              <w:rPr>
                <w:rFonts w:ascii="Arial Narrow" w:hAnsi="Arial Narrow"/>
              </w:rPr>
              <w:t>Pervasive and severe temporary damage extending over a large area requiring extensive and lengthy remediation and years of recovery.</w:t>
            </w:r>
          </w:p>
          <w:p w14:paraId="0078AB2A" w14:textId="77777777" w:rsidR="002F5809" w:rsidRPr="001B0F9B" w:rsidRDefault="002F5809" w:rsidP="00E87231">
            <w:pPr>
              <w:pStyle w:val="Tablesmalltext"/>
              <w:rPr>
                <w:rFonts w:ascii="Arial Narrow" w:hAnsi="Arial Narrow"/>
              </w:rPr>
            </w:pPr>
            <w:r w:rsidRPr="001B0F9B">
              <w:rPr>
                <w:rFonts w:ascii="Arial Narrow" w:hAnsi="Arial Narrow"/>
              </w:rPr>
              <w:t>Damage to flora or fauna requires significant period of recovery (years).</w:t>
            </w:r>
          </w:p>
          <w:p w14:paraId="304B1891" w14:textId="77777777" w:rsidR="002F5809" w:rsidRPr="00A51C9C" w:rsidRDefault="002F5809" w:rsidP="00E87231">
            <w:pPr>
              <w:pStyle w:val="Tablesmalltext"/>
              <w:rPr>
                <w:rFonts w:ascii="Arial Narrow" w:hAnsi="Arial Narrow"/>
              </w:rPr>
            </w:pPr>
            <w:r w:rsidRPr="001B0F9B">
              <w:rPr>
                <w:rFonts w:ascii="Arial Narrow" w:hAnsi="Arial Narrow"/>
              </w:rPr>
              <w:t>Contained threat to community health.</w:t>
            </w:r>
          </w:p>
        </w:tc>
        <w:tc>
          <w:tcPr>
            <w:tcW w:w="981" w:type="pct"/>
            <w:shd w:val="clear" w:color="auto" w:fill="auto"/>
          </w:tcPr>
          <w:p w14:paraId="4BFA2FE5" w14:textId="77777777" w:rsidR="002F5809" w:rsidRPr="001B0F9B" w:rsidRDefault="002F5809" w:rsidP="00E87231">
            <w:pPr>
              <w:pStyle w:val="Tablesmalltext"/>
              <w:rPr>
                <w:rFonts w:ascii="Arial Narrow" w:hAnsi="Arial Narrow"/>
              </w:rPr>
            </w:pPr>
            <w:r w:rsidRPr="001B0F9B">
              <w:rPr>
                <w:rFonts w:ascii="Arial Narrow" w:hAnsi="Arial Narrow"/>
              </w:rPr>
              <w:t>Permanent damage over a wide area, destruction of sites or artefacts of cultural heritage significance.</w:t>
            </w:r>
          </w:p>
          <w:p w14:paraId="580C3287" w14:textId="77777777" w:rsidR="002F5809" w:rsidRPr="001B0F9B" w:rsidRDefault="002F5809" w:rsidP="00E87231">
            <w:pPr>
              <w:pStyle w:val="Tablesmalltext"/>
              <w:rPr>
                <w:rFonts w:ascii="Arial Narrow" w:hAnsi="Arial Narrow"/>
              </w:rPr>
            </w:pPr>
            <w:r w:rsidRPr="001B0F9B">
              <w:rPr>
                <w:rFonts w:ascii="Arial Narrow" w:hAnsi="Arial Narrow"/>
              </w:rPr>
              <w:t>Permanent impact threatens survival of flora and fauna.</w:t>
            </w:r>
          </w:p>
          <w:p w14:paraId="66FB4E64" w14:textId="77777777" w:rsidR="002F5809" w:rsidRPr="00A51C9C" w:rsidRDefault="002F5809" w:rsidP="00E87231">
            <w:pPr>
              <w:pStyle w:val="Tablesmalltext"/>
              <w:rPr>
                <w:rFonts w:ascii="Arial Narrow" w:hAnsi="Arial Narrow"/>
              </w:rPr>
            </w:pPr>
            <w:r w:rsidRPr="001B0F9B">
              <w:rPr>
                <w:rFonts w:ascii="Arial Narrow" w:hAnsi="Arial Narrow"/>
              </w:rPr>
              <w:t>Widespread threat to community health.</w:t>
            </w:r>
          </w:p>
        </w:tc>
      </w:tr>
      <w:tr w:rsidR="002F5809" w:rsidRPr="00A51C9C" w14:paraId="2A2CC439" w14:textId="77777777" w:rsidTr="00B36E97">
        <w:tc>
          <w:tcPr>
            <w:tcW w:w="655" w:type="pct"/>
            <w:shd w:val="clear" w:color="auto" w:fill="D9D9D9"/>
          </w:tcPr>
          <w:p w14:paraId="2E1365B0" w14:textId="77777777" w:rsidR="002F5809" w:rsidRPr="001B0F9B" w:rsidRDefault="002F5809" w:rsidP="00E87231">
            <w:pPr>
              <w:pStyle w:val="Tablesmallheading"/>
              <w:rPr>
                <w:rFonts w:ascii="Arial Narrow" w:hAnsi="Arial Narrow"/>
                <w:szCs w:val="36"/>
              </w:rPr>
            </w:pPr>
            <w:r>
              <w:rPr>
                <w:rFonts w:ascii="Arial Narrow" w:hAnsi="Arial Narrow"/>
                <w:szCs w:val="36"/>
              </w:rPr>
              <w:t>Reputation</w:t>
            </w:r>
          </w:p>
        </w:tc>
        <w:tc>
          <w:tcPr>
            <w:tcW w:w="657" w:type="pct"/>
            <w:shd w:val="clear" w:color="auto" w:fill="auto"/>
          </w:tcPr>
          <w:p w14:paraId="3930DFFD" w14:textId="5493F8D9" w:rsidR="002F5809" w:rsidRPr="001B0F9B" w:rsidRDefault="002F5809" w:rsidP="00E87231">
            <w:pPr>
              <w:pStyle w:val="Tablesmalltext"/>
              <w:rPr>
                <w:rFonts w:ascii="Arial Narrow" w:hAnsi="Arial Narrow"/>
              </w:rPr>
            </w:pPr>
            <w:r w:rsidRPr="001B0F9B">
              <w:rPr>
                <w:rFonts w:ascii="Arial Narrow" w:hAnsi="Arial Narrow"/>
              </w:rPr>
              <w:t xml:space="preserve">Isolated local community or individual’s </w:t>
            </w:r>
            <w:r w:rsidR="005C4005" w:rsidRPr="001B0F9B">
              <w:rPr>
                <w:rFonts w:ascii="Arial Narrow" w:hAnsi="Arial Narrow"/>
              </w:rPr>
              <w:t>issue-based</w:t>
            </w:r>
            <w:r w:rsidRPr="001B0F9B">
              <w:rPr>
                <w:rFonts w:ascii="Arial Narrow" w:hAnsi="Arial Narrow"/>
              </w:rPr>
              <w:t xml:space="preserve"> concerns.</w:t>
            </w:r>
          </w:p>
          <w:p w14:paraId="230DB897" w14:textId="77777777" w:rsidR="002F5809" w:rsidRPr="001B0F9B" w:rsidRDefault="002F5809" w:rsidP="00E87231">
            <w:pPr>
              <w:pStyle w:val="Tablesmalltext"/>
              <w:rPr>
                <w:rFonts w:ascii="Arial Narrow" w:hAnsi="Arial Narrow"/>
              </w:rPr>
            </w:pPr>
            <w:r w:rsidRPr="001B0F9B">
              <w:rPr>
                <w:rFonts w:ascii="Arial Narrow" w:hAnsi="Arial Narrow"/>
              </w:rPr>
              <w:t>Legal issues managed by routine procedures.</w:t>
            </w:r>
          </w:p>
          <w:p w14:paraId="606F3DDD" w14:textId="77777777" w:rsidR="002F5809" w:rsidRPr="00A51C9C" w:rsidRDefault="002F5809" w:rsidP="00E87231">
            <w:pPr>
              <w:pStyle w:val="Tablesmalltext"/>
              <w:rPr>
                <w:rFonts w:ascii="Arial Narrow" w:hAnsi="Arial Narrow"/>
              </w:rPr>
            </w:pPr>
            <w:r w:rsidRPr="001B0F9B">
              <w:rPr>
                <w:rFonts w:ascii="Arial Narrow" w:hAnsi="Arial Narrow"/>
              </w:rPr>
              <w:t>Minor non-compliance and breaches.</w:t>
            </w:r>
          </w:p>
        </w:tc>
        <w:tc>
          <w:tcPr>
            <w:tcW w:w="903" w:type="pct"/>
            <w:shd w:val="clear" w:color="auto" w:fill="auto"/>
          </w:tcPr>
          <w:p w14:paraId="26A52C4A" w14:textId="77777777" w:rsidR="002F5809" w:rsidRPr="001B0F9B" w:rsidRDefault="002F5809" w:rsidP="00E87231">
            <w:pPr>
              <w:pStyle w:val="Tablesmalltext"/>
              <w:rPr>
                <w:rFonts w:ascii="Arial Narrow" w:hAnsi="Arial Narrow"/>
              </w:rPr>
            </w:pPr>
            <w:r w:rsidRPr="001B0F9B">
              <w:rPr>
                <w:rFonts w:ascii="Arial Narrow" w:hAnsi="Arial Narrow"/>
              </w:rPr>
              <w:t>Occasional once off negative media attention.</w:t>
            </w:r>
          </w:p>
          <w:p w14:paraId="29A0E707" w14:textId="77777777" w:rsidR="002F5809" w:rsidRPr="001B0F9B" w:rsidRDefault="002F5809" w:rsidP="00E87231">
            <w:pPr>
              <w:pStyle w:val="Tablesmalltext"/>
              <w:rPr>
                <w:rFonts w:ascii="Arial Narrow" w:hAnsi="Arial Narrow"/>
              </w:rPr>
            </w:pPr>
            <w:r w:rsidRPr="001B0F9B">
              <w:rPr>
                <w:rFonts w:ascii="Arial Narrow" w:hAnsi="Arial Narrow"/>
              </w:rPr>
              <w:t>Complex legal issues need addressing.</w:t>
            </w:r>
          </w:p>
          <w:p w14:paraId="1CCBD0B6" w14:textId="77777777" w:rsidR="002F5809" w:rsidRPr="001B0F9B" w:rsidRDefault="002F5809" w:rsidP="00E87231">
            <w:pPr>
              <w:pStyle w:val="Tablesmalltext"/>
              <w:rPr>
                <w:rFonts w:ascii="Arial Narrow" w:hAnsi="Arial Narrow"/>
              </w:rPr>
            </w:pPr>
            <w:r w:rsidRPr="001B0F9B">
              <w:rPr>
                <w:rFonts w:ascii="Arial Narrow" w:hAnsi="Arial Narrow"/>
              </w:rPr>
              <w:t>Major non-compliance and breaches.</w:t>
            </w:r>
          </w:p>
          <w:p w14:paraId="52128F70" w14:textId="77777777" w:rsidR="002F5809" w:rsidRPr="00A51C9C" w:rsidRDefault="002F5809" w:rsidP="00E87231">
            <w:pPr>
              <w:pStyle w:val="Tablesmalltext"/>
              <w:rPr>
                <w:rFonts w:ascii="Arial Narrow" w:hAnsi="Arial Narrow"/>
              </w:rPr>
            </w:pPr>
            <w:r w:rsidRPr="001B0F9B">
              <w:rPr>
                <w:rFonts w:ascii="Arial Narrow" w:hAnsi="Arial Narrow"/>
              </w:rPr>
              <w:t>Local community impacts and concerns.</w:t>
            </w:r>
          </w:p>
        </w:tc>
        <w:tc>
          <w:tcPr>
            <w:tcW w:w="984" w:type="pct"/>
            <w:shd w:val="clear" w:color="auto" w:fill="auto"/>
          </w:tcPr>
          <w:p w14:paraId="2D1593CE" w14:textId="77777777" w:rsidR="002F5809" w:rsidRPr="001B0F9B" w:rsidRDefault="002F5809" w:rsidP="00E87231">
            <w:pPr>
              <w:pStyle w:val="Tablesmalltext"/>
              <w:rPr>
                <w:rFonts w:ascii="Arial Narrow" w:hAnsi="Arial Narrow"/>
              </w:rPr>
            </w:pPr>
            <w:r w:rsidRPr="001B0F9B">
              <w:rPr>
                <w:rFonts w:ascii="Arial Narrow" w:hAnsi="Arial Narrow"/>
              </w:rPr>
              <w:t>Negative media attention (days)</w:t>
            </w:r>
          </w:p>
          <w:p w14:paraId="2FD410B1" w14:textId="77777777" w:rsidR="002F5809" w:rsidRPr="001B0F9B" w:rsidRDefault="002F5809" w:rsidP="00E87231">
            <w:pPr>
              <w:pStyle w:val="Tablesmalltext"/>
              <w:rPr>
                <w:rFonts w:ascii="Arial Narrow" w:hAnsi="Arial Narrow"/>
              </w:rPr>
            </w:pPr>
            <w:r w:rsidRPr="001B0F9B">
              <w:rPr>
                <w:rFonts w:ascii="Arial Narrow" w:hAnsi="Arial Narrow"/>
              </w:rPr>
              <w:t>Serious incident requiring investigation and legal representation to determine liability,</w:t>
            </w:r>
          </w:p>
          <w:p w14:paraId="75911B62" w14:textId="77777777" w:rsidR="002F5809" w:rsidRPr="001B0F9B" w:rsidRDefault="002F5809" w:rsidP="00E87231">
            <w:pPr>
              <w:pStyle w:val="Tablesmalltext"/>
              <w:rPr>
                <w:rFonts w:ascii="Arial Narrow" w:hAnsi="Arial Narrow"/>
              </w:rPr>
            </w:pPr>
            <w:r w:rsidRPr="001B0F9B">
              <w:rPr>
                <w:rFonts w:ascii="Arial Narrow" w:hAnsi="Arial Narrow"/>
              </w:rPr>
              <w:t>Non-compliance with legislation or report to authority with possible prosecution.</w:t>
            </w:r>
          </w:p>
          <w:p w14:paraId="5AD46A92" w14:textId="77777777" w:rsidR="002F5809" w:rsidRPr="001B0F9B" w:rsidRDefault="002F5809" w:rsidP="00E87231">
            <w:pPr>
              <w:pStyle w:val="Tablesmalltext"/>
              <w:rPr>
                <w:rFonts w:ascii="Arial Narrow" w:hAnsi="Arial Narrow"/>
              </w:rPr>
            </w:pPr>
            <w:r w:rsidRPr="001B0F9B">
              <w:rPr>
                <w:rFonts w:ascii="Arial Narrow" w:hAnsi="Arial Narrow"/>
              </w:rPr>
              <w:t>Loss of confidence by the community in DEWNR processes.</w:t>
            </w:r>
          </w:p>
          <w:p w14:paraId="22095981" w14:textId="77777777" w:rsidR="002F5809" w:rsidRPr="00A51C9C" w:rsidRDefault="002F5809" w:rsidP="00E87231">
            <w:pPr>
              <w:pStyle w:val="Tablesmalltext"/>
              <w:rPr>
                <w:rFonts w:ascii="Arial Narrow" w:hAnsi="Arial Narrow"/>
              </w:rPr>
            </w:pPr>
            <w:r w:rsidRPr="001B0F9B">
              <w:rPr>
                <w:rFonts w:ascii="Arial Narrow" w:hAnsi="Arial Narrow"/>
              </w:rPr>
              <w:t>Ministerial concern.</w:t>
            </w:r>
          </w:p>
        </w:tc>
        <w:tc>
          <w:tcPr>
            <w:tcW w:w="820" w:type="pct"/>
            <w:shd w:val="clear" w:color="auto" w:fill="auto"/>
          </w:tcPr>
          <w:p w14:paraId="5BBB6402" w14:textId="77777777" w:rsidR="002F5809" w:rsidRPr="001B0F9B" w:rsidRDefault="002F5809" w:rsidP="00E87231">
            <w:pPr>
              <w:pStyle w:val="Tablesmalltext"/>
              <w:rPr>
                <w:rFonts w:ascii="Arial Narrow" w:hAnsi="Arial Narrow"/>
              </w:rPr>
            </w:pPr>
            <w:r w:rsidRPr="001B0F9B">
              <w:rPr>
                <w:rFonts w:ascii="Arial Narrow" w:hAnsi="Arial Narrow"/>
              </w:rPr>
              <w:t>Consistent negative media attention (weeks).</w:t>
            </w:r>
          </w:p>
          <w:p w14:paraId="3EF878C5" w14:textId="77777777" w:rsidR="002F5809" w:rsidRPr="001B0F9B" w:rsidRDefault="002F5809" w:rsidP="00E87231">
            <w:pPr>
              <w:pStyle w:val="Tablesmalltext"/>
              <w:rPr>
                <w:rFonts w:ascii="Arial Narrow" w:hAnsi="Arial Narrow"/>
              </w:rPr>
            </w:pPr>
            <w:r w:rsidRPr="001B0F9B">
              <w:rPr>
                <w:rFonts w:ascii="Arial Narrow" w:hAnsi="Arial Narrow"/>
              </w:rPr>
              <w:t>Major breach of legislation, major litigation.</w:t>
            </w:r>
          </w:p>
          <w:p w14:paraId="5D3DE173" w14:textId="77777777" w:rsidR="002F5809" w:rsidRPr="001B0F9B" w:rsidRDefault="002F5809" w:rsidP="00E87231">
            <w:pPr>
              <w:pStyle w:val="Tablesmalltext"/>
              <w:rPr>
                <w:rFonts w:ascii="Arial Narrow" w:hAnsi="Arial Narrow"/>
              </w:rPr>
            </w:pPr>
            <w:r w:rsidRPr="001B0F9B">
              <w:rPr>
                <w:rFonts w:ascii="Arial Narrow" w:hAnsi="Arial Narrow"/>
              </w:rPr>
              <w:t>Considerable and prolonged community impacts and dissatisfaction publicly expressed.</w:t>
            </w:r>
          </w:p>
          <w:p w14:paraId="29FEE859" w14:textId="77777777" w:rsidR="002F5809" w:rsidRPr="00A51C9C" w:rsidRDefault="002F5809" w:rsidP="00E87231">
            <w:pPr>
              <w:pStyle w:val="Tablesmalltext"/>
              <w:rPr>
                <w:rFonts w:ascii="Arial Narrow" w:hAnsi="Arial Narrow"/>
              </w:rPr>
            </w:pPr>
            <w:r w:rsidRPr="001B0F9B">
              <w:rPr>
                <w:rFonts w:ascii="Arial Narrow" w:hAnsi="Arial Narrow"/>
              </w:rPr>
              <w:t>Ministerial intervention.</w:t>
            </w:r>
          </w:p>
        </w:tc>
        <w:tc>
          <w:tcPr>
            <w:tcW w:w="981" w:type="pct"/>
            <w:shd w:val="clear" w:color="auto" w:fill="auto"/>
          </w:tcPr>
          <w:p w14:paraId="33246391" w14:textId="77777777" w:rsidR="002F5809" w:rsidRPr="001B0F9B" w:rsidRDefault="002F5809" w:rsidP="00E87231">
            <w:pPr>
              <w:pStyle w:val="Tablesmalltext"/>
              <w:rPr>
                <w:rFonts w:ascii="Arial Narrow" w:hAnsi="Arial Narrow"/>
              </w:rPr>
            </w:pPr>
            <w:r w:rsidRPr="001B0F9B">
              <w:rPr>
                <w:rFonts w:ascii="Arial Narrow" w:hAnsi="Arial Narrow"/>
              </w:rPr>
              <w:t>Consistent extreme negative media attention (months).</w:t>
            </w:r>
          </w:p>
          <w:p w14:paraId="160C8539" w14:textId="77777777" w:rsidR="002F5809" w:rsidRPr="001B0F9B" w:rsidRDefault="002F5809" w:rsidP="00E87231">
            <w:pPr>
              <w:pStyle w:val="Tablesmalltext"/>
              <w:rPr>
                <w:rFonts w:ascii="Arial Narrow" w:hAnsi="Arial Narrow"/>
              </w:rPr>
            </w:pPr>
            <w:r w:rsidRPr="001B0F9B">
              <w:rPr>
                <w:rFonts w:ascii="Arial Narrow" w:hAnsi="Arial Narrow"/>
              </w:rPr>
              <w:t>Significant prosecution and fines, major litigation involving class actions, major non-compliance with legislation.</w:t>
            </w:r>
          </w:p>
          <w:p w14:paraId="795FA37C" w14:textId="77777777" w:rsidR="002F5809" w:rsidRPr="001B0F9B" w:rsidRDefault="002F5809" w:rsidP="00E87231">
            <w:pPr>
              <w:pStyle w:val="Tablesmalltext"/>
              <w:rPr>
                <w:rFonts w:ascii="Arial Narrow" w:hAnsi="Arial Narrow"/>
              </w:rPr>
            </w:pPr>
            <w:r w:rsidRPr="001B0F9B">
              <w:rPr>
                <w:rFonts w:ascii="Arial Narrow" w:hAnsi="Arial Narrow"/>
              </w:rPr>
              <w:t>Irreconcilable community loss of confidence in the departments’ intentions and capabilities.</w:t>
            </w:r>
          </w:p>
          <w:p w14:paraId="650FCCB2" w14:textId="77777777" w:rsidR="002F5809" w:rsidRPr="001B0F9B" w:rsidRDefault="002F5809" w:rsidP="00E87231">
            <w:pPr>
              <w:pStyle w:val="Tablesmalltext"/>
              <w:rPr>
                <w:rFonts w:ascii="Arial Narrow" w:hAnsi="Arial Narrow"/>
              </w:rPr>
            </w:pPr>
            <w:r w:rsidRPr="001B0F9B">
              <w:rPr>
                <w:rFonts w:ascii="Arial Narrow" w:hAnsi="Arial Narrow"/>
              </w:rPr>
              <w:t>Public Government intervention</w:t>
            </w:r>
          </w:p>
        </w:tc>
      </w:tr>
    </w:tbl>
    <w:p w14:paraId="3497F69A" w14:textId="77777777" w:rsidR="008C06C0" w:rsidRDefault="008C06C0" w:rsidP="002F5809">
      <w:pPr>
        <w:pStyle w:val="Heading4noTOC"/>
        <w:rPr>
          <w:color w:val="65876D" w:themeColor="accent4" w:themeShade="BF"/>
          <w:lang w:eastAsia="en-US"/>
        </w:rPr>
      </w:pPr>
    </w:p>
    <w:p w14:paraId="01DE83F6" w14:textId="724DFAB5" w:rsidR="002F5809" w:rsidRPr="005C32F1" w:rsidRDefault="002F5809" w:rsidP="002F5809">
      <w:pPr>
        <w:pStyle w:val="Heading4noTOC"/>
        <w:rPr>
          <w:i/>
          <w:color w:val="auto"/>
          <w:lang w:eastAsia="en-US"/>
        </w:rPr>
      </w:pPr>
      <w:r w:rsidRPr="005C32F1">
        <w:rPr>
          <w:i/>
          <w:color w:val="auto"/>
          <w:lang w:eastAsia="en-US"/>
        </w:rPr>
        <w:t>Risk</w:t>
      </w:r>
    </w:p>
    <w:p w14:paraId="50792B5D" w14:textId="216BADCB" w:rsidR="002F5809" w:rsidRPr="004902A5" w:rsidRDefault="002F5809" w:rsidP="002F5809">
      <w:r w:rsidRPr="004902A5">
        <w:t xml:space="preserve">Once the consequence and likelihood of a risk event are determined, an overall risk rating is applied, based on the risk matrix presented in </w:t>
      </w:r>
      <w:r>
        <w:fldChar w:fldCharType="begin"/>
      </w:r>
      <w:r>
        <w:instrText xml:space="preserve"> REF _Ref450909822 \h </w:instrText>
      </w:r>
      <w:r>
        <w:fldChar w:fldCharType="separate"/>
      </w:r>
      <w:r w:rsidR="00BF015B">
        <w:t xml:space="preserve">Table </w:t>
      </w:r>
      <w:r w:rsidR="00BF015B">
        <w:rPr>
          <w:noProof/>
        </w:rPr>
        <w:t>7</w:t>
      </w:r>
      <w:r w:rsidR="00BF015B">
        <w:noBreakHyphen/>
      </w:r>
      <w:r w:rsidR="00BF015B">
        <w:rPr>
          <w:noProof/>
        </w:rPr>
        <w:t>8</w:t>
      </w:r>
      <w:r>
        <w:fldChar w:fldCharType="end"/>
      </w:r>
      <w:r w:rsidRPr="004902A5">
        <w:t>.</w:t>
      </w:r>
    </w:p>
    <w:p w14:paraId="53817510" w14:textId="3113141A" w:rsidR="002F5809" w:rsidRDefault="002F5809" w:rsidP="002F5809">
      <w:pPr>
        <w:pStyle w:val="Caption"/>
      </w:pPr>
      <w:bookmarkStart w:id="403" w:name="_Ref450909822"/>
      <w:bookmarkStart w:id="404" w:name="_Toc514068808"/>
      <w:r>
        <w:t xml:space="preserve">Table </w:t>
      </w:r>
      <w:r>
        <w:fldChar w:fldCharType="begin"/>
      </w:r>
      <w:r>
        <w:instrText xml:space="preserve"> STYLEREF 1 \s </w:instrText>
      </w:r>
      <w:r>
        <w:fldChar w:fldCharType="separate"/>
      </w:r>
      <w:r w:rsidR="00BF015B">
        <w:rPr>
          <w:noProof/>
        </w:rPr>
        <w:t>7</w:t>
      </w:r>
      <w:r>
        <w:rPr>
          <w:noProof/>
        </w:rPr>
        <w:fldChar w:fldCharType="end"/>
      </w:r>
      <w:r>
        <w:noBreakHyphen/>
      </w:r>
      <w:r>
        <w:fldChar w:fldCharType="begin"/>
      </w:r>
      <w:r>
        <w:instrText xml:space="preserve"> SEQ Table \* ARABIC \s 1 </w:instrText>
      </w:r>
      <w:r>
        <w:fldChar w:fldCharType="separate"/>
      </w:r>
      <w:r w:rsidR="00BF015B">
        <w:rPr>
          <w:noProof/>
        </w:rPr>
        <w:t>8</w:t>
      </w:r>
      <w:r>
        <w:rPr>
          <w:noProof/>
        </w:rPr>
        <w:fldChar w:fldCharType="end"/>
      </w:r>
      <w:bookmarkEnd w:id="403"/>
      <w:r>
        <w:t xml:space="preserve"> Risk matrix</w:t>
      </w:r>
      <w:bookmarkEnd w:id="404"/>
    </w:p>
    <w:tbl>
      <w:tblPr>
        <w:tblW w:w="498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648"/>
        <w:gridCol w:w="1647"/>
        <w:gridCol w:w="1647"/>
        <w:gridCol w:w="1647"/>
        <w:gridCol w:w="1647"/>
        <w:gridCol w:w="1651"/>
      </w:tblGrid>
      <w:tr w:rsidR="002F5809" w:rsidRPr="00E75B44" w14:paraId="2F3E44D2" w14:textId="77777777" w:rsidTr="00E87231">
        <w:trPr>
          <w:tblHeader/>
        </w:trPr>
        <w:tc>
          <w:tcPr>
            <w:tcW w:w="833" w:type="pct"/>
            <w:vMerge w:val="restart"/>
            <w:shd w:val="clear" w:color="auto" w:fill="D9D9D9"/>
            <w:vAlign w:val="bottom"/>
          </w:tcPr>
          <w:p w14:paraId="2874D555" w14:textId="77777777" w:rsidR="002F5809" w:rsidRDefault="002F5809" w:rsidP="00E87231">
            <w:pPr>
              <w:pStyle w:val="Tablesmallheading"/>
              <w:jc w:val="center"/>
              <w:rPr>
                <w:caps/>
                <w:color w:val="7AC143"/>
                <w:szCs w:val="36"/>
              </w:rPr>
            </w:pPr>
            <w:r>
              <w:rPr>
                <w:caps/>
                <w:color w:val="7AC143"/>
                <w:szCs w:val="36"/>
              </w:rPr>
              <w:t>Likelihood</w:t>
            </w:r>
          </w:p>
        </w:tc>
        <w:tc>
          <w:tcPr>
            <w:tcW w:w="4167" w:type="pct"/>
            <w:gridSpan w:val="5"/>
            <w:shd w:val="clear" w:color="auto" w:fill="D9D9D9"/>
          </w:tcPr>
          <w:p w14:paraId="2528F4A6" w14:textId="77777777" w:rsidR="002F5809" w:rsidRPr="00E75B44" w:rsidRDefault="002F5809" w:rsidP="00E87231">
            <w:pPr>
              <w:pStyle w:val="Tablesmallheading"/>
              <w:jc w:val="center"/>
              <w:rPr>
                <w:caps/>
                <w:color w:val="7AC143"/>
                <w:szCs w:val="36"/>
              </w:rPr>
            </w:pPr>
            <w:r>
              <w:rPr>
                <w:caps/>
                <w:color w:val="7AC143"/>
                <w:szCs w:val="36"/>
              </w:rPr>
              <w:t>Consequence</w:t>
            </w:r>
          </w:p>
        </w:tc>
      </w:tr>
      <w:tr w:rsidR="002F5809" w:rsidRPr="00E75B44" w14:paraId="526D2FAE" w14:textId="77777777" w:rsidTr="00E87231">
        <w:trPr>
          <w:tblHeader/>
        </w:trPr>
        <w:tc>
          <w:tcPr>
            <w:tcW w:w="833" w:type="pct"/>
            <w:vMerge/>
            <w:shd w:val="clear" w:color="auto" w:fill="D9D9D9"/>
          </w:tcPr>
          <w:p w14:paraId="02E2EED4" w14:textId="77777777" w:rsidR="002F5809" w:rsidRPr="00E75B44" w:rsidRDefault="002F5809" w:rsidP="00E87231">
            <w:pPr>
              <w:pStyle w:val="Tablesmallheading"/>
              <w:jc w:val="center"/>
              <w:rPr>
                <w:caps/>
                <w:color w:val="7AC143"/>
                <w:szCs w:val="36"/>
              </w:rPr>
            </w:pPr>
          </w:p>
        </w:tc>
        <w:tc>
          <w:tcPr>
            <w:tcW w:w="833" w:type="pct"/>
            <w:shd w:val="clear" w:color="auto" w:fill="D9D9D9"/>
          </w:tcPr>
          <w:p w14:paraId="56F0F9E1" w14:textId="77777777" w:rsidR="002F5809" w:rsidRPr="001B0F9B" w:rsidRDefault="002F5809" w:rsidP="00E87231">
            <w:pPr>
              <w:pStyle w:val="Tablesmallheading"/>
              <w:jc w:val="center"/>
              <w:rPr>
                <w:rFonts w:ascii="Arial Narrow" w:hAnsi="Arial Narrow"/>
                <w:szCs w:val="36"/>
              </w:rPr>
            </w:pPr>
            <w:r w:rsidRPr="001B0F9B">
              <w:rPr>
                <w:rFonts w:ascii="Arial Narrow" w:hAnsi="Arial Narrow"/>
                <w:szCs w:val="36"/>
              </w:rPr>
              <w:t>Insignificant</w:t>
            </w:r>
          </w:p>
        </w:tc>
        <w:tc>
          <w:tcPr>
            <w:tcW w:w="833" w:type="pct"/>
            <w:shd w:val="clear" w:color="auto" w:fill="D9D9D9"/>
          </w:tcPr>
          <w:p w14:paraId="75AF15CA" w14:textId="77777777" w:rsidR="002F5809" w:rsidRPr="001B0F9B" w:rsidRDefault="002F5809" w:rsidP="00E87231">
            <w:pPr>
              <w:pStyle w:val="Tablesmallheading"/>
              <w:jc w:val="center"/>
              <w:rPr>
                <w:rFonts w:ascii="Arial Narrow" w:hAnsi="Arial Narrow"/>
                <w:szCs w:val="36"/>
              </w:rPr>
            </w:pPr>
            <w:r w:rsidRPr="001B0F9B">
              <w:rPr>
                <w:rFonts w:ascii="Arial Narrow" w:hAnsi="Arial Narrow"/>
                <w:szCs w:val="36"/>
              </w:rPr>
              <w:t>Minor</w:t>
            </w:r>
          </w:p>
        </w:tc>
        <w:tc>
          <w:tcPr>
            <w:tcW w:w="833" w:type="pct"/>
            <w:shd w:val="clear" w:color="auto" w:fill="D9D9D9"/>
          </w:tcPr>
          <w:p w14:paraId="58E3CA30" w14:textId="77777777" w:rsidR="002F5809" w:rsidRPr="001B0F9B" w:rsidRDefault="002F5809" w:rsidP="00E87231">
            <w:pPr>
              <w:pStyle w:val="Tablesmallheading"/>
              <w:jc w:val="center"/>
              <w:rPr>
                <w:rFonts w:ascii="Arial Narrow" w:hAnsi="Arial Narrow"/>
                <w:szCs w:val="36"/>
              </w:rPr>
            </w:pPr>
            <w:r w:rsidRPr="001B0F9B">
              <w:rPr>
                <w:rFonts w:ascii="Arial Narrow" w:hAnsi="Arial Narrow"/>
                <w:szCs w:val="36"/>
              </w:rPr>
              <w:t>Moderate</w:t>
            </w:r>
          </w:p>
        </w:tc>
        <w:tc>
          <w:tcPr>
            <w:tcW w:w="833" w:type="pct"/>
            <w:shd w:val="clear" w:color="auto" w:fill="D9D9D9"/>
          </w:tcPr>
          <w:p w14:paraId="35D06B2E" w14:textId="77777777" w:rsidR="002F5809" w:rsidRPr="001B0F9B" w:rsidRDefault="002F5809" w:rsidP="00E87231">
            <w:pPr>
              <w:pStyle w:val="Tablesmallheading"/>
              <w:jc w:val="center"/>
              <w:rPr>
                <w:rFonts w:ascii="Arial Narrow" w:hAnsi="Arial Narrow"/>
                <w:szCs w:val="36"/>
              </w:rPr>
            </w:pPr>
            <w:r w:rsidRPr="001B0F9B">
              <w:rPr>
                <w:rFonts w:ascii="Arial Narrow" w:hAnsi="Arial Narrow"/>
                <w:szCs w:val="36"/>
              </w:rPr>
              <w:t>Major</w:t>
            </w:r>
          </w:p>
        </w:tc>
        <w:tc>
          <w:tcPr>
            <w:tcW w:w="835" w:type="pct"/>
            <w:shd w:val="clear" w:color="auto" w:fill="D9D9D9"/>
          </w:tcPr>
          <w:p w14:paraId="17AC9217" w14:textId="77777777" w:rsidR="002F5809" w:rsidRPr="001B0F9B" w:rsidRDefault="002F5809" w:rsidP="00E87231">
            <w:pPr>
              <w:pStyle w:val="Tablesmallheading"/>
              <w:jc w:val="center"/>
              <w:rPr>
                <w:rFonts w:ascii="Arial Narrow" w:hAnsi="Arial Narrow"/>
                <w:szCs w:val="36"/>
              </w:rPr>
            </w:pPr>
            <w:r w:rsidRPr="001B0F9B">
              <w:rPr>
                <w:rFonts w:ascii="Arial Narrow" w:hAnsi="Arial Narrow"/>
                <w:szCs w:val="36"/>
              </w:rPr>
              <w:t>Severe</w:t>
            </w:r>
          </w:p>
        </w:tc>
      </w:tr>
      <w:tr w:rsidR="002F5809" w:rsidRPr="00A51C9C" w14:paraId="40087B08" w14:textId="77777777" w:rsidTr="00E87231">
        <w:tc>
          <w:tcPr>
            <w:tcW w:w="833" w:type="pct"/>
            <w:shd w:val="clear" w:color="auto" w:fill="D9D9D9"/>
          </w:tcPr>
          <w:p w14:paraId="41CB104F" w14:textId="77777777" w:rsidR="002F5809" w:rsidRPr="001B0F9B" w:rsidRDefault="002F5809" w:rsidP="00E87231">
            <w:pPr>
              <w:pStyle w:val="Tablesmallheading"/>
              <w:rPr>
                <w:rFonts w:ascii="Arial Narrow" w:hAnsi="Arial Narrow"/>
                <w:szCs w:val="36"/>
              </w:rPr>
            </w:pPr>
            <w:r w:rsidRPr="001B0F9B">
              <w:rPr>
                <w:rFonts w:ascii="Arial Narrow" w:hAnsi="Arial Narrow"/>
                <w:szCs w:val="36"/>
              </w:rPr>
              <w:t>Almost Certain</w:t>
            </w:r>
          </w:p>
        </w:tc>
        <w:tc>
          <w:tcPr>
            <w:tcW w:w="833" w:type="pct"/>
            <w:shd w:val="clear" w:color="auto" w:fill="92D050"/>
            <w:vAlign w:val="center"/>
          </w:tcPr>
          <w:p w14:paraId="263D8855" w14:textId="77777777" w:rsidR="002F5809" w:rsidRPr="00A51C9C" w:rsidRDefault="002F5809" w:rsidP="00E87231">
            <w:pPr>
              <w:pStyle w:val="Tablesmalltext"/>
              <w:jc w:val="center"/>
              <w:rPr>
                <w:rFonts w:ascii="Arial Narrow" w:hAnsi="Arial Narrow"/>
              </w:rPr>
            </w:pPr>
            <w:r>
              <w:rPr>
                <w:rFonts w:ascii="Arial Narrow" w:hAnsi="Arial Narrow"/>
              </w:rPr>
              <w:t>Low</w:t>
            </w:r>
          </w:p>
        </w:tc>
        <w:tc>
          <w:tcPr>
            <w:tcW w:w="833" w:type="pct"/>
            <w:shd w:val="clear" w:color="auto" w:fill="FFFF00"/>
            <w:vAlign w:val="center"/>
          </w:tcPr>
          <w:p w14:paraId="21A3F25B" w14:textId="77777777" w:rsidR="002F5809" w:rsidRPr="00A51C9C" w:rsidRDefault="002F5809" w:rsidP="00E87231">
            <w:pPr>
              <w:pStyle w:val="Tablesmalltext"/>
              <w:jc w:val="center"/>
              <w:rPr>
                <w:rFonts w:ascii="Arial Narrow" w:hAnsi="Arial Narrow"/>
              </w:rPr>
            </w:pPr>
            <w:r>
              <w:rPr>
                <w:rFonts w:ascii="Arial Narrow" w:hAnsi="Arial Narrow"/>
              </w:rPr>
              <w:t>Medium</w:t>
            </w:r>
          </w:p>
        </w:tc>
        <w:tc>
          <w:tcPr>
            <w:tcW w:w="833" w:type="pct"/>
            <w:shd w:val="clear" w:color="auto" w:fill="FFC000"/>
            <w:vAlign w:val="center"/>
          </w:tcPr>
          <w:p w14:paraId="29955FDB" w14:textId="77777777" w:rsidR="002F5809" w:rsidRPr="00A51C9C" w:rsidRDefault="002F5809" w:rsidP="00E87231">
            <w:pPr>
              <w:pStyle w:val="Tablesmalltext"/>
              <w:jc w:val="center"/>
              <w:rPr>
                <w:rFonts w:ascii="Arial Narrow" w:hAnsi="Arial Narrow"/>
              </w:rPr>
            </w:pPr>
            <w:r>
              <w:rPr>
                <w:rFonts w:ascii="Arial Narrow" w:hAnsi="Arial Narrow"/>
              </w:rPr>
              <w:t>High</w:t>
            </w:r>
          </w:p>
        </w:tc>
        <w:tc>
          <w:tcPr>
            <w:tcW w:w="833" w:type="pct"/>
            <w:shd w:val="clear" w:color="auto" w:fill="FF0000"/>
            <w:vAlign w:val="center"/>
          </w:tcPr>
          <w:p w14:paraId="628B2362" w14:textId="77777777" w:rsidR="002F5809" w:rsidRPr="00A51C9C" w:rsidRDefault="002F5809" w:rsidP="00E87231">
            <w:pPr>
              <w:pStyle w:val="Tablesmalltext"/>
              <w:jc w:val="center"/>
              <w:rPr>
                <w:rFonts w:ascii="Arial Narrow" w:hAnsi="Arial Narrow"/>
              </w:rPr>
            </w:pPr>
            <w:r>
              <w:rPr>
                <w:rFonts w:ascii="Arial Narrow" w:hAnsi="Arial Narrow"/>
              </w:rPr>
              <w:t>Extreme</w:t>
            </w:r>
          </w:p>
        </w:tc>
        <w:tc>
          <w:tcPr>
            <w:tcW w:w="835" w:type="pct"/>
            <w:shd w:val="clear" w:color="auto" w:fill="FF0000"/>
            <w:vAlign w:val="center"/>
          </w:tcPr>
          <w:p w14:paraId="0ED943BE" w14:textId="77777777" w:rsidR="002F5809" w:rsidRPr="00A51C9C" w:rsidRDefault="002F5809" w:rsidP="00E87231">
            <w:pPr>
              <w:pStyle w:val="Tablesmalltext"/>
              <w:jc w:val="center"/>
              <w:rPr>
                <w:rFonts w:ascii="Arial Narrow" w:hAnsi="Arial Narrow"/>
              </w:rPr>
            </w:pPr>
            <w:r>
              <w:rPr>
                <w:rFonts w:ascii="Arial Narrow" w:hAnsi="Arial Narrow"/>
              </w:rPr>
              <w:t>Extreme</w:t>
            </w:r>
          </w:p>
        </w:tc>
      </w:tr>
      <w:tr w:rsidR="002F5809" w:rsidRPr="00A51C9C" w14:paraId="594C2298" w14:textId="77777777" w:rsidTr="00E87231">
        <w:tc>
          <w:tcPr>
            <w:tcW w:w="833" w:type="pct"/>
            <w:shd w:val="clear" w:color="auto" w:fill="D9D9D9"/>
          </w:tcPr>
          <w:p w14:paraId="2064C5CA" w14:textId="77777777" w:rsidR="002F5809" w:rsidRPr="001B0F9B" w:rsidRDefault="002F5809" w:rsidP="00E87231">
            <w:pPr>
              <w:pStyle w:val="Tablesmallheading"/>
              <w:rPr>
                <w:rFonts w:ascii="Arial Narrow" w:hAnsi="Arial Narrow"/>
                <w:szCs w:val="36"/>
              </w:rPr>
            </w:pPr>
            <w:r w:rsidRPr="001B0F9B">
              <w:rPr>
                <w:rFonts w:ascii="Arial Narrow" w:hAnsi="Arial Narrow"/>
                <w:szCs w:val="36"/>
              </w:rPr>
              <w:t>Likely</w:t>
            </w:r>
          </w:p>
        </w:tc>
        <w:tc>
          <w:tcPr>
            <w:tcW w:w="833" w:type="pct"/>
            <w:shd w:val="clear" w:color="auto" w:fill="92D050"/>
            <w:vAlign w:val="center"/>
          </w:tcPr>
          <w:p w14:paraId="55048EBA" w14:textId="77777777" w:rsidR="002F5809" w:rsidRPr="00A51C9C" w:rsidRDefault="002F5809" w:rsidP="00E87231">
            <w:pPr>
              <w:pStyle w:val="Tablesmalltext"/>
              <w:jc w:val="center"/>
              <w:rPr>
                <w:rFonts w:ascii="Arial Narrow" w:hAnsi="Arial Narrow"/>
              </w:rPr>
            </w:pPr>
            <w:r>
              <w:rPr>
                <w:rFonts w:ascii="Arial Narrow" w:hAnsi="Arial Narrow"/>
              </w:rPr>
              <w:t>Low</w:t>
            </w:r>
          </w:p>
        </w:tc>
        <w:tc>
          <w:tcPr>
            <w:tcW w:w="833" w:type="pct"/>
            <w:shd w:val="clear" w:color="auto" w:fill="FFFF00"/>
            <w:vAlign w:val="center"/>
          </w:tcPr>
          <w:p w14:paraId="2AE46630" w14:textId="77777777" w:rsidR="002F5809" w:rsidRPr="00A51C9C" w:rsidRDefault="002F5809" w:rsidP="00E87231">
            <w:pPr>
              <w:pStyle w:val="Tablesmalltext"/>
              <w:jc w:val="center"/>
              <w:rPr>
                <w:rFonts w:ascii="Arial Narrow" w:hAnsi="Arial Narrow"/>
              </w:rPr>
            </w:pPr>
            <w:r>
              <w:rPr>
                <w:rFonts w:ascii="Arial Narrow" w:hAnsi="Arial Narrow"/>
              </w:rPr>
              <w:t>Medium</w:t>
            </w:r>
          </w:p>
        </w:tc>
        <w:tc>
          <w:tcPr>
            <w:tcW w:w="833" w:type="pct"/>
            <w:shd w:val="clear" w:color="auto" w:fill="FFC000"/>
            <w:vAlign w:val="center"/>
          </w:tcPr>
          <w:p w14:paraId="17311981" w14:textId="77777777" w:rsidR="002F5809" w:rsidRPr="00A51C9C" w:rsidRDefault="002F5809" w:rsidP="00E87231">
            <w:pPr>
              <w:pStyle w:val="Tablesmalltext"/>
              <w:jc w:val="center"/>
              <w:rPr>
                <w:rFonts w:ascii="Arial Narrow" w:hAnsi="Arial Narrow"/>
              </w:rPr>
            </w:pPr>
            <w:r>
              <w:rPr>
                <w:rFonts w:ascii="Arial Narrow" w:hAnsi="Arial Narrow"/>
              </w:rPr>
              <w:t>High</w:t>
            </w:r>
          </w:p>
        </w:tc>
        <w:tc>
          <w:tcPr>
            <w:tcW w:w="833" w:type="pct"/>
            <w:shd w:val="clear" w:color="auto" w:fill="FFC000"/>
            <w:vAlign w:val="center"/>
          </w:tcPr>
          <w:p w14:paraId="51AC2A13" w14:textId="77777777" w:rsidR="002F5809" w:rsidRPr="00A51C9C" w:rsidRDefault="002F5809" w:rsidP="00E87231">
            <w:pPr>
              <w:pStyle w:val="Tablesmalltext"/>
              <w:jc w:val="center"/>
              <w:rPr>
                <w:rFonts w:ascii="Arial Narrow" w:hAnsi="Arial Narrow"/>
              </w:rPr>
            </w:pPr>
            <w:r>
              <w:rPr>
                <w:rFonts w:ascii="Arial Narrow" w:hAnsi="Arial Narrow"/>
              </w:rPr>
              <w:t>High</w:t>
            </w:r>
          </w:p>
        </w:tc>
        <w:tc>
          <w:tcPr>
            <w:tcW w:w="835" w:type="pct"/>
            <w:shd w:val="clear" w:color="auto" w:fill="FF0000"/>
            <w:vAlign w:val="center"/>
          </w:tcPr>
          <w:p w14:paraId="54D70E4A" w14:textId="77777777" w:rsidR="002F5809" w:rsidRPr="00A51C9C" w:rsidRDefault="002F5809" w:rsidP="00E87231">
            <w:pPr>
              <w:pStyle w:val="Tablesmalltext"/>
              <w:jc w:val="center"/>
              <w:rPr>
                <w:rFonts w:ascii="Arial Narrow" w:hAnsi="Arial Narrow"/>
              </w:rPr>
            </w:pPr>
            <w:r>
              <w:rPr>
                <w:rFonts w:ascii="Arial Narrow" w:hAnsi="Arial Narrow"/>
              </w:rPr>
              <w:t>Extreme</w:t>
            </w:r>
          </w:p>
        </w:tc>
      </w:tr>
      <w:tr w:rsidR="002F5809" w:rsidRPr="00A51C9C" w14:paraId="21CD82DE" w14:textId="77777777" w:rsidTr="00E87231">
        <w:tc>
          <w:tcPr>
            <w:tcW w:w="833" w:type="pct"/>
            <w:shd w:val="clear" w:color="auto" w:fill="D9D9D9"/>
          </w:tcPr>
          <w:p w14:paraId="58D808C5" w14:textId="77777777" w:rsidR="002F5809" w:rsidRPr="001B0F9B" w:rsidRDefault="002F5809" w:rsidP="00E87231">
            <w:pPr>
              <w:pStyle w:val="Tablesmallheading"/>
              <w:rPr>
                <w:rFonts w:ascii="Arial Narrow" w:hAnsi="Arial Narrow"/>
                <w:szCs w:val="36"/>
              </w:rPr>
            </w:pPr>
            <w:r w:rsidRPr="001B0F9B">
              <w:rPr>
                <w:rFonts w:ascii="Arial Narrow" w:hAnsi="Arial Narrow"/>
                <w:szCs w:val="36"/>
              </w:rPr>
              <w:t>Possible</w:t>
            </w:r>
          </w:p>
        </w:tc>
        <w:tc>
          <w:tcPr>
            <w:tcW w:w="833" w:type="pct"/>
            <w:shd w:val="clear" w:color="auto" w:fill="92D050"/>
            <w:vAlign w:val="center"/>
          </w:tcPr>
          <w:p w14:paraId="72D54874" w14:textId="77777777" w:rsidR="002F5809" w:rsidRPr="00A51C9C" w:rsidRDefault="002F5809" w:rsidP="00E87231">
            <w:pPr>
              <w:pStyle w:val="Tablesmalltext"/>
              <w:jc w:val="center"/>
              <w:rPr>
                <w:rFonts w:ascii="Arial Narrow" w:hAnsi="Arial Narrow"/>
              </w:rPr>
            </w:pPr>
            <w:r>
              <w:rPr>
                <w:rFonts w:ascii="Arial Narrow" w:hAnsi="Arial Narrow"/>
              </w:rPr>
              <w:t>Low</w:t>
            </w:r>
          </w:p>
        </w:tc>
        <w:tc>
          <w:tcPr>
            <w:tcW w:w="833" w:type="pct"/>
            <w:shd w:val="clear" w:color="auto" w:fill="FFFF00"/>
            <w:vAlign w:val="center"/>
          </w:tcPr>
          <w:p w14:paraId="7B4970A4" w14:textId="77777777" w:rsidR="002F5809" w:rsidRPr="00A51C9C" w:rsidRDefault="002F5809" w:rsidP="00E87231">
            <w:pPr>
              <w:pStyle w:val="Tablesmalltext"/>
              <w:jc w:val="center"/>
              <w:rPr>
                <w:rFonts w:ascii="Arial Narrow" w:hAnsi="Arial Narrow"/>
              </w:rPr>
            </w:pPr>
            <w:r>
              <w:rPr>
                <w:rFonts w:ascii="Arial Narrow" w:hAnsi="Arial Narrow"/>
              </w:rPr>
              <w:t>Medium</w:t>
            </w:r>
          </w:p>
        </w:tc>
        <w:tc>
          <w:tcPr>
            <w:tcW w:w="833" w:type="pct"/>
            <w:shd w:val="clear" w:color="auto" w:fill="FFFF00"/>
            <w:vAlign w:val="center"/>
          </w:tcPr>
          <w:p w14:paraId="4B733000" w14:textId="77777777" w:rsidR="002F5809" w:rsidRPr="00A51C9C" w:rsidRDefault="002F5809" w:rsidP="00E87231">
            <w:pPr>
              <w:pStyle w:val="Tablesmalltext"/>
              <w:jc w:val="center"/>
              <w:rPr>
                <w:rFonts w:ascii="Arial Narrow" w:hAnsi="Arial Narrow"/>
              </w:rPr>
            </w:pPr>
            <w:r>
              <w:rPr>
                <w:rFonts w:ascii="Arial Narrow" w:hAnsi="Arial Narrow"/>
              </w:rPr>
              <w:t>Medium</w:t>
            </w:r>
          </w:p>
        </w:tc>
        <w:tc>
          <w:tcPr>
            <w:tcW w:w="833" w:type="pct"/>
            <w:shd w:val="clear" w:color="auto" w:fill="FFC000"/>
            <w:vAlign w:val="center"/>
          </w:tcPr>
          <w:p w14:paraId="1D05438C" w14:textId="77777777" w:rsidR="002F5809" w:rsidRPr="00A51C9C" w:rsidRDefault="002F5809" w:rsidP="00E87231">
            <w:pPr>
              <w:pStyle w:val="Tablesmalltext"/>
              <w:jc w:val="center"/>
              <w:rPr>
                <w:rFonts w:ascii="Arial Narrow" w:hAnsi="Arial Narrow"/>
              </w:rPr>
            </w:pPr>
            <w:r>
              <w:rPr>
                <w:rFonts w:ascii="Arial Narrow" w:hAnsi="Arial Narrow"/>
              </w:rPr>
              <w:t>High</w:t>
            </w:r>
          </w:p>
        </w:tc>
        <w:tc>
          <w:tcPr>
            <w:tcW w:w="835" w:type="pct"/>
            <w:shd w:val="clear" w:color="auto" w:fill="FF0000"/>
            <w:vAlign w:val="center"/>
          </w:tcPr>
          <w:p w14:paraId="6DFD19A3" w14:textId="77777777" w:rsidR="002F5809" w:rsidRPr="00A51C9C" w:rsidRDefault="002F5809" w:rsidP="00E87231">
            <w:pPr>
              <w:pStyle w:val="Tablesmalltext"/>
              <w:jc w:val="center"/>
              <w:rPr>
                <w:rFonts w:ascii="Arial Narrow" w:hAnsi="Arial Narrow"/>
              </w:rPr>
            </w:pPr>
            <w:r>
              <w:rPr>
                <w:rFonts w:ascii="Arial Narrow" w:hAnsi="Arial Narrow"/>
              </w:rPr>
              <w:t>Extreme</w:t>
            </w:r>
          </w:p>
        </w:tc>
      </w:tr>
      <w:tr w:rsidR="002F5809" w:rsidRPr="00A51C9C" w14:paraId="20FDB2E1" w14:textId="77777777" w:rsidTr="00E87231">
        <w:tc>
          <w:tcPr>
            <w:tcW w:w="833" w:type="pct"/>
            <w:shd w:val="clear" w:color="auto" w:fill="D9D9D9"/>
          </w:tcPr>
          <w:p w14:paraId="642253D7" w14:textId="77777777" w:rsidR="002F5809" w:rsidRPr="001B0F9B" w:rsidRDefault="002F5809" w:rsidP="00E87231">
            <w:pPr>
              <w:pStyle w:val="Tablesmallheading"/>
              <w:rPr>
                <w:rFonts w:ascii="Arial Narrow" w:hAnsi="Arial Narrow"/>
                <w:szCs w:val="36"/>
              </w:rPr>
            </w:pPr>
            <w:r w:rsidRPr="001B0F9B">
              <w:rPr>
                <w:rFonts w:ascii="Arial Narrow" w:hAnsi="Arial Narrow"/>
                <w:szCs w:val="36"/>
              </w:rPr>
              <w:t>Unlikely</w:t>
            </w:r>
          </w:p>
        </w:tc>
        <w:tc>
          <w:tcPr>
            <w:tcW w:w="833" w:type="pct"/>
            <w:shd w:val="clear" w:color="auto" w:fill="92D050"/>
            <w:vAlign w:val="center"/>
          </w:tcPr>
          <w:p w14:paraId="13F74D1A" w14:textId="77777777" w:rsidR="002F5809" w:rsidRPr="00A51C9C" w:rsidRDefault="002F5809" w:rsidP="00E87231">
            <w:pPr>
              <w:pStyle w:val="Tablesmalltext"/>
              <w:jc w:val="center"/>
              <w:rPr>
                <w:rFonts w:ascii="Arial Narrow" w:hAnsi="Arial Narrow"/>
              </w:rPr>
            </w:pPr>
            <w:r>
              <w:rPr>
                <w:rFonts w:ascii="Arial Narrow" w:hAnsi="Arial Narrow"/>
              </w:rPr>
              <w:t>Low</w:t>
            </w:r>
          </w:p>
        </w:tc>
        <w:tc>
          <w:tcPr>
            <w:tcW w:w="833" w:type="pct"/>
            <w:shd w:val="clear" w:color="auto" w:fill="92D050"/>
            <w:vAlign w:val="center"/>
          </w:tcPr>
          <w:p w14:paraId="1155AACD" w14:textId="77777777" w:rsidR="002F5809" w:rsidRPr="00A51C9C" w:rsidRDefault="002F5809" w:rsidP="00E87231">
            <w:pPr>
              <w:pStyle w:val="Tablesmalltext"/>
              <w:jc w:val="center"/>
              <w:rPr>
                <w:rFonts w:ascii="Arial Narrow" w:hAnsi="Arial Narrow"/>
              </w:rPr>
            </w:pPr>
            <w:r>
              <w:rPr>
                <w:rFonts w:ascii="Arial Narrow" w:hAnsi="Arial Narrow"/>
              </w:rPr>
              <w:t>Low</w:t>
            </w:r>
          </w:p>
        </w:tc>
        <w:tc>
          <w:tcPr>
            <w:tcW w:w="833" w:type="pct"/>
            <w:shd w:val="clear" w:color="auto" w:fill="FFFF00"/>
            <w:vAlign w:val="center"/>
          </w:tcPr>
          <w:p w14:paraId="1E863179" w14:textId="77777777" w:rsidR="002F5809" w:rsidRPr="00A51C9C" w:rsidRDefault="002F5809" w:rsidP="00E87231">
            <w:pPr>
              <w:pStyle w:val="Tablesmalltext"/>
              <w:jc w:val="center"/>
              <w:rPr>
                <w:rFonts w:ascii="Arial Narrow" w:hAnsi="Arial Narrow"/>
              </w:rPr>
            </w:pPr>
            <w:r>
              <w:rPr>
                <w:rFonts w:ascii="Arial Narrow" w:hAnsi="Arial Narrow"/>
              </w:rPr>
              <w:t>Medium</w:t>
            </w:r>
          </w:p>
        </w:tc>
        <w:tc>
          <w:tcPr>
            <w:tcW w:w="833" w:type="pct"/>
            <w:shd w:val="clear" w:color="auto" w:fill="FFFF00"/>
            <w:vAlign w:val="center"/>
          </w:tcPr>
          <w:p w14:paraId="1D24AEE0" w14:textId="77777777" w:rsidR="002F5809" w:rsidRPr="00A51C9C" w:rsidRDefault="002F5809" w:rsidP="00E87231">
            <w:pPr>
              <w:pStyle w:val="Tablesmalltext"/>
              <w:jc w:val="center"/>
              <w:rPr>
                <w:rFonts w:ascii="Arial Narrow" w:hAnsi="Arial Narrow"/>
              </w:rPr>
            </w:pPr>
            <w:r>
              <w:rPr>
                <w:rFonts w:ascii="Arial Narrow" w:hAnsi="Arial Narrow"/>
              </w:rPr>
              <w:t>Medium</w:t>
            </w:r>
          </w:p>
        </w:tc>
        <w:tc>
          <w:tcPr>
            <w:tcW w:w="835" w:type="pct"/>
            <w:shd w:val="clear" w:color="auto" w:fill="FFC000"/>
            <w:vAlign w:val="center"/>
          </w:tcPr>
          <w:p w14:paraId="23557888" w14:textId="77777777" w:rsidR="002F5809" w:rsidRPr="00A51C9C" w:rsidRDefault="002F5809" w:rsidP="00E87231">
            <w:pPr>
              <w:pStyle w:val="Tablesmalltext"/>
              <w:jc w:val="center"/>
              <w:rPr>
                <w:rFonts w:ascii="Arial Narrow" w:hAnsi="Arial Narrow"/>
              </w:rPr>
            </w:pPr>
            <w:r>
              <w:rPr>
                <w:rFonts w:ascii="Arial Narrow" w:hAnsi="Arial Narrow"/>
              </w:rPr>
              <w:t>High</w:t>
            </w:r>
          </w:p>
        </w:tc>
      </w:tr>
      <w:tr w:rsidR="002F5809" w:rsidRPr="00A51C9C" w14:paraId="6F04E388" w14:textId="77777777" w:rsidTr="00E87231">
        <w:tc>
          <w:tcPr>
            <w:tcW w:w="833" w:type="pct"/>
            <w:shd w:val="clear" w:color="auto" w:fill="D9D9D9"/>
          </w:tcPr>
          <w:p w14:paraId="3FC4216D" w14:textId="77777777" w:rsidR="002F5809" w:rsidRPr="001B0F9B" w:rsidRDefault="002F5809" w:rsidP="00E87231">
            <w:pPr>
              <w:pStyle w:val="Tablesmallheading"/>
              <w:rPr>
                <w:rFonts w:ascii="Arial Narrow" w:hAnsi="Arial Narrow"/>
                <w:szCs w:val="36"/>
              </w:rPr>
            </w:pPr>
            <w:r w:rsidRPr="001B0F9B">
              <w:rPr>
                <w:rFonts w:ascii="Arial Narrow" w:hAnsi="Arial Narrow"/>
                <w:szCs w:val="36"/>
              </w:rPr>
              <w:t>Rare</w:t>
            </w:r>
          </w:p>
        </w:tc>
        <w:tc>
          <w:tcPr>
            <w:tcW w:w="833" w:type="pct"/>
            <w:shd w:val="clear" w:color="auto" w:fill="92D050"/>
            <w:vAlign w:val="center"/>
          </w:tcPr>
          <w:p w14:paraId="62433B92" w14:textId="77777777" w:rsidR="002F5809" w:rsidRPr="00A51C9C" w:rsidRDefault="002F5809" w:rsidP="00E87231">
            <w:pPr>
              <w:pStyle w:val="Tablesmalltext"/>
              <w:jc w:val="center"/>
              <w:rPr>
                <w:rFonts w:ascii="Arial Narrow" w:hAnsi="Arial Narrow"/>
              </w:rPr>
            </w:pPr>
            <w:r>
              <w:rPr>
                <w:rFonts w:ascii="Arial Narrow" w:hAnsi="Arial Narrow"/>
              </w:rPr>
              <w:t>Low</w:t>
            </w:r>
          </w:p>
        </w:tc>
        <w:tc>
          <w:tcPr>
            <w:tcW w:w="833" w:type="pct"/>
            <w:shd w:val="clear" w:color="auto" w:fill="92D050"/>
            <w:vAlign w:val="center"/>
          </w:tcPr>
          <w:p w14:paraId="48513C3C" w14:textId="77777777" w:rsidR="002F5809" w:rsidRPr="00A51C9C" w:rsidRDefault="002F5809" w:rsidP="00E87231">
            <w:pPr>
              <w:pStyle w:val="Tablesmalltext"/>
              <w:jc w:val="center"/>
              <w:rPr>
                <w:rFonts w:ascii="Arial Narrow" w:hAnsi="Arial Narrow"/>
              </w:rPr>
            </w:pPr>
            <w:r>
              <w:rPr>
                <w:rFonts w:ascii="Arial Narrow" w:hAnsi="Arial Narrow"/>
              </w:rPr>
              <w:t>Low</w:t>
            </w:r>
          </w:p>
        </w:tc>
        <w:tc>
          <w:tcPr>
            <w:tcW w:w="833" w:type="pct"/>
            <w:shd w:val="clear" w:color="auto" w:fill="92D050"/>
            <w:vAlign w:val="center"/>
          </w:tcPr>
          <w:p w14:paraId="6F80AEB9" w14:textId="77777777" w:rsidR="002F5809" w:rsidRPr="00A51C9C" w:rsidRDefault="002F5809" w:rsidP="00E87231">
            <w:pPr>
              <w:pStyle w:val="Tablesmalltext"/>
              <w:jc w:val="center"/>
              <w:rPr>
                <w:rFonts w:ascii="Arial Narrow" w:hAnsi="Arial Narrow"/>
              </w:rPr>
            </w:pPr>
            <w:r>
              <w:rPr>
                <w:rFonts w:ascii="Arial Narrow" w:hAnsi="Arial Narrow"/>
              </w:rPr>
              <w:t>Low</w:t>
            </w:r>
          </w:p>
        </w:tc>
        <w:tc>
          <w:tcPr>
            <w:tcW w:w="833" w:type="pct"/>
            <w:shd w:val="clear" w:color="auto" w:fill="FFFF00"/>
            <w:vAlign w:val="center"/>
          </w:tcPr>
          <w:p w14:paraId="36BBE2BF" w14:textId="77777777" w:rsidR="002F5809" w:rsidRPr="00A51C9C" w:rsidRDefault="002F5809" w:rsidP="00E87231">
            <w:pPr>
              <w:pStyle w:val="Tablesmalltext"/>
              <w:jc w:val="center"/>
              <w:rPr>
                <w:rFonts w:ascii="Arial Narrow" w:hAnsi="Arial Narrow"/>
              </w:rPr>
            </w:pPr>
            <w:r>
              <w:rPr>
                <w:rFonts w:ascii="Arial Narrow" w:hAnsi="Arial Narrow"/>
              </w:rPr>
              <w:t>Medium</w:t>
            </w:r>
          </w:p>
        </w:tc>
        <w:tc>
          <w:tcPr>
            <w:tcW w:w="835" w:type="pct"/>
            <w:shd w:val="clear" w:color="auto" w:fill="FFFF00"/>
            <w:vAlign w:val="center"/>
          </w:tcPr>
          <w:p w14:paraId="60F696D2" w14:textId="77777777" w:rsidR="002F5809" w:rsidRPr="00A51C9C" w:rsidRDefault="002F5809" w:rsidP="00E87231">
            <w:pPr>
              <w:pStyle w:val="Tablesmalltext"/>
              <w:jc w:val="center"/>
              <w:rPr>
                <w:rFonts w:ascii="Arial Narrow" w:hAnsi="Arial Narrow"/>
              </w:rPr>
            </w:pPr>
            <w:r>
              <w:rPr>
                <w:rFonts w:ascii="Arial Narrow" w:hAnsi="Arial Narrow"/>
              </w:rPr>
              <w:t>Medium</w:t>
            </w:r>
          </w:p>
        </w:tc>
      </w:tr>
    </w:tbl>
    <w:p w14:paraId="2999D22B" w14:textId="5A34A68D" w:rsidR="002F5809" w:rsidRDefault="002F5809" w:rsidP="002F5809">
      <w:pPr>
        <w:rPr>
          <w:highlight w:val="yellow"/>
        </w:rPr>
      </w:pPr>
    </w:p>
    <w:p w14:paraId="0D20758B" w14:textId="77777777" w:rsidR="002F5809" w:rsidRPr="005C32F1" w:rsidRDefault="002F5809" w:rsidP="002F5809">
      <w:pPr>
        <w:pStyle w:val="Heading3noTOC"/>
        <w:rPr>
          <w:i/>
          <w:color w:val="auto"/>
        </w:rPr>
      </w:pPr>
      <w:r w:rsidRPr="005C32F1">
        <w:rPr>
          <w:i/>
          <w:color w:val="auto"/>
        </w:rPr>
        <w:t>Risk Evaluation</w:t>
      </w:r>
    </w:p>
    <w:p w14:paraId="314A18A2" w14:textId="77777777" w:rsidR="002F5809" w:rsidRPr="004902A5" w:rsidRDefault="002F5809" w:rsidP="002F5809">
      <w:r w:rsidRPr="004902A5">
        <w:t xml:space="preserve">Risk evaluation is </w:t>
      </w:r>
      <w:r>
        <w:t>to</w:t>
      </w:r>
      <w:r w:rsidRPr="004902A5">
        <w:t xml:space="preserve"> undertake to review the results of the risk analysis and determine whether the risk is acceptable or tolerable. Its purpose is to assist decision making on which risks require further analysis and/or need treatment and the priority for implementation of risk management.</w:t>
      </w:r>
    </w:p>
    <w:p w14:paraId="029FCF1B" w14:textId="0F5BECC9" w:rsidR="002F5809" w:rsidRPr="005C32F1" w:rsidRDefault="002F5809" w:rsidP="008C06C0">
      <w:pPr>
        <w:pStyle w:val="Heading3noTOC"/>
        <w:rPr>
          <w:b/>
          <w:color w:val="auto"/>
          <w:sz w:val="28"/>
          <w:szCs w:val="28"/>
        </w:rPr>
      </w:pPr>
      <w:bookmarkStart w:id="405" w:name="_Toc451166955"/>
      <w:bookmarkStart w:id="406" w:name="_Toc451168846"/>
      <w:bookmarkStart w:id="407" w:name="_Toc456041980"/>
      <w:r w:rsidRPr="005C32F1">
        <w:rPr>
          <w:b/>
          <w:color w:val="auto"/>
          <w:sz w:val="28"/>
          <w:szCs w:val="28"/>
          <w:lang w:eastAsia="en-US"/>
        </w:rPr>
        <w:t>Risk Treatment</w:t>
      </w:r>
      <w:bookmarkEnd w:id="405"/>
      <w:bookmarkEnd w:id="406"/>
      <w:bookmarkEnd w:id="407"/>
    </w:p>
    <w:p w14:paraId="47D8E087" w14:textId="77777777" w:rsidR="002F5809" w:rsidRPr="00C101A2" w:rsidRDefault="002F5809" w:rsidP="002F5809">
      <w:r w:rsidRPr="00C101A2">
        <w:t>Where risks are determined to not be acceptable or tolerable, treatments or management strategies are developed to reduce the risk to a level that is acceptable to the Program. Risk treatment aims to identify and implement the most appropriate action(s) in response to unacceptable risks.</w:t>
      </w:r>
    </w:p>
    <w:p w14:paraId="0451BC1C" w14:textId="1C038E52" w:rsidR="002F5809" w:rsidRDefault="00B36E97" w:rsidP="002F5809">
      <w:r>
        <w:t xml:space="preserve">A Risk Register can be developed which </w:t>
      </w:r>
      <w:r w:rsidR="002F5809" w:rsidRPr="00C101A2">
        <w:t>provides “controls” for each risk and gives a qualitative evaluation of the likely effectiveness of these controls should they be implemented.</w:t>
      </w:r>
      <w:r w:rsidR="002F5809">
        <w:t xml:space="preserve"> Following the application of the identified controls, ea</w:t>
      </w:r>
      <w:r w:rsidR="002F5809" w:rsidRPr="00C101A2">
        <w:t xml:space="preserve">ch risk was re-assigned qualitative consequence and likelihood ratings to determine the level of residual risk. </w:t>
      </w:r>
    </w:p>
    <w:p w14:paraId="477A6E6F" w14:textId="77777777" w:rsidR="00C354CD" w:rsidRDefault="00C354CD" w:rsidP="00C354CD">
      <w:pPr>
        <w:pStyle w:val="Heading9"/>
        <w:numPr>
          <w:ilvl w:val="0"/>
          <w:numId w:val="8"/>
        </w:numPr>
        <w:spacing w:after="0" w:line="240" w:lineRule="auto"/>
        <w:ind w:left="1985" w:hanging="1985"/>
        <w:rPr>
          <w:color w:val="65876D" w:themeColor="accent4" w:themeShade="BF"/>
        </w:rPr>
      </w:pPr>
      <w:bookmarkStart w:id="408" w:name="_Ref507426282"/>
      <w:bookmarkStart w:id="409" w:name="_Toc510785232"/>
      <w:r>
        <w:rPr>
          <w:color w:val="65876D" w:themeColor="accent4" w:themeShade="BF"/>
        </w:rPr>
        <w:t>Basin Scale Analysis – Additional Maps</w:t>
      </w:r>
      <w:bookmarkEnd w:id="408"/>
      <w:bookmarkEnd w:id="409"/>
    </w:p>
    <w:p w14:paraId="4F77A0C0" w14:textId="13B6BF94" w:rsidR="00C354CD" w:rsidRDefault="00C354CD" w:rsidP="002F5809"/>
    <w:p w14:paraId="31292B50" w14:textId="77777777" w:rsidR="00EE7285" w:rsidRDefault="00EE7285" w:rsidP="002F5809">
      <w:pPr>
        <w:sectPr w:rsidR="00EE7285" w:rsidSect="00170A62">
          <w:headerReference w:type="default" r:id="rId122"/>
          <w:pgSz w:w="11906" w:h="16838" w:code="9"/>
          <w:pgMar w:top="567" w:right="851" w:bottom="851" w:left="1134" w:header="567" w:footer="369" w:gutter="0"/>
          <w:cols w:space="0"/>
          <w:formProt w:val="0"/>
          <w:docGrid w:linePitch="360"/>
        </w:sectPr>
      </w:pPr>
    </w:p>
    <w:p w14:paraId="65C3F924" w14:textId="40566426" w:rsidR="00EE7285" w:rsidRDefault="008061A8" w:rsidP="00EE7285">
      <w:pPr>
        <w:pStyle w:val="Caption"/>
        <w:spacing w:before="0" w:after="0"/>
        <w:jc w:val="center"/>
      </w:pPr>
      <w:r>
        <w:rPr>
          <w:noProof/>
          <w:lang w:eastAsia="en-AU"/>
        </w:rPr>
        <w:drawing>
          <wp:inline distT="0" distB="0" distL="0" distR="0" wp14:anchorId="4D4CCCD6" wp14:editId="165B0F14">
            <wp:extent cx="13007991" cy="8039100"/>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5.21.png"/>
                    <pic:cNvPicPr/>
                  </pic:nvPicPr>
                  <pic:blipFill rotWithShape="1">
                    <a:blip r:embed="rId123" cstate="email">
                      <a:extLst>
                        <a:ext uri="{28A0092B-C50C-407E-A947-70E740481C1C}">
                          <a14:useLocalDpi xmlns:a14="http://schemas.microsoft.com/office/drawing/2010/main"/>
                        </a:ext>
                      </a:extLst>
                    </a:blip>
                    <a:srcRect/>
                    <a:stretch/>
                  </pic:blipFill>
                  <pic:spPr bwMode="auto">
                    <a:xfrm>
                      <a:off x="0" y="0"/>
                      <a:ext cx="13009597" cy="8040093"/>
                    </a:xfrm>
                    <a:prstGeom prst="rect">
                      <a:avLst/>
                    </a:prstGeom>
                    <a:ln>
                      <a:noFill/>
                    </a:ln>
                    <a:extLst>
                      <a:ext uri="{53640926-AAD7-44D8-BBD7-CCE9431645EC}">
                        <a14:shadowObscured xmlns:a14="http://schemas.microsoft.com/office/drawing/2010/main"/>
                      </a:ext>
                    </a:extLst>
                  </pic:spPr>
                </pic:pic>
              </a:graphicData>
            </a:graphic>
          </wp:inline>
        </w:drawing>
      </w:r>
    </w:p>
    <w:p w14:paraId="2A39CF7E" w14:textId="7A37DD8C" w:rsidR="00585FCF" w:rsidRDefault="00EE7285" w:rsidP="00EE7285">
      <w:pPr>
        <w:pStyle w:val="Caption"/>
        <w:spacing w:before="0" w:after="0"/>
        <w:jc w:val="center"/>
      </w:pPr>
      <w:bookmarkStart w:id="410" w:name="_Toc514018119"/>
      <w:r>
        <w:t xml:space="preserve">Figure </w:t>
      </w:r>
      <w:r>
        <w:fldChar w:fldCharType="begin"/>
      </w:r>
      <w:r>
        <w:instrText xml:space="preserve"> STYLEREF 1 \s </w:instrText>
      </w:r>
      <w:r>
        <w:fldChar w:fldCharType="separate"/>
      </w:r>
      <w:r w:rsidR="00BF015B">
        <w:rPr>
          <w:noProof/>
        </w:rPr>
        <w:t>7</w:t>
      </w:r>
      <w:r>
        <w:fldChar w:fldCharType="end"/>
      </w:r>
      <w:r>
        <w:noBreakHyphen/>
      </w:r>
      <w:r>
        <w:fldChar w:fldCharType="begin"/>
      </w:r>
      <w:r>
        <w:instrText xml:space="preserve"> SEQ Figure \* ARABIC \s 1 </w:instrText>
      </w:r>
      <w:r>
        <w:fldChar w:fldCharType="separate"/>
      </w:r>
      <w:r w:rsidR="00BF015B">
        <w:rPr>
          <w:noProof/>
        </w:rPr>
        <w:t>7</w:t>
      </w:r>
      <w:r>
        <w:fldChar w:fldCharType="end"/>
      </w:r>
      <w:r>
        <w:t xml:space="preserve">: Black Box </w:t>
      </w:r>
      <w:r w:rsidR="005C32F1">
        <w:t>c</w:t>
      </w:r>
      <w:r>
        <w:t xml:space="preserve">ondition </w:t>
      </w:r>
      <w:r w:rsidR="005C32F1">
        <w:t>m</w:t>
      </w:r>
      <w:r>
        <w:t>ap: Darling</w:t>
      </w:r>
      <w:bookmarkEnd w:id="410"/>
    </w:p>
    <w:p w14:paraId="6CC3BD44" w14:textId="77777777" w:rsidR="00585FCF" w:rsidRDefault="00585FCF">
      <w:pPr>
        <w:spacing w:after="0" w:line="240" w:lineRule="auto"/>
        <w:rPr>
          <w:rFonts w:ascii="Arial Narrow" w:hAnsi="Arial Narrow"/>
          <w:b/>
        </w:rPr>
      </w:pPr>
      <w:r>
        <w:br w:type="page"/>
      </w:r>
    </w:p>
    <w:p w14:paraId="06D9E074" w14:textId="2CEBF1E8" w:rsidR="00EE7285" w:rsidRDefault="008061A8" w:rsidP="00EE7285">
      <w:pPr>
        <w:pStyle w:val="Para0"/>
        <w:spacing w:before="0" w:after="0"/>
        <w:jc w:val="center"/>
      </w:pPr>
      <w:r>
        <w:rPr>
          <w:noProof/>
          <w:lang w:eastAsia="en-AU"/>
        </w:rPr>
        <w:drawing>
          <wp:inline distT="0" distB="0" distL="0" distR="0" wp14:anchorId="72AC1397" wp14:editId="4E787E8B">
            <wp:extent cx="13106400" cy="798924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5.22.png"/>
                    <pic:cNvPicPr/>
                  </pic:nvPicPr>
                  <pic:blipFill rotWithShape="1">
                    <a:blip r:embed="rId124" cstate="email">
                      <a:extLst>
                        <a:ext uri="{28A0092B-C50C-407E-A947-70E740481C1C}">
                          <a14:useLocalDpi xmlns:a14="http://schemas.microsoft.com/office/drawing/2010/main"/>
                        </a:ext>
                      </a:extLst>
                    </a:blip>
                    <a:srcRect/>
                    <a:stretch/>
                  </pic:blipFill>
                  <pic:spPr bwMode="auto">
                    <a:xfrm>
                      <a:off x="0" y="0"/>
                      <a:ext cx="13109573" cy="7991175"/>
                    </a:xfrm>
                    <a:prstGeom prst="rect">
                      <a:avLst/>
                    </a:prstGeom>
                    <a:ln>
                      <a:noFill/>
                    </a:ln>
                    <a:extLst>
                      <a:ext uri="{53640926-AAD7-44D8-BBD7-CCE9431645EC}">
                        <a14:shadowObscured xmlns:a14="http://schemas.microsoft.com/office/drawing/2010/main"/>
                      </a:ext>
                    </a:extLst>
                  </pic:spPr>
                </pic:pic>
              </a:graphicData>
            </a:graphic>
          </wp:inline>
        </w:drawing>
      </w:r>
    </w:p>
    <w:p w14:paraId="6F848726" w14:textId="410B8AB9" w:rsidR="00585FCF" w:rsidRDefault="00EE7285" w:rsidP="00EE7285">
      <w:pPr>
        <w:pStyle w:val="Caption"/>
        <w:spacing w:before="0" w:after="0"/>
        <w:jc w:val="center"/>
      </w:pPr>
      <w:bookmarkStart w:id="411" w:name="_Toc514018120"/>
      <w:r>
        <w:t xml:space="preserve">Figure </w:t>
      </w:r>
      <w:r>
        <w:fldChar w:fldCharType="begin"/>
      </w:r>
      <w:r>
        <w:instrText xml:space="preserve"> STYLEREF 1 \s </w:instrText>
      </w:r>
      <w:r>
        <w:fldChar w:fldCharType="separate"/>
      </w:r>
      <w:r w:rsidR="00BF015B">
        <w:rPr>
          <w:noProof/>
        </w:rPr>
        <w:t>7</w:t>
      </w:r>
      <w:r>
        <w:fldChar w:fldCharType="end"/>
      </w:r>
      <w:r>
        <w:noBreakHyphen/>
      </w:r>
      <w:r>
        <w:fldChar w:fldCharType="begin"/>
      </w:r>
      <w:r>
        <w:instrText xml:space="preserve"> SEQ Figure \* ARABIC \s 1 </w:instrText>
      </w:r>
      <w:r>
        <w:fldChar w:fldCharType="separate"/>
      </w:r>
      <w:r w:rsidR="00BF015B">
        <w:rPr>
          <w:noProof/>
        </w:rPr>
        <w:t>8</w:t>
      </w:r>
      <w:r>
        <w:fldChar w:fldCharType="end"/>
      </w:r>
      <w:r>
        <w:t xml:space="preserve">: Black Box </w:t>
      </w:r>
      <w:r w:rsidR="005C32F1">
        <w:t>c</w:t>
      </w:r>
      <w:r>
        <w:t xml:space="preserve">ondition </w:t>
      </w:r>
      <w:r w:rsidR="005C32F1">
        <w:t>m</w:t>
      </w:r>
      <w:r>
        <w:t>ap: Murray</w:t>
      </w:r>
      <w:bookmarkEnd w:id="411"/>
    </w:p>
    <w:p w14:paraId="31FBA1EF" w14:textId="77777777" w:rsidR="00585FCF" w:rsidRDefault="00585FCF">
      <w:pPr>
        <w:spacing w:after="0" w:line="240" w:lineRule="auto"/>
        <w:rPr>
          <w:rFonts w:ascii="Arial Narrow" w:hAnsi="Arial Narrow"/>
          <w:b/>
        </w:rPr>
      </w:pPr>
      <w:r>
        <w:br w:type="page"/>
      </w:r>
    </w:p>
    <w:p w14:paraId="52E95658" w14:textId="2A4D897D" w:rsidR="00EE7285" w:rsidRDefault="008061A8" w:rsidP="00EE7285">
      <w:pPr>
        <w:pStyle w:val="Para0"/>
        <w:spacing w:before="0" w:after="0"/>
        <w:jc w:val="center"/>
      </w:pPr>
      <w:bookmarkStart w:id="412" w:name="_Ref507166979"/>
      <w:r>
        <w:rPr>
          <w:noProof/>
          <w:lang w:eastAsia="en-AU"/>
        </w:rPr>
        <w:drawing>
          <wp:inline distT="0" distB="0" distL="0" distR="0" wp14:anchorId="7BA03D53" wp14:editId="4D5D8CD7">
            <wp:extent cx="12984364" cy="7943850"/>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5.23 Darling flooding extent.png"/>
                    <pic:cNvPicPr/>
                  </pic:nvPicPr>
                  <pic:blipFill rotWithShape="1">
                    <a:blip r:embed="rId125" cstate="email">
                      <a:extLst>
                        <a:ext uri="{28A0092B-C50C-407E-A947-70E740481C1C}">
                          <a14:useLocalDpi xmlns:a14="http://schemas.microsoft.com/office/drawing/2010/main"/>
                        </a:ext>
                      </a:extLst>
                    </a:blip>
                    <a:srcRect/>
                    <a:stretch/>
                  </pic:blipFill>
                  <pic:spPr bwMode="auto">
                    <a:xfrm>
                      <a:off x="0" y="0"/>
                      <a:ext cx="12985341" cy="7944448"/>
                    </a:xfrm>
                    <a:prstGeom prst="rect">
                      <a:avLst/>
                    </a:prstGeom>
                    <a:ln>
                      <a:noFill/>
                    </a:ln>
                    <a:extLst>
                      <a:ext uri="{53640926-AAD7-44D8-BBD7-CCE9431645EC}">
                        <a14:shadowObscured xmlns:a14="http://schemas.microsoft.com/office/drawing/2010/main"/>
                      </a:ext>
                    </a:extLst>
                  </pic:spPr>
                </pic:pic>
              </a:graphicData>
            </a:graphic>
          </wp:inline>
        </w:drawing>
      </w:r>
    </w:p>
    <w:p w14:paraId="5CA24722" w14:textId="6C678857" w:rsidR="00585FCF" w:rsidRDefault="00EE7285" w:rsidP="00EE7285">
      <w:pPr>
        <w:pStyle w:val="Caption"/>
        <w:spacing w:before="0" w:after="0"/>
        <w:jc w:val="center"/>
      </w:pPr>
      <w:bookmarkStart w:id="413" w:name="_Toc514018121"/>
      <w:r>
        <w:t xml:space="preserve">Figure </w:t>
      </w:r>
      <w:r>
        <w:fldChar w:fldCharType="begin"/>
      </w:r>
      <w:r>
        <w:instrText xml:space="preserve"> STYLEREF 1 \s </w:instrText>
      </w:r>
      <w:r>
        <w:fldChar w:fldCharType="separate"/>
      </w:r>
      <w:r w:rsidR="00BF015B">
        <w:rPr>
          <w:noProof/>
        </w:rPr>
        <w:t>7</w:t>
      </w:r>
      <w:r>
        <w:fldChar w:fldCharType="end"/>
      </w:r>
      <w:r>
        <w:noBreakHyphen/>
      </w:r>
      <w:r>
        <w:fldChar w:fldCharType="begin"/>
      </w:r>
      <w:r>
        <w:instrText xml:space="preserve"> SEQ Figure \* ARABIC \s 1 </w:instrText>
      </w:r>
      <w:r>
        <w:fldChar w:fldCharType="separate"/>
      </w:r>
      <w:r w:rsidR="00BF015B">
        <w:rPr>
          <w:noProof/>
        </w:rPr>
        <w:t>9</w:t>
      </w:r>
      <w:r>
        <w:fldChar w:fldCharType="end"/>
      </w:r>
      <w:bookmarkEnd w:id="412"/>
      <w:r>
        <w:t xml:space="preserve">: Flood </w:t>
      </w:r>
      <w:r w:rsidR="005C32F1">
        <w:t>f</w:t>
      </w:r>
      <w:r>
        <w:t>requency map: Darling</w:t>
      </w:r>
      <w:bookmarkEnd w:id="413"/>
    </w:p>
    <w:p w14:paraId="4358B2C9" w14:textId="77777777" w:rsidR="00585FCF" w:rsidRDefault="00585FCF">
      <w:pPr>
        <w:spacing w:after="0" w:line="240" w:lineRule="auto"/>
        <w:rPr>
          <w:rFonts w:ascii="Arial Narrow" w:hAnsi="Arial Narrow"/>
          <w:b/>
        </w:rPr>
      </w:pPr>
      <w:r>
        <w:br w:type="page"/>
      </w:r>
    </w:p>
    <w:p w14:paraId="1E3A0863" w14:textId="3E2AC366" w:rsidR="00EE7285" w:rsidRPr="0021543A" w:rsidRDefault="008061A8" w:rsidP="00EE7285">
      <w:pPr>
        <w:pStyle w:val="Para0"/>
        <w:jc w:val="center"/>
      </w:pPr>
      <w:r>
        <w:rPr>
          <w:noProof/>
          <w:lang w:eastAsia="en-AU"/>
        </w:rPr>
        <w:drawing>
          <wp:inline distT="0" distB="0" distL="0" distR="0" wp14:anchorId="09970609" wp14:editId="01CF42EB">
            <wp:extent cx="13156045" cy="8077200"/>
            <wp:effectExtent l="0" t="0" r="762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5.24 Murray flooding extent.png"/>
                    <pic:cNvPicPr/>
                  </pic:nvPicPr>
                  <pic:blipFill rotWithShape="1">
                    <a:blip r:embed="rId126" cstate="email">
                      <a:extLst>
                        <a:ext uri="{28A0092B-C50C-407E-A947-70E740481C1C}">
                          <a14:useLocalDpi xmlns:a14="http://schemas.microsoft.com/office/drawing/2010/main"/>
                        </a:ext>
                      </a:extLst>
                    </a:blip>
                    <a:srcRect/>
                    <a:stretch/>
                  </pic:blipFill>
                  <pic:spPr bwMode="auto">
                    <a:xfrm>
                      <a:off x="0" y="0"/>
                      <a:ext cx="13158247" cy="8078552"/>
                    </a:xfrm>
                    <a:prstGeom prst="rect">
                      <a:avLst/>
                    </a:prstGeom>
                    <a:ln>
                      <a:noFill/>
                    </a:ln>
                    <a:extLst>
                      <a:ext uri="{53640926-AAD7-44D8-BBD7-CCE9431645EC}">
                        <a14:shadowObscured xmlns:a14="http://schemas.microsoft.com/office/drawing/2010/main"/>
                      </a:ext>
                    </a:extLst>
                  </pic:spPr>
                </pic:pic>
              </a:graphicData>
            </a:graphic>
          </wp:inline>
        </w:drawing>
      </w:r>
    </w:p>
    <w:p w14:paraId="336088D2" w14:textId="4302E3BA" w:rsidR="00EE7285" w:rsidRDefault="00EE7285" w:rsidP="00EE7285">
      <w:pPr>
        <w:pStyle w:val="Caption"/>
        <w:spacing w:before="0" w:after="0"/>
        <w:jc w:val="center"/>
        <w:sectPr w:rsidR="00EE7285" w:rsidSect="00A40029">
          <w:pgSz w:w="23811" w:h="16838" w:orient="landscape" w:code="8"/>
          <w:pgMar w:top="1134" w:right="567" w:bottom="851" w:left="851" w:header="708" w:footer="708" w:gutter="0"/>
          <w:cols w:space="708"/>
          <w:docGrid w:linePitch="360"/>
        </w:sectPr>
      </w:pPr>
      <w:bookmarkStart w:id="414" w:name="_Ref507166984"/>
      <w:bookmarkStart w:id="415" w:name="_Toc514018122"/>
      <w:r>
        <w:t xml:space="preserve">Figure </w:t>
      </w:r>
      <w:r>
        <w:fldChar w:fldCharType="begin"/>
      </w:r>
      <w:r>
        <w:instrText xml:space="preserve"> STYLEREF 1 \s </w:instrText>
      </w:r>
      <w:r>
        <w:fldChar w:fldCharType="separate"/>
      </w:r>
      <w:r w:rsidR="00BF015B">
        <w:rPr>
          <w:noProof/>
        </w:rPr>
        <w:t>7</w:t>
      </w:r>
      <w:r>
        <w:fldChar w:fldCharType="end"/>
      </w:r>
      <w:r>
        <w:noBreakHyphen/>
      </w:r>
      <w:r>
        <w:fldChar w:fldCharType="begin"/>
      </w:r>
      <w:r>
        <w:instrText xml:space="preserve"> SEQ Figure \* ARABIC \s 1 </w:instrText>
      </w:r>
      <w:r>
        <w:fldChar w:fldCharType="separate"/>
      </w:r>
      <w:r w:rsidR="00BF015B">
        <w:rPr>
          <w:noProof/>
        </w:rPr>
        <w:t>10</w:t>
      </w:r>
      <w:r>
        <w:fldChar w:fldCharType="end"/>
      </w:r>
      <w:bookmarkEnd w:id="414"/>
      <w:r>
        <w:t xml:space="preserve">: Flood </w:t>
      </w:r>
      <w:r w:rsidR="005C32F1">
        <w:t>f</w:t>
      </w:r>
      <w:r>
        <w:t>requency map: Murray</w:t>
      </w:r>
      <w:bookmarkEnd w:id="415"/>
    </w:p>
    <w:p w14:paraId="196DA560" w14:textId="1F0563F3" w:rsidR="00EE7285" w:rsidRPr="00EF5280" w:rsidRDefault="008061A8" w:rsidP="00EE7285">
      <w:pPr>
        <w:pStyle w:val="Para0"/>
        <w:spacing w:before="0" w:after="0"/>
        <w:jc w:val="center"/>
      </w:pPr>
      <w:r>
        <w:rPr>
          <w:noProof/>
          <w:lang w:eastAsia="en-AU"/>
        </w:rPr>
        <w:drawing>
          <wp:inline distT="0" distB="0" distL="0" distR="0" wp14:anchorId="2CD81128" wp14:editId="781707FD">
            <wp:extent cx="12782550" cy="81035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5.25 Darling flooding extent with BB.png"/>
                    <pic:cNvPicPr/>
                  </pic:nvPicPr>
                  <pic:blipFill rotWithShape="1">
                    <a:blip r:embed="rId127" cstate="email">
                      <a:extLst>
                        <a:ext uri="{28A0092B-C50C-407E-A947-70E740481C1C}">
                          <a14:useLocalDpi xmlns:a14="http://schemas.microsoft.com/office/drawing/2010/main"/>
                        </a:ext>
                      </a:extLst>
                    </a:blip>
                    <a:srcRect/>
                    <a:stretch/>
                  </pic:blipFill>
                  <pic:spPr bwMode="auto">
                    <a:xfrm>
                      <a:off x="0" y="0"/>
                      <a:ext cx="12786336" cy="8105980"/>
                    </a:xfrm>
                    <a:prstGeom prst="rect">
                      <a:avLst/>
                    </a:prstGeom>
                    <a:ln>
                      <a:noFill/>
                    </a:ln>
                    <a:extLst>
                      <a:ext uri="{53640926-AAD7-44D8-BBD7-CCE9431645EC}">
                        <a14:shadowObscured xmlns:a14="http://schemas.microsoft.com/office/drawing/2010/main"/>
                      </a:ext>
                    </a:extLst>
                  </pic:spPr>
                </pic:pic>
              </a:graphicData>
            </a:graphic>
          </wp:inline>
        </w:drawing>
      </w:r>
    </w:p>
    <w:p w14:paraId="1E6E197C" w14:textId="3DB5E8F8" w:rsidR="00585FCF" w:rsidRDefault="00EE7285" w:rsidP="00EE7285">
      <w:pPr>
        <w:pStyle w:val="Caption"/>
        <w:spacing w:before="0" w:after="0"/>
        <w:jc w:val="center"/>
      </w:pPr>
      <w:bookmarkStart w:id="416" w:name="_Toc514018123"/>
      <w:r>
        <w:t xml:space="preserve">Figure </w:t>
      </w:r>
      <w:r>
        <w:fldChar w:fldCharType="begin"/>
      </w:r>
      <w:r>
        <w:instrText xml:space="preserve"> STYLEREF 1 \s </w:instrText>
      </w:r>
      <w:r>
        <w:fldChar w:fldCharType="separate"/>
      </w:r>
      <w:r w:rsidR="00BF015B">
        <w:rPr>
          <w:noProof/>
        </w:rPr>
        <w:t>7</w:t>
      </w:r>
      <w:r>
        <w:fldChar w:fldCharType="end"/>
      </w:r>
      <w:r>
        <w:noBreakHyphen/>
      </w:r>
      <w:r>
        <w:fldChar w:fldCharType="begin"/>
      </w:r>
      <w:r>
        <w:instrText xml:space="preserve"> SEQ Figure \* ARABIC \s 1 </w:instrText>
      </w:r>
      <w:r>
        <w:fldChar w:fldCharType="separate"/>
      </w:r>
      <w:r w:rsidR="00BF015B">
        <w:rPr>
          <w:noProof/>
        </w:rPr>
        <w:t>11</w:t>
      </w:r>
      <w:r>
        <w:fldChar w:fldCharType="end"/>
      </w:r>
      <w:r>
        <w:t xml:space="preserve">: Frequency of </w:t>
      </w:r>
      <w:r w:rsidR="005C32F1">
        <w:t>i</w:t>
      </w:r>
      <w:r>
        <w:t>nundation of Black Box: Darling</w:t>
      </w:r>
      <w:bookmarkEnd w:id="416"/>
    </w:p>
    <w:p w14:paraId="1C37DEFC" w14:textId="77777777" w:rsidR="00585FCF" w:rsidRDefault="00585FCF">
      <w:pPr>
        <w:spacing w:after="0" w:line="240" w:lineRule="auto"/>
        <w:rPr>
          <w:rFonts w:ascii="Arial Narrow" w:hAnsi="Arial Narrow"/>
          <w:b/>
        </w:rPr>
      </w:pPr>
      <w:r>
        <w:br w:type="page"/>
      </w:r>
    </w:p>
    <w:p w14:paraId="725BDE13" w14:textId="63FB71F8" w:rsidR="00EE7285" w:rsidRPr="00EF5280" w:rsidRDefault="008061A8" w:rsidP="00EE7285">
      <w:pPr>
        <w:pStyle w:val="Para0"/>
        <w:spacing w:before="0" w:after="0"/>
        <w:jc w:val="center"/>
      </w:pPr>
      <w:r>
        <w:rPr>
          <w:noProof/>
          <w:lang w:eastAsia="en-AU"/>
        </w:rPr>
        <w:drawing>
          <wp:inline distT="0" distB="0" distL="0" distR="0" wp14:anchorId="40502743" wp14:editId="5DFF0BF5">
            <wp:extent cx="13152925" cy="82867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ig5.26 frequency of inundation of BB murray.png"/>
                    <pic:cNvPicPr/>
                  </pic:nvPicPr>
                  <pic:blipFill rotWithShape="1">
                    <a:blip r:embed="rId128" cstate="email">
                      <a:extLst>
                        <a:ext uri="{28A0092B-C50C-407E-A947-70E740481C1C}">
                          <a14:useLocalDpi xmlns:a14="http://schemas.microsoft.com/office/drawing/2010/main"/>
                        </a:ext>
                      </a:extLst>
                    </a:blip>
                    <a:srcRect/>
                    <a:stretch/>
                  </pic:blipFill>
                  <pic:spPr bwMode="auto">
                    <a:xfrm>
                      <a:off x="0" y="0"/>
                      <a:ext cx="13154371" cy="8287661"/>
                    </a:xfrm>
                    <a:prstGeom prst="rect">
                      <a:avLst/>
                    </a:prstGeom>
                    <a:ln>
                      <a:noFill/>
                    </a:ln>
                    <a:extLst>
                      <a:ext uri="{53640926-AAD7-44D8-BBD7-CCE9431645EC}">
                        <a14:shadowObscured xmlns:a14="http://schemas.microsoft.com/office/drawing/2010/main"/>
                      </a:ext>
                    </a:extLst>
                  </pic:spPr>
                </pic:pic>
              </a:graphicData>
            </a:graphic>
          </wp:inline>
        </w:drawing>
      </w:r>
    </w:p>
    <w:p w14:paraId="4963816E" w14:textId="0BF66914" w:rsidR="00585FCF" w:rsidRDefault="00EE7285" w:rsidP="00EE7285">
      <w:pPr>
        <w:pStyle w:val="Caption"/>
        <w:spacing w:before="0" w:after="0"/>
        <w:jc w:val="center"/>
      </w:pPr>
      <w:bookmarkStart w:id="417" w:name="_Toc514018124"/>
      <w:r>
        <w:t xml:space="preserve">Figure </w:t>
      </w:r>
      <w:r>
        <w:fldChar w:fldCharType="begin"/>
      </w:r>
      <w:r>
        <w:instrText xml:space="preserve"> STYLEREF 1 \s </w:instrText>
      </w:r>
      <w:r>
        <w:fldChar w:fldCharType="separate"/>
      </w:r>
      <w:r w:rsidR="00BF015B">
        <w:rPr>
          <w:noProof/>
        </w:rPr>
        <w:t>7</w:t>
      </w:r>
      <w:r>
        <w:fldChar w:fldCharType="end"/>
      </w:r>
      <w:r>
        <w:noBreakHyphen/>
      </w:r>
      <w:r>
        <w:fldChar w:fldCharType="begin"/>
      </w:r>
      <w:r>
        <w:instrText xml:space="preserve"> SEQ Figure \* ARABIC \s 1 </w:instrText>
      </w:r>
      <w:r>
        <w:fldChar w:fldCharType="separate"/>
      </w:r>
      <w:r w:rsidR="00BF015B">
        <w:rPr>
          <w:noProof/>
        </w:rPr>
        <w:t>12</w:t>
      </w:r>
      <w:r>
        <w:fldChar w:fldCharType="end"/>
      </w:r>
      <w:r>
        <w:t xml:space="preserve">: Frequency of </w:t>
      </w:r>
      <w:r w:rsidR="005C32F1">
        <w:t>i</w:t>
      </w:r>
      <w:r>
        <w:t>nundation of Black Box: Murray</w:t>
      </w:r>
      <w:bookmarkEnd w:id="417"/>
    </w:p>
    <w:p w14:paraId="56AE415D" w14:textId="77777777" w:rsidR="00585FCF" w:rsidRDefault="00585FCF">
      <w:pPr>
        <w:spacing w:after="0" w:line="240" w:lineRule="auto"/>
        <w:rPr>
          <w:rFonts w:ascii="Arial Narrow" w:hAnsi="Arial Narrow"/>
          <w:b/>
        </w:rPr>
      </w:pPr>
      <w:r>
        <w:br w:type="page"/>
      </w:r>
    </w:p>
    <w:p w14:paraId="2230C6C5" w14:textId="70FE6B5D" w:rsidR="00EE7285" w:rsidRPr="00EF5280" w:rsidRDefault="008061A8" w:rsidP="00EE7285">
      <w:pPr>
        <w:pStyle w:val="Para0"/>
        <w:spacing w:before="0" w:after="0"/>
        <w:jc w:val="center"/>
      </w:pPr>
      <w:r>
        <w:rPr>
          <w:noProof/>
          <w:lang w:eastAsia="en-AU"/>
        </w:rPr>
        <w:drawing>
          <wp:inline distT="0" distB="0" distL="0" distR="0" wp14:anchorId="6B69BBF4" wp14:editId="525C7281">
            <wp:extent cx="13563600" cy="8238299"/>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Darling_Salinity.png"/>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13582666" cy="8249880"/>
                    </a:xfrm>
                    <a:prstGeom prst="rect">
                      <a:avLst/>
                    </a:prstGeom>
                    <a:ln>
                      <a:noFill/>
                    </a:ln>
                    <a:extLst>
                      <a:ext uri="{53640926-AAD7-44D8-BBD7-CCE9431645EC}">
                        <a14:shadowObscured xmlns:a14="http://schemas.microsoft.com/office/drawing/2010/main"/>
                      </a:ext>
                    </a:extLst>
                  </pic:spPr>
                </pic:pic>
              </a:graphicData>
            </a:graphic>
          </wp:inline>
        </w:drawing>
      </w:r>
    </w:p>
    <w:p w14:paraId="44463893" w14:textId="4FDDD60F" w:rsidR="00585FCF" w:rsidRDefault="00EE7285" w:rsidP="00EE7285">
      <w:pPr>
        <w:pStyle w:val="Caption"/>
        <w:spacing w:before="0" w:after="0"/>
        <w:jc w:val="center"/>
      </w:pPr>
      <w:bookmarkStart w:id="418" w:name="_Toc514018125"/>
      <w:r>
        <w:t xml:space="preserve">Figure </w:t>
      </w:r>
      <w:r>
        <w:fldChar w:fldCharType="begin"/>
      </w:r>
      <w:r>
        <w:instrText xml:space="preserve"> STYLEREF 1 \s </w:instrText>
      </w:r>
      <w:r>
        <w:fldChar w:fldCharType="separate"/>
      </w:r>
      <w:r w:rsidR="00BF015B">
        <w:rPr>
          <w:noProof/>
        </w:rPr>
        <w:t>7</w:t>
      </w:r>
      <w:r>
        <w:fldChar w:fldCharType="end"/>
      </w:r>
      <w:r>
        <w:noBreakHyphen/>
      </w:r>
      <w:r>
        <w:fldChar w:fldCharType="begin"/>
      </w:r>
      <w:r>
        <w:instrText xml:space="preserve"> SEQ Figure \* ARABIC \s 1 </w:instrText>
      </w:r>
      <w:r>
        <w:fldChar w:fldCharType="separate"/>
      </w:r>
      <w:r w:rsidR="00BF015B">
        <w:rPr>
          <w:noProof/>
        </w:rPr>
        <w:t>13</w:t>
      </w:r>
      <w:r>
        <w:fldChar w:fldCharType="end"/>
      </w:r>
      <w:r>
        <w:t xml:space="preserve">: Groundwater </w:t>
      </w:r>
      <w:r w:rsidR="005C32F1">
        <w:t>s</w:t>
      </w:r>
      <w:r>
        <w:t>alinity: Darling</w:t>
      </w:r>
      <w:bookmarkEnd w:id="418"/>
    </w:p>
    <w:p w14:paraId="7822FAD6" w14:textId="77777777" w:rsidR="00585FCF" w:rsidRDefault="00585FCF">
      <w:pPr>
        <w:spacing w:after="0" w:line="240" w:lineRule="auto"/>
        <w:rPr>
          <w:rFonts w:ascii="Arial Narrow" w:hAnsi="Arial Narrow"/>
          <w:b/>
        </w:rPr>
      </w:pPr>
      <w:r>
        <w:br w:type="page"/>
      </w:r>
    </w:p>
    <w:p w14:paraId="604E1DED" w14:textId="6C69BFBB" w:rsidR="00EE7285" w:rsidRPr="00EF5280" w:rsidRDefault="008061A8" w:rsidP="00EE7285">
      <w:pPr>
        <w:pStyle w:val="Para0"/>
        <w:spacing w:before="0" w:after="0"/>
        <w:jc w:val="center"/>
      </w:pPr>
      <w:r>
        <w:rPr>
          <w:noProof/>
          <w:lang w:eastAsia="en-AU"/>
        </w:rPr>
        <w:drawing>
          <wp:inline distT="0" distB="0" distL="0" distR="0" wp14:anchorId="2FED532F" wp14:editId="3E9CFB6E">
            <wp:extent cx="13201650" cy="8033960"/>
            <wp:effectExtent l="0" t="0" r="0" b="5715"/>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Murray_Salinity.png"/>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13218355" cy="8044126"/>
                    </a:xfrm>
                    <a:prstGeom prst="rect">
                      <a:avLst/>
                    </a:prstGeom>
                    <a:ln>
                      <a:noFill/>
                    </a:ln>
                    <a:extLst>
                      <a:ext uri="{53640926-AAD7-44D8-BBD7-CCE9431645EC}">
                        <a14:shadowObscured xmlns:a14="http://schemas.microsoft.com/office/drawing/2010/main"/>
                      </a:ext>
                    </a:extLst>
                  </pic:spPr>
                </pic:pic>
              </a:graphicData>
            </a:graphic>
          </wp:inline>
        </w:drawing>
      </w:r>
    </w:p>
    <w:p w14:paraId="2FDEE643" w14:textId="6DCF84AD" w:rsidR="00585FCF" w:rsidRDefault="00EE7285" w:rsidP="00EE7285">
      <w:pPr>
        <w:pStyle w:val="Caption"/>
        <w:spacing w:before="0" w:after="0"/>
        <w:jc w:val="center"/>
      </w:pPr>
      <w:bookmarkStart w:id="419" w:name="_Toc514018126"/>
      <w:r>
        <w:t xml:space="preserve">Figure </w:t>
      </w:r>
      <w:r>
        <w:fldChar w:fldCharType="begin"/>
      </w:r>
      <w:r>
        <w:instrText xml:space="preserve"> STYLEREF 1 \s </w:instrText>
      </w:r>
      <w:r>
        <w:fldChar w:fldCharType="separate"/>
      </w:r>
      <w:r w:rsidR="00BF015B">
        <w:rPr>
          <w:noProof/>
        </w:rPr>
        <w:t>7</w:t>
      </w:r>
      <w:r>
        <w:fldChar w:fldCharType="end"/>
      </w:r>
      <w:r>
        <w:noBreakHyphen/>
      </w:r>
      <w:r>
        <w:fldChar w:fldCharType="begin"/>
      </w:r>
      <w:r>
        <w:instrText xml:space="preserve"> SEQ Figure \* ARABIC \s 1 </w:instrText>
      </w:r>
      <w:r>
        <w:fldChar w:fldCharType="separate"/>
      </w:r>
      <w:r w:rsidR="00BF015B">
        <w:rPr>
          <w:noProof/>
        </w:rPr>
        <w:t>14</w:t>
      </w:r>
      <w:r>
        <w:fldChar w:fldCharType="end"/>
      </w:r>
      <w:r>
        <w:t xml:space="preserve">: Groundwater </w:t>
      </w:r>
      <w:r w:rsidR="005C32F1">
        <w:t>s</w:t>
      </w:r>
      <w:r>
        <w:t>alinity: Murray</w:t>
      </w:r>
      <w:bookmarkEnd w:id="419"/>
    </w:p>
    <w:p w14:paraId="45505208" w14:textId="77777777" w:rsidR="00585FCF" w:rsidRDefault="00585FCF">
      <w:pPr>
        <w:spacing w:after="0" w:line="240" w:lineRule="auto"/>
        <w:rPr>
          <w:rFonts w:ascii="Arial Narrow" w:hAnsi="Arial Narrow"/>
          <w:b/>
        </w:rPr>
      </w:pPr>
      <w:r>
        <w:br w:type="page"/>
      </w:r>
    </w:p>
    <w:p w14:paraId="18ED564C" w14:textId="0C2DC62F" w:rsidR="00EE7285" w:rsidRPr="00EF5280" w:rsidRDefault="008061A8" w:rsidP="00EE7285">
      <w:pPr>
        <w:pStyle w:val="Para0"/>
        <w:spacing w:before="0" w:after="0"/>
        <w:jc w:val="center"/>
      </w:pPr>
      <w:r>
        <w:rPr>
          <w:noProof/>
          <w:lang w:eastAsia="en-AU"/>
        </w:rPr>
        <w:drawing>
          <wp:inline distT="0" distB="0" distL="0" distR="0" wp14:anchorId="5318C2BA" wp14:editId="77F3489C">
            <wp:extent cx="12849599" cy="8153400"/>
            <wp:effectExtent l="0" t="0" r="9525"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5.27 GW Salinity and BB Darling.png"/>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12850616" cy="8154045"/>
                    </a:xfrm>
                    <a:prstGeom prst="rect">
                      <a:avLst/>
                    </a:prstGeom>
                    <a:ln>
                      <a:noFill/>
                    </a:ln>
                    <a:extLst>
                      <a:ext uri="{53640926-AAD7-44D8-BBD7-CCE9431645EC}">
                        <a14:shadowObscured xmlns:a14="http://schemas.microsoft.com/office/drawing/2010/main"/>
                      </a:ext>
                    </a:extLst>
                  </pic:spPr>
                </pic:pic>
              </a:graphicData>
            </a:graphic>
          </wp:inline>
        </w:drawing>
      </w:r>
    </w:p>
    <w:p w14:paraId="64146C76" w14:textId="56151B69" w:rsidR="00585FCF" w:rsidRDefault="00EE7285" w:rsidP="00EE7285">
      <w:pPr>
        <w:pStyle w:val="Caption"/>
        <w:spacing w:before="0" w:after="0"/>
        <w:jc w:val="center"/>
      </w:pPr>
      <w:bookmarkStart w:id="420" w:name="_Toc514018127"/>
      <w:r>
        <w:t xml:space="preserve">Figure </w:t>
      </w:r>
      <w:r>
        <w:fldChar w:fldCharType="begin"/>
      </w:r>
      <w:r>
        <w:instrText xml:space="preserve"> STYLEREF 1 \s </w:instrText>
      </w:r>
      <w:r>
        <w:fldChar w:fldCharType="separate"/>
      </w:r>
      <w:r w:rsidR="00BF015B">
        <w:rPr>
          <w:noProof/>
        </w:rPr>
        <w:t>7</w:t>
      </w:r>
      <w:r>
        <w:fldChar w:fldCharType="end"/>
      </w:r>
      <w:r>
        <w:noBreakHyphen/>
      </w:r>
      <w:r>
        <w:fldChar w:fldCharType="begin"/>
      </w:r>
      <w:r>
        <w:instrText xml:space="preserve"> SEQ Figure \* ARABIC \s 1 </w:instrText>
      </w:r>
      <w:r>
        <w:fldChar w:fldCharType="separate"/>
      </w:r>
      <w:r w:rsidR="00BF015B">
        <w:rPr>
          <w:noProof/>
        </w:rPr>
        <w:t>15</w:t>
      </w:r>
      <w:r>
        <w:fldChar w:fldCharType="end"/>
      </w:r>
      <w:r>
        <w:t xml:space="preserve">: Groundwater </w:t>
      </w:r>
      <w:r w:rsidR="005C32F1">
        <w:t>s</w:t>
      </w:r>
      <w:r>
        <w:t>alinity and Black Box: Darling</w:t>
      </w:r>
      <w:bookmarkEnd w:id="420"/>
    </w:p>
    <w:p w14:paraId="40668B88" w14:textId="77777777" w:rsidR="00585FCF" w:rsidRDefault="00585FCF">
      <w:pPr>
        <w:spacing w:after="0" w:line="240" w:lineRule="auto"/>
        <w:rPr>
          <w:rFonts w:ascii="Arial Narrow" w:hAnsi="Arial Narrow"/>
          <w:b/>
        </w:rPr>
      </w:pPr>
      <w:r>
        <w:br w:type="page"/>
      </w:r>
    </w:p>
    <w:p w14:paraId="3BD7A709" w14:textId="16846A02" w:rsidR="00EE7285" w:rsidRPr="00EF5280" w:rsidRDefault="008061A8" w:rsidP="00EE7285">
      <w:pPr>
        <w:pStyle w:val="Para0"/>
        <w:spacing w:before="0" w:after="0"/>
        <w:jc w:val="center"/>
      </w:pPr>
      <w:r>
        <w:rPr>
          <w:noProof/>
          <w:lang w:eastAsia="en-AU"/>
        </w:rPr>
        <w:drawing>
          <wp:inline distT="0" distB="0" distL="0" distR="0" wp14:anchorId="70E38C8A" wp14:editId="649384B7">
            <wp:extent cx="12954000" cy="8143655"/>
            <wp:effectExtent l="0" t="0" r="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g5.28 GW Salinity and BB Murray.png"/>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12955645" cy="8144689"/>
                    </a:xfrm>
                    <a:prstGeom prst="rect">
                      <a:avLst/>
                    </a:prstGeom>
                    <a:ln>
                      <a:noFill/>
                    </a:ln>
                    <a:extLst>
                      <a:ext uri="{53640926-AAD7-44D8-BBD7-CCE9431645EC}">
                        <a14:shadowObscured xmlns:a14="http://schemas.microsoft.com/office/drawing/2010/main"/>
                      </a:ext>
                    </a:extLst>
                  </pic:spPr>
                </pic:pic>
              </a:graphicData>
            </a:graphic>
          </wp:inline>
        </w:drawing>
      </w:r>
    </w:p>
    <w:p w14:paraId="5B2FD45E" w14:textId="7D74B616" w:rsidR="00585FCF" w:rsidRDefault="00EE7285" w:rsidP="00EE7285">
      <w:pPr>
        <w:pStyle w:val="Caption"/>
        <w:spacing w:before="0" w:after="0"/>
        <w:jc w:val="center"/>
      </w:pPr>
      <w:bookmarkStart w:id="421" w:name="_Toc514018128"/>
      <w:r>
        <w:t xml:space="preserve">Figure </w:t>
      </w:r>
      <w:r>
        <w:fldChar w:fldCharType="begin"/>
      </w:r>
      <w:r>
        <w:instrText xml:space="preserve"> STYLEREF 1 \s </w:instrText>
      </w:r>
      <w:r>
        <w:fldChar w:fldCharType="separate"/>
      </w:r>
      <w:r w:rsidR="00BF015B">
        <w:rPr>
          <w:noProof/>
        </w:rPr>
        <w:t>7</w:t>
      </w:r>
      <w:r>
        <w:fldChar w:fldCharType="end"/>
      </w:r>
      <w:r>
        <w:noBreakHyphen/>
      </w:r>
      <w:r>
        <w:fldChar w:fldCharType="begin"/>
      </w:r>
      <w:r>
        <w:instrText xml:space="preserve"> SEQ Figure \* ARABIC \s 1 </w:instrText>
      </w:r>
      <w:r>
        <w:fldChar w:fldCharType="separate"/>
      </w:r>
      <w:r w:rsidR="00BF015B">
        <w:rPr>
          <w:noProof/>
        </w:rPr>
        <w:t>16</w:t>
      </w:r>
      <w:r>
        <w:fldChar w:fldCharType="end"/>
      </w:r>
      <w:r>
        <w:t xml:space="preserve">: Groundwater </w:t>
      </w:r>
      <w:r w:rsidR="005C32F1">
        <w:t>s</w:t>
      </w:r>
      <w:r>
        <w:t>alinity and Black Box: Murray</w:t>
      </w:r>
      <w:bookmarkEnd w:id="421"/>
    </w:p>
    <w:p w14:paraId="7FF635AC" w14:textId="77777777" w:rsidR="00585FCF" w:rsidRDefault="00585FCF">
      <w:pPr>
        <w:spacing w:after="0" w:line="240" w:lineRule="auto"/>
        <w:rPr>
          <w:rFonts w:ascii="Arial Narrow" w:hAnsi="Arial Narrow"/>
          <w:b/>
        </w:rPr>
      </w:pPr>
      <w:r>
        <w:br w:type="page"/>
      </w:r>
    </w:p>
    <w:p w14:paraId="0886D713" w14:textId="0398C961" w:rsidR="00EE7285" w:rsidRPr="00EF5280" w:rsidRDefault="008061A8" w:rsidP="00EE7285">
      <w:pPr>
        <w:pStyle w:val="Para0"/>
        <w:spacing w:before="0" w:after="0"/>
        <w:jc w:val="center"/>
      </w:pPr>
      <w:r>
        <w:rPr>
          <w:noProof/>
          <w:lang w:eastAsia="en-AU"/>
        </w:rPr>
        <w:drawing>
          <wp:inline distT="0" distB="0" distL="0" distR="0" wp14:anchorId="17723B20" wp14:editId="1452E689">
            <wp:extent cx="13361904" cy="80391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Darling_Groundwater Depth.png"/>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13371499" cy="8044873"/>
                    </a:xfrm>
                    <a:prstGeom prst="rect">
                      <a:avLst/>
                    </a:prstGeom>
                    <a:ln>
                      <a:noFill/>
                    </a:ln>
                    <a:extLst>
                      <a:ext uri="{53640926-AAD7-44D8-BBD7-CCE9431645EC}">
                        <a14:shadowObscured xmlns:a14="http://schemas.microsoft.com/office/drawing/2010/main"/>
                      </a:ext>
                    </a:extLst>
                  </pic:spPr>
                </pic:pic>
              </a:graphicData>
            </a:graphic>
          </wp:inline>
        </w:drawing>
      </w:r>
    </w:p>
    <w:p w14:paraId="37F5B7CA" w14:textId="31C45126" w:rsidR="00585FCF" w:rsidRDefault="00EE7285" w:rsidP="00EE7285">
      <w:pPr>
        <w:pStyle w:val="Caption"/>
        <w:spacing w:before="0" w:after="0"/>
        <w:jc w:val="center"/>
      </w:pPr>
      <w:bookmarkStart w:id="422" w:name="_Toc514018129"/>
      <w:r>
        <w:t xml:space="preserve">Figure </w:t>
      </w:r>
      <w:r>
        <w:fldChar w:fldCharType="begin"/>
      </w:r>
      <w:r>
        <w:instrText xml:space="preserve"> STYLEREF 1 \s </w:instrText>
      </w:r>
      <w:r>
        <w:fldChar w:fldCharType="separate"/>
      </w:r>
      <w:r w:rsidR="00BF015B">
        <w:rPr>
          <w:noProof/>
        </w:rPr>
        <w:t>7</w:t>
      </w:r>
      <w:r>
        <w:fldChar w:fldCharType="end"/>
      </w:r>
      <w:r>
        <w:noBreakHyphen/>
      </w:r>
      <w:r>
        <w:fldChar w:fldCharType="begin"/>
      </w:r>
      <w:r>
        <w:instrText xml:space="preserve"> SEQ Figure \* ARABIC \s 1 </w:instrText>
      </w:r>
      <w:r>
        <w:fldChar w:fldCharType="separate"/>
      </w:r>
      <w:r w:rsidR="00BF015B">
        <w:rPr>
          <w:noProof/>
        </w:rPr>
        <w:t>17</w:t>
      </w:r>
      <w:r>
        <w:fldChar w:fldCharType="end"/>
      </w:r>
      <w:r>
        <w:t xml:space="preserve">: Groundwater </w:t>
      </w:r>
      <w:r w:rsidR="005C32F1">
        <w:t>d</w:t>
      </w:r>
      <w:r>
        <w:t>epth: Darling</w:t>
      </w:r>
      <w:bookmarkEnd w:id="422"/>
    </w:p>
    <w:p w14:paraId="6D42A4F2" w14:textId="77777777" w:rsidR="00585FCF" w:rsidRDefault="00585FCF">
      <w:pPr>
        <w:spacing w:after="0" w:line="240" w:lineRule="auto"/>
        <w:rPr>
          <w:rFonts w:ascii="Arial Narrow" w:hAnsi="Arial Narrow"/>
          <w:b/>
        </w:rPr>
      </w:pPr>
      <w:r>
        <w:br w:type="page"/>
      </w:r>
    </w:p>
    <w:p w14:paraId="3EE32B17" w14:textId="6A00550F" w:rsidR="00EE7285" w:rsidRPr="00EF5280" w:rsidRDefault="008061A8" w:rsidP="00EE7285">
      <w:pPr>
        <w:pStyle w:val="Para0"/>
        <w:spacing w:before="0" w:after="0"/>
        <w:jc w:val="center"/>
      </w:pPr>
      <w:r>
        <w:rPr>
          <w:noProof/>
          <w:lang w:eastAsia="en-AU"/>
        </w:rPr>
        <w:drawing>
          <wp:inline distT="0" distB="0" distL="0" distR="0" wp14:anchorId="29CC1796" wp14:editId="15B1A7FE">
            <wp:extent cx="13141070" cy="7962900"/>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Murray_Groundwater Depth.png"/>
                    <pic:cNvPicPr/>
                  </pic:nvPicPr>
                  <pic:blipFill rotWithShape="1">
                    <a:blip r:embed="rId134" cstate="email">
                      <a:extLst>
                        <a:ext uri="{28A0092B-C50C-407E-A947-70E740481C1C}">
                          <a14:useLocalDpi xmlns:a14="http://schemas.microsoft.com/office/drawing/2010/main"/>
                        </a:ext>
                      </a:extLst>
                    </a:blip>
                    <a:srcRect/>
                    <a:stretch/>
                  </pic:blipFill>
                  <pic:spPr bwMode="auto">
                    <a:xfrm>
                      <a:off x="0" y="0"/>
                      <a:ext cx="13157726" cy="7972993"/>
                    </a:xfrm>
                    <a:prstGeom prst="rect">
                      <a:avLst/>
                    </a:prstGeom>
                    <a:ln>
                      <a:noFill/>
                    </a:ln>
                    <a:extLst>
                      <a:ext uri="{53640926-AAD7-44D8-BBD7-CCE9431645EC}">
                        <a14:shadowObscured xmlns:a14="http://schemas.microsoft.com/office/drawing/2010/main"/>
                      </a:ext>
                    </a:extLst>
                  </pic:spPr>
                </pic:pic>
              </a:graphicData>
            </a:graphic>
          </wp:inline>
        </w:drawing>
      </w:r>
    </w:p>
    <w:p w14:paraId="2BF8E4E7" w14:textId="2757DCC2" w:rsidR="00585FCF" w:rsidRDefault="00EE7285" w:rsidP="00EE7285">
      <w:pPr>
        <w:pStyle w:val="Caption"/>
        <w:spacing w:before="0" w:after="0"/>
        <w:jc w:val="center"/>
      </w:pPr>
      <w:bookmarkStart w:id="423" w:name="_Toc514018130"/>
      <w:r>
        <w:t xml:space="preserve">Figure </w:t>
      </w:r>
      <w:r>
        <w:fldChar w:fldCharType="begin"/>
      </w:r>
      <w:r>
        <w:instrText xml:space="preserve"> STYLEREF 1 \s </w:instrText>
      </w:r>
      <w:r>
        <w:fldChar w:fldCharType="separate"/>
      </w:r>
      <w:r w:rsidR="00BF015B">
        <w:rPr>
          <w:noProof/>
        </w:rPr>
        <w:t>7</w:t>
      </w:r>
      <w:r>
        <w:fldChar w:fldCharType="end"/>
      </w:r>
      <w:r>
        <w:noBreakHyphen/>
      </w:r>
      <w:r>
        <w:fldChar w:fldCharType="begin"/>
      </w:r>
      <w:r>
        <w:instrText xml:space="preserve"> SEQ Figure \* ARABIC \s 1 </w:instrText>
      </w:r>
      <w:r>
        <w:fldChar w:fldCharType="separate"/>
      </w:r>
      <w:r w:rsidR="00BF015B">
        <w:rPr>
          <w:noProof/>
        </w:rPr>
        <w:t>18</w:t>
      </w:r>
      <w:r>
        <w:fldChar w:fldCharType="end"/>
      </w:r>
      <w:r>
        <w:t xml:space="preserve">: Groundwater </w:t>
      </w:r>
      <w:r w:rsidR="005C32F1">
        <w:t>d</w:t>
      </w:r>
      <w:r>
        <w:t>epth: Murray</w:t>
      </w:r>
      <w:bookmarkEnd w:id="423"/>
    </w:p>
    <w:p w14:paraId="7C9BEAB7" w14:textId="77777777" w:rsidR="00585FCF" w:rsidRDefault="00585FCF">
      <w:pPr>
        <w:spacing w:after="0" w:line="240" w:lineRule="auto"/>
        <w:rPr>
          <w:rFonts w:ascii="Arial Narrow" w:hAnsi="Arial Narrow"/>
          <w:b/>
        </w:rPr>
      </w:pPr>
      <w:r>
        <w:br w:type="page"/>
      </w:r>
    </w:p>
    <w:p w14:paraId="671C6250" w14:textId="4A9C56D4" w:rsidR="00EE7285" w:rsidRPr="00EF5280" w:rsidRDefault="00B43571" w:rsidP="00EE7285">
      <w:pPr>
        <w:pStyle w:val="Para0"/>
        <w:spacing w:before="0" w:after="0"/>
        <w:jc w:val="center"/>
      </w:pPr>
      <w:r>
        <w:rPr>
          <w:noProof/>
          <w:lang w:eastAsia="en-AU"/>
        </w:rPr>
        <w:drawing>
          <wp:inline distT="0" distB="0" distL="0" distR="0" wp14:anchorId="6ABBCE51" wp14:editId="41E6E852">
            <wp:extent cx="13011150" cy="8210137"/>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5.31 GW Depth and BB Darling.png"/>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13015315" cy="8212765"/>
                    </a:xfrm>
                    <a:prstGeom prst="rect">
                      <a:avLst/>
                    </a:prstGeom>
                    <a:ln>
                      <a:noFill/>
                    </a:ln>
                    <a:extLst>
                      <a:ext uri="{53640926-AAD7-44D8-BBD7-CCE9431645EC}">
                        <a14:shadowObscured xmlns:a14="http://schemas.microsoft.com/office/drawing/2010/main"/>
                      </a:ext>
                    </a:extLst>
                  </pic:spPr>
                </pic:pic>
              </a:graphicData>
            </a:graphic>
          </wp:inline>
        </w:drawing>
      </w:r>
    </w:p>
    <w:p w14:paraId="46F4928B" w14:textId="74B56568" w:rsidR="00585FCF" w:rsidRDefault="00EE7285" w:rsidP="00EE7285">
      <w:pPr>
        <w:pStyle w:val="Caption"/>
        <w:spacing w:before="0" w:after="0"/>
        <w:jc w:val="center"/>
      </w:pPr>
      <w:bookmarkStart w:id="424" w:name="_Toc514018131"/>
      <w:r>
        <w:t xml:space="preserve">Figure </w:t>
      </w:r>
      <w:r>
        <w:fldChar w:fldCharType="begin"/>
      </w:r>
      <w:r>
        <w:instrText xml:space="preserve"> STYLEREF 1 \s </w:instrText>
      </w:r>
      <w:r>
        <w:fldChar w:fldCharType="separate"/>
      </w:r>
      <w:r w:rsidR="00BF015B">
        <w:rPr>
          <w:noProof/>
        </w:rPr>
        <w:t>7</w:t>
      </w:r>
      <w:r>
        <w:fldChar w:fldCharType="end"/>
      </w:r>
      <w:r>
        <w:noBreakHyphen/>
      </w:r>
      <w:r>
        <w:fldChar w:fldCharType="begin"/>
      </w:r>
      <w:r>
        <w:instrText xml:space="preserve"> SEQ Figure \* ARABIC \s 1 </w:instrText>
      </w:r>
      <w:r>
        <w:fldChar w:fldCharType="separate"/>
      </w:r>
      <w:r w:rsidR="00BF015B">
        <w:rPr>
          <w:noProof/>
        </w:rPr>
        <w:t>19</w:t>
      </w:r>
      <w:r>
        <w:fldChar w:fldCharType="end"/>
      </w:r>
      <w:r>
        <w:t xml:space="preserve">: Groundwater </w:t>
      </w:r>
      <w:r w:rsidR="005C32F1">
        <w:t>d</w:t>
      </w:r>
      <w:r>
        <w:t>epth and Black Box: Darling</w:t>
      </w:r>
      <w:bookmarkEnd w:id="424"/>
    </w:p>
    <w:p w14:paraId="209FBA8A" w14:textId="77777777" w:rsidR="00585FCF" w:rsidRDefault="00585FCF">
      <w:pPr>
        <w:spacing w:after="0" w:line="240" w:lineRule="auto"/>
        <w:rPr>
          <w:rFonts w:ascii="Arial Narrow" w:hAnsi="Arial Narrow"/>
          <w:b/>
        </w:rPr>
      </w:pPr>
      <w:r>
        <w:br w:type="page"/>
      </w:r>
    </w:p>
    <w:p w14:paraId="2BF47627" w14:textId="5D6FBB45" w:rsidR="00EE7285" w:rsidRPr="00EF5280" w:rsidRDefault="00B43571" w:rsidP="00EE7285">
      <w:pPr>
        <w:pStyle w:val="Para0"/>
        <w:spacing w:before="0" w:after="0"/>
        <w:jc w:val="center"/>
      </w:pPr>
      <w:r>
        <w:rPr>
          <w:noProof/>
          <w:lang w:eastAsia="en-AU"/>
        </w:rPr>
        <w:drawing>
          <wp:inline distT="0" distB="0" distL="0" distR="0" wp14:anchorId="22703FC1" wp14:editId="474A81FD">
            <wp:extent cx="13222241" cy="82867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g5.32 GW Depth and BB Murray.png"/>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13223585" cy="8287592"/>
                    </a:xfrm>
                    <a:prstGeom prst="rect">
                      <a:avLst/>
                    </a:prstGeom>
                    <a:ln>
                      <a:noFill/>
                    </a:ln>
                    <a:extLst>
                      <a:ext uri="{53640926-AAD7-44D8-BBD7-CCE9431645EC}">
                        <a14:shadowObscured xmlns:a14="http://schemas.microsoft.com/office/drawing/2010/main"/>
                      </a:ext>
                    </a:extLst>
                  </pic:spPr>
                </pic:pic>
              </a:graphicData>
            </a:graphic>
          </wp:inline>
        </w:drawing>
      </w:r>
    </w:p>
    <w:p w14:paraId="5C659327" w14:textId="0035805A" w:rsidR="00EE7285" w:rsidRDefault="00EE7285" w:rsidP="00EE7285">
      <w:pPr>
        <w:pStyle w:val="Caption"/>
        <w:spacing w:before="0" w:after="0"/>
        <w:jc w:val="center"/>
      </w:pPr>
      <w:bookmarkStart w:id="425" w:name="_Toc514018132"/>
      <w:r>
        <w:t xml:space="preserve">Figure </w:t>
      </w:r>
      <w:r>
        <w:fldChar w:fldCharType="begin"/>
      </w:r>
      <w:r>
        <w:instrText xml:space="preserve"> STYLEREF 1 \s </w:instrText>
      </w:r>
      <w:r>
        <w:fldChar w:fldCharType="separate"/>
      </w:r>
      <w:r w:rsidR="00BF015B">
        <w:rPr>
          <w:noProof/>
        </w:rPr>
        <w:t>7</w:t>
      </w:r>
      <w:r>
        <w:fldChar w:fldCharType="end"/>
      </w:r>
      <w:r>
        <w:noBreakHyphen/>
      </w:r>
      <w:r>
        <w:fldChar w:fldCharType="begin"/>
      </w:r>
      <w:r>
        <w:instrText xml:space="preserve"> SEQ Figure \* ARABIC \s 1 </w:instrText>
      </w:r>
      <w:r>
        <w:fldChar w:fldCharType="separate"/>
      </w:r>
      <w:r w:rsidR="00BF015B">
        <w:rPr>
          <w:noProof/>
        </w:rPr>
        <w:t>20</w:t>
      </w:r>
      <w:r>
        <w:fldChar w:fldCharType="end"/>
      </w:r>
      <w:r>
        <w:t xml:space="preserve">: Groundwater </w:t>
      </w:r>
      <w:r w:rsidR="005C32F1">
        <w:t>d</w:t>
      </w:r>
      <w:r>
        <w:t>epth and Black Box: Murray</w:t>
      </w:r>
      <w:bookmarkEnd w:id="425"/>
    </w:p>
    <w:p w14:paraId="3FCB28F8" w14:textId="17B153F3" w:rsidR="00585FCF" w:rsidRDefault="00585FCF">
      <w:pPr>
        <w:spacing w:after="0" w:line="240" w:lineRule="auto"/>
      </w:pPr>
      <w:r>
        <w:br w:type="page"/>
      </w:r>
    </w:p>
    <w:p w14:paraId="6FEF77D9" w14:textId="4336F45F" w:rsidR="00EE7285" w:rsidRPr="00EF5280" w:rsidRDefault="00B43571" w:rsidP="00EE7285">
      <w:pPr>
        <w:pStyle w:val="Para0"/>
        <w:spacing w:before="0" w:after="0"/>
        <w:jc w:val="center"/>
      </w:pPr>
      <w:r>
        <w:rPr>
          <w:noProof/>
          <w:lang w:eastAsia="en-AU"/>
        </w:rPr>
        <w:drawing>
          <wp:inline distT="0" distB="0" distL="0" distR="0" wp14:anchorId="2E49ADC4" wp14:editId="5B9BF618">
            <wp:extent cx="13051918" cy="82486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ig5.33 BB Vulnerability Darling.png"/>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13053739" cy="8249801"/>
                    </a:xfrm>
                    <a:prstGeom prst="rect">
                      <a:avLst/>
                    </a:prstGeom>
                    <a:ln>
                      <a:noFill/>
                    </a:ln>
                    <a:extLst>
                      <a:ext uri="{53640926-AAD7-44D8-BBD7-CCE9431645EC}">
                        <a14:shadowObscured xmlns:a14="http://schemas.microsoft.com/office/drawing/2010/main"/>
                      </a:ext>
                    </a:extLst>
                  </pic:spPr>
                </pic:pic>
              </a:graphicData>
            </a:graphic>
          </wp:inline>
        </w:drawing>
      </w:r>
    </w:p>
    <w:p w14:paraId="50D5C428" w14:textId="280A095D" w:rsidR="00585FCF" w:rsidRDefault="00EE7285" w:rsidP="00EE7285">
      <w:pPr>
        <w:pStyle w:val="Caption"/>
        <w:spacing w:before="0" w:after="0"/>
        <w:jc w:val="center"/>
      </w:pPr>
      <w:bookmarkStart w:id="426" w:name="_Toc514018133"/>
      <w:r>
        <w:t xml:space="preserve">Figure </w:t>
      </w:r>
      <w:r>
        <w:fldChar w:fldCharType="begin"/>
      </w:r>
      <w:r>
        <w:instrText xml:space="preserve"> STYLEREF 1 \s </w:instrText>
      </w:r>
      <w:r>
        <w:fldChar w:fldCharType="separate"/>
      </w:r>
      <w:r w:rsidR="00BF015B">
        <w:rPr>
          <w:noProof/>
        </w:rPr>
        <w:t>7</w:t>
      </w:r>
      <w:r>
        <w:fldChar w:fldCharType="end"/>
      </w:r>
      <w:r>
        <w:noBreakHyphen/>
      </w:r>
      <w:r>
        <w:fldChar w:fldCharType="begin"/>
      </w:r>
      <w:r>
        <w:instrText xml:space="preserve"> SEQ Figure \* ARABIC \s 1 </w:instrText>
      </w:r>
      <w:r>
        <w:fldChar w:fldCharType="separate"/>
      </w:r>
      <w:r w:rsidR="00BF015B">
        <w:rPr>
          <w:noProof/>
        </w:rPr>
        <w:t>21</w:t>
      </w:r>
      <w:r>
        <w:fldChar w:fldCharType="end"/>
      </w:r>
      <w:r>
        <w:t>: Vulnerability of Black Box: Darling</w:t>
      </w:r>
      <w:bookmarkEnd w:id="426"/>
    </w:p>
    <w:p w14:paraId="1D4E53E5" w14:textId="77777777" w:rsidR="00585FCF" w:rsidRDefault="00585FCF">
      <w:pPr>
        <w:spacing w:after="0" w:line="240" w:lineRule="auto"/>
        <w:rPr>
          <w:rFonts w:ascii="Arial Narrow" w:hAnsi="Arial Narrow"/>
          <w:b/>
        </w:rPr>
      </w:pPr>
      <w:r>
        <w:br w:type="page"/>
      </w:r>
    </w:p>
    <w:p w14:paraId="414C78AB" w14:textId="221A1338" w:rsidR="00EE7285" w:rsidRPr="00EF5280" w:rsidRDefault="00B43571" w:rsidP="00EE7285">
      <w:pPr>
        <w:pStyle w:val="Para0"/>
        <w:spacing w:before="0" w:after="0"/>
        <w:jc w:val="center"/>
      </w:pPr>
      <w:r>
        <w:rPr>
          <w:noProof/>
          <w:lang w:eastAsia="en-AU"/>
        </w:rPr>
        <w:drawing>
          <wp:inline distT="0" distB="0" distL="0" distR="0" wp14:anchorId="5D6007E2" wp14:editId="481B6050">
            <wp:extent cx="13211922" cy="8305800"/>
            <wp:effectExtent l="0" t="0" r="889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ig5.34 BB Vulnerability Murray.png"/>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13213964" cy="8307084"/>
                    </a:xfrm>
                    <a:prstGeom prst="rect">
                      <a:avLst/>
                    </a:prstGeom>
                    <a:ln>
                      <a:noFill/>
                    </a:ln>
                    <a:extLst>
                      <a:ext uri="{53640926-AAD7-44D8-BBD7-CCE9431645EC}">
                        <a14:shadowObscured xmlns:a14="http://schemas.microsoft.com/office/drawing/2010/main"/>
                      </a:ext>
                    </a:extLst>
                  </pic:spPr>
                </pic:pic>
              </a:graphicData>
            </a:graphic>
          </wp:inline>
        </w:drawing>
      </w:r>
    </w:p>
    <w:p w14:paraId="2DBE12B6" w14:textId="1DBF15F2" w:rsidR="00585FCF" w:rsidRDefault="00EE7285" w:rsidP="00EE7285">
      <w:pPr>
        <w:pStyle w:val="Caption"/>
        <w:spacing w:before="0" w:after="0"/>
        <w:jc w:val="center"/>
      </w:pPr>
      <w:bookmarkStart w:id="427" w:name="_Toc514018134"/>
      <w:r>
        <w:t xml:space="preserve">Figure </w:t>
      </w:r>
      <w:r>
        <w:fldChar w:fldCharType="begin"/>
      </w:r>
      <w:r>
        <w:instrText xml:space="preserve"> STYLEREF 1 \s </w:instrText>
      </w:r>
      <w:r>
        <w:fldChar w:fldCharType="separate"/>
      </w:r>
      <w:r w:rsidR="00BF015B">
        <w:rPr>
          <w:noProof/>
        </w:rPr>
        <w:t>7</w:t>
      </w:r>
      <w:r>
        <w:fldChar w:fldCharType="end"/>
      </w:r>
      <w:r>
        <w:noBreakHyphen/>
      </w:r>
      <w:r>
        <w:fldChar w:fldCharType="begin"/>
      </w:r>
      <w:r>
        <w:instrText xml:space="preserve"> SEQ Figure \* ARABIC \s 1 </w:instrText>
      </w:r>
      <w:r>
        <w:fldChar w:fldCharType="separate"/>
      </w:r>
      <w:r w:rsidR="00BF015B">
        <w:rPr>
          <w:noProof/>
        </w:rPr>
        <w:t>22</w:t>
      </w:r>
      <w:r>
        <w:fldChar w:fldCharType="end"/>
      </w:r>
      <w:r>
        <w:t>: Vulnerability of Black Box: Murray</w:t>
      </w:r>
      <w:bookmarkEnd w:id="427"/>
    </w:p>
    <w:p w14:paraId="18CBAE94" w14:textId="77777777" w:rsidR="00585FCF" w:rsidRDefault="00585FCF">
      <w:pPr>
        <w:spacing w:after="0" w:line="240" w:lineRule="auto"/>
        <w:rPr>
          <w:rFonts w:ascii="Arial Narrow" w:hAnsi="Arial Narrow"/>
          <w:b/>
        </w:rPr>
      </w:pPr>
      <w:r>
        <w:br w:type="page"/>
      </w:r>
    </w:p>
    <w:p w14:paraId="22AB990F" w14:textId="055EB780" w:rsidR="00B43571" w:rsidRDefault="00B43571" w:rsidP="00B43571">
      <w:pPr>
        <w:pStyle w:val="Caption"/>
        <w:jc w:val="center"/>
      </w:pPr>
      <w:r>
        <w:rPr>
          <w:noProof/>
          <w:lang w:eastAsia="en-AU"/>
        </w:rPr>
        <w:drawing>
          <wp:inline distT="0" distB="0" distL="0" distR="0" wp14:anchorId="1DB264B2" wp14:editId="5FCDC72C">
            <wp:extent cx="13049250" cy="8042681"/>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ig5.35 Flood Change Mapping Murray.png"/>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13052111" cy="8044444"/>
                    </a:xfrm>
                    <a:prstGeom prst="rect">
                      <a:avLst/>
                    </a:prstGeom>
                    <a:ln>
                      <a:noFill/>
                    </a:ln>
                    <a:extLst>
                      <a:ext uri="{53640926-AAD7-44D8-BBD7-CCE9431645EC}">
                        <a14:shadowObscured xmlns:a14="http://schemas.microsoft.com/office/drawing/2010/main"/>
                      </a:ext>
                    </a:extLst>
                  </pic:spPr>
                </pic:pic>
              </a:graphicData>
            </a:graphic>
          </wp:inline>
        </w:drawing>
      </w:r>
    </w:p>
    <w:p w14:paraId="38FC44B4" w14:textId="639DA6F6" w:rsidR="00EE7285" w:rsidRPr="00EA2DC6" w:rsidRDefault="00EE7285" w:rsidP="00B43571">
      <w:pPr>
        <w:pStyle w:val="Caption"/>
        <w:jc w:val="center"/>
      </w:pPr>
      <w:bookmarkStart w:id="428" w:name="_Toc514018135"/>
      <w:r>
        <w:t xml:space="preserve">Figure </w:t>
      </w:r>
      <w:r>
        <w:fldChar w:fldCharType="begin"/>
      </w:r>
      <w:r>
        <w:instrText xml:space="preserve"> STYLEREF 1 \s </w:instrText>
      </w:r>
      <w:r>
        <w:fldChar w:fldCharType="separate"/>
      </w:r>
      <w:r w:rsidR="00BF015B">
        <w:rPr>
          <w:noProof/>
        </w:rPr>
        <w:t>7</w:t>
      </w:r>
      <w:r>
        <w:fldChar w:fldCharType="end"/>
      </w:r>
      <w:r>
        <w:noBreakHyphen/>
      </w:r>
      <w:r>
        <w:fldChar w:fldCharType="begin"/>
      </w:r>
      <w:r>
        <w:instrText xml:space="preserve"> SEQ Figure \* ARABIC \s 1 </w:instrText>
      </w:r>
      <w:r>
        <w:fldChar w:fldCharType="separate"/>
      </w:r>
      <w:r w:rsidR="00BF015B">
        <w:rPr>
          <w:noProof/>
        </w:rPr>
        <w:t>23</w:t>
      </w:r>
      <w:r>
        <w:fldChar w:fldCharType="end"/>
      </w:r>
      <w:r>
        <w:t xml:space="preserve">: Flood change map for the upper area of the lower River Murray in South Australia under historical, current and future modelled climate scenarios for a 1 in </w:t>
      </w:r>
      <w:r w:rsidR="005C4005">
        <w:t>10-year</w:t>
      </w:r>
      <w:r>
        <w:t xml:space="preserve"> flood regime (Overton et al., 2009).</w:t>
      </w:r>
      <w:bookmarkEnd w:id="428"/>
    </w:p>
    <w:p w14:paraId="64E03CF9" w14:textId="6A8CA880" w:rsidR="00C354CD" w:rsidRPr="00C101A2" w:rsidRDefault="00C354CD" w:rsidP="002F5809"/>
    <w:sectPr w:rsidR="00C354CD" w:rsidRPr="00C101A2" w:rsidSect="000000A2">
      <w:headerReference w:type="default" r:id="rId140"/>
      <w:pgSz w:w="23811" w:h="16838" w:orient="landscape" w:code="8"/>
      <w:pgMar w:top="1134" w:right="567" w:bottom="851" w:left="851" w:header="567" w:footer="369" w:gutter="0"/>
      <w:cols w:space="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A87DAD" w14:textId="77777777" w:rsidR="00CF0933" w:rsidRDefault="00CF0933" w:rsidP="00EA3E55">
      <w:pPr>
        <w:spacing w:after="0" w:line="240" w:lineRule="auto"/>
      </w:pPr>
      <w:r>
        <w:separator/>
      </w:r>
    </w:p>
  </w:endnote>
  <w:endnote w:type="continuationSeparator" w:id="0">
    <w:p w14:paraId="04A7ED7B" w14:textId="77777777" w:rsidR="00CF0933" w:rsidRDefault="00CF0933" w:rsidP="00EA3E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Lucida Grande">
    <w:charset w:val="00"/>
    <w:family w:val="swiss"/>
    <w:pitch w:val="variable"/>
    <w:sig w:usb0="E1000AEF"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Frutiger 45 Light">
    <w:charset w:val="00"/>
    <w:family w:val="auto"/>
    <w:pitch w:val="variable"/>
    <w:sig w:usb0="00000003" w:usb1="00000000" w:usb2="00000000" w:usb3="00000000" w:csb0="00000001" w:csb1="00000000"/>
  </w:font>
  <w:font w:name="Arial Narrow Bold">
    <w:altName w:val="Arial Narrow"/>
    <w:panose1 w:val="020B07060202020302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728EB2" w14:textId="77777777" w:rsidR="00CF0933" w:rsidRPr="00446DC1" w:rsidRDefault="00CF0933" w:rsidP="000463EC">
    <w:pPr>
      <w:pStyle w:val="Footer"/>
    </w:pPr>
    <w: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275AF0" w14:textId="77777777" w:rsidR="00CF0933" w:rsidRDefault="00CF0933" w:rsidP="00633167">
    <w:pPr>
      <w:pStyle w:val="Footer"/>
    </w:pPr>
  </w:p>
  <w:p w14:paraId="3AD85326" w14:textId="616CA4A9" w:rsidR="00CF0933" w:rsidRPr="00DD043A" w:rsidRDefault="00CF0933" w:rsidP="00324783">
    <w:pPr>
      <w:pStyle w:val="Footer"/>
      <w:rPr>
        <w:b/>
      </w:rPr>
    </w:pPr>
    <w:r w:rsidRPr="00993678">
      <w:tab/>
    </w:r>
    <w:r w:rsidRPr="00993678">
      <w:tab/>
    </w:r>
    <w:r w:rsidRPr="00993678">
      <w:fldChar w:fldCharType="begin"/>
    </w:r>
    <w:r w:rsidRPr="00993678">
      <w:instrText xml:space="preserve"> PAGE   \* MERGEFORMAT </w:instrText>
    </w:r>
    <w:r w:rsidRPr="00993678">
      <w:fldChar w:fldCharType="separate"/>
    </w:r>
    <w:r w:rsidR="005C788A">
      <w:rPr>
        <w:noProof/>
      </w:rPr>
      <w:t>54</w:t>
    </w:r>
    <w:r w:rsidRPr="00993678">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C8E22C" w14:textId="77777777" w:rsidR="00CF0933" w:rsidRDefault="00CF0933" w:rsidP="00324783">
    <w:pPr>
      <w:pStyle w:val="Footer"/>
    </w:pPr>
  </w:p>
  <w:p w14:paraId="24998DEC" w14:textId="66542F60" w:rsidR="00CF0933" w:rsidRPr="00DD043A" w:rsidRDefault="00CF0933" w:rsidP="00324783">
    <w:pPr>
      <w:pStyle w:val="Footer"/>
      <w:rPr>
        <w:b/>
      </w:rPr>
    </w:pPr>
    <w:r w:rsidRPr="00DD043A">
      <w:tab/>
    </w:r>
    <w:r>
      <w:fldChar w:fldCharType="begin"/>
    </w:r>
    <w:r>
      <w:instrText xml:space="preserve"> PAGE   \* MERGEFORMAT </w:instrText>
    </w:r>
    <w:r>
      <w:fldChar w:fldCharType="separate"/>
    </w:r>
    <w:r w:rsidR="005C788A">
      <w:rPr>
        <w:noProof/>
      </w:rPr>
      <w:t>57</w:t>
    </w:r>
    <w:r>
      <w:rPr>
        <w:noProof/>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3B17AD" w14:textId="77777777" w:rsidR="00CF0933" w:rsidRDefault="00CF0933" w:rsidP="00324783">
    <w:pPr>
      <w:pStyle w:val="Footer"/>
    </w:pPr>
  </w:p>
  <w:p w14:paraId="290817F3" w14:textId="6017708D" w:rsidR="00CF0933" w:rsidRPr="00DD043A" w:rsidRDefault="00CF0933" w:rsidP="00324783">
    <w:pPr>
      <w:pStyle w:val="Footer"/>
      <w:rPr>
        <w:b/>
      </w:rPr>
    </w:pPr>
    <w:r w:rsidRPr="00DD043A">
      <w:tab/>
    </w:r>
    <w:r>
      <w:fldChar w:fldCharType="begin"/>
    </w:r>
    <w:r>
      <w:instrText xml:space="preserve"> PAGE   \* MERGEFORMAT </w:instrText>
    </w:r>
    <w:r>
      <w:fldChar w:fldCharType="separate"/>
    </w:r>
    <w:r w:rsidR="005C788A">
      <w:rPr>
        <w:noProof/>
      </w:rPr>
      <w:t>70</w:t>
    </w:r>
    <w:r>
      <w:rPr>
        <w:noProof/>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D61417" w14:textId="77777777" w:rsidR="00CF0933" w:rsidRDefault="00CF0933" w:rsidP="00324783">
    <w:pPr>
      <w:pStyle w:val="Footer"/>
    </w:pPr>
  </w:p>
  <w:p w14:paraId="6CCD9DC1" w14:textId="59664F10" w:rsidR="00CF0933" w:rsidRPr="00DD043A" w:rsidRDefault="00CF0933" w:rsidP="009C0A71">
    <w:pPr>
      <w:pStyle w:val="Footer"/>
      <w:rPr>
        <w:b/>
      </w:rPr>
    </w:pPr>
    <w:r w:rsidRPr="00DD043A">
      <w:tab/>
    </w:r>
    <w:r>
      <w:fldChar w:fldCharType="begin"/>
    </w:r>
    <w:r>
      <w:instrText xml:space="preserve"> PAGE   \* MERGEFORMAT </w:instrText>
    </w:r>
    <w:r>
      <w:fldChar w:fldCharType="separate"/>
    </w:r>
    <w:r w:rsidR="005C788A">
      <w:rPr>
        <w:noProof/>
      </w:rPr>
      <w:t>81</w:t>
    </w:r>
    <w:r>
      <w:rPr>
        <w:noProof/>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C7F592" w14:textId="77777777" w:rsidR="00CF0933" w:rsidRDefault="00CF0933" w:rsidP="00633167">
    <w:pPr>
      <w:pStyle w:val="Footer"/>
    </w:pPr>
  </w:p>
  <w:p w14:paraId="3124BD4E" w14:textId="2103B79F" w:rsidR="00CF0933" w:rsidRPr="00DD043A" w:rsidRDefault="00CF0933" w:rsidP="009C0A71">
    <w:pPr>
      <w:pStyle w:val="Footer"/>
      <w:rPr>
        <w:b/>
      </w:rPr>
    </w:pPr>
    <w:r w:rsidRPr="00993678">
      <w:tab/>
    </w:r>
    <w:r w:rsidRPr="00993678">
      <w:tab/>
    </w:r>
    <w:r w:rsidRPr="00993678">
      <w:fldChar w:fldCharType="begin"/>
    </w:r>
    <w:r w:rsidRPr="00993678">
      <w:instrText xml:space="preserve"> PAGE   \* MERGEFORMAT </w:instrText>
    </w:r>
    <w:r w:rsidRPr="00993678">
      <w:fldChar w:fldCharType="separate"/>
    </w:r>
    <w:r w:rsidR="005C788A">
      <w:rPr>
        <w:noProof/>
      </w:rPr>
      <w:t>83</w:t>
    </w:r>
    <w:r w:rsidRPr="00993678">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97DB67" w14:textId="77777777" w:rsidR="00CF0933" w:rsidRDefault="00CF0933" w:rsidP="00324783">
    <w:pPr>
      <w:pStyle w:val="Footer"/>
    </w:pPr>
  </w:p>
  <w:p w14:paraId="33C8D317" w14:textId="40404684" w:rsidR="00CF0933" w:rsidRPr="00DD043A" w:rsidRDefault="00CF0933" w:rsidP="009C0A71">
    <w:pPr>
      <w:pStyle w:val="Footer"/>
      <w:rPr>
        <w:b/>
      </w:rPr>
    </w:pPr>
    <w:r w:rsidRPr="00DD043A">
      <w:tab/>
    </w:r>
    <w:r>
      <w:fldChar w:fldCharType="begin"/>
    </w:r>
    <w:r>
      <w:instrText xml:space="preserve"> PAGE   \* MERGEFORMAT </w:instrText>
    </w:r>
    <w:r>
      <w:fldChar w:fldCharType="separate"/>
    </w:r>
    <w:r w:rsidR="005C788A">
      <w:rPr>
        <w:noProof/>
      </w:rPr>
      <w:t>87</w:t>
    </w:r>
    <w:r>
      <w:rPr>
        <w:noProof/>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ECAD21" w14:textId="77777777" w:rsidR="00CF0933" w:rsidRDefault="00CF0933" w:rsidP="00324783">
    <w:pPr>
      <w:pStyle w:val="Footer"/>
    </w:pPr>
  </w:p>
  <w:p w14:paraId="11BA85E3" w14:textId="28E213C1" w:rsidR="00CF0933" w:rsidRPr="00DD043A" w:rsidRDefault="00CF0933" w:rsidP="009C0A71">
    <w:pPr>
      <w:pStyle w:val="Footer"/>
      <w:rPr>
        <w:b/>
      </w:rPr>
    </w:pPr>
    <w:r>
      <w:tab/>
    </w:r>
    <w:r>
      <w:fldChar w:fldCharType="begin"/>
    </w:r>
    <w:r>
      <w:instrText xml:space="preserve"> PAGE   \* MERGEFORMAT </w:instrText>
    </w:r>
    <w:r>
      <w:fldChar w:fldCharType="separate"/>
    </w:r>
    <w:r w:rsidR="005C788A">
      <w:rPr>
        <w:noProof/>
      </w:rPr>
      <w:t>108</w:t>
    </w:r>
    <w:r>
      <w:rPr>
        <w:noProof/>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CF1191" w14:textId="77777777" w:rsidR="00CF0933" w:rsidRDefault="00CF0933" w:rsidP="00324783">
    <w:pPr>
      <w:pStyle w:val="Footer"/>
    </w:pPr>
  </w:p>
  <w:p w14:paraId="48E1D106" w14:textId="1F320A62" w:rsidR="00CF0933" w:rsidRPr="00DD043A" w:rsidRDefault="00CF0933" w:rsidP="00324783">
    <w:pPr>
      <w:pStyle w:val="Footer"/>
      <w:rPr>
        <w:b/>
      </w:rPr>
    </w:pPr>
    <w:r w:rsidRPr="00DD043A">
      <w:tab/>
    </w:r>
    <w:r>
      <w:fldChar w:fldCharType="begin"/>
    </w:r>
    <w:r>
      <w:instrText xml:space="preserve"> PAGE   \* MERGEFORMAT </w:instrText>
    </w:r>
    <w:r>
      <w:fldChar w:fldCharType="separate"/>
    </w:r>
    <w:r w:rsidR="005C788A">
      <w:rPr>
        <w:noProof/>
      </w:rPr>
      <w:t>124</w:t>
    </w:r>
    <w:r>
      <w:rPr>
        <w:noProof/>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0D8CD9" w14:textId="77777777" w:rsidR="00CF0933" w:rsidRDefault="00CF0933" w:rsidP="00633167">
    <w:pPr>
      <w:pStyle w:val="Footer"/>
    </w:pPr>
  </w:p>
  <w:p w14:paraId="36E125FE" w14:textId="24B16D94" w:rsidR="00CF0933" w:rsidRPr="00DD043A" w:rsidRDefault="00CF0933" w:rsidP="00324783">
    <w:pPr>
      <w:pStyle w:val="Footer"/>
      <w:rPr>
        <w:b/>
      </w:rPr>
    </w:pPr>
    <w:r w:rsidRPr="00993678">
      <w:tab/>
    </w:r>
    <w:r w:rsidRPr="00993678">
      <w:tab/>
    </w:r>
    <w:r w:rsidRPr="00993678">
      <w:fldChar w:fldCharType="begin"/>
    </w:r>
    <w:r w:rsidRPr="00993678">
      <w:instrText xml:space="preserve"> PAGE   \* MERGEFORMAT </w:instrText>
    </w:r>
    <w:r w:rsidRPr="00993678">
      <w:fldChar w:fldCharType="separate"/>
    </w:r>
    <w:r w:rsidR="005C788A">
      <w:rPr>
        <w:noProof/>
      </w:rPr>
      <w:t>126</w:t>
    </w:r>
    <w:r w:rsidRPr="00993678">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1B1467" w14:textId="77777777" w:rsidR="00CF0933" w:rsidRDefault="00CF0933" w:rsidP="00BA5BE3">
    <w:pPr>
      <w:pStyle w:val="Footer"/>
    </w:pPr>
  </w:p>
  <w:p w14:paraId="79EA66F7" w14:textId="1990B8B3" w:rsidR="00CF0933" w:rsidRPr="001329A5" w:rsidRDefault="00CF0933" w:rsidP="00515948">
    <w:pPr>
      <w:pStyle w:val="Footer"/>
      <w:rPr>
        <w:b/>
      </w:rPr>
    </w:pPr>
    <w:r w:rsidRPr="00637CBB">
      <w:tab/>
    </w:r>
    <w:r w:rsidRPr="00637CBB">
      <w:rPr>
        <w:b/>
      </w:rPr>
      <w:fldChar w:fldCharType="begin"/>
    </w:r>
    <w:r w:rsidRPr="00637CBB">
      <w:instrText xml:space="preserve"> PAGE   \* MERGEFORMAT </w:instrText>
    </w:r>
    <w:r w:rsidRPr="00637CBB">
      <w:rPr>
        <w:b/>
      </w:rPr>
      <w:fldChar w:fldCharType="separate"/>
    </w:r>
    <w:r w:rsidR="005C788A">
      <w:rPr>
        <w:noProof/>
      </w:rPr>
      <w:t>132</w:t>
    </w:r>
    <w:r w:rsidRPr="00637CBB">
      <w:rPr>
        <w:b/>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404867" w14:textId="77777777" w:rsidR="00CF0933" w:rsidRDefault="00CF0933" w:rsidP="000463EC">
    <w:pPr>
      <w:pStyle w:val="Para0"/>
    </w:pPr>
    <w:r>
      <w:t xml:space="preserve">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E13905" w14:textId="228DD539" w:rsidR="00CF0933" w:rsidRPr="00E76686" w:rsidRDefault="00943255">
    <w:pPr>
      <w:pStyle w:val="Footer"/>
      <w:rPr>
        <w:b/>
      </w:rPr>
    </w:pPr>
    <w:fldSimple w:instr=" DOCPROPERTY  &quot;Document Number&quot;  \* MERGEFORMAT ">
      <w:r w:rsidR="00CF0933">
        <w:t>1</w:t>
      </w:r>
    </w:fldSimple>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4CF9C8" w14:textId="77777777" w:rsidR="00CF0933" w:rsidRDefault="00CF0933" w:rsidP="00633167">
    <w:pPr>
      <w:pStyle w:val="Footer"/>
    </w:pPr>
  </w:p>
  <w:p w14:paraId="4E1728D9" w14:textId="1B08A0BB" w:rsidR="00CF0933" w:rsidRPr="001329A5" w:rsidRDefault="00CF0933" w:rsidP="00515948">
    <w:pPr>
      <w:pStyle w:val="Footer"/>
      <w:rPr>
        <w:b/>
      </w:rPr>
    </w:pPr>
    <w:r w:rsidRPr="00993678">
      <w:tab/>
    </w:r>
    <w:r w:rsidRPr="00993678">
      <w:tab/>
    </w:r>
    <w:r w:rsidRPr="00993678">
      <w:fldChar w:fldCharType="begin"/>
    </w:r>
    <w:r w:rsidRPr="00993678">
      <w:instrText xml:space="preserve"> PAGE   \* MERGEFORMAT </w:instrText>
    </w:r>
    <w:r w:rsidRPr="00993678">
      <w:fldChar w:fldCharType="separate"/>
    </w:r>
    <w:r w:rsidR="005C788A">
      <w:rPr>
        <w:noProof/>
      </w:rPr>
      <w:t>133</w:t>
    </w:r>
    <w:r w:rsidRPr="00993678">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27A40C" w14:textId="74AFF159" w:rsidR="00CF0933" w:rsidRDefault="00CF0933" w:rsidP="00324783">
    <w:pPr>
      <w:pStyle w:val="Footer"/>
    </w:pPr>
    <w:r>
      <w:rPr>
        <w:noProof/>
        <w:lang w:eastAsia="en-AU"/>
      </w:rPr>
      <mc:AlternateContent>
        <mc:Choice Requires="wps">
          <w:drawing>
            <wp:anchor distT="0" distB="0" distL="114300" distR="114300" simplePos="0" relativeHeight="251692544" behindDoc="1" locked="0" layoutInCell="0" allowOverlap="1" wp14:anchorId="14EBEEB2" wp14:editId="041407EF">
              <wp:simplePos x="0" y="0"/>
              <wp:positionH relativeFrom="margin">
                <wp:align>center</wp:align>
              </wp:positionH>
              <wp:positionV relativeFrom="margin">
                <wp:align>center</wp:align>
              </wp:positionV>
              <wp:extent cx="7512050" cy="45085"/>
              <wp:effectExtent l="0" t="0" r="0" b="0"/>
              <wp:wrapNone/>
              <wp:docPr id="1" name="WordArt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flipV="1">
                        <a:off x="0" y="0"/>
                        <a:ext cx="7512050" cy="45719"/>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9CD3BC0" w14:textId="77777777" w:rsidR="00CF0933" w:rsidRDefault="00CF0933" w:rsidP="00D87690">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FINAL 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14EBEEB2" id="_x0000_t202" coordsize="21600,21600" o:spt="202" path="m,l,21600r21600,l21600,xe">
              <v:stroke joinstyle="miter"/>
              <v:path gradientshapeok="t" o:connecttype="rect"/>
            </v:shapetype>
            <v:shape id="WordArt 45" o:spid="_x0000_s1040" type="#_x0000_t202" style="position:absolute;left:0;text-align:left;margin-left:0;margin-top:0;width:591.5pt;height:3.55pt;rotation:45;flip:y;z-index:-2516239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" o:allowincell="f" filled="f" stroked="f">
              <v:stroke joinstyle="round"/>
              <o:lock v:ext="edit" shapetype="t"/>
              <v:textbox>
                <w:txbxContent>
                  <w:p w14:paraId="59CD3BC0" w14:textId="77777777" w:rsidR="00CF0933" w:rsidRDefault="00CF0933" w:rsidP="00D87690">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FINAL DRAFT</w:t>
                    </w:r>
                  </w:p>
                </w:txbxContent>
              </v:textbox>
              <w10:wrap anchorx="margin" anchory="margin"/>
            </v:shape>
          </w:pict>
        </mc:Fallback>
      </mc:AlternateContent>
    </w:r>
  </w:p>
  <w:p w14:paraId="16CD07C6" w14:textId="19242D45" w:rsidR="00CF0933" w:rsidRPr="001329A5" w:rsidRDefault="00CF0933" w:rsidP="00C93484">
    <w:pPr>
      <w:pStyle w:val="Footer"/>
      <w:jc w:val="right"/>
      <w:rPr>
        <w:b/>
      </w:rPr>
    </w:pPr>
    <w:r>
      <w:tab/>
    </w:r>
    <w:r>
      <w:tab/>
    </w:r>
    <w:r>
      <w:tab/>
    </w:r>
    <w:r>
      <w:fldChar w:fldCharType="begin"/>
    </w:r>
    <w:r>
      <w:instrText xml:space="preserve"> PAGE   \* MERGEFORMAT </w:instrText>
    </w:r>
    <w:r>
      <w:fldChar w:fldCharType="separate"/>
    </w:r>
    <w:r w:rsidR="005C788A">
      <w:rPr>
        <w:noProof/>
      </w:rPr>
      <w:t>169</w:t>
    </w:r>
    <w:r>
      <w:rPr>
        <w:noProof/>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061756" w14:textId="44E7C15D" w:rsidR="00CF0933" w:rsidRPr="00E76686" w:rsidRDefault="00943255">
    <w:pPr>
      <w:pStyle w:val="Footer"/>
      <w:rPr>
        <w:b/>
      </w:rPr>
    </w:pPr>
    <w:fldSimple w:instr=" DOCPROPERTY  &quot;Document Number&quot;  \* MERGEFORMAT ">
      <w:r w:rsidR="00CF0933">
        <w:t>1</w:t>
      </w:r>
    </w:fldSimple>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64022D" w14:textId="77777777" w:rsidR="00CF0933" w:rsidRDefault="00CF0933" w:rsidP="00BA5BE3">
    <w:pPr>
      <w:pStyle w:val="Footer"/>
    </w:pPr>
  </w:p>
  <w:p w14:paraId="24B467C5" w14:textId="58039423" w:rsidR="00CF0933" w:rsidRPr="002245BA" w:rsidRDefault="00CF0933" w:rsidP="00BA5BE3">
    <w:pPr>
      <w:pStyle w:val="Footer"/>
      <w:rPr>
        <w:b/>
      </w:rPr>
    </w:pPr>
    <w:r w:rsidRPr="00637CBB">
      <w:tab/>
    </w:r>
    <w:r w:rsidRPr="00993678">
      <w:fldChar w:fldCharType="begin"/>
    </w:r>
    <w:r w:rsidRPr="00993678">
      <w:instrText xml:space="preserve"> PAGE  \* roman  \* MERGEFORMAT </w:instrText>
    </w:r>
    <w:r w:rsidRPr="00993678">
      <w:fldChar w:fldCharType="separate"/>
    </w:r>
    <w:r w:rsidR="005C788A">
      <w:rPr>
        <w:noProof/>
      </w:rPr>
      <w:t>ii</w:t>
    </w:r>
    <w:r w:rsidRPr="00993678">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D1E539" w14:textId="262946D2" w:rsidR="00CF0933" w:rsidRPr="002245BA" w:rsidRDefault="00943255" w:rsidP="000463EC">
    <w:pPr>
      <w:pStyle w:val="Footer"/>
      <w:rPr>
        <w:b/>
      </w:rPr>
    </w:pPr>
    <w:fldSimple w:instr=" DOCPROPERTY  &quot;Document Number&quot;  \* MERGEFORMAT ">
      <w:r w:rsidR="00CF0933">
        <w:t>1</w:t>
      </w:r>
    </w:fldSimple>
    <w:r w:rsidR="00CF0933" w:rsidRPr="002245BA">
      <w:tab/>
    </w:r>
    <w:r w:rsidR="00CF0933" w:rsidRPr="002245BA">
      <w:rPr>
        <w:b/>
      </w:rPr>
      <w:fldChar w:fldCharType="begin"/>
    </w:r>
    <w:r w:rsidR="00CF0933" w:rsidRPr="002245BA">
      <w:instrText xml:space="preserve"> PAGE   \* MERGEFORMAT </w:instrText>
    </w:r>
    <w:r w:rsidR="00CF0933" w:rsidRPr="002245BA">
      <w:rPr>
        <w:b/>
      </w:rPr>
      <w:fldChar w:fldCharType="separate"/>
    </w:r>
    <w:r w:rsidR="00CF0933">
      <w:rPr>
        <w:noProof/>
      </w:rPr>
      <w:t>1</w:t>
    </w:r>
    <w:r w:rsidR="00CF0933" w:rsidRPr="002245BA">
      <w:rPr>
        <w:b/>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56FC0F" w14:textId="77777777" w:rsidR="00CF0933" w:rsidRDefault="00CF0933" w:rsidP="00BA5BE3">
    <w:pPr>
      <w:pStyle w:val="Footer"/>
    </w:pPr>
  </w:p>
  <w:p w14:paraId="67107D33" w14:textId="1FA799E6" w:rsidR="00CF0933" w:rsidRPr="00DD043A" w:rsidRDefault="00CF0933" w:rsidP="00324783">
    <w:pPr>
      <w:pStyle w:val="Footer"/>
      <w:rPr>
        <w:b/>
      </w:rPr>
    </w:pPr>
    <w:r w:rsidRPr="00637CBB">
      <w:tab/>
    </w:r>
    <w:r w:rsidRPr="00637CBB">
      <w:rPr>
        <w:b/>
      </w:rPr>
      <w:fldChar w:fldCharType="begin"/>
    </w:r>
    <w:r w:rsidRPr="00637CBB">
      <w:instrText xml:space="preserve"> PAGE   \* MERGEFORMAT </w:instrText>
    </w:r>
    <w:r w:rsidRPr="00637CBB">
      <w:rPr>
        <w:b/>
      </w:rPr>
      <w:fldChar w:fldCharType="separate"/>
    </w:r>
    <w:r w:rsidR="005C788A">
      <w:rPr>
        <w:noProof/>
      </w:rPr>
      <w:t>3</w:t>
    </w:r>
    <w:r w:rsidRPr="00637CBB">
      <w:rPr>
        <w:b/>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4DAF70" w14:textId="77777777" w:rsidR="00CF0933" w:rsidRDefault="00CF0933" w:rsidP="00324783">
    <w:pPr>
      <w:pStyle w:val="Footer"/>
    </w:pPr>
  </w:p>
  <w:p w14:paraId="02501F21" w14:textId="0A65DD87" w:rsidR="00CF0933" w:rsidRPr="00DD043A" w:rsidRDefault="00CF0933" w:rsidP="008C06C0">
    <w:pPr>
      <w:pStyle w:val="Footer"/>
      <w:ind w:left="425"/>
      <w:jc w:val="right"/>
      <w:rPr>
        <w:b/>
      </w:rPr>
    </w:pPr>
    <w:r>
      <w:tab/>
    </w:r>
    <w:r>
      <w:tab/>
    </w:r>
    <w:r>
      <w:fldChar w:fldCharType="begin"/>
    </w:r>
    <w:r>
      <w:instrText xml:space="preserve"> PAGE   \* MERGEFORMAT </w:instrText>
    </w:r>
    <w:r>
      <w:fldChar w:fldCharType="separate"/>
    </w:r>
    <w:r w:rsidR="005C788A">
      <w:rPr>
        <w:noProof/>
      </w:rPr>
      <w:t>9</w:t>
    </w:r>
    <w:r>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E7528" w14:textId="77777777" w:rsidR="00CF0933" w:rsidRDefault="00CF0933" w:rsidP="00324783">
    <w:pPr>
      <w:pStyle w:val="Footer"/>
    </w:pPr>
  </w:p>
  <w:p w14:paraId="23817133" w14:textId="2063A7B8" w:rsidR="00CF0933" w:rsidRPr="00DD043A" w:rsidRDefault="00CF0933" w:rsidP="00324783">
    <w:pPr>
      <w:pStyle w:val="Footer"/>
      <w:rPr>
        <w:b/>
      </w:rPr>
    </w:pPr>
    <w:r w:rsidRPr="00DD043A">
      <w:tab/>
    </w:r>
    <w:r>
      <w:fldChar w:fldCharType="begin"/>
    </w:r>
    <w:r>
      <w:instrText xml:space="preserve"> PAGE   \* MERGEFORMAT </w:instrText>
    </w:r>
    <w:r>
      <w:fldChar w:fldCharType="separate"/>
    </w:r>
    <w:r w:rsidR="005C788A">
      <w:rPr>
        <w:noProof/>
      </w:rPr>
      <w:t>10</w:t>
    </w:r>
    <w:r>
      <w:rPr>
        <w:noProof/>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9F8137" w14:textId="77777777" w:rsidR="00CF0933" w:rsidRDefault="00CF0933" w:rsidP="00324783">
    <w:pPr>
      <w:pStyle w:val="Footer"/>
    </w:pPr>
  </w:p>
  <w:p w14:paraId="372CEFCD" w14:textId="5FC26F2E" w:rsidR="00CF0933" w:rsidRPr="00DD043A" w:rsidRDefault="00CF0933" w:rsidP="00324783">
    <w:pPr>
      <w:pStyle w:val="Footer"/>
      <w:rPr>
        <w:b/>
      </w:rPr>
    </w:pPr>
    <w:r w:rsidRPr="00DD043A">
      <w:tab/>
    </w:r>
    <w:r>
      <w:fldChar w:fldCharType="begin"/>
    </w:r>
    <w:r>
      <w:instrText xml:space="preserve"> PAGE   \* MERGEFORMAT </w:instrText>
    </w:r>
    <w:r>
      <w:fldChar w:fldCharType="separate"/>
    </w:r>
    <w:r w:rsidR="005C788A">
      <w:rPr>
        <w:noProof/>
      </w:rPr>
      <w:t>34</w:t>
    </w:r>
    <w:r>
      <w:rPr>
        <w:noProof/>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056704" w14:textId="77777777" w:rsidR="00CF0933" w:rsidRDefault="00CF0933" w:rsidP="00324783">
    <w:pPr>
      <w:pStyle w:val="Footer"/>
    </w:pPr>
  </w:p>
  <w:p w14:paraId="004DBE9A" w14:textId="233D8DB8" w:rsidR="00CF0933" w:rsidRPr="00DD043A" w:rsidRDefault="00CF0933" w:rsidP="00324783">
    <w:pPr>
      <w:pStyle w:val="Footer"/>
      <w:rPr>
        <w:b/>
      </w:rPr>
    </w:pPr>
    <w:r w:rsidRPr="00DD043A">
      <w:tab/>
    </w:r>
    <w:r>
      <w:fldChar w:fldCharType="begin"/>
    </w:r>
    <w:r>
      <w:instrText xml:space="preserve"> PAGE   \* MERGEFORMAT </w:instrText>
    </w:r>
    <w:r>
      <w:fldChar w:fldCharType="separate"/>
    </w:r>
    <w:r w:rsidR="005C788A">
      <w:rPr>
        <w:noProof/>
      </w:rPr>
      <w:t>51</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25BE94" w14:textId="77777777" w:rsidR="00CF0933" w:rsidRDefault="00CF0933" w:rsidP="00EA3E55">
      <w:pPr>
        <w:spacing w:after="0" w:line="240" w:lineRule="auto"/>
      </w:pPr>
      <w:r>
        <w:separator/>
      </w:r>
    </w:p>
  </w:footnote>
  <w:footnote w:type="continuationSeparator" w:id="0">
    <w:p w14:paraId="4C5FD589" w14:textId="77777777" w:rsidR="00CF0933" w:rsidRDefault="00CF0933" w:rsidP="00EA3E5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B15A4B" w14:textId="4B4A6971" w:rsidR="00CF0933" w:rsidRDefault="00CF0933" w:rsidP="000463EC">
    <w:pPr>
      <w:pStyle w:val="EmptyHeader"/>
    </w:pPr>
    <w: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CF0933" w:rsidRPr="00037461" w14:paraId="55012C79" w14:textId="77777777" w:rsidTr="00247ED6">
      <w:trPr>
        <w:cantSplit/>
        <w:trHeight w:hRule="exact" w:val="1134"/>
      </w:trPr>
      <w:tc>
        <w:tcPr>
          <w:tcW w:w="6804" w:type="dxa"/>
          <w:shd w:val="clear" w:color="auto" w:fill="auto"/>
          <w:tcMar>
            <w:right w:w="567" w:type="dxa"/>
          </w:tcMar>
          <w:vAlign w:val="center"/>
        </w:tcPr>
        <w:p w14:paraId="61B2BF67" w14:textId="5BC6B6B8" w:rsidR="00CF0933" w:rsidRPr="00BF0918" w:rsidRDefault="00CF0933" w:rsidP="00247ED6">
          <w:pPr>
            <w:pStyle w:val="Header"/>
            <w:rPr>
              <w:rFonts w:cs="Arial"/>
              <w:b w:val="0"/>
              <w:szCs w:val="22"/>
            </w:rPr>
          </w:pPr>
          <w:r w:rsidRPr="00BF0918">
            <w:rPr>
              <w:rFonts w:cs="Arial"/>
              <w:b w:val="0"/>
              <w:noProof/>
              <w:szCs w:val="22"/>
              <w:lang w:eastAsia="en-AU"/>
            </w:rPr>
            <w:drawing>
              <wp:anchor distT="0" distB="0" distL="114300" distR="114300" simplePos="0" relativeHeight="251732480" behindDoc="1" locked="0" layoutInCell="0" allowOverlap="1" wp14:anchorId="29141253" wp14:editId="020FB101">
                <wp:simplePos x="0" y="0"/>
                <wp:positionH relativeFrom="leftMargin">
                  <wp:posOffset>-104775</wp:posOffset>
                </wp:positionH>
                <wp:positionV relativeFrom="page">
                  <wp:posOffset>-173355</wp:posOffset>
                </wp:positionV>
                <wp:extent cx="4319905" cy="719455"/>
                <wp:effectExtent l="0" t="0" r="4445" b="4445"/>
                <wp:wrapNone/>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cstate="email">
                          <a:extLst>
                            <a:ext uri="{28A0092B-C50C-407E-A947-70E740481C1C}">
                              <a14:useLocalDpi xmlns:a14="http://schemas.microsoft.com/office/drawing/2010/main"/>
                            </a:ext>
                          </a:extLst>
                        </a:blip>
                        <a:stretch>
                          <a:fillRect/>
                        </a:stretch>
                      </pic:blipFill>
                      <pic:spPr>
                        <a:xfrm>
                          <a:off x="0" y="0"/>
                          <a:ext cx="4319905" cy="719455"/>
                        </a:xfrm>
                        <a:prstGeom prst="rect">
                          <a:avLst/>
                        </a:prstGeom>
                      </pic:spPr>
                    </pic:pic>
                  </a:graphicData>
                </a:graphic>
                <wp14:sizeRelH relativeFrom="page">
                  <wp14:pctWidth>0</wp14:pctWidth>
                </wp14:sizeRelH>
                <wp14:sizeRelV relativeFrom="page">
                  <wp14:pctHeight>0</wp14:pctHeight>
                </wp14:sizeRelV>
              </wp:anchor>
            </w:drawing>
          </w:r>
          <w:r w:rsidRPr="00BF0918">
            <w:rPr>
              <w:rFonts w:cs="Arial"/>
              <w:b w:val="0"/>
              <w:szCs w:val="22"/>
            </w:rPr>
            <w:fldChar w:fldCharType="begin"/>
          </w:r>
          <w:r w:rsidRPr="00BF0918">
            <w:rPr>
              <w:rFonts w:cs="Arial"/>
              <w:szCs w:val="22"/>
            </w:rPr>
            <w:instrText xml:space="preserve"> STYLEREF  "Document Title"  \* MERGEFORMAT </w:instrText>
          </w:r>
          <w:r w:rsidRPr="00BF0918">
            <w:rPr>
              <w:rFonts w:cs="Arial"/>
              <w:b w:val="0"/>
              <w:szCs w:val="22"/>
            </w:rPr>
            <w:fldChar w:fldCharType="separate"/>
          </w:r>
          <w:r w:rsidR="005C788A">
            <w:rPr>
              <w:rFonts w:cs="Arial"/>
              <w:noProof/>
              <w:szCs w:val="22"/>
            </w:rPr>
            <w:t>Black Box Management Framework</w:t>
          </w:r>
          <w:r w:rsidRPr="00BF0918">
            <w:rPr>
              <w:rFonts w:cs="Arial"/>
              <w:b w:val="0"/>
              <w:noProof/>
              <w:szCs w:val="22"/>
            </w:rPr>
            <w:fldChar w:fldCharType="end"/>
          </w:r>
        </w:p>
      </w:tc>
      <w:tc>
        <w:tcPr>
          <w:tcW w:w="3119" w:type="dxa"/>
          <w:shd w:val="clear" w:color="auto" w:fill="auto"/>
          <w:vAlign w:val="center"/>
        </w:tcPr>
        <w:p w14:paraId="2165AF42" w14:textId="77777777" w:rsidR="00CF0933" w:rsidRPr="00037461" w:rsidRDefault="00CF0933" w:rsidP="00247ED6">
          <w:pPr>
            <w:pStyle w:val="Bodynarrow"/>
          </w:pPr>
          <w:r>
            <w:rPr>
              <w:noProof/>
              <w:lang w:eastAsia="en-AU"/>
            </w:rPr>
            <w:drawing>
              <wp:anchor distT="0" distB="0" distL="114300" distR="114300" simplePos="0" relativeHeight="251733504" behindDoc="0" locked="0" layoutInCell="1" allowOverlap="1" wp14:anchorId="2F062558" wp14:editId="19D35A5E">
                <wp:simplePos x="0" y="0"/>
                <wp:positionH relativeFrom="margin">
                  <wp:posOffset>139700</wp:posOffset>
                </wp:positionH>
                <wp:positionV relativeFrom="margin">
                  <wp:posOffset>-1270</wp:posOffset>
                </wp:positionV>
                <wp:extent cx="1936750" cy="474980"/>
                <wp:effectExtent l="0" t="0" r="0" b="0"/>
                <wp:wrapSquare wrapText="bothSides"/>
                <wp:docPr id="40" name="Picture 2" descr="CEWO_logo_inline_LowRes_transparent_bg.png"/>
                <wp:cNvGraphicFramePr/>
                <a:graphic xmlns:a="http://schemas.openxmlformats.org/drawingml/2006/main">
                  <a:graphicData uri="http://schemas.openxmlformats.org/drawingml/2006/picture">
                    <pic:pic xmlns:pic="http://schemas.openxmlformats.org/drawingml/2006/picture">
                      <pic:nvPicPr>
                        <pic:cNvPr id="3" name="Picture 2" descr="CEWO_logo_inline_LowRes_transparent_bg.png"/>
                        <pic:cNvPicPr/>
                      </pic:nvPicPr>
                      <pic:blipFill>
                        <a:blip r:embed="rId2" cstate="email">
                          <a:extLst>
                            <a:ext uri="{28A0092B-C50C-407E-A947-70E740481C1C}">
                              <a14:useLocalDpi xmlns:a14="http://schemas.microsoft.com/office/drawing/2010/main"/>
                            </a:ext>
                          </a:extLst>
                        </a:blip>
                        <a:stretch>
                          <a:fillRect/>
                        </a:stretch>
                      </pic:blipFill>
                      <pic:spPr>
                        <a:xfrm>
                          <a:off x="0" y="0"/>
                          <a:ext cx="1936750" cy="474980"/>
                        </a:xfrm>
                        <a:prstGeom prst="rect">
                          <a:avLst/>
                        </a:prstGeom>
                      </pic:spPr>
                    </pic:pic>
                  </a:graphicData>
                </a:graphic>
                <wp14:sizeRelH relativeFrom="margin">
                  <wp14:pctWidth>0</wp14:pctWidth>
                </wp14:sizeRelH>
                <wp14:sizeRelV relativeFrom="margin">
                  <wp14:pctHeight>0</wp14:pctHeight>
                </wp14:sizeRelV>
              </wp:anchor>
            </w:drawing>
          </w:r>
        </w:p>
      </w:tc>
    </w:tr>
  </w:tbl>
  <w:p w14:paraId="20BE838E" w14:textId="77777777" w:rsidR="00CF0933" w:rsidRPr="00A80A11" w:rsidRDefault="00CF0933" w:rsidP="005429F8">
    <w:pPr>
      <w:pStyle w:val="HeaderSpacer"/>
    </w:pPr>
    <w:r>
      <w:rPr>
        <w:noProof/>
        <w:lang w:eastAsia="en-AU"/>
      </w:rPr>
      <mc:AlternateContent>
        <mc:Choice Requires="wps">
          <w:drawing>
            <wp:anchor distT="0" distB="0" distL="114300" distR="114300" simplePos="0" relativeHeight="251670016" behindDoc="1" locked="0" layoutInCell="0" allowOverlap="1" wp14:anchorId="720A44ED" wp14:editId="0F033EAC">
              <wp:simplePos x="0" y="0"/>
              <wp:positionH relativeFrom="margin">
                <wp:align>center</wp:align>
              </wp:positionH>
              <wp:positionV relativeFrom="margin">
                <wp:align>center</wp:align>
              </wp:positionV>
              <wp:extent cx="7512050" cy="1365885"/>
              <wp:effectExtent l="0" t="2371725" r="0" b="2186940"/>
              <wp:wrapNone/>
              <wp:docPr id="19" name="WordArt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512050" cy="13658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8134EB9" w14:textId="77777777" w:rsidR="00CF0933" w:rsidRDefault="00CF0933" w:rsidP="00D87690">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FINAL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20A44ED" id="_x0000_t202" coordsize="21600,21600" o:spt="202" path="m,l,21600r21600,l21600,xe">
              <v:stroke joinstyle="miter"/>
              <v:path gradientshapeok="t" o:connecttype="rect"/>
            </v:shapetype>
            <v:shape id="WordArt 43" o:spid="_x0000_s1038" type="#_x0000_t202" style="position:absolute;margin-left:0;margin-top:0;width:591.5pt;height:107.55pt;rotation:-45;z-index:-2516464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" o:allowincell="f" filled="f" stroked="f">
              <v:stroke joinstyle="round"/>
              <o:lock v:ext="edit" shapetype="t"/>
              <v:textbox style="mso-fit-shape-to-text:t">
                <w:txbxContent>
                  <w:p w14:paraId="78134EB9" w14:textId="77777777" w:rsidR="00CF0933" w:rsidRDefault="00CF0933" w:rsidP="00D87690">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FINAL DRAFT</w:t>
                    </w:r>
                  </w:p>
                </w:txbxContent>
              </v:textbox>
              <w10:wrap anchorx="margin" anchory="margin"/>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CE9191" w14:textId="608DC168" w:rsidR="00CF0933" w:rsidRDefault="00CF0933">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CF0933" w:rsidRPr="00037461" w14:paraId="4BF6CE34" w14:textId="77777777" w:rsidTr="00721B57">
      <w:trPr>
        <w:cantSplit/>
        <w:trHeight w:hRule="exact" w:val="1134"/>
      </w:trPr>
      <w:tc>
        <w:tcPr>
          <w:tcW w:w="6804" w:type="dxa"/>
          <w:shd w:val="clear" w:color="auto" w:fill="auto"/>
          <w:tcMar>
            <w:right w:w="567" w:type="dxa"/>
          </w:tcMar>
          <w:vAlign w:val="center"/>
        </w:tcPr>
        <w:p w14:paraId="61D4D347" w14:textId="2D0C0072" w:rsidR="00CF0933" w:rsidRPr="00BF0918" w:rsidRDefault="00CF0933" w:rsidP="00721B57">
          <w:pPr>
            <w:pStyle w:val="Header"/>
            <w:rPr>
              <w:rFonts w:cs="Arial"/>
              <w:b w:val="0"/>
              <w:szCs w:val="22"/>
            </w:rPr>
          </w:pPr>
          <w:r w:rsidRPr="00BF0918">
            <w:rPr>
              <w:rFonts w:cs="Arial"/>
              <w:b w:val="0"/>
              <w:noProof/>
              <w:szCs w:val="22"/>
              <w:lang w:eastAsia="en-AU"/>
            </w:rPr>
            <w:drawing>
              <wp:anchor distT="0" distB="0" distL="114300" distR="114300" simplePos="0" relativeHeight="251717120" behindDoc="1" locked="0" layoutInCell="0" allowOverlap="1" wp14:anchorId="39B764B2" wp14:editId="4B9ED2EF">
                <wp:simplePos x="0" y="0"/>
                <wp:positionH relativeFrom="leftMargin">
                  <wp:posOffset>-114300</wp:posOffset>
                </wp:positionH>
                <wp:positionV relativeFrom="page">
                  <wp:posOffset>-182880</wp:posOffset>
                </wp:positionV>
                <wp:extent cx="4319905" cy="719455"/>
                <wp:effectExtent l="0" t="0" r="4445" b="4445"/>
                <wp:wrapNone/>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cstate="email">
                          <a:extLst>
                            <a:ext uri="{28A0092B-C50C-407E-A947-70E740481C1C}">
                              <a14:useLocalDpi xmlns:a14="http://schemas.microsoft.com/office/drawing/2010/main"/>
                            </a:ext>
                          </a:extLst>
                        </a:blip>
                        <a:stretch>
                          <a:fillRect/>
                        </a:stretch>
                      </pic:blipFill>
                      <pic:spPr>
                        <a:xfrm>
                          <a:off x="0" y="0"/>
                          <a:ext cx="4319905" cy="719455"/>
                        </a:xfrm>
                        <a:prstGeom prst="rect">
                          <a:avLst/>
                        </a:prstGeom>
                      </pic:spPr>
                    </pic:pic>
                  </a:graphicData>
                </a:graphic>
                <wp14:sizeRelH relativeFrom="page">
                  <wp14:pctWidth>0</wp14:pctWidth>
                </wp14:sizeRelH>
                <wp14:sizeRelV relativeFrom="page">
                  <wp14:pctHeight>0</wp14:pctHeight>
                </wp14:sizeRelV>
              </wp:anchor>
            </w:drawing>
          </w:r>
          <w:r w:rsidRPr="00BF0918">
            <w:rPr>
              <w:rFonts w:cs="Arial"/>
              <w:b w:val="0"/>
              <w:szCs w:val="22"/>
            </w:rPr>
            <w:fldChar w:fldCharType="begin"/>
          </w:r>
          <w:r w:rsidRPr="00BF0918">
            <w:rPr>
              <w:rFonts w:cs="Arial"/>
              <w:szCs w:val="22"/>
            </w:rPr>
            <w:instrText xml:space="preserve"> STYLEREF  "Document Title"  \* MERGEFORMAT </w:instrText>
          </w:r>
          <w:r w:rsidRPr="00BF0918">
            <w:rPr>
              <w:rFonts w:cs="Arial"/>
              <w:b w:val="0"/>
              <w:szCs w:val="22"/>
            </w:rPr>
            <w:fldChar w:fldCharType="separate"/>
          </w:r>
          <w:r w:rsidR="005C788A">
            <w:rPr>
              <w:rFonts w:cs="Arial"/>
              <w:noProof/>
              <w:szCs w:val="22"/>
            </w:rPr>
            <w:t>Black Box Management Framework</w:t>
          </w:r>
          <w:r w:rsidRPr="00BF0918">
            <w:rPr>
              <w:rFonts w:cs="Arial"/>
              <w:b w:val="0"/>
              <w:noProof/>
              <w:szCs w:val="22"/>
            </w:rPr>
            <w:fldChar w:fldCharType="end"/>
          </w:r>
        </w:p>
      </w:tc>
      <w:tc>
        <w:tcPr>
          <w:tcW w:w="3119" w:type="dxa"/>
          <w:shd w:val="clear" w:color="auto" w:fill="auto"/>
          <w:vAlign w:val="center"/>
        </w:tcPr>
        <w:p w14:paraId="3CBA23A9" w14:textId="77777777" w:rsidR="00CF0933" w:rsidRPr="00037461" w:rsidRDefault="00CF0933" w:rsidP="00721B57">
          <w:pPr>
            <w:pStyle w:val="Bodynarrow"/>
          </w:pPr>
          <w:r>
            <w:rPr>
              <w:noProof/>
              <w:lang w:eastAsia="en-AU"/>
            </w:rPr>
            <w:drawing>
              <wp:anchor distT="0" distB="0" distL="114300" distR="114300" simplePos="0" relativeHeight="251718144" behindDoc="0" locked="0" layoutInCell="1" allowOverlap="1" wp14:anchorId="270F0599" wp14:editId="06569235">
                <wp:simplePos x="0" y="0"/>
                <wp:positionH relativeFrom="margin">
                  <wp:posOffset>137160</wp:posOffset>
                </wp:positionH>
                <wp:positionV relativeFrom="margin">
                  <wp:posOffset>-238125</wp:posOffset>
                </wp:positionV>
                <wp:extent cx="1936750" cy="474980"/>
                <wp:effectExtent l="0" t="0" r="0" b="0"/>
                <wp:wrapSquare wrapText="bothSides"/>
                <wp:docPr id="46" name="Picture 2" descr="CEWO_logo_inline_LowRes_transparent_bg.png"/>
                <wp:cNvGraphicFramePr/>
                <a:graphic xmlns:a="http://schemas.openxmlformats.org/drawingml/2006/main">
                  <a:graphicData uri="http://schemas.openxmlformats.org/drawingml/2006/picture">
                    <pic:pic xmlns:pic="http://schemas.openxmlformats.org/drawingml/2006/picture">
                      <pic:nvPicPr>
                        <pic:cNvPr id="3" name="Picture 2" descr="CEWO_logo_inline_LowRes_transparent_bg.png"/>
                        <pic:cNvPicPr/>
                      </pic:nvPicPr>
                      <pic:blipFill>
                        <a:blip r:embed="rId2" cstate="email">
                          <a:extLst>
                            <a:ext uri="{28A0092B-C50C-407E-A947-70E740481C1C}">
                              <a14:useLocalDpi xmlns:a14="http://schemas.microsoft.com/office/drawing/2010/main"/>
                            </a:ext>
                          </a:extLst>
                        </a:blip>
                        <a:stretch>
                          <a:fillRect/>
                        </a:stretch>
                      </pic:blipFill>
                      <pic:spPr>
                        <a:xfrm>
                          <a:off x="0" y="0"/>
                          <a:ext cx="1936750" cy="474980"/>
                        </a:xfrm>
                        <a:prstGeom prst="rect">
                          <a:avLst/>
                        </a:prstGeom>
                      </pic:spPr>
                    </pic:pic>
                  </a:graphicData>
                </a:graphic>
                <wp14:sizeRelH relativeFrom="margin">
                  <wp14:pctWidth>0</wp14:pctWidth>
                </wp14:sizeRelH>
                <wp14:sizeRelV relativeFrom="margin">
                  <wp14:pctHeight>0</wp14:pctHeight>
                </wp14:sizeRelV>
              </wp:anchor>
            </w:drawing>
          </w:r>
        </w:p>
      </w:tc>
    </w:tr>
  </w:tbl>
  <w:p w14:paraId="5651897D" w14:textId="77777777" w:rsidR="00CF0933" w:rsidRPr="00A80A11" w:rsidRDefault="00CF0933" w:rsidP="00DA06C3">
    <w:pPr>
      <w:pStyle w:val="HeaderSpacer"/>
      <w:tabs>
        <w:tab w:val="left" w:pos="5805"/>
      </w:tabs>
    </w:pPr>
    <w:r>
      <w:tab/>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CF0933" w:rsidRPr="00037461" w14:paraId="3E387DBB" w14:textId="77777777" w:rsidTr="00721B57">
      <w:trPr>
        <w:cantSplit/>
        <w:trHeight w:hRule="exact" w:val="1134"/>
      </w:trPr>
      <w:tc>
        <w:tcPr>
          <w:tcW w:w="6804" w:type="dxa"/>
          <w:shd w:val="clear" w:color="auto" w:fill="auto"/>
          <w:tcMar>
            <w:right w:w="567" w:type="dxa"/>
          </w:tcMar>
          <w:vAlign w:val="center"/>
        </w:tcPr>
        <w:p w14:paraId="5F75B185" w14:textId="764261EB" w:rsidR="00CF0933" w:rsidRPr="00BF0918" w:rsidRDefault="00CF0933" w:rsidP="00721B57">
          <w:pPr>
            <w:pStyle w:val="Header"/>
            <w:rPr>
              <w:rFonts w:cs="Arial"/>
              <w:b w:val="0"/>
              <w:szCs w:val="22"/>
            </w:rPr>
          </w:pPr>
          <w:r w:rsidRPr="00BF0918">
            <w:rPr>
              <w:rFonts w:cs="Arial"/>
              <w:b w:val="0"/>
              <w:noProof/>
              <w:szCs w:val="22"/>
              <w:lang w:eastAsia="en-AU"/>
            </w:rPr>
            <w:drawing>
              <wp:anchor distT="0" distB="0" distL="114300" distR="114300" simplePos="0" relativeHeight="251647488" behindDoc="1" locked="0" layoutInCell="0" allowOverlap="1" wp14:anchorId="453C264E" wp14:editId="40264D42">
                <wp:simplePos x="0" y="0"/>
                <wp:positionH relativeFrom="leftMargin">
                  <wp:posOffset>-114300</wp:posOffset>
                </wp:positionH>
                <wp:positionV relativeFrom="page">
                  <wp:posOffset>-182880</wp:posOffset>
                </wp:positionV>
                <wp:extent cx="4319905" cy="719455"/>
                <wp:effectExtent l="0" t="0" r="4445" b="4445"/>
                <wp:wrapNone/>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cstate="email">
                          <a:extLst>
                            <a:ext uri="{28A0092B-C50C-407E-A947-70E740481C1C}">
                              <a14:useLocalDpi xmlns:a14="http://schemas.microsoft.com/office/drawing/2010/main"/>
                            </a:ext>
                          </a:extLst>
                        </a:blip>
                        <a:stretch>
                          <a:fillRect/>
                        </a:stretch>
                      </pic:blipFill>
                      <pic:spPr>
                        <a:xfrm>
                          <a:off x="0" y="0"/>
                          <a:ext cx="4319905" cy="719455"/>
                        </a:xfrm>
                        <a:prstGeom prst="rect">
                          <a:avLst/>
                        </a:prstGeom>
                      </pic:spPr>
                    </pic:pic>
                  </a:graphicData>
                </a:graphic>
                <wp14:sizeRelH relativeFrom="page">
                  <wp14:pctWidth>0</wp14:pctWidth>
                </wp14:sizeRelH>
                <wp14:sizeRelV relativeFrom="page">
                  <wp14:pctHeight>0</wp14:pctHeight>
                </wp14:sizeRelV>
              </wp:anchor>
            </w:drawing>
          </w:r>
          <w:r w:rsidRPr="00BF0918">
            <w:rPr>
              <w:rFonts w:cs="Arial"/>
              <w:b w:val="0"/>
              <w:szCs w:val="22"/>
            </w:rPr>
            <w:fldChar w:fldCharType="begin"/>
          </w:r>
          <w:r w:rsidRPr="00BF0918">
            <w:rPr>
              <w:rFonts w:cs="Arial"/>
              <w:szCs w:val="22"/>
            </w:rPr>
            <w:instrText xml:space="preserve"> STYLEREF  "Document Title"  \* MERGEFORMAT </w:instrText>
          </w:r>
          <w:r w:rsidRPr="00BF0918">
            <w:rPr>
              <w:rFonts w:cs="Arial"/>
              <w:b w:val="0"/>
              <w:szCs w:val="22"/>
            </w:rPr>
            <w:fldChar w:fldCharType="separate"/>
          </w:r>
          <w:r w:rsidR="005C788A">
            <w:rPr>
              <w:rFonts w:cs="Arial"/>
              <w:noProof/>
              <w:szCs w:val="22"/>
            </w:rPr>
            <w:t>Black Box Management Framework</w:t>
          </w:r>
          <w:r w:rsidRPr="00BF0918">
            <w:rPr>
              <w:rFonts w:cs="Arial"/>
              <w:b w:val="0"/>
              <w:noProof/>
              <w:szCs w:val="22"/>
            </w:rPr>
            <w:fldChar w:fldCharType="end"/>
          </w:r>
        </w:p>
      </w:tc>
      <w:tc>
        <w:tcPr>
          <w:tcW w:w="3119" w:type="dxa"/>
          <w:shd w:val="clear" w:color="auto" w:fill="auto"/>
          <w:vAlign w:val="center"/>
        </w:tcPr>
        <w:p w14:paraId="412832FA" w14:textId="77777777" w:rsidR="00CF0933" w:rsidRPr="00037461" w:rsidRDefault="00CF0933" w:rsidP="00721B57">
          <w:pPr>
            <w:pStyle w:val="Bodynarrow"/>
          </w:pPr>
          <w:r>
            <w:rPr>
              <w:noProof/>
              <w:lang w:eastAsia="en-AU"/>
            </w:rPr>
            <w:drawing>
              <wp:anchor distT="0" distB="0" distL="114300" distR="114300" simplePos="0" relativeHeight="251648512" behindDoc="0" locked="0" layoutInCell="1" allowOverlap="1" wp14:anchorId="37E3AF73" wp14:editId="34CE986F">
                <wp:simplePos x="0" y="0"/>
                <wp:positionH relativeFrom="margin">
                  <wp:posOffset>137160</wp:posOffset>
                </wp:positionH>
                <wp:positionV relativeFrom="margin">
                  <wp:posOffset>-238125</wp:posOffset>
                </wp:positionV>
                <wp:extent cx="1936750" cy="474980"/>
                <wp:effectExtent l="0" t="0" r="0" b="0"/>
                <wp:wrapSquare wrapText="bothSides"/>
                <wp:docPr id="48" name="Picture 2" descr="CEWO_logo_inline_LowRes_transparent_bg.png"/>
                <wp:cNvGraphicFramePr/>
                <a:graphic xmlns:a="http://schemas.openxmlformats.org/drawingml/2006/main">
                  <a:graphicData uri="http://schemas.openxmlformats.org/drawingml/2006/picture">
                    <pic:pic xmlns:pic="http://schemas.openxmlformats.org/drawingml/2006/picture">
                      <pic:nvPicPr>
                        <pic:cNvPr id="3" name="Picture 2" descr="CEWO_logo_inline_LowRes_transparent_bg.png"/>
                        <pic:cNvPicPr/>
                      </pic:nvPicPr>
                      <pic:blipFill>
                        <a:blip r:embed="rId2" cstate="email">
                          <a:extLst>
                            <a:ext uri="{28A0092B-C50C-407E-A947-70E740481C1C}">
                              <a14:useLocalDpi xmlns:a14="http://schemas.microsoft.com/office/drawing/2010/main"/>
                            </a:ext>
                          </a:extLst>
                        </a:blip>
                        <a:stretch>
                          <a:fillRect/>
                        </a:stretch>
                      </pic:blipFill>
                      <pic:spPr>
                        <a:xfrm>
                          <a:off x="0" y="0"/>
                          <a:ext cx="1936750" cy="474980"/>
                        </a:xfrm>
                        <a:prstGeom prst="rect">
                          <a:avLst/>
                        </a:prstGeom>
                      </pic:spPr>
                    </pic:pic>
                  </a:graphicData>
                </a:graphic>
                <wp14:sizeRelH relativeFrom="margin">
                  <wp14:pctWidth>0</wp14:pctWidth>
                </wp14:sizeRelH>
                <wp14:sizeRelV relativeFrom="margin">
                  <wp14:pctHeight>0</wp14:pctHeight>
                </wp14:sizeRelV>
              </wp:anchor>
            </w:drawing>
          </w:r>
        </w:p>
      </w:tc>
    </w:tr>
  </w:tbl>
  <w:p w14:paraId="183C51C4" w14:textId="4A89C77E" w:rsidR="00CF0933" w:rsidRPr="00A80A11" w:rsidRDefault="00CF0933" w:rsidP="00DA06C3">
    <w:pPr>
      <w:pStyle w:val="HeaderSpacer"/>
      <w:tabs>
        <w:tab w:val="left" w:pos="5805"/>
      </w:tabs>
    </w:pPr>
    <w: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CF0933" w:rsidRPr="00037461" w14:paraId="125DCD78" w14:textId="77777777" w:rsidTr="00633167">
      <w:trPr>
        <w:cantSplit/>
        <w:trHeight w:hRule="exact" w:val="1134"/>
      </w:trPr>
      <w:tc>
        <w:tcPr>
          <w:tcW w:w="6804" w:type="dxa"/>
          <w:shd w:val="clear" w:color="auto" w:fill="auto"/>
          <w:tcMar>
            <w:right w:w="567" w:type="dxa"/>
          </w:tcMar>
          <w:vAlign w:val="center"/>
        </w:tcPr>
        <w:p w14:paraId="0AF8B7C8" w14:textId="61ADBB7D" w:rsidR="00CF0933" w:rsidRPr="00BF0918" w:rsidRDefault="00CF0933" w:rsidP="00633167">
          <w:pPr>
            <w:pStyle w:val="Header"/>
            <w:rPr>
              <w:rFonts w:cs="Arial"/>
              <w:b w:val="0"/>
              <w:szCs w:val="22"/>
            </w:rPr>
          </w:pPr>
          <w:r w:rsidRPr="00BF0918">
            <w:rPr>
              <w:rFonts w:cs="Arial"/>
              <w:b w:val="0"/>
              <w:noProof/>
              <w:szCs w:val="22"/>
              <w:lang w:eastAsia="en-AU"/>
            </w:rPr>
            <w:drawing>
              <wp:anchor distT="0" distB="0" distL="114300" distR="114300" simplePos="0" relativeHeight="251699712" behindDoc="1" locked="0" layoutInCell="0" allowOverlap="1" wp14:anchorId="06065F3E" wp14:editId="14219869">
                <wp:simplePos x="0" y="0"/>
                <wp:positionH relativeFrom="leftMargin">
                  <wp:posOffset>0</wp:posOffset>
                </wp:positionH>
                <wp:positionV relativeFrom="page">
                  <wp:posOffset>-133985</wp:posOffset>
                </wp:positionV>
                <wp:extent cx="4319905" cy="719455"/>
                <wp:effectExtent l="0" t="0" r="4445" b="4445"/>
                <wp:wrapNone/>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cstate="email">
                          <a:extLst>
                            <a:ext uri="{28A0092B-C50C-407E-A947-70E740481C1C}">
                              <a14:useLocalDpi xmlns:a14="http://schemas.microsoft.com/office/drawing/2010/main"/>
                            </a:ext>
                          </a:extLst>
                        </a:blip>
                        <a:stretch>
                          <a:fillRect/>
                        </a:stretch>
                      </pic:blipFill>
                      <pic:spPr>
                        <a:xfrm>
                          <a:off x="0" y="0"/>
                          <a:ext cx="4319905" cy="719455"/>
                        </a:xfrm>
                        <a:prstGeom prst="rect">
                          <a:avLst/>
                        </a:prstGeom>
                      </pic:spPr>
                    </pic:pic>
                  </a:graphicData>
                </a:graphic>
                <wp14:sizeRelH relativeFrom="page">
                  <wp14:pctWidth>0</wp14:pctWidth>
                </wp14:sizeRelH>
                <wp14:sizeRelV relativeFrom="page">
                  <wp14:pctHeight>0</wp14:pctHeight>
                </wp14:sizeRelV>
              </wp:anchor>
            </w:drawing>
          </w:r>
          <w:r w:rsidRPr="00BF0918">
            <w:rPr>
              <w:rFonts w:cs="Arial"/>
              <w:b w:val="0"/>
              <w:szCs w:val="22"/>
            </w:rPr>
            <w:fldChar w:fldCharType="begin"/>
          </w:r>
          <w:r w:rsidRPr="00BF0918">
            <w:rPr>
              <w:rFonts w:cs="Arial"/>
              <w:szCs w:val="22"/>
            </w:rPr>
            <w:instrText xml:space="preserve"> STYLEREF  "Document Title"  \* MERGEFORMAT </w:instrText>
          </w:r>
          <w:r w:rsidRPr="00BF0918">
            <w:rPr>
              <w:rFonts w:cs="Arial"/>
              <w:b w:val="0"/>
              <w:szCs w:val="22"/>
            </w:rPr>
            <w:fldChar w:fldCharType="separate"/>
          </w:r>
          <w:r w:rsidR="005C788A">
            <w:rPr>
              <w:rFonts w:cs="Arial"/>
              <w:noProof/>
              <w:szCs w:val="22"/>
            </w:rPr>
            <w:t>Black Box Management Framework</w:t>
          </w:r>
          <w:r w:rsidRPr="00BF0918">
            <w:rPr>
              <w:rFonts w:cs="Arial"/>
              <w:b w:val="0"/>
              <w:noProof/>
              <w:szCs w:val="22"/>
            </w:rPr>
            <w:fldChar w:fldCharType="end"/>
          </w:r>
        </w:p>
      </w:tc>
      <w:tc>
        <w:tcPr>
          <w:tcW w:w="3119" w:type="dxa"/>
          <w:shd w:val="clear" w:color="auto" w:fill="auto"/>
          <w:vAlign w:val="center"/>
        </w:tcPr>
        <w:p w14:paraId="02AF18FA" w14:textId="77777777" w:rsidR="00CF0933" w:rsidRPr="00037461" w:rsidRDefault="00CF0933" w:rsidP="00633167">
          <w:pPr>
            <w:pStyle w:val="Bodynarrow"/>
          </w:pPr>
          <w:r>
            <w:rPr>
              <w:noProof/>
              <w:lang w:eastAsia="en-AU"/>
            </w:rPr>
            <w:drawing>
              <wp:anchor distT="0" distB="0" distL="114300" distR="114300" simplePos="0" relativeHeight="251700736" behindDoc="0" locked="0" layoutInCell="1" allowOverlap="1" wp14:anchorId="07268010" wp14:editId="6B0B9384">
                <wp:simplePos x="0" y="0"/>
                <wp:positionH relativeFrom="margin">
                  <wp:posOffset>137160</wp:posOffset>
                </wp:positionH>
                <wp:positionV relativeFrom="margin">
                  <wp:posOffset>-163830</wp:posOffset>
                </wp:positionV>
                <wp:extent cx="1936750" cy="474980"/>
                <wp:effectExtent l="0" t="0" r="0" b="0"/>
                <wp:wrapSquare wrapText="bothSides"/>
                <wp:docPr id="54" name="Picture 2" descr="CEWO_logo_inline_LowRes_transparent_bg.png"/>
                <wp:cNvGraphicFramePr/>
                <a:graphic xmlns:a="http://schemas.openxmlformats.org/drawingml/2006/main">
                  <a:graphicData uri="http://schemas.openxmlformats.org/drawingml/2006/picture">
                    <pic:pic xmlns:pic="http://schemas.openxmlformats.org/drawingml/2006/picture">
                      <pic:nvPicPr>
                        <pic:cNvPr id="3" name="Picture 2" descr="CEWO_logo_inline_LowRes_transparent_bg.png"/>
                        <pic:cNvPicPr/>
                      </pic:nvPicPr>
                      <pic:blipFill>
                        <a:blip r:embed="rId2" cstate="email">
                          <a:extLst>
                            <a:ext uri="{28A0092B-C50C-407E-A947-70E740481C1C}">
                              <a14:useLocalDpi xmlns:a14="http://schemas.microsoft.com/office/drawing/2010/main"/>
                            </a:ext>
                          </a:extLst>
                        </a:blip>
                        <a:stretch>
                          <a:fillRect/>
                        </a:stretch>
                      </pic:blipFill>
                      <pic:spPr>
                        <a:xfrm>
                          <a:off x="0" y="0"/>
                          <a:ext cx="1936750" cy="474980"/>
                        </a:xfrm>
                        <a:prstGeom prst="rect">
                          <a:avLst/>
                        </a:prstGeom>
                      </pic:spPr>
                    </pic:pic>
                  </a:graphicData>
                </a:graphic>
                <wp14:sizeRelH relativeFrom="margin">
                  <wp14:pctWidth>0</wp14:pctWidth>
                </wp14:sizeRelH>
                <wp14:sizeRelV relativeFrom="margin">
                  <wp14:pctHeight>0</wp14:pctHeight>
                </wp14:sizeRelV>
              </wp:anchor>
            </w:drawing>
          </w:r>
        </w:p>
      </w:tc>
    </w:tr>
  </w:tbl>
  <w:p w14:paraId="33A0333D" w14:textId="77777777" w:rsidR="00CF0933" w:rsidRPr="00A80A11" w:rsidRDefault="00CF0933" w:rsidP="00721B57">
    <w:pPr>
      <w:pStyle w:val="HeaderSpac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5168" w:type="dxa"/>
      <w:tblLayout w:type="fixed"/>
      <w:tblCellMar>
        <w:left w:w="0" w:type="dxa"/>
        <w:right w:w="0" w:type="dxa"/>
      </w:tblCellMar>
      <w:tblLook w:val="04A0" w:firstRow="1" w:lastRow="0" w:firstColumn="1" w:lastColumn="0" w:noHBand="0" w:noVBand="1"/>
    </w:tblPr>
    <w:tblGrid>
      <w:gridCol w:w="12049"/>
      <w:gridCol w:w="3119"/>
    </w:tblGrid>
    <w:tr w:rsidR="00CF0933" w:rsidRPr="00037461" w14:paraId="399B0103" w14:textId="77777777" w:rsidTr="00633167">
      <w:trPr>
        <w:cantSplit/>
        <w:trHeight w:hRule="exact" w:val="1134"/>
      </w:trPr>
      <w:tc>
        <w:tcPr>
          <w:tcW w:w="12049" w:type="dxa"/>
          <w:shd w:val="clear" w:color="auto" w:fill="auto"/>
          <w:tcMar>
            <w:right w:w="567" w:type="dxa"/>
          </w:tcMar>
          <w:vAlign w:val="center"/>
        </w:tcPr>
        <w:p w14:paraId="2AB17D03" w14:textId="529C617F" w:rsidR="00CF0933" w:rsidRPr="00E8353B" w:rsidRDefault="00CF0933" w:rsidP="00633167">
          <w:pPr>
            <w:pStyle w:val="Header"/>
            <w:rPr>
              <w:rFonts w:cs="Arial"/>
              <w:b w:val="0"/>
              <w:szCs w:val="22"/>
            </w:rPr>
          </w:pPr>
          <w:r w:rsidRPr="00E8353B">
            <w:rPr>
              <w:rFonts w:cs="Arial"/>
              <w:b w:val="0"/>
              <w:noProof/>
              <w:color w:val="808080"/>
              <w:szCs w:val="22"/>
              <w:lang w:eastAsia="en-AU"/>
            </w:rPr>
            <w:drawing>
              <wp:anchor distT="0" distB="0" distL="114300" distR="114300" simplePos="0" relativeHeight="251701760" behindDoc="1" locked="0" layoutInCell="0" allowOverlap="1" wp14:anchorId="36272784" wp14:editId="1723B079">
                <wp:simplePos x="0" y="0"/>
                <wp:positionH relativeFrom="leftMargin">
                  <wp:posOffset>0</wp:posOffset>
                </wp:positionH>
                <wp:positionV relativeFrom="page">
                  <wp:posOffset>-154305</wp:posOffset>
                </wp:positionV>
                <wp:extent cx="7458710" cy="719455"/>
                <wp:effectExtent l="0" t="0" r="0" b="444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_header_background_A4L.jpg"/>
                        <pic:cNvPicPr/>
                      </pic:nvPicPr>
                      <pic:blipFill>
                        <a:blip r:embed="rId1" cstate="email">
                          <a:extLst>
                            <a:ext uri="{28A0092B-C50C-407E-A947-70E740481C1C}">
                              <a14:useLocalDpi xmlns:a14="http://schemas.microsoft.com/office/drawing/2010/main"/>
                            </a:ext>
                          </a:extLst>
                        </a:blip>
                        <a:stretch>
                          <a:fillRect/>
                        </a:stretch>
                      </pic:blipFill>
                      <pic:spPr>
                        <a:xfrm>
                          <a:off x="0" y="0"/>
                          <a:ext cx="7458710" cy="719455"/>
                        </a:xfrm>
                        <a:prstGeom prst="rect">
                          <a:avLst/>
                        </a:prstGeom>
                      </pic:spPr>
                    </pic:pic>
                  </a:graphicData>
                </a:graphic>
                <wp14:sizeRelH relativeFrom="margin">
                  <wp14:pctWidth>0</wp14:pctWidth>
                </wp14:sizeRelH>
                <wp14:sizeRelV relativeFrom="margin">
                  <wp14:pctHeight>0</wp14:pctHeight>
                </wp14:sizeRelV>
              </wp:anchor>
            </w:drawing>
          </w:r>
          <w:r w:rsidRPr="00E8353B">
            <w:rPr>
              <w:rFonts w:cs="Arial"/>
              <w:b w:val="0"/>
              <w:szCs w:val="22"/>
            </w:rPr>
            <w:fldChar w:fldCharType="begin"/>
          </w:r>
          <w:r w:rsidRPr="00E8353B">
            <w:rPr>
              <w:rFonts w:cs="Arial"/>
              <w:szCs w:val="22"/>
            </w:rPr>
            <w:instrText xml:space="preserve"> STYLEREF  "Document Title"  \* MERGEFORMAT </w:instrText>
          </w:r>
          <w:r w:rsidRPr="00E8353B">
            <w:rPr>
              <w:rFonts w:cs="Arial"/>
              <w:b w:val="0"/>
              <w:szCs w:val="22"/>
            </w:rPr>
            <w:fldChar w:fldCharType="separate"/>
          </w:r>
          <w:r w:rsidR="005C788A">
            <w:rPr>
              <w:rFonts w:cs="Arial"/>
              <w:noProof/>
              <w:szCs w:val="22"/>
            </w:rPr>
            <w:t>Black Box Management Framework</w:t>
          </w:r>
          <w:r w:rsidRPr="00E8353B">
            <w:rPr>
              <w:rFonts w:cs="Arial"/>
              <w:b w:val="0"/>
              <w:noProof/>
              <w:szCs w:val="22"/>
            </w:rPr>
            <w:fldChar w:fldCharType="end"/>
          </w:r>
        </w:p>
      </w:tc>
      <w:tc>
        <w:tcPr>
          <w:tcW w:w="3119" w:type="dxa"/>
          <w:shd w:val="clear" w:color="auto" w:fill="auto"/>
          <w:vAlign w:val="center"/>
        </w:tcPr>
        <w:p w14:paraId="7615B3AE" w14:textId="77777777" w:rsidR="00CF0933" w:rsidRPr="00037461" w:rsidRDefault="00CF0933" w:rsidP="00633167">
          <w:pPr>
            <w:pStyle w:val="Bodynarrow"/>
          </w:pPr>
          <w:r>
            <w:rPr>
              <w:noProof/>
              <w:lang w:eastAsia="en-AU"/>
            </w:rPr>
            <w:drawing>
              <wp:anchor distT="0" distB="0" distL="114300" distR="114300" simplePos="0" relativeHeight="251702784" behindDoc="0" locked="0" layoutInCell="1" allowOverlap="1" wp14:anchorId="4F35CA4D" wp14:editId="5D9EDC97">
                <wp:simplePos x="0" y="0"/>
                <wp:positionH relativeFrom="margin">
                  <wp:posOffset>104140</wp:posOffset>
                </wp:positionH>
                <wp:positionV relativeFrom="margin">
                  <wp:posOffset>60325</wp:posOffset>
                </wp:positionV>
                <wp:extent cx="1936750" cy="474980"/>
                <wp:effectExtent l="0" t="0" r="0" b="0"/>
                <wp:wrapSquare wrapText="bothSides"/>
                <wp:docPr id="75" name="Picture 2" descr="CEWO_logo_inline_LowRes_transparent_bg.png"/>
                <wp:cNvGraphicFramePr/>
                <a:graphic xmlns:a="http://schemas.openxmlformats.org/drawingml/2006/main">
                  <a:graphicData uri="http://schemas.openxmlformats.org/drawingml/2006/picture">
                    <pic:pic xmlns:pic="http://schemas.openxmlformats.org/drawingml/2006/picture">
                      <pic:nvPicPr>
                        <pic:cNvPr id="3" name="Picture 2" descr="CEWO_logo_inline_LowRes_transparent_bg.png"/>
                        <pic:cNvPicPr/>
                      </pic:nvPicPr>
                      <pic:blipFill>
                        <a:blip r:embed="rId2" cstate="email">
                          <a:extLst>
                            <a:ext uri="{28A0092B-C50C-407E-A947-70E740481C1C}">
                              <a14:useLocalDpi xmlns:a14="http://schemas.microsoft.com/office/drawing/2010/main"/>
                            </a:ext>
                          </a:extLst>
                        </a:blip>
                        <a:stretch>
                          <a:fillRect/>
                        </a:stretch>
                      </pic:blipFill>
                      <pic:spPr>
                        <a:xfrm>
                          <a:off x="0" y="0"/>
                          <a:ext cx="1936750" cy="474980"/>
                        </a:xfrm>
                        <a:prstGeom prst="rect">
                          <a:avLst/>
                        </a:prstGeom>
                      </pic:spPr>
                    </pic:pic>
                  </a:graphicData>
                </a:graphic>
                <wp14:sizeRelH relativeFrom="margin">
                  <wp14:pctWidth>0</wp14:pctWidth>
                </wp14:sizeRelH>
                <wp14:sizeRelV relativeFrom="margin">
                  <wp14:pctHeight>0</wp14:pctHeight>
                </wp14:sizeRelV>
              </wp:anchor>
            </w:drawing>
          </w:r>
        </w:p>
      </w:tc>
    </w:tr>
  </w:tbl>
  <w:p w14:paraId="0A82B206" w14:textId="77777777" w:rsidR="00CF0933" w:rsidRPr="00A80A11" w:rsidRDefault="00CF0933" w:rsidP="00721B57">
    <w:pPr>
      <w:pStyle w:val="HeaderSpac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CF0933" w:rsidRPr="00037461" w14:paraId="0D29E9F1" w14:textId="77777777" w:rsidTr="00721B57">
      <w:trPr>
        <w:cantSplit/>
        <w:trHeight w:hRule="exact" w:val="1134"/>
      </w:trPr>
      <w:tc>
        <w:tcPr>
          <w:tcW w:w="6804" w:type="dxa"/>
          <w:shd w:val="clear" w:color="auto" w:fill="auto"/>
          <w:tcMar>
            <w:right w:w="567" w:type="dxa"/>
          </w:tcMar>
          <w:vAlign w:val="center"/>
        </w:tcPr>
        <w:p w14:paraId="3F183259" w14:textId="19BCB422" w:rsidR="00CF0933" w:rsidRPr="00BF0918" w:rsidRDefault="00CF0933" w:rsidP="00721B57">
          <w:pPr>
            <w:pStyle w:val="Header"/>
            <w:rPr>
              <w:rFonts w:cs="Arial"/>
              <w:b w:val="0"/>
              <w:szCs w:val="22"/>
            </w:rPr>
          </w:pPr>
          <w:r w:rsidRPr="00BF0918">
            <w:rPr>
              <w:rFonts w:cs="Arial"/>
              <w:b w:val="0"/>
              <w:noProof/>
              <w:szCs w:val="22"/>
              <w:lang w:eastAsia="en-AU"/>
            </w:rPr>
            <w:drawing>
              <wp:anchor distT="0" distB="0" distL="114300" distR="114300" simplePos="0" relativeHeight="251710976" behindDoc="1" locked="0" layoutInCell="0" allowOverlap="1" wp14:anchorId="6FBEB17A" wp14:editId="01AB9467">
                <wp:simplePos x="0" y="0"/>
                <wp:positionH relativeFrom="leftMargin">
                  <wp:posOffset>-114300</wp:posOffset>
                </wp:positionH>
                <wp:positionV relativeFrom="page">
                  <wp:posOffset>-182880</wp:posOffset>
                </wp:positionV>
                <wp:extent cx="4319905" cy="719455"/>
                <wp:effectExtent l="0" t="0" r="4445" b="4445"/>
                <wp:wrapNone/>
                <wp:docPr id="7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cstate="email">
                          <a:extLst>
                            <a:ext uri="{28A0092B-C50C-407E-A947-70E740481C1C}">
                              <a14:useLocalDpi xmlns:a14="http://schemas.microsoft.com/office/drawing/2010/main"/>
                            </a:ext>
                          </a:extLst>
                        </a:blip>
                        <a:stretch>
                          <a:fillRect/>
                        </a:stretch>
                      </pic:blipFill>
                      <pic:spPr>
                        <a:xfrm>
                          <a:off x="0" y="0"/>
                          <a:ext cx="4319905" cy="719455"/>
                        </a:xfrm>
                        <a:prstGeom prst="rect">
                          <a:avLst/>
                        </a:prstGeom>
                      </pic:spPr>
                    </pic:pic>
                  </a:graphicData>
                </a:graphic>
                <wp14:sizeRelH relativeFrom="page">
                  <wp14:pctWidth>0</wp14:pctWidth>
                </wp14:sizeRelH>
                <wp14:sizeRelV relativeFrom="page">
                  <wp14:pctHeight>0</wp14:pctHeight>
                </wp14:sizeRelV>
              </wp:anchor>
            </w:drawing>
          </w:r>
          <w:r w:rsidRPr="00BF0918">
            <w:rPr>
              <w:rFonts w:cs="Arial"/>
              <w:b w:val="0"/>
              <w:szCs w:val="22"/>
            </w:rPr>
            <w:fldChar w:fldCharType="begin"/>
          </w:r>
          <w:r w:rsidRPr="00BF0918">
            <w:rPr>
              <w:rFonts w:cs="Arial"/>
              <w:szCs w:val="22"/>
            </w:rPr>
            <w:instrText xml:space="preserve"> STYLEREF  "Document Title"  \* MERGEFORMAT </w:instrText>
          </w:r>
          <w:r w:rsidRPr="00BF0918">
            <w:rPr>
              <w:rFonts w:cs="Arial"/>
              <w:b w:val="0"/>
              <w:szCs w:val="22"/>
            </w:rPr>
            <w:fldChar w:fldCharType="separate"/>
          </w:r>
          <w:r w:rsidR="005C788A">
            <w:rPr>
              <w:rFonts w:cs="Arial"/>
              <w:noProof/>
              <w:szCs w:val="22"/>
            </w:rPr>
            <w:t>Black Box Management Framework</w:t>
          </w:r>
          <w:r w:rsidRPr="00BF0918">
            <w:rPr>
              <w:rFonts w:cs="Arial"/>
              <w:b w:val="0"/>
              <w:noProof/>
              <w:szCs w:val="22"/>
            </w:rPr>
            <w:fldChar w:fldCharType="end"/>
          </w:r>
        </w:p>
      </w:tc>
      <w:tc>
        <w:tcPr>
          <w:tcW w:w="3119" w:type="dxa"/>
          <w:shd w:val="clear" w:color="auto" w:fill="auto"/>
          <w:vAlign w:val="center"/>
        </w:tcPr>
        <w:p w14:paraId="1E506470" w14:textId="77777777" w:rsidR="00CF0933" w:rsidRPr="00037461" w:rsidRDefault="00CF0933" w:rsidP="00721B57">
          <w:pPr>
            <w:pStyle w:val="Bodynarrow"/>
          </w:pPr>
          <w:r>
            <w:rPr>
              <w:noProof/>
              <w:lang w:eastAsia="en-AU"/>
            </w:rPr>
            <w:drawing>
              <wp:anchor distT="0" distB="0" distL="114300" distR="114300" simplePos="0" relativeHeight="251712000" behindDoc="0" locked="0" layoutInCell="1" allowOverlap="1" wp14:anchorId="2E68E94B" wp14:editId="09CAACBB">
                <wp:simplePos x="0" y="0"/>
                <wp:positionH relativeFrom="margin">
                  <wp:posOffset>137160</wp:posOffset>
                </wp:positionH>
                <wp:positionV relativeFrom="margin">
                  <wp:posOffset>-238125</wp:posOffset>
                </wp:positionV>
                <wp:extent cx="1936750" cy="474980"/>
                <wp:effectExtent l="0" t="0" r="0" b="0"/>
                <wp:wrapSquare wrapText="bothSides"/>
                <wp:docPr id="77" name="Picture 2" descr="CEWO_logo_inline_LowRes_transparent_bg.png"/>
                <wp:cNvGraphicFramePr/>
                <a:graphic xmlns:a="http://schemas.openxmlformats.org/drawingml/2006/main">
                  <a:graphicData uri="http://schemas.openxmlformats.org/drawingml/2006/picture">
                    <pic:pic xmlns:pic="http://schemas.openxmlformats.org/drawingml/2006/picture">
                      <pic:nvPicPr>
                        <pic:cNvPr id="3" name="Picture 2" descr="CEWO_logo_inline_LowRes_transparent_bg.png"/>
                        <pic:cNvPicPr/>
                      </pic:nvPicPr>
                      <pic:blipFill>
                        <a:blip r:embed="rId2" cstate="email">
                          <a:extLst>
                            <a:ext uri="{28A0092B-C50C-407E-A947-70E740481C1C}">
                              <a14:useLocalDpi xmlns:a14="http://schemas.microsoft.com/office/drawing/2010/main"/>
                            </a:ext>
                          </a:extLst>
                        </a:blip>
                        <a:stretch>
                          <a:fillRect/>
                        </a:stretch>
                      </pic:blipFill>
                      <pic:spPr>
                        <a:xfrm>
                          <a:off x="0" y="0"/>
                          <a:ext cx="1936750" cy="474980"/>
                        </a:xfrm>
                        <a:prstGeom prst="rect">
                          <a:avLst/>
                        </a:prstGeom>
                      </pic:spPr>
                    </pic:pic>
                  </a:graphicData>
                </a:graphic>
                <wp14:sizeRelH relativeFrom="margin">
                  <wp14:pctWidth>0</wp14:pctWidth>
                </wp14:sizeRelH>
                <wp14:sizeRelV relativeFrom="margin">
                  <wp14:pctHeight>0</wp14:pctHeight>
                </wp14:sizeRelV>
              </wp:anchor>
            </w:drawing>
          </w:r>
        </w:p>
      </w:tc>
    </w:tr>
  </w:tbl>
  <w:p w14:paraId="1C008072" w14:textId="77777777" w:rsidR="00CF0933" w:rsidRPr="00A80A11" w:rsidRDefault="00CF0933" w:rsidP="00DA06C3">
    <w:pPr>
      <w:pStyle w:val="HeaderSpacer"/>
      <w:tabs>
        <w:tab w:val="left" w:pos="5805"/>
      </w:tabs>
    </w:pPr>
    <w:r>
      <w:tab/>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CF0933" w:rsidRPr="00037461" w14:paraId="495E3A82" w14:textId="77777777" w:rsidTr="00633167">
      <w:trPr>
        <w:cantSplit/>
        <w:trHeight w:hRule="exact" w:val="1134"/>
      </w:trPr>
      <w:tc>
        <w:tcPr>
          <w:tcW w:w="6804" w:type="dxa"/>
          <w:shd w:val="clear" w:color="auto" w:fill="auto"/>
          <w:tcMar>
            <w:right w:w="567" w:type="dxa"/>
          </w:tcMar>
          <w:vAlign w:val="center"/>
        </w:tcPr>
        <w:p w14:paraId="775C203B" w14:textId="0BF067B7" w:rsidR="00CF0933" w:rsidRPr="00BF0918" w:rsidRDefault="00CF0933" w:rsidP="00633167">
          <w:pPr>
            <w:pStyle w:val="Header"/>
            <w:rPr>
              <w:rFonts w:cs="Arial"/>
              <w:b w:val="0"/>
              <w:szCs w:val="22"/>
            </w:rPr>
          </w:pPr>
          <w:r w:rsidRPr="00BF0918">
            <w:rPr>
              <w:rFonts w:cs="Arial"/>
              <w:b w:val="0"/>
              <w:noProof/>
              <w:szCs w:val="22"/>
              <w:lang w:eastAsia="en-AU"/>
            </w:rPr>
            <w:drawing>
              <wp:anchor distT="0" distB="0" distL="114300" distR="114300" simplePos="0" relativeHeight="251657728" behindDoc="1" locked="0" layoutInCell="0" allowOverlap="1" wp14:anchorId="600DBDC7" wp14:editId="031ED5A7">
                <wp:simplePos x="0" y="0"/>
                <wp:positionH relativeFrom="leftMargin">
                  <wp:posOffset>-57150</wp:posOffset>
                </wp:positionH>
                <wp:positionV relativeFrom="page">
                  <wp:posOffset>-106680</wp:posOffset>
                </wp:positionV>
                <wp:extent cx="4319905" cy="719455"/>
                <wp:effectExtent l="0" t="0" r="4445" b="4445"/>
                <wp:wrapNone/>
                <wp:docPr id="78"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cstate="email">
                          <a:extLst>
                            <a:ext uri="{28A0092B-C50C-407E-A947-70E740481C1C}">
                              <a14:useLocalDpi xmlns:a14="http://schemas.microsoft.com/office/drawing/2010/main"/>
                            </a:ext>
                          </a:extLst>
                        </a:blip>
                        <a:stretch>
                          <a:fillRect/>
                        </a:stretch>
                      </pic:blipFill>
                      <pic:spPr>
                        <a:xfrm>
                          <a:off x="0" y="0"/>
                          <a:ext cx="4319905" cy="719455"/>
                        </a:xfrm>
                        <a:prstGeom prst="rect">
                          <a:avLst/>
                        </a:prstGeom>
                      </pic:spPr>
                    </pic:pic>
                  </a:graphicData>
                </a:graphic>
                <wp14:sizeRelH relativeFrom="page">
                  <wp14:pctWidth>0</wp14:pctWidth>
                </wp14:sizeRelH>
                <wp14:sizeRelV relativeFrom="page">
                  <wp14:pctHeight>0</wp14:pctHeight>
                </wp14:sizeRelV>
              </wp:anchor>
            </w:drawing>
          </w:r>
          <w:r w:rsidRPr="00BF0918">
            <w:rPr>
              <w:rFonts w:cs="Arial"/>
              <w:b w:val="0"/>
              <w:szCs w:val="22"/>
            </w:rPr>
            <w:fldChar w:fldCharType="begin"/>
          </w:r>
          <w:r w:rsidRPr="00BF0918">
            <w:rPr>
              <w:rFonts w:cs="Arial"/>
              <w:szCs w:val="22"/>
            </w:rPr>
            <w:instrText xml:space="preserve"> STYLEREF  "Document Title"  \* MERGEFORMAT </w:instrText>
          </w:r>
          <w:r w:rsidRPr="00BF0918">
            <w:rPr>
              <w:rFonts w:cs="Arial"/>
              <w:b w:val="0"/>
              <w:szCs w:val="22"/>
            </w:rPr>
            <w:fldChar w:fldCharType="separate"/>
          </w:r>
          <w:r w:rsidR="005C788A">
            <w:rPr>
              <w:rFonts w:cs="Arial"/>
              <w:noProof/>
              <w:szCs w:val="22"/>
            </w:rPr>
            <w:t>Black Box Management Framework</w:t>
          </w:r>
          <w:r w:rsidRPr="00BF0918">
            <w:rPr>
              <w:rFonts w:cs="Arial"/>
              <w:b w:val="0"/>
              <w:noProof/>
              <w:szCs w:val="22"/>
            </w:rPr>
            <w:fldChar w:fldCharType="end"/>
          </w:r>
        </w:p>
      </w:tc>
      <w:tc>
        <w:tcPr>
          <w:tcW w:w="3119" w:type="dxa"/>
          <w:shd w:val="clear" w:color="auto" w:fill="auto"/>
          <w:vAlign w:val="center"/>
        </w:tcPr>
        <w:p w14:paraId="244D6D13" w14:textId="77777777" w:rsidR="00CF0933" w:rsidRPr="00037461" w:rsidRDefault="00CF0933" w:rsidP="00633167">
          <w:pPr>
            <w:pStyle w:val="Bodynarrow"/>
          </w:pPr>
          <w:r>
            <w:rPr>
              <w:noProof/>
              <w:lang w:eastAsia="en-AU"/>
            </w:rPr>
            <w:drawing>
              <wp:anchor distT="0" distB="0" distL="114300" distR="114300" simplePos="0" relativeHeight="251658752" behindDoc="0" locked="0" layoutInCell="1" allowOverlap="1" wp14:anchorId="65329F91" wp14:editId="622079D5">
                <wp:simplePos x="0" y="0"/>
                <wp:positionH relativeFrom="margin">
                  <wp:posOffset>137160</wp:posOffset>
                </wp:positionH>
                <wp:positionV relativeFrom="margin">
                  <wp:posOffset>-163830</wp:posOffset>
                </wp:positionV>
                <wp:extent cx="1936750" cy="474980"/>
                <wp:effectExtent l="0" t="0" r="0" b="0"/>
                <wp:wrapSquare wrapText="bothSides"/>
                <wp:docPr id="79" name="Picture 2" descr="CEWO_logo_inline_LowRes_transparent_bg.png"/>
                <wp:cNvGraphicFramePr/>
                <a:graphic xmlns:a="http://schemas.openxmlformats.org/drawingml/2006/main">
                  <a:graphicData uri="http://schemas.openxmlformats.org/drawingml/2006/picture">
                    <pic:pic xmlns:pic="http://schemas.openxmlformats.org/drawingml/2006/picture">
                      <pic:nvPicPr>
                        <pic:cNvPr id="3" name="Picture 2" descr="CEWO_logo_inline_LowRes_transparent_bg.png"/>
                        <pic:cNvPicPr/>
                      </pic:nvPicPr>
                      <pic:blipFill>
                        <a:blip r:embed="rId2" cstate="email">
                          <a:extLst>
                            <a:ext uri="{28A0092B-C50C-407E-A947-70E740481C1C}">
                              <a14:useLocalDpi xmlns:a14="http://schemas.microsoft.com/office/drawing/2010/main"/>
                            </a:ext>
                          </a:extLst>
                        </a:blip>
                        <a:stretch>
                          <a:fillRect/>
                        </a:stretch>
                      </pic:blipFill>
                      <pic:spPr>
                        <a:xfrm>
                          <a:off x="0" y="0"/>
                          <a:ext cx="1936750" cy="474980"/>
                        </a:xfrm>
                        <a:prstGeom prst="rect">
                          <a:avLst/>
                        </a:prstGeom>
                      </pic:spPr>
                    </pic:pic>
                  </a:graphicData>
                </a:graphic>
                <wp14:sizeRelH relativeFrom="margin">
                  <wp14:pctWidth>0</wp14:pctWidth>
                </wp14:sizeRelH>
                <wp14:sizeRelV relativeFrom="margin">
                  <wp14:pctHeight>0</wp14:pctHeight>
                </wp14:sizeRelV>
              </wp:anchor>
            </w:drawing>
          </w:r>
        </w:p>
      </w:tc>
    </w:tr>
  </w:tbl>
  <w:p w14:paraId="3EF76771" w14:textId="139C9263" w:rsidR="00CF0933" w:rsidRPr="00A80A11" w:rsidRDefault="00CF0933" w:rsidP="00721B57">
    <w:pPr>
      <w:pStyle w:val="HeaderSpac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8814A8" w14:textId="3201ED20" w:rsidR="00CF0933" w:rsidRDefault="00CF0933">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5F90E1" w14:textId="58723FAE" w:rsidR="00CF0933" w:rsidRDefault="00CF093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806E88" w14:textId="62FD7F7D" w:rsidR="00CF0933" w:rsidRDefault="00CF0933" w:rsidP="000463EC">
    <w:pPr>
      <w:pStyle w:val="EmptyHeader"/>
    </w:pPr>
    <w:r>
      <w:t xml:space="preserve"> </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667018" w14:textId="51210287" w:rsidR="00CF0933" w:rsidRDefault="00CF0933">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CF0933" w:rsidRPr="00037461" w14:paraId="520D1281" w14:textId="77777777" w:rsidTr="000C3406">
      <w:trPr>
        <w:cantSplit/>
        <w:trHeight w:hRule="exact" w:val="1134"/>
      </w:trPr>
      <w:tc>
        <w:tcPr>
          <w:tcW w:w="6804" w:type="dxa"/>
          <w:shd w:val="clear" w:color="auto" w:fill="auto"/>
          <w:tcMar>
            <w:right w:w="567" w:type="dxa"/>
          </w:tcMar>
          <w:vAlign w:val="center"/>
        </w:tcPr>
        <w:p w14:paraId="32EB1739" w14:textId="16F0CBCA" w:rsidR="00CF0933" w:rsidRPr="00C713B2" w:rsidRDefault="00CF0933" w:rsidP="00C713B2">
          <w:pPr>
            <w:pStyle w:val="Header"/>
          </w:pPr>
          <w:r w:rsidRPr="00C713B2">
            <w:rPr>
              <w:noProof/>
              <w:lang w:eastAsia="en-AU"/>
            </w:rPr>
            <w:drawing>
              <wp:anchor distT="0" distB="0" distL="114300" distR="114300" simplePos="0" relativeHeight="251622912" behindDoc="1" locked="0" layoutInCell="0" allowOverlap="1" wp14:anchorId="05D391DC" wp14:editId="37489D13">
                <wp:simplePos x="0" y="0"/>
                <wp:positionH relativeFrom="leftMargin">
                  <wp:posOffset>-85725</wp:posOffset>
                </wp:positionH>
                <wp:positionV relativeFrom="page">
                  <wp:posOffset>-68580</wp:posOffset>
                </wp:positionV>
                <wp:extent cx="4319905" cy="719455"/>
                <wp:effectExtent l="0" t="0" r="4445" b="4445"/>
                <wp:wrapNone/>
                <wp:docPr id="8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cstate="email">
                          <a:extLst>
                            <a:ext uri="{28A0092B-C50C-407E-A947-70E740481C1C}">
                              <a14:useLocalDpi xmlns:a14="http://schemas.microsoft.com/office/drawing/2010/main"/>
                            </a:ext>
                          </a:extLst>
                        </a:blip>
                        <a:stretch>
                          <a:fillRect/>
                        </a:stretch>
                      </pic:blipFill>
                      <pic:spPr>
                        <a:xfrm>
                          <a:off x="0" y="0"/>
                          <a:ext cx="4319905" cy="719455"/>
                        </a:xfrm>
                        <a:prstGeom prst="rect">
                          <a:avLst/>
                        </a:prstGeom>
                      </pic:spPr>
                    </pic:pic>
                  </a:graphicData>
                </a:graphic>
                <wp14:sizeRelH relativeFrom="page">
                  <wp14:pctWidth>0</wp14:pctWidth>
                </wp14:sizeRelH>
                <wp14:sizeRelV relativeFrom="page">
                  <wp14:pctHeight>0</wp14:pctHeight>
                </wp14:sizeRelV>
              </wp:anchor>
            </w:drawing>
          </w:r>
          <w:r w:rsidRPr="00C713B2">
            <w:fldChar w:fldCharType="begin"/>
          </w:r>
          <w:r w:rsidRPr="00C713B2">
            <w:instrText xml:space="preserve"> STYLEREF  "Document Title"  \* CHARFORMAT </w:instrText>
          </w:r>
          <w:r w:rsidRPr="00C713B2">
            <w:fldChar w:fldCharType="separate"/>
          </w:r>
          <w:r w:rsidR="005C788A">
            <w:rPr>
              <w:noProof/>
            </w:rPr>
            <w:t>Black Box Management Framework</w:t>
          </w:r>
          <w:r w:rsidRPr="00C713B2">
            <w:fldChar w:fldCharType="end"/>
          </w:r>
        </w:p>
      </w:tc>
      <w:tc>
        <w:tcPr>
          <w:tcW w:w="3119" w:type="dxa"/>
          <w:shd w:val="clear" w:color="auto" w:fill="auto"/>
          <w:vAlign w:val="center"/>
        </w:tcPr>
        <w:p w14:paraId="7FE6BDD2" w14:textId="77777777" w:rsidR="00CF0933" w:rsidRPr="00037461" w:rsidRDefault="00CF0933" w:rsidP="004267B2">
          <w:pPr>
            <w:pStyle w:val="Bodynarrow"/>
          </w:pPr>
          <w:r>
            <w:rPr>
              <w:noProof/>
              <w:lang w:eastAsia="en-AU"/>
            </w:rPr>
            <w:drawing>
              <wp:anchor distT="0" distB="0" distL="114300" distR="114300" simplePos="0" relativeHeight="251623936" behindDoc="0" locked="0" layoutInCell="1" allowOverlap="1" wp14:anchorId="356A5C4C" wp14:editId="4C63A70D">
                <wp:simplePos x="0" y="0"/>
                <wp:positionH relativeFrom="margin">
                  <wp:posOffset>36195</wp:posOffset>
                </wp:positionH>
                <wp:positionV relativeFrom="margin">
                  <wp:posOffset>164465</wp:posOffset>
                </wp:positionV>
                <wp:extent cx="1936750" cy="474980"/>
                <wp:effectExtent l="0" t="0" r="0" b="0"/>
                <wp:wrapSquare wrapText="bothSides"/>
                <wp:docPr id="82" name="Picture 2" descr="CEWO_logo_inline_LowRes_transparent_bg.png"/>
                <wp:cNvGraphicFramePr/>
                <a:graphic xmlns:a="http://schemas.openxmlformats.org/drawingml/2006/main">
                  <a:graphicData uri="http://schemas.openxmlformats.org/drawingml/2006/picture">
                    <pic:pic xmlns:pic="http://schemas.openxmlformats.org/drawingml/2006/picture">
                      <pic:nvPicPr>
                        <pic:cNvPr id="3" name="Picture 2" descr="CEWO_logo_inline_LowRes_transparent_bg.png"/>
                        <pic:cNvPicPr/>
                      </pic:nvPicPr>
                      <pic:blipFill>
                        <a:blip r:embed="rId2" cstate="email">
                          <a:extLst>
                            <a:ext uri="{28A0092B-C50C-407E-A947-70E740481C1C}">
                              <a14:useLocalDpi xmlns:a14="http://schemas.microsoft.com/office/drawing/2010/main"/>
                            </a:ext>
                          </a:extLst>
                        </a:blip>
                        <a:stretch>
                          <a:fillRect/>
                        </a:stretch>
                      </pic:blipFill>
                      <pic:spPr>
                        <a:xfrm>
                          <a:off x="0" y="0"/>
                          <a:ext cx="1936750" cy="474980"/>
                        </a:xfrm>
                        <a:prstGeom prst="rect">
                          <a:avLst/>
                        </a:prstGeom>
                      </pic:spPr>
                    </pic:pic>
                  </a:graphicData>
                </a:graphic>
                <wp14:sizeRelH relativeFrom="margin">
                  <wp14:pctWidth>0</wp14:pctWidth>
                </wp14:sizeRelH>
                <wp14:sizeRelV relativeFrom="margin">
                  <wp14:pctHeight>0</wp14:pctHeight>
                </wp14:sizeRelV>
              </wp:anchor>
            </w:drawing>
          </w:r>
        </w:p>
      </w:tc>
    </w:tr>
  </w:tbl>
  <w:p w14:paraId="5A8BCA62" w14:textId="13CB3C3E" w:rsidR="00CF0933" w:rsidRDefault="00CF0933" w:rsidP="00014CF3">
    <w:pPr>
      <w:pStyle w:val="HeaderSpac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CF0933" w:rsidRPr="00037461" w14:paraId="341FB3EA" w14:textId="77777777" w:rsidTr="000463EC">
      <w:trPr>
        <w:cantSplit/>
        <w:trHeight w:hRule="exact" w:val="1134"/>
      </w:trPr>
      <w:tc>
        <w:tcPr>
          <w:tcW w:w="6804" w:type="dxa"/>
          <w:shd w:val="clear" w:color="auto" w:fill="auto"/>
          <w:vAlign w:val="center"/>
        </w:tcPr>
        <w:p w14:paraId="48F7D1A4" w14:textId="675E480D" w:rsidR="00CF0933" w:rsidRPr="00037461" w:rsidRDefault="00CF0933" w:rsidP="000463EC">
          <w:pPr>
            <w:pStyle w:val="Header"/>
          </w:pPr>
          <w:r w:rsidRPr="00032A0D">
            <w:rPr>
              <w:noProof/>
              <w:lang w:eastAsia="en-AU"/>
            </w:rPr>
            <w:drawing>
              <wp:anchor distT="0" distB="0" distL="114300" distR="114300" simplePos="0" relativeHeight="251621888" behindDoc="1" locked="0" layoutInCell="0" allowOverlap="1" wp14:anchorId="472E42AA" wp14:editId="54C05C5B">
                <wp:simplePos x="0" y="0"/>
                <wp:positionH relativeFrom="page">
                  <wp:posOffset>720090</wp:posOffset>
                </wp:positionH>
                <wp:positionV relativeFrom="page">
                  <wp:posOffset>360045</wp:posOffset>
                </wp:positionV>
                <wp:extent cx="4320000" cy="720000"/>
                <wp:effectExtent l="0" t="0" r="4445" b="4445"/>
                <wp:wrapNone/>
                <wp:docPr id="83"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cstate="email">
                          <a:extLst>
                            <a:ext uri="{28A0092B-C50C-407E-A947-70E740481C1C}">
                              <a14:useLocalDpi xmlns:a14="http://schemas.microsoft.com/office/drawing/2010/main"/>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fldSimple w:instr=" STYLEREF  &quot;Document Title&quot;  \* MERGEFORMAT ">
            <w:r>
              <w:rPr>
                <w:noProof/>
              </w:rPr>
              <w:t>Black Box Management Framework</w:t>
            </w:r>
          </w:fldSimple>
        </w:p>
      </w:tc>
      <w:tc>
        <w:tcPr>
          <w:tcW w:w="3119" w:type="dxa"/>
          <w:shd w:val="clear" w:color="auto" w:fill="auto"/>
          <w:vAlign w:val="center"/>
        </w:tcPr>
        <w:p w14:paraId="66325625" w14:textId="77777777" w:rsidR="00CF0933" w:rsidRPr="00037461" w:rsidRDefault="00CF0933" w:rsidP="004267B2">
          <w:pPr>
            <w:pStyle w:val="Bodynarrow"/>
          </w:pPr>
        </w:p>
      </w:tc>
    </w:tr>
  </w:tbl>
  <w:p w14:paraId="3F45F61E" w14:textId="0D45FDA9" w:rsidR="00CF0933" w:rsidRDefault="00CF0933" w:rsidP="00BD0B6A">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5168" w:type="dxa"/>
      <w:tblLayout w:type="fixed"/>
      <w:tblCellMar>
        <w:left w:w="0" w:type="dxa"/>
        <w:right w:w="0" w:type="dxa"/>
      </w:tblCellMar>
      <w:tblLook w:val="04A0" w:firstRow="1" w:lastRow="0" w:firstColumn="1" w:lastColumn="0" w:noHBand="0" w:noVBand="1"/>
    </w:tblPr>
    <w:tblGrid>
      <w:gridCol w:w="12049"/>
      <w:gridCol w:w="3119"/>
    </w:tblGrid>
    <w:tr w:rsidR="00CF0933" w:rsidRPr="00037461" w14:paraId="2E221F64" w14:textId="77777777" w:rsidTr="00633167">
      <w:trPr>
        <w:cantSplit/>
        <w:trHeight w:hRule="exact" w:val="1134"/>
      </w:trPr>
      <w:tc>
        <w:tcPr>
          <w:tcW w:w="12049" w:type="dxa"/>
          <w:shd w:val="clear" w:color="auto" w:fill="auto"/>
          <w:tcMar>
            <w:right w:w="567" w:type="dxa"/>
          </w:tcMar>
          <w:vAlign w:val="center"/>
        </w:tcPr>
        <w:p w14:paraId="6632C3A1" w14:textId="269C4B74" w:rsidR="00CF0933" w:rsidRPr="00E8353B" w:rsidRDefault="00CF0933" w:rsidP="00633167">
          <w:pPr>
            <w:pStyle w:val="Header"/>
            <w:rPr>
              <w:rFonts w:cs="Arial"/>
              <w:b w:val="0"/>
              <w:szCs w:val="22"/>
            </w:rPr>
          </w:pPr>
          <w:r w:rsidRPr="00E8353B">
            <w:rPr>
              <w:rFonts w:cs="Arial"/>
              <w:b w:val="0"/>
              <w:noProof/>
              <w:color w:val="808080"/>
              <w:szCs w:val="22"/>
              <w:lang w:eastAsia="en-AU"/>
            </w:rPr>
            <w:drawing>
              <wp:anchor distT="0" distB="0" distL="114300" distR="114300" simplePos="0" relativeHeight="251690496" behindDoc="1" locked="0" layoutInCell="0" allowOverlap="1" wp14:anchorId="1871EB77" wp14:editId="42600E4A">
                <wp:simplePos x="0" y="0"/>
                <wp:positionH relativeFrom="leftMargin">
                  <wp:posOffset>-9525</wp:posOffset>
                </wp:positionH>
                <wp:positionV relativeFrom="page">
                  <wp:posOffset>-144780</wp:posOffset>
                </wp:positionV>
                <wp:extent cx="7458710" cy="719455"/>
                <wp:effectExtent l="0" t="0" r="0" b="444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_header_background_A4L.jpg"/>
                        <pic:cNvPicPr/>
                      </pic:nvPicPr>
                      <pic:blipFill>
                        <a:blip r:embed="rId1" cstate="email">
                          <a:extLst>
                            <a:ext uri="{28A0092B-C50C-407E-A947-70E740481C1C}">
                              <a14:useLocalDpi xmlns:a14="http://schemas.microsoft.com/office/drawing/2010/main"/>
                            </a:ext>
                          </a:extLst>
                        </a:blip>
                        <a:stretch>
                          <a:fillRect/>
                        </a:stretch>
                      </pic:blipFill>
                      <pic:spPr>
                        <a:xfrm>
                          <a:off x="0" y="0"/>
                          <a:ext cx="7458710" cy="719455"/>
                        </a:xfrm>
                        <a:prstGeom prst="rect">
                          <a:avLst/>
                        </a:prstGeom>
                      </pic:spPr>
                    </pic:pic>
                  </a:graphicData>
                </a:graphic>
                <wp14:sizeRelH relativeFrom="margin">
                  <wp14:pctWidth>0</wp14:pctWidth>
                </wp14:sizeRelH>
                <wp14:sizeRelV relativeFrom="margin">
                  <wp14:pctHeight>0</wp14:pctHeight>
                </wp14:sizeRelV>
              </wp:anchor>
            </w:drawing>
          </w:r>
          <w:r w:rsidRPr="00E8353B">
            <w:rPr>
              <w:rFonts w:cs="Arial"/>
              <w:b w:val="0"/>
              <w:szCs w:val="22"/>
            </w:rPr>
            <w:fldChar w:fldCharType="begin"/>
          </w:r>
          <w:r w:rsidRPr="00E8353B">
            <w:rPr>
              <w:rFonts w:cs="Arial"/>
              <w:szCs w:val="22"/>
            </w:rPr>
            <w:instrText xml:space="preserve"> STYLEREF  "Document Title"  \* MERGEFORMAT </w:instrText>
          </w:r>
          <w:r w:rsidRPr="00E8353B">
            <w:rPr>
              <w:rFonts w:cs="Arial"/>
              <w:b w:val="0"/>
              <w:szCs w:val="22"/>
            </w:rPr>
            <w:fldChar w:fldCharType="separate"/>
          </w:r>
          <w:r w:rsidR="005C788A">
            <w:rPr>
              <w:rFonts w:cs="Arial"/>
              <w:noProof/>
              <w:szCs w:val="22"/>
            </w:rPr>
            <w:t>Black Box Management Framework</w:t>
          </w:r>
          <w:r w:rsidRPr="00E8353B">
            <w:rPr>
              <w:rFonts w:cs="Arial"/>
              <w:b w:val="0"/>
              <w:noProof/>
              <w:szCs w:val="22"/>
            </w:rPr>
            <w:fldChar w:fldCharType="end"/>
          </w:r>
        </w:p>
      </w:tc>
      <w:tc>
        <w:tcPr>
          <w:tcW w:w="3119" w:type="dxa"/>
          <w:shd w:val="clear" w:color="auto" w:fill="auto"/>
          <w:vAlign w:val="center"/>
        </w:tcPr>
        <w:p w14:paraId="4487F07F" w14:textId="77777777" w:rsidR="00CF0933" w:rsidRPr="00037461" w:rsidRDefault="00CF0933" w:rsidP="00633167">
          <w:pPr>
            <w:pStyle w:val="Bodynarrow"/>
          </w:pPr>
          <w:r>
            <w:rPr>
              <w:noProof/>
              <w:lang w:eastAsia="en-AU"/>
            </w:rPr>
            <w:drawing>
              <wp:anchor distT="0" distB="0" distL="114300" distR="114300" simplePos="0" relativeHeight="251691520" behindDoc="0" locked="0" layoutInCell="1" allowOverlap="1" wp14:anchorId="21F7B30B" wp14:editId="369C7800">
                <wp:simplePos x="0" y="0"/>
                <wp:positionH relativeFrom="margin">
                  <wp:posOffset>124460</wp:posOffset>
                </wp:positionH>
                <wp:positionV relativeFrom="margin">
                  <wp:posOffset>-5715</wp:posOffset>
                </wp:positionV>
                <wp:extent cx="1936750" cy="474980"/>
                <wp:effectExtent l="0" t="0" r="0" b="0"/>
                <wp:wrapSquare wrapText="bothSides"/>
                <wp:docPr id="33" name="Picture 2" descr="CEWO_logo_inline_LowRes_transparent_bg.png"/>
                <wp:cNvGraphicFramePr/>
                <a:graphic xmlns:a="http://schemas.openxmlformats.org/drawingml/2006/main">
                  <a:graphicData uri="http://schemas.openxmlformats.org/drawingml/2006/picture">
                    <pic:pic xmlns:pic="http://schemas.openxmlformats.org/drawingml/2006/picture">
                      <pic:nvPicPr>
                        <pic:cNvPr id="3" name="Picture 2" descr="CEWO_logo_inline_LowRes_transparent_bg.png"/>
                        <pic:cNvPicPr/>
                      </pic:nvPicPr>
                      <pic:blipFill>
                        <a:blip r:embed="rId2" cstate="email">
                          <a:extLst>
                            <a:ext uri="{28A0092B-C50C-407E-A947-70E740481C1C}">
                              <a14:useLocalDpi xmlns:a14="http://schemas.microsoft.com/office/drawing/2010/main"/>
                            </a:ext>
                          </a:extLst>
                        </a:blip>
                        <a:stretch>
                          <a:fillRect/>
                        </a:stretch>
                      </pic:blipFill>
                      <pic:spPr>
                        <a:xfrm>
                          <a:off x="0" y="0"/>
                          <a:ext cx="1936750" cy="474980"/>
                        </a:xfrm>
                        <a:prstGeom prst="rect">
                          <a:avLst/>
                        </a:prstGeom>
                      </pic:spPr>
                    </pic:pic>
                  </a:graphicData>
                </a:graphic>
                <wp14:sizeRelH relativeFrom="margin">
                  <wp14:pctWidth>0</wp14:pctWidth>
                </wp14:sizeRelH>
                <wp14:sizeRelV relativeFrom="margin">
                  <wp14:pctHeight>0</wp14:pctHeight>
                </wp14:sizeRelV>
              </wp:anchor>
            </w:drawing>
          </w:r>
        </w:p>
      </w:tc>
    </w:tr>
  </w:tbl>
  <w:p w14:paraId="6E1AFE57" w14:textId="77777777" w:rsidR="00CF0933" w:rsidRDefault="00CF0933" w:rsidP="00014CF3">
    <w:pPr>
      <w:pStyle w:val="HeaderSpacer"/>
    </w:pPr>
    <w:r>
      <w:rPr>
        <w:noProof/>
        <w:lang w:eastAsia="en-AU"/>
      </w:rPr>
      <mc:AlternateContent>
        <mc:Choice Requires="wps">
          <w:drawing>
            <wp:anchor distT="0" distB="0" distL="114300" distR="114300" simplePos="0" relativeHeight="251689472" behindDoc="1" locked="0" layoutInCell="0" allowOverlap="1" wp14:anchorId="2BB46B06" wp14:editId="437A828C">
              <wp:simplePos x="0" y="0"/>
              <wp:positionH relativeFrom="margin">
                <wp:align>center</wp:align>
              </wp:positionH>
              <wp:positionV relativeFrom="margin">
                <wp:align>center</wp:align>
              </wp:positionV>
              <wp:extent cx="7512050" cy="1365885"/>
              <wp:effectExtent l="0" t="2371725" r="0" b="2186940"/>
              <wp:wrapNone/>
              <wp:docPr id="2" name="WordArt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512050" cy="13658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6853AE0" w14:textId="77777777" w:rsidR="00CF0933" w:rsidRDefault="00CF0933" w:rsidP="00D87690">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FINAL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BB46B06" id="_x0000_t202" coordsize="21600,21600" o:spt="202" path="m,l,21600r21600,l21600,xe">
              <v:stroke joinstyle="miter"/>
              <v:path gradientshapeok="t" o:connecttype="rect"/>
            </v:shapetype>
            <v:shape id="WordArt 44" o:spid="_x0000_s1039" type="#_x0000_t202" style="position:absolute;margin-left:0;margin-top:0;width:591.5pt;height:107.55pt;rotation:-45;z-index:-25162700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" o:allowincell="f" filled="f" stroked="f">
              <v:stroke joinstyle="round"/>
              <o:lock v:ext="edit" shapetype="t"/>
              <v:textbox style="mso-fit-shape-to-text:t">
                <w:txbxContent>
                  <w:p w14:paraId="36853AE0" w14:textId="77777777" w:rsidR="00CF0933" w:rsidRDefault="00CF0933" w:rsidP="00D87690">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FINAL DRAFT</w:t>
                    </w:r>
                  </w:p>
                </w:txbxContent>
              </v:textbox>
              <w10:wrap anchorx="margin" anchory="margin"/>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26454E" w14:textId="053F2573" w:rsidR="00CF0933" w:rsidRDefault="00CF0933">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CF0933" w:rsidRPr="00037461" w14:paraId="594A9E5D" w14:textId="77777777" w:rsidTr="000C3406">
      <w:trPr>
        <w:cantSplit/>
        <w:trHeight w:hRule="exact" w:val="1134"/>
      </w:trPr>
      <w:tc>
        <w:tcPr>
          <w:tcW w:w="6804" w:type="dxa"/>
          <w:shd w:val="clear" w:color="auto" w:fill="auto"/>
          <w:tcMar>
            <w:right w:w="567" w:type="dxa"/>
          </w:tcMar>
          <w:vAlign w:val="center"/>
        </w:tcPr>
        <w:p w14:paraId="3F81B08A" w14:textId="07CFF5C2" w:rsidR="00CF0933" w:rsidRPr="00C713B2" w:rsidRDefault="00CF0933" w:rsidP="00C713B2">
          <w:pPr>
            <w:pStyle w:val="Header"/>
          </w:pPr>
          <w:r w:rsidRPr="00C713B2">
            <w:rPr>
              <w:noProof/>
              <w:lang w:eastAsia="en-AU"/>
            </w:rPr>
            <w:drawing>
              <wp:anchor distT="0" distB="0" distL="114300" distR="114300" simplePos="0" relativeHeight="251618816" behindDoc="1" locked="0" layoutInCell="0" allowOverlap="1" wp14:anchorId="65B7EA58" wp14:editId="763165C2">
                <wp:simplePos x="0" y="0"/>
                <wp:positionH relativeFrom="leftMargin">
                  <wp:posOffset>0</wp:posOffset>
                </wp:positionH>
                <wp:positionV relativeFrom="page">
                  <wp:posOffset>-150495</wp:posOffset>
                </wp:positionV>
                <wp:extent cx="4319905" cy="719455"/>
                <wp:effectExtent l="0" t="0" r="4445" b="4445"/>
                <wp:wrapNone/>
                <wp:docPr id="1040" name="Picture 1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cstate="email">
                          <a:extLst>
                            <a:ext uri="{28A0092B-C50C-407E-A947-70E740481C1C}">
                              <a14:useLocalDpi xmlns:a14="http://schemas.microsoft.com/office/drawing/2010/main"/>
                            </a:ext>
                          </a:extLst>
                        </a:blip>
                        <a:stretch>
                          <a:fillRect/>
                        </a:stretch>
                      </pic:blipFill>
                      <pic:spPr>
                        <a:xfrm>
                          <a:off x="0" y="0"/>
                          <a:ext cx="4319905" cy="719455"/>
                        </a:xfrm>
                        <a:prstGeom prst="rect">
                          <a:avLst/>
                        </a:prstGeom>
                      </pic:spPr>
                    </pic:pic>
                  </a:graphicData>
                </a:graphic>
                <wp14:sizeRelH relativeFrom="page">
                  <wp14:pctWidth>0</wp14:pctWidth>
                </wp14:sizeRelH>
                <wp14:sizeRelV relativeFrom="page">
                  <wp14:pctHeight>0</wp14:pctHeight>
                </wp14:sizeRelV>
              </wp:anchor>
            </w:drawing>
          </w:r>
          <w:r w:rsidRPr="00C713B2">
            <w:fldChar w:fldCharType="begin"/>
          </w:r>
          <w:r w:rsidRPr="00C713B2">
            <w:instrText xml:space="preserve"> STYLEREF  "Document Title"  \* CHARFORMAT </w:instrText>
          </w:r>
          <w:r w:rsidRPr="00C713B2">
            <w:fldChar w:fldCharType="separate"/>
          </w:r>
          <w:r w:rsidR="005C788A">
            <w:rPr>
              <w:noProof/>
            </w:rPr>
            <w:t>Black Box Management Framework</w:t>
          </w:r>
          <w:r w:rsidRPr="00C713B2">
            <w:fldChar w:fldCharType="end"/>
          </w:r>
        </w:p>
      </w:tc>
      <w:tc>
        <w:tcPr>
          <w:tcW w:w="3119" w:type="dxa"/>
          <w:shd w:val="clear" w:color="auto" w:fill="auto"/>
          <w:vAlign w:val="center"/>
        </w:tcPr>
        <w:p w14:paraId="6D5E64B6" w14:textId="77777777" w:rsidR="00CF0933" w:rsidRPr="00037461" w:rsidRDefault="00CF0933" w:rsidP="004267B2">
          <w:pPr>
            <w:pStyle w:val="Bodynarrow"/>
          </w:pPr>
          <w:r>
            <w:rPr>
              <w:noProof/>
              <w:lang w:eastAsia="en-AU"/>
            </w:rPr>
            <w:drawing>
              <wp:anchor distT="0" distB="0" distL="114300" distR="114300" simplePos="0" relativeHeight="251620864" behindDoc="0" locked="0" layoutInCell="1" allowOverlap="1" wp14:anchorId="11CB7491" wp14:editId="45438830">
                <wp:simplePos x="0" y="0"/>
                <wp:positionH relativeFrom="margin">
                  <wp:posOffset>36195</wp:posOffset>
                </wp:positionH>
                <wp:positionV relativeFrom="margin">
                  <wp:posOffset>164465</wp:posOffset>
                </wp:positionV>
                <wp:extent cx="1936750" cy="474980"/>
                <wp:effectExtent l="0" t="0" r="0" b="0"/>
                <wp:wrapSquare wrapText="bothSides"/>
                <wp:docPr id="1041" name="Picture 2" descr="CEWO_logo_inline_LowRes_transparent_bg.png"/>
                <wp:cNvGraphicFramePr/>
                <a:graphic xmlns:a="http://schemas.openxmlformats.org/drawingml/2006/main">
                  <a:graphicData uri="http://schemas.openxmlformats.org/drawingml/2006/picture">
                    <pic:pic xmlns:pic="http://schemas.openxmlformats.org/drawingml/2006/picture">
                      <pic:nvPicPr>
                        <pic:cNvPr id="3" name="Picture 2" descr="CEWO_logo_inline_LowRes_transparent_bg.png"/>
                        <pic:cNvPicPr/>
                      </pic:nvPicPr>
                      <pic:blipFill>
                        <a:blip r:embed="rId2" cstate="email">
                          <a:extLst>
                            <a:ext uri="{28A0092B-C50C-407E-A947-70E740481C1C}">
                              <a14:useLocalDpi xmlns:a14="http://schemas.microsoft.com/office/drawing/2010/main"/>
                            </a:ext>
                          </a:extLst>
                        </a:blip>
                        <a:stretch>
                          <a:fillRect/>
                        </a:stretch>
                      </pic:blipFill>
                      <pic:spPr>
                        <a:xfrm>
                          <a:off x="0" y="0"/>
                          <a:ext cx="1936750" cy="474980"/>
                        </a:xfrm>
                        <a:prstGeom prst="rect">
                          <a:avLst/>
                        </a:prstGeom>
                      </pic:spPr>
                    </pic:pic>
                  </a:graphicData>
                </a:graphic>
                <wp14:sizeRelH relativeFrom="margin">
                  <wp14:pctWidth>0</wp14:pctWidth>
                </wp14:sizeRelH>
                <wp14:sizeRelV relativeFrom="margin">
                  <wp14:pctHeight>0</wp14:pctHeight>
                </wp14:sizeRelV>
              </wp:anchor>
            </w:drawing>
          </w:r>
        </w:p>
      </w:tc>
    </w:tr>
  </w:tbl>
  <w:p w14:paraId="1EAA468E" w14:textId="628C57B6" w:rsidR="00CF0933" w:rsidRDefault="00CF0933" w:rsidP="00014CF3">
    <w:pPr>
      <w:pStyle w:val="HeaderSpac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CF0933" w:rsidRPr="00037461" w14:paraId="0B552801" w14:textId="77777777" w:rsidTr="000463EC">
      <w:trPr>
        <w:cantSplit/>
        <w:trHeight w:hRule="exact" w:val="1134"/>
      </w:trPr>
      <w:tc>
        <w:tcPr>
          <w:tcW w:w="6804" w:type="dxa"/>
          <w:shd w:val="clear" w:color="auto" w:fill="auto"/>
          <w:vAlign w:val="center"/>
        </w:tcPr>
        <w:p w14:paraId="44DF8580" w14:textId="33540596" w:rsidR="00CF0933" w:rsidRPr="00037461" w:rsidRDefault="00CF0933" w:rsidP="000463EC">
          <w:pPr>
            <w:pStyle w:val="Header"/>
          </w:pPr>
          <w:r w:rsidRPr="00032A0D">
            <w:rPr>
              <w:noProof/>
              <w:lang w:eastAsia="en-AU"/>
            </w:rPr>
            <w:drawing>
              <wp:anchor distT="0" distB="0" distL="114300" distR="114300" simplePos="0" relativeHeight="251617792" behindDoc="1" locked="0" layoutInCell="0" allowOverlap="1" wp14:anchorId="1E4D150A" wp14:editId="0E2CE366">
                <wp:simplePos x="0" y="0"/>
                <wp:positionH relativeFrom="page">
                  <wp:posOffset>720090</wp:posOffset>
                </wp:positionH>
                <wp:positionV relativeFrom="page">
                  <wp:posOffset>360045</wp:posOffset>
                </wp:positionV>
                <wp:extent cx="4320000" cy="720000"/>
                <wp:effectExtent l="0" t="0" r="4445" b="4445"/>
                <wp:wrapNone/>
                <wp:docPr id="1304" name="Picture 1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cstate="email">
                          <a:extLst>
                            <a:ext uri="{28A0092B-C50C-407E-A947-70E740481C1C}">
                              <a14:useLocalDpi xmlns:a14="http://schemas.microsoft.com/office/drawing/2010/main"/>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fldSimple w:instr=" STYLEREF  &quot;Document Title&quot;  \* MERGEFORMAT ">
            <w:r>
              <w:rPr>
                <w:noProof/>
              </w:rPr>
              <w:t>Black Box Management Framework</w:t>
            </w:r>
          </w:fldSimple>
        </w:p>
      </w:tc>
      <w:tc>
        <w:tcPr>
          <w:tcW w:w="3119" w:type="dxa"/>
          <w:shd w:val="clear" w:color="auto" w:fill="auto"/>
          <w:vAlign w:val="center"/>
        </w:tcPr>
        <w:p w14:paraId="4E115E22" w14:textId="77777777" w:rsidR="00CF0933" w:rsidRPr="00037461" w:rsidRDefault="00CF0933" w:rsidP="004267B2">
          <w:pPr>
            <w:pStyle w:val="Bodynarrow"/>
          </w:pPr>
        </w:p>
      </w:tc>
    </w:tr>
  </w:tbl>
  <w:p w14:paraId="5CEC662F" w14:textId="6EA684BC" w:rsidR="00CF0933" w:rsidRDefault="00CF0933" w:rsidP="00BD0B6A">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21830" w:type="dxa"/>
      <w:tblLayout w:type="fixed"/>
      <w:tblCellMar>
        <w:left w:w="0" w:type="dxa"/>
        <w:right w:w="0" w:type="dxa"/>
      </w:tblCellMar>
      <w:tblLook w:val="04A0" w:firstRow="1" w:lastRow="0" w:firstColumn="1" w:lastColumn="0" w:noHBand="0" w:noVBand="1"/>
    </w:tblPr>
    <w:tblGrid>
      <w:gridCol w:w="18711"/>
      <w:gridCol w:w="3119"/>
    </w:tblGrid>
    <w:tr w:rsidR="00CF0933" w:rsidRPr="00037461" w14:paraId="4B60894B" w14:textId="77777777" w:rsidTr="00E52A35">
      <w:trPr>
        <w:cantSplit/>
        <w:trHeight w:hRule="exact" w:val="1134"/>
      </w:trPr>
      <w:tc>
        <w:tcPr>
          <w:tcW w:w="18711" w:type="dxa"/>
          <w:shd w:val="clear" w:color="auto" w:fill="auto"/>
          <w:vAlign w:val="center"/>
        </w:tcPr>
        <w:p w14:paraId="67815B92" w14:textId="3C19547D" w:rsidR="00CF0933" w:rsidRPr="00BF0918" w:rsidRDefault="00CF0933" w:rsidP="00E52A35">
          <w:pPr>
            <w:pStyle w:val="Header"/>
            <w:rPr>
              <w:rFonts w:cs="Arial"/>
              <w:b w:val="0"/>
              <w:szCs w:val="22"/>
            </w:rPr>
          </w:pPr>
          <w:r w:rsidRPr="00BF0918">
            <w:rPr>
              <w:rFonts w:cs="Arial"/>
              <w:b w:val="0"/>
              <w:noProof/>
              <w:color w:val="808080"/>
              <w:szCs w:val="22"/>
              <w:lang w:eastAsia="en-AU"/>
            </w:rPr>
            <w:drawing>
              <wp:anchor distT="0" distB="0" distL="114300" distR="114300" simplePos="0" relativeHeight="251696640" behindDoc="1" locked="0" layoutInCell="0" allowOverlap="1" wp14:anchorId="3CA0248E" wp14:editId="6A75E5E3">
                <wp:simplePos x="0" y="0"/>
                <wp:positionH relativeFrom="leftMargin">
                  <wp:posOffset>0</wp:posOffset>
                </wp:positionH>
                <wp:positionV relativeFrom="page">
                  <wp:posOffset>-106680</wp:posOffset>
                </wp:positionV>
                <wp:extent cx="11879580" cy="719455"/>
                <wp:effectExtent l="0" t="0" r="0" b="4445"/>
                <wp:wrapNone/>
                <wp:docPr id="1305" name="Picture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_header_background_A3L.jpg"/>
                        <pic:cNvPicPr/>
                      </pic:nvPicPr>
                      <pic:blipFill>
                        <a:blip r:embed="rId1" cstate="email">
                          <a:extLst>
                            <a:ext uri="{28A0092B-C50C-407E-A947-70E740481C1C}">
                              <a14:useLocalDpi xmlns:a14="http://schemas.microsoft.com/office/drawing/2010/main"/>
                            </a:ext>
                          </a:extLst>
                        </a:blip>
                        <a:stretch>
                          <a:fillRect/>
                        </a:stretch>
                      </pic:blipFill>
                      <pic:spPr>
                        <a:xfrm>
                          <a:off x="0" y="0"/>
                          <a:ext cx="11879580" cy="719455"/>
                        </a:xfrm>
                        <a:prstGeom prst="rect">
                          <a:avLst/>
                        </a:prstGeom>
                      </pic:spPr>
                    </pic:pic>
                  </a:graphicData>
                </a:graphic>
                <wp14:sizeRelH relativeFrom="margin">
                  <wp14:pctWidth>0</wp14:pctWidth>
                </wp14:sizeRelH>
                <wp14:sizeRelV relativeFrom="margin">
                  <wp14:pctHeight>0</wp14:pctHeight>
                </wp14:sizeRelV>
              </wp:anchor>
            </w:drawing>
          </w:r>
          <w:r w:rsidRPr="00BF0918">
            <w:rPr>
              <w:rFonts w:cs="Arial"/>
              <w:b w:val="0"/>
              <w:szCs w:val="22"/>
            </w:rPr>
            <w:fldChar w:fldCharType="begin"/>
          </w:r>
          <w:r w:rsidRPr="00BF0918">
            <w:rPr>
              <w:rFonts w:cs="Arial"/>
              <w:szCs w:val="22"/>
            </w:rPr>
            <w:instrText xml:space="preserve"> STYLEREF  "Document Title"  \* MERGEFORMAT </w:instrText>
          </w:r>
          <w:r w:rsidRPr="00BF0918">
            <w:rPr>
              <w:rFonts w:cs="Arial"/>
              <w:b w:val="0"/>
              <w:szCs w:val="22"/>
            </w:rPr>
            <w:fldChar w:fldCharType="separate"/>
          </w:r>
          <w:r w:rsidR="005C788A">
            <w:rPr>
              <w:rFonts w:cs="Arial"/>
              <w:noProof/>
              <w:szCs w:val="22"/>
            </w:rPr>
            <w:t>Black Box Management Framework</w:t>
          </w:r>
          <w:r w:rsidRPr="00BF0918">
            <w:rPr>
              <w:rFonts w:cs="Arial"/>
              <w:b w:val="0"/>
              <w:noProof/>
              <w:szCs w:val="22"/>
            </w:rPr>
            <w:fldChar w:fldCharType="end"/>
          </w:r>
        </w:p>
      </w:tc>
      <w:tc>
        <w:tcPr>
          <w:tcW w:w="3119" w:type="dxa"/>
          <w:shd w:val="clear" w:color="auto" w:fill="auto"/>
          <w:vAlign w:val="center"/>
        </w:tcPr>
        <w:p w14:paraId="68A2DF61" w14:textId="77777777" w:rsidR="00CF0933" w:rsidRPr="00037461" w:rsidRDefault="00CF0933" w:rsidP="00E52A35">
          <w:pPr>
            <w:pStyle w:val="Bodynarrow"/>
          </w:pPr>
          <w:r>
            <w:rPr>
              <w:noProof/>
              <w:lang w:eastAsia="en-AU"/>
            </w:rPr>
            <w:drawing>
              <wp:anchor distT="0" distB="0" distL="114300" distR="114300" simplePos="0" relativeHeight="251697664" behindDoc="0" locked="0" layoutInCell="1" allowOverlap="1" wp14:anchorId="35F33CB4" wp14:editId="4F6C9DBB">
                <wp:simplePos x="0" y="0"/>
                <wp:positionH relativeFrom="margin">
                  <wp:posOffset>241935</wp:posOffset>
                </wp:positionH>
                <wp:positionV relativeFrom="margin">
                  <wp:posOffset>635</wp:posOffset>
                </wp:positionV>
                <wp:extent cx="1936750" cy="474980"/>
                <wp:effectExtent l="0" t="0" r="0" b="0"/>
                <wp:wrapSquare wrapText="bothSides"/>
                <wp:docPr id="1306" name="Picture 2" descr="CEWO_logo_inline_LowRes_transparent_bg.png"/>
                <wp:cNvGraphicFramePr/>
                <a:graphic xmlns:a="http://schemas.openxmlformats.org/drawingml/2006/main">
                  <a:graphicData uri="http://schemas.openxmlformats.org/drawingml/2006/picture">
                    <pic:pic xmlns:pic="http://schemas.openxmlformats.org/drawingml/2006/picture">
                      <pic:nvPicPr>
                        <pic:cNvPr id="3" name="Picture 2" descr="CEWO_logo_inline_LowRes_transparent_bg.png"/>
                        <pic:cNvPicPr/>
                      </pic:nvPicPr>
                      <pic:blipFill>
                        <a:blip r:embed="rId2" cstate="email">
                          <a:extLst>
                            <a:ext uri="{28A0092B-C50C-407E-A947-70E740481C1C}">
                              <a14:useLocalDpi xmlns:a14="http://schemas.microsoft.com/office/drawing/2010/main"/>
                            </a:ext>
                          </a:extLst>
                        </a:blip>
                        <a:stretch>
                          <a:fillRect/>
                        </a:stretch>
                      </pic:blipFill>
                      <pic:spPr>
                        <a:xfrm>
                          <a:off x="0" y="0"/>
                          <a:ext cx="1936750" cy="474980"/>
                        </a:xfrm>
                        <a:prstGeom prst="rect">
                          <a:avLst/>
                        </a:prstGeom>
                      </pic:spPr>
                    </pic:pic>
                  </a:graphicData>
                </a:graphic>
                <wp14:sizeRelH relativeFrom="margin">
                  <wp14:pctWidth>0</wp14:pctWidth>
                </wp14:sizeRelH>
                <wp14:sizeRelV relativeFrom="margin">
                  <wp14:pctHeight>0</wp14:pctHeight>
                </wp14:sizeRelV>
              </wp:anchor>
            </w:drawing>
          </w:r>
        </w:p>
      </w:tc>
    </w:tr>
  </w:tbl>
  <w:p w14:paraId="517FE227" w14:textId="2685C3A9" w:rsidR="00CF0933" w:rsidRDefault="00CF0933" w:rsidP="00014CF3">
    <w:pPr>
      <w:pStyle w:val="HeaderSpac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CF0933" w:rsidRPr="00037461" w14:paraId="3BC7ADD7" w14:textId="77777777" w:rsidTr="001A351A">
      <w:trPr>
        <w:cantSplit/>
        <w:trHeight w:hRule="exact" w:val="1134"/>
      </w:trPr>
      <w:tc>
        <w:tcPr>
          <w:tcW w:w="6804" w:type="dxa"/>
          <w:shd w:val="clear" w:color="auto" w:fill="auto"/>
          <w:tcMar>
            <w:right w:w="567" w:type="dxa"/>
          </w:tcMar>
          <w:vAlign w:val="center"/>
        </w:tcPr>
        <w:p w14:paraId="2E8E23D6" w14:textId="3882E8A3" w:rsidR="00CF0933" w:rsidRPr="00C713B2" w:rsidRDefault="00CF0933" w:rsidP="001A351A">
          <w:pPr>
            <w:pStyle w:val="Header"/>
          </w:pPr>
          <w:r w:rsidRPr="00C713B2">
            <w:rPr>
              <w:noProof/>
              <w:lang w:eastAsia="en-AU"/>
            </w:rPr>
            <w:drawing>
              <wp:anchor distT="0" distB="0" distL="114300" distR="114300" simplePos="0" relativeHeight="251735552" behindDoc="1" locked="0" layoutInCell="0" allowOverlap="1" wp14:anchorId="7664F3C8" wp14:editId="19E94854">
                <wp:simplePos x="0" y="0"/>
                <wp:positionH relativeFrom="leftMargin">
                  <wp:posOffset>0</wp:posOffset>
                </wp:positionH>
                <wp:positionV relativeFrom="page">
                  <wp:posOffset>-150495</wp:posOffset>
                </wp:positionV>
                <wp:extent cx="4319905" cy="719455"/>
                <wp:effectExtent l="0" t="0" r="4445" b="4445"/>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cstate="email">
                          <a:extLst>
                            <a:ext uri="{28A0092B-C50C-407E-A947-70E740481C1C}">
                              <a14:useLocalDpi xmlns:a14="http://schemas.microsoft.com/office/drawing/2010/main"/>
                            </a:ext>
                          </a:extLst>
                        </a:blip>
                        <a:stretch>
                          <a:fillRect/>
                        </a:stretch>
                      </pic:blipFill>
                      <pic:spPr>
                        <a:xfrm>
                          <a:off x="0" y="0"/>
                          <a:ext cx="4319905" cy="719455"/>
                        </a:xfrm>
                        <a:prstGeom prst="rect">
                          <a:avLst/>
                        </a:prstGeom>
                      </pic:spPr>
                    </pic:pic>
                  </a:graphicData>
                </a:graphic>
                <wp14:sizeRelH relativeFrom="page">
                  <wp14:pctWidth>0</wp14:pctWidth>
                </wp14:sizeRelH>
                <wp14:sizeRelV relativeFrom="page">
                  <wp14:pctHeight>0</wp14:pctHeight>
                </wp14:sizeRelV>
              </wp:anchor>
            </w:drawing>
          </w:r>
          <w:r w:rsidRPr="00C713B2">
            <w:fldChar w:fldCharType="begin"/>
          </w:r>
          <w:r w:rsidRPr="00C713B2">
            <w:instrText xml:space="preserve"> STYLEREF  "Document Title"  \* CHARFORMAT </w:instrText>
          </w:r>
          <w:r w:rsidRPr="00C713B2">
            <w:fldChar w:fldCharType="separate"/>
          </w:r>
          <w:r w:rsidR="005C788A">
            <w:rPr>
              <w:noProof/>
            </w:rPr>
            <w:t>Black Box Management Framework</w:t>
          </w:r>
          <w:r w:rsidRPr="00C713B2">
            <w:fldChar w:fldCharType="end"/>
          </w:r>
        </w:p>
      </w:tc>
      <w:tc>
        <w:tcPr>
          <w:tcW w:w="3119" w:type="dxa"/>
          <w:shd w:val="clear" w:color="auto" w:fill="auto"/>
          <w:vAlign w:val="center"/>
        </w:tcPr>
        <w:p w14:paraId="1E0187E9" w14:textId="77777777" w:rsidR="00CF0933" w:rsidRPr="00037461" w:rsidRDefault="00CF0933" w:rsidP="001A351A">
          <w:pPr>
            <w:pStyle w:val="Bodynarrow"/>
          </w:pPr>
          <w:r>
            <w:rPr>
              <w:noProof/>
              <w:lang w:eastAsia="en-AU"/>
            </w:rPr>
            <w:drawing>
              <wp:anchor distT="0" distB="0" distL="114300" distR="114300" simplePos="0" relativeHeight="251736576" behindDoc="0" locked="0" layoutInCell="1" allowOverlap="1" wp14:anchorId="25887DFB" wp14:editId="0055DA42">
                <wp:simplePos x="0" y="0"/>
                <wp:positionH relativeFrom="margin">
                  <wp:posOffset>36195</wp:posOffset>
                </wp:positionH>
                <wp:positionV relativeFrom="margin">
                  <wp:posOffset>164465</wp:posOffset>
                </wp:positionV>
                <wp:extent cx="1936750" cy="474980"/>
                <wp:effectExtent l="0" t="0" r="0" b="0"/>
                <wp:wrapSquare wrapText="bothSides"/>
                <wp:docPr id="29" name="Picture 2" descr="CEWO_logo_inline_LowRes_transparent_bg.png"/>
                <wp:cNvGraphicFramePr/>
                <a:graphic xmlns:a="http://schemas.openxmlformats.org/drawingml/2006/main">
                  <a:graphicData uri="http://schemas.openxmlformats.org/drawingml/2006/picture">
                    <pic:pic xmlns:pic="http://schemas.openxmlformats.org/drawingml/2006/picture">
                      <pic:nvPicPr>
                        <pic:cNvPr id="3" name="Picture 2" descr="CEWO_logo_inline_LowRes_transparent_bg.png"/>
                        <pic:cNvPicPr/>
                      </pic:nvPicPr>
                      <pic:blipFill>
                        <a:blip r:embed="rId2" cstate="email">
                          <a:extLst>
                            <a:ext uri="{28A0092B-C50C-407E-A947-70E740481C1C}">
                              <a14:useLocalDpi xmlns:a14="http://schemas.microsoft.com/office/drawing/2010/main"/>
                            </a:ext>
                          </a:extLst>
                        </a:blip>
                        <a:stretch>
                          <a:fillRect/>
                        </a:stretch>
                      </pic:blipFill>
                      <pic:spPr>
                        <a:xfrm>
                          <a:off x="0" y="0"/>
                          <a:ext cx="1936750" cy="474980"/>
                        </a:xfrm>
                        <a:prstGeom prst="rect">
                          <a:avLst/>
                        </a:prstGeom>
                      </pic:spPr>
                    </pic:pic>
                  </a:graphicData>
                </a:graphic>
                <wp14:sizeRelH relativeFrom="margin">
                  <wp14:pctWidth>0</wp14:pctWidth>
                </wp14:sizeRelH>
                <wp14:sizeRelV relativeFrom="margin">
                  <wp14:pctHeight>0</wp14:pctHeight>
                </wp14:sizeRelV>
              </wp:anchor>
            </w:drawing>
          </w:r>
        </w:p>
      </w:tc>
    </w:tr>
  </w:tbl>
  <w:p w14:paraId="08899001" w14:textId="77777777" w:rsidR="00CF0933" w:rsidRPr="00A80A11" w:rsidRDefault="00CF0933" w:rsidP="00721B57">
    <w:pPr>
      <w:pStyle w:val="HeaderSpac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5168" w:type="dxa"/>
      <w:tblLayout w:type="fixed"/>
      <w:tblCellMar>
        <w:left w:w="0" w:type="dxa"/>
        <w:right w:w="0" w:type="dxa"/>
      </w:tblCellMar>
      <w:tblLook w:val="04A0" w:firstRow="1" w:lastRow="0" w:firstColumn="1" w:lastColumn="0" w:noHBand="0" w:noVBand="1"/>
    </w:tblPr>
    <w:tblGrid>
      <w:gridCol w:w="12049"/>
      <w:gridCol w:w="3119"/>
    </w:tblGrid>
    <w:tr w:rsidR="00CF0933" w:rsidRPr="00037461" w14:paraId="1F8B3FE8" w14:textId="77777777" w:rsidTr="00633167">
      <w:trPr>
        <w:cantSplit/>
        <w:trHeight w:hRule="exact" w:val="1134"/>
      </w:trPr>
      <w:tc>
        <w:tcPr>
          <w:tcW w:w="12049" w:type="dxa"/>
          <w:shd w:val="clear" w:color="auto" w:fill="auto"/>
          <w:tcMar>
            <w:right w:w="567" w:type="dxa"/>
          </w:tcMar>
          <w:vAlign w:val="center"/>
        </w:tcPr>
        <w:p w14:paraId="4244B6A6" w14:textId="67DB2C48" w:rsidR="00CF0933" w:rsidRPr="00E8353B" w:rsidRDefault="00CF0933" w:rsidP="00633167">
          <w:pPr>
            <w:pStyle w:val="Header"/>
            <w:rPr>
              <w:rFonts w:cs="Arial"/>
              <w:b w:val="0"/>
              <w:szCs w:val="22"/>
            </w:rPr>
          </w:pPr>
          <w:r w:rsidRPr="00E8353B">
            <w:rPr>
              <w:rFonts w:cs="Arial"/>
              <w:b w:val="0"/>
              <w:noProof/>
              <w:color w:val="808080"/>
              <w:szCs w:val="22"/>
              <w:lang w:eastAsia="en-AU"/>
            </w:rPr>
            <w:drawing>
              <wp:anchor distT="0" distB="0" distL="114300" distR="114300" simplePos="0" relativeHeight="251729408" behindDoc="1" locked="0" layoutInCell="0" allowOverlap="1" wp14:anchorId="0974A06C" wp14:editId="5A3B17EA">
                <wp:simplePos x="0" y="0"/>
                <wp:positionH relativeFrom="leftMargin">
                  <wp:posOffset>0</wp:posOffset>
                </wp:positionH>
                <wp:positionV relativeFrom="page">
                  <wp:posOffset>-97155</wp:posOffset>
                </wp:positionV>
                <wp:extent cx="7458710" cy="719455"/>
                <wp:effectExtent l="0" t="0" r="0" b="4445"/>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_header_background_A4L.jpg"/>
                        <pic:cNvPicPr/>
                      </pic:nvPicPr>
                      <pic:blipFill>
                        <a:blip r:embed="rId1" cstate="email">
                          <a:extLst>
                            <a:ext uri="{28A0092B-C50C-407E-A947-70E740481C1C}">
                              <a14:useLocalDpi xmlns:a14="http://schemas.microsoft.com/office/drawing/2010/main"/>
                            </a:ext>
                          </a:extLst>
                        </a:blip>
                        <a:stretch>
                          <a:fillRect/>
                        </a:stretch>
                      </pic:blipFill>
                      <pic:spPr>
                        <a:xfrm>
                          <a:off x="0" y="0"/>
                          <a:ext cx="7458710" cy="719455"/>
                        </a:xfrm>
                        <a:prstGeom prst="rect">
                          <a:avLst/>
                        </a:prstGeom>
                      </pic:spPr>
                    </pic:pic>
                  </a:graphicData>
                </a:graphic>
                <wp14:sizeRelH relativeFrom="margin">
                  <wp14:pctWidth>0</wp14:pctWidth>
                </wp14:sizeRelH>
                <wp14:sizeRelV relativeFrom="margin">
                  <wp14:pctHeight>0</wp14:pctHeight>
                </wp14:sizeRelV>
              </wp:anchor>
            </w:drawing>
          </w:r>
          <w:r w:rsidRPr="00E8353B">
            <w:rPr>
              <w:rFonts w:cs="Arial"/>
              <w:b w:val="0"/>
              <w:szCs w:val="22"/>
            </w:rPr>
            <w:fldChar w:fldCharType="begin"/>
          </w:r>
          <w:r w:rsidRPr="00E8353B">
            <w:rPr>
              <w:rFonts w:cs="Arial"/>
              <w:szCs w:val="22"/>
            </w:rPr>
            <w:instrText xml:space="preserve"> STYLEREF  "Document Title"  \* MERGEFORMAT </w:instrText>
          </w:r>
          <w:r w:rsidRPr="00E8353B">
            <w:rPr>
              <w:rFonts w:cs="Arial"/>
              <w:b w:val="0"/>
              <w:szCs w:val="22"/>
            </w:rPr>
            <w:fldChar w:fldCharType="separate"/>
          </w:r>
          <w:r w:rsidR="005C788A" w:rsidRPr="005C788A">
            <w:rPr>
              <w:rFonts w:cs="Arial"/>
              <w:bCs/>
              <w:noProof/>
              <w:szCs w:val="22"/>
              <w:lang w:val="en-US"/>
            </w:rPr>
            <w:t>Black Box Management Framework</w:t>
          </w:r>
          <w:r w:rsidRPr="00E8353B">
            <w:rPr>
              <w:rFonts w:cs="Arial"/>
              <w:b w:val="0"/>
              <w:noProof/>
              <w:szCs w:val="22"/>
            </w:rPr>
            <w:fldChar w:fldCharType="end"/>
          </w:r>
        </w:p>
      </w:tc>
      <w:tc>
        <w:tcPr>
          <w:tcW w:w="3119" w:type="dxa"/>
          <w:shd w:val="clear" w:color="auto" w:fill="auto"/>
          <w:vAlign w:val="center"/>
        </w:tcPr>
        <w:p w14:paraId="611FE46E" w14:textId="77777777" w:rsidR="00CF0933" w:rsidRPr="00037461" w:rsidRDefault="00CF0933" w:rsidP="00633167">
          <w:pPr>
            <w:pStyle w:val="Bodynarrow"/>
          </w:pPr>
          <w:r>
            <w:rPr>
              <w:noProof/>
              <w:lang w:eastAsia="en-AU"/>
            </w:rPr>
            <w:drawing>
              <wp:anchor distT="0" distB="0" distL="114300" distR="114300" simplePos="0" relativeHeight="251730432" behindDoc="0" locked="0" layoutInCell="1" allowOverlap="1" wp14:anchorId="28114D31" wp14:editId="3ACB1AD5">
                <wp:simplePos x="0" y="0"/>
                <wp:positionH relativeFrom="margin">
                  <wp:posOffset>294005</wp:posOffset>
                </wp:positionH>
                <wp:positionV relativeFrom="margin">
                  <wp:posOffset>-238125</wp:posOffset>
                </wp:positionV>
                <wp:extent cx="1936750" cy="474980"/>
                <wp:effectExtent l="0" t="0" r="0" b="0"/>
                <wp:wrapSquare wrapText="bothSides"/>
                <wp:docPr id="92" name="Picture 2" descr="CEWO_logo_inline_LowRes_transparent_bg.png"/>
                <wp:cNvGraphicFramePr/>
                <a:graphic xmlns:a="http://schemas.openxmlformats.org/drawingml/2006/main">
                  <a:graphicData uri="http://schemas.openxmlformats.org/drawingml/2006/picture">
                    <pic:pic xmlns:pic="http://schemas.openxmlformats.org/drawingml/2006/picture">
                      <pic:nvPicPr>
                        <pic:cNvPr id="3" name="Picture 2" descr="CEWO_logo_inline_LowRes_transparent_bg.png"/>
                        <pic:cNvPicPr/>
                      </pic:nvPicPr>
                      <pic:blipFill>
                        <a:blip r:embed="rId2" cstate="email">
                          <a:extLst>
                            <a:ext uri="{28A0092B-C50C-407E-A947-70E740481C1C}">
                              <a14:useLocalDpi xmlns:a14="http://schemas.microsoft.com/office/drawing/2010/main"/>
                            </a:ext>
                          </a:extLst>
                        </a:blip>
                        <a:stretch>
                          <a:fillRect/>
                        </a:stretch>
                      </pic:blipFill>
                      <pic:spPr>
                        <a:xfrm>
                          <a:off x="0" y="0"/>
                          <a:ext cx="1936750" cy="474980"/>
                        </a:xfrm>
                        <a:prstGeom prst="rect">
                          <a:avLst/>
                        </a:prstGeom>
                      </pic:spPr>
                    </pic:pic>
                  </a:graphicData>
                </a:graphic>
                <wp14:sizeRelH relativeFrom="margin">
                  <wp14:pctWidth>0</wp14:pctWidth>
                </wp14:sizeRelH>
                <wp14:sizeRelV relativeFrom="margin">
                  <wp14:pctHeight>0</wp14:pctHeight>
                </wp14:sizeRelV>
              </wp:anchor>
            </w:drawing>
          </w:r>
        </w:p>
      </w:tc>
    </w:tr>
  </w:tbl>
  <w:p w14:paraId="3C1F68FE" w14:textId="77777777" w:rsidR="00CF0933" w:rsidRPr="00A80A11" w:rsidRDefault="00CF0933" w:rsidP="00721B57">
    <w:pPr>
      <w:pStyle w:val="HeaderSpac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5D0E7A" w14:textId="44153BD6" w:rsidR="00CF0933" w:rsidRDefault="00CF093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CF0933" w:rsidRPr="00037461" w14:paraId="20FDB4AE" w14:textId="77777777" w:rsidTr="0048299B">
      <w:trPr>
        <w:cantSplit/>
        <w:trHeight w:hRule="exact" w:val="1134"/>
      </w:trPr>
      <w:tc>
        <w:tcPr>
          <w:tcW w:w="6804" w:type="dxa"/>
          <w:shd w:val="clear" w:color="auto" w:fill="auto"/>
          <w:tcMar>
            <w:right w:w="567" w:type="dxa"/>
          </w:tcMar>
          <w:vAlign w:val="center"/>
        </w:tcPr>
        <w:p w14:paraId="5383FDB2" w14:textId="3078D3D1" w:rsidR="00CF0933" w:rsidRPr="00BF0918" w:rsidRDefault="00CF0933" w:rsidP="00721B57">
          <w:pPr>
            <w:pStyle w:val="Header"/>
            <w:rPr>
              <w:rFonts w:cs="Arial"/>
              <w:b w:val="0"/>
              <w:szCs w:val="22"/>
            </w:rPr>
          </w:pPr>
          <w:r w:rsidRPr="00BF0918">
            <w:rPr>
              <w:rFonts w:cs="Arial"/>
              <w:b w:val="0"/>
              <w:noProof/>
              <w:szCs w:val="22"/>
              <w:lang w:eastAsia="en-AU"/>
            </w:rPr>
            <w:drawing>
              <wp:anchor distT="0" distB="0" distL="114300" distR="114300" simplePos="0" relativeHeight="251624960" behindDoc="1" locked="0" layoutInCell="0" allowOverlap="1" wp14:anchorId="4F4DBBFB" wp14:editId="4DCC6571">
                <wp:simplePos x="0" y="0"/>
                <wp:positionH relativeFrom="leftMargin">
                  <wp:posOffset>-104775</wp:posOffset>
                </wp:positionH>
                <wp:positionV relativeFrom="page">
                  <wp:posOffset>-173355</wp:posOffset>
                </wp:positionV>
                <wp:extent cx="4319905" cy="719455"/>
                <wp:effectExtent l="0" t="0" r="4445" b="4445"/>
                <wp:wrapNone/>
                <wp:docPr id="1124" name="Picture 1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cstate="email">
                          <a:extLst>
                            <a:ext uri="{28A0092B-C50C-407E-A947-70E740481C1C}">
                              <a14:useLocalDpi xmlns:a14="http://schemas.microsoft.com/office/drawing/2010/main"/>
                            </a:ext>
                          </a:extLst>
                        </a:blip>
                        <a:stretch>
                          <a:fillRect/>
                        </a:stretch>
                      </pic:blipFill>
                      <pic:spPr>
                        <a:xfrm>
                          <a:off x="0" y="0"/>
                          <a:ext cx="4319905" cy="719455"/>
                        </a:xfrm>
                        <a:prstGeom prst="rect">
                          <a:avLst/>
                        </a:prstGeom>
                      </pic:spPr>
                    </pic:pic>
                  </a:graphicData>
                </a:graphic>
                <wp14:sizeRelH relativeFrom="page">
                  <wp14:pctWidth>0</wp14:pctWidth>
                </wp14:sizeRelH>
                <wp14:sizeRelV relativeFrom="page">
                  <wp14:pctHeight>0</wp14:pctHeight>
                </wp14:sizeRelV>
              </wp:anchor>
            </w:drawing>
          </w:r>
          <w:r w:rsidRPr="00BF0918">
            <w:rPr>
              <w:rFonts w:cs="Arial"/>
              <w:b w:val="0"/>
              <w:szCs w:val="22"/>
            </w:rPr>
            <w:fldChar w:fldCharType="begin"/>
          </w:r>
          <w:r w:rsidRPr="00BF0918">
            <w:rPr>
              <w:rFonts w:cs="Arial"/>
              <w:szCs w:val="22"/>
            </w:rPr>
            <w:instrText xml:space="preserve"> STYLEREF  "Document Title"  \* MERGEFORMAT </w:instrText>
          </w:r>
          <w:r w:rsidRPr="00BF0918">
            <w:rPr>
              <w:rFonts w:cs="Arial"/>
              <w:b w:val="0"/>
              <w:szCs w:val="22"/>
            </w:rPr>
            <w:fldChar w:fldCharType="separate"/>
          </w:r>
          <w:r w:rsidR="005C788A">
            <w:rPr>
              <w:rFonts w:cs="Arial"/>
              <w:noProof/>
              <w:szCs w:val="22"/>
            </w:rPr>
            <w:t>Black Box Management Framework</w:t>
          </w:r>
          <w:r w:rsidRPr="00BF0918">
            <w:rPr>
              <w:rFonts w:cs="Arial"/>
              <w:b w:val="0"/>
              <w:noProof/>
              <w:szCs w:val="22"/>
            </w:rPr>
            <w:fldChar w:fldCharType="end"/>
          </w:r>
        </w:p>
      </w:tc>
      <w:tc>
        <w:tcPr>
          <w:tcW w:w="3119" w:type="dxa"/>
          <w:shd w:val="clear" w:color="auto" w:fill="auto"/>
          <w:vAlign w:val="center"/>
        </w:tcPr>
        <w:p w14:paraId="09A884DC" w14:textId="77777777" w:rsidR="00CF0933" w:rsidRPr="00037461" w:rsidRDefault="00CF0933" w:rsidP="00721B57">
          <w:pPr>
            <w:pStyle w:val="Bodynarrow"/>
          </w:pPr>
          <w:r>
            <w:rPr>
              <w:noProof/>
              <w:lang w:eastAsia="en-AU"/>
            </w:rPr>
            <w:drawing>
              <wp:anchor distT="0" distB="0" distL="114300" distR="114300" simplePos="0" relativeHeight="251638272" behindDoc="0" locked="0" layoutInCell="1" allowOverlap="1" wp14:anchorId="28378DEE" wp14:editId="26AA50E3">
                <wp:simplePos x="0" y="0"/>
                <wp:positionH relativeFrom="margin">
                  <wp:posOffset>139700</wp:posOffset>
                </wp:positionH>
                <wp:positionV relativeFrom="margin">
                  <wp:posOffset>-1270</wp:posOffset>
                </wp:positionV>
                <wp:extent cx="1936750" cy="474980"/>
                <wp:effectExtent l="0" t="0" r="0" b="0"/>
                <wp:wrapSquare wrapText="bothSides"/>
                <wp:docPr id="1134" name="Picture 2" descr="CEWO_logo_inline_LowRes_transparent_bg.png"/>
                <wp:cNvGraphicFramePr/>
                <a:graphic xmlns:a="http://schemas.openxmlformats.org/drawingml/2006/main">
                  <a:graphicData uri="http://schemas.openxmlformats.org/drawingml/2006/picture">
                    <pic:pic xmlns:pic="http://schemas.openxmlformats.org/drawingml/2006/picture">
                      <pic:nvPicPr>
                        <pic:cNvPr id="3" name="Picture 2" descr="CEWO_logo_inline_LowRes_transparent_bg.png"/>
                        <pic:cNvPicPr/>
                      </pic:nvPicPr>
                      <pic:blipFill>
                        <a:blip r:embed="rId2" cstate="email">
                          <a:extLst>
                            <a:ext uri="{28A0092B-C50C-407E-A947-70E740481C1C}">
                              <a14:useLocalDpi xmlns:a14="http://schemas.microsoft.com/office/drawing/2010/main"/>
                            </a:ext>
                          </a:extLst>
                        </a:blip>
                        <a:stretch>
                          <a:fillRect/>
                        </a:stretch>
                      </pic:blipFill>
                      <pic:spPr>
                        <a:xfrm>
                          <a:off x="0" y="0"/>
                          <a:ext cx="1936750" cy="474980"/>
                        </a:xfrm>
                        <a:prstGeom prst="rect">
                          <a:avLst/>
                        </a:prstGeom>
                      </pic:spPr>
                    </pic:pic>
                  </a:graphicData>
                </a:graphic>
                <wp14:sizeRelH relativeFrom="margin">
                  <wp14:pctWidth>0</wp14:pctWidth>
                </wp14:sizeRelH>
                <wp14:sizeRelV relativeFrom="margin">
                  <wp14:pctHeight>0</wp14:pctHeight>
                </wp14:sizeRelV>
              </wp:anchor>
            </w:drawing>
          </w:r>
        </w:p>
      </w:tc>
    </w:tr>
  </w:tbl>
  <w:p w14:paraId="40093900" w14:textId="2F4B644C" w:rsidR="00CF0933" w:rsidRPr="00A80A11" w:rsidRDefault="00CF0933" w:rsidP="000463EC">
    <w:pPr>
      <w:pStyle w:val="HeaderSpac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CF0933" w:rsidRPr="00037461" w14:paraId="7ADB525B" w14:textId="77777777" w:rsidTr="000463EC">
      <w:trPr>
        <w:cantSplit/>
        <w:trHeight w:hRule="exact" w:val="1134"/>
      </w:trPr>
      <w:tc>
        <w:tcPr>
          <w:tcW w:w="6804" w:type="dxa"/>
          <w:shd w:val="clear" w:color="auto" w:fill="auto"/>
          <w:vAlign w:val="center"/>
        </w:tcPr>
        <w:p w14:paraId="192084F2" w14:textId="646E1B5A" w:rsidR="00CF0933" w:rsidRPr="00037461" w:rsidRDefault="00CF0933" w:rsidP="000463EC">
          <w:pPr>
            <w:pStyle w:val="Header"/>
          </w:pPr>
          <w:r w:rsidRPr="00032A0D">
            <w:rPr>
              <w:noProof/>
              <w:lang w:eastAsia="en-AU"/>
            </w:rPr>
            <w:drawing>
              <wp:anchor distT="0" distB="0" distL="114300" distR="114300" simplePos="0" relativeHeight="251619840" behindDoc="1" locked="0" layoutInCell="0" allowOverlap="1" wp14:anchorId="68F710E6" wp14:editId="69503A45">
                <wp:simplePos x="0" y="0"/>
                <wp:positionH relativeFrom="page">
                  <wp:posOffset>720090</wp:posOffset>
                </wp:positionH>
                <wp:positionV relativeFrom="page">
                  <wp:posOffset>360045</wp:posOffset>
                </wp:positionV>
                <wp:extent cx="4320000" cy="720000"/>
                <wp:effectExtent l="0" t="0" r="4445" b="4445"/>
                <wp:wrapNone/>
                <wp:docPr id="1140" name="Picture 1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cstate="email">
                          <a:extLst>
                            <a:ext uri="{28A0092B-C50C-407E-A947-70E740481C1C}">
                              <a14:useLocalDpi xmlns:a14="http://schemas.microsoft.com/office/drawing/2010/main"/>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fldSimple w:instr=" STYLEREF  &quot;Document Title&quot;  \* MERGEFORMAT ">
            <w:r>
              <w:rPr>
                <w:noProof/>
              </w:rPr>
              <w:t>Black Box Management Framework</w:t>
            </w:r>
          </w:fldSimple>
        </w:p>
      </w:tc>
      <w:tc>
        <w:tcPr>
          <w:tcW w:w="3119" w:type="dxa"/>
          <w:shd w:val="clear" w:color="auto" w:fill="auto"/>
          <w:vAlign w:val="center"/>
        </w:tcPr>
        <w:p w14:paraId="0F98FAD4" w14:textId="77777777" w:rsidR="00CF0933" w:rsidRPr="00037461" w:rsidRDefault="00CF0933" w:rsidP="000463EC">
          <w:pPr>
            <w:pStyle w:val="Bodynarrow"/>
          </w:pPr>
        </w:p>
      </w:tc>
    </w:tr>
  </w:tbl>
  <w:p w14:paraId="4AF367DE" w14:textId="00BBEA39" w:rsidR="00CF0933" w:rsidRPr="002245BA" w:rsidRDefault="00CF0933" w:rsidP="000463E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FBF4C5" w14:textId="21E6D4F9" w:rsidR="00CF0933" w:rsidRDefault="00CF0933">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FCAA78" w14:textId="4D03B295" w:rsidR="00CF0933" w:rsidRDefault="00CF0933">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21830" w:type="dxa"/>
      <w:tblLayout w:type="fixed"/>
      <w:tblCellMar>
        <w:left w:w="0" w:type="dxa"/>
        <w:right w:w="0" w:type="dxa"/>
      </w:tblCellMar>
      <w:tblLook w:val="04A0" w:firstRow="1" w:lastRow="0" w:firstColumn="1" w:lastColumn="0" w:noHBand="0" w:noVBand="1"/>
    </w:tblPr>
    <w:tblGrid>
      <w:gridCol w:w="18711"/>
      <w:gridCol w:w="3119"/>
    </w:tblGrid>
    <w:tr w:rsidR="00CF0933" w:rsidRPr="00037461" w14:paraId="686C5A3E" w14:textId="77777777" w:rsidTr="00E77503">
      <w:trPr>
        <w:cantSplit/>
        <w:trHeight w:hRule="exact" w:val="1134"/>
      </w:trPr>
      <w:tc>
        <w:tcPr>
          <w:tcW w:w="18711" w:type="dxa"/>
          <w:shd w:val="clear" w:color="auto" w:fill="auto"/>
          <w:vAlign w:val="center"/>
        </w:tcPr>
        <w:p w14:paraId="5B8FAF70" w14:textId="0EA63F19" w:rsidR="00CF0933" w:rsidRPr="00BF0918" w:rsidRDefault="00CF0933" w:rsidP="00E77503">
          <w:pPr>
            <w:pStyle w:val="Header"/>
            <w:rPr>
              <w:rFonts w:cs="Arial"/>
              <w:b w:val="0"/>
              <w:szCs w:val="22"/>
            </w:rPr>
          </w:pPr>
          <w:r w:rsidRPr="00BF0918">
            <w:rPr>
              <w:rFonts w:cs="Arial"/>
              <w:b w:val="0"/>
              <w:noProof/>
              <w:color w:val="808080"/>
              <w:szCs w:val="22"/>
              <w:lang w:eastAsia="en-AU"/>
            </w:rPr>
            <w:drawing>
              <wp:anchor distT="0" distB="0" distL="114300" distR="114300" simplePos="0" relativeHeight="251694592" behindDoc="1" locked="0" layoutInCell="0" allowOverlap="1" wp14:anchorId="47E683A9" wp14:editId="6EE74209">
                <wp:simplePos x="0" y="0"/>
                <wp:positionH relativeFrom="leftMargin">
                  <wp:posOffset>0</wp:posOffset>
                </wp:positionH>
                <wp:positionV relativeFrom="page">
                  <wp:posOffset>-139700</wp:posOffset>
                </wp:positionV>
                <wp:extent cx="11879580" cy="719455"/>
                <wp:effectExtent l="0" t="0" r="0" b="444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_header_background_A3L.jpg"/>
                        <pic:cNvPicPr/>
                      </pic:nvPicPr>
                      <pic:blipFill>
                        <a:blip r:embed="rId1" cstate="email">
                          <a:extLst>
                            <a:ext uri="{28A0092B-C50C-407E-A947-70E740481C1C}">
                              <a14:useLocalDpi xmlns:a14="http://schemas.microsoft.com/office/drawing/2010/main"/>
                            </a:ext>
                          </a:extLst>
                        </a:blip>
                        <a:stretch>
                          <a:fillRect/>
                        </a:stretch>
                      </pic:blipFill>
                      <pic:spPr>
                        <a:xfrm>
                          <a:off x="0" y="0"/>
                          <a:ext cx="11879580" cy="719455"/>
                        </a:xfrm>
                        <a:prstGeom prst="rect">
                          <a:avLst/>
                        </a:prstGeom>
                      </pic:spPr>
                    </pic:pic>
                  </a:graphicData>
                </a:graphic>
                <wp14:sizeRelH relativeFrom="margin">
                  <wp14:pctWidth>0</wp14:pctWidth>
                </wp14:sizeRelH>
                <wp14:sizeRelV relativeFrom="margin">
                  <wp14:pctHeight>0</wp14:pctHeight>
                </wp14:sizeRelV>
              </wp:anchor>
            </w:drawing>
          </w:r>
          <w:r w:rsidRPr="00BF0918">
            <w:rPr>
              <w:rFonts w:cs="Arial"/>
              <w:b w:val="0"/>
              <w:szCs w:val="22"/>
            </w:rPr>
            <w:fldChar w:fldCharType="begin"/>
          </w:r>
          <w:r w:rsidRPr="00BF0918">
            <w:rPr>
              <w:rFonts w:cs="Arial"/>
              <w:szCs w:val="22"/>
            </w:rPr>
            <w:instrText xml:space="preserve"> STYLEREF  "Document Title"  \* MERGEFORMAT </w:instrText>
          </w:r>
          <w:r w:rsidRPr="00BF0918">
            <w:rPr>
              <w:rFonts w:cs="Arial"/>
              <w:b w:val="0"/>
              <w:szCs w:val="22"/>
            </w:rPr>
            <w:fldChar w:fldCharType="separate"/>
          </w:r>
          <w:r w:rsidR="005C788A">
            <w:rPr>
              <w:rFonts w:cs="Arial"/>
              <w:noProof/>
              <w:szCs w:val="22"/>
            </w:rPr>
            <w:t>Black Box Management Framework</w:t>
          </w:r>
          <w:r w:rsidRPr="00BF0918">
            <w:rPr>
              <w:rFonts w:cs="Arial"/>
              <w:b w:val="0"/>
              <w:noProof/>
              <w:szCs w:val="22"/>
            </w:rPr>
            <w:fldChar w:fldCharType="end"/>
          </w:r>
        </w:p>
      </w:tc>
      <w:tc>
        <w:tcPr>
          <w:tcW w:w="3119" w:type="dxa"/>
          <w:shd w:val="clear" w:color="auto" w:fill="auto"/>
          <w:vAlign w:val="center"/>
        </w:tcPr>
        <w:p w14:paraId="324A5359" w14:textId="77777777" w:rsidR="00CF0933" w:rsidRPr="00037461" w:rsidRDefault="00CF0933" w:rsidP="00E77503">
          <w:pPr>
            <w:pStyle w:val="Bodynarrow"/>
          </w:pPr>
          <w:r>
            <w:rPr>
              <w:noProof/>
              <w:lang w:eastAsia="en-AU"/>
            </w:rPr>
            <w:drawing>
              <wp:anchor distT="0" distB="0" distL="114300" distR="114300" simplePos="0" relativeHeight="251695616" behindDoc="0" locked="0" layoutInCell="1" allowOverlap="1" wp14:anchorId="042A8E65" wp14:editId="6FA5583C">
                <wp:simplePos x="0" y="0"/>
                <wp:positionH relativeFrom="margin">
                  <wp:posOffset>92710</wp:posOffset>
                </wp:positionH>
                <wp:positionV relativeFrom="margin">
                  <wp:posOffset>63500</wp:posOffset>
                </wp:positionV>
                <wp:extent cx="1936750" cy="474980"/>
                <wp:effectExtent l="0" t="0" r="0" b="0"/>
                <wp:wrapSquare wrapText="bothSides"/>
                <wp:docPr id="38" name="Picture 2" descr="CEWO_logo_inline_LowRes_transparent_bg.png"/>
                <wp:cNvGraphicFramePr/>
                <a:graphic xmlns:a="http://schemas.openxmlformats.org/drawingml/2006/main">
                  <a:graphicData uri="http://schemas.openxmlformats.org/drawingml/2006/picture">
                    <pic:pic xmlns:pic="http://schemas.openxmlformats.org/drawingml/2006/picture">
                      <pic:nvPicPr>
                        <pic:cNvPr id="3" name="Picture 2" descr="CEWO_logo_inline_LowRes_transparent_bg.png"/>
                        <pic:cNvPicPr/>
                      </pic:nvPicPr>
                      <pic:blipFill>
                        <a:blip r:embed="rId2" cstate="email">
                          <a:extLst>
                            <a:ext uri="{28A0092B-C50C-407E-A947-70E740481C1C}">
                              <a14:useLocalDpi xmlns:a14="http://schemas.microsoft.com/office/drawing/2010/main"/>
                            </a:ext>
                          </a:extLst>
                        </a:blip>
                        <a:stretch>
                          <a:fillRect/>
                        </a:stretch>
                      </pic:blipFill>
                      <pic:spPr>
                        <a:xfrm>
                          <a:off x="0" y="0"/>
                          <a:ext cx="1936750" cy="474980"/>
                        </a:xfrm>
                        <a:prstGeom prst="rect">
                          <a:avLst/>
                        </a:prstGeom>
                      </pic:spPr>
                    </pic:pic>
                  </a:graphicData>
                </a:graphic>
                <wp14:sizeRelH relativeFrom="margin">
                  <wp14:pctWidth>0</wp14:pctWidth>
                </wp14:sizeRelH>
                <wp14:sizeRelV relativeFrom="margin">
                  <wp14:pctHeight>0</wp14:pctHeight>
                </wp14:sizeRelV>
              </wp:anchor>
            </w:drawing>
          </w:r>
        </w:p>
      </w:tc>
    </w:tr>
  </w:tbl>
  <w:p w14:paraId="1FCEDF5B" w14:textId="77777777" w:rsidR="00CF0933" w:rsidRPr="00A80A11" w:rsidRDefault="00CF0933" w:rsidP="000463EC">
    <w:pPr>
      <w:pStyle w:val="HeaderSpacer"/>
    </w:pPr>
    <w:r>
      <w:rPr>
        <w:noProof/>
        <w:lang w:eastAsia="en-AU"/>
      </w:rPr>
      <mc:AlternateContent>
        <mc:Choice Requires="wps">
          <w:drawing>
            <wp:anchor distT="0" distB="0" distL="114300" distR="114300" simplePos="0" relativeHeight="251693568" behindDoc="1" locked="0" layoutInCell="0" allowOverlap="1" wp14:anchorId="3536E1B2" wp14:editId="157D32B9">
              <wp:simplePos x="0" y="0"/>
              <wp:positionH relativeFrom="margin">
                <wp:align>center</wp:align>
              </wp:positionH>
              <wp:positionV relativeFrom="margin">
                <wp:align>center</wp:align>
              </wp:positionV>
              <wp:extent cx="7512050" cy="1365885"/>
              <wp:effectExtent l="0" t="2371725" r="0" b="2186940"/>
              <wp:wrapNone/>
              <wp:docPr id="20" name="WordArt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512050" cy="13658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ED6D869" w14:textId="77777777" w:rsidR="00CF0933" w:rsidRDefault="00CF0933" w:rsidP="00D87690">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FINAL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536E1B2" id="_x0000_t202" coordsize="21600,21600" o:spt="202" path="m,l,21600r21600,l21600,xe">
              <v:stroke joinstyle="miter"/>
              <v:path gradientshapeok="t" o:connecttype="rect"/>
            </v:shapetype>
            <v:shape id="WordArt 46" o:spid="_x0000_s1037" type="#_x0000_t202" style="position:absolute;margin-left:0;margin-top:0;width:591.5pt;height:107.55pt;rotation:-45;z-index:-25162291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" o:allowincell="f" filled="f" stroked="f">
              <v:stroke joinstyle="round"/>
              <o:lock v:ext="edit" shapetype="t"/>
              <v:textbox style="mso-fit-shape-to-text:t">
                <w:txbxContent>
                  <w:p w14:paraId="3ED6D869" w14:textId="77777777" w:rsidR="00CF0933" w:rsidRDefault="00CF0933" w:rsidP="00D87690">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FINAL DRAFT</w:t>
                    </w:r>
                  </w:p>
                </w:txbxContent>
              </v:textbox>
              <w10:wrap anchorx="margin" anchory="margin"/>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639778" w14:textId="3941916B" w:rsidR="00CF0933" w:rsidRDefault="00CF093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423E9"/>
    <w:multiLevelType w:val="hybridMultilevel"/>
    <w:tmpl w:val="D8F259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44D3125"/>
    <w:multiLevelType w:val="multilevel"/>
    <w:tmpl w:val="E9F866C4"/>
    <w:lvl w:ilvl="0">
      <w:start w:val="1"/>
      <w:numFmt w:val="bullet"/>
      <w:pStyle w:val="PIRSABulletPoints"/>
      <w:lvlText w:val="•"/>
      <w:lvlJc w:val="left"/>
      <w:pPr>
        <w:ind w:left="284" w:hanging="284"/>
      </w:pPr>
      <w:rPr>
        <w:rFonts w:ascii="Times New Roman" w:hAnsi="Times New Roman" w:cs="Times New Roman" w:hint="default"/>
      </w:rPr>
    </w:lvl>
    <w:lvl w:ilvl="1">
      <w:start w:val="1"/>
      <w:numFmt w:val="bullet"/>
      <w:lvlText w:val="•"/>
      <w:lvlJc w:val="left"/>
      <w:pPr>
        <w:ind w:left="567" w:hanging="283"/>
      </w:pPr>
      <w:rPr>
        <w:rFonts w:ascii="Times New Roman" w:hAnsi="Times New Roman" w:cs="Times New Roman" w:hint="default"/>
      </w:rPr>
    </w:lvl>
    <w:lvl w:ilvl="2">
      <w:start w:val="1"/>
      <w:numFmt w:val="bullet"/>
      <w:lvlText w:val="•"/>
      <w:lvlJc w:val="left"/>
      <w:pPr>
        <w:ind w:left="851" w:hanging="284"/>
      </w:pPr>
      <w:rPr>
        <w:rFonts w:ascii="Times New Roman" w:hAnsi="Times New Roman" w:cs="Times New Roman" w:hint="default"/>
      </w:rPr>
    </w:lvl>
    <w:lvl w:ilvl="3">
      <w:start w:val="1"/>
      <w:numFmt w:val="bullet"/>
      <w:lvlText w:val="•"/>
      <w:lvlJc w:val="left"/>
      <w:pPr>
        <w:ind w:left="1134" w:hanging="283"/>
      </w:pPr>
      <w:rPr>
        <w:rFonts w:ascii="Times New Roman" w:hAnsi="Times New Roman" w:cs="Times New Roman" w:hint="default"/>
      </w:rPr>
    </w:lvl>
    <w:lvl w:ilvl="4">
      <w:start w:val="1"/>
      <w:numFmt w:val="bullet"/>
      <w:lvlText w:val="•"/>
      <w:lvlJc w:val="left"/>
      <w:pPr>
        <w:ind w:left="1418" w:hanging="284"/>
      </w:pPr>
      <w:rPr>
        <w:rFonts w:ascii="Times New Roman" w:hAnsi="Times New Roman" w:cs="Times New Roman" w:hint="default"/>
      </w:rPr>
    </w:lvl>
    <w:lvl w:ilvl="5">
      <w:start w:val="1"/>
      <w:numFmt w:val="bullet"/>
      <w:lvlText w:val="•"/>
      <w:lvlJc w:val="left"/>
      <w:pPr>
        <w:ind w:left="1701" w:hanging="283"/>
      </w:pPr>
      <w:rPr>
        <w:rFonts w:ascii="Times New Roman" w:hAnsi="Times New Roman" w:cs="Times New Roman" w:hint="default"/>
      </w:rPr>
    </w:lvl>
    <w:lvl w:ilvl="6">
      <w:start w:val="1"/>
      <w:numFmt w:val="bullet"/>
      <w:lvlText w:val="•"/>
      <w:lvlJc w:val="left"/>
      <w:pPr>
        <w:ind w:left="1985" w:hanging="284"/>
      </w:pPr>
      <w:rPr>
        <w:rFonts w:ascii="Times New Roman" w:hAnsi="Times New Roman" w:cs="Times New Roman" w:hint="default"/>
      </w:rPr>
    </w:lvl>
    <w:lvl w:ilvl="7">
      <w:start w:val="1"/>
      <w:numFmt w:val="bullet"/>
      <w:lvlText w:val="•"/>
      <w:lvlJc w:val="left"/>
      <w:pPr>
        <w:ind w:left="2268" w:hanging="283"/>
      </w:pPr>
      <w:rPr>
        <w:rFonts w:ascii="Times New Roman" w:hAnsi="Times New Roman" w:cs="Times New Roman" w:hint="default"/>
      </w:rPr>
    </w:lvl>
    <w:lvl w:ilvl="8">
      <w:start w:val="1"/>
      <w:numFmt w:val="bullet"/>
      <w:lvlText w:val="•"/>
      <w:lvlJc w:val="left"/>
      <w:pPr>
        <w:ind w:left="2552" w:hanging="284"/>
      </w:pPr>
      <w:rPr>
        <w:rFonts w:ascii="Times New Roman" w:hAnsi="Times New Roman" w:cs="Times New Roman" w:hint="default"/>
      </w:rPr>
    </w:lvl>
  </w:abstractNum>
  <w:abstractNum w:abstractNumId="2" w15:restartNumberingAfterBreak="0">
    <w:nsid w:val="04C95399"/>
    <w:multiLevelType w:val="multilevel"/>
    <w:tmpl w:val="7584E9A8"/>
    <w:styleLink w:val="JacobsBulletList1"/>
    <w:lvl w:ilvl="0">
      <w:start w:val="1"/>
      <w:numFmt w:val="bullet"/>
      <w:pStyle w:val="Para0bullet"/>
      <w:lvlText w:val=""/>
      <w:lvlJc w:val="left"/>
      <w:pPr>
        <w:ind w:left="-425" w:hanging="425"/>
      </w:pPr>
      <w:rPr>
        <w:rFonts w:ascii="Symbol" w:hAnsi="Symbol" w:hint="default"/>
        <w:color w:val="auto"/>
        <w:sz w:val="18"/>
      </w:rPr>
    </w:lvl>
    <w:lvl w:ilvl="1">
      <w:start w:val="1"/>
      <w:numFmt w:val="decimal"/>
      <w:pStyle w:val="Para1narrowarrow"/>
      <w:lvlText w:val="%2."/>
      <w:lvlJc w:val="left"/>
      <w:pPr>
        <w:ind w:left="1" w:hanging="426"/>
      </w:pPr>
      <w:rPr>
        <w:rFonts w:hint="default"/>
        <w:color w:val="000000" w:themeColor="text1"/>
        <w:sz w:val="18"/>
      </w:rPr>
    </w:lvl>
    <w:lvl w:ilvl="2">
      <w:start w:val="1"/>
      <w:numFmt w:val="none"/>
      <w:lvlRestart w:val="0"/>
      <w:lvlText w:val=""/>
      <w:lvlJc w:val="left"/>
      <w:pPr>
        <w:ind w:left="1" w:hanging="426"/>
      </w:pPr>
      <w:rPr>
        <w:rFonts w:hint="default"/>
      </w:rPr>
    </w:lvl>
    <w:lvl w:ilvl="3">
      <w:start w:val="1"/>
      <w:numFmt w:val="none"/>
      <w:lvlRestart w:val="0"/>
      <w:lvlText w:val=""/>
      <w:lvlJc w:val="left"/>
      <w:pPr>
        <w:ind w:left="1" w:hanging="426"/>
      </w:pPr>
      <w:rPr>
        <w:rFonts w:hint="default"/>
      </w:rPr>
    </w:lvl>
    <w:lvl w:ilvl="4">
      <w:start w:val="1"/>
      <w:numFmt w:val="none"/>
      <w:lvlRestart w:val="0"/>
      <w:lvlText w:val=""/>
      <w:lvlJc w:val="left"/>
      <w:pPr>
        <w:ind w:left="1" w:hanging="426"/>
      </w:pPr>
      <w:rPr>
        <w:rFonts w:hint="default"/>
      </w:rPr>
    </w:lvl>
    <w:lvl w:ilvl="5">
      <w:start w:val="1"/>
      <w:numFmt w:val="bullet"/>
      <w:lvlText w:val=""/>
      <w:lvlJc w:val="left"/>
      <w:pPr>
        <w:ind w:left="1" w:hanging="426"/>
      </w:pPr>
      <w:rPr>
        <w:rFonts w:ascii="Symbol" w:hAnsi="Symbol" w:hint="default"/>
      </w:rPr>
    </w:lvl>
    <w:lvl w:ilvl="6">
      <w:start w:val="1"/>
      <w:numFmt w:val="none"/>
      <w:lvlRestart w:val="0"/>
      <w:lvlText w:val=""/>
      <w:lvlJc w:val="left"/>
      <w:pPr>
        <w:ind w:left="1" w:hanging="426"/>
      </w:pPr>
      <w:rPr>
        <w:rFonts w:hint="default"/>
      </w:rPr>
    </w:lvl>
    <w:lvl w:ilvl="7">
      <w:start w:val="1"/>
      <w:numFmt w:val="none"/>
      <w:lvlRestart w:val="0"/>
      <w:lvlText w:val=""/>
      <w:lvlJc w:val="left"/>
      <w:pPr>
        <w:ind w:left="1" w:hanging="426"/>
      </w:pPr>
      <w:rPr>
        <w:rFonts w:hint="default"/>
      </w:rPr>
    </w:lvl>
    <w:lvl w:ilvl="8">
      <w:start w:val="1"/>
      <w:numFmt w:val="none"/>
      <w:lvlRestart w:val="0"/>
      <w:lvlText w:val=""/>
      <w:lvlJc w:val="left"/>
      <w:pPr>
        <w:ind w:left="1" w:hanging="426"/>
      </w:pPr>
      <w:rPr>
        <w:rFonts w:hint="default"/>
      </w:rPr>
    </w:lvl>
  </w:abstractNum>
  <w:abstractNum w:abstractNumId="3" w15:restartNumberingAfterBreak="0">
    <w:nsid w:val="04DF1DEC"/>
    <w:multiLevelType w:val="hybridMultilevel"/>
    <w:tmpl w:val="3A9E2E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C53305"/>
    <w:multiLevelType w:val="multilevel"/>
    <w:tmpl w:val="A462EF18"/>
    <w:styleLink w:val="JacobsNumberedList1"/>
    <w:lvl w:ilvl="0">
      <w:start w:val="1"/>
      <w:numFmt w:val="decimal"/>
      <w:pStyle w:val="Para0number"/>
      <w:lvlText w:val="%1)"/>
      <w:lvlJc w:val="left"/>
      <w:pPr>
        <w:ind w:left="850" w:hanging="425"/>
      </w:pPr>
      <w:rPr>
        <w:rFonts w:hint="default"/>
      </w:rPr>
    </w:lvl>
    <w:lvl w:ilvl="1">
      <w:start w:val="1"/>
      <w:numFmt w:val="lowerLetter"/>
      <w:lvlText w:val="%2)"/>
      <w:lvlJc w:val="left"/>
      <w:pPr>
        <w:ind w:left="1276" w:hanging="426"/>
      </w:pPr>
      <w:rPr>
        <w:rFonts w:hint="default"/>
      </w:rPr>
    </w:lvl>
    <w:lvl w:ilvl="2">
      <w:start w:val="1"/>
      <w:numFmt w:val="lowerRoman"/>
      <w:pStyle w:val="Para2roman"/>
      <w:lvlText w:val="%3."/>
      <w:lvlJc w:val="left"/>
      <w:pPr>
        <w:ind w:left="1701" w:hanging="425"/>
      </w:pPr>
      <w:rPr>
        <w:rFonts w:hint="default"/>
      </w:rPr>
    </w:lvl>
    <w:lvl w:ilvl="3">
      <w:start w:val="1"/>
      <w:numFmt w:val="none"/>
      <w:lvlRestart w:val="0"/>
      <w:lvlText w:val=""/>
      <w:lvlJc w:val="left"/>
      <w:pPr>
        <w:ind w:left="1701" w:hanging="425"/>
      </w:pPr>
      <w:rPr>
        <w:rFonts w:hint="default"/>
      </w:rPr>
    </w:lvl>
    <w:lvl w:ilvl="4">
      <w:start w:val="1"/>
      <w:numFmt w:val="none"/>
      <w:lvlRestart w:val="0"/>
      <w:lvlText w:val=""/>
      <w:lvlJc w:val="left"/>
      <w:pPr>
        <w:ind w:left="1701" w:hanging="425"/>
      </w:pPr>
      <w:rPr>
        <w:rFonts w:hint="default"/>
      </w:rPr>
    </w:lvl>
    <w:lvl w:ilvl="5">
      <w:start w:val="1"/>
      <w:numFmt w:val="none"/>
      <w:lvlRestart w:val="0"/>
      <w:lvlText w:val=""/>
      <w:lvlJc w:val="left"/>
      <w:pPr>
        <w:ind w:left="1701" w:hanging="425"/>
      </w:pPr>
      <w:rPr>
        <w:rFonts w:hint="default"/>
      </w:rPr>
    </w:lvl>
    <w:lvl w:ilvl="6">
      <w:start w:val="1"/>
      <w:numFmt w:val="none"/>
      <w:lvlRestart w:val="0"/>
      <w:lvlText w:val=""/>
      <w:lvlJc w:val="left"/>
      <w:pPr>
        <w:ind w:left="1701" w:hanging="425"/>
      </w:pPr>
      <w:rPr>
        <w:rFonts w:hint="default"/>
      </w:rPr>
    </w:lvl>
    <w:lvl w:ilvl="7">
      <w:start w:val="1"/>
      <w:numFmt w:val="none"/>
      <w:lvlRestart w:val="0"/>
      <w:lvlText w:val=""/>
      <w:lvlJc w:val="left"/>
      <w:pPr>
        <w:ind w:left="1701" w:hanging="425"/>
      </w:pPr>
      <w:rPr>
        <w:rFonts w:hint="default"/>
      </w:rPr>
    </w:lvl>
    <w:lvl w:ilvl="8">
      <w:start w:val="1"/>
      <w:numFmt w:val="none"/>
      <w:lvlRestart w:val="0"/>
      <w:lvlText w:val=""/>
      <w:lvlJc w:val="left"/>
      <w:pPr>
        <w:ind w:left="1701" w:hanging="425"/>
      </w:pPr>
      <w:rPr>
        <w:rFonts w:hint="default"/>
      </w:rPr>
    </w:lvl>
  </w:abstractNum>
  <w:abstractNum w:abstractNumId="5" w15:restartNumberingAfterBreak="0">
    <w:nsid w:val="099D0038"/>
    <w:multiLevelType w:val="multilevel"/>
    <w:tmpl w:val="F5AC586E"/>
    <w:styleLink w:val="JacobsBulletList2"/>
    <w:lvl w:ilvl="0">
      <w:start w:val="1"/>
      <w:numFmt w:val="bullet"/>
      <w:pStyle w:val="Para0dash"/>
      <w:lvlText w:val="-"/>
      <w:lvlJc w:val="left"/>
      <w:pPr>
        <w:ind w:left="425" w:hanging="425"/>
      </w:pPr>
      <w:rPr>
        <w:rFonts w:ascii="Arial" w:hAnsi="Arial" w:hint="default"/>
        <w:color w:val="000000" w:themeColor="text1"/>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6" w15:restartNumberingAfterBreak="0">
    <w:nsid w:val="09CF0B20"/>
    <w:multiLevelType w:val="hybridMultilevel"/>
    <w:tmpl w:val="54BADBDC"/>
    <w:lvl w:ilvl="0" w:tplc="092C556A">
      <w:start w:val="1"/>
      <w:numFmt w:val="bullet"/>
      <w:pStyle w:val="ContentBulletsArrow"/>
      <w:lvlText w:val="&gt;"/>
      <w:lvlJc w:val="left"/>
      <w:pPr>
        <w:ind w:left="4298" w:hanging="851"/>
      </w:pPr>
      <w:rPr>
        <w:rFonts w:ascii="Arial" w:hAnsi="Arial" w:hint="default"/>
      </w:rPr>
    </w:lvl>
    <w:lvl w:ilvl="1" w:tplc="04090003" w:tentative="1">
      <w:start w:val="1"/>
      <w:numFmt w:val="bullet"/>
      <w:lvlText w:val="o"/>
      <w:lvlJc w:val="left"/>
      <w:pPr>
        <w:ind w:left="5171" w:hanging="360"/>
      </w:pPr>
      <w:rPr>
        <w:rFonts w:ascii="Courier New" w:hAnsi="Courier New" w:hint="default"/>
      </w:rPr>
    </w:lvl>
    <w:lvl w:ilvl="2" w:tplc="04090005" w:tentative="1">
      <w:start w:val="1"/>
      <w:numFmt w:val="bullet"/>
      <w:lvlText w:val=""/>
      <w:lvlJc w:val="left"/>
      <w:pPr>
        <w:ind w:left="5891" w:hanging="360"/>
      </w:pPr>
      <w:rPr>
        <w:rFonts w:ascii="Wingdings" w:hAnsi="Wingdings" w:hint="default"/>
      </w:rPr>
    </w:lvl>
    <w:lvl w:ilvl="3" w:tplc="04090001" w:tentative="1">
      <w:start w:val="1"/>
      <w:numFmt w:val="bullet"/>
      <w:lvlText w:val=""/>
      <w:lvlJc w:val="left"/>
      <w:pPr>
        <w:ind w:left="6611" w:hanging="360"/>
      </w:pPr>
      <w:rPr>
        <w:rFonts w:ascii="Symbol" w:hAnsi="Symbol" w:hint="default"/>
      </w:rPr>
    </w:lvl>
    <w:lvl w:ilvl="4" w:tplc="04090003" w:tentative="1">
      <w:start w:val="1"/>
      <w:numFmt w:val="bullet"/>
      <w:lvlText w:val="o"/>
      <w:lvlJc w:val="left"/>
      <w:pPr>
        <w:ind w:left="7331" w:hanging="360"/>
      </w:pPr>
      <w:rPr>
        <w:rFonts w:ascii="Courier New" w:hAnsi="Courier New" w:hint="default"/>
      </w:rPr>
    </w:lvl>
    <w:lvl w:ilvl="5" w:tplc="04090005" w:tentative="1">
      <w:start w:val="1"/>
      <w:numFmt w:val="bullet"/>
      <w:lvlText w:val=""/>
      <w:lvlJc w:val="left"/>
      <w:pPr>
        <w:ind w:left="8051" w:hanging="360"/>
      </w:pPr>
      <w:rPr>
        <w:rFonts w:ascii="Wingdings" w:hAnsi="Wingdings" w:hint="default"/>
      </w:rPr>
    </w:lvl>
    <w:lvl w:ilvl="6" w:tplc="04090001" w:tentative="1">
      <w:start w:val="1"/>
      <w:numFmt w:val="bullet"/>
      <w:lvlText w:val=""/>
      <w:lvlJc w:val="left"/>
      <w:pPr>
        <w:ind w:left="8771" w:hanging="360"/>
      </w:pPr>
      <w:rPr>
        <w:rFonts w:ascii="Symbol" w:hAnsi="Symbol" w:hint="default"/>
      </w:rPr>
    </w:lvl>
    <w:lvl w:ilvl="7" w:tplc="04090003" w:tentative="1">
      <w:start w:val="1"/>
      <w:numFmt w:val="bullet"/>
      <w:lvlText w:val="o"/>
      <w:lvlJc w:val="left"/>
      <w:pPr>
        <w:ind w:left="9491" w:hanging="360"/>
      </w:pPr>
      <w:rPr>
        <w:rFonts w:ascii="Courier New" w:hAnsi="Courier New" w:hint="default"/>
      </w:rPr>
    </w:lvl>
    <w:lvl w:ilvl="8" w:tplc="04090005" w:tentative="1">
      <w:start w:val="1"/>
      <w:numFmt w:val="bullet"/>
      <w:lvlText w:val=""/>
      <w:lvlJc w:val="left"/>
      <w:pPr>
        <w:ind w:left="10211" w:hanging="360"/>
      </w:pPr>
      <w:rPr>
        <w:rFonts w:ascii="Wingdings" w:hAnsi="Wingdings" w:hint="default"/>
      </w:rPr>
    </w:lvl>
  </w:abstractNum>
  <w:abstractNum w:abstractNumId="7" w15:restartNumberingAfterBreak="0">
    <w:nsid w:val="09E53B47"/>
    <w:multiLevelType w:val="hybridMultilevel"/>
    <w:tmpl w:val="255CAABC"/>
    <w:styleLink w:val="JacobsBulletList13"/>
    <w:lvl w:ilvl="0" w:tplc="14CC1B92">
      <w:start w:val="1"/>
      <w:numFmt w:val="bullet"/>
      <w:pStyle w:val="ContentBulletsDash"/>
      <w:lvlText w:val=""/>
      <w:lvlJc w:val="left"/>
      <w:pPr>
        <w:ind w:left="2693" w:hanging="851"/>
      </w:pPr>
      <w:rPr>
        <w:rFonts w:ascii="Symbol" w:hAnsi="Symbol" w:hint="default"/>
      </w:rPr>
    </w:lvl>
    <w:lvl w:ilvl="1" w:tplc="04090003">
      <w:start w:val="1"/>
      <w:numFmt w:val="bullet"/>
      <w:lvlText w:val="o"/>
      <w:lvlJc w:val="left"/>
      <w:pPr>
        <w:ind w:left="2715" w:hanging="360"/>
      </w:pPr>
      <w:rPr>
        <w:rFonts w:ascii="Courier New" w:hAnsi="Courier New" w:hint="default"/>
      </w:rPr>
    </w:lvl>
    <w:lvl w:ilvl="2" w:tplc="04090005">
      <w:start w:val="1"/>
      <w:numFmt w:val="bullet"/>
      <w:lvlText w:val=""/>
      <w:lvlJc w:val="left"/>
      <w:pPr>
        <w:ind w:left="3435" w:hanging="360"/>
      </w:pPr>
      <w:rPr>
        <w:rFonts w:ascii="Wingdings" w:hAnsi="Wingdings" w:hint="default"/>
      </w:rPr>
    </w:lvl>
    <w:lvl w:ilvl="3" w:tplc="04090001">
      <w:start w:val="1"/>
      <w:numFmt w:val="bullet"/>
      <w:lvlText w:val=""/>
      <w:lvlJc w:val="left"/>
      <w:pPr>
        <w:ind w:left="4155" w:hanging="360"/>
      </w:pPr>
      <w:rPr>
        <w:rFonts w:ascii="Symbol" w:hAnsi="Symbol" w:hint="default"/>
      </w:rPr>
    </w:lvl>
    <w:lvl w:ilvl="4" w:tplc="04090003">
      <w:start w:val="1"/>
      <w:numFmt w:val="bullet"/>
      <w:lvlText w:val="o"/>
      <w:lvlJc w:val="left"/>
      <w:pPr>
        <w:ind w:left="4875" w:hanging="360"/>
      </w:pPr>
      <w:rPr>
        <w:rFonts w:ascii="Courier New" w:hAnsi="Courier New" w:hint="default"/>
      </w:rPr>
    </w:lvl>
    <w:lvl w:ilvl="5" w:tplc="04090005" w:tentative="1">
      <w:start w:val="1"/>
      <w:numFmt w:val="bullet"/>
      <w:lvlText w:val=""/>
      <w:lvlJc w:val="left"/>
      <w:pPr>
        <w:ind w:left="5595" w:hanging="360"/>
      </w:pPr>
      <w:rPr>
        <w:rFonts w:ascii="Wingdings" w:hAnsi="Wingdings" w:hint="default"/>
      </w:rPr>
    </w:lvl>
    <w:lvl w:ilvl="6" w:tplc="04090001" w:tentative="1">
      <w:start w:val="1"/>
      <w:numFmt w:val="bullet"/>
      <w:lvlText w:val=""/>
      <w:lvlJc w:val="left"/>
      <w:pPr>
        <w:ind w:left="6315" w:hanging="360"/>
      </w:pPr>
      <w:rPr>
        <w:rFonts w:ascii="Symbol" w:hAnsi="Symbol" w:hint="default"/>
      </w:rPr>
    </w:lvl>
    <w:lvl w:ilvl="7" w:tplc="04090003" w:tentative="1">
      <w:start w:val="1"/>
      <w:numFmt w:val="bullet"/>
      <w:lvlText w:val="o"/>
      <w:lvlJc w:val="left"/>
      <w:pPr>
        <w:ind w:left="7035" w:hanging="360"/>
      </w:pPr>
      <w:rPr>
        <w:rFonts w:ascii="Courier New" w:hAnsi="Courier New" w:hint="default"/>
      </w:rPr>
    </w:lvl>
    <w:lvl w:ilvl="8" w:tplc="04090005" w:tentative="1">
      <w:start w:val="1"/>
      <w:numFmt w:val="bullet"/>
      <w:lvlText w:val=""/>
      <w:lvlJc w:val="left"/>
      <w:pPr>
        <w:ind w:left="7755" w:hanging="360"/>
      </w:pPr>
      <w:rPr>
        <w:rFonts w:ascii="Wingdings" w:hAnsi="Wingdings" w:hint="default"/>
      </w:rPr>
    </w:lvl>
  </w:abstractNum>
  <w:abstractNum w:abstractNumId="8" w15:restartNumberingAfterBreak="0">
    <w:nsid w:val="0AEF2D64"/>
    <w:multiLevelType w:val="multilevel"/>
    <w:tmpl w:val="9A9A8116"/>
    <w:styleLink w:val="JacobsSmallTableNumberedList1"/>
    <w:lvl w:ilvl="0">
      <w:start w:val="1"/>
      <w:numFmt w:val="decimal"/>
      <w:pStyle w:val="Tablesmallnumber"/>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ind w:left="567" w:hanging="283"/>
      </w:pPr>
      <w:rPr>
        <w:rFonts w:hint="default"/>
      </w:rPr>
    </w:lvl>
  </w:abstractNum>
  <w:abstractNum w:abstractNumId="9" w15:restartNumberingAfterBreak="0">
    <w:nsid w:val="0B381398"/>
    <w:multiLevelType w:val="multilevel"/>
    <w:tmpl w:val="B04275A2"/>
    <w:styleLink w:val="JacobsTableNumberedList2"/>
    <w:lvl w:ilvl="0">
      <w:start w:val="1"/>
      <w:numFmt w:val="lowerLetter"/>
      <w:pStyle w:val="Tableletter"/>
      <w:lvlText w:val="%1)"/>
      <w:lvlJc w:val="left"/>
      <w:pPr>
        <w:ind w:left="284" w:hanging="284"/>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10" w15:restartNumberingAfterBreak="0">
    <w:nsid w:val="0B597F44"/>
    <w:multiLevelType w:val="hybridMultilevel"/>
    <w:tmpl w:val="7A62682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C9C5E0A"/>
    <w:multiLevelType w:val="multilevel"/>
    <w:tmpl w:val="E8967D6A"/>
    <w:lvl w:ilvl="0">
      <w:numFmt w:val="bullet"/>
      <w:lvlText w:val="-"/>
      <w:lvlJc w:val="left"/>
      <w:pPr>
        <w:ind w:left="1155" w:hanging="425"/>
      </w:pPr>
      <w:rPr>
        <w:rFonts w:ascii="Arial" w:eastAsiaTheme="minorEastAsia" w:hAnsi="Arial" w:cs="Arial" w:hint="default"/>
        <w:color w:val="auto"/>
        <w:sz w:val="18"/>
      </w:rPr>
    </w:lvl>
    <w:lvl w:ilvl="1">
      <w:start w:val="1"/>
      <w:numFmt w:val="bullet"/>
      <w:lvlText w:val="-"/>
      <w:lvlJc w:val="left"/>
      <w:pPr>
        <w:ind w:left="1581" w:hanging="426"/>
      </w:pPr>
      <w:rPr>
        <w:rFonts w:ascii="Arial" w:hAnsi="Arial" w:hint="default"/>
        <w:color w:val="000000" w:themeColor="text1"/>
        <w:sz w:val="18"/>
      </w:rPr>
    </w:lvl>
    <w:lvl w:ilvl="2">
      <w:start w:val="1"/>
      <w:numFmt w:val="none"/>
      <w:lvlRestart w:val="0"/>
      <w:lvlText w:val=""/>
      <w:lvlJc w:val="left"/>
      <w:pPr>
        <w:ind w:left="1581" w:hanging="426"/>
      </w:pPr>
      <w:rPr>
        <w:rFonts w:hint="default"/>
      </w:rPr>
    </w:lvl>
    <w:lvl w:ilvl="3">
      <w:start w:val="1"/>
      <w:numFmt w:val="none"/>
      <w:lvlRestart w:val="0"/>
      <w:lvlText w:val=""/>
      <w:lvlJc w:val="left"/>
      <w:pPr>
        <w:ind w:left="1581" w:hanging="426"/>
      </w:pPr>
      <w:rPr>
        <w:rFonts w:hint="default"/>
      </w:rPr>
    </w:lvl>
    <w:lvl w:ilvl="4">
      <w:start w:val="1"/>
      <w:numFmt w:val="none"/>
      <w:lvlRestart w:val="0"/>
      <w:lvlText w:val=""/>
      <w:lvlJc w:val="left"/>
      <w:pPr>
        <w:ind w:left="1581" w:hanging="426"/>
      </w:pPr>
      <w:rPr>
        <w:rFonts w:hint="default"/>
      </w:rPr>
    </w:lvl>
    <w:lvl w:ilvl="5">
      <w:start w:val="1"/>
      <w:numFmt w:val="none"/>
      <w:lvlRestart w:val="0"/>
      <w:lvlText w:val=""/>
      <w:lvlJc w:val="left"/>
      <w:pPr>
        <w:ind w:left="1581" w:hanging="426"/>
      </w:pPr>
      <w:rPr>
        <w:rFonts w:hint="default"/>
      </w:rPr>
    </w:lvl>
    <w:lvl w:ilvl="6">
      <w:start w:val="1"/>
      <w:numFmt w:val="none"/>
      <w:lvlRestart w:val="0"/>
      <w:lvlText w:val=""/>
      <w:lvlJc w:val="left"/>
      <w:pPr>
        <w:ind w:left="1581" w:hanging="426"/>
      </w:pPr>
      <w:rPr>
        <w:rFonts w:hint="default"/>
      </w:rPr>
    </w:lvl>
    <w:lvl w:ilvl="7">
      <w:start w:val="1"/>
      <w:numFmt w:val="none"/>
      <w:lvlRestart w:val="0"/>
      <w:lvlText w:val=""/>
      <w:lvlJc w:val="left"/>
      <w:pPr>
        <w:ind w:left="1581" w:hanging="426"/>
      </w:pPr>
      <w:rPr>
        <w:rFonts w:hint="default"/>
      </w:rPr>
    </w:lvl>
    <w:lvl w:ilvl="8">
      <w:start w:val="1"/>
      <w:numFmt w:val="none"/>
      <w:lvlRestart w:val="0"/>
      <w:lvlText w:val=""/>
      <w:lvlJc w:val="left"/>
      <w:pPr>
        <w:ind w:left="1581" w:hanging="426"/>
      </w:pPr>
      <w:rPr>
        <w:rFonts w:hint="default"/>
      </w:rPr>
    </w:lvl>
  </w:abstractNum>
  <w:abstractNum w:abstractNumId="12" w15:restartNumberingAfterBreak="0">
    <w:nsid w:val="0ED64864"/>
    <w:multiLevelType w:val="hybridMultilevel"/>
    <w:tmpl w:val="DD4C6020"/>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3" w15:restartNumberingAfterBreak="0">
    <w:nsid w:val="10763C61"/>
    <w:multiLevelType w:val="hybridMultilevel"/>
    <w:tmpl w:val="2466E8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0F659A1"/>
    <w:multiLevelType w:val="hybridMultilevel"/>
    <w:tmpl w:val="932A302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38A5657"/>
    <w:multiLevelType w:val="hybridMultilevel"/>
    <w:tmpl w:val="30A463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39B48B7"/>
    <w:multiLevelType w:val="hybridMultilevel"/>
    <w:tmpl w:val="C50CF3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3C65681"/>
    <w:multiLevelType w:val="multilevel"/>
    <w:tmpl w:val="0C09001D"/>
    <w:lvl w:ilvl="0">
      <w:start w:val="1"/>
      <w:numFmt w:val="decimal"/>
      <w:lvlText w:val="%1)"/>
      <w:lvlJc w:val="left"/>
      <w:pPr>
        <w:ind w:left="785" w:hanging="360"/>
      </w:pPr>
    </w:lvl>
    <w:lvl w:ilvl="1">
      <w:start w:val="1"/>
      <w:numFmt w:val="lowerLetter"/>
      <w:lvlText w:val="%2)"/>
      <w:lvlJc w:val="left"/>
      <w:pPr>
        <w:ind w:left="1145" w:hanging="360"/>
      </w:pPr>
    </w:lvl>
    <w:lvl w:ilvl="2">
      <w:start w:val="1"/>
      <w:numFmt w:val="lowerRoman"/>
      <w:lvlText w:val="%3)"/>
      <w:lvlJc w:val="left"/>
      <w:pPr>
        <w:ind w:left="1505" w:hanging="360"/>
      </w:pPr>
    </w:lvl>
    <w:lvl w:ilvl="3">
      <w:start w:val="1"/>
      <w:numFmt w:val="decimal"/>
      <w:lvlText w:val="(%4)"/>
      <w:lvlJc w:val="left"/>
      <w:pPr>
        <w:ind w:left="1865" w:hanging="360"/>
      </w:pPr>
    </w:lvl>
    <w:lvl w:ilvl="4">
      <w:start w:val="1"/>
      <w:numFmt w:val="lowerLetter"/>
      <w:lvlText w:val="(%5)"/>
      <w:lvlJc w:val="left"/>
      <w:pPr>
        <w:ind w:left="2225" w:hanging="360"/>
      </w:pPr>
    </w:lvl>
    <w:lvl w:ilvl="5">
      <w:start w:val="1"/>
      <w:numFmt w:val="lowerRoman"/>
      <w:lvlText w:val="(%6)"/>
      <w:lvlJc w:val="left"/>
      <w:pPr>
        <w:ind w:left="2585" w:hanging="360"/>
      </w:pPr>
    </w:lvl>
    <w:lvl w:ilvl="6">
      <w:start w:val="1"/>
      <w:numFmt w:val="decimal"/>
      <w:lvlText w:val="%7."/>
      <w:lvlJc w:val="left"/>
      <w:pPr>
        <w:ind w:left="2945" w:hanging="360"/>
      </w:pPr>
    </w:lvl>
    <w:lvl w:ilvl="7">
      <w:start w:val="1"/>
      <w:numFmt w:val="lowerLetter"/>
      <w:lvlText w:val="%8."/>
      <w:lvlJc w:val="left"/>
      <w:pPr>
        <w:ind w:left="3305" w:hanging="360"/>
      </w:pPr>
    </w:lvl>
    <w:lvl w:ilvl="8">
      <w:start w:val="1"/>
      <w:numFmt w:val="lowerRoman"/>
      <w:lvlText w:val="%9."/>
      <w:lvlJc w:val="left"/>
      <w:pPr>
        <w:ind w:left="3665" w:hanging="360"/>
      </w:pPr>
    </w:lvl>
  </w:abstractNum>
  <w:abstractNum w:abstractNumId="18" w15:restartNumberingAfterBreak="0">
    <w:nsid w:val="149B38D1"/>
    <w:multiLevelType w:val="multilevel"/>
    <w:tmpl w:val="8BC81D84"/>
    <w:styleLink w:val="JacobsSmallTableNumberedList2"/>
    <w:lvl w:ilvl="0">
      <w:start w:val="1"/>
      <w:numFmt w:val="lowerLetter"/>
      <w:pStyle w:val="Tablesmallletter"/>
      <w:lvlText w:val="%1)"/>
      <w:lvlJc w:val="left"/>
      <w:pPr>
        <w:ind w:left="284" w:hanging="284"/>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19" w15:restartNumberingAfterBreak="0">
    <w:nsid w:val="15587C12"/>
    <w:multiLevelType w:val="multilevel"/>
    <w:tmpl w:val="3BA44F1A"/>
    <w:styleLink w:val="JacobsTableList1"/>
    <w:lvl w:ilvl="0">
      <w:start w:val="1"/>
      <w:numFmt w:val="bullet"/>
      <w:pStyle w:val="Table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0" w15:restartNumberingAfterBreak="0">
    <w:nsid w:val="15D9676C"/>
    <w:multiLevelType w:val="hybridMultilevel"/>
    <w:tmpl w:val="9CAE4152"/>
    <w:lvl w:ilvl="0" w:tplc="0C090019">
      <w:start w:val="1"/>
      <w:numFmt w:val="lowerLetter"/>
      <w:lvlText w:val="%1."/>
      <w:lvlJc w:val="left"/>
      <w:pPr>
        <w:ind w:left="770" w:hanging="360"/>
      </w:pPr>
    </w:lvl>
    <w:lvl w:ilvl="1" w:tplc="0C090019" w:tentative="1">
      <w:start w:val="1"/>
      <w:numFmt w:val="lowerLetter"/>
      <w:lvlText w:val="%2."/>
      <w:lvlJc w:val="left"/>
      <w:pPr>
        <w:ind w:left="1490" w:hanging="360"/>
      </w:pPr>
    </w:lvl>
    <w:lvl w:ilvl="2" w:tplc="0C09001B" w:tentative="1">
      <w:start w:val="1"/>
      <w:numFmt w:val="lowerRoman"/>
      <w:lvlText w:val="%3."/>
      <w:lvlJc w:val="right"/>
      <w:pPr>
        <w:ind w:left="2210" w:hanging="180"/>
      </w:pPr>
    </w:lvl>
    <w:lvl w:ilvl="3" w:tplc="0C09000F" w:tentative="1">
      <w:start w:val="1"/>
      <w:numFmt w:val="decimal"/>
      <w:lvlText w:val="%4."/>
      <w:lvlJc w:val="left"/>
      <w:pPr>
        <w:ind w:left="2930" w:hanging="360"/>
      </w:pPr>
    </w:lvl>
    <w:lvl w:ilvl="4" w:tplc="0C090019" w:tentative="1">
      <w:start w:val="1"/>
      <w:numFmt w:val="lowerLetter"/>
      <w:lvlText w:val="%5."/>
      <w:lvlJc w:val="left"/>
      <w:pPr>
        <w:ind w:left="3650" w:hanging="360"/>
      </w:pPr>
    </w:lvl>
    <w:lvl w:ilvl="5" w:tplc="0C09001B" w:tentative="1">
      <w:start w:val="1"/>
      <w:numFmt w:val="lowerRoman"/>
      <w:lvlText w:val="%6."/>
      <w:lvlJc w:val="right"/>
      <w:pPr>
        <w:ind w:left="4370" w:hanging="180"/>
      </w:pPr>
    </w:lvl>
    <w:lvl w:ilvl="6" w:tplc="0C09000F" w:tentative="1">
      <w:start w:val="1"/>
      <w:numFmt w:val="decimal"/>
      <w:lvlText w:val="%7."/>
      <w:lvlJc w:val="left"/>
      <w:pPr>
        <w:ind w:left="5090" w:hanging="360"/>
      </w:pPr>
    </w:lvl>
    <w:lvl w:ilvl="7" w:tplc="0C090019" w:tentative="1">
      <w:start w:val="1"/>
      <w:numFmt w:val="lowerLetter"/>
      <w:lvlText w:val="%8."/>
      <w:lvlJc w:val="left"/>
      <w:pPr>
        <w:ind w:left="5810" w:hanging="360"/>
      </w:pPr>
    </w:lvl>
    <w:lvl w:ilvl="8" w:tplc="0C09001B" w:tentative="1">
      <w:start w:val="1"/>
      <w:numFmt w:val="lowerRoman"/>
      <w:lvlText w:val="%9."/>
      <w:lvlJc w:val="right"/>
      <w:pPr>
        <w:ind w:left="6530" w:hanging="180"/>
      </w:pPr>
    </w:lvl>
  </w:abstractNum>
  <w:abstractNum w:abstractNumId="21" w15:restartNumberingAfterBreak="0">
    <w:nsid w:val="171B275F"/>
    <w:multiLevelType w:val="hybridMultilevel"/>
    <w:tmpl w:val="48D0E8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7E60AD1"/>
    <w:multiLevelType w:val="multilevel"/>
    <w:tmpl w:val="67D2681C"/>
    <w:lvl w:ilvl="0">
      <w:start w:val="1"/>
      <w:numFmt w:val="decimal"/>
      <w:lvlText w:val="%1)"/>
      <w:lvlJc w:val="left"/>
      <w:pPr>
        <w:ind w:left="850" w:hanging="425"/>
      </w:pPr>
      <w:rPr>
        <w:rFonts w:hint="default"/>
        <w:color w:val="auto"/>
        <w:sz w:val="20"/>
        <w:szCs w:val="20"/>
      </w:rPr>
    </w:lvl>
    <w:lvl w:ilvl="1">
      <w:start w:val="1"/>
      <w:numFmt w:val="bullet"/>
      <w:lvlText w:val="-"/>
      <w:lvlJc w:val="left"/>
      <w:pPr>
        <w:ind w:left="1276" w:hanging="426"/>
      </w:pPr>
      <w:rPr>
        <w:rFonts w:ascii="Arial" w:hAnsi="Arial" w:hint="default"/>
        <w:color w:val="000000" w:themeColor="text1"/>
        <w:sz w:val="18"/>
      </w:rPr>
    </w:lvl>
    <w:lvl w:ilvl="2">
      <w:start w:val="1"/>
      <w:numFmt w:val="none"/>
      <w:lvlRestart w:val="0"/>
      <w:lvlText w:val=""/>
      <w:lvlJc w:val="left"/>
      <w:pPr>
        <w:ind w:left="1276" w:hanging="426"/>
      </w:pPr>
      <w:rPr>
        <w:rFonts w:hint="default"/>
      </w:rPr>
    </w:lvl>
    <w:lvl w:ilvl="3">
      <w:start w:val="1"/>
      <w:numFmt w:val="none"/>
      <w:lvlRestart w:val="0"/>
      <w:lvlText w:val=""/>
      <w:lvlJc w:val="left"/>
      <w:pPr>
        <w:ind w:left="1276" w:hanging="426"/>
      </w:pPr>
      <w:rPr>
        <w:rFonts w:hint="default"/>
      </w:rPr>
    </w:lvl>
    <w:lvl w:ilvl="4">
      <w:start w:val="1"/>
      <w:numFmt w:val="none"/>
      <w:lvlRestart w:val="0"/>
      <w:lvlText w:val=""/>
      <w:lvlJc w:val="left"/>
      <w:pPr>
        <w:ind w:left="1276" w:hanging="426"/>
      </w:pPr>
      <w:rPr>
        <w:rFonts w:hint="default"/>
      </w:rPr>
    </w:lvl>
    <w:lvl w:ilvl="5">
      <w:start w:val="1"/>
      <w:numFmt w:val="none"/>
      <w:lvlRestart w:val="0"/>
      <w:lvlText w:val=""/>
      <w:lvlJc w:val="left"/>
      <w:pPr>
        <w:ind w:left="1276" w:hanging="426"/>
      </w:pPr>
      <w:rPr>
        <w:rFonts w:hint="default"/>
      </w:rPr>
    </w:lvl>
    <w:lvl w:ilvl="6">
      <w:start w:val="1"/>
      <w:numFmt w:val="none"/>
      <w:lvlRestart w:val="0"/>
      <w:lvlText w:val=""/>
      <w:lvlJc w:val="left"/>
      <w:pPr>
        <w:ind w:left="1276" w:hanging="426"/>
      </w:pPr>
      <w:rPr>
        <w:rFonts w:hint="default"/>
      </w:rPr>
    </w:lvl>
    <w:lvl w:ilvl="7">
      <w:start w:val="1"/>
      <w:numFmt w:val="none"/>
      <w:lvlRestart w:val="0"/>
      <w:lvlText w:val=""/>
      <w:lvlJc w:val="left"/>
      <w:pPr>
        <w:ind w:left="1276" w:hanging="426"/>
      </w:pPr>
      <w:rPr>
        <w:rFonts w:hint="default"/>
      </w:rPr>
    </w:lvl>
    <w:lvl w:ilvl="8">
      <w:start w:val="1"/>
      <w:numFmt w:val="none"/>
      <w:lvlRestart w:val="0"/>
      <w:lvlText w:val=""/>
      <w:lvlJc w:val="left"/>
      <w:pPr>
        <w:ind w:left="1276" w:hanging="426"/>
      </w:pPr>
      <w:rPr>
        <w:rFonts w:hint="default"/>
      </w:rPr>
    </w:lvl>
  </w:abstractNum>
  <w:abstractNum w:abstractNumId="23" w15:restartNumberingAfterBreak="0">
    <w:nsid w:val="17EC5BB2"/>
    <w:multiLevelType w:val="multilevel"/>
    <w:tmpl w:val="E8662322"/>
    <w:styleLink w:val="JacobsBulletList3"/>
    <w:lvl w:ilvl="0">
      <w:start w:val="1"/>
      <w:numFmt w:val="bullet"/>
      <w:pStyle w:val="Para0arrow"/>
      <w:lvlText w:val=""/>
      <w:lvlJc w:val="left"/>
      <w:pPr>
        <w:ind w:left="425" w:hanging="425"/>
      </w:pPr>
      <w:rPr>
        <w:rFonts w:ascii="Symbol" w:hAnsi="Symbol" w:hint="default"/>
        <w:color w:val="auto"/>
      </w:rPr>
    </w:lvl>
    <w:lvl w:ilvl="1">
      <w:start w:val="1"/>
      <w:numFmt w:val="none"/>
      <w:lvlText w:val=""/>
      <w:lvlJc w:val="left"/>
      <w:pPr>
        <w:ind w:left="425" w:hanging="425"/>
      </w:pPr>
      <w:rPr>
        <w:rFonts w:hint="default"/>
      </w:rPr>
    </w:lvl>
    <w:lvl w:ilvl="2">
      <w:start w:val="1"/>
      <w:numFmt w:val="none"/>
      <w:lvlRestart w:val="1"/>
      <w:lvlText w:val=""/>
      <w:lvlJc w:val="left"/>
      <w:pPr>
        <w:ind w:left="425" w:hanging="425"/>
      </w:pPr>
      <w:rPr>
        <w:rFonts w:hint="default"/>
      </w:rPr>
    </w:lvl>
    <w:lvl w:ilvl="3">
      <w:start w:val="1"/>
      <w:numFmt w:val="none"/>
      <w:lvlRestart w:val="1"/>
      <w:lvlText w:val=""/>
      <w:lvlJc w:val="left"/>
      <w:pPr>
        <w:ind w:left="425" w:hanging="425"/>
      </w:pPr>
      <w:rPr>
        <w:rFonts w:hint="default"/>
      </w:rPr>
    </w:lvl>
    <w:lvl w:ilvl="4">
      <w:start w:val="1"/>
      <w:numFmt w:val="none"/>
      <w:lvlRestart w:val="1"/>
      <w:lvlText w:val=""/>
      <w:lvlJc w:val="left"/>
      <w:pPr>
        <w:ind w:left="425" w:hanging="425"/>
      </w:pPr>
      <w:rPr>
        <w:rFonts w:hint="default"/>
      </w:rPr>
    </w:lvl>
    <w:lvl w:ilvl="5">
      <w:start w:val="1"/>
      <w:numFmt w:val="none"/>
      <w:lvlRestart w:val="1"/>
      <w:lvlText w:val=""/>
      <w:lvlJc w:val="left"/>
      <w:pPr>
        <w:ind w:left="425" w:hanging="425"/>
      </w:pPr>
      <w:rPr>
        <w:rFonts w:hint="default"/>
      </w:rPr>
    </w:lvl>
    <w:lvl w:ilvl="6">
      <w:start w:val="1"/>
      <w:numFmt w:val="none"/>
      <w:lvlRestart w:val="1"/>
      <w:lvlText w:val=""/>
      <w:lvlJc w:val="left"/>
      <w:pPr>
        <w:ind w:left="425" w:hanging="425"/>
      </w:pPr>
      <w:rPr>
        <w:rFonts w:hint="default"/>
      </w:rPr>
    </w:lvl>
    <w:lvl w:ilvl="7">
      <w:start w:val="1"/>
      <w:numFmt w:val="none"/>
      <w:lvlRestart w:val="1"/>
      <w:lvlText w:val=""/>
      <w:lvlJc w:val="left"/>
      <w:pPr>
        <w:ind w:left="425" w:hanging="425"/>
      </w:pPr>
      <w:rPr>
        <w:rFonts w:hint="default"/>
      </w:rPr>
    </w:lvl>
    <w:lvl w:ilvl="8">
      <w:start w:val="1"/>
      <w:numFmt w:val="none"/>
      <w:lvlRestart w:val="1"/>
      <w:lvlText w:val=""/>
      <w:lvlJc w:val="left"/>
      <w:pPr>
        <w:ind w:left="425" w:hanging="425"/>
      </w:pPr>
      <w:rPr>
        <w:rFonts w:hint="default"/>
      </w:rPr>
    </w:lvl>
  </w:abstractNum>
  <w:abstractNum w:abstractNumId="24" w15:restartNumberingAfterBreak="0">
    <w:nsid w:val="18010392"/>
    <w:multiLevelType w:val="hybridMultilevel"/>
    <w:tmpl w:val="9CAE4152"/>
    <w:lvl w:ilvl="0" w:tplc="0C090019">
      <w:start w:val="1"/>
      <w:numFmt w:val="lowerLetter"/>
      <w:lvlText w:val="%1."/>
      <w:lvlJc w:val="left"/>
      <w:pPr>
        <w:ind w:left="770" w:hanging="360"/>
      </w:pPr>
    </w:lvl>
    <w:lvl w:ilvl="1" w:tplc="0C090019" w:tentative="1">
      <w:start w:val="1"/>
      <w:numFmt w:val="lowerLetter"/>
      <w:lvlText w:val="%2."/>
      <w:lvlJc w:val="left"/>
      <w:pPr>
        <w:ind w:left="1490" w:hanging="360"/>
      </w:pPr>
    </w:lvl>
    <w:lvl w:ilvl="2" w:tplc="0C09001B" w:tentative="1">
      <w:start w:val="1"/>
      <w:numFmt w:val="lowerRoman"/>
      <w:lvlText w:val="%3."/>
      <w:lvlJc w:val="right"/>
      <w:pPr>
        <w:ind w:left="2210" w:hanging="180"/>
      </w:pPr>
    </w:lvl>
    <w:lvl w:ilvl="3" w:tplc="0C09000F" w:tentative="1">
      <w:start w:val="1"/>
      <w:numFmt w:val="decimal"/>
      <w:lvlText w:val="%4."/>
      <w:lvlJc w:val="left"/>
      <w:pPr>
        <w:ind w:left="2930" w:hanging="360"/>
      </w:pPr>
    </w:lvl>
    <w:lvl w:ilvl="4" w:tplc="0C090019" w:tentative="1">
      <w:start w:val="1"/>
      <w:numFmt w:val="lowerLetter"/>
      <w:lvlText w:val="%5."/>
      <w:lvlJc w:val="left"/>
      <w:pPr>
        <w:ind w:left="3650" w:hanging="360"/>
      </w:pPr>
    </w:lvl>
    <w:lvl w:ilvl="5" w:tplc="0C09001B" w:tentative="1">
      <w:start w:val="1"/>
      <w:numFmt w:val="lowerRoman"/>
      <w:lvlText w:val="%6."/>
      <w:lvlJc w:val="right"/>
      <w:pPr>
        <w:ind w:left="4370" w:hanging="180"/>
      </w:pPr>
    </w:lvl>
    <w:lvl w:ilvl="6" w:tplc="0C09000F" w:tentative="1">
      <w:start w:val="1"/>
      <w:numFmt w:val="decimal"/>
      <w:lvlText w:val="%7."/>
      <w:lvlJc w:val="left"/>
      <w:pPr>
        <w:ind w:left="5090" w:hanging="360"/>
      </w:pPr>
    </w:lvl>
    <w:lvl w:ilvl="7" w:tplc="0C090019" w:tentative="1">
      <w:start w:val="1"/>
      <w:numFmt w:val="lowerLetter"/>
      <w:lvlText w:val="%8."/>
      <w:lvlJc w:val="left"/>
      <w:pPr>
        <w:ind w:left="5810" w:hanging="360"/>
      </w:pPr>
    </w:lvl>
    <w:lvl w:ilvl="8" w:tplc="0C09001B" w:tentative="1">
      <w:start w:val="1"/>
      <w:numFmt w:val="lowerRoman"/>
      <w:lvlText w:val="%9."/>
      <w:lvlJc w:val="right"/>
      <w:pPr>
        <w:ind w:left="6530" w:hanging="180"/>
      </w:pPr>
    </w:lvl>
  </w:abstractNum>
  <w:abstractNum w:abstractNumId="25" w15:restartNumberingAfterBreak="0">
    <w:nsid w:val="1C8C638D"/>
    <w:multiLevelType w:val="multilevel"/>
    <w:tmpl w:val="BD3067A6"/>
    <w:styleLink w:val="JacobsNumberedList3"/>
    <w:lvl w:ilvl="0">
      <w:start w:val="1"/>
      <w:numFmt w:val="lowerRoman"/>
      <w:pStyle w:val="Para0roman"/>
      <w:lvlText w:val="%1."/>
      <w:lvlJc w:val="left"/>
      <w:pPr>
        <w:ind w:left="425" w:hanging="425"/>
      </w:pPr>
      <w:rPr>
        <w:rFonts w:hint="default"/>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26" w15:restartNumberingAfterBreak="0">
    <w:nsid w:val="1EF42AB8"/>
    <w:multiLevelType w:val="hybridMultilevel"/>
    <w:tmpl w:val="03E605C0"/>
    <w:lvl w:ilvl="0" w:tplc="0EA6463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1FB64852"/>
    <w:multiLevelType w:val="hybridMultilevel"/>
    <w:tmpl w:val="7A62682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203005AA"/>
    <w:multiLevelType w:val="multilevel"/>
    <w:tmpl w:val="859AFD18"/>
    <w:lvl w:ilvl="0">
      <w:start w:val="1"/>
      <w:numFmt w:val="decimal"/>
      <w:lvlText w:val="%1)"/>
      <w:lvlJc w:val="left"/>
      <w:pPr>
        <w:ind w:left="850" w:hanging="425"/>
      </w:pPr>
      <w:rPr>
        <w:rFonts w:hint="default"/>
        <w:color w:val="auto"/>
        <w:sz w:val="18"/>
      </w:rPr>
    </w:lvl>
    <w:lvl w:ilvl="1">
      <w:start w:val="1"/>
      <w:numFmt w:val="bullet"/>
      <w:lvlText w:val="-"/>
      <w:lvlJc w:val="left"/>
      <w:pPr>
        <w:ind w:left="1276" w:hanging="426"/>
      </w:pPr>
      <w:rPr>
        <w:rFonts w:ascii="Arial" w:hAnsi="Arial" w:hint="default"/>
        <w:color w:val="000000" w:themeColor="text1"/>
        <w:sz w:val="18"/>
      </w:rPr>
    </w:lvl>
    <w:lvl w:ilvl="2">
      <w:start w:val="1"/>
      <w:numFmt w:val="none"/>
      <w:lvlRestart w:val="0"/>
      <w:lvlText w:val=""/>
      <w:lvlJc w:val="left"/>
      <w:pPr>
        <w:ind w:left="1276" w:hanging="426"/>
      </w:pPr>
      <w:rPr>
        <w:rFonts w:hint="default"/>
      </w:rPr>
    </w:lvl>
    <w:lvl w:ilvl="3">
      <w:start w:val="1"/>
      <w:numFmt w:val="none"/>
      <w:lvlRestart w:val="0"/>
      <w:lvlText w:val=""/>
      <w:lvlJc w:val="left"/>
      <w:pPr>
        <w:ind w:left="1276" w:hanging="426"/>
      </w:pPr>
      <w:rPr>
        <w:rFonts w:hint="default"/>
      </w:rPr>
    </w:lvl>
    <w:lvl w:ilvl="4">
      <w:start w:val="1"/>
      <w:numFmt w:val="none"/>
      <w:lvlRestart w:val="0"/>
      <w:lvlText w:val=""/>
      <w:lvlJc w:val="left"/>
      <w:pPr>
        <w:ind w:left="1276" w:hanging="426"/>
      </w:pPr>
      <w:rPr>
        <w:rFonts w:hint="default"/>
      </w:rPr>
    </w:lvl>
    <w:lvl w:ilvl="5">
      <w:start w:val="1"/>
      <w:numFmt w:val="none"/>
      <w:lvlRestart w:val="0"/>
      <w:lvlText w:val=""/>
      <w:lvlJc w:val="left"/>
      <w:pPr>
        <w:ind w:left="1276" w:hanging="426"/>
      </w:pPr>
      <w:rPr>
        <w:rFonts w:hint="default"/>
      </w:rPr>
    </w:lvl>
    <w:lvl w:ilvl="6">
      <w:start w:val="1"/>
      <w:numFmt w:val="none"/>
      <w:lvlRestart w:val="0"/>
      <w:lvlText w:val=""/>
      <w:lvlJc w:val="left"/>
      <w:pPr>
        <w:ind w:left="1276" w:hanging="426"/>
      </w:pPr>
      <w:rPr>
        <w:rFonts w:hint="default"/>
      </w:rPr>
    </w:lvl>
    <w:lvl w:ilvl="7">
      <w:start w:val="1"/>
      <w:numFmt w:val="none"/>
      <w:lvlRestart w:val="0"/>
      <w:lvlText w:val=""/>
      <w:lvlJc w:val="left"/>
      <w:pPr>
        <w:ind w:left="1276" w:hanging="426"/>
      </w:pPr>
      <w:rPr>
        <w:rFonts w:hint="default"/>
      </w:rPr>
    </w:lvl>
    <w:lvl w:ilvl="8">
      <w:start w:val="1"/>
      <w:numFmt w:val="none"/>
      <w:lvlRestart w:val="0"/>
      <w:lvlText w:val=""/>
      <w:lvlJc w:val="left"/>
      <w:pPr>
        <w:ind w:left="1276" w:hanging="426"/>
      </w:pPr>
      <w:rPr>
        <w:rFonts w:hint="default"/>
      </w:rPr>
    </w:lvl>
  </w:abstractNum>
  <w:abstractNum w:abstractNumId="29" w15:restartNumberingAfterBreak="0">
    <w:nsid w:val="22BD5706"/>
    <w:multiLevelType w:val="multilevel"/>
    <w:tmpl w:val="0060B47C"/>
    <w:styleLink w:val="JacobsBodyList"/>
    <w:lvl w:ilvl="0">
      <w:start w:val="1"/>
      <w:numFmt w:val="bullet"/>
      <w:pStyle w:val="Bodynarrowbullet"/>
      <w:lvlText w:val=""/>
      <w:lvlJc w:val="left"/>
      <w:pPr>
        <w:tabs>
          <w:tab w:val="num" w:pos="3600"/>
        </w:tabs>
        <w:ind w:left="3600" w:hanging="3600"/>
      </w:pPr>
      <w:rPr>
        <w:rFonts w:ascii="Symbol" w:hAnsi="Symbol" w:hint="default"/>
        <w:color w:val="auto"/>
      </w:rPr>
    </w:lvl>
    <w:lvl w:ilvl="1">
      <w:start w:val="1"/>
      <w:numFmt w:val="bullet"/>
      <w:lvlRestart w:val="0"/>
      <w:pStyle w:val="Bodynarrowarrow"/>
      <w:lvlText w:val=""/>
      <w:lvlJc w:val="left"/>
      <w:pPr>
        <w:ind w:left="3799" w:hanging="3601"/>
      </w:pPr>
      <w:rPr>
        <w:rFonts w:ascii="Symbol" w:hAnsi="Symbol" w:hint="default"/>
        <w:color w:val="auto"/>
      </w:rPr>
    </w:lvl>
    <w:lvl w:ilvl="2">
      <w:start w:val="1"/>
      <w:numFmt w:val="none"/>
      <w:lvlRestart w:val="0"/>
      <w:lvlText w:val=""/>
      <w:lvlJc w:val="left"/>
      <w:pPr>
        <w:ind w:left="3799" w:hanging="3601"/>
      </w:pPr>
      <w:rPr>
        <w:rFonts w:hint="default"/>
      </w:rPr>
    </w:lvl>
    <w:lvl w:ilvl="3">
      <w:start w:val="1"/>
      <w:numFmt w:val="none"/>
      <w:lvlRestart w:val="0"/>
      <w:lvlText w:val=""/>
      <w:lvlJc w:val="left"/>
      <w:pPr>
        <w:ind w:left="3799" w:hanging="3601"/>
      </w:pPr>
      <w:rPr>
        <w:rFonts w:hint="default"/>
      </w:rPr>
    </w:lvl>
    <w:lvl w:ilvl="4">
      <w:start w:val="1"/>
      <w:numFmt w:val="none"/>
      <w:lvlRestart w:val="0"/>
      <w:lvlText w:val=""/>
      <w:lvlJc w:val="left"/>
      <w:pPr>
        <w:ind w:left="3799" w:hanging="3601"/>
      </w:pPr>
      <w:rPr>
        <w:rFonts w:hint="default"/>
      </w:rPr>
    </w:lvl>
    <w:lvl w:ilvl="5">
      <w:start w:val="1"/>
      <w:numFmt w:val="none"/>
      <w:lvlRestart w:val="0"/>
      <w:lvlText w:val=""/>
      <w:lvlJc w:val="left"/>
      <w:pPr>
        <w:ind w:left="3799" w:hanging="3601"/>
      </w:pPr>
      <w:rPr>
        <w:rFonts w:hint="default"/>
      </w:rPr>
    </w:lvl>
    <w:lvl w:ilvl="6">
      <w:start w:val="1"/>
      <w:numFmt w:val="none"/>
      <w:lvlRestart w:val="0"/>
      <w:lvlText w:val=""/>
      <w:lvlJc w:val="left"/>
      <w:pPr>
        <w:ind w:left="3799" w:hanging="3601"/>
      </w:pPr>
      <w:rPr>
        <w:rFonts w:hint="default"/>
      </w:rPr>
    </w:lvl>
    <w:lvl w:ilvl="7">
      <w:start w:val="1"/>
      <w:numFmt w:val="none"/>
      <w:lvlRestart w:val="0"/>
      <w:lvlText w:val=""/>
      <w:lvlJc w:val="left"/>
      <w:pPr>
        <w:ind w:left="3799" w:hanging="3601"/>
      </w:pPr>
      <w:rPr>
        <w:rFonts w:hint="default"/>
      </w:rPr>
    </w:lvl>
    <w:lvl w:ilvl="8">
      <w:start w:val="1"/>
      <w:numFmt w:val="none"/>
      <w:lvlRestart w:val="0"/>
      <w:lvlText w:val=""/>
      <w:lvlJc w:val="left"/>
      <w:pPr>
        <w:ind w:left="3799" w:hanging="3601"/>
      </w:pPr>
      <w:rPr>
        <w:rFonts w:hint="default"/>
      </w:rPr>
    </w:lvl>
  </w:abstractNum>
  <w:abstractNum w:abstractNumId="30" w15:restartNumberingAfterBreak="0">
    <w:nsid w:val="23FA5B3F"/>
    <w:multiLevelType w:val="hybridMultilevel"/>
    <w:tmpl w:val="889C6B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69425B2"/>
    <w:multiLevelType w:val="hybridMultilevel"/>
    <w:tmpl w:val="7A62682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29E43987"/>
    <w:multiLevelType w:val="hybridMultilevel"/>
    <w:tmpl w:val="3AAEAC96"/>
    <w:lvl w:ilvl="0" w:tplc="0C090001">
      <w:start w:val="1"/>
      <w:numFmt w:val="bullet"/>
      <w:lvlText w:val=""/>
      <w:lvlJc w:val="left"/>
      <w:pPr>
        <w:ind w:left="1074" w:hanging="360"/>
      </w:pPr>
      <w:rPr>
        <w:rFonts w:ascii="Symbol" w:hAnsi="Symbol" w:hint="default"/>
      </w:rPr>
    </w:lvl>
    <w:lvl w:ilvl="1" w:tplc="0C090003" w:tentative="1">
      <w:start w:val="1"/>
      <w:numFmt w:val="bullet"/>
      <w:lvlText w:val="o"/>
      <w:lvlJc w:val="left"/>
      <w:pPr>
        <w:ind w:left="1794" w:hanging="360"/>
      </w:pPr>
      <w:rPr>
        <w:rFonts w:ascii="Courier New" w:hAnsi="Courier New" w:cs="Courier New" w:hint="default"/>
      </w:rPr>
    </w:lvl>
    <w:lvl w:ilvl="2" w:tplc="0C090005" w:tentative="1">
      <w:start w:val="1"/>
      <w:numFmt w:val="bullet"/>
      <w:lvlText w:val=""/>
      <w:lvlJc w:val="left"/>
      <w:pPr>
        <w:ind w:left="2514" w:hanging="360"/>
      </w:pPr>
      <w:rPr>
        <w:rFonts w:ascii="Wingdings" w:hAnsi="Wingdings" w:hint="default"/>
      </w:rPr>
    </w:lvl>
    <w:lvl w:ilvl="3" w:tplc="0C090001" w:tentative="1">
      <w:start w:val="1"/>
      <w:numFmt w:val="bullet"/>
      <w:lvlText w:val=""/>
      <w:lvlJc w:val="left"/>
      <w:pPr>
        <w:ind w:left="3234" w:hanging="360"/>
      </w:pPr>
      <w:rPr>
        <w:rFonts w:ascii="Symbol" w:hAnsi="Symbol" w:hint="default"/>
      </w:rPr>
    </w:lvl>
    <w:lvl w:ilvl="4" w:tplc="0C090003" w:tentative="1">
      <w:start w:val="1"/>
      <w:numFmt w:val="bullet"/>
      <w:lvlText w:val="o"/>
      <w:lvlJc w:val="left"/>
      <w:pPr>
        <w:ind w:left="3954" w:hanging="360"/>
      </w:pPr>
      <w:rPr>
        <w:rFonts w:ascii="Courier New" w:hAnsi="Courier New" w:cs="Courier New" w:hint="default"/>
      </w:rPr>
    </w:lvl>
    <w:lvl w:ilvl="5" w:tplc="0C090005" w:tentative="1">
      <w:start w:val="1"/>
      <w:numFmt w:val="bullet"/>
      <w:lvlText w:val=""/>
      <w:lvlJc w:val="left"/>
      <w:pPr>
        <w:ind w:left="4674" w:hanging="360"/>
      </w:pPr>
      <w:rPr>
        <w:rFonts w:ascii="Wingdings" w:hAnsi="Wingdings" w:hint="default"/>
      </w:rPr>
    </w:lvl>
    <w:lvl w:ilvl="6" w:tplc="0C090001" w:tentative="1">
      <w:start w:val="1"/>
      <w:numFmt w:val="bullet"/>
      <w:lvlText w:val=""/>
      <w:lvlJc w:val="left"/>
      <w:pPr>
        <w:ind w:left="5394" w:hanging="360"/>
      </w:pPr>
      <w:rPr>
        <w:rFonts w:ascii="Symbol" w:hAnsi="Symbol" w:hint="default"/>
      </w:rPr>
    </w:lvl>
    <w:lvl w:ilvl="7" w:tplc="0C090003" w:tentative="1">
      <w:start w:val="1"/>
      <w:numFmt w:val="bullet"/>
      <w:lvlText w:val="o"/>
      <w:lvlJc w:val="left"/>
      <w:pPr>
        <w:ind w:left="6114" w:hanging="360"/>
      </w:pPr>
      <w:rPr>
        <w:rFonts w:ascii="Courier New" w:hAnsi="Courier New" w:cs="Courier New" w:hint="default"/>
      </w:rPr>
    </w:lvl>
    <w:lvl w:ilvl="8" w:tplc="0C090005" w:tentative="1">
      <w:start w:val="1"/>
      <w:numFmt w:val="bullet"/>
      <w:lvlText w:val=""/>
      <w:lvlJc w:val="left"/>
      <w:pPr>
        <w:ind w:left="6834" w:hanging="360"/>
      </w:pPr>
      <w:rPr>
        <w:rFonts w:ascii="Wingdings" w:hAnsi="Wingdings" w:hint="default"/>
      </w:rPr>
    </w:lvl>
  </w:abstractNum>
  <w:abstractNum w:abstractNumId="33" w15:restartNumberingAfterBreak="0">
    <w:nsid w:val="2AFC3193"/>
    <w:multiLevelType w:val="hybridMultilevel"/>
    <w:tmpl w:val="AC8AB024"/>
    <w:lvl w:ilvl="0" w:tplc="A02EA252">
      <w:start w:val="1"/>
      <w:numFmt w:val="lowerLetter"/>
      <w:pStyle w:val="ContentBulletsLetter"/>
      <w:lvlText w:val="%1)"/>
      <w:lvlJc w:val="left"/>
      <w:pPr>
        <w:ind w:left="1418" w:hanging="851"/>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CFB5491"/>
    <w:multiLevelType w:val="hybridMultilevel"/>
    <w:tmpl w:val="A0F0A9F0"/>
    <w:lvl w:ilvl="0" w:tplc="CCC8BB6A">
      <w:start w:val="1"/>
      <w:numFmt w:val="bullet"/>
      <w:pStyle w:val="PenPicSidebarbullet"/>
      <w:lvlText w:val=""/>
      <w:lvlJc w:val="left"/>
      <w:pPr>
        <w:ind w:left="955" w:hanging="360"/>
      </w:pPr>
      <w:rPr>
        <w:rFonts w:ascii="Wingdings" w:hAnsi="Wingdings" w:hint="default"/>
        <w:color w:val="000000"/>
        <w:sz w:val="16"/>
      </w:rPr>
    </w:lvl>
    <w:lvl w:ilvl="1" w:tplc="0C090003" w:tentative="1">
      <w:start w:val="1"/>
      <w:numFmt w:val="bullet"/>
      <w:lvlText w:val="o"/>
      <w:lvlJc w:val="left"/>
      <w:pPr>
        <w:ind w:left="1675" w:hanging="360"/>
      </w:pPr>
      <w:rPr>
        <w:rFonts w:ascii="Courier New" w:hAnsi="Courier New" w:cs="Courier New" w:hint="default"/>
      </w:rPr>
    </w:lvl>
    <w:lvl w:ilvl="2" w:tplc="0C090005" w:tentative="1">
      <w:start w:val="1"/>
      <w:numFmt w:val="bullet"/>
      <w:lvlText w:val=""/>
      <w:lvlJc w:val="left"/>
      <w:pPr>
        <w:ind w:left="2395" w:hanging="360"/>
      </w:pPr>
      <w:rPr>
        <w:rFonts w:ascii="Wingdings" w:hAnsi="Wingdings" w:hint="default"/>
      </w:rPr>
    </w:lvl>
    <w:lvl w:ilvl="3" w:tplc="0C090001" w:tentative="1">
      <w:start w:val="1"/>
      <w:numFmt w:val="bullet"/>
      <w:lvlText w:val=""/>
      <w:lvlJc w:val="left"/>
      <w:pPr>
        <w:ind w:left="3115" w:hanging="360"/>
      </w:pPr>
      <w:rPr>
        <w:rFonts w:ascii="Symbol" w:hAnsi="Symbol" w:hint="default"/>
      </w:rPr>
    </w:lvl>
    <w:lvl w:ilvl="4" w:tplc="0C090003" w:tentative="1">
      <w:start w:val="1"/>
      <w:numFmt w:val="bullet"/>
      <w:lvlText w:val="o"/>
      <w:lvlJc w:val="left"/>
      <w:pPr>
        <w:ind w:left="3835" w:hanging="360"/>
      </w:pPr>
      <w:rPr>
        <w:rFonts w:ascii="Courier New" w:hAnsi="Courier New" w:cs="Courier New" w:hint="default"/>
      </w:rPr>
    </w:lvl>
    <w:lvl w:ilvl="5" w:tplc="0C090005" w:tentative="1">
      <w:start w:val="1"/>
      <w:numFmt w:val="bullet"/>
      <w:lvlText w:val=""/>
      <w:lvlJc w:val="left"/>
      <w:pPr>
        <w:ind w:left="4555" w:hanging="360"/>
      </w:pPr>
      <w:rPr>
        <w:rFonts w:ascii="Wingdings" w:hAnsi="Wingdings" w:hint="default"/>
      </w:rPr>
    </w:lvl>
    <w:lvl w:ilvl="6" w:tplc="0C090001" w:tentative="1">
      <w:start w:val="1"/>
      <w:numFmt w:val="bullet"/>
      <w:lvlText w:val=""/>
      <w:lvlJc w:val="left"/>
      <w:pPr>
        <w:ind w:left="5275" w:hanging="360"/>
      </w:pPr>
      <w:rPr>
        <w:rFonts w:ascii="Symbol" w:hAnsi="Symbol" w:hint="default"/>
      </w:rPr>
    </w:lvl>
    <w:lvl w:ilvl="7" w:tplc="0C090003" w:tentative="1">
      <w:start w:val="1"/>
      <w:numFmt w:val="bullet"/>
      <w:lvlText w:val="o"/>
      <w:lvlJc w:val="left"/>
      <w:pPr>
        <w:ind w:left="5995" w:hanging="360"/>
      </w:pPr>
      <w:rPr>
        <w:rFonts w:ascii="Courier New" w:hAnsi="Courier New" w:cs="Courier New" w:hint="default"/>
      </w:rPr>
    </w:lvl>
    <w:lvl w:ilvl="8" w:tplc="0C090005" w:tentative="1">
      <w:start w:val="1"/>
      <w:numFmt w:val="bullet"/>
      <w:lvlText w:val=""/>
      <w:lvlJc w:val="left"/>
      <w:pPr>
        <w:ind w:left="6715" w:hanging="360"/>
      </w:pPr>
      <w:rPr>
        <w:rFonts w:ascii="Wingdings" w:hAnsi="Wingdings" w:hint="default"/>
      </w:rPr>
    </w:lvl>
  </w:abstractNum>
  <w:abstractNum w:abstractNumId="35" w15:restartNumberingAfterBreak="0">
    <w:nsid w:val="2D6F256D"/>
    <w:multiLevelType w:val="hybridMultilevel"/>
    <w:tmpl w:val="EF10FB34"/>
    <w:lvl w:ilvl="0" w:tplc="703AFEFC">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DA713E3"/>
    <w:multiLevelType w:val="hybridMultilevel"/>
    <w:tmpl w:val="7C28ABD2"/>
    <w:lvl w:ilvl="0" w:tplc="0C090005">
      <w:start w:val="1"/>
      <w:numFmt w:val="bullet"/>
      <w:lvlText w:val=""/>
      <w:lvlJc w:val="left"/>
      <w:pPr>
        <w:ind w:left="730" w:hanging="360"/>
      </w:pPr>
      <w:rPr>
        <w:rFonts w:ascii="Wingdings" w:hAnsi="Wingdings" w:hint="default"/>
      </w:rPr>
    </w:lvl>
    <w:lvl w:ilvl="1" w:tplc="0C090003">
      <w:start w:val="1"/>
      <w:numFmt w:val="bullet"/>
      <w:lvlText w:val="o"/>
      <w:lvlJc w:val="left"/>
      <w:pPr>
        <w:ind w:left="1450" w:hanging="360"/>
      </w:pPr>
      <w:rPr>
        <w:rFonts w:ascii="Courier New" w:hAnsi="Courier New" w:cs="Courier New" w:hint="default"/>
      </w:rPr>
    </w:lvl>
    <w:lvl w:ilvl="2" w:tplc="0C090005" w:tentative="1">
      <w:start w:val="1"/>
      <w:numFmt w:val="bullet"/>
      <w:lvlText w:val=""/>
      <w:lvlJc w:val="left"/>
      <w:pPr>
        <w:ind w:left="2170" w:hanging="360"/>
      </w:pPr>
      <w:rPr>
        <w:rFonts w:ascii="Wingdings" w:hAnsi="Wingdings" w:hint="default"/>
      </w:rPr>
    </w:lvl>
    <w:lvl w:ilvl="3" w:tplc="0C090001" w:tentative="1">
      <w:start w:val="1"/>
      <w:numFmt w:val="bullet"/>
      <w:lvlText w:val=""/>
      <w:lvlJc w:val="left"/>
      <w:pPr>
        <w:ind w:left="2890" w:hanging="360"/>
      </w:pPr>
      <w:rPr>
        <w:rFonts w:ascii="Symbol" w:hAnsi="Symbol" w:hint="default"/>
      </w:rPr>
    </w:lvl>
    <w:lvl w:ilvl="4" w:tplc="0C090003" w:tentative="1">
      <w:start w:val="1"/>
      <w:numFmt w:val="bullet"/>
      <w:lvlText w:val="o"/>
      <w:lvlJc w:val="left"/>
      <w:pPr>
        <w:ind w:left="3610" w:hanging="360"/>
      </w:pPr>
      <w:rPr>
        <w:rFonts w:ascii="Courier New" w:hAnsi="Courier New" w:cs="Courier New" w:hint="default"/>
      </w:rPr>
    </w:lvl>
    <w:lvl w:ilvl="5" w:tplc="0C090005" w:tentative="1">
      <w:start w:val="1"/>
      <w:numFmt w:val="bullet"/>
      <w:lvlText w:val=""/>
      <w:lvlJc w:val="left"/>
      <w:pPr>
        <w:ind w:left="4330" w:hanging="360"/>
      </w:pPr>
      <w:rPr>
        <w:rFonts w:ascii="Wingdings" w:hAnsi="Wingdings" w:hint="default"/>
      </w:rPr>
    </w:lvl>
    <w:lvl w:ilvl="6" w:tplc="0C090001" w:tentative="1">
      <w:start w:val="1"/>
      <w:numFmt w:val="bullet"/>
      <w:lvlText w:val=""/>
      <w:lvlJc w:val="left"/>
      <w:pPr>
        <w:ind w:left="5050" w:hanging="360"/>
      </w:pPr>
      <w:rPr>
        <w:rFonts w:ascii="Symbol" w:hAnsi="Symbol" w:hint="default"/>
      </w:rPr>
    </w:lvl>
    <w:lvl w:ilvl="7" w:tplc="0C090003" w:tentative="1">
      <w:start w:val="1"/>
      <w:numFmt w:val="bullet"/>
      <w:lvlText w:val="o"/>
      <w:lvlJc w:val="left"/>
      <w:pPr>
        <w:ind w:left="5770" w:hanging="360"/>
      </w:pPr>
      <w:rPr>
        <w:rFonts w:ascii="Courier New" w:hAnsi="Courier New" w:cs="Courier New" w:hint="default"/>
      </w:rPr>
    </w:lvl>
    <w:lvl w:ilvl="8" w:tplc="0C090005" w:tentative="1">
      <w:start w:val="1"/>
      <w:numFmt w:val="bullet"/>
      <w:lvlText w:val=""/>
      <w:lvlJc w:val="left"/>
      <w:pPr>
        <w:ind w:left="6490" w:hanging="360"/>
      </w:pPr>
      <w:rPr>
        <w:rFonts w:ascii="Wingdings" w:hAnsi="Wingdings" w:hint="default"/>
      </w:rPr>
    </w:lvl>
  </w:abstractNum>
  <w:abstractNum w:abstractNumId="37" w15:restartNumberingAfterBreak="0">
    <w:nsid w:val="2EB46F0B"/>
    <w:multiLevelType w:val="hybridMultilevel"/>
    <w:tmpl w:val="8722A7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FED62EC"/>
    <w:multiLevelType w:val="multilevel"/>
    <w:tmpl w:val="6098423A"/>
    <w:styleLink w:val="JacobsTablesmallitem"/>
    <w:lvl w:ilvl="0">
      <w:start w:val="1"/>
      <w:numFmt w:val="decimal"/>
      <w:pStyle w:val="Tablesmallitem"/>
      <w:suff w:val="nothing"/>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39" w15:restartNumberingAfterBreak="0">
    <w:nsid w:val="33127D3F"/>
    <w:multiLevelType w:val="hybridMultilevel"/>
    <w:tmpl w:val="60785E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44B666B"/>
    <w:multiLevelType w:val="multilevel"/>
    <w:tmpl w:val="07F22186"/>
    <w:styleLink w:val="JacobsTableItem"/>
    <w:lvl w:ilvl="0">
      <w:start w:val="1"/>
      <w:numFmt w:val="decimal"/>
      <w:pStyle w:val="Tableitem"/>
      <w:suff w:val="nothing"/>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8.%7"/>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41" w15:restartNumberingAfterBreak="0">
    <w:nsid w:val="34555BA7"/>
    <w:multiLevelType w:val="hybridMultilevel"/>
    <w:tmpl w:val="1BB093FC"/>
    <w:lvl w:ilvl="0" w:tplc="F8EE6AEA">
      <w:start w:val="1"/>
      <w:numFmt w:val="lowerRoman"/>
      <w:pStyle w:val="ContentBulletsRomanNumeral"/>
      <w:lvlText w:val="%1."/>
      <w:lvlJc w:val="left"/>
      <w:pPr>
        <w:ind w:left="1418" w:hanging="851"/>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492763E"/>
    <w:multiLevelType w:val="hybridMultilevel"/>
    <w:tmpl w:val="1472BA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802558A"/>
    <w:multiLevelType w:val="multilevel"/>
    <w:tmpl w:val="418611DC"/>
    <w:lvl w:ilvl="0">
      <w:start w:val="1"/>
      <w:numFmt w:val="bullet"/>
      <w:pStyle w:val="SummaryBoxBullet"/>
      <w:lvlText w:val=""/>
      <w:lvlJc w:val="left"/>
      <w:pPr>
        <w:ind w:left="284" w:hanging="171"/>
      </w:pPr>
      <w:rPr>
        <w:rFonts w:ascii="Wingdings" w:hAnsi="Wingdings" w:hint="default"/>
        <w:color w:val="auto"/>
        <w:sz w:val="14"/>
      </w:rPr>
    </w:lvl>
    <w:lvl w:ilvl="1">
      <w:numFmt w:val="none"/>
      <w:lvlRestart w:val="0"/>
      <w:lvlText w:val=""/>
      <w:lvlJc w:val="left"/>
      <w:pPr>
        <w:ind w:left="284" w:hanging="284"/>
      </w:pPr>
      <w:rPr>
        <w:rFonts w:hint="default"/>
      </w:rPr>
    </w:lvl>
    <w:lvl w:ilvl="2">
      <w:numFmt w:val="none"/>
      <w:lvlRestart w:val="0"/>
      <w:lvlText w:val=""/>
      <w:lvlJc w:val="left"/>
      <w:pPr>
        <w:ind w:left="284" w:hanging="284"/>
      </w:pPr>
      <w:rPr>
        <w:rFonts w:hint="default"/>
      </w:rPr>
    </w:lvl>
    <w:lvl w:ilvl="3">
      <w:numFmt w:val="none"/>
      <w:lvlRestart w:val="0"/>
      <w:lvlText w:val=""/>
      <w:lvlJc w:val="left"/>
      <w:pPr>
        <w:ind w:left="284" w:hanging="284"/>
      </w:pPr>
      <w:rPr>
        <w:rFonts w:hint="default"/>
      </w:rPr>
    </w:lvl>
    <w:lvl w:ilvl="4">
      <w:numFmt w:val="none"/>
      <w:lvlRestart w:val="0"/>
      <w:lvlText w:val=""/>
      <w:lvlJc w:val="left"/>
      <w:pPr>
        <w:ind w:left="284" w:hanging="284"/>
      </w:pPr>
      <w:rPr>
        <w:rFonts w:hint="default"/>
      </w:rPr>
    </w:lvl>
    <w:lvl w:ilvl="5">
      <w:numFmt w:val="none"/>
      <w:lvlRestart w:val="0"/>
      <w:lvlText w:val=""/>
      <w:lvlJc w:val="left"/>
      <w:pPr>
        <w:ind w:left="284" w:hanging="284"/>
      </w:pPr>
      <w:rPr>
        <w:rFonts w:hint="default"/>
      </w:rPr>
    </w:lvl>
    <w:lvl w:ilvl="6">
      <w:numFmt w:val="none"/>
      <w:lvlRestart w:val="0"/>
      <w:lvlText w:val=""/>
      <w:lvlJc w:val="left"/>
      <w:pPr>
        <w:ind w:left="284" w:hanging="284"/>
      </w:pPr>
      <w:rPr>
        <w:rFonts w:hint="default"/>
      </w:rPr>
    </w:lvl>
    <w:lvl w:ilvl="7">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44" w15:restartNumberingAfterBreak="0">
    <w:nsid w:val="39424A05"/>
    <w:multiLevelType w:val="hybridMultilevel"/>
    <w:tmpl w:val="B6A088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9872629"/>
    <w:multiLevelType w:val="hybridMultilevel"/>
    <w:tmpl w:val="43C423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A3C41A2"/>
    <w:multiLevelType w:val="multilevel"/>
    <w:tmpl w:val="F474C104"/>
    <w:styleLink w:val="JacobsNumberedList2"/>
    <w:lvl w:ilvl="0">
      <w:start w:val="1"/>
      <w:numFmt w:val="lowerLetter"/>
      <w:pStyle w:val="Para0letter"/>
      <w:lvlText w:val="%1)"/>
      <w:lvlJc w:val="left"/>
      <w:pPr>
        <w:ind w:left="425" w:hanging="425"/>
      </w:pPr>
      <w:rPr>
        <w:rFonts w:hint="default"/>
      </w:rPr>
    </w:lvl>
    <w:lvl w:ilvl="1">
      <w:start w:val="1"/>
      <w:numFmt w:val="lowerRoman"/>
      <w:lvlText w:val="%2."/>
      <w:lvlJc w:val="left"/>
      <w:pPr>
        <w:ind w:left="851" w:hanging="426"/>
      </w:pPr>
      <w:rPr>
        <w:rFonts w:hint="default"/>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47" w15:restartNumberingAfterBreak="0">
    <w:nsid w:val="3AD53A78"/>
    <w:multiLevelType w:val="hybridMultilevel"/>
    <w:tmpl w:val="BA422C3C"/>
    <w:lvl w:ilvl="0" w:tplc="01C8CC56">
      <w:start w:val="1"/>
      <w:numFmt w:val="decimal"/>
      <w:pStyle w:val="ContentBulletsNumber"/>
      <w:lvlText w:val="%1."/>
      <w:lvlJc w:val="left"/>
      <w:pPr>
        <w:ind w:left="1418" w:hanging="851"/>
      </w:pPr>
      <w:rPr>
        <w:rFonts w:ascii="Arial" w:hAnsi="Arial" w:hint="default"/>
        <w:b w:val="0"/>
        <w:bCs w:val="0"/>
        <w:i w:val="0"/>
        <w:iCs w:val="0"/>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BC8158A"/>
    <w:multiLevelType w:val="hybridMultilevel"/>
    <w:tmpl w:val="03EA7C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3D2270A1"/>
    <w:multiLevelType w:val="hybridMultilevel"/>
    <w:tmpl w:val="530AF9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D5A66FD"/>
    <w:multiLevelType w:val="multilevel"/>
    <w:tmpl w:val="5AFCE06A"/>
    <w:styleLink w:val="JacobsNarrowList"/>
    <w:lvl w:ilvl="0">
      <w:start w:val="1"/>
      <w:numFmt w:val="bullet"/>
      <w:lvlText w:val=""/>
      <w:lvlJc w:val="left"/>
      <w:pPr>
        <w:ind w:left="198" w:hanging="198"/>
      </w:pPr>
      <w:rPr>
        <w:rFonts w:ascii="Symbol" w:hAnsi="Symbol" w:hint="default"/>
        <w:color w:val="auto"/>
      </w:rPr>
    </w:lvl>
    <w:lvl w:ilvl="1">
      <w:start w:val="1"/>
      <w:numFmt w:val="bullet"/>
      <w:lvlRestart w:val="0"/>
      <w:lvlText w:val=""/>
      <w:lvlJc w:val="left"/>
      <w:pPr>
        <w:ind w:left="397" w:hanging="199"/>
      </w:pPr>
      <w:rPr>
        <w:rFonts w:ascii="Symbol" w:hAnsi="Symbol" w:hint="default"/>
        <w:color w:val="auto"/>
      </w:rPr>
    </w:lvl>
    <w:lvl w:ilvl="2">
      <w:start w:val="1"/>
      <w:numFmt w:val="none"/>
      <w:lvlRestart w:val="0"/>
      <w:lvlText w:val=""/>
      <w:lvlJc w:val="left"/>
      <w:pPr>
        <w:ind w:left="397" w:firstLine="0"/>
      </w:pPr>
      <w:rPr>
        <w:rFonts w:hint="default"/>
      </w:rPr>
    </w:lvl>
    <w:lvl w:ilvl="3">
      <w:start w:val="1"/>
      <w:numFmt w:val="none"/>
      <w:lvlRestart w:val="0"/>
      <w:lvlText w:val=""/>
      <w:lvlJc w:val="left"/>
      <w:pPr>
        <w:ind w:left="397" w:firstLine="0"/>
      </w:pPr>
      <w:rPr>
        <w:rFonts w:hint="default"/>
      </w:rPr>
    </w:lvl>
    <w:lvl w:ilvl="4">
      <w:start w:val="1"/>
      <w:numFmt w:val="none"/>
      <w:lvlRestart w:val="0"/>
      <w:lvlText w:val=""/>
      <w:lvlJc w:val="left"/>
      <w:pPr>
        <w:ind w:left="397" w:firstLine="0"/>
      </w:pPr>
      <w:rPr>
        <w:rFonts w:hint="default"/>
      </w:rPr>
    </w:lvl>
    <w:lvl w:ilvl="5">
      <w:start w:val="1"/>
      <w:numFmt w:val="none"/>
      <w:lvlRestart w:val="0"/>
      <w:lvlText w:val=""/>
      <w:lvlJc w:val="left"/>
      <w:pPr>
        <w:ind w:left="397" w:firstLine="0"/>
      </w:pPr>
      <w:rPr>
        <w:rFonts w:hint="default"/>
      </w:rPr>
    </w:lvl>
    <w:lvl w:ilvl="6">
      <w:start w:val="1"/>
      <w:numFmt w:val="none"/>
      <w:lvlRestart w:val="0"/>
      <w:lvlText w:val=""/>
      <w:lvlJc w:val="left"/>
      <w:pPr>
        <w:ind w:left="397" w:firstLine="0"/>
      </w:pPr>
      <w:rPr>
        <w:rFonts w:hint="default"/>
      </w:rPr>
    </w:lvl>
    <w:lvl w:ilvl="7">
      <w:start w:val="1"/>
      <w:numFmt w:val="none"/>
      <w:lvlRestart w:val="0"/>
      <w:lvlText w:val=""/>
      <w:lvlJc w:val="left"/>
      <w:pPr>
        <w:ind w:left="397" w:firstLine="0"/>
      </w:pPr>
      <w:rPr>
        <w:rFonts w:hint="default"/>
      </w:rPr>
    </w:lvl>
    <w:lvl w:ilvl="8">
      <w:start w:val="1"/>
      <w:numFmt w:val="none"/>
      <w:lvlRestart w:val="0"/>
      <w:lvlText w:val=""/>
      <w:lvlJc w:val="left"/>
      <w:pPr>
        <w:ind w:left="397" w:firstLine="0"/>
      </w:pPr>
      <w:rPr>
        <w:rFonts w:hint="default"/>
      </w:rPr>
    </w:lvl>
  </w:abstractNum>
  <w:abstractNum w:abstractNumId="51" w15:restartNumberingAfterBreak="0">
    <w:nsid w:val="3D85551D"/>
    <w:multiLevelType w:val="hybridMultilevel"/>
    <w:tmpl w:val="06DA1A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EF15655"/>
    <w:multiLevelType w:val="hybridMultilevel"/>
    <w:tmpl w:val="61B83456"/>
    <w:lvl w:ilvl="0" w:tplc="08090001">
      <w:start w:val="1"/>
      <w:numFmt w:val="bullet"/>
      <w:lvlText w:val=""/>
      <w:lvlJc w:val="left"/>
      <w:pPr>
        <w:ind w:left="776" w:hanging="360"/>
      </w:pPr>
      <w:rPr>
        <w:rFonts w:ascii="Symbol" w:hAnsi="Symbol" w:hint="default"/>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abstractNum w:abstractNumId="53" w15:restartNumberingAfterBreak="0">
    <w:nsid w:val="3F525CB7"/>
    <w:multiLevelType w:val="hybridMultilevel"/>
    <w:tmpl w:val="EEEC5F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3FCC42FC"/>
    <w:multiLevelType w:val="hybridMultilevel"/>
    <w:tmpl w:val="7A62682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44AE1208"/>
    <w:multiLevelType w:val="hybridMultilevel"/>
    <w:tmpl w:val="D65ACB0A"/>
    <w:lvl w:ilvl="0" w:tplc="0C090001">
      <w:start w:val="1"/>
      <w:numFmt w:val="bullet"/>
      <w:lvlText w:val=""/>
      <w:lvlJc w:val="left"/>
      <w:pPr>
        <w:ind w:left="785" w:hanging="360"/>
      </w:pPr>
      <w:rPr>
        <w:rFonts w:ascii="Symbol" w:hAnsi="Symbol"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56" w15:restartNumberingAfterBreak="0">
    <w:nsid w:val="45C4385F"/>
    <w:multiLevelType w:val="hybridMultilevel"/>
    <w:tmpl w:val="7A62682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46D23207"/>
    <w:multiLevelType w:val="multilevel"/>
    <w:tmpl w:val="BFACDB88"/>
    <w:styleLink w:val="SKMSidebarList"/>
    <w:lvl w:ilvl="0">
      <w:start w:val="1"/>
      <w:numFmt w:val="bullet"/>
      <w:lvlText w:val=""/>
      <w:lvlJc w:val="left"/>
      <w:pPr>
        <w:ind w:left="284" w:hanging="284"/>
      </w:pPr>
      <w:rPr>
        <w:rFonts w:ascii="Symbol" w:hAnsi="Symbol" w:hint="default"/>
        <w:color w:val="auto"/>
      </w:rPr>
    </w:lvl>
    <w:lvl w:ilvl="1">
      <w:start w:val="1"/>
      <w:numFmt w:val="none"/>
      <w:lvlRestart w:val="0"/>
      <w:lvlText w:val=""/>
      <w:lvlJc w:val="left"/>
      <w:pPr>
        <w:ind w:left="284" w:firstLine="76"/>
      </w:pPr>
      <w:rPr>
        <w:rFonts w:hint="default"/>
      </w:rPr>
    </w:lvl>
    <w:lvl w:ilvl="2">
      <w:start w:val="1"/>
      <w:numFmt w:val="none"/>
      <w:lvlRestart w:val="0"/>
      <w:lvlText w:val=""/>
      <w:lvlJc w:val="left"/>
      <w:pPr>
        <w:ind w:left="284" w:hanging="284"/>
      </w:pPr>
      <w:rPr>
        <w:rFonts w:hint="default"/>
      </w:rPr>
    </w:lvl>
    <w:lvl w:ilvl="3">
      <w:start w:val="1"/>
      <w:numFmt w:val="none"/>
      <w:lvlRestart w:val="0"/>
      <w:lvlText w:val=""/>
      <w:lvlJc w:val="left"/>
      <w:pPr>
        <w:ind w:left="284" w:hanging="284"/>
      </w:pPr>
      <w:rPr>
        <w:rFonts w:hint="default"/>
      </w:rPr>
    </w:lvl>
    <w:lvl w:ilvl="4">
      <w:start w:val="1"/>
      <w:numFmt w:val="none"/>
      <w:lvlRestart w:val="0"/>
      <w:lvlText w:val=""/>
      <w:lvlJc w:val="left"/>
      <w:pPr>
        <w:ind w:left="284" w:hanging="284"/>
      </w:pPr>
      <w:rPr>
        <w:rFonts w:hint="default"/>
      </w:rPr>
    </w:lvl>
    <w:lvl w:ilvl="5">
      <w:start w:val="1"/>
      <w:numFmt w:val="none"/>
      <w:lvlRestart w:val="0"/>
      <w:lvlText w:val=""/>
      <w:lvlJc w:val="left"/>
      <w:pPr>
        <w:ind w:left="284" w:hanging="284"/>
      </w:pPr>
      <w:rPr>
        <w:rFonts w:hint="default"/>
      </w:rPr>
    </w:lvl>
    <w:lvl w:ilvl="6">
      <w:start w:val="1"/>
      <w:numFmt w:val="none"/>
      <w:lvlRestart w:val="0"/>
      <w:lvlText w:val=""/>
      <w:lvlJc w:val="left"/>
      <w:pPr>
        <w:ind w:left="284" w:hanging="284"/>
      </w:pPr>
      <w:rPr>
        <w:rFonts w:hint="default"/>
      </w:rPr>
    </w:lvl>
    <w:lvl w:ilvl="7">
      <w:start w:val="1"/>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58" w15:restartNumberingAfterBreak="0">
    <w:nsid w:val="483E2FC7"/>
    <w:multiLevelType w:val="hybridMultilevel"/>
    <w:tmpl w:val="5C1400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8C203B4"/>
    <w:multiLevelType w:val="hybridMultilevel"/>
    <w:tmpl w:val="6F5A5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4A321E88"/>
    <w:multiLevelType w:val="hybridMultilevel"/>
    <w:tmpl w:val="178218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4C9B1371"/>
    <w:multiLevelType w:val="hybridMultilevel"/>
    <w:tmpl w:val="9CAE4152"/>
    <w:lvl w:ilvl="0" w:tplc="0C090019">
      <w:start w:val="1"/>
      <w:numFmt w:val="lowerLetter"/>
      <w:lvlText w:val="%1."/>
      <w:lvlJc w:val="left"/>
      <w:pPr>
        <w:ind w:left="770" w:hanging="360"/>
      </w:pPr>
    </w:lvl>
    <w:lvl w:ilvl="1" w:tplc="0C090019" w:tentative="1">
      <w:start w:val="1"/>
      <w:numFmt w:val="lowerLetter"/>
      <w:lvlText w:val="%2."/>
      <w:lvlJc w:val="left"/>
      <w:pPr>
        <w:ind w:left="1490" w:hanging="360"/>
      </w:pPr>
    </w:lvl>
    <w:lvl w:ilvl="2" w:tplc="0C09001B" w:tentative="1">
      <w:start w:val="1"/>
      <w:numFmt w:val="lowerRoman"/>
      <w:lvlText w:val="%3."/>
      <w:lvlJc w:val="right"/>
      <w:pPr>
        <w:ind w:left="2210" w:hanging="180"/>
      </w:pPr>
    </w:lvl>
    <w:lvl w:ilvl="3" w:tplc="0C09000F" w:tentative="1">
      <w:start w:val="1"/>
      <w:numFmt w:val="decimal"/>
      <w:lvlText w:val="%4."/>
      <w:lvlJc w:val="left"/>
      <w:pPr>
        <w:ind w:left="2930" w:hanging="360"/>
      </w:pPr>
    </w:lvl>
    <w:lvl w:ilvl="4" w:tplc="0C090019" w:tentative="1">
      <w:start w:val="1"/>
      <w:numFmt w:val="lowerLetter"/>
      <w:lvlText w:val="%5."/>
      <w:lvlJc w:val="left"/>
      <w:pPr>
        <w:ind w:left="3650" w:hanging="360"/>
      </w:pPr>
    </w:lvl>
    <w:lvl w:ilvl="5" w:tplc="0C09001B" w:tentative="1">
      <w:start w:val="1"/>
      <w:numFmt w:val="lowerRoman"/>
      <w:lvlText w:val="%6."/>
      <w:lvlJc w:val="right"/>
      <w:pPr>
        <w:ind w:left="4370" w:hanging="180"/>
      </w:pPr>
    </w:lvl>
    <w:lvl w:ilvl="6" w:tplc="0C09000F" w:tentative="1">
      <w:start w:val="1"/>
      <w:numFmt w:val="decimal"/>
      <w:lvlText w:val="%7."/>
      <w:lvlJc w:val="left"/>
      <w:pPr>
        <w:ind w:left="5090" w:hanging="360"/>
      </w:pPr>
    </w:lvl>
    <w:lvl w:ilvl="7" w:tplc="0C090019" w:tentative="1">
      <w:start w:val="1"/>
      <w:numFmt w:val="lowerLetter"/>
      <w:lvlText w:val="%8."/>
      <w:lvlJc w:val="left"/>
      <w:pPr>
        <w:ind w:left="5810" w:hanging="360"/>
      </w:pPr>
    </w:lvl>
    <w:lvl w:ilvl="8" w:tplc="0C09001B" w:tentative="1">
      <w:start w:val="1"/>
      <w:numFmt w:val="lowerRoman"/>
      <w:lvlText w:val="%9."/>
      <w:lvlJc w:val="right"/>
      <w:pPr>
        <w:ind w:left="6530" w:hanging="180"/>
      </w:pPr>
    </w:lvl>
  </w:abstractNum>
  <w:abstractNum w:abstractNumId="62" w15:restartNumberingAfterBreak="0">
    <w:nsid w:val="4CAA57F7"/>
    <w:multiLevelType w:val="hybridMultilevel"/>
    <w:tmpl w:val="ADD207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E294470"/>
    <w:multiLevelType w:val="multilevel"/>
    <w:tmpl w:val="0A8E65FC"/>
    <w:lvl w:ilvl="0">
      <w:start w:val="1"/>
      <w:numFmt w:val="decimal"/>
      <w:lvlText w:val="%1)"/>
      <w:lvlJc w:val="left"/>
      <w:pPr>
        <w:ind w:left="850" w:hanging="425"/>
      </w:pPr>
      <w:rPr>
        <w:rFonts w:hint="default"/>
      </w:rPr>
    </w:lvl>
    <w:lvl w:ilvl="1">
      <w:start w:val="1"/>
      <w:numFmt w:val="lowerRoman"/>
      <w:lvlText w:val="%2."/>
      <w:lvlJc w:val="right"/>
      <w:pPr>
        <w:ind w:left="1276" w:hanging="426"/>
      </w:pPr>
      <w:rPr>
        <w:rFonts w:hint="default"/>
      </w:rPr>
    </w:lvl>
    <w:lvl w:ilvl="2">
      <w:start w:val="1"/>
      <w:numFmt w:val="lowerRoman"/>
      <w:lvlText w:val="%3."/>
      <w:lvlJc w:val="left"/>
      <w:pPr>
        <w:ind w:left="1701" w:hanging="425"/>
      </w:pPr>
      <w:rPr>
        <w:rFonts w:hint="default"/>
      </w:rPr>
    </w:lvl>
    <w:lvl w:ilvl="3">
      <w:start w:val="1"/>
      <w:numFmt w:val="none"/>
      <w:lvlRestart w:val="0"/>
      <w:lvlText w:val=""/>
      <w:lvlJc w:val="left"/>
      <w:pPr>
        <w:ind w:left="1701" w:hanging="425"/>
      </w:pPr>
      <w:rPr>
        <w:rFonts w:hint="default"/>
      </w:rPr>
    </w:lvl>
    <w:lvl w:ilvl="4">
      <w:start w:val="1"/>
      <w:numFmt w:val="none"/>
      <w:lvlRestart w:val="0"/>
      <w:lvlText w:val=""/>
      <w:lvlJc w:val="left"/>
      <w:pPr>
        <w:ind w:left="1701" w:hanging="425"/>
      </w:pPr>
      <w:rPr>
        <w:rFonts w:hint="default"/>
      </w:rPr>
    </w:lvl>
    <w:lvl w:ilvl="5">
      <w:start w:val="1"/>
      <w:numFmt w:val="none"/>
      <w:lvlRestart w:val="0"/>
      <w:lvlText w:val=""/>
      <w:lvlJc w:val="left"/>
      <w:pPr>
        <w:ind w:left="1701" w:hanging="425"/>
      </w:pPr>
      <w:rPr>
        <w:rFonts w:hint="default"/>
      </w:rPr>
    </w:lvl>
    <w:lvl w:ilvl="6">
      <w:start w:val="1"/>
      <w:numFmt w:val="none"/>
      <w:lvlRestart w:val="0"/>
      <w:lvlText w:val=""/>
      <w:lvlJc w:val="left"/>
      <w:pPr>
        <w:ind w:left="1701" w:hanging="425"/>
      </w:pPr>
      <w:rPr>
        <w:rFonts w:hint="default"/>
      </w:rPr>
    </w:lvl>
    <w:lvl w:ilvl="7">
      <w:start w:val="1"/>
      <w:numFmt w:val="none"/>
      <w:lvlRestart w:val="0"/>
      <w:lvlText w:val=""/>
      <w:lvlJc w:val="left"/>
      <w:pPr>
        <w:ind w:left="1701" w:hanging="425"/>
      </w:pPr>
      <w:rPr>
        <w:rFonts w:hint="default"/>
      </w:rPr>
    </w:lvl>
    <w:lvl w:ilvl="8">
      <w:start w:val="1"/>
      <w:numFmt w:val="none"/>
      <w:lvlRestart w:val="0"/>
      <w:lvlText w:val=""/>
      <w:lvlJc w:val="left"/>
      <w:pPr>
        <w:ind w:left="1701" w:hanging="425"/>
      </w:pPr>
      <w:rPr>
        <w:rFonts w:hint="default"/>
      </w:rPr>
    </w:lvl>
  </w:abstractNum>
  <w:abstractNum w:abstractNumId="64" w15:restartNumberingAfterBreak="0">
    <w:nsid w:val="50965C90"/>
    <w:multiLevelType w:val="hybridMultilevel"/>
    <w:tmpl w:val="B89A8F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5390076B"/>
    <w:multiLevelType w:val="hybridMultilevel"/>
    <w:tmpl w:val="E27656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562A518B"/>
    <w:multiLevelType w:val="hybridMultilevel"/>
    <w:tmpl w:val="2C82EFBE"/>
    <w:lvl w:ilvl="0" w:tplc="97A87D3E">
      <w:start w:val="1"/>
      <w:numFmt w:val="bullet"/>
      <w:lvlText w:val=""/>
      <w:lvlJc w:val="left"/>
      <w:pPr>
        <w:ind w:left="730" w:hanging="360"/>
      </w:pPr>
      <w:rPr>
        <w:rFonts w:ascii="Symbol" w:hAnsi="Symbol" w:hint="default"/>
        <w:color w:val="auto"/>
      </w:rPr>
    </w:lvl>
    <w:lvl w:ilvl="1" w:tplc="0C090003">
      <w:start w:val="1"/>
      <w:numFmt w:val="bullet"/>
      <w:lvlText w:val="o"/>
      <w:lvlJc w:val="left"/>
      <w:pPr>
        <w:ind w:left="1450" w:hanging="360"/>
      </w:pPr>
      <w:rPr>
        <w:rFonts w:ascii="Courier New" w:hAnsi="Courier New" w:cs="Courier New" w:hint="default"/>
      </w:rPr>
    </w:lvl>
    <w:lvl w:ilvl="2" w:tplc="0C090005" w:tentative="1">
      <w:start w:val="1"/>
      <w:numFmt w:val="bullet"/>
      <w:lvlText w:val=""/>
      <w:lvlJc w:val="left"/>
      <w:pPr>
        <w:ind w:left="2170" w:hanging="360"/>
      </w:pPr>
      <w:rPr>
        <w:rFonts w:ascii="Wingdings" w:hAnsi="Wingdings" w:hint="default"/>
      </w:rPr>
    </w:lvl>
    <w:lvl w:ilvl="3" w:tplc="0C090001" w:tentative="1">
      <w:start w:val="1"/>
      <w:numFmt w:val="bullet"/>
      <w:lvlText w:val=""/>
      <w:lvlJc w:val="left"/>
      <w:pPr>
        <w:ind w:left="2890" w:hanging="360"/>
      </w:pPr>
      <w:rPr>
        <w:rFonts w:ascii="Symbol" w:hAnsi="Symbol" w:hint="default"/>
      </w:rPr>
    </w:lvl>
    <w:lvl w:ilvl="4" w:tplc="0C090003" w:tentative="1">
      <w:start w:val="1"/>
      <w:numFmt w:val="bullet"/>
      <w:lvlText w:val="o"/>
      <w:lvlJc w:val="left"/>
      <w:pPr>
        <w:ind w:left="3610" w:hanging="360"/>
      </w:pPr>
      <w:rPr>
        <w:rFonts w:ascii="Courier New" w:hAnsi="Courier New" w:cs="Courier New" w:hint="default"/>
      </w:rPr>
    </w:lvl>
    <w:lvl w:ilvl="5" w:tplc="0C090005" w:tentative="1">
      <w:start w:val="1"/>
      <w:numFmt w:val="bullet"/>
      <w:lvlText w:val=""/>
      <w:lvlJc w:val="left"/>
      <w:pPr>
        <w:ind w:left="4330" w:hanging="360"/>
      </w:pPr>
      <w:rPr>
        <w:rFonts w:ascii="Wingdings" w:hAnsi="Wingdings" w:hint="default"/>
      </w:rPr>
    </w:lvl>
    <w:lvl w:ilvl="6" w:tplc="0C090001" w:tentative="1">
      <w:start w:val="1"/>
      <w:numFmt w:val="bullet"/>
      <w:lvlText w:val=""/>
      <w:lvlJc w:val="left"/>
      <w:pPr>
        <w:ind w:left="5050" w:hanging="360"/>
      </w:pPr>
      <w:rPr>
        <w:rFonts w:ascii="Symbol" w:hAnsi="Symbol" w:hint="default"/>
      </w:rPr>
    </w:lvl>
    <w:lvl w:ilvl="7" w:tplc="0C090003" w:tentative="1">
      <w:start w:val="1"/>
      <w:numFmt w:val="bullet"/>
      <w:lvlText w:val="o"/>
      <w:lvlJc w:val="left"/>
      <w:pPr>
        <w:ind w:left="5770" w:hanging="360"/>
      </w:pPr>
      <w:rPr>
        <w:rFonts w:ascii="Courier New" w:hAnsi="Courier New" w:cs="Courier New" w:hint="default"/>
      </w:rPr>
    </w:lvl>
    <w:lvl w:ilvl="8" w:tplc="0C090005" w:tentative="1">
      <w:start w:val="1"/>
      <w:numFmt w:val="bullet"/>
      <w:lvlText w:val=""/>
      <w:lvlJc w:val="left"/>
      <w:pPr>
        <w:ind w:left="6490" w:hanging="360"/>
      </w:pPr>
      <w:rPr>
        <w:rFonts w:ascii="Wingdings" w:hAnsi="Wingdings" w:hint="default"/>
      </w:rPr>
    </w:lvl>
  </w:abstractNum>
  <w:abstractNum w:abstractNumId="67" w15:restartNumberingAfterBreak="0">
    <w:nsid w:val="58212E47"/>
    <w:multiLevelType w:val="multilevel"/>
    <w:tmpl w:val="0A8E65FC"/>
    <w:lvl w:ilvl="0">
      <w:start w:val="1"/>
      <w:numFmt w:val="decimal"/>
      <w:lvlText w:val="%1)"/>
      <w:lvlJc w:val="left"/>
      <w:pPr>
        <w:ind w:left="850" w:hanging="425"/>
      </w:pPr>
      <w:rPr>
        <w:rFonts w:hint="default"/>
      </w:rPr>
    </w:lvl>
    <w:lvl w:ilvl="1">
      <w:start w:val="1"/>
      <w:numFmt w:val="lowerRoman"/>
      <w:lvlText w:val="%2."/>
      <w:lvlJc w:val="right"/>
      <w:pPr>
        <w:ind w:left="1276" w:hanging="426"/>
      </w:pPr>
      <w:rPr>
        <w:rFonts w:hint="default"/>
      </w:rPr>
    </w:lvl>
    <w:lvl w:ilvl="2">
      <w:start w:val="1"/>
      <w:numFmt w:val="lowerRoman"/>
      <w:lvlText w:val="%3."/>
      <w:lvlJc w:val="left"/>
      <w:pPr>
        <w:ind w:left="1701" w:hanging="425"/>
      </w:pPr>
      <w:rPr>
        <w:rFonts w:hint="default"/>
      </w:rPr>
    </w:lvl>
    <w:lvl w:ilvl="3">
      <w:start w:val="1"/>
      <w:numFmt w:val="none"/>
      <w:lvlRestart w:val="0"/>
      <w:lvlText w:val=""/>
      <w:lvlJc w:val="left"/>
      <w:pPr>
        <w:ind w:left="1701" w:hanging="425"/>
      </w:pPr>
      <w:rPr>
        <w:rFonts w:hint="default"/>
      </w:rPr>
    </w:lvl>
    <w:lvl w:ilvl="4">
      <w:start w:val="1"/>
      <w:numFmt w:val="none"/>
      <w:lvlRestart w:val="0"/>
      <w:lvlText w:val=""/>
      <w:lvlJc w:val="left"/>
      <w:pPr>
        <w:ind w:left="1701" w:hanging="425"/>
      </w:pPr>
      <w:rPr>
        <w:rFonts w:hint="default"/>
      </w:rPr>
    </w:lvl>
    <w:lvl w:ilvl="5">
      <w:start w:val="1"/>
      <w:numFmt w:val="none"/>
      <w:lvlRestart w:val="0"/>
      <w:lvlText w:val=""/>
      <w:lvlJc w:val="left"/>
      <w:pPr>
        <w:ind w:left="1701" w:hanging="425"/>
      </w:pPr>
      <w:rPr>
        <w:rFonts w:hint="default"/>
      </w:rPr>
    </w:lvl>
    <w:lvl w:ilvl="6">
      <w:start w:val="1"/>
      <w:numFmt w:val="none"/>
      <w:lvlRestart w:val="0"/>
      <w:lvlText w:val=""/>
      <w:lvlJc w:val="left"/>
      <w:pPr>
        <w:ind w:left="1701" w:hanging="425"/>
      </w:pPr>
      <w:rPr>
        <w:rFonts w:hint="default"/>
      </w:rPr>
    </w:lvl>
    <w:lvl w:ilvl="7">
      <w:start w:val="1"/>
      <w:numFmt w:val="none"/>
      <w:lvlRestart w:val="0"/>
      <w:lvlText w:val=""/>
      <w:lvlJc w:val="left"/>
      <w:pPr>
        <w:ind w:left="1701" w:hanging="425"/>
      </w:pPr>
      <w:rPr>
        <w:rFonts w:hint="default"/>
      </w:rPr>
    </w:lvl>
    <w:lvl w:ilvl="8">
      <w:start w:val="1"/>
      <w:numFmt w:val="none"/>
      <w:lvlRestart w:val="0"/>
      <w:lvlText w:val=""/>
      <w:lvlJc w:val="left"/>
      <w:pPr>
        <w:ind w:left="1701" w:hanging="425"/>
      </w:pPr>
      <w:rPr>
        <w:rFonts w:hint="default"/>
      </w:rPr>
    </w:lvl>
  </w:abstractNum>
  <w:abstractNum w:abstractNumId="68" w15:restartNumberingAfterBreak="0">
    <w:nsid w:val="5C7C4E77"/>
    <w:multiLevelType w:val="multilevel"/>
    <w:tmpl w:val="CB9234E6"/>
    <w:lvl w:ilvl="0">
      <w:start w:val="1"/>
      <w:numFmt w:val="decimal"/>
      <w:pStyle w:val="Heading1"/>
      <w:lvlText w:val="%1."/>
      <w:lvlJc w:val="left"/>
      <w:pPr>
        <w:ind w:left="360" w:hanging="360"/>
      </w:pPr>
      <w:rPr>
        <w:rFonts w:ascii="Arial" w:hAnsi="Arial" w:hint="default"/>
        <w:b/>
        <w:bCs/>
        <w:i w:val="0"/>
        <w:iCs w:val="0"/>
        <w:color w:val="65876D" w:themeColor="accent4" w:themeShade="BF"/>
        <w:sz w:val="32"/>
        <w:szCs w:val="32"/>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1701" w:hanging="851"/>
      </w:pPr>
      <w:rPr>
        <w:rFonts w:hint="default"/>
      </w:rPr>
    </w:lvl>
    <w:lvl w:ilvl="3">
      <w:start w:val="1"/>
      <w:numFmt w:val="decimal"/>
      <w:pStyle w:val="Heading4"/>
      <w:lvlText w:val="%1.%2.%3.%4"/>
      <w:lvlJc w:val="left"/>
      <w:pPr>
        <w:ind w:left="851" w:hanging="851"/>
      </w:pPr>
      <w:rPr>
        <w:rFonts w:hint="default"/>
      </w:rPr>
    </w:lvl>
    <w:lvl w:ilvl="4">
      <w:start w:val="1"/>
      <w:numFmt w:val="decimal"/>
      <w:pStyle w:val="Heading5"/>
      <w:lvlText w:val="%1.%2.%3.%4.%5"/>
      <w:lvlJc w:val="left"/>
      <w:pPr>
        <w:ind w:left="851" w:hanging="851"/>
      </w:pPr>
      <w:rPr>
        <w:rFonts w:hint="default"/>
      </w:rPr>
    </w:lvl>
    <w:lvl w:ilvl="5">
      <w:start w:val="1"/>
      <w:numFmt w:val="decimal"/>
      <w:pStyle w:val="Heading6"/>
      <w:lvlText w:val="%1.%2.%3.%4.%5.%6"/>
      <w:lvlJc w:val="left"/>
      <w:pPr>
        <w:ind w:left="851" w:hanging="851"/>
      </w:pPr>
      <w:rPr>
        <w:rFonts w:ascii="Arial" w:hAnsi="Arial" w:hint="default"/>
        <w:b/>
        <w:i w:val="0"/>
        <w:sz w:val="20"/>
      </w:rPr>
    </w:lvl>
    <w:lvl w:ilvl="6">
      <w:numFmt w:val="decimal"/>
      <w:pStyle w:val="Heading7"/>
      <w:lvlText w:val="%1.%2.%3.%4.%5.%6.%7"/>
      <w:lvlJc w:val="left"/>
      <w:pPr>
        <w:ind w:left="851" w:hanging="851"/>
      </w:pPr>
      <w:rPr>
        <w:rFonts w:ascii="Arial Narrow" w:hAnsi="Arial Narrow" w:hint="default"/>
        <w:b/>
        <w:i w:val="0"/>
        <w:sz w:val="20"/>
      </w:rPr>
    </w:lvl>
    <w:lvl w:ilvl="7">
      <w:numFmt w:val="decimal"/>
      <w:pStyle w:val="Heading8"/>
      <w:lvlText w:val="%1.%2.%3.%4.%5.%6.%8"/>
      <w:lvlJc w:val="left"/>
      <w:pPr>
        <w:ind w:left="851" w:hanging="851"/>
      </w:pPr>
      <w:rPr>
        <w:rFonts w:ascii="Arial Narrow" w:hAnsi="Arial Narrow" w:hint="default"/>
        <w:b/>
        <w:i w:val="0"/>
        <w:sz w:val="20"/>
      </w:rPr>
    </w:lvl>
    <w:lvl w:ilvl="8">
      <w:numFmt w:val="none"/>
      <w:lvlRestart w:val="0"/>
      <w:suff w:val="nothing"/>
      <w:lvlText w:val=""/>
      <w:lvlJc w:val="left"/>
      <w:pPr>
        <w:ind w:left="-32767" w:firstLine="0"/>
      </w:pPr>
      <w:rPr>
        <w:rFonts w:hint="default"/>
      </w:rPr>
    </w:lvl>
  </w:abstractNum>
  <w:abstractNum w:abstractNumId="69" w15:restartNumberingAfterBreak="0">
    <w:nsid w:val="5C9B73AC"/>
    <w:multiLevelType w:val="multilevel"/>
    <w:tmpl w:val="348EA36E"/>
    <w:styleLink w:val="JacobsTableNumberedList1"/>
    <w:lvl w:ilvl="0">
      <w:start w:val="1"/>
      <w:numFmt w:val="decimal"/>
      <w:pStyle w:val="Tablenumber"/>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tabs>
          <w:tab w:val="num" w:pos="2835"/>
        </w:tabs>
        <w:ind w:left="567" w:firstLine="2268"/>
      </w:pPr>
      <w:rPr>
        <w:rFonts w:hint="default"/>
      </w:rPr>
    </w:lvl>
  </w:abstractNum>
  <w:abstractNum w:abstractNumId="70" w15:restartNumberingAfterBreak="0">
    <w:nsid w:val="5E26100F"/>
    <w:multiLevelType w:val="hybridMultilevel"/>
    <w:tmpl w:val="994684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5F1F74AC"/>
    <w:multiLevelType w:val="hybridMultilevel"/>
    <w:tmpl w:val="94C8596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5FE64E21"/>
    <w:multiLevelType w:val="multilevel"/>
    <w:tmpl w:val="CC6272CC"/>
    <w:lvl w:ilvl="0">
      <w:start w:val="1"/>
      <w:numFmt w:val="bullet"/>
      <w:lvlText w:val=""/>
      <w:lvlJc w:val="left"/>
      <w:pPr>
        <w:ind w:left="-425" w:hanging="425"/>
      </w:pPr>
      <w:rPr>
        <w:rFonts w:ascii="Symbol" w:hAnsi="Symbol" w:hint="default"/>
        <w:color w:val="auto"/>
        <w:sz w:val="18"/>
      </w:rPr>
    </w:lvl>
    <w:lvl w:ilvl="1">
      <w:start w:val="1"/>
      <w:numFmt w:val="bullet"/>
      <w:lvlText w:val=""/>
      <w:lvlJc w:val="left"/>
      <w:pPr>
        <w:ind w:left="1" w:hanging="426"/>
      </w:pPr>
      <w:rPr>
        <w:rFonts w:ascii="Symbol" w:hAnsi="Symbol" w:hint="default"/>
        <w:color w:val="000000" w:themeColor="text1"/>
        <w:sz w:val="18"/>
      </w:rPr>
    </w:lvl>
    <w:lvl w:ilvl="2">
      <w:start w:val="1"/>
      <w:numFmt w:val="none"/>
      <w:lvlRestart w:val="0"/>
      <w:lvlText w:val=""/>
      <w:lvlJc w:val="left"/>
      <w:pPr>
        <w:ind w:left="1" w:hanging="426"/>
      </w:pPr>
      <w:rPr>
        <w:rFonts w:hint="default"/>
      </w:rPr>
    </w:lvl>
    <w:lvl w:ilvl="3">
      <w:start w:val="1"/>
      <w:numFmt w:val="bullet"/>
      <w:lvlText w:val=""/>
      <w:lvlJc w:val="left"/>
      <w:pPr>
        <w:ind w:left="1" w:hanging="426"/>
      </w:pPr>
      <w:rPr>
        <w:rFonts w:ascii="Symbol" w:hAnsi="Symbol" w:hint="default"/>
      </w:rPr>
    </w:lvl>
    <w:lvl w:ilvl="4">
      <w:start w:val="1"/>
      <w:numFmt w:val="none"/>
      <w:lvlRestart w:val="0"/>
      <w:lvlText w:val=""/>
      <w:lvlJc w:val="left"/>
      <w:pPr>
        <w:ind w:left="1" w:hanging="426"/>
      </w:pPr>
      <w:rPr>
        <w:rFonts w:hint="default"/>
      </w:rPr>
    </w:lvl>
    <w:lvl w:ilvl="5">
      <w:start w:val="1"/>
      <w:numFmt w:val="bullet"/>
      <w:lvlText w:val=""/>
      <w:lvlJc w:val="left"/>
      <w:pPr>
        <w:ind w:left="1" w:hanging="426"/>
      </w:pPr>
      <w:rPr>
        <w:rFonts w:ascii="Symbol" w:hAnsi="Symbol" w:hint="default"/>
      </w:rPr>
    </w:lvl>
    <w:lvl w:ilvl="6">
      <w:start w:val="1"/>
      <w:numFmt w:val="none"/>
      <w:lvlRestart w:val="0"/>
      <w:lvlText w:val=""/>
      <w:lvlJc w:val="left"/>
      <w:pPr>
        <w:ind w:left="1" w:hanging="426"/>
      </w:pPr>
      <w:rPr>
        <w:rFonts w:hint="default"/>
      </w:rPr>
    </w:lvl>
    <w:lvl w:ilvl="7">
      <w:start w:val="1"/>
      <w:numFmt w:val="none"/>
      <w:lvlRestart w:val="0"/>
      <w:lvlText w:val=""/>
      <w:lvlJc w:val="left"/>
      <w:pPr>
        <w:ind w:left="1" w:hanging="426"/>
      </w:pPr>
      <w:rPr>
        <w:rFonts w:hint="default"/>
      </w:rPr>
    </w:lvl>
    <w:lvl w:ilvl="8">
      <w:start w:val="1"/>
      <w:numFmt w:val="none"/>
      <w:lvlRestart w:val="0"/>
      <w:lvlText w:val=""/>
      <w:lvlJc w:val="left"/>
      <w:pPr>
        <w:ind w:left="1" w:hanging="426"/>
      </w:pPr>
      <w:rPr>
        <w:rFonts w:hint="default"/>
      </w:rPr>
    </w:lvl>
  </w:abstractNum>
  <w:abstractNum w:abstractNumId="73" w15:restartNumberingAfterBreak="0">
    <w:nsid w:val="606B2876"/>
    <w:multiLevelType w:val="hybridMultilevel"/>
    <w:tmpl w:val="EA2EA8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0957075"/>
    <w:multiLevelType w:val="hybridMultilevel"/>
    <w:tmpl w:val="FC1456C0"/>
    <w:lvl w:ilvl="0" w:tplc="0C090001">
      <w:start w:val="1"/>
      <w:numFmt w:val="bullet"/>
      <w:lvlText w:val=""/>
      <w:lvlJc w:val="left"/>
      <w:pPr>
        <w:ind w:left="785" w:hanging="360"/>
      </w:pPr>
      <w:rPr>
        <w:rFonts w:ascii="Symbol" w:hAnsi="Symbol"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75" w15:restartNumberingAfterBreak="0">
    <w:nsid w:val="618D27AA"/>
    <w:multiLevelType w:val="hybridMultilevel"/>
    <w:tmpl w:val="D15E9DAC"/>
    <w:lvl w:ilvl="0" w:tplc="703AFEFC">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633D6386"/>
    <w:multiLevelType w:val="multilevel"/>
    <w:tmpl w:val="191CAEB2"/>
    <w:lvl w:ilvl="0">
      <w:start w:val="1"/>
      <w:numFmt w:val="upperLetter"/>
      <w:suff w:val="space"/>
      <w:lvlText w:val="Appendix %1."/>
      <w:lvlJc w:val="left"/>
      <w:pPr>
        <w:ind w:left="360" w:hanging="360"/>
      </w:pPr>
      <w:rPr>
        <w:rFonts w:ascii="Arial" w:hAnsi="Arial" w:hint="default"/>
        <w:b/>
        <w:i w:val="0"/>
        <w:sz w:val="32"/>
      </w:rPr>
    </w:lvl>
    <w:lvl w:ilvl="1">
      <w:start w:val="1"/>
      <w:numFmt w:val="decimal"/>
      <w:lvlText w:val="%1.%2"/>
      <w:lvlJc w:val="left"/>
      <w:pPr>
        <w:ind w:left="851" w:hanging="851"/>
      </w:pPr>
      <w:rPr>
        <w:rFonts w:ascii="Arial" w:hAnsi="Arial" w:hint="default"/>
        <w:b/>
        <w:i w:val="0"/>
        <w:sz w:val="24"/>
      </w:rPr>
    </w:lvl>
    <w:lvl w:ilvl="2">
      <w:start w:val="1"/>
      <w:numFmt w:val="decimal"/>
      <w:lvlText w:val="%1.%2.%3"/>
      <w:lvlJc w:val="left"/>
      <w:pPr>
        <w:ind w:left="851" w:hanging="851"/>
      </w:pPr>
      <w:rPr>
        <w:rFonts w:ascii="Arial" w:hAnsi="Arial" w:hint="default"/>
        <w:b/>
        <w:i w:val="0"/>
        <w:sz w:val="20"/>
      </w:rPr>
    </w:lvl>
    <w:lvl w:ilvl="3">
      <w:start w:val="1"/>
      <w:numFmt w:val="decimal"/>
      <w:pStyle w:val="Appendixsubheading3"/>
      <w:lvlText w:val="%1.%2.%3.%4"/>
      <w:lvlJc w:val="left"/>
      <w:pPr>
        <w:ind w:left="851" w:hanging="851"/>
      </w:pPr>
      <w:rPr>
        <w:rFonts w:ascii="Arial" w:hAnsi="Arial" w:hint="default"/>
        <w:b/>
        <w:i w:val="0"/>
        <w:sz w:val="20"/>
      </w:rPr>
    </w:lvl>
    <w:lvl w:ilvl="4">
      <w:numFmt w:val="none"/>
      <w:lvlRestart w:val="0"/>
      <w:suff w:val="nothing"/>
      <w:lvlText w:val=""/>
      <w:lvlJc w:val="left"/>
      <w:pPr>
        <w:ind w:left="-32767" w:firstLine="32767"/>
      </w:pPr>
      <w:rPr>
        <w:rFonts w:ascii="Arial Narrow" w:hAnsi="Arial Narrow" w:hint="default"/>
        <w:b/>
        <w:i w:val="0"/>
        <w:sz w:val="20"/>
      </w:rPr>
    </w:lvl>
    <w:lvl w:ilvl="5">
      <w:numFmt w:val="none"/>
      <w:lvlRestart w:val="0"/>
      <w:suff w:val="nothing"/>
      <w:lvlText w:val=""/>
      <w:lvlJc w:val="left"/>
      <w:pPr>
        <w:ind w:left="-32767" w:firstLine="0"/>
      </w:pPr>
      <w:rPr>
        <w:rFonts w:hint="default"/>
      </w:rPr>
    </w:lvl>
    <w:lvl w:ilvl="6">
      <w:numFmt w:val="none"/>
      <w:lvlRestart w:val="0"/>
      <w:suff w:val="nothing"/>
      <w:lvlText w:val=""/>
      <w:lvlJc w:val="left"/>
      <w:pPr>
        <w:ind w:left="-32767" w:firstLine="0"/>
      </w:pPr>
      <w:rPr>
        <w:rFonts w:hint="default"/>
      </w:rPr>
    </w:lvl>
    <w:lvl w:ilvl="7">
      <w:numFmt w:val="none"/>
      <w:lvlRestart w:val="0"/>
      <w:suff w:val="nothing"/>
      <w:lvlText w:val=""/>
      <w:lvlJc w:val="left"/>
      <w:pPr>
        <w:ind w:left="-32767" w:firstLine="0"/>
      </w:pPr>
      <w:rPr>
        <w:rFonts w:hint="default"/>
      </w:rPr>
    </w:lvl>
    <w:lvl w:ilvl="8">
      <w:numFmt w:val="none"/>
      <w:lvlRestart w:val="0"/>
      <w:suff w:val="nothing"/>
      <w:lvlText w:val=""/>
      <w:lvlJc w:val="left"/>
      <w:pPr>
        <w:ind w:left="-32767" w:firstLine="0"/>
      </w:pPr>
      <w:rPr>
        <w:rFonts w:hint="default"/>
      </w:rPr>
    </w:lvl>
  </w:abstractNum>
  <w:abstractNum w:abstractNumId="77" w15:restartNumberingAfterBreak="0">
    <w:nsid w:val="653578D1"/>
    <w:multiLevelType w:val="hybridMultilevel"/>
    <w:tmpl w:val="CFD6FC38"/>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65D2703C"/>
    <w:multiLevelType w:val="hybridMultilevel"/>
    <w:tmpl w:val="08BA1E5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67097FA9"/>
    <w:multiLevelType w:val="hybridMultilevel"/>
    <w:tmpl w:val="968CE82C"/>
    <w:lvl w:ilvl="0" w:tplc="97A87D3E">
      <w:start w:val="1"/>
      <w:numFmt w:val="bullet"/>
      <w:lvlText w:val=""/>
      <w:lvlJc w:val="left"/>
      <w:pPr>
        <w:ind w:left="730" w:hanging="360"/>
      </w:pPr>
      <w:rPr>
        <w:rFonts w:ascii="Symbol" w:hAnsi="Symbol" w:hint="default"/>
        <w:color w:val="auto"/>
      </w:rPr>
    </w:lvl>
    <w:lvl w:ilvl="1" w:tplc="0C090003">
      <w:start w:val="1"/>
      <w:numFmt w:val="bullet"/>
      <w:lvlText w:val="o"/>
      <w:lvlJc w:val="left"/>
      <w:pPr>
        <w:ind w:left="1450" w:hanging="360"/>
      </w:pPr>
      <w:rPr>
        <w:rFonts w:ascii="Courier New" w:hAnsi="Courier New" w:cs="Courier New" w:hint="default"/>
      </w:rPr>
    </w:lvl>
    <w:lvl w:ilvl="2" w:tplc="0C090005" w:tentative="1">
      <w:start w:val="1"/>
      <w:numFmt w:val="bullet"/>
      <w:lvlText w:val=""/>
      <w:lvlJc w:val="left"/>
      <w:pPr>
        <w:ind w:left="2170" w:hanging="360"/>
      </w:pPr>
      <w:rPr>
        <w:rFonts w:ascii="Wingdings" w:hAnsi="Wingdings" w:hint="default"/>
      </w:rPr>
    </w:lvl>
    <w:lvl w:ilvl="3" w:tplc="0C090001" w:tentative="1">
      <w:start w:val="1"/>
      <w:numFmt w:val="bullet"/>
      <w:lvlText w:val=""/>
      <w:lvlJc w:val="left"/>
      <w:pPr>
        <w:ind w:left="2890" w:hanging="360"/>
      </w:pPr>
      <w:rPr>
        <w:rFonts w:ascii="Symbol" w:hAnsi="Symbol" w:hint="default"/>
      </w:rPr>
    </w:lvl>
    <w:lvl w:ilvl="4" w:tplc="0C090003" w:tentative="1">
      <w:start w:val="1"/>
      <w:numFmt w:val="bullet"/>
      <w:lvlText w:val="o"/>
      <w:lvlJc w:val="left"/>
      <w:pPr>
        <w:ind w:left="3610" w:hanging="360"/>
      </w:pPr>
      <w:rPr>
        <w:rFonts w:ascii="Courier New" w:hAnsi="Courier New" w:cs="Courier New" w:hint="default"/>
      </w:rPr>
    </w:lvl>
    <w:lvl w:ilvl="5" w:tplc="0C090005" w:tentative="1">
      <w:start w:val="1"/>
      <w:numFmt w:val="bullet"/>
      <w:lvlText w:val=""/>
      <w:lvlJc w:val="left"/>
      <w:pPr>
        <w:ind w:left="4330" w:hanging="360"/>
      </w:pPr>
      <w:rPr>
        <w:rFonts w:ascii="Wingdings" w:hAnsi="Wingdings" w:hint="default"/>
      </w:rPr>
    </w:lvl>
    <w:lvl w:ilvl="6" w:tplc="0C090001" w:tentative="1">
      <w:start w:val="1"/>
      <w:numFmt w:val="bullet"/>
      <w:lvlText w:val=""/>
      <w:lvlJc w:val="left"/>
      <w:pPr>
        <w:ind w:left="5050" w:hanging="360"/>
      </w:pPr>
      <w:rPr>
        <w:rFonts w:ascii="Symbol" w:hAnsi="Symbol" w:hint="default"/>
      </w:rPr>
    </w:lvl>
    <w:lvl w:ilvl="7" w:tplc="0C090003" w:tentative="1">
      <w:start w:val="1"/>
      <w:numFmt w:val="bullet"/>
      <w:lvlText w:val="o"/>
      <w:lvlJc w:val="left"/>
      <w:pPr>
        <w:ind w:left="5770" w:hanging="360"/>
      </w:pPr>
      <w:rPr>
        <w:rFonts w:ascii="Courier New" w:hAnsi="Courier New" w:cs="Courier New" w:hint="default"/>
      </w:rPr>
    </w:lvl>
    <w:lvl w:ilvl="8" w:tplc="0C090005" w:tentative="1">
      <w:start w:val="1"/>
      <w:numFmt w:val="bullet"/>
      <w:lvlText w:val=""/>
      <w:lvlJc w:val="left"/>
      <w:pPr>
        <w:ind w:left="6490" w:hanging="360"/>
      </w:pPr>
      <w:rPr>
        <w:rFonts w:ascii="Wingdings" w:hAnsi="Wingdings" w:hint="default"/>
      </w:rPr>
    </w:lvl>
  </w:abstractNum>
  <w:abstractNum w:abstractNumId="80" w15:restartNumberingAfterBreak="0">
    <w:nsid w:val="677A7798"/>
    <w:multiLevelType w:val="hybridMultilevel"/>
    <w:tmpl w:val="C84234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696E67E8"/>
    <w:multiLevelType w:val="multilevel"/>
    <w:tmpl w:val="BFACDB88"/>
    <w:styleLink w:val="JacobsSidebarList"/>
    <w:lvl w:ilvl="0">
      <w:start w:val="1"/>
      <w:numFmt w:val="bullet"/>
      <w:pStyle w:val="Sidebarbullet"/>
      <w:lvlText w:val=""/>
      <w:lvlJc w:val="left"/>
      <w:pPr>
        <w:ind w:left="284" w:hanging="284"/>
      </w:pPr>
      <w:rPr>
        <w:rFonts w:ascii="Symbol" w:hAnsi="Symbol" w:hint="default"/>
        <w:color w:val="auto"/>
      </w:rPr>
    </w:lvl>
    <w:lvl w:ilvl="1">
      <w:start w:val="1"/>
      <w:numFmt w:val="none"/>
      <w:lvlRestart w:val="0"/>
      <w:lvlText w:val=""/>
      <w:lvlJc w:val="left"/>
      <w:pPr>
        <w:ind w:left="284" w:firstLine="76"/>
      </w:pPr>
      <w:rPr>
        <w:rFonts w:hint="default"/>
      </w:rPr>
    </w:lvl>
    <w:lvl w:ilvl="2">
      <w:start w:val="1"/>
      <w:numFmt w:val="none"/>
      <w:lvlRestart w:val="0"/>
      <w:lvlText w:val=""/>
      <w:lvlJc w:val="left"/>
      <w:pPr>
        <w:ind w:left="284" w:hanging="284"/>
      </w:pPr>
      <w:rPr>
        <w:rFonts w:hint="default"/>
      </w:rPr>
    </w:lvl>
    <w:lvl w:ilvl="3">
      <w:start w:val="1"/>
      <w:numFmt w:val="none"/>
      <w:lvlRestart w:val="0"/>
      <w:lvlText w:val=""/>
      <w:lvlJc w:val="left"/>
      <w:pPr>
        <w:ind w:left="284" w:hanging="284"/>
      </w:pPr>
      <w:rPr>
        <w:rFonts w:hint="default"/>
      </w:rPr>
    </w:lvl>
    <w:lvl w:ilvl="4">
      <w:start w:val="1"/>
      <w:numFmt w:val="none"/>
      <w:lvlRestart w:val="0"/>
      <w:lvlText w:val=""/>
      <w:lvlJc w:val="left"/>
      <w:pPr>
        <w:ind w:left="284" w:hanging="284"/>
      </w:pPr>
      <w:rPr>
        <w:rFonts w:hint="default"/>
      </w:rPr>
    </w:lvl>
    <w:lvl w:ilvl="5">
      <w:start w:val="1"/>
      <w:numFmt w:val="none"/>
      <w:lvlRestart w:val="0"/>
      <w:lvlText w:val=""/>
      <w:lvlJc w:val="left"/>
      <w:pPr>
        <w:ind w:left="284" w:hanging="284"/>
      </w:pPr>
      <w:rPr>
        <w:rFonts w:hint="default"/>
      </w:rPr>
    </w:lvl>
    <w:lvl w:ilvl="6">
      <w:start w:val="1"/>
      <w:numFmt w:val="none"/>
      <w:lvlRestart w:val="0"/>
      <w:lvlText w:val=""/>
      <w:lvlJc w:val="left"/>
      <w:pPr>
        <w:ind w:left="284" w:hanging="284"/>
      </w:pPr>
      <w:rPr>
        <w:rFonts w:hint="default"/>
      </w:rPr>
    </w:lvl>
    <w:lvl w:ilvl="7">
      <w:start w:val="1"/>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82" w15:restartNumberingAfterBreak="0">
    <w:nsid w:val="6CC1025E"/>
    <w:multiLevelType w:val="hybridMultilevel"/>
    <w:tmpl w:val="0F2A36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6F084581"/>
    <w:multiLevelType w:val="multilevel"/>
    <w:tmpl w:val="F78A24CC"/>
    <w:lvl w:ilvl="0">
      <w:numFmt w:val="bullet"/>
      <w:lvlText w:val="-"/>
      <w:lvlJc w:val="left"/>
      <w:pPr>
        <w:ind w:left="1155" w:hanging="425"/>
      </w:pPr>
      <w:rPr>
        <w:rFonts w:ascii="Arial" w:eastAsiaTheme="minorEastAsia" w:hAnsi="Arial" w:cs="Arial" w:hint="default"/>
        <w:color w:val="auto"/>
        <w:sz w:val="20"/>
        <w:szCs w:val="20"/>
      </w:rPr>
    </w:lvl>
    <w:lvl w:ilvl="1">
      <w:start w:val="1"/>
      <w:numFmt w:val="bullet"/>
      <w:lvlText w:val="-"/>
      <w:lvlJc w:val="left"/>
      <w:pPr>
        <w:ind w:left="1581" w:hanging="426"/>
      </w:pPr>
      <w:rPr>
        <w:rFonts w:ascii="Arial" w:hAnsi="Arial" w:hint="default"/>
        <w:color w:val="000000" w:themeColor="text1"/>
        <w:sz w:val="18"/>
      </w:rPr>
    </w:lvl>
    <w:lvl w:ilvl="2">
      <w:start w:val="1"/>
      <w:numFmt w:val="none"/>
      <w:lvlRestart w:val="0"/>
      <w:lvlText w:val=""/>
      <w:lvlJc w:val="left"/>
      <w:pPr>
        <w:ind w:left="1581" w:hanging="426"/>
      </w:pPr>
      <w:rPr>
        <w:rFonts w:hint="default"/>
      </w:rPr>
    </w:lvl>
    <w:lvl w:ilvl="3">
      <w:start w:val="1"/>
      <w:numFmt w:val="none"/>
      <w:lvlRestart w:val="0"/>
      <w:lvlText w:val=""/>
      <w:lvlJc w:val="left"/>
      <w:pPr>
        <w:ind w:left="1581" w:hanging="426"/>
      </w:pPr>
      <w:rPr>
        <w:rFonts w:hint="default"/>
      </w:rPr>
    </w:lvl>
    <w:lvl w:ilvl="4">
      <w:start w:val="1"/>
      <w:numFmt w:val="none"/>
      <w:lvlRestart w:val="0"/>
      <w:lvlText w:val=""/>
      <w:lvlJc w:val="left"/>
      <w:pPr>
        <w:ind w:left="1581" w:hanging="426"/>
      </w:pPr>
      <w:rPr>
        <w:rFonts w:hint="default"/>
      </w:rPr>
    </w:lvl>
    <w:lvl w:ilvl="5">
      <w:start w:val="1"/>
      <w:numFmt w:val="none"/>
      <w:lvlRestart w:val="0"/>
      <w:lvlText w:val=""/>
      <w:lvlJc w:val="left"/>
      <w:pPr>
        <w:ind w:left="1581" w:hanging="426"/>
      </w:pPr>
      <w:rPr>
        <w:rFonts w:hint="default"/>
      </w:rPr>
    </w:lvl>
    <w:lvl w:ilvl="6">
      <w:start w:val="1"/>
      <w:numFmt w:val="none"/>
      <w:lvlRestart w:val="0"/>
      <w:lvlText w:val=""/>
      <w:lvlJc w:val="left"/>
      <w:pPr>
        <w:ind w:left="1581" w:hanging="426"/>
      </w:pPr>
      <w:rPr>
        <w:rFonts w:hint="default"/>
      </w:rPr>
    </w:lvl>
    <w:lvl w:ilvl="7">
      <w:start w:val="1"/>
      <w:numFmt w:val="none"/>
      <w:lvlRestart w:val="0"/>
      <w:lvlText w:val=""/>
      <w:lvlJc w:val="left"/>
      <w:pPr>
        <w:ind w:left="1581" w:hanging="426"/>
      </w:pPr>
      <w:rPr>
        <w:rFonts w:hint="default"/>
      </w:rPr>
    </w:lvl>
    <w:lvl w:ilvl="8">
      <w:start w:val="1"/>
      <w:numFmt w:val="none"/>
      <w:lvlRestart w:val="0"/>
      <w:lvlText w:val=""/>
      <w:lvlJc w:val="left"/>
      <w:pPr>
        <w:ind w:left="1581" w:hanging="426"/>
      </w:pPr>
      <w:rPr>
        <w:rFonts w:hint="default"/>
      </w:rPr>
    </w:lvl>
  </w:abstractNum>
  <w:abstractNum w:abstractNumId="84" w15:restartNumberingAfterBreak="0">
    <w:nsid w:val="6F293BD7"/>
    <w:multiLevelType w:val="hybridMultilevel"/>
    <w:tmpl w:val="33B034C2"/>
    <w:lvl w:ilvl="0" w:tplc="0C090019">
      <w:start w:val="1"/>
      <w:numFmt w:val="lowerLetter"/>
      <w:lvlText w:val="%1."/>
      <w:lvlJc w:val="left"/>
      <w:pPr>
        <w:ind w:left="993" w:hanging="360"/>
      </w:pPr>
    </w:lvl>
    <w:lvl w:ilvl="1" w:tplc="0C090019">
      <w:start w:val="1"/>
      <w:numFmt w:val="lowerLetter"/>
      <w:lvlText w:val="%2."/>
      <w:lvlJc w:val="left"/>
      <w:pPr>
        <w:ind w:left="1713" w:hanging="360"/>
      </w:pPr>
    </w:lvl>
    <w:lvl w:ilvl="2" w:tplc="0C09001B" w:tentative="1">
      <w:start w:val="1"/>
      <w:numFmt w:val="lowerRoman"/>
      <w:lvlText w:val="%3."/>
      <w:lvlJc w:val="right"/>
      <w:pPr>
        <w:ind w:left="2433" w:hanging="180"/>
      </w:pPr>
    </w:lvl>
    <w:lvl w:ilvl="3" w:tplc="0C09000F" w:tentative="1">
      <w:start w:val="1"/>
      <w:numFmt w:val="decimal"/>
      <w:lvlText w:val="%4."/>
      <w:lvlJc w:val="left"/>
      <w:pPr>
        <w:ind w:left="3153" w:hanging="360"/>
      </w:pPr>
    </w:lvl>
    <w:lvl w:ilvl="4" w:tplc="0C090019" w:tentative="1">
      <w:start w:val="1"/>
      <w:numFmt w:val="lowerLetter"/>
      <w:lvlText w:val="%5."/>
      <w:lvlJc w:val="left"/>
      <w:pPr>
        <w:ind w:left="3873" w:hanging="360"/>
      </w:pPr>
    </w:lvl>
    <w:lvl w:ilvl="5" w:tplc="0C09001B" w:tentative="1">
      <w:start w:val="1"/>
      <w:numFmt w:val="lowerRoman"/>
      <w:lvlText w:val="%6."/>
      <w:lvlJc w:val="right"/>
      <w:pPr>
        <w:ind w:left="4593" w:hanging="180"/>
      </w:pPr>
    </w:lvl>
    <w:lvl w:ilvl="6" w:tplc="0C09000F" w:tentative="1">
      <w:start w:val="1"/>
      <w:numFmt w:val="decimal"/>
      <w:lvlText w:val="%7."/>
      <w:lvlJc w:val="left"/>
      <w:pPr>
        <w:ind w:left="5313" w:hanging="360"/>
      </w:pPr>
    </w:lvl>
    <w:lvl w:ilvl="7" w:tplc="0C090019" w:tentative="1">
      <w:start w:val="1"/>
      <w:numFmt w:val="lowerLetter"/>
      <w:lvlText w:val="%8."/>
      <w:lvlJc w:val="left"/>
      <w:pPr>
        <w:ind w:left="6033" w:hanging="360"/>
      </w:pPr>
    </w:lvl>
    <w:lvl w:ilvl="8" w:tplc="0C09001B" w:tentative="1">
      <w:start w:val="1"/>
      <w:numFmt w:val="lowerRoman"/>
      <w:lvlText w:val="%9."/>
      <w:lvlJc w:val="right"/>
      <w:pPr>
        <w:ind w:left="6753" w:hanging="180"/>
      </w:pPr>
    </w:lvl>
  </w:abstractNum>
  <w:abstractNum w:abstractNumId="85" w15:restartNumberingAfterBreak="0">
    <w:nsid w:val="6F7D6216"/>
    <w:multiLevelType w:val="multilevel"/>
    <w:tmpl w:val="4AEE2348"/>
    <w:styleLink w:val="JacobsSmallTableList1"/>
    <w:lvl w:ilvl="0">
      <w:start w:val="1"/>
      <w:numFmt w:val="bullet"/>
      <w:pStyle w:val="Tablesmall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86" w15:restartNumberingAfterBreak="0">
    <w:nsid w:val="7005448F"/>
    <w:multiLevelType w:val="multilevel"/>
    <w:tmpl w:val="8DF6B3EE"/>
    <w:lvl w:ilvl="0">
      <w:start w:val="1"/>
      <w:numFmt w:val="decimal"/>
      <w:lvlText w:val="%1)"/>
      <w:lvlJc w:val="left"/>
      <w:pPr>
        <w:ind w:left="850" w:hanging="425"/>
      </w:pPr>
      <w:rPr>
        <w:rFonts w:hint="default"/>
        <w:color w:val="auto"/>
        <w:sz w:val="20"/>
        <w:szCs w:val="20"/>
      </w:rPr>
    </w:lvl>
    <w:lvl w:ilvl="1">
      <w:start w:val="1"/>
      <w:numFmt w:val="bullet"/>
      <w:lvlText w:val="-"/>
      <w:lvlJc w:val="left"/>
      <w:pPr>
        <w:ind w:left="1276" w:hanging="426"/>
      </w:pPr>
      <w:rPr>
        <w:rFonts w:ascii="Arial" w:hAnsi="Arial" w:hint="default"/>
        <w:color w:val="000000" w:themeColor="text1"/>
        <w:sz w:val="18"/>
      </w:rPr>
    </w:lvl>
    <w:lvl w:ilvl="2">
      <w:start w:val="1"/>
      <w:numFmt w:val="none"/>
      <w:lvlRestart w:val="0"/>
      <w:lvlText w:val=""/>
      <w:lvlJc w:val="left"/>
      <w:pPr>
        <w:ind w:left="1276" w:hanging="426"/>
      </w:pPr>
      <w:rPr>
        <w:rFonts w:hint="default"/>
      </w:rPr>
    </w:lvl>
    <w:lvl w:ilvl="3">
      <w:start w:val="1"/>
      <w:numFmt w:val="none"/>
      <w:lvlRestart w:val="0"/>
      <w:lvlText w:val=""/>
      <w:lvlJc w:val="left"/>
      <w:pPr>
        <w:ind w:left="1276" w:hanging="426"/>
      </w:pPr>
      <w:rPr>
        <w:rFonts w:hint="default"/>
      </w:rPr>
    </w:lvl>
    <w:lvl w:ilvl="4">
      <w:start w:val="1"/>
      <w:numFmt w:val="none"/>
      <w:lvlRestart w:val="0"/>
      <w:lvlText w:val=""/>
      <w:lvlJc w:val="left"/>
      <w:pPr>
        <w:ind w:left="1276" w:hanging="426"/>
      </w:pPr>
      <w:rPr>
        <w:rFonts w:hint="default"/>
      </w:rPr>
    </w:lvl>
    <w:lvl w:ilvl="5">
      <w:start w:val="1"/>
      <w:numFmt w:val="none"/>
      <w:lvlRestart w:val="0"/>
      <w:lvlText w:val=""/>
      <w:lvlJc w:val="left"/>
      <w:pPr>
        <w:ind w:left="1276" w:hanging="426"/>
      </w:pPr>
      <w:rPr>
        <w:rFonts w:hint="default"/>
      </w:rPr>
    </w:lvl>
    <w:lvl w:ilvl="6">
      <w:start w:val="1"/>
      <w:numFmt w:val="none"/>
      <w:lvlRestart w:val="0"/>
      <w:lvlText w:val=""/>
      <w:lvlJc w:val="left"/>
      <w:pPr>
        <w:ind w:left="1276" w:hanging="426"/>
      </w:pPr>
      <w:rPr>
        <w:rFonts w:hint="default"/>
      </w:rPr>
    </w:lvl>
    <w:lvl w:ilvl="7">
      <w:start w:val="1"/>
      <w:numFmt w:val="none"/>
      <w:lvlRestart w:val="0"/>
      <w:lvlText w:val=""/>
      <w:lvlJc w:val="left"/>
      <w:pPr>
        <w:ind w:left="1276" w:hanging="426"/>
      </w:pPr>
      <w:rPr>
        <w:rFonts w:hint="default"/>
      </w:rPr>
    </w:lvl>
    <w:lvl w:ilvl="8">
      <w:start w:val="1"/>
      <w:numFmt w:val="none"/>
      <w:lvlRestart w:val="0"/>
      <w:lvlText w:val=""/>
      <w:lvlJc w:val="left"/>
      <w:pPr>
        <w:ind w:left="1276" w:hanging="426"/>
      </w:pPr>
      <w:rPr>
        <w:rFonts w:hint="default"/>
      </w:rPr>
    </w:lvl>
  </w:abstractNum>
  <w:abstractNum w:abstractNumId="87" w15:restartNumberingAfterBreak="0">
    <w:nsid w:val="71C20201"/>
    <w:multiLevelType w:val="hybridMultilevel"/>
    <w:tmpl w:val="340E4D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72B42E90"/>
    <w:multiLevelType w:val="hybridMultilevel"/>
    <w:tmpl w:val="87ECCA36"/>
    <w:lvl w:ilvl="0" w:tplc="0EA64634">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733B6855"/>
    <w:multiLevelType w:val="hybridMultilevel"/>
    <w:tmpl w:val="68F296FE"/>
    <w:lvl w:ilvl="0" w:tplc="6B6C78CA">
      <w:start w:val="1"/>
      <w:numFmt w:val="bullet"/>
      <w:pStyle w:val="ContentBulletsRound"/>
      <w:lvlText w:val=""/>
      <w:lvlJc w:val="left"/>
      <w:pPr>
        <w:ind w:left="1418" w:hanging="851"/>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5F05019"/>
    <w:multiLevelType w:val="hybridMultilevel"/>
    <w:tmpl w:val="141CF2D6"/>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91" w15:restartNumberingAfterBreak="0">
    <w:nsid w:val="7A4F0D52"/>
    <w:multiLevelType w:val="hybridMultilevel"/>
    <w:tmpl w:val="527CD20C"/>
    <w:lvl w:ilvl="0" w:tplc="0C090019">
      <w:start w:val="1"/>
      <w:numFmt w:val="lowerLetter"/>
      <w:lvlText w:val="%1."/>
      <w:lvlJc w:val="left"/>
      <w:pPr>
        <w:ind w:left="993" w:hanging="360"/>
      </w:pPr>
    </w:lvl>
    <w:lvl w:ilvl="1" w:tplc="0C090019" w:tentative="1">
      <w:start w:val="1"/>
      <w:numFmt w:val="lowerLetter"/>
      <w:lvlText w:val="%2."/>
      <w:lvlJc w:val="left"/>
      <w:pPr>
        <w:ind w:left="1713" w:hanging="360"/>
      </w:pPr>
    </w:lvl>
    <w:lvl w:ilvl="2" w:tplc="0C09001B" w:tentative="1">
      <w:start w:val="1"/>
      <w:numFmt w:val="lowerRoman"/>
      <w:lvlText w:val="%3."/>
      <w:lvlJc w:val="right"/>
      <w:pPr>
        <w:ind w:left="2433" w:hanging="180"/>
      </w:pPr>
    </w:lvl>
    <w:lvl w:ilvl="3" w:tplc="0C09000F" w:tentative="1">
      <w:start w:val="1"/>
      <w:numFmt w:val="decimal"/>
      <w:lvlText w:val="%4."/>
      <w:lvlJc w:val="left"/>
      <w:pPr>
        <w:ind w:left="3153" w:hanging="360"/>
      </w:pPr>
    </w:lvl>
    <w:lvl w:ilvl="4" w:tplc="0C090019" w:tentative="1">
      <w:start w:val="1"/>
      <w:numFmt w:val="lowerLetter"/>
      <w:lvlText w:val="%5."/>
      <w:lvlJc w:val="left"/>
      <w:pPr>
        <w:ind w:left="3873" w:hanging="360"/>
      </w:pPr>
    </w:lvl>
    <w:lvl w:ilvl="5" w:tplc="0C09001B" w:tentative="1">
      <w:start w:val="1"/>
      <w:numFmt w:val="lowerRoman"/>
      <w:lvlText w:val="%6."/>
      <w:lvlJc w:val="right"/>
      <w:pPr>
        <w:ind w:left="4593" w:hanging="180"/>
      </w:pPr>
    </w:lvl>
    <w:lvl w:ilvl="6" w:tplc="0C09000F" w:tentative="1">
      <w:start w:val="1"/>
      <w:numFmt w:val="decimal"/>
      <w:lvlText w:val="%7."/>
      <w:lvlJc w:val="left"/>
      <w:pPr>
        <w:ind w:left="5313" w:hanging="360"/>
      </w:pPr>
    </w:lvl>
    <w:lvl w:ilvl="7" w:tplc="0C090019" w:tentative="1">
      <w:start w:val="1"/>
      <w:numFmt w:val="lowerLetter"/>
      <w:lvlText w:val="%8."/>
      <w:lvlJc w:val="left"/>
      <w:pPr>
        <w:ind w:left="6033" w:hanging="360"/>
      </w:pPr>
    </w:lvl>
    <w:lvl w:ilvl="8" w:tplc="0C09001B" w:tentative="1">
      <w:start w:val="1"/>
      <w:numFmt w:val="lowerRoman"/>
      <w:lvlText w:val="%9."/>
      <w:lvlJc w:val="right"/>
      <w:pPr>
        <w:ind w:left="6753" w:hanging="180"/>
      </w:pPr>
    </w:lvl>
  </w:abstractNum>
  <w:abstractNum w:abstractNumId="92" w15:restartNumberingAfterBreak="0">
    <w:nsid w:val="7D12637D"/>
    <w:multiLevelType w:val="hybridMultilevel"/>
    <w:tmpl w:val="17F69F8C"/>
    <w:lvl w:ilvl="0" w:tplc="3FE4669E">
      <w:start w:val="1"/>
      <w:numFmt w:val="decimal"/>
      <w:pStyle w:val="Para1number"/>
      <w:lvlText w:val="%1)"/>
      <w:lvlJc w:val="left"/>
      <w:pPr>
        <w:ind w:left="785" w:hanging="360"/>
      </w:pPr>
    </w:lvl>
    <w:lvl w:ilvl="1" w:tplc="0C090019" w:tentative="1">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93" w15:restartNumberingAfterBreak="0">
    <w:nsid w:val="7DA04161"/>
    <w:multiLevelType w:val="multilevel"/>
    <w:tmpl w:val="1026C4BC"/>
    <w:lvl w:ilvl="0">
      <w:start w:val="1"/>
      <w:numFmt w:val="decimal"/>
      <w:lvlText w:val="%1)"/>
      <w:lvlJc w:val="left"/>
      <w:pPr>
        <w:ind w:left="850" w:hanging="425"/>
      </w:pPr>
      <w:rPr>
        <w:rFonts w:hint="default"/>
        <w:color w:val="auto"/>
        <w:sz w:val="20"/>
        <w:szCs w:val="20"/>
      </w:rPr>
    </w:lvl>
    <w:lvl w:ilvl="1">
      <w:start w:val="1"/>
      <w:numFmt w:val="bullet"/>
      <w:lvlText w:val="-"/>
      <w:lvlJc w:val="left"/>
      <w:pPr>
        <w:ind w:left="1276" w:hanging="426"/>
      </w:pPr>
      <w:rPr>
        <w:rFonts w:ascii="Arial" w:hAnsi="Arial" w:hint="default"/>
        <w:color w:val="000000" w:themeColor="text1"/>
        <w:sz w:val="18"/>
      </w:rPr>
    </w:lvl>
    <w:lvl w:ilvl="2">
      <w:start w:val="1"/>
      <w:numFmt w:val="none"/>
      <w:lvlRestart w:val="0"/>
      <w:lvlText w:val=""/>
      <w:lvlJc w:val="left"/>
      <w:pPr>
        <w:ind w:left="1276" w:hanging="426"/>
      </w:pPr>
      <w:rPr>
        <w:rFonts w:hint="default"/>
      </w:rPr>
    </w:lvl>
    <w:lvl w:ilvl="3">
      <w:start w:val="1"/>
      <w:numFmt w:val="none"/>
      <w:lvlRestart w:val="0"/>
      <w:lvlText w:val=""/>
      <w:lvlJc w:val="left"/>
      <w:pPr>
        <w:ind w:left="1276" w:hanging="426"/>
      </w:pPr>
      <w:rPr>
        <w:rFonts w:hint="default"/>
      </w:rPr>
    </w:lvl>
    <w:lvl w:ilvl="4">
      <w:start w:val="1"/>
      <w:numFmt w:val="none"/>
      <w:lvlRestart w:val="0"/>
      <w:lvlText w:val=""/>
      <w:lvlJc w:val="left"/>
      <w:pPr>
        <w:ind w:left="1276" w:hanging="426"/>
      </w:pPr>
      <w:rPr>
        <w:rFonts w:hint="default"/>
      </w:rPr>
    </w:lvl>
    <w:lvl w:ilvl="5">
      <w:start w:val="1"/>
      <w:numFmt w:val="none"/>
      <w:lvlRestart w:val="0"/>
      <w:lvlText w:val=""/>
      <w:lvlJc w:val="left"/>
      <w:pPr>
        <w:ind w:left="1276" w:hanging="426"/>
      </w:pPr>
      <w:rPr>
        <w:rFonts w:hint="default"/>
      </w:rPr>
    </w:lvl>
    <w:lvl w:ilvl="6">
      <w:start w:val="1"/>
      <w:numFmt w:val="none"/>
      <w:lvlRestart w:val="0"/>
      <w:lvlText w:val=""/>
      <w:lvlJc w:val="left"/>
      <w:pPr>
        <w:ind w:left="1276" w:hanging="426"/>
      </w:pPr>
      <w:rPr>
        <w:rFonts w:hint="default"/>
      </w:rPr>
    </w:lvl>
    <w:lvl w:ilvl="7">
      <w:start w:val="1"/>
      <w:numFmt w:val="none"/>
      <w:lvlRestart w:val="0"/>
      <w:lvlText w:val=""/>
      <w:lvlJc w:val="left"/>
      <w:pPr>
        <w:ind w:left="1276" w:hanging="426"/>
      </w:pPr>
      <w:rPr>
        <w:rFonts w:hint="default"/>
      </w:rPr>
    </w:lvl>
    <w:lvl w:ilvl="8">
      <w:start w:val="1"/>
      <w:numFmt w:val="none"/>
      <w:lvlRestart w:val="0"/>
      <w:lvlText w:val=""/>
      <w:lvlJc w:val="left"/>
      <w:pPr>
        <w:ind w:left="1276" w:hanging="426"/>
      </w:pPr>
      <w:rPr>
        <w:rFonts w:hint="default"/>
      </w:rPr>
    </w:lvl>
  </w:abstractNum>
  <w:num w:numId="1">
    <w:abstractNumId w:val="6"/>
  </w:num>
  <w:num w:numId="2">
    <w:abstractNumId w:val="7"/>
  </w:num>
  <w:num w:numId="3">
    <w:abstractNumId w:val="33"/>
  </w:num>
  <w:num w:numId="4">
    <w:abstractNumId w:val="47"/>
  </w:num>
  <w:num w:numId="5">
    <w:abstractNumId w:val="41"/>
  </w:num>
  <w:num w:numId="6">
    <w:abstractNumId w:val="89"/>
  </w:num>
  <w:num w:numId="7">
    <w:abstractNumId w:val="68"/>
  </w:num>
  <w:num w:numId="8">
    <w:abstractNumId w:val="76"/>
  </w:num>
  <w:num w:numId="9">
    <w:abstractNumId w:val="92"/>
  </w:num>
  <w:num w:numId="10">
    <w:abstractNumId w:val="34"/>
  </w:num>
  <w:num w:numId="11">
    <w:abstractNumId w:val="43"/>
  </w:num>
  <w:num w:numId="12">
    <w:abstractNumId w:val="29"/>
  </w:num>
  <w:num w:numId="13">
    <w:abstractNumId w:val="2"/>
  </w:num>
  <w:num w:numId="14">
    <w:abstractNumId w:val="5"/>
  </w:num>
  <w:num w:numId="15">
    <w:abstractNumId w:val="23"/>
  </w:num>
  <w:num w:numId="16">
    <w:abstractNumId w:val="50"/>
  </w:num>
  <w:num w:numId="17">
    <w:abstractNumId w:val="4"/>
  </w:num>
  <w:num w:numId="18">
    <w:abstractNumId w:val="46"/>
  </w:num>
  <w:num w:numId="19">
    <w:abstractNumId w:val="25"/>
  </w:num>
  <w:num w:numId="20">
    <w:abstractNumId w:val="81"/>
  </w:num>
  <w:num w:numId="21">
    <w:abstractNumId w:val="85"/>
  </w:num>
  <w:num w:numId="22">
    <w:abstractNumId w:val="8"/>
  </w:num>
  <w:num w:numId="23">
    <w:abstractNumId w:val="18"/>
  </w:num>
  <w:num w:numId="24">
    <w:abstractNumId w:val="40"/>
  </w:num>
  <w:num w:numId="25">
    <w:abstractNumId w:val="19"/>
  </w:num>
  <w:num w:numId="26">
    <w:abstractNumId w:val="69"/>
  </w:num>
  <w:num w:numId="27">
    <w:abstractNumId w:val="9"/>
  </w:num>
  <w:num w:numId="28">
    <w:abstractNumId w:val="38"/>
  </w:num>
  <w:num w:numId="29">
    <w:abstractNumId w:val="4"/>
  </w:num>
  <w:num w:numId="30">
    <w:abstractNumId w:val="36"/>
  </w:num>
  <w:num w:numId="31">
    <w:abstractNumId w:val="57"/>
  </w:num>
  <w:num w:numId="32">
    <w:abstractNumId w:val="75"/>
  </w:num>
  <w:num w:numId="33">
    <w:abstractNumId w:val="91"/>
  </w:num>
  <w:num w:numId="34">
    <w:abstractNumId w:val="84"/>
  </w:num>
  <w:num w:numId="35">
    <w:abstractNumId w:val="71"/>
  </w:num>
  <w:num w:numId="36">
    <w:abstractNumId w:val="15"/>
  </w:num>
  <w:num w:numId="37">
    <w:abstractNumId w:val="2"/>
  </w:num>
  <w:num w:numId="38">
    <w:abstractNumId w:val="63"/>
  </w:num>
  <w:num w:numId="39">
    <w:abstractNumId w:val="28"/>
  </w:num>
  <w:num w:numId="40">
    <w:abstractNumId w:val="22"/>
  </w:num>
  <w:num w:numId="41">
    <w:abstractNumId w:val="93"/>
  </w:num>
  <w:num w:numId="42">
    <w:abstractNumId w:val="20"/>
  </w:num>
  <w:num w:numId="43">
    <w:abstractNumId w:val="61"/>
  </w:num>
  <w:num w:numId="44">
    <w:abstractNumId w:val="24"/>
  </w:num>
  <w:num w:numId="45">
    <w:abstractNumId w:val="86"/>
  </w:num>
  <w:num w:numId="46">
    <w:abstractNumId w:val="67"/>
  </w:num>
  <w:num w:numId="47">
    <w:abstractNumId w:val="35"/>
  </w:num>
  <w:num w:numId="48">
    <w:abstractNumId w:val="83"/>
  </w:num>
  <w:num w:numId="49">
    <w:abstractNumId w:val="11"/>
  </w:num>
  <w:num w:numId="50">
    <w:abstractNumId w:val="66"/>
  </w:num>
  <w:num w:numId="51">
    <w:abstractNumId w:val="79"/>
  </w:num>
  <w:num w:numId="52">
    <w:abstractNumId w:val="31"/>
  </w:num>
  <w:num w:numId="53">
    <w:abstractNumId w:val="54"/>
  </w:num>
  <w:num w:numId="54">
    <w:abstractNumId w:val="49"/>
  </w:num>
  <w:num w:numId="55">
    <w:abstractNumId w:val="64"/>
  </w:num>
  <w:num w:numId="56">
    <w:abstractNumId w:val="77"/>
  </w:num>
  <w:num w:numId="57">
    <w:abstractNumId w:val="37"/>
  </w:num>
  <w:num w:numId="58">
    <w:abstractNumId w:val="55"/>
  </w:num>
  <w:num w:numId="59">
    <w:abstractNumId w:val="65"/>
  </w:num>
  <w:num w:numId="60">
    <w:abstractNumId w:val="30"/>
  </w:num>
  <w:num w:numId="61">
    <w:abstractNumId w:val="16"/>
  </w:num>
  <w:num w:numId="62">
    <w:abstractNumId w:val="80"/>
  </w:num>
  <w:num w:numId="63">
    <w:abstractNumId w:val="53"/>
  </w:num>
  <w:num w:numId="64">
    <w:abstractNumId w:val="14"/>
  </w:num>
  <w:num w:numId="65">
    <w:abstractNumId w:val="48"/>
  </w:num>
  <w:num w:numId="66">
    <w:abstractNumId w:val="73"/>
  </w:num>
  <w:num w:numId="67">
    <w:abstractNumId w:val="32"/>
  </w:num>
  <w:num w:numId="68">
    <w:abstractNumId w:val="78"/>
  </w:num>
  <w:num w:numId="69">
    <w:abstractNumId w:val="51"/>
  </w:num>
  <w:num w:numId="70">
    <w:abstractNumId w:val="45"/>
  </w:num>
  <w:num w:numId="71">
    <w:abstractNumId w:val="58"/>
  </w:num>
  <w:num w:numId="72">
    <w:abstractNumId w:val="88"/>
  </w:num>
  <w:num w:numId="73">
    <w:abstractNumId w:val="62"/>
  </w:num>
  <w:num w:numId="74">
    <w:abstractNumId w:val="26"/>
  </w:num>
  <w:num w:numId="75">
    <w:abstractNumId w:val="60"/>
  </w:num>
  <w:num w:numId="76">
    <w:abstractNumId w:val="12"/>
  </w:num>
  <w:num w:numId="77">
    <w:abstractNumId w:val="13"/>
  </w:num>
  <w:num w:numId="78">
    <w:abstractNumId w:val="70"/>
  </w:num>
  <w:num w:numId="79">
    <w:abstractNumId w:val="1"/>
  </w:num>
  <w:num w:numId="80">
    <w:abstractNumId w:val="52"/>
  </w:num>
  <w:num w:numId="81">
    <w:abstractNumId w:val="3"/>
  </w:num>
  <w:num w:numId="82">
    <w:abstractNumId w:val="59"/>
  </w:num>
  <w:num w:numId="83">
    <w:abstractNumId w:val="17"/>
  </w:num>
  <w:num w:numId="84">
    <w:abstractNumId w:val="44"/>
  </w:num>
  <w:num w:numId="85">
    <w:abstractNumId w:val="72"/>
  </w:num>
  <w:num w:numId="86">
    <w:abstractNumId w:val="21"/>
  </w:num>
  <w:num w:numId="87">
    <w:abstractNumId w:val="87"/>
  </w:num>
  <w:num w:numId="88">
    <w:abstractNumId w:val="74"/>
  </w:num>
  <w:num w:numId="89">
    <w:abstractNumId w:val="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82"/>
  </w:num>
  <w:num w:numId="91">
    <w:abstractNumId w:val="90"/>
  </w:num>
  <w:num w:numId="92">
    <w:abstractNumId w:val="39"/>
  </w:num>
  <w:num w:numId="93">
    <w:abstractNumId w:val="56"/>
  </w:num>
  <w:num w:numId="94">
    <w:abstractNumId w:val="42"/>
  </w:num>
  <w:num w:numId="95">
    <w:abstractNumId w:val="27"/>
  </w:num>
  <w:num w:numId="96">
    <w:abstractNumId w:val="10"/>
  </w:num>
  <w:num w:numId="97">
    <w:abstractNumId w:val="0"/>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stylePaneFormatFilter w:val="7824" w:allStyles="0" w:customStyles="0" w:latentStyles="1" w:stylesInUse="0" w:headingStyles="1" w:numberingStyles="0" w:tableStyles="0" w:directFormattingOnRuns="0" w:directFormattingOnParagraphs="0" w:directFormattingOnNumbering="0" w:directFormattingOnTables="1" w:clearFormatting="1" w:top3HeadingStyles="1" w:visibleStyles="1" w:alternateStyleNames="0"/>
  <w:trackRevisions/>
  <w:defaultTabStop w:val="425"/>
  <w:drawingGridHorizontalSpacing w:val="100"/>
  <w:displayHorizontalDrawingGridEvery w:val="2"/>
  <w:characterSpacingControl w:val="doNotCompress"/>
  <w:hdrShapeDefaults>
    <o:shapedefaults v:ext="edit" spidmax="532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Address" w:val="Level 6, 30 Flinders Street_x000b_Adelaide SA 5000 Australia"/>
    <w:docVar w:name="AuthorEmail" w:val="Daniel.Mollison@Jacobs.com"/>
    <w:docVar w:name="AuthorName" w:val="Daniel Mollison"/>
    <w:docVar w:name="AuthorPhone" w:val="8245 5391 / 0412 773 657"/>
    <w:docVar w:name="AuthorTitle" w:val="Senior Environmental Consultant"/>
    <w:docVar w:name="Branding" w:val="JACOBS"/>
    <w:docVar w:name="CoverBusinessRegoNo" w:val="ABN 37 001 024 095"/>
    <w:docVar w:name="CoverCopyright" w:val="Jacobs Group (Australia) Pty Limited"/>
    <w:docVar w:name="CoverLimitation" w:val="Jacobs"/>
    <w:docVar w:name="CoverLogoInUse" w:val=" "/>
    <w:docVar w:name="EntityName" w:val="Jacobs Group (Australia) Pty Limited"/>
    <w:docVar w:name="EntityOnly" w:val="Jacobs Group (Australia) Pty Limited"/>
    <w:docVar w:name="Fax" w:val="F +61 8 8113 5440"/>
    <w:docVar w:name="FaxFooter" w:val="Jacobs Group (Australia) Pty Limited ABN 37 001 024 095"/>
    <w:docVar w:name="FaxFooterFollowOn" w:val=" "/>
    <w:docVar w:name="FilterItem" w:val="Australia"/>
    <w:docVar w:name="Footer" w:val="Jacobs Group (Australia) Pty Limited ABN 37 001 024 095"/>
    <w:docVar w:name="FooterFollowOn" w:val=" "/>
    <w:docVar w:name="LetterFooter" w:val="Jacobs Group (Australia) Pty Limited ABN 37 001 024 095"/>
    <w:docVar w:name="LetterFooterFollowOn" w:val=" "/>
    <w:docVar w:name="Logo" w:val=" "/>
    <w:docVar w:name="LogoLandscape" w:val="Jacobs landscape logo A4"/>
    <w:docVar w:name="LogoLandscapeA3" w:val="Jacobs landscape logo A3"/>
    <w:docVar w:name="LogoLandscapeA3USL" w:val="Jacobs landscape logo USL A3"/>
    <w:docVar w:name="LogoLandscapeUSL" w:val="Jacobs landscape logo USL"/>
    <w:docVar w:name="LogoPortrait" w:val="Jacobs portrait logo A4"/>
    <w:docVar w:name="LogoPortraitUSL" w:val="Jacobs portrait logo USL"/>
    <w:docVar w:name="LogoProposalA4" w:val="Jacobs cover logo A4"/>
    <w:docVar w:name="LogoProposalUSL" w:val="Jacobs cover logo USL"/>
    <w:docVar w:name="LogoReportA4" w:val="Jacobs report cover logo A4"/>
    <w:docVar w:name="LogoReportUSL" w:val="Jacobs report cover logo USL"/>
    <w:docVar w:name="LogoStationeryGeneral" w:val="Jacobs stationery logo (color)"/>
    <w:docVar w:name="LogoStationeryGeneralUSL" w:val="Jacobs stationery logo (color)"/>
    <w:docVar w:name="LogoStationeryLetter" w:val="Jacobs letter logo"/>
    <w:docVar w:name="LogoStationeryLetterUSL" w:val="Jacobs letter logo USL"/>
    <w:docVar w:name="LogoUSL" w:val=" "/>
    <w:docVar w:name="OfficeName" w:val="Adelaide (Flinders Street)"/>
    <w:docVar w:name="Paper Size" w:val="A4"/>
    <w:docVar w:name="Phone" w:val="T +61 8 8113 5400"/>
    <w:docVar w:name="RegisteredTradeMark" w:val="Jacobs® is a trademark of Jacobs Engineering Group Inc."/>
    <w:docVar w:name="ShortAddress1" w:val=" "/>
    <w:docVar w:name="ShortAddress2" w:val=" "/>
    <w:docVar w:name="Web" w:val="www.jacobs.com"/>
  </w:docVars>
  <w:rsids>
    <w:rsidRoot w:val="00C04FE4"/>
    <w:rsid w:val="000000A2"/>
    <w:rsid w:val="000014B3"/>
    <w:rsid w:val="00002E0E"/>
    <w:rsid w:val="00003143"/>
    <w:rsid w:val="0000346D"/>
    <w:rsid w:val="00006B5A"/>
    <w:rsid w:val="00007410"/>
    <w:rsid w:val="00007A73"/>
    <w:rsid w:val="00007B43"/>
    <w:rsid w:val="00007B61"/>
    <w:rsid w:val="00011451"/>
    <w:rsid w:val="00011476"/>
    <w:rsid w:val="000116B7"/>
    <w:rsid w:val="00012480"/>
    <w:rsid w:val="00012F85"/>
    <w:rsid w:val="00012F8D"/>
    <w:rsid w:val="000138F1"/>
    <w:rsid w:val="00013D84"/>
    <w:rsid w:val="00014CF3"/>
    <w:rsid w:val="00015000"/>
    <w:rsid w:val="00015057"/>
    <w:rsid w:val="0001527F"/>
    <w:rsid w:val="00015345"/>
    <w:rsid w:val="00015523"/>
    <w:rsid w:val="000157E5"/>
    <w:rsid w:val="00015BCF"/>
    <w:rsid w:val="00016CF3"/>
    <w:rsid w:val="0001705B"/>
    <w:rsid w:val="000170F5"/>
    <w:rsid w:val="00020EF0"/>
    <w:rsid w:val="00020F53"/>
    <w:rsid w:val="000210FA"/>
    <w:rsid w:val="000215FB"/>
    <w:rsid w:val="000217C0"/>
    <w:rsid w:val="000224F8"/>
    <w:rsid w:val="00022FBA"/>
    <w:rsid w:val="00024536"/>
    <w:rsid w:val="0002468E"/>
    <w:rsid w:val="00024B85"/>
    <w:rsid w:val="00025193"/>
    <w:rsid w:val="000252CA"/>
    <w:rsid w:val="00025944"/>
    <w:rsid w:val="00025BA7"/>
    <w:rsid w:val="00026231"/>
    <w:rsid w:val="00034CBA"/>
    <w:rsid w:val="000352B5"/>
    <w:rsid w:val="000367E9"/>
    <w:rsid w:val="00036D03"/>
    <w:rsid w:val="000373F0"/>
    <w:rsid w:val="00037461"/>
    <w:rsid w:val="00037CD2"/>
    <w:rsid w:val="00040A20"/>
    <w:rsid w:val="00041D8F"/>
    <w:rsid w:val="0004302B"/>
    <w:rsid w:val="00043A4A"/>
    <w:rsid w:val="00043C9F"/>
    <w:rsid w:val="00045504"/>
    <w:rsid w:val="00045A1D"/>
    <w:rsid w:val="00045F30"/>
    <w:rsid w:val="00045FFC"/>
    <w:rsid w:val="000463EC"/>
    <w:rsid w:val="00046EC7"/>
    <w:rsid w:val="000471CE"/>
    <w:rsid w:val="0004734C"/>
    <w:rsid w:val="00050245"/>
    <w:rsid w:val="00051876"/>
    <w:rsid w:val="000524AE"/>
    <w:rsid w:val="0005266C"/>
    <w:rsid w:val="00053243"/>
    <w:rsid w:val="0005364A"/>
    <w:rsid w:val="0005390A"/>
    <w:rsid w:val="00053CB9"/>
    <w:rsid w:val="000540C6"/>
    <w:rsid w:val="00054221"/>
    <w:rsid w:val="00054594"/>
    <w:rsid w:val="0005491F"/>
    <w:rsid w:val="00055EDF"/>
    <w:rsid w:val="000562AC"/>
    <w:rsid w:val="00061D75"/>
    <w:rsid w:val="00062407"/>
    <w:rsid w:val="00062AA3"/>
    <w:rsid w:val="00064379"/>
    <w:rsid w:val="00064617"/>
    <w:rsid w:val="0006464F"/>
    <w:rsid w:val="00064759"/>
    <w:rsid w:val="00064C78"/>
    <w:rsid w:val="00064DBB"/>
    <w:rsid w:val="00066290"/>
    <w:rsid w:val="000662A8"/>
    <w:rsid w:val="000665DF"/>
    <w:rsid w:val="000670B2"/>
    <w:rsid w:val="00067438"/>
    <w:rsid w:val="0006755B"/>
    <w:rsid w:val="00067BEB"/>
    <w:rsid w:val="000702C8"/>
    <w:rsid w:val="00070FB4"/>
    <w:rsid w:val="00071E2A"/>
    <w:rsid w:val="000728C3"/>
    <w:rsid w:val="00074189"/>
    <w:rsid w:val="00074B80"/>
    <w:rsid w:val="00074CC2"/>
    <w:rsid w:val="0007547E"/>
    <w:rsid w:val="000758F9"/>
    <w:rsid w:val="00075D0D"/>
    <w:rsid w:val="00075EA5"/>
    <w:rsid w:val="00076318"/>
    <w:rsid w:val="00076BB8"/>
    <w:rsid w:val="00076E28"/>
    <w:rsid w:val="00077AD6"/>
    <w:rsid w:val="00080182"/>
    <w:rsid w:val="0008063E"/>
    <w:rsid w:val="000806BC"/>
    <w:rsid w:val="00080A13"/>
    <w:rsid w:val="00080CD4"/>
    <w:rsid w:val="00081C6F"/>
    <w:rsid w:val="00081CB3"/>
    <w:rsid w:val="00082CE1"/>
    <w:rsid w:val="00082F46"/>
    <w:rsid w:val="00084173"/>
    <w:rsid w:val="0008425C"/>
    <w:rsid w:val="000847A8"/>
    <w:rsid w:val="000860D4"/>
    <w:rsid w:val="00086790"/>
    <w:rsid w:val="000867FF"/>
    <w:rsid w:val="00086E78"/>
    <w:rsid w:val="00087A4B"/>
    <w:rsid w:val="00091BF9"/>
    <w:rsid w:val="00091D03"/>
    <w:rsid w:val="000932B7"/>
    <w:rsid w:val="00093693"/>
    <w:rsid w:val="000939AD"/>
    <w:rsid w:val="00093E66"/>
    <w:rsid w:val="00093F6F"/>
    <w:rsid w:val="00094190"/>
    <w:rsid w:val="00095A36"/>
    <w:rsid w:val="00096085"/>
    <w:rsid w:val="00096310"/>
    <w:rsid w:val="00096BC2"/>
    <w:rsid w:val="00096C25"/>
    <w:rsid w:val="00097769"/>
    <w:rsid w:val="00097841"/>
    <w:rsid w:val="000A0D79"/>
    <w:rsid w:val="000A0E10"/>
    <w:rsid w:val="000A1438"/>
    <w:rsid w:val="000A2027"/>
    <w:rsid w:val="000A20EF"/>
    <w:rsid w:val="000A3359"/>
    <w:rsid w:val="000A3931"/>
    <w:rsid w:val="000A3989"/>
    <w:rsid w:val="000A44CA"/>
    <w:rsid w:val="000A650D"/>
    <w:rsid w:val="000A6885"/>
    <w:rsid w:val="000A71CC"/>
    <w:rsid w:val="000A782F"/>
    <w:rsid w:val="000A7BBF"/>
    <w:rsid w:val="000B04A2"/>
    <w:rsid w:val="000B07EA"/>
    <w:rsid w:val="000B1774"/>
    <w:rsid w:val="000B2310"/>
    <w:rsid w:val="000B2CA3"/>
    <w:rsid w:val="000B31F1"/>
    <w:rsid w:val="000B3BF2"/>
    <w:rsid w:val="000B4E72"/>
    <w:rsid w:val="000B5557"/>
    <w:rsid w:val="000B5872"/>
    <w:rsid w:val="000B5DC3"/>
    <w:rsid w:val="000B7020"/>
    <w:rsid w:val="000B7078"/>
    <w:rsid w:val="000B796D"/>
    <w:rsid w:val="000C0BA2"/>
    <w:rsid w:val="000C1CBA"/>
    <w:rsid w:val="000C1F2C"/>
    <w:rsid w:val="000C3406"/>
    <w:rsid w:val="000C37F9"/>
    <w:rsid w:val="000C47B9"/>
    <w:rsid w:val="000C57A2"/>
    <w:rsid w:val="000C689A"/>
    <w:rsid w:val="000C733F"/>
    <w:rsid w:val="000C7A62"/>
    <w:rsid w:val="000D04E2"/>
    <w:rsid w:val="000D10D6"/>
    <w:rsid w:val="000D10DA"/>
    <w:rsid w:val="000D23C8"/>
    <w:rsid w:val="000D2EDA"/>
    <w:rsid w:val="000D2FDB"/>
    <w:rsid w:val="000D3176"/>
    <w:rsid w:val="000D48D0"/>
    <w:rsid w:val="000D48EC"/>
    <w:rsid w:val="000D50B2"/>
    <w:rsid w:val="000D6C24"/>
    <w:rsid w:val="000D7484"/>
    <w:rsid w:val="000E0EA2"/>
    <w:rsid w:val="000E1485"/>
    <w:rsid w:val="000E1EA7"/>
    <w:rsid w:val="000E208F"/>
    <w:rsid w:val="000E2170"/>
    <w:rsid w:val="000E25F2"/>
    <w:rsid w:val="000E2665"/>
    <w:rsid w:val="000E2676"/>
    <w:rsid w:val="000E3302"/>
    <w:rsid w:val="000E337F"/>
    <w:rsid w:val="000E36B3"/>
    <w:rsid w:val="000E43EE"/>
    <w:rsid w:val="000E4633"/>
    <w:rsid w:val="000E6792"/>
    <w:rsid w:val="000E67A2"/>
    <w:rsid w:val="000F0EE5"/>
    <w:rsid w:val="000F1818"/>
    <w:rsid w:val="000F2DCD"/>
    <w:rsid w:val="000F2F27"/>
    <w:rsid w:val="000F3100"/>
    <w:rsid w:val="000F3738"/>
    <w:rsid w:val="000F38BE"/>
    <w:rsid w:val="000F399C"/>
    <w:rsid w:val="000F4144"/>
    <w:rsid w:val="000F477C"/>
    <w:rsid w:val="000F494A"/>
    <w:rsid w:val="000F49F4"/>
    <w:rsid w:val="000F4C99"/>
    <w:rsid w:val="000F53A1"/>
    <w:rsid w:val="000F678F"/>
    <w:rsid w:val="000F6953"/>
    <w:rsid w:val="000F6F05"/>
    <w:rsid w:val="00100084"/>
    <w:rsid w:val="00100448"/>
    <w:rsid w:val="00101052"/>
    <w:rsid w:val="00101FEF"/>
    <w:rsid w:val="00102128"/>
    <w:rsid w:val="0010281D"/>
    <w:rsid w:val="001032AA"/>
    <w:rsid w:val="0010378D"/>
    <w:rsid w:val="001037F3"/>
    <w:rsid w:val="00104202"/>
    <w:rsid w:val="0010529B"/>
    <w:rsid w:val="00105A1E"/>
    <w:rsid w:val="00106436"/>
    <w:rsid w:val="00106726"/>
    <w:rsid w:val="00106744"/>
    <w:rsid w:val="00107B7F"/>
    <w:rsid w:val="00107C37"/>
    <w:rsid w:val="00110367"/>
    <w:rsid w:val="00110512"/>
    <w:rsid w:val="0011094D"/>
    <w:rsid w:val="00111039"/>
    <w:rsid w:val="001114B3"/>
    <w:rsid w:val="001118B7"/>
    <w:rsid w:val="0011226D"/>
    <w:rsid w:val="00112282"/>
    <w:rsid w:val="001124CE"/>
    <w:rsid w:val="00112F88"/>
    <w:rsid w:val="001130CC"/>
    <w:rsid w:val="00113386"/>
    <w:rsid w:val="001143B7"/>
    <w:rsid w:val="001153C1"/>
    <w:rsid w:val="00115E60"/>
    <w:rsid w:val="00116816"/>
    <w:rsid w:val="001171D3"/>
    <w:rsid w:val="001174F3"/>
    <w:rsid w:val="001175AB"/>
    <w:rsid w:val="00117715"/>
    <w:rsid w:val="0011776F"/>
    <w:rsid w:val="00117869"/>
    <w:rsid w:val="0011786C"/>
    <w:rsid w:val="0012046D"/>
    <w:rsid w:val="00120D5B"/>
    <w:rsid w:val="00120DA1"/>
    <w:rsid w:val="00121F3E"/>
    <w:rsid w:val="001220D8"/>
    <w:rsid w:val="00122936"/>
    <w:rsid w:val="00122DF8"/>
    <w:rsid w:val="00123BED"/>
    <w:rsid w:val="00124749"/>
    <w:rsid w:val="0012482B"/>
    <w:rsid w:val="001249A3"/>
    <w:rsid w:val="00125CA0"/>
    <w:rsid w:val="00127C0E"/>
    <w:rsid w:val="00127C46"/>
    <w:rsid w:val="0013088D"/>
    <w:rsid w:val="00130CF9"/>
    <w:rsid w:val="001316AA"/>
    <w:rsid w:val="00132619"/>
    <w:rsid w:val="001329A5"/>
    <w:rsid w:val="00133068"/>
    <w:rsid w:val="00133370"/>
    <w:rsid w:val="001335C0"/>
    <w:rsid w:val="00134D7D"/>
    <w:rsid w:val="0013547F"/>
    <w:rsid w:val="00135718"/>
    <w:rsid w:val="001358A0"/>
    <w:rsid w:val="00136436"/>
    <w:rsid w:val="0013655D"/>
    <w:rsid w:val="0014018E"/>
    <w:rsid w:val="0014107C"/>
    <w:rsid w:val="0014107E"/>
    <w:rsid w:val="0014194A"/>
    <w:rsid w:val="0014195F"/>
    <w:rsid w:val="00141CBD"/>
    <w:rsid w:val="0014204D"/>
    <w:rsid w:val="001425DD"/>
    <w:rsid w:val="00142B25"/>
    <w:rsid w:val="00142D29"/>
    <w:rsid w:val="00142DCF"/>
    <w:rsid w:val="00144176"/>
    <w:rsid w:val="001449D8"/>
    <w:rsid w:val="0014514F"/>
    <w:rsid w:val="00146F8C"/>
    <w:rsid w:val="00147081"/>
    <w:rsid w:val="0014724D"/>
    <w:rsid w:val="00147D9F"/>
    <w:rsid w:val="00150363"/>
    <w:rsid w:val="00151054"/>
    <w:rsid w:val="00151CB3"/>
    <w:rsid w:val="00152CDD"/>
    <w:rsid w:val="00153090"/>
    <w:rsid w:val="00153C88"/>
    <w:rsid w:val="00153E59"/>
    <w:rsid w:val="00153F41"/>
    <w:rsid w:val="00154F1B"/>
    <w:rsid w:val="001551A8"/>
    <w:rsid w:val="00155695"/>
    <w:rsid w:val="0015681B"/>
    <w:rsid w:val="0015684C"/>
    <w:rsid w:val="00156D6B"/>
    <w:rsid w:val="00156D73"/>
    <w:rsid w:val="00157170"/>
    <w:rsid w:val="001571C9"/>
    <w:rsid w:val="001574F5"/>
    <w:rsid w:val="00157520"/>
    <w:rsid w:val="00157BBB"/>
    <w:rsid w:val="00157BF7"/>
    <w:rsid w:val="00160681"/>
    <w:rsid w:val="00160C81"/>
    <w:rsid w:val="00161569"/>
    <w:rsid w:val="00161E9D"/>
    <w:rsid w:val="00162083"/>
    <w:rsid w:val="00162495"/>
    <w:rsid w:val="00162C4B"/>
    <w:rsid w:val="00163197"/>
    <w:rsid w:val="0016335F"/>
    <w:rsid w:val="00163A01"/>
    <w:rsid w:val="00164389"/>
    <w:rsid w:val="001650C6"/>
    <w:rsid w:val="00165B59"/>
    <w:rsid w:val="00166024"/>
    <w:rsid w:val="0016604C"/>
    <w:rsid w:val="00166BA0"/>
    <w:rsid w:val="0016730A"/>
    <w:rsid w:val="00167B4D"/>
    <w:rsid w:val="00170125"/>
    <w:rsid w:val="00170A62"/>
    <w:rsid w:val="00170FDB"/>
    <w:rsid w:val="0017126C"/>
    <w:rsid w:val="001713D2"/>
    <w:rsid w:val="00171500"/>
    <w:rsid w:val="00171A97"/>
    <w:rsid w:val="0017295D"/>
    <w:rsid w:val="00173577"/>
    <w:rsid w:val="00174561"/>
    <w:rsid w:val="0017470E"/>
    <w:rsid w:val="00174AD5"/>
    <w:rsid w:val="00174BB5"/>
    <w:rsid w:val="00174C71"/>
    <w:rsid w:val="001755CB"/>
    <w:rsid w:val="001755FB"/>
    <w:rsid w:val="00175664"/>
    <w:rsid w:val="00175E0F"/>
    <w:rsid w:val="0017620C"/>
    <w:rsid w:val="001776CB"/>
    <w:rsid w:val="0017789D"/>
    <w:rsid w:val="001779D7"/>
    <w:rsid w:val="00177FDA"/>
    <w:rsid w:val="00180105"/>
    <w:rsid w:val="001803FD"/>
    <w:rsid w:val="0018042B"/>
    <w:rsid w:val="00181066"/>
    <w:rsid w:val="00181891"/>
    <w:rsid w:val="00181AC4"/>
    <w:rsid w:val="00182537"/>
    <w:rsid w:val="00182D55"/>
    <w:rsid w:val="0018373C"/>
    <w:rsid w:val="00183EB7"/>
    <w:rsid w:val="0018455C"/>
    <w:rsid w:val="0018590F"/>
    <w:rsid w:val="0018607E"/>
    <w:rsid w:val="001860B5"/>
    <w:rsid w:val="00186109"/>
    <w:rsid w:val="00186533"/>
    <w:rsid w:val="001867C0"/>
    <w:rsid w:val="00187697"/>
    <w:rsid w:val="00191C37"/>
    <w:rsid w:val="00192E59"/>
    <w:rsid w:val="00192EB2"/>
    <w:rsid w:val="001933C4"/>
    <w:rsid w:val="00195206"/>
    <w:rsid w:val="001961EB"/>
    <w:rsid w:val="001963C7"/>
    <w:rsid w:val="00196D13"/>
    <w:rsid w:val="00196EA0"/>
    <w:rsid w:val="0019755B"/>
    <w:rsid w:val="00197C25"/>
    <w:rsid w:val="001A01F6"/>
    <w:rsid w:val="001A0A74"/>
    <w:rsid w:val="001A0ABB"/>
    <w:rsid w:val="001A0D05"/>
    <w:rsid w:val="001A16CE"/>
    <w:rsid w:val="001A175E"/>
    <w:rsid w:val="001A1D58"/>
    <w:rsid w:val="001A2048"/>
    <w:rsid w:val="001A2C38"/>
    <w:rsid w:val="001A2CB8"/>
    <w:rsid w:val="001A351A"/>
    <w:rsid w:val="001A3AC7"/>
    <w:rsid w:val="001A3F34"/>
    <w:rsid w:val="001A42CC"/>
    <w:rsid w:val="001A4989"/>
    <w:rsid w:val="001A612F"/>
    <w:rsid w:val="001A6547"/>
    <w:rsid w:val="001A7240"/>
    <w:rsid w:val="001A7354"/>
    <w:rsid w:val="001A791E"/>
    <w:rsid w:val="001B005A"/>
    <w:rsid w:val="001B1257"/>
    <w:rsid w:val="001B1376"/>
    <w:rsid w:val="001B16B0"/>
    <w:rsid w:val="001B1EFA"/>
    <w:rsid w:val="001B2790"/>
    <w:rsid w:val="001B314D"/>
    <w:rsid w:val="001B39C9"/>
    <w:rsid w:val="001B3AD6"/>
    <w:rsid w:val="001B3FEE"/>
    <w:rsid w:val="001B40BE"/>
    <w:rsid w:val="001B45CF"/>
    <w:rsid w:val="001B482C"/>
    <w:rsid w:val="001B48F0"/>
    <w:rsid w:val="001B4D58"/>
    <w:rsid w:val="001B5766"/>
    <w:rsid w:val="001B68D1"/>
    <w:rsid w:val="001B6D0B"/>
    <w:rsid w:val="001B71DB"/>
    <w:rsid w:val="001B777E"/>
    <w:rsid w:val="001C0DB5"/>
    <w:rsid w:val="001C0E03"/>
    <w:rsid w:val="001C146F"/>
    <w:rsid w:val="001C16D1"/>
    <w:rsid w:val="001C1EA8"/>
    <w:rsid w:val="001C212A"/>
    <w:rsid w:val="001C2681"/>
    <w:rsid w:val="001C33DA"/>
    <w:rsid w:val="001C3C8C"/>
    <w:rsid w:val="001C45CF"/>
    <w:rsid w:val="001C4713"/>
    <w:rsid w:val="001C4804"/>
    <w:rsid w:val="001C4E8E"/>
    <w:rsid w:val="001C4EDA"/>
    <w:rsid w:val="001C4F6E"/>
    <w:rsid w:val="001C508E"/>
    <w:rsid w:val="001C51B8"/>
    <w:rsid w:val="001C725F"/>
    <w:rsid w:val="001C7422"/>
    <w:rsid w:val="001C784E"/>
    <w:rsid w:val="001D07AC"/>
    <w:rsid w:val="001D1326"/>
    <w:rsid w:val="001D32F6"/>
    <w:rsid w:val="001D5B83"/>
    <w:rsid w:val="001D5E3F"/>
    <w:rsid w:val="001D6E30"/>
    <w:rsid w:val="001D72AF"/>
    <w:rsid w:val="001D74FA"/>
    <w:rsid w:val="001D751F"/>
    <w:rsid w:val="001D7CAD"/>
    <w:rsid w:val="001D7D35"/>
    <w:rsid w:val="001D7DE2"/>
    <w:rsid w:val="001E1256"/>
    <w:rsid w:val="001E1D20"/>
    <w:rsid w:val="001E303D"/>
    <w:rsid w:val="001E3552"/>
    <w:rsid w:val="001E3658"/>
    <w:rsid w:val="001E4D1D"/>
    <w:rsid w:val="001E4D1E"/>
    <w:rsid w:val="001E4EDA"/>
    <w:rsid w:val="001E4F53"/>
    <w:rsid w:val="001E5443"/>
    <w:rsid w:val="001E579B"/>
    <w:rsid w:val="001E67A5"/>
    <w:rsid w:val="001E6AC1"/>
    <w:rsid w:val="001E6F1F"/>
    <w:rsid w:val="001E7211"/>
    <w:rsid w:val="001E7566"/>
    <w:rsid w:val="001E7FF1"/>
    <w:rsid w:val="001F0697"/>
    <w:rsid w:val="001F150C"/>
    <w:rsid w:val="001F1739"/>
    <w:rsid w:val="001F2506"/>
    <w:rsid w:val="001F3D0A"/>
    <w:rsid w:val="001F418B"/>
    <w:rsid w:val="001F5399"/>
    <w:rsid w:val="001F5420"/>
    <w:rsid w:val="001F5708"/>
    <w:rsid w:val="001F619C"/>
    <w:rsid w:val="001F63A8"/>
    <w:rsid w:val="001F7162"/>
    <w:rsid w:val="001F73E5"/>
    <w:rsid w:val="001F74B3"/>
    <w:rsid w:val="001F77E1"/>
    <w:rsid w:val="001F7B5F"/>
    <w:rsid w:val="0020063B"/>
    <w:rsid w:val="0020155D"/>
    <w:rsid w:val="002022C2"/>
    <w:rsid w:val="00202AF0"/>
    <w:rsid w:val="00202CA4"/>
    <w:rsid w:val="00203864"/>
    <w:rsid w:val="00204119"/>
    <w:rsid w:val="0020414D"/>
    <w:rsid w:val="0020454A"/>
    <w:rsid w:val="002048B7"/>
    <w:rsid w:val="002049CF"/>
    <w:rsid w:val="00204B30"/>
    <w:rsid w:val="00204BAD"/>
    <w:rsid w:val="00204F28"/>
    <w:rsid w:val="0020565F"/>
    <w:rsid w:val="00206F76"/>
    <w:rsid w:val="0020704D"/>
    <w:rsid w:val="0021101E"/>
    <w:rsid w:val="002116FE"/>
    <w:rsid w:val="00211D23"/>
    <w:rsid w:val="00213631"/>
    <w:rsid w:val="00213673"/>
    <w:rsid w:val="0021389B"/>
    <w:rsid w:val="00213D6B"/>
    <w:rsid w:val="00213E89"/>
    <w:rsid w:val="00214248"/>
    <w:rsid w:val="002148F0"/>
    <w:rsid w:val="00214D76"/>
    <w:rsid w:val="00215255"/>
    <w:rsid w:val="002153AC"/>
    <w:rsid w:val="00216044"/>
    <w:rsid w:val="00216060"/>
    <w:rsid w:val="00217557"/>
    <w:rsid w:val="0022098F"/>
    <w:rsid w:val="00222FCB"/>
    <w:rsid w:val="002233F0"/>
    <w:rsid w:val="0022360A"/>
    <w:rsid w:val="00223708"/>
    <w:rsid w:val="00223951"/>
    <w:rsid w:val="00223DEF"/>
    <w:rsid w:val="00224068"/>
    <w:rsid w:val="00224FA7"/>
    <w:rsid w:val="00225635"/>
    <w:rsid w:val="00225B32"/>
    <w:rsid w:val="00225D29"/>
    <w:rsid w:val="00225F88"/>
    <w:rsid w:val="002264C0"/>
    <w:rsid w:val="00226D65"/>
    <w:rsid w:val="0022771A"/>
    <w:rsid w:val="0022773D"/>
    <w:rsid w:val="00227B71"/>
    <w:rsid w:val="00230295"/>
    <w:rsid w:val="00230452"/>
    <w:rsid w:val="00230FD1"/>
    <w:rsid w:val="002320D1"/>
    <w:rsid w:val="0023234A"/>
    <w:rsid w:val="00232EB9"/>
    <w:rsid w:val="002331C1"/>
    <w:rsid w:val="002344A6"/>
    <w:rsid w:val="002365AC"/>
    <w:rsid w:val="00236A21"/>
    <w:rsid w:val="00237461"/>
    <w:rsid w:val="00237F26"/>
    <w:rsid w:val="00240283"/>
    <w:rsid w:val="0024108E"/>
    <w:rsid w:val="0024167D"/>
    <w:rsid w:val="00241814"/>
    <w:rsid w:val="00241EF6"/>
    <w:rsid w:val="00241F39"/>
    <w:rsid w:val="002423B9"/>
    <w:rsid w:val="00243C11"/>
    <w:rsid w:val="002441BA"/>
    <w:rsid w:val="00244345"/>
    <w:rsid w:val="00244456"/>
    <w:rsid w:val="0024455A"/>
    <w:rsid w:val="00244B8F"/>
    <w:rsid w:val="00244DEA"/>
    <w:rsid w:val="00244F7C"/>
    <w:rsid w:val="00245185"/>
    <w:rsid w:val="002455F3"/>
    <w:rsid w:val="00245A8D"/>
    <w:rsid w:val="00247295"/>
    <w:rsid w:val="002474CD"/>
    <w:rsid w:val="002474F0"/>
    <w:rsid w:val="00247B7C"/>
    <w:rsid w:val="00247ED6"/>
    <w:rsid w:val="00250720"/>
    <w:rsid w:val="00250943"/>
    <w:rsid w:val="00251A70"/>
    <w:rsid w:val="00251B81"/>
    <w:rsid w:val="00251CEA"/>
    <w:rsid w:val="00252042"/>
    <w:rsid w:val="002520D0"/>
    <w:rsid w:val="00252775"/>
    <w:rsid w:val="002528B9"/>
    <w:rsid w:val="00252AD9"/>
    <w:rsid w:val="00252FCB"/>
    <w:rsid w:val="00252FDE"/>
    <w:rsid w:val="002535DC"/>
    <w:rsid w:val="00254218"/>
    <w:rsid w:val="00254801"/>
    <w:rsid w:val="00255E56"/>
    <w:rsid w:val="002566FD"/>
    <w:rsid w:val="002568C7"/>
    <w:rsid w:val="00256E74"/>
    <w:rsid w:val="0025702F"/>
    <w:rsid w:val="00257A09"/>
    <w:rsid w:val="00257EE5"/>
    <w:rsid w:val="002607E6"/>
    <w:rsid w:val="0026179A"/>
    <w:rsid w:val="00262A0A"/>
    <w:rsid w:val="00262E79"/>
    <w:rsid w:val="00263F0D"/>
    <w:rsid w:val="00264230"/>
    <w:rsid w:val="00264C34"/>
    <w:rsid w:val="00265CCB"/>
    <w:rsid w:val="002663E4"/>
    <w:rsid w:val="002664CC"/>
    <w:rsid w:val="00267DD3"/>
    <w:rsid w:val="0027075B"/>
    <w:rsid w:val="00270ED9"/>
    <w:rsid w:val="00272230"/>
    <w:rsid w:val="00272551"/>
    <w:rsid w:val="0027364A"/>
    <w:rsid w:val="00273EB3"/>
    <w:rsid w:val="00275038"/>
    <w:rsid w:val="002752B2"/>
    <w:rsid w:val="0027558B"/>
    <w:rsid w:val="00275605"/>
    <w:rsid w:val="00275890"/>
    <w:rsid w:val="00275A55"/>
    <w:rsid w:val="00275DB5"/>
    <w:rsid w:val="00275DBD"/>
    <w:rsid w:val="0027714D"/>
    <w:rsid w:val="0027759C"/>
    <w:rsid w:val="002776CE"/>
    <w:rsid w:val="002812DA"/>
    <w:rsid w:val="00281CAF"/>
    <w:rsid w:val="0028203F"/>
    <w:rsid w:val="00283089"/>
    <w:rsid w:val="0028324B"/>
    <w:rsid w:val="00284CDE"/>
    <w:rsid w:val="0028596B"/>
    <w:rsid w:val="0028646B"/>
    <w:rsid w:val="002864AC"/>
    <w:rsid w:val="00286AFE"/>
    <w:rsid w:val="00287306"/>
    <w:rsid w:val="00287A71"/>
    <w:rsid w:val="00287C4C"/>
    <w:rsid w:val="00287EB0"/>
    <w:rsid w:val="00287F6A"/>
    <w:rsid w:val="00290074"/>
    <w:rsid w:val="002907C8"/>
    <w:rsid w:val="002909DC"/>
    <w:rsid w:val="00290A79"/>
    <w:rsid w:val="00290D5B"/>
    <w:rsid w:val="002911B2"/>
    <w:rsid w:val="002911E8"/>
    <w:rsid w:val="00291FA4"/>
    <w:rsid w:val="00292170"/>
    <w:rsid w:val="0029266E"/>
    <w:rsid w:val="00292753"/>
    <w:rsid w:val="00292944"/>
    <w:rsid w:val="00292B49"/>
    <w:rsid w:val="002939F5"/>
    <w:rsid w:val="00293A16"/>
    <w:rsid w:val="0029466A"/>
    <w:rsid w:val="002959C4"/>
    <w:rsid w:val="00296577"/>
    <w:rsid w:val="0029664F"/>
    <w:rsid w:val="00296B7B"/>
    <w:rsid w:val="00296DCF"/>
    <w:rsid w:val="00297C27"/>
    <w:rsid w:val="002A00CE"/>
    <w:rsid w:val="002A06A6"/>
    <w:rsid w:val="002A25D9"/>
    <w:rsid w:val="002A308A"/>
    <w:rsid w:val="002A3E36"/>
    <w:rsid w:val="002A629B"/>
    <w:rsid w:val="002A6B32"/>
    <w:rsid w:val="002A7CAB"/>
    <w:rsid w:val="002B00B0"/>
    <w:rsid w:val="002B2F81"/>
    <w:rsid w:val="002B3201"/>
    <w:rsid w:val="002B3695"/>
    <w:rsid w:val="002B3827"/>
    <w:rsid w:val="002B3C2E"/>
    <w:rsid w:val="002B404B"/>
    <w:rsid w:val="002B4ABA"/>
    <w:rsid w:val="002B5919"/>
    <w:rsid w:val="002B6318"/>
    <w:rsid w:val="002B6F8B"/>
    <w:rsid w:val="002B6FE3"/>
    <w:rsid w:val="002B7730"/>
    <w:rsid w:val="002B7990"/>
    <w:rsid w:val="002C02FB"/>
    <w:rsid w:val="002C0F46"/>
    <w:rsid w:val="002C11A2"/>
    <w:rsid w:val="002C2249"/>
    <w:rsid w:val="002C2F94"/>
    <w:rsid w:val="002C38C3"/>
    <w:rsid w:val="002C4895"/>
    <w:rsid w:val="002C63CF"/>
    <w:rsid w:val="002C6A76"/>
    <w:rsid w:val="002C70C7"/>
    <w:rsid w:val="002C79ED"/>
    <w:rsid w:val="002C7C43"/>
    <w:rsid w:val="002D0844"/>
    <w:rsid w:val="002D0AA0"/>
    <w:rsid w:val="002D1466"/>
    <w:rsid w:val="002D1A9F"/>
    <w:rsid w:val="002D1BCA"/>
    <w:rsid w:val="002D3134"/>
    <w:rsid w:val="002D444F"/>
    <w:rsid w:val="002D45FD"/>
    <w:rsid w:val="002D495A"/>
    <w:rsid w:val="002D4BCF"/>
    <w:rsid w:val="002D549F"/>
    <w:rsid w:val="002D59CD"/>
    <w:rsid w:val="002D6043"/>
    <w:rsid w:val="002D67A8"/>
    <w:rsid w:val="002D6C10"/>
    <w:rsid w:val="002D7647"/>
    <w:rsid w:val="002D7B56"/>
    <w:rsid w:val="002E0AFC"/>
    <w:rsid w:val="002E16D5"/>
    <w:rsid w:val="002E1794"/>
    <w:rsid w:val="002E1D85"/>
    <w:rsid w:val="002E23AA"/>
    <w:rsid w:val="002E2D40"/>
    <w:rsid w:val="002E3592"/>
    <w:rsid w:val="002E3AC6"/>
    <w:rsid w:val="002E4AF5"/>
    <w:rsid w:val="002E5D59"/>
    <w:rsid w:val="002E61CB"/>
    <w:rsid w:val="002E69A2"/>
    <w:rsid w:val="002E753F"/>
    <w:rsid w:val="002E7970"/>
    <w:rsid w:val="002E7DC6"/>
    <w:rsid w:val="002F02B9"/>
    <w:rsid w:val="002F1064"/>
    <w:rsid w:val="002F193A"/>
    <w:rsid w:val="002F1BDA"/>
    <w:rsid w:val="002F1FF1"/>
    <w:rsid w:val="002F2727"/>
    <w:rsid w:val="002F3CE9"/>
    <w:rsid w:val="002F4511"/>
    <w:rsid w:val="002F50FE"/>
    <w:rsid w:val="002F5186"/>
    <w:rsid w:val="002F56D3"/>
    <w:rsid w:val="002F5809"/>
    <w:rsid w:val="002F771D"/>
    <w:rsid w:val="00300586"/>
    <w:rsid w:val="0030254E"/>
    <w:rsid w:val="00302656"/>
    <w:rsid w:val="00303036"/>
    <w:rsid w:val="00304077"/>
    <w:rsid w:val="00304E9B"/>
    <w:rsid w:val="00305295"/>
    <w:rsid w:val="00305B0B"/>
    <w:rsid w:val="0030681E"/>
    <w:rsid w:val="0030764E"/>
    <w:rsid w:val="00307BF0"/>
    <w:rsid w:val="00307BF3"/>
    <w:rsid w:val="003106A9"/>
    <w:rsid w:val="00310FCA"/>
    <w:rsid w:val="00311230"/>
    <w:rsid w:val="00311964"/>
    <w:rsid w:val="00312B0C"/>
    <w:rsid w:val="00314807"/>
    <w:rsid w:val="00314BDD"/>
    <w:rsid w:val="00314F80"/>
    <w:rsid w:val="00316296"/>
    <w:rsid w:val="003202A6"/>
    <w:rsid w:val="003202A7"/>
    <w:rsid w:val="00320383"/>
    <w:rsid w:val="003204CD"/>
    <w:rsid w:val="003206B2"/>
    <w:rsid w:val="003208C1"/>
    <w:rsid w:val="00320FE2"/>
    <w:rsid w:val="003212CE"/>
    <w:rsid w:val="003214B2"/>
    <w:rsid w:val="003220C5"/>
    <w:rsid w:val="00323856"/>
    <w:rsid w:val="003241AD"/>
    <w:rsid w:val="003246A2"/>
    <w:rsid w:val="00324783"/>
    <w:rsid w:val="00324983"/>
    <w:rsid w:val="00324EC2"/>
    <w:rsid w:val="003252EA"/>
    <w:rsid w:val="003254D4"/>
    <w:rsid w:val="00326298"/>
    <w:rsid w:val="00327DF4"/>
    <w:rsid w:val="0033008A"/>
    <w:rsid w:val="00330FB8"/>
    <w:rsid w:val="00330FC0"/>
    <w:rsid w:val="00331E3E"/>
    <w:rsid w:val="00331E5E"/>
    <w:rsid w:val="003326ED"/>
    <w:rsid w:val="00332D05"/>
    <w:rsid w:val="003330E6"/>
    <w:rsid w:val="00333C5D"/>
    <w:rsid w:val="00333E04"/>
    <w:rsid w:val="00334626"/>
    <w:rsid w:val="00334802"/>
    <w:rsid w:val="00334F85"/>
    <w:rsid w:val="00335E9C"/>
    <w:rsid w:val="00336E1A"/>
    <w:rsid w:val="003374F5"/>
    <w:rsid w:val="003375C9"/>
    <w:rsid w:val="00340828"/>
    <w:rsid w:val="003428EF"/>
    <w:rsid w:val="00342EBD"/>
    <w:rsid w:val="00343119"/>
    <w:rsid w:val="00343DBB"/>
    <w:rsid w:val="003445FA"/>
    <w:rsid w:val="00344967"/>
    <w:rsid w:val="00344A4F"/>
    <w:rsid w:val="0034520E"/>
    <w:rsid w:val="0034564B"/>
    <w:rsid w:val="00345C22"/>
    <w:rsid w:val="00347402"/>
    <w:rsid w:val="0034782A"/>
    <w:rsid w:val="00347D96"/>
    <w:rsid w:val="0035021A"/>
    <w:rsid w:val="003506DF"/>
    <w:rsid w:val="00351097"/>
    <w:rsid w:val="00351507"/>
    <w:rsid w:val="00352D67"/>
    <w:rsid w:val="0035376F"/>
    <w:rsid w:val="00353F07"/>
    <w:rsid w:val="0035480C"/>
    <w:rsid w:val="00354973"/>
    <w:rsid w:val="00354ADE"/>
    <w:rsid w:val="003552CE"/>
    <w:rsid w:val="00355E46"/>
    <w:rsid w:val="00356452"/>
    <w:rsid w:val="00356965"/>
    <w:rsid w:val="003572B5"/>
    <w:rsid w:val="003579D4"/>
    <w:rsid w:val="00357C6D"/>
    <w:rsid w:val="0036060D"/>
    <w:rsid w:val="00360CDB"/>
    <w:rsid w:val="003611D2"/>
    <w:rsid w:val="00361E7E"/>
    <w:rsid w:val="00362133"/>
    <w:rsid w:val="00362377"/>
    <w:rsid w:val="0036247E"/>
    <w:rsid w:val="003629D1"/>
    <w:rsid w:val="00362D25"/>
    <w:rsid w:val="00363376"/>
    <w:rsid w:val="003646EE"/>
    <w:rsid w:val="00364CFC"/>
    <w:rsid w:val="00366CAC"/>
    <w:rsid w:val="00366D97"/>
    <w:rsid w:val="003672A2"/>
    <w:rsid w:val="00367687"/>
    <w:rsid w:val="00367E95"/>
    <w:rsid w:val="00370000"/>
    <w:rsid w:val="00370182"/>
    <w:rsid w:val="00370232"/>
    <w:rsid w:val="00371B79"/>
    <w:rsid w:val="00372103"/>
    <w:rsid w:val="003730BF"/>
    <w:rsid w:val="00373110"/>
    <w:rsid w:val="003732B6"/>
    <w:rsid w:val="0037360F"/>
    <w:rsid w:val="00374157"/>
    <w:rsid w:val="003744EB"/>
    <w:rsid w:val="00374572"/>
    <w:rsid w:val="0037646E"/>
    <w:rsid w:val="00376AEF"/>
    <w:rsid w:val="003772ED"/>
    <w:rsid w:val="00377C7C"/>
    <w:rsid w:val="00380118"/>
    <w:rsid w:val="00380BBE"/>
    <w:rsid w:val="00380CC2"/>
    <w:rsid w:val="00381479"/>
    <w:rsid w:val="0038238B"/>
    <w:rsid w:val="003833C7"/>
    <w:rsid w:val="00383416"/>
    <w:rsid w:val="0038422B"/>
    <w:rsid w:val="00384844"/>
    <w:rsid w:val="00385342"/>
    <w:rsid w:val="00386286"/>
    <w:rsid w:val="00386977"/>
    <w:rsid w:val="00387CE0"/>
    <w:rsid w:val="003909F3"/>
    <w:rsid w:val="00390BAF"/>
    <w:rsid w:val="00390D5A"/>
    <w:rsid w:val="00390D65"/>
    <w:rsid w:val="00391AD9"/>
    <w:rsid w:val="00391D94"/>
    <w:rsid w:val="00393DB8"/>
    <w:rsid w:val="00394C36"/>
    <w:rsid w:val="00395166"/>
    <w:rsid w:val="0039545E"/>
    <w:rsid w:val="003956D5"/>
    <w:rsid w:val="00395922"/>
    <w:rsid w:val="00396074"/>
    <w:rsid w:val="00396336"/>
    <w:rsid w:val="00396D30"/>
    <w:rsid w:val="003975FA"/>
    <w:rsid w:val="00397C5A"/>
    <w:rsid w:val="003A00A6"/>
    <w:rsid w:val="003A0D3E"/>
    <w:rsid w:val="003A175A"/>
    <w:rsid w:val="003A2116"/>
    <w:rsid w:val="003A2926"/>
    <w:rsid w:val="003A2B0F"/>
    <w:rsid w:val="003A2B40"/>
    <w:rsid w:val="003A2CD7"/>
    <w:rsid w:val="003A3034"/>
    <w:rsid w:val="003A35AB"/>
    <w:rsid w:val="003A38B0"/>
    <w:rsid w:val="003A4462"/>
    <w:rsid w:val="003A5F6A"/>
    <w:rsid w:val="003A6027"/>
    <w:rsid w:val="003A6702"/>
    <w:rsid w:val="003B0305"/>
    <w:rsid w:val="003B03DD"/>
    <w:rsid w:val="003B043C"/>
    <w:rsid w:val="003B1407"/>
    <w:rsid w:val="003B142F"/>
    <w:rsid w:val="003B1605"/>
    <w:rsid w:val="003B178B"/>
    <w:rsid w:val="003B1E4C"/>
    <w:rsid w:val="003B24FC"/>
    <w:rsid w:val="003B2811"/>
    <w:rsid w:val="003B2BD8"/>
    <w:rsid w:val="003B32E6"/>
    <w:rsid w:val="003B3C83"/>
    <w:rsid w:val="003B3DD5"/>
    <w:rsid w:val="003B40F8"/>
    <w:rsid w:val="003B4AE4"/>
    <w:rsid w:val="003B4CC6"/>
    <w:rsid w:val="003B51F5"/>
    <w:rsid w:val="003B5A3C"/>
    <w:rsid w:val="003B5D21"/>
    <w:rsid w:val="003B5DBB"/>
    <w:rsid w:val="003B65C8"/>
    <w:rsid w:val="003B666D"/>
    <w:rsid w:val="003B730A"/>
    <w:rsid w:val="003C021D"/>
    <w:rsid w:val="003C057C"/>
    <w:rsid w:val="003C0A2A"/>
    <w:rsid w:val="003C1E4F"/>
    <w:rsid w:val="003C23EF"/>
    <w:rsid w:val="003C28CE"/>
    <w:rsid w:val="003C2E66"/>
    <w:rsid w:val="003C2F94"/>
    <w:rsid w:val="003C4545"/>
    <w:rsid w:val="003C4EF2"/>
    <w:rsid w:val="003C52ED"/>
    <w:rsid w:val="003C56F5"/>
    <w:rsid w:val="003C6060"/>
    <w:rsid w:val="003C6437"/>
    <w:rsid w:val="003C67BE"/>
    <w:rsid w:val="003C757B"/>
    <w:rsid w:val="003C7AFA"/>
    <w:rsid w:val="003D0013"/>
    <w:rsid w:val="003D044A"/>
    <w:rsid w:val="003D0512"/>
    <w:rsid w:val="003D099B"/>
    <w:rsid w:val="003D1ECB"/>
    <w:rsid w:val="003D20F7"/>
    <w:rsid w:val="003D2E6F"/>
    <w:rsid w:val="003D3476"/>
    <w:rsid w:val="003D352D"/>
    <w:rsid w:val="003D4495"/>
    <w:rsid w:val="003D45E1"/>
    <w:rsid w:val="003D49B7"/>
    <w:rsid w:val="003D4BAE"/>
    <w:rsid w:val="003D5E74"/>
    <w:rsid w:val="003D6201"/>
    <w:rsid w:val="003D7707"/>
    <w:rsid w:val="003E058B"/>
    <w:rsid w:val="003E0B49"/>
    <w:rsid w:val="003E19B4"/>
    <w:rsid w:val="003E21E8"/>
    <w:rsid w:val="003E2ADC"/>
    <w:rsid w:val="003E30CB"/>
    <w:rsid w:val="003E4889"/>
    <w:rsid w:val="003E517E"/>
    <w:rsid w:val="003E5197"/>
    <w:rsid w:val="003E59A6"/>
    <w:rsid w:val="003E61E4"/>
    <w:rsid w:val="003E6362"/>
    <w:rsid w:val="003E66AF"/>
    <w:rsid w:val="003E68F4"/>
    <w:rsid w:val="003E6E41"/>
    <w:rsid w:val="003E6F51"/>
    <w:rsid w:val="003E72BF"/>
    <w:rsid w:val="003F106A"/>
    <w:rsid w:val="003F1310"/>
    <w:rsid w:val="003F155A"/>
    <w:rsid w:val="003F2534"/>
    <w:rsid w:val="003F2627"/>
    <w:rsid w:val="003F2663"/>
    <w:rsid w:val="003F2668"/>
    <w:rsid w:val="003F2755"/>
    <w:rsid w:val="003F28B1"/>
    <w:rsid w:val="003F2B10"/>
    <w:rsid w:val="003F3226"/>
    <w:rsid w:val="003F3634"/>
    <w:rsid w:val="003F371A"/>
    <w:rsid w:val="003F37F0"/>
    <w:rsid w:val="003F3887"/>
    <w:rsid w:val="003F3E11"/>
    <w:rsid w:val="003F410A"/>
    <w:rsid w:val="003F41F9"/>
    <w:rsid w:val="003F445C"/>
    <w:rsid w:val="003F46A0"/>
    <w:rsid w:val="003F4D58"/>
    <w:rsid w:val="003F52C9"/>
    <w:rsid w:val="003F52D9"/>
    <w:rsid w:val="003F57F9"/>
    <w:rsid w:val="003F5870"/>
    <w:rsid w:val="003F5E0E"/>
    <w:rsid w:val="003F601E"/>
    <w:rsid w:val="003F69DC"/>
    <w:rsid w:val="003F70A0"/>
    <w:rsid w:val="003F7A3D"/>
    <w:rsid w:val="004000C7"/>
    <w:rsid w:val="00400276"/>
    <w:rsid w:val="00400B48"/>
    <w:rsid w:val="00400F37"/>
    <w:rsid w:val="004016C2"/>
    <w:rsid w:val="00401AA6"/>
    <w:rsid w:val="004020F1"/>
    <w:rsid w:val="0040215C"/>
    <w:rsid w:val="00402C16"/>
    <w:rsid w:val="00403866"/>
    <w:rsid w:val="004045D9"/>
    <w:rsid w:val="00405676"/>
    <w:rsid w:val="00405E46"/>
    <w:rsid w:val="00406312"/>
    <w:rsid w:val="0040696D"/>
    <w:rsid w:val="00406D7F"/>
    <w:rsid w:val="004072D5"/>
    <w:rsid w:val="00407BF0"/>
    <w:rsid w:val="00410197"/>
    <w:rsid w:val="004117EA"/>
    <w:rsid w:val="004118E8"/>
    <w:rsid w:val="004120C2"/>
    <w:rsid w:val="0041210B"/>
    <w:rsid w:val="00412F29"/>
    <w:rsid w:val="00412FA7"/>
    <w:rsid w:val="004135A0"/>
    <w:rsid w:val="00414DF0"/>
    <w:rsid w:val="0041555E"/>
    <w:rsid w:val="00415DFA"/>
    <w:rsid w:val="004163E9"/>
    <w:rsid w:val="00416786"/>
    <w:rsid w:val="0041794B"/>
    <w:rsid w:val="004200A9"/>
    <w:rsid w:val="00420660"/>
    <w:rsid w:val="00421514"/>
    <w:rsid w:val="0042285A"/>
    <w:rsid w:val="00422D6C"/>
    <w:rsid w:val="00423D88"/>
    <w:rsid w:val="00423D9F"/>
    <w:rsid w:val="0042483B"/>
    <w:rsid w:val="00424E33"/>
    <w:rsid w:val="00425483"/>
    <w:rsid w:val="004258E2"/>
    <w:rsid w:val="00425EA4"/>
    <w:rsid w:val="004267B2"/>
    <w:rsid w:val="004274D5"/>
    <w:rsid w:val="00427AFA"/>
    <w:rsid w:val="004300A0"/>
    <w:rsid w:val="00430F16"/>
    <w:rsid w:val="004310F6"/>
    <w:rsid w:val="004311E5"/>
    <w:rsid w:val="0043192E"/>
    <w:rsid w:val="0043274A"/>
    <w:rsid w:val="00432E76"/>
    <w:rsid w:val="0043300A"/>
    <w:rsid w:val="0043317F"/>
    <w:rsid w:val="00433921"/>
    <w:rsid w:val="004341D9"/>
    <w:rsid w:val="0043420D"/>
    <w:rsid w:val="00434325"/>
    <w:rsid w:val="00435EE3"/>
    <w:rsid w:val="0043617D"/>
    <w:rsid w:val="00436378"/>
    <w:rsid w:val="00437099"/>
    <w:rsid w:val="004375F9"/>
    <w:rsid w:val="0044077F"/>
    <w:rsid w:val="00440D1E"/>
    <w:rsid w:val="0044102B"/>
    <w:rsid w:val="00441743"/>
    <w:rsid w:val="00442E25"/>
    <w:rsid w:val="00442E62"/>
    <w:rsid w:val="00443B88"/>
    <w:rsid w:val="0044438F"/>
    <w:rsid w:val="0044473B"/>
    <w:rsid w:val="00444AFC"/>
    <w:rsid w:val="0044537D"/>
    <w:rsid w:val="00446316"/>
    <w:rsid w:val="00446367"/>
    <w:rsid w:val="004465AC"/>
    <w:rsid w:val="00446ED8"/>
    <w:rsid w:val="00447398"/>
    <w:rsid w:val="004513C8"/>
    <w:rsid w:val="00451E98"/>
    <w:rsid w:val="00452711"/>
    <w:rsid w:val="00453C8E"/>
    <w:rsid w:val="0045552D"/>
    <w:rsid w:val="00455936"/>
    <w:rsid w:val="00455EFA"/>
    <w:rsid w:val="00456704"/>
    <w:rsid w:val="00456802"/>
    <w:rsid w:val="00456CCE"/>
    <w:rsid w:val="0045755D"/>
    <w:rsid w:val="00460241"/>
    <w:rsid w:val="00460741"/>
    <w:rsid w:val="00460C97"/>
    <w:rsid w:val="0046138B"/>
    <w:rsid w:val="004613CB"/>
    <w:rsid w:val="00461488"/>
    <w:rsid w:val="00461578"/>
    <w:rsid w:val="00461FB9"/>
    <w:rsid w:val="00462474"/>
    <w:rsid w:val="00462490"/>
    <w:rsid w:val="00462CB3"/>
    <w:rsid w:val="00462D0D"/>
    <w:rsid w:val="00463857"/>
    <w:rsid w:val="004646DE"/>
    <w:rsid w:val="00464DA8"/>
    <w:rsid w:val="00464E96"/>
    <w:rsid w:val="004650AF"/>
    <w:rsid w:val="004651C5"/>
    <w:rsid w:val="004653AF"/>
    <w:rsid w:val="00465657"/>
    <w:rsid w:val="004659D9"/>
    <w:rsid w:val="00465A60"/>
    <w:rsid w:val="00466175"/>
    <w:rsid w:val="0046643F"/>
    <w:rsid w:val="00466CD5"/>
    <w:rsid w:val="00466F00"/>
    <w:rsid w:val="0046765A"/>
    <w:rsid w:val="00467CCE"/>
    <w:rsid w:val="00470F6D"/>
    <w:rsid w:val="004712FD"/>
    <w:rsid w:val="00471ACF"/>
    <w:rsid w:val="004725C7"/>
    <w:rsid w:val="00472625"/>
    <w:rsid w:val="00472DDB"/>
    <w:rsid w:val="00473374"/>
    <w:rsid w:val="0047354D"/>
    <w:rsid w:val="004739B3"/>
    <w:rsid w:val="00473C3F"/>
    <w:rsid w:val="00474261"/>
    <w:rsid w:val="004748BF"/>
    <w:rsid w:val="00474FE8"/>
    <w:rsid w:val="004755EC"/>
    <w:rsid w:val="00476D43"/>
    <w:rsid w:val="0047702F"/>
    <w:rsid w:val="00477583"/>
    <w:rsid w:val="00477A91"/>
    <w:rsid w:val="0048058F"/>
    <w:rsid w:val="00480651"/>
    <w:rsid w:val="00480824"/>
    <w:rsid w:val="00482053"/>
    <w:rsid w:val="004820FB"/>
    <w:rsid w:val="0048299B"/>
    <w:rsid w:val="00482EE8"/>
    <w:rsid w:val="0048365A"/>
    <w:rsid w:val="00483782"/>
    <w:rsid w:val="004837BE"/>
    <w:rsid w:val="00483DB7"/>
    <w:rsid w:val="00483E19"/>
    <w:rsid w:val="00484178"/>
    <w:rsid w:val="0048444F"/>
    <w:rsid w:val="004844D6"/>
    <w:rsid w:val="00484FA7"/>
    <w:rsid w:val="00485190"/>
    <w:rsid w:val="00485D7C"/>
    <w:rsid w:val="00485E48"/>
    <w:rsid w:val="00486131"/>
    <w:rsid w:val="00487542"/>
    <w:rsid w:val="00487CAE"/>
    <w:rsid w:val="00490523"/>
    <w:rsid w:val="00490765"/>
    <w:rsid w:val="0049114A"/>
    <w:rsid w:val="00491431"/>
    <w:rsid w:val="00491776"/>
    <w:rsid w:val="00491B38"/>
    <w:rsid w:val="00491D38"/>
    <w:rsid w:val="00492A48"/>
    <w:rsid w:val="004939AC"/>
    <w:rsid w:val="00494624"/>
    <w:rsid w:val="00495193"/>
    <w:rsid w:val="0049520C"/>
    <w:rsid w:val="004957AA"/>
    <w:rsid w:val="00496130"/>
    <w:rsid w:val="00496413"/>
    <w:rsid w:val="0049667F"/>
    <w:rsid w:val="00496A31"/>
    <w:rsid w:val="00496B8C"/>
    <w:rsid w:val="00496E73"/>
    <w:rsid w:val="004970B1"/>
    <w:rsid w:val="004975CC"/>
    <w:rsid w:val="004A0239"/>
    <w:rsid w:val="004A03D2"/>
    <w:rsid w:val="004A0819"/>
    <w:rsid w:val="004A0CB1"/>
    <w:rsid w:val="004A1CD6"/>
    <w:rsid w:val="004A1D42"/>
    <w:rsid w:val="004A201A"/>
    <w:rsid w:val="004A237E"/>
    <w:rsid w:val="004A3482"/>
    <w:rsid w:val="004A3A35"/>
    <w:rsid w:val="004A425F"/>
    <w:rsid w:val="004A4714"/>
    <w:rsid w:val="004A523E"/>
    <w:rsid w:val="004A6F6F"/>
    <w:rsid w:val="004A735C"/>
    <w:rsid w:val="004B0770"/>
    <w:rsid w:val="004B1323"/>
    <w:rsid w:val="004B24FD"/>
    <w:rsid w:val="004B266C"/>
    <w:rsid w:val="004B27A2"/>
    <w:rsid w:val="004B306E"/>
    <w:rsid w:val="004B3EAB"/>
    <w:rsid w:val="004B4631"/>
    <w:rsid w:val="004B4C09"/>
    <w:rsid w:val="004B5864"/>
    <w:rsid w:val="004B5BDF"/>
    <w:rsid w:val="004B61F8"/>
    <w:rsid w:val="004B72AF"/>
    <w:rsid w:val="004B756B"/>
    <w:rsid w:val="004C1BE0"/>
    <w:rsid w:val="004C3591"/>
    <w:rsid w:val="004C3622"/>
    <w:rsid w:val="004C3699"/>
    <w:rsid w:val="004C374E"/>
    <w:rsid w:val="004C3852"/>
    <w:rsid w:val="004C39F9"/>
    <w:rsid w:val="004C4090"/>
    <w:rsid w:val="004C4CE4"/>
    <w:rsid w:val="004C4CFB"/>
    <w:rsid w:val="004C584A"/>
    <w:rsid w:val="004C6875"/>
    <w:rsid w:val="004C6AB6"/>
    <w:rsid w:val="004C7720"/>
    <w:rsid w:val="004D0B05"/>
    <w:rsid w:val="004D1E41"/>
    <w:rsid w:val="004D203C"/>
    <w:rsid w:val="004D2076"/>
    <w:rsid w:val="004D29DE"/>
    <w:rsid w:val="004D2A30"/>
    <w:rsid w:val="004D2C65"/>
    <w:rsid w:val="004D3070"/>
    <w:rsid w:val="004D3539"/>
    <w:rsid w:val="004D4605"/>
    <w:rsid w:val="004D5019"/>
    <w:rsid w:val="004D526B"/>
    <w:rsid w:val="004D545A"/>
    <w:rsid w:val="004D5488"/>
    <w:rsid w:val="004D6125"/>
    <w:rsid w:val="004D620F"/>
    <w:rsid w:val="004D7631"/>
    <w:rsid w:val="004D7961"/>
    <w:rsid w:val="004D7A3B"/>
    <w:rsid w:val="004D7F1D"/>
    <w:rsid w:val="004E185A"/>
    <w:rsid w:val="004E19F3"/>
    <w:rsid w:val="004E1C3E"/>
    <w:rsid w:val="004E369D"/>
    <w:rsid w:val="004E4383"/>
    <w:rsid w:val="004E4D1C"/>
    <w:rsid w:val="004E570F"/>
    <w:rsid w:val="004E57C8"/>
    <w:rsid w:val="004E58C0"/>
    <w:rsid w:val="004E6541"/>
    <w:rsid w:val="004E65E7"/>
    <w:rsid w:val="004F0563"/>
    <w:rsid w:val="004F0E74"/>
    <w:rsid w:val="004F1718"/>
    <w:rsid w:val="004F1793"/>
    <w:rsid w:val="004F2501"/>
    <w:rsid w:val="004F25EC"/>
    <w:rsid w:val="004F3302"/>
    <w:rsid w:val="004F401D"/>
    <w:rsid w:val="004F42DD"/>
    <w:rsid w:val="004F4E9F"/>
    <w:rsid w:val="004F61FC"/>
    <w:rsid w:val="004F64BC"/>
    <w:rsid w:val="004F66B1"/>
    <w:rsid w:val="004F66F3"/>
    <w:rsid w:val="004F6977"/>
    <w:rsid w:val="004F7A55"/>
    <w:rsid w:val="00500589"/>
    <w:rsid w:val="00500AD6"/>
    <w:rsid w:val="005033DB"/>
    <w:rsid w:val="00503B4B"/>
    <w:rsid w:val="00503E14"/>
    <w:rsid w:val="00503FBD"/>
    <w:rsid w:val="0050442E"/>
    <w:rsid w:val="00506614"/>
    <w:rsid w:val="00506D3B"/>
    <w:rsid w:val="00507192"/>
    <w:rsid w:val="0050747E"/>
    <w:rsid w:val="0050777F"/>
    <w:rsid w:val="005100BD"/>
    <w:rsid w:val="00510222"/>
    <w:rsid w:val="00511C7E"/>
    <w:rsid w:val="00511FD3"/>
    <w:rsid w:val="00512121"/>
    <w:rsid w:val="00512430"/>
    <w:rsid w:val="0051297B"/>
    <w:rsid w:val="00512CE8"/>
    <w:rsid w:val="00513D2A"/>
    <w:rsid w:val="0051485F"/>
    <w:rsid w:val="00514A69"/>
    <w:rsid w:val="00515948"/>
    <w:rsid w:val="00515B25"/>
    <w:rsid w:val="005163C9"/>
    <w:rsid w:val="005164DC"/>
    <w:rsid w:val="005167D0"/>
    <w:rsid w:val="00516D09"/>
    <w:rsid w:val="005177CD"/>
    <w:rsid w:val="005179AF"/>
    <w:rsid w:val="00520146"/>
    <w:rsid w:val="00520778"/>
    <w:rsid w:val="00520BBE"/>
    <w:rsid w:val="00521175"/>
    <w:rsid w:val="00521B33"/>
    <w:rsid w:val="005224A4"/>
    <w:rsid w:val="00523360"/>
    <w:rsid w:val="0052375A"/>
    <w:rsid w:val="00523D25"/>
    <w:rsid w:val="0052490C"/>
    <w:rsid w:val="005249FE"/>
    <w:rsid w:val="00524FB9"/>
    <w:rsid w:val="005255F0"/>
    <w:rsid w:val="00525926"/>
    <w:rsid w:val="005267B8"/>
    <w:rsid w:val="005271BE"/>
    <w:rsid w:val="005274A5"/>
    <w:rsid w:val="00530480"/>
    <w:rsid w:val="00530B47"/>
    <w:rsid w:val="0053193C"/>
    <w:rsid w:val="00531F2B"/>
    <w:rsid w:val="0053257B"/>
    <w:rsid w:val="005332DE"/>
    <w:rsid w:val="00534198"/>
    <w:rsid w:val="0053431A"/>
    <w:rsid w:val="0053463E"/>
    <w:rsid w:val="005356EB"/>
    <w:rsid w:val="00535794"/>
    <w:rsid w:val="005359B5"/>
    <w:rsid w:val="00535F96"/>
    <w:rsid w:val="00536452"/>
    <w:rsid w:val="00536A4B"/>
    <w:rsid w:val="00536E59"/>
    <w:rsid w:val="00536E6B"/>
    <w:rsid w:val="0053752A"/>
    <w:rsid w:val="00537990"/>
    <w:rsid w:val="005379B9"/>
    <w:rsid w:val="00537ED0"/>
    <w:rsid w:val="0054001E"/>
    <w:rsid w:val="0054034A"/>
    <w:rsid w:val="00540BBF"/>
    <w:rsid w:val="00541515"/>
    <w:rsid w:val="005422BA"/>
    <w:rsid w:val="005429F8"/>
    <w:rsid w:val="00542A99"/>
    <w:rsid w:val="0054341B"/>
    <w:rsid w:val="005434EB"/>
    <w:rsid w:val="0054412F"/>
    <w:rsid w:val="00544DE9"/>
    <w:rsid w:val="00545074"/>
    <w:rsid w:val="00545228"/>
    <w:rsid w:val="005456C8"/>
    <w:rsid w:val="00545E65"/>
    <w:rsid w:val="00545EE8"/>
    <w:rsid w:val="00546175"/>
    <w:rsid w:val="00546BE4"/>
    <w:rsid w:val="00546F86"/>
    <w:rsid w:val="005474BD"/>
    <w:rsid w:val="005477E0"/>
    <w:rsid w:val="00547B79"/>
    <w:rsid w:val="00550280"/>
    <w:rsid w:val="005503F8"/>
    <w:rsid w:val="00550400"/>
    <w:rsid w:val="00550723"/>
    <w:rsid w:val="005519F0"/>
    <w:rsid w:val="00553284"/>
    <w:rsid w:val="005539C9"/>
    <w:rsid w:val="00554DFE"/>
    <w:rsid w:val="00554E58"/>
    <w:rsid w:val="00555046"/>
    <w:rsid w:val="00555CD9"/>
    <w:rsid w:val="00556115"/>
    <w:rsid w:val="00556362"/>
    <w:rsid w:val="00557751"/>
    <w:rsid w:val="005601C8"/>
    <w:rsid w:val="005605DC"/>
    <w:rsid w:val="005612DA"/>
    <w:rsid w:val="00561A30"/>
    <w:rsid w:val="00561AD5"/>
    <w:rsid w:val="005628F7"/>
    <w:rsid w:val="0056386C"/>
    <w:rsid w:val="00563E17"/>
    <w:rsid w:val="0056428F"/>
    <w:rsid w:val="00564738"/>
    <w:rsid w:val="00564A25"/>
    <w:rsid w:val="00564CBE"/>
    <w:rsid w:val="005654F2"/>
    <w:rsid w:val="00565598"/>
    <w:rsid w:val="005669CD"/>
    <w:rsid w:val="00566A84"/>
    <w:rsid w:val="00566C5C"/>
    <w:rsid w:val="0056756C"/>
    <w:rsid w:val="0056765F"/>
    <w:rsid w:val="0056780F"/>
    <w:rsid w:val="00567909"/>
    <w:rsid w:val="00567977"/>
    <w:rsid w:val="005679AA"/>
    <w:rsid w:val="00567F73"/>
    <w:rsid w:val="00570FA8"/>
    <w:rsid w:val="0057352B"/>
    <w:rsid w:val="00573B81"/>
    <w:rsid w:val="00573ECD"/>
    <w:rsid w:val="0057447D"/>
    <w:rsid w:val="00574869"/>
    <w:rsid w:val="005749F6"/>
    <w:rsid w:val="005767FD"/>
    <w:rsid w:val="00576A47"/>
    <w:rsid w:val="00577309"/>
    <w:rsid w:val="00577318"/>
    <w:rsid w:val="00577615"/>
    <w:rsid w:val="00577D04"/>
    <w:rsid w:val="00580758"/>
    <w:rsid w:val="00580E3B"/>
    <w:rsid w:val="0058124B"/>
    <w:rsid w:val="005818D1"/>
    <w:rsid w:val="00582144"/>
    <w:rsid w:val="00582862"/>
    <w:rsid w:val="005828C9"/>
    <w:rsid w:val="00585801"/>
    <w:rsid w:val="0058586B"/>
    <w:rsid w:val="00585FC8"/>
    <w:rsid w:val="00585FCF"/>
    <w:rsid w:val="005866CA"/>
    <w:rsid w:val="0059073B"/>
    <w:rsid w:val="00590890"/>
    <w:rsid w:val="005912C5"/>
    <w:rsid w:val="00592343"/>
    <w:rsid w:val="00594315"/>
    <w:rsid w:val="005947CD"/>
    <w:rsid w:val="0059545B"/>
    <w:rsid w:val="005955FF"/>
    <w:rsid w:val="00596907"/>
    <w:rsid w:val="005972ED"/>
    <w:rsid w:val="005A0559"/>
    <w:rsid w:val="005A102D"/>
    <w:rsid w:val="005A1113"/>
    <w:rsid w:val="005A1B54"/>
    <w:rsid w:val="005A1B89"/>
    <w:rsid w:val="005A1B99"/>
    <w:rsid w:val="005A1C0F"/>
    <w:rsid w:val="005A1C2D"/>
    <w:rsid w:val="005A1DD0"/>
    <w:rsid w:val="005A2174"/>
    <w:rsid w:val="005A297C"/>
    <w:rsid w:val="005A3B5B"/>
    <w:rsid w:val="005A47D3"/>
    <w:rsid w:val="005A4E06"/>
    <w:rsid w:val="005A50BE"/>
    <w:rsid w:val="005A5441"/>
    <w:rsid w:val="005A55A8"/>
    <w:rsid w:val="005A5D37"/>
    <w:rsid w:val="005A7250"/>
    <w:rsid w:val="005A7CCC"/>
    <w:rsid w:val="005B004E"/>
    <w:rsid w:val="005B047B"/>
    <w:rsid w:val="005B07DF"/>
    <w:rsid w:val="005B0A63"/>
    <w:rsid w:val="005B1425"/>
    <w:rsid w:val="005B199B"/>
    <w:rsid w:val="005B2680"/>
    <w:rsid w:val="005B2D29"/>
    <w:rsid w:val="005B2F1B"/>
    <w:rsid w:val="005B46CE"/>
    <w:rsid w:val="005B5009"/>
    <w:rsid w:val="005B6DB8"/>
    <w:rsid w:val="005C02DF"/>
    <w:rsid w:val="005C0E60"/>
    <w:rsid w:val="005C0FA6"/>
    <w:rsid w:val="005C176C"/>
    <w:rsid w:val="005C1DA3"/>
    <w:rsid w:val="005C2033"/>
    <w:rsid w:val="005C29CF"/>
    <w:rsid w:val="005C2C5A"/>
    <w:rsid w:val="005C2DE7"/>
    <w:rsid w:val="005C3094"/>
    <w:rsid w:val="005C32BD"/>
    <w:rsid w:val="005C32F1"/>
    <w:rsid w:val="005C3798"/>
    <w:rsid w:val="005C37C0"/>
    <w:rsid w:val="005C4005"/>
    <w:rsid w:val="005C5F82"/>
    <w:rsid w:val="005C788A"/>
    <w:rsid w:val="005D04CE"/>
    <w:rsid w:val="005D14F4"/>
    <w:rsid w:val="005D17D6"/>
    <w:rsid w:val="005D1B23"/>
    <w:rsid w:val="005D1D81"/>
    <w:rsid w:val="005D4E92"/>
    <w:rsid w:val="005D60CF"/>
    <w:rsid w:val="005D6738"/>
    <w:rsid w:val="005D7144"/>
    <w:rsid w:val="005E0EB1"/>
    <w:rsid w:val="005E23EA"/>
    <w:rsid w:val="005E2E31"/>
    <w:rsid w:val="005E323F"/>
    <w:rsid w:val="005E3F0E"/>
    <w:rsid w:val="005E40FD"/>
    <w:rsid w:val="005E4FA9"/>
    <w:rsid w:val="005E4FE0"/>
    <w:rsid w:val="005E561E"/>
    <w:rsid w:val="005E7A9F"/>
    <w:rsid w:val="005F0114"/>
    <w:rsid w:val="005F0279"/>
    <w:rsid w:val="005F0316"/>
    <w:rsid w:val="005F0A7E"/>
    <w:rsid w:val="005F0B13"/>
    <w:rsid w:val="005F0C5A"/>
    <w:rsid w:val="005F105C"/>
    <w:rsid w:val="005F1F94"/>
    <w:rsid w:val="005F203B"/>
    <w:rsid w:val="005F2AFE"/>
    <w:rsid w:val="005F3DA4"/>
    <w:rsid w:val="005F4BB6"/>
    <w:rsid w:val="005F545D"/>
    <w:rsid w:val="005F589E"/>
    <w:rsid w:val="005F5B33"/>
    <w:rsid w:val="005F6952"/>
    <w:rsid w:val="005F6D00"/>
    <w:rsid w:val="005F70D3"/>
    <w:rsid w:val="005F75D8"/>
    <w:rsid w:val="0060030D"/>
    <w:rsid w:val="006006DD"/>
    <w:rsid w:val="006009FC"/>
    <w:rsid w:val="0060122B"/>
    <w:rsid w:val="00602117"/>
    <w:rsid w:val="00602428"/>
    <w:rsid w:val="00603856"/>
    <w:rsid w:val="00604883"/>
    <w:rsid w:val="0060514F"/>
    <w:rsid w:val="006052E7"/>
    <w:rsid w:val="00605DBF"/>
    <w:rsid w:val="006066AF"/>
    <w:rsid w:val="00607A9E"/>
    <w:rsid w:val="00607AAE"/>
    <w:rsid w:val="00610204"/>
    <w:rsid w:val="0061091B"/>
    <w:rsid w:val="006109B5"/>
    <w:rsid w:val="00611077"/>
    <w:rsid w:val="00611A0B"/>
    <w:rsid w:val="00611D2E"/>
    <w:rsid w:val="0061227F"/>
    <w:rsid w:val="0061264D"/>
    <w:rsid w:val="006141F5"/>
    <w:rsid w:val="0061420F"/>
    <w:rsid w:val="00614EDD"/>
    <w:rsid w:val="00615863"/>
    <w:rsid w:val="006170BC"/>
    <w:rsid w:val="0061721B"/>
    <w:rsid w:val="00620641"/>
    <w:rsid w:val="0062126E"/>
    <w:rsid w:val="0062136B"/>
    <w:rsid w:val="006213A3"/>
    <w:rsid w:val="006218E7"/>
    <w:rsid w:val="00621A59"/>
    <w:rsid w:val="00621BEF"/>
    <w:rsid w:val="0062204E"/>
    <w:rsid w:val="006231FC"/>
    <w:rsid w:val="00623D49"/>
    <w:rsid w:val="0062464D"/>
    <w:rsid w:val="00624661"/>
    <w:rsid w:val="006250CF"/>
    <w:rsid w:val="006255D5"/>
    <w:rsid w:val="006256CA"/>
    <w:rsid w:val="006256E9"/>
    <w:rsid w:val="0062579D"/>
    <w:rsid w:val="006272CA"/>
    <w:rsid w:val="00627720"/>
    <w:rsid w:val="00630164"/>
    <w:rsid w:val="0063018B"/>
    <w:rsid w:val="006303FD"/>
    <w:rsid w:val="00630738"/>
    <w:rsid w:val="0063076E"/>
    <w:rsid w:val="00630DA3"/>
    <w:rsid w:val="00631149"/>
    <w:rsid w:val="006329B9"/>
    <w:rsid w:val="00633167"/>
    <w:rsid w:val="00633580"/>
    <w:rsid w:val="006336DE"/>
    <w:rsid w:val="00633CAE"/>
    <w:rsid w:val="00633CCE"/>
    <w:rsid w:val="006340AE"/>
    <w:rsid w:val="006341D0"/>
    <w:rsid w:val="0063431F"/>
    <w:rsid w:val="00634564"/>
    <w:rsid w:val="00634FA7"/>
    <w:rsid w:val="00635B30"/>
    <w:rsid w:val="00635C3B"/>
    <w:rsid w:val="00635EA7"/>
    <w:rsid w:val="00636ADA"/>
    <w:rsid w:val="00637890"/>
    <w:rsid w:val="00637BA7"/>
    <w:rsid w:val="00637DFC"/>
    <w:rsid w:val="006401F6"/>
    <w:rsid w:val="0064023E"/>
    <w:rsid w:val="00640427"/>
    <w:rsid w:val="0064091C"/>
    <w:rsid w:val="00640D64"/>
    <w:rsid w:val="00641496"/>
    <w:rsid w:val="0064173F"/>
    <w:rsid w:val="006419D0"/>
    <w:rsid w:val="00642689"/>
    <w:rsid w:val="0064282E"/>
    <w:rsid w:val="00642879"/>
    <w:rsid w:val="006430F1"/>
    <w:rsid w:val="006438D3"/>
    <w:rsid w:val="00643BCF"/>
    <w:rsid w:val="00643E5D"/>
    <w:rsid w:val="00644359"/>
    <w:rsid w:val="0064472E"/>
    <w:rsid w:val="0064536E"/>
    <w:rsid w:val="006454EA"/>
    <w:rsid w:val="00645A7C"/>
    <w:rsid w:val="0064644A"/>
    <w:rsid w:val="00646865"/>
    <w:rsid w:val="00647BA2"/>
    <w:rsid w:val="006509B6"/>
    <w:rsid w:val="00650BE2"/>
    <w:rsid w:val="00650C18"/>
    <w:rsid w:val="00651493"/>
    <w:rsid w:val="00651732"/>
    <w:rsid w:val="0065189A"/>
    <w:rsid w:val="00652023"/>
    <w:rsid w:val="00652440"/>
    <w:rsid w:val="006527C6"/>
    <w:rsid w:val="00653319"/>
    <w:rsid w:val="00653E6B"/>
    <w:rsid w:val="00654687"/>
    <w:rsid w:val="00654CDF"/>
    <w:rsid w:val="006551BC"/>
    <w:rsid w:val="006551DD"/>
    <w:rsid w:val="006552C0"/>
    <w:rsid w:val="006555C0"/>
    <w:rsid w:val="00655FC7"/>
    <w:rsid w:val="00657C60"/>
    <w:rsid w:val="00662013"/>
    <w:rsid w:val="0066262F"/>
    <w:rsid w:val="0066339A"/>
    <w:rsid w:val="00663B10"/>
    <w:rsid w:val="006640FA"/>
    <w:rsid w:val="00664283"/>
    <w:rsid w:val="00664609"/>
    <w:rsid w:val="00664925"/>
    <w:rsid w:val="00664A60"/>
    <w:rsid w:val="00665DAC"/>
    <w:rsid w:val="00666340"/>
    <w:rsid w:val="006665F6"/>
    <w:rsid w:val="006679A0"/>
    <w:rsid w:val="00667C31"/>
    <w:rsid w:val="00670620"/>
    <w:rsid w:val="00670D16"/>
    <w:rsid w:val="0067108D"/>
    <w:rsid w:val="00671F28"/>
    <w:rsid w:val="00672115"/>
    <w:rsid w:val="00672EFC"/>
    <w:rsid w:val="00673226"/>
    <w:rsid w:val="006736B9"/>
    <w:rsid w:val="00673896"/>
    <w:rsid w:val="00674093"/>
    <w:rsid w:val="00675256"/>
    <w:rsid w:val="006753DC"/>
    <w:rsid w:val="006756D5"/>
    <w:rsid w:val="00675E4A"/>
    <w:rsid w:val="00676219"/>
    <w:rsid w:val="006763D9"/>
    <w:rsid w:val="00676D91"/>
    <w:rsid w:val="00676E1E"/>
    <w:rsid w:val="006770CF"/>
    <w:rsid w:val="006771A2"/>
    <w:rsid w:val="0068078C"/>
    <w:rsid w:val="00680A11"/>
    <w:rsid w:val="00680A9B"/>
    <w:rsid w:val="00680CD6"/>
    <w:rsid w:val="00680ECA"/>
    <w:rsid w:val="00681071"/>
    <w:rsid w:val="006817CA"/>
    <w:rsid w:val="0068184B"/>
    <w:rsid w:val="00681FFA"/>
    <w:rsid w:val="0068210A"/>
    <w:rsid w:val="00683CD9"/>
    <w:rsid w:val="0068427A"/>
    <w:rsid w:val="00684B26"/>
    <w:rsid w:val="00684C5F"/>
    <w:rsid w:val="00685186"/>
    <w:rsid w:val="006864B8"/>
    <w:rsid w:val="00686C3F"/>
    <w:rsid w:val="00686D1C"/>
    <w:rsid w:val="00686D8D"/>
    <w:rsid w:val="0069149A"/>
    <w:rsid w:val="00691A12"/>
    <w:rsid w:val="00692A94"/>
    <w:rsid w:val="00692C86"/>
    <w:rsid w:val="00693434"/>
    <w:rsid w:val="006938D9"/>
    <w:rsid w:val="00693DD0"/>
    <w:rsid w:val="00694603"/>
    <w:rsid w:val="00694D0D"/>
    <w:rsid w:val="00694D77"/>
    <w:rsid w:val="00694EAE"/>
    <w:rsid w:val="00696861"/>
    <w:rsid w:val="00697C13"/>
    <w:rsid w:val="006A054B"/>
    <w:rsid w:val="006A0559"/>
    <w:rsid w:val="006A1165"/>
    <w:rsid w:val="006A1770"/>
    <w:rsid w:val="006A1A19"/>
    <w:rsid w:val="006A1AD3"/>
    <w:rsid w:val="006A25C6"/>
    <w:rsid w:val="006A366B"/>
    <w:rsid w:val="006A3937"/>
    <w:rsid w:val="006A4BAA"/>
    <w:rsid w:val="006A5527"/>
    <w:rsid w:val="006A7869"/>
    <w:rsid w:val="006A7BDC"/>
    <w:rsid w:val="006A7DC0"/>
    <w:rsid w:val="006B0075"/>
    <w:rsid w:val="006B0587"/>
    <w:rsid w:val="006B1511"/>
    <w:rsid w:val="006B187A"/>
    <w:rsid w:val="006B1DBB"/>
    <w:rsid w:val="006B28B5"/>
    <w:rsid w:val="006B2F2B"/>
    <w:rsid w:val="006B3703"/>
    <w:rsid w:val="006B48D9"/>
    <w:rsid w:val="006B5868"/>
    <w:rsid w:val="006B5937"/>
    <w:rsid w:val="006B6144"/>
    <w:rsid w:val="006B6197"/>
    <w:rsid w:val="006B66D8"/>
    <w:rsid w:val="006B7490"/>
    <w:rsid w:val="006C020A"/>
    <w:rsid w:val="006C09D1"/>
    <w:rsid w:val="006C0D68"/>
    <w:rsid w:val="006C1266"/>
    <w:rsid w:val="006C13EC"/>
    <w:rsid w:val="006C249D"/>
    <w:rsid w:val="006C293D"/>
    <w:rsid w:val="006C3ED8"/>
    <w:rsid w:val="006C5106"/>
    <w:rsid w:val="006C5AAF"/>
    <w:rsid w:val="006C672A"/>
    <w:rsid w:val="006C75EF"/>
    <w:rsid w:val="006C7888"/>
    <w:rsid w:val="006C7C05"/>
    <w:rsid w:val="006D05B6"/>
    <w:rsid w:val="006D16A1"/>
    <w:rsid w:val="006D23F0"/>
    <w:rsid w:val="006D2AA2"/>
    <w:rsid w:val="006D3320"/>
    <w:rsid w:val="006D3DE3"/>
    <w:rsid w:val="006D61ED"/>
    <w:rsid w:val="006D67E4"/>
    <w:rsid w:val="006D695A"/>
    <w:rsid w:val="006D6CC0"/>
    <w:rsid w:val="006D6D39"/>
    <w:rsid w:val="006D6ECC"/>
    <w:rsid w:val="006D6F98"/>
    <w:rsid w:val="006D7159"/>
    <w:rsid w:val="006E07A7"/>
    <w:rsid w:val="006E0FF3"/>
    <w:rsid w:val="006E1045"/>
    <w:rsid w:val="006E14D3"/>
    <w:rsid w:val="006E1C67"/>
    <w:rsid w:val="006E2692"/>
    <w:rsid w:val="006E27DD"/>
    <w:rsid w:val="006E38BF"/>
    <w:rsid w:val="006E38F7"/>
    <w:rsid w:val="006E42E5"/>
    <w:rsid w:val="006E45FE"/>
    <w:rsid w:val="006E496B"/>
    <w:rsid w:val="006E4CE2"/>
    <w:rsid w:val="006E5C2B"/>
    <w:rsid w:val="006E5FDC"/>
    <w:rsid w:val="006E6EAF"/>
    <w:rsid w:val="006E75CB"/>
    <w:rsid w:val="006E7A50"/>
    <w:rsid w:val="006E7F8D"/>
    <w:rsid w:val="006F085C"/>
    <w:rsid w:val="006F094A"/>
    <w:rsid w:val="006F1585"/>
    <w:rsid w:val="006F1E3B"/>
    <w:rsid w:val="006F2361"/>
    <w:rsid w:val="006F250E"/>
    <w:rsid w:val="006F296F"/>
    <w:rsid w:val="006F3567"/>
    <w:rsid w:val="006F3950"/>
    <w:rsid w:val="006F3B3C"/>
    <w:rsid w:val="006F3DB2"/>
    <w:rsid w:val="006F551F"/>
    <w:rsid w:val="006F5968"/>
    <w:rsid w:val="006F59B2"/>
    <w:rsid w:val="006F661B"/>
    <w:rsid w:val="006F6C68"/>
    <w:rsid w:val="006F6E87"/>
    <w:rsid w:val="006F71AF"/>
    <w:rsid w:val="006F72D3"/>
    <w:rsid w:val="006F751A"/>
    <w:rsid w:val="006F7CEC"/>
    <w:rsid w:val="006F7E5D"/>
    <w:rsid w:val="00700AA9"/>
    <w:rsid w:val="00701034"/>
    <w:rsid w:val="0070205A"/>
    <w:rsid w:val="00702871"/>
    <w:rsid w:val="00703B93"/>
    <w:rsid w:val="00704CB4"/>
    <w:rsid w:val="00704F9A"/>
    <w:rsid w:val="00705459"/>
    <w:rsid w:val="00705F35"/>
    <w:rsid w:val="00706501"/>
    <w:rsid w:val="00706796"/>
    <w:rsid w:val="00706B7E"/>
    <w:rsid w:val="00706F25"/>
    <w:rsid w:val="007070EF"/>
    <w:rsid w:val="007102F2"/>
    <w:rsid w:val="00710674"/>
    <w:rsid w:val="007108DB"/>
    <w:rsid w:val="007111E0"/>
    <w:rsid w:val="007117E6"/>
    <w:rsid w:val="007128B9"/>
    <w:rsid w:val="00712DC5"/>
    <w:rsid w:val="00712E90"/>
    <w:rsid w:val="00713008"/>
    <w:rsid w:val="00714535"/>
    <w:rsid w:val="00715B08"/>
    <w:rsid w:val="00716159"/>
    <w:rsid w:val="0071699F"/>
    <w:rsid w:val="00716A53"/>
    <w:rsid w:val="00717A2B"/>
    <w:rsid w:val="00717C3B"/>
    <w:rsid w:val="007203A1"/>
    <w:rsid w:val="007208A8"/>
    <w:rsid w:val="00720A86"/>
    <w:rsid w:val="00720B35"/>
    <w:rsid w:val="00720EA0"/>
    <w:rsid w:val="00721B57"/>
    <w:rsid w:val="00721FBF"/>
    <w:rsid w:val="007227DE"/>
    <w:rsid w:val="00723AAD"/>
    <w:rsid w:val="00723E32"/>
    <w:rsid w:val="0072453D"/>
    <w:rsid w:val="007253F7"/>
    <w:rsid w:val="00725CF2"/>
    <w:rsid w:val="007263DB"/>
    <w:rsid w:val="007278F1"/>
    <w:rsid w:val="00727DF3"/>
    <w:rsid w:val="00727FBB"/>
    <w:rsid w:val="007301B1"/>
    <w:rsid w:val="007301CE"/>
    <w:rsid w:val="007302DB"/>
    <w:rsid w:val="0073055B"/>
    <w:rsid w:val="007307AF"/>
    <w:rsid w:val="0073231A"/>
    <w:rsid w:val="0073235F"/>
    <w:rsid w:val="007325BA"/>
    <w:rsid w:val="00733424"/>
    <w:rsid w:val="00733591"/>
    <w:rsid w:val="00734071"/>
    <w:rsid w:val="0073418F"/>
    <w:rsid w:val="0073426D"/>
    <w:rsid w:val="00734E3A"/>
    <w:rsid w:val="00734EEF"/>
    <w:rsid w:val="00735884"/>
    <w:rsid w:val="00737BF7"/>
    <w:rsid w:val="007405D3"/>
    <w:rsid w:val="0074130B"/>
    <w:rsid w:val="007413A4"/>
    <w:rsid w:val="00741D0E"/>
    <w:rsid w:val="007420E7"/>
    <w:rsid w:val="007421F2"/>
    <w:rsid w:val="007436FA"/>
    <w:rsid w:val="00744CE1"/>
    <w:rsid w:val="00745035"/>
    <w:rsid w:val="007451BF"/>
    <w:rsid w:val="007454CB"/>
    <w:rsid w:val="00746722"/>
    <w:rsid w:val="00746903"/>
    <w:rsid w:val="00746ED5"/>
    <w:rsid w:val="007479DA"/>
    <w:rsid w:val="0075122C"/>
    <w:rsid w:val="0075132B"/>
    <w:rsid w:val="007513AF"/>
    <w:rsid w:val="0075158D"/>
    <w:rsid w:val="007525C8"/>
    <w:rsid w:val="0075286F"/>
    <w:rsid w:val="00752FF2"/>
    <w:rsid w:val="00753322"/>
    <w:rsid w:val="00753454"/>
    <w:rsid w:val="007540EB"/>
    <w:rsid w:val="00754D38"/>
    <w:rsid w:val="00756DAB"/>
    <w:rsid w:val="00756FD8"/>
    <w:rsid w:val="00757067"/>
    <w:rsid w:val="00760BB5"/>
    <w:rsid w:val="00760C6D"/>
    <w:rsid w:val="007610BD"/>
    <w:rsid w:val="00761320"/>
    <w:rsid w:val="0076236C"/>
    <w:rsid w:val="007632E4"/>
    <w:rsid w:val="007636BE"/>
    <w:rsid w:val="007637C9"/>
    <w:rsid w:val="00764BF9"/>
    <w:rsid w:val="00767182"/>
    <w:rsid w:val="00767A1C"/>
    <w:rsid w:val="00767B67"/>
    <w:rsid w:val="0077039B"/>
    <w:rsid w:val="007721A7"/>
    <w:rsid w:val="007728FC"/>
    <w:rsid w:val="00772CF6"/>
    <w:rsid w:val="00773456"/>
    <w:rsid w:val="007736BB"/>
    <w:rsid w:val="007740C4"/>
    <w:rsid w:val="0077416B"/>
    <w:rsid w:val="00774D3C"/>
    <w:rsid w:val="007764E8"/>
    <w:rsid w:val="007770D1"/>
    <w:rsid w:val="007772D1"/>
    <w:rsid w:val="00777705"/>
    <w:rsid w:val="00777F86"/>
    <w:rsid w:val="00780D9E"/>
    <w:rsid w:val="00781A70"/>
    <w:rsid w:val="00781E5F"/>
    <w:rsid w:val="007826AD"/>
    <w:rsid w:val="007827A4"/>
    <w:rsid w:val="00783360"/>
    <w:rsid w:val="007837F7"/>
    <w:rsid w:val="007848B1"/>
    <w:rsid w:val="007859C1"/>
    <w:rsid w:val="00785CD3"/>
    <w:rsid w:val="00787046"/>
    <w:rsid w:val="007873E1"/>
    <w:rsid w:val="00787588"/>
    <w:rsid w:val="00787A20"/>
    <w:rsid w:val="00787BC6"/>
    <w:rsid w:val="00790FB5"/>
    <w:rsid w:val="0079174C"/>
    <w:rsid w:val="00792DAD"/>
    <w:rsid w:val="007931EB"/>
    <w:rsid w:val="0079499D"/>
    <w:rsid w:val="00794ED0"/>
    <w:rsid w:val="0079524C"/>
    <w:rsid w:val="007956CA"/>
    <w:rsid w:val="00795E8C"/>
    <w:rsid w:val="00795F00"/>
    <w:rsid w:val="0079667F"/>
    <w:rsid w:val="007967B8"/>
    <w:rsid w:val="00796C24"/>
    <w:rsid w:val="007A0905"/>
    <w:rsid w:val="007A09BE"/>
    <w:rsid w:val="007A0A35"/>
    <w:rsid w:val="007A14C2"/>
    <w:rsid w:val="007A1A16"/>
    <w:rsid w:val="007A2040"/>
    <w:rsid w:val="007A33C5"/>
    <w:rsid w:val="007A3A18"/>
    <w:rsid w:val="007A3B16"/>
    <w:rsid w:val="007A45D5"/>
    <w:rsid w:val="007A4770"/>
    <w:rsid w:val="007A4B74"/>
    <w:rsid w:val="007A51F6"/>
    <w:rsid w:val="007A5BA1"/>
    <w:rsid w:val="007A5BDB"/>
    <w:rsid w:val="007A6219"/>
    <w:rsid w:val="007A62E9"/>
    <w:rsid w:val="007A70DF"/>
    <w:rsid w:val="007A7EA5"/>
    <w:rsid w:val="007B0390"/>
    <w:rsid w:val="007B09BC"/>
    <w:rsid w:val="007B0CFA"/>
    <w:rsid w:val="007B0CFF"/>
    <w:rsid w:val="007B0DDD"/>
    <w:rsid w:val="007B1C28"/>
    <w:rsid w:val="007B1CB1"/>
    <w:rsid w:val="007B2D65"/>
    <w:rsid w:val="007B384E"/>
    <w:rsid w:val="007B5330"/>
    <w:rsid w:val="007B5881"/>
    <w:rsid w:val="007B61D3"/>
    <w:rsid w:val="007B61D6"/>
    <w:rsid w:val="007B66BB"/>
    <w:rsid w:val="007B691E"/>
    <w:rsid w:val="007B69D5"/>
    <w:rsid w:val="007B739C"/>
    <w:rsid w:val="007B7813"/>
    <w:rsid w:val="007B7B36"/>
    <w:rsid w:val="007C0114"/>
    <w:rsid w:val="007C0415"/>
    <w:rsid w:val="007C1375"/>
    <w:rsid w:val="007C1583"/>
    <w:rsid w:val="007C202C"/>
    <w:rsid w:val="007C3A9D"/>
    <w:rsid w:val="007C4897"/>
    <w:rsid w:val="007C4FC6"/>
    <w:rsid w:val="007C59EC"/>
    <w:rsid w:val="007C6744"/>
    <w:rsid w:val="007C6E17"/>
    <w:rsid w:val="007C7F91"/>
    <w:rsid w:val="007D13B5"/>
    <w:rsid w:val="007D2364"/>
    <w:rsid w:val="007D3E1A"/>
    <w:rsid w:val="007D473C"/>
    <w:rsid w:val="007D4A76"/>
    <w:rsid w:val="007D4C6B"/>
    <w:rsid w:val="007D5D5F"/>
    <w:rsid w:val="007D6A78"/>
    <w:rsid w:val="007E0598"/>
    <w:rsid w:val="007E15A4"/>
    <w:rsid w:val="007E2206"/>
    <w:rsid w:val="007E2540"/>
    <w:rsid w:val="007E2DDD"/>
    <w:rsid w:val="007E30D9"/>
    <w:rsid w:val="007E3138"/>
    <w:rsid w:val="007E33A2"/>
    <w:rsid w:val="007E388B"/>
    <w:rsid w:val="007E435F"/>
    <w:rsid w:val="007E540F"/>
    <w:rsid w:val="007E5920"/>
    <w:rsid w:val="007E7542"/>
    <w:rsid w:val="007E7FD0"/>
    <w:rsid w:val="007F0C11"/>
    <w:rsid w:val="007F1055"/>
    <w:rsid w:val="007F1358"/>
    <w:rsid w:val="007F13E7"/>
    <w:rsid w:val="007F1649"/>
    <w:rsid w:val="007F1E99"/>
    <w:rsid w:val="007F2A07"/>
    <w:rsid w:val="007F39BF"/>
    <w:rsid w:val="007F5DF9"/>
    <w:rsid w:val="007F653E"/>
    <w:rsid w:val="007F6F4D"/>
    <w:rsid w:val="0080032B"/>
    <w:rsid w:val="00800A58"/>
    <w:rsid w:val="00800E19"/>
    <w:rsid w:val="00800FCF"/>
    <w:rsid w:val="00801662"/>
    <w:rsid w:val="00801DEF"/>
    <w:rsid w:val="00803195"/>
    <w:rsid w:val="00803742"/>
    <w:rsid w:val="00804425"/>
    <w:rsid w:val="00804430"/>
    <w:rsid w:val="00804D0F"/>
    <w:rsid w:val="00804F5D"/>
    <w:rsid w:val="008061A8"/>
    <w:rsid w:val="00806394"/>
    <w:rsid w:val="00806397"/>
    <w:rsid w:val="00806593"/>
    <w:rsid w:val="00806FCE"/>
    <w:rsid w:val="00807287"/>
    <w:rsid w:val="0080768B"/>
    <w:rsid w:val="00807B5C"/>
    <w:rsid w:val="00810A4C"/>
    <w:rsid w:val="008111C3"/>
    <w:rsid w:val="00811546"/>
    <w:rsid w:val="008119BE"/>
    <w:rsid w:val="00811DB1"/>
    <w:rsid w:val="00812490"/>
    <w:rsid w:val="00812844"/>
    <w:rsid w:val="00812FA8"/>
    <w:rsid w:val="008130DB"/>
    <w:rsid w:val="00813E42"/>
    <w:rsid w:val="00815257"/>
    <w:rsid w:val="008160D5"/>
    <w:rsid w:val="008166C1"/>
    <w:rsid w:val="00817286"/>
    <w:rsid w:val="008208AA"/>
    <w:rsid w:val="00821A2D"/>
    <w:rsid w:val="00822322"/>
    <w:rsid w:val="008229E6"/>
    <w:rsid w:val="00822CCB"/>
    <w:rsid w:val="008230C7"/>
    <w:rsid w:val="008238E6"/>
    <w:rsid w:val="00824343"/>
    <w:rsid w:val="008243AC"/>
    <w:rsid w:val="008259E3"/>
    <w:rsid w:val="00825A80"/>
    <w:rsid w:val="008261F7"/>
    <w:rsid w:val="00826673"/>
    <w:rsid w:val="00826CDB"/>
    <w:rsid w:val="00826E9F"/>
    <w:rsid w:val="0082712B"/>
    <w:rsid w:val="00830344"/>
    <w:rsid w:val="008307CD"/>
    <w:rsid w:val="00830A32"/>
    <w:rsid w:val="00830A6A"/>
    <w:rsid w:val="00831042"/>
    <w:rsid w:val="008317F8"/>
    <w:rsid w:val="00831B4A"/>
    <w:rsid w:val="00832970"/>
    <w:rsid w:val="00832A09"/>
    <w:rsid w:val="0083301B"/>
    <w:rsid w:val="00833670"/>
    <w:rsid w:val="00833B24"/>
    <w:rsid w:val="008344E6"/>
    <w:rsid w:val="00834619"/>
    <w:rsid w:val="0083508E"/>
    <w:rsid w:val="008354A2"/>
    <w:rsid w:val="00835FEC"/>
    <w:rsid w:val="0083691B"/>
    <w:rsid w:val="00837317"/>
    <w:rsid w:val="008377AC"/>
    <w:rsid w:val="00840C66"/>
    <w:rsid w:val="00840CD7"/>
    <w:rsid w:val="00841025"/>
    <w:rsid w:val="008411A8"/>
    <w:rsid w:val="008411FB"/>
    <w:rsid w:val="008413C1"/>
    <w:rsid w:val="00841BEA"/>
    <w:rsid w:val="00841DEF"/>
    <w:rsid w:val="0084306F"/>
    <w:rsid w:val="00843142"/>
    <w:rsid w:val="008435D9"/>
    <w:rsid w:val="008435E1"/>
    <w:rsid w:val="00843851"/>
    <w:rsid w:val="008438F0"/>
    <w:rsid w:val="008439C2"/>
    <w:rsid w:val="00843E90"/>
    <w:rsid w:val="00844523"/>
    <w:rsid w:val="00844851"/>
    <w:rsid w:val="008451F5"/>
    <w:rsid w:val="008453CB"/>
    <w:rsid w:val="00846784"/>
    <w:rsid w:val="008467E7"/>
    <w:rsid w:val="00846AB2"/>
    <w:rsid w:val="00846AFE"/>
    <w:rsid w:val="00846D88"/>
    <w:rsid w:val="00846F91"/>
    <w:rsid w:val="008473FB"/>
    <w:rsid w:val="0084740A"/>
    <w:rsid w:val="008475CD"/>
    <w:rsid w:val="00847652"/>
    <w:rsid w:val="008476C4"/>
    <w:rsid w:val="008476F5"/>
    <w:rsid w:val="008479DA"/>
    <w:rsid w:val="00847DB4"/>
    <w:rsid w:val="00850824"/>
    <w:rsid w:val="00851602"/>
    <w:rsid w:val="00851AF1"/>
    <w:rsid w:val="00852071"/>
    <w:rsid w:val="0085252A"/>
    <w:rsid w:val="00852588"/>
    <w:rsid w:val="00853B35"/>
    <w:rsid w:val="0085540B"/>
    <w:rsid w:val="0085628E"/>
    <w:rsid w:val="008562D2"/>
    <w:rsid w:val="00856917"/>
    <w:rsid w:val="008573FC"/>
    <w:rsid w:val="0085751E"/>
    <w:rsid w:val="00857DCC"/>
    <w:rsid w:val="00860957"/>
    <w:rsid w:val="00860B7B"/>
    <w:rsid w:val="00860E7D"/>
    <w:rsid w:val="008611F3"/>
    <w:rsid w:val="008617BA"/>
    <w:rsid w:val="008619DA"/>
    <w:rsid w:val="00862BA4"/>
    <w:rsid w:val="00862D5C"/>
    <w:rsid w:val="00863691"/>
    <w:rsid w:val="00863EEC"/>
    <w:rsid w:val="00863F75"/>
    <w:rsid w:val="00864C41"/>
    <w:rsid w:val="00864F08"/>
    <w:rsid w:val="00864FED"/>
    <w:rsid w:val="008653B6"/>
    <w:rsid w:val="00865691"/>
    <w:rsid w:val="00866472"/>
    <w:rsid w:val="00866505"/>
    <w:rsid w:val="00866974"/>
    <w:rsid w:val="00866CBB"/>
    <w:rsid w:val="00867284"/>
    <w:rsid w:val="0086757E"/>
    <w:rsid w:val="0087129E"/>
    <w:rsid w:val="00872221"/>
    <w:rsid w:val="00873AD1"/>
    <w:rsid w:val="00874066"/>
    <w:rsid w:val="00874852"/>
    <w:rsid w:val="00876568"/>
    <w:rsid w:val="00876BAB"/>
    <w:rsid w:val="00877349"/>
    <w:rsid w:val="00881A0D"/>
    <w:rsid w:val="00881C46"/>
    <w:rsid w:val="00881E8E"/>
    <w:rsid w:val="00882172"/>
    <w:rsid w:val="008833B3"/>
    <w:rsid w:val="00883EE9"/>
    <w:rsid w:val="00884A8A"/>
    <w:rsid w:val="00884B51"/>
    <w:rsid w:val="00885114"/>
    <w:rsid w:val="0088616A"/>
    <w:rsid w:val="00886235"/>
    <w:rsid w:val="008862D7"/>
    <w:rsid w:val="00887CC0"/>
    <w:rsid w:val="00887EC6"/>
    <w:rsid w:val="00890425"/>
    <w:rsid w:val="00890678"/>
    <w:rsid w:val="008912D2"/>
    <w:rsid w:val="008913DB"/>
    <w:rsid w:val="00891527"/>
    <w:rsid w:val="00891742"/>
    <w:rsid w:val="008921A3"/>
    <w:rsid w:val="00892415"/>
    <w:rsid w:val="00893317"/>
    <w:rsid w:val="0089380D"/>
    <w:rsid w:val="00893E8D"/>
    <w:rsid w:val="008964B9"/>
    <w:rsid w:val="00896D23"/>
    <w:rsid w:val="00896F2C"/>
    <w:rsid w:val="00897BC7"/>
    <w:rsid w:val="008A024A"/>
    <w:rsid w:val="008A0F3B"/>
    <w:rsid w:val="008A196C"/>
    <w:rsid w:val="008A2141"/>
    <w:rsid w:val="008A2B73"/>
    <w:rsid w:val="008A2DF9"/>
    <w:rsid w:val="008A325D"/>
    <w:rsid w:val="008A329D"/>
    <w:rsid w:val="008A32A8"/>
    <w:rsid w:val="008A3F41"/>
    <w:rsid w:val="008A4DB9"/>
    <w:rsid w:val="008A5723"/>
    <w:rsid w:val="008A60E3"/>
    <w:rsid w:val="008A69B9"/>
    <w:rsid w:val="008A7F05"/>
    <w:rsid w:val="008B03B9"/>
    <w:rsid w:val="008B0410"/>
    <w:rsid w:val="008B122B"/>
    <w:rsid w:val="008B1244"/>
    <w:rsid w:val="008B200A"/>
    <w:rsid w:val="008B2182"/>
    <w:rsid w:val="008B241C"/>
    <w:rsid w:val="008B316E"/>
    <w:rsid w:val="008B433B"/>
    <w:rsid w:val="008B43FF"/>
    <w:rsid w:val="008B5F2E"/>
    <w:rsid w:val="008B6061"/>
    <w:rsid w:val="008B60A4"/>
    <w:rsid w:val="008B6864"/>
    <w:rsid w:val="008B6CD5"/>
    <w:rsid w:val="008B6D44"/>
    <w:rsid w:val="008B735B"/>
    <w:rsid w:val="008B74C8"/>
    <w:rsid w:val="008C0023"/>
    <w:rsid w:val="008C03E8"/>
    <w:rsid w:val="008C06C0"/>
    <w:rsid w:val="008C0BF4"/>
    <w:rsid w:val="008C1EEF"/>
    <w:rsid w:val="008C20D1"/>
    <w:rsid w:val="008C2361"/>
    <w:rsid w:val="008C3359"/>
    <w:rsid w:val="008C34D6"/>
    <w:rsid w:val="008C39B7"/>
    <w:rsid w:val="008C39D6"/>
    <w:rsid w:val="008C3B90"/>
    <w:rsid w:val="008C3FE0"/>
    <w:rsid w:val="008C406A"/>
    <w:rsid w:val="008C51C4"/>
    <w:rsid w:val="008C791B"/>
    <w:rsid w:val="008C7CD3"/>
    <w:rsid w:val="008C7E57"/>
    <w:rsid w:val="008D0842"/>
    <w:rsid w:val="008D0B7E"/>
    <w:rsid w:val="008D0D25"/>
    <w:rsid w:val="008D1084"/>
    <w:rsid w:val="008D1414"/>
    <w:rsid w:val="008D181E"/>
    <w:rsid w:val="008D275D"/>
    <w:rsid w:val="008D32C5"/>
    <w:rsid w:val="008D43BF"/>
    <w:rsid w:val="008D4E14"/>
    <w:rsid w:val="008D5A2F"/>
    <w:rsid w:val="008D6067"/>
    <w:rsid w:val="008D6734"/>
    <w:rsid w:val="008D68CC"/>
    <w:rsid w:val="008D6CE0"/>
    <w:rsid w:val="008D6E7E"/>
    <w:rsid w:val="008D7924"/>
    <w:rsid w:val="008E0363"/>
    <w:rsid w:val="008E1784"/>
    <w:rsid w:val="008E189F"/>
    <w:rsid w:val="008E1B62"/>
    <w:rsid w:val="008E1CB5"/>
    <w:rsid w:val="008E310F"/>
    <w:rsid w:val="008E33CF"/>
    <w:rsid w:val="008E363D"/>
    <w:rsid w:val="008E374C"/>
    <w:rsid w:val="008E3A29"/>
    <w:rsid w:val="008E44A0"/>
    <w:rsid w:val="008E4666"/>
    <w:rsid w:val="008E4764"/>
    <w:rsid w:val="008E4AE7"/>
    <w:rsid w:val="008E504F"/>
    <w:rsid w:val="008E6F1C"/>
    <w:rsid w:val="008E76FF"/>
    <w:rsid w:val="008F0156"/>
    <w:rsid w:val="008F051B"/>
    <w:rsid w:val="008F074A"/>
    <w:rsid w:val="008F084D"/>
    <w:rsid w:val="008F0F2F"/>
    <w:rsid w:val="008F1334"/>
    <w:rsid w:val="008F1694"/>
    <w:rsid w:val="008F1895"/>
    <w:rsid w:val="008F1EA6"/>
    <w:rsid w:val="008F1F60"/>
    <w:rsid w:val="008F2ECD"/>
    <w:rsid w:val="008F33C2"/>
    <w:rsid w:val="008F3844"/>
    <w:rsid w:val="008F3C3A"/>
    <w:rsid w:val="008F4B3E"/>
    <w:rsid w:val="008F4C43"/>
    <w:rsid w:val="008F4D01"/>
    <w:rsid w:val="008F522C"/>
    <w:rsid w:val="008F66D3"/>
    <w:rsid w:val="008F6765"/>
    <w:rsid w:val="008F7F8E"/>
    <w:rsid w:val="00901140"/>
    <w:rsid w:val="00901260"/>
    <w:rsid w:val="009013CE"/>
    <w:rsid w:val="009038E7"/>
    <w:rsid w:val="00903D9F"/>
    <w:rsid w:val="00903EC7"/>
    <w:rsid w:val="009061EF"/>
    <w:rsid w:val="009071A6"/>
    <w:rsid w:val="0090746B"/>
    <w:rsid w:val="00907477"/>
    <w:rsid w:val="009079D6"/>
    <w:rsid w:val="00907DE0"/>
    <w:rsid w:val="00907ED5"/>
    <w:rsid w:val="00907F02"/>
    <w:rsid w:val="0091015E"/>
    <w:rsid w:val="00911B17"/>
    <w:rsid w:val="00911CB1"/>
    <w:rsid w:val="00911FD2"/>
    <w:rsid w:val="00912E9D"/>
    <w:rsid w:val="00913434"/>
    <w:rsid w:val="0091350E"/>
    <w:rsid w:val="009144E4"/>
    <w:rsid w:val="0091483B"/>
    <w:rsid w:val="00915A0C"/>
    <w:rsid w:val="00915C26"/>
    <w:rsid w:val="00916CE4"/>
    <w:rsid w:val="00916E57"/>
    <w:rsid w:val="009171D9"/>
    <w:rsid w:val="0091726B"/>
    <w:rsid w:val="009172B6"/>
    <w:rsid w:val="00917FAA"/>
    <w:rsid w:val="00920072"/>
    <w:rsid w:val="009205C2"/>
    <w:rsid w:val="00920AD4"/>
    <w:rsid w:val="00920F14"/>
    <w:rsid w:val="00921469"/>
    <w:rsid w:val="00921571"/>
    <w:rsid w:val="0092157D"/>
    <w:rsid w:val="0092176E"/>
    <w:rsid w:val="00922291"/>
    <w:rsid w:val="00923CF5"/>
    <w:rsid w:val="009250C5"/>
    <w:rsid w:val="0092566D"/>
    <w:rsid w:val="009268F7"/>
    <w:rsid w:val="0093054A"/>
    <w:rsid w:val="00930823"/>
    <w:rsid w:val="00931901"/>
    <w:rsid w:val="00931DD6"/>
    <w:rsid w:val="00932424"/>
    <w:rsid w:val="00932A7A"/>
    <w:rsid w:val="00934C07"/>
    <w:rsid w:val="00934F72"/>
    <w:rsid w:val="00935F25"/>
    <w:rsid w:val="0093614D"/>
    <w:rsid w:val="009361AF"/>
    <w:rsid w:val="0093682B"/>
    <w:rsid w:val="00937929"/>
    <w:rsid w:val="00937A9E"/>
    <w:rsid w:val="009400B2"/>
    <w:rsid w:val="009414F7"/>
    <w:rsid w:val="00942D12"/>
    <w:rsid w:val="00942EB8"/>
    <w:rsid w:val="00943165"/>
    <w:rsid w:val="00943255"/>
    <w:rsid w:val="00943EF2"/>
    <w:rsid w:val="00944373"/>
    <w:rsid w:val="00944829"/>
    <w:rsid w:val="00944F19"/>
    <w:rsid w:val="00945261"/>
    <w:rsid w:val="00945487"/>
    <w:rsid w:val="00945783"/>
    <w:rsid w:val="009460EC"/>
    <w:rsid w:val="00946247"/>
    <w:rsid w:val="00947A56"/>
    <w:rsid w:val="00950516"/>
    <w:rsid w:val="00951D0B"/>
    <w:rsid w:val="009523E0"/>
    <w:rsid w:val="0095291F"/>
    <w:rsid w:val="00952B51"/>
    <w:rsid w:val="009539F1"/>
    <w:rsid w:val="00953A30"/>
    <w:rsid w:val="0095436C"/>
    <w:rsid w:val="0095500D"/>
    <w:rsid w:val="00955102"/>
    <w:rsid w:val="00955138"/>
    <w:rsid w:val="00955306"/>
    <w:rsid w:val="0095542C"/>
    <w:rsid w:val="009556EC"/>
    <w:rsid w:val="00956B17"/>
    <w:rsid w:val="00956B7A"/>
    <w:rsid w:val="00956C76"/>
    <w:rsid w:val="00957159"/>
    <w:rsid w:val="00957B85"/>
    <w:rsid w:val="00957BA9"/>
    <w:rsid w:val="009602A1"/>
    <w:rsid w:val="0096044E"/>
    <w:rsid w:val="00960958"/>
    <w:rsid w:val="00961138"/>
    <w:rsid w:val="00961CFD"/>
    <w:rsid w:val="00961E56"/>
    <w:rsid w:val="00962238"/>
    <w:rsid w:val="00963B29"/>
    <w:rsid w:val="00965800"/>
    <w:rsid w:val="00966C31"/>
    <w:rsid w:val="00966DBD"/>
    <w:rsid w:val="00967075"/>
    <w:rsid w:val="009671D7"/>
    <w:rsid w:val="00967902"/>
    <w:rsid w:val="00967CE9"/>
    <w:rsid w:val="00967CF0"/>
    <w:rsid w:val="009714EF"/>
    <w:rsid w:val="00971B25"/>
    <w:rsid w:val="0097203B"/>
    <w:rsid w:val="009723AE"/>
    <w:rsid w:val="009724FB"/>
    <w:rsid w:val="00972821"/>
    <w:rsid w:val="00972CF2"/>
    <w:rsid w:val="00973F52"/>
    <w:rsid w:val="00974525"/>
    <w:rsid w:val="0097486E"/>
    <w:rsid w:val="00974EDD"/>
    <w:rsid w:val="00974F9A"/>
    <w:rsid w:val="00975178"/>
    <w:rsid w:val="00975EA2"/>
    <w:rsid w:val="00976CCF"/>
    <w:rsid w:val="00976D75"/>
    <w:rsid w:val="00977116"/>
    <w:rsid w:val="009776F3"/>
    <w:rsid w:val="00977EF2"/>
    <w:rsid w:val="00977FA1"/>
    <w:rsid w:val="009802CF"/>
    <w:rsid w:val="00980398"/>
    <w:rsid w:val="00980C0B"/>
    <w:rsid w:val="009812F9"/>
    <w:rsid w:val="00981365"/>
    <w:rsid w:val="0098144F"/>
    <w:rsid w:val="0098182B"/>
    <w:rsid w:val="00982C0D"/>
    <w:rsid w:val="00982DC4"/>
    <w:rsid w:val="00982F97"/>
    <w:rsid w:val="00983642"/>
    <w:rsid w:val="00983A27"/>
    <w:rsid w:val="00983D00"/>
    <w:rsid w:val="0098580E"/>
    <w:rsid w:val="0098681E"/>
    <w:rsid w:val="00987397"/>
    <w:rsid w:val="009878C3"/>
    <w:rsid w:val="00987F93"/>
    <w:rsid w:val="009900E2"/>
    <w:rsid w:val="00990512"/>
    <w:rsid w:val="00990D27"/>
    <w:rsid w:val="00991588"/>
    <w:rsid w:val="009915C7"/>
    <w:rsid w:val="009915FD"/>
    <w:rsid w:val="00991974"/>
    <w:rsid w:val="00991B15"/>
    <w:rsid w:val="00991EC1"/>
    <w:rsid w:val="00991F2E"/>
    <w:rsid w:val="00992010"/>
    <w:rsid w:val="0099271F"/>
    <w:rsid w:val="00992D60"/>
    <w:rsid w:val="00993168"/>
    <w:rsid w:val="00993F96"/>
    <w:rsid w:val="00994070"/>
    <w:rsid w:val="00994501"/>
    <w:rsid w:val="009950CF"/>
    <w:rsid w:val="009953B9"/>
    <w:rsid w:val="0099578B"/>
    <w:rsid w:val="009959DB"/>
    <w:rsid w:val="00995BF7"/>
    <w:rsid w:val="00995C79"/>
    <w:rsid w:val="009963C7"/>
    <w:rsid w:val="009967C8"/>
    <w:rsid w:val="00996BC7"/>
    <w:rsid w:val="00996DF1"/>
    <w:rsid w:val="00997940"/>
    <w:rsid w:val="009A044C"/>
    <w:rsid w:val="009A057C"/>
    <w:rsid w:val="009A0864"/>
    <w:rsid w:val="009A0FB8"/>
    <w:rsid w:val="009A13C0"/>
    <w:rsid w:val="009A1DD0"/>
    <w:rsid w:val="009A21E4"/>
    <w:rsid w:val="009A2EAE"/>
    <w:rsid w:val="009A3249"/>
    <w:rsid w:val="009A3529"/>
    <w:rsid w:val="009A3BE3"/>
    <w:rsid w:val="009A3FFD"/>
    <w:rsid w:val="009A6721"/>
    <w:rsid w:val="009A6D06"/>
    <w:rsid w:val="009A6ED2"/>
    <w:rsid w:val="009A7620"/>
    <w:rsid w:val="009A7B1A"/>
    <w:rsid w:val="009B0027"/>
    <w:rsid w:val="009B0256"/>
    <w:rsid w:val="009B0C89"/>
    <w:rsid w:val="009B0F0B"/>
    <w:rsid w:val="009B14CC"/>
    <w:rsid w:val="009B1A67"/>
    <w:rsid w:val="009B225C"/>
    <w:rsid w:val="009B23DE"/>
    <w:rsid w:val="009B2512"/>
    <w:rsid w:val="009B2DDC"/>
    <w:rsid w:val="009B3015"/>
    <w:rsid w:val="009B315A"/>
    <w:rsid w:val="009B3728"/>
    <w:rsid w:val="009B4366"/>
    <w:rsid w:val="009B4B00"/>
    <w:rsid w:val="009B65D5"/>
    <w:rsid w:val="009B6692"/>
    <w:rsid w:val="009B6793"/>
    <w:rsid w:val="009B6F7D"/>
    <w:rsid w:val="009C0A71"/>
    <w:rsid w:val="009C0ECA"/>
    <w:rsid w:val="009C25DB"/>
    <w:rsid w:val="009C32F0"/>
    <w:rsid w:val="009C45E5"/>
    <w:rsid w:val="009C49AA"/>
    <w:rsid w:val="009C4B19"/>
    <w:rsid w:val="009C50FE"/>
    <w:rsid w:val="009C533C"/>
    <w:rsid w:val="009C53E8"/>
    <w:rsid w:val="009C55DE"/>
    <w:rsid w:val="009C5A76"/>
    <w:rsid w:val="009C71EC"/>
    <w:rsid w:val="009C7369"/>
    <w:rsid w:val="009D005A"/>
    <w:rsid w:val="009D08A1"/>
    <w:rsid w:val="009D0C8D"/>
    <w:rsid w:val="009D1F38"/>
    <w:rsid w:val="009D1F41"/>
    <w:rsid w:val="009D2317"/>
    <w:rsid w:val="009D2560"/>
    <w:rsid w:val="009D26B4"/>
    <w:rsid w:val="009D33B4"/>
    <w:rsid w:val="009D3C37"/>
    <w:rsid w:val="009D463B"/>
    <w:rsid w:val="009D4BAB"/>
    <w:rsid w:val="009D6E1A"/>
    <w:rsid w:val="009D6E83"/>
    <w:rsid w:val="009D70E8"/>
    <w:rsid w:val="009E1190"/>
    <w:rsid w:val="009E1514"/>
    <w:rsid w:val="009E1740"/>
    <w:rsid w:val="009E1C19"/>
    <w:rsid w:val="009E2239"/>
    <w:rsid w:val="009E237B"/>
    <w:rsid w:val="009E5DA0"/>
    <w:rsid w:val="009E5E51"/>
    <w:rsid w:val="009E5E7A"/>
    <w:rsid w:val="009E630B"/>
    <w:rsid w:val="009E6AE6"/>
    <w:rsid w:val="009E6B43"/>
    <w:rsid w:val="009E7880"/>
    <w:rsid w:val="009E7AF5"/>
    <w:rsid w:val="009F0C73"/>
    <w:rsid w:val="009F1A9A"/>
    <w:rsid w:val="009F1F8D"/>
    <w:rsid w:val="009F2069"/>
    <w:rsid w:val="009F3B0A"/>
    <w:rsid w:val="009F3B9E"/>
    <w:rsid w:val="009F3CE2"/>
    <w:rsid w:val="009F3CFC"/>
    <w:rsid w:val="009F41E2"/>
    <w:rsid w:val="009F4405"/>
    <w:rsid w:val="009F4702"/>
    <w:rsid w:val="009F4B75"/>
    <w:rsid w:val="009F4CF8"/>
    <w:rsid w:val="009F5221"/>
    <w:rsid w:val="009F5519"/>
    <w:rsid w:val="009F586C"/>
    <w:rsid w:val="009F68CC"/>
    <w:rsid w:val="009F6DB3"/>
    <w:rsid w:val="009F6E85"/>
    <w:rsid w:val="009F7235"/>
    <w:rsid w:val="009F738E"/>
    <w:rsid w:val="009F77AF"/>
    <w:rsid w:val="00A00AAE"/>
    <w:rsid w:val="00A01C26"/>
    <w:rsid w:val="00A0201E"/>
    <w:rsid w:val="00A02B2B"/>
    <w:rsid w:val="00A0326A"/>
    <w:rsid w:val="00A04350"/>
    <w:rsid w:val="00A044E3"/>
    <w:rsid w:val="00A04A2F"/>
    <w:rsid w:val="00A04DDE"/>
    <w:rsid w:val="00A05784"/>
    <w:rsid w:val="00A05C82"/>
    <w:rsid w:val="00A05DA9"/>
    <w:rsid w:val="00A06C32"/>
    <w:rsid w:val="00A076C0"/>
    <w:rsid w:val="00A10527"/>
    <w:rsid w:val="00A10BCE"/>
    <w:rsid w:val="00A10CF9"/>
    <w:rsid w:val="00A1138B"/>
    <w:rsid w:val="00A12EDA"/>
    <w:rsid w:val="00A13AE2"/>
    <w:rsid w:val="00A14FB4"/>
    <w:rsid w:val="00A15309"/>
    <w:rsid w:val="00A15375"/>
    <w:rsid w:val="00A153F5"/>
    <w:rsid w:val="00A15C91"/>
    <w:rsid w:val="00A16D1D"/>
    <w:rsid w:val="00A17208"/>
    <w:rsid w:val="00A174F0"/>
    <w:rsid w:val="00A1792F"/>
    <w:rsid w:val="00A17E78"/>
    <w:rsid w:val="00A2037B"/>
    <w:rsid w:val="00A21D39"/>
    <w:rsid w:val="00A21D82"/>
    <w:rsid w:val="00A221A4"/>
    <w:rsid w:val="00A22304"/>
    <w:rsid w:val="00A22862"/>
    <w:rsid w:val="00A22B6D"/>
    <w:rsid w:val="00A22CA7"/>
    <w:rsid w:val="00A2308D"/>
    <w:rsid w:val="00A231A9"/>
    <w:rsid w:val="00A237E6"/>
    <w:rsid w:val="00A2388E"/>
    <w:rsid w:val="00A24DC3"/>
    <w:rsid w:val="00A2583E"/>
    <w:rsid w:val="00A25E52"/>
    <w:rsid w:val="00A27187"/>
    <w:rsid w:val="00A278C9"/>
    <w:rsid w:val="00A300BD"/>
    <w:rsid w:val="00A3015F"/>
    <w:rsid w:val="00A30481"/>
    <w:rsid w:val="00A314C8"/>
    <w:rsid w:val="00A31832"/>
    <w:rsid w:val="00A31D06"/>
    <w:rsid w:val="00A3278C"/>
    <w:rsid w:val="00A332BD"/>
    <w:rsid w:val="00A333FC"/>
    <w:rsid w:val="00A334BE"/>
    <w:rsid w:val="00A33F64"/>
    <w:rsid w:val="00A344B5"/>
    <w:rsid w:val="00A34B1D"/>
    <w:rsid w:val="00A356CD"/>
    <w:rsid w:val="00A35964"/>
    <w:rsid w:val="00A35B15"/>
    <w:rsid w:val="00A362EB"/>
    <w:rsid w:val="00A36D0D"/>
    <w:rsid w:val="00A36E8B"/>
    <w:rsid w:val="00A36ECD"/>
    <w:rsid w:val="00A3712A"/>
    <w:rsid w:val="00A3727B"/>
    <w:rsid w:val="00A376BB"/>
    <w:rsid w:val="00A3784F"/>
    <w:rsid w:val="00A37FBA"/>
    <w:rsid w:val="00A40029"/>
    <w:rsid w:val="00A41787"/>
    <w:rsid w:val="00A429AA"/>
    <w:rsid w:val="00A42C1A"/>
    <w:rsid w:val="00A43C79"/>
    <w:rsid w:val="00A43EA7"/>
    <w:rsid w:val="00A448AF"/>
    <w:rsid w:val="00A44BBB"/>
    <w:rsid w:val="00A44BE2"/>
    <w:rsid w:val="00A45900"/>
    <w:rsid w:val="00A45E8E"/>
    <w:rsid w:val="00A47328"/>
    <w:rsid w:val="00A47D26"/>
    <w:rsid w:val="00A501ED"/>
    <w:rsid w:val="00A504D1"/>
    <w:rsid w:val="00A510AF"/>
    <w:rsid w:val="00A518B2"/>
    <w:rsid w:val="00A528F6"/>
    <w:rsid w:val="00A5351E"/>
    <w:rsid w:val="00A53D97"/>
    <w:rsid w:val="00A5440E"/>
    <w:rsid w:val="00A54487"/>
    <w:rsid w:val="00A5569D"/>
    <w:rsid w:val="00A55BAC"/>
    <w:rsid w:val="00A55DFE"/>
    <w:rsid w:val="00A55E9F"/>
    <w:rsid w:val="00A566AB"/>
    <w:rsid w:val="00A57C72"/>
    <w:rsid w:val="00A61A42"/>
    <w:rsid w:val="00A62D1C"/>
    <w:rsid w:val="00A63954"/>
    <w:rsid w:val="00A646B4"/>
    <w:rsid w:val="00A64B03"/>
    <w:rsid w:val="00A64D9B"/>
    <w:rsid w:val="00A66050"/>
    <w:rsid w:val="00A6641B"/>
    <w:rsid w:val="00A665F2"/>
    <w:rsid w:val="00A66B5C"/>
    <w:rsid w:val="00A709E0"/>
    <w:rsid w:val="00A710CD"/>
    <w:rsid w:val="00A71E89"/>
    <w:rsid w:val="00A71EE4"/>
    <w:rsid w:val="00A72750"/>
    <w:rsid w:val="00A72E96"/>
    <w:rsid w:val="00A73FB8"/>
    <w:rsid w:val="00A74CFA"/>
    <w:rsid w:val="00A763FC"/>
    <w:rsid w:val="00A774DF"/>
    <w:rsid w:val="00A777C4"/>
    <w:rsid w:val="00A779D2"/>
    <w:rsid w:val="00A77D6B"/>
    <w:rsid w:val="00A80A11"/>
    <w:rsid w:val="00A80D8A"/>
    <w:rsid w:val="00A80DD5"/>
    <w:rsid w:val="00A812FD"/>
    <w:rsid w:val="00A81533"/>
    <w:rsid w:val="00A822D3"/>
    <w:rsid w:val="00A82A44"/>
    <w:rsid w:val="00A83330"/>
    <w:rsid w:val="00A83D10"/>
    <w:rsid w:val="00A83E01"/>
    <w:rsid w:val="00A84C2B"/>
    <w:rsid w:val="00A84F46"/>
    <w:rsid w:val="00A85110"/>
    <w:rsid w:val="00A85D5C"/>
    <w:rsid w:val="00A86276"/>
    <w:rsid w:val="00A873E5"/>
    <w:rsid w:val="00A874E9"/>
    <w:rsid w:val="00A91A75"/>
    <w:rsid w:val="00A91C35"/>
    <w:rsid w:val="00A935E9"/>
    <w:rsid w:val="00A93F49"/>
    <w:rsid w:val="00A94347"/>
    <w:rsid w:val="00A946FF"/>
    <w:rsid w:val="00A94CEE"/>
    <w:rsid w:val="00A95216"/>
    <w:rsid w:val="00A95A95"/>
    <w:rsid w:val="00A96534"/>
    <w:rsid w:val="00A972C2"/>
    <w:rsid w:val="00A97A50"/>
    <w:rsid w:val="00A97F8A"/>
    <w:rsid w:val="00AA066E"/>
    <w:rsid w:val="00AA0988"/>
    <w:rsid w:val="00AA1D17"/>
    <w:rsid w:val="00AA219C"/>
    <w:rsid w:val="00AA2B5B"/>
    <w:rsid w:val="00AA2DF7"/>
    <w:rsid w:val="00AA3AF7"/>
    <w:rsid w:val="00AA3B84"/>
    <w:rsid w:val="00AA4345"/>
    <w:rsid w:val="00AA4463"/>
    <w:rsid w:val="00AA4B0C"/>
    <w:rsid w:val="00AA4F47"/>
    <w:rsid w:val="00AA5225"/>
    <w:rsid w:val="00AA5C33"/>
    <w:rsid w:val="00AA6C81"/>
    <w:rsid w:val="00AB08CE"/>
    <w:rsid w:val="00AB10D6"/>
    <w:rsid w:val="00AB1512"/>
    <w:rsid w:val="00AB1685"/>
    <w:rsid w:val="00AB220B"/>
    <w:rsid w:val="00AB33CE"/>
    <w:rsid w:val="00AB350C"/>
    <w:rsid w:val="00AB402E"/>
    <w:rsid w:val="00AB43ED"/>
    <w:rsid w:val="00AB46A1"/>
    <w:rsid w:val="00AB4788"/>
    <w:rsid w:val="00AB4C33"/>
    <w:rsid w:val="00AB5EAB"/>
    <w:rsid w:val="00AB6E3C"/>
    <w:rsid w:val="00AB72E8"/>
    <w:rsid w:val="00AB7532"/>
    <w:rsid w:val="00AB7AF0"/>
    <w:rsid w:val="00AC155C"/>
    <w:rsid w:val="00AC1769"/>
    <w:rsid w:val="00AC2184"/>
    <w:rsid w:val="00AC28FC"/>
    <w:rsid w:val="00AC34EB"/>
    <w:rsid w:val="00AC374B"/>
    <w:rsid w:val="00AC474A"/>
    <w:rsid w:val="00AC4B8C"/>
    <w:rsid w:val="00AC4D1E"/>
    <w:rsid w:val="00AC7A16"/>
    <w:rsid w:val="00AD04CA"/>
    <w:rsid w:val="00AD0809"/>
    <w:rsid w:val="00AD0D93"/>
    <w:rsid w:val="00AD0E29"/>
    <w:rsid w:val="00AD0F04"/>
    <w:rsid w:val="00AD0F67"/>
    <w:rsid w:val="00AD14C4"/>
    <w:rsid w:val="00AD1846"/>
    <w:rsid w:val="00AD2286"/>
    <w:rsid w:val="00AD254B"/>
    <w:rsid w:val="00AD28C7"/>
    <w:rsid w:val="00AD2AAC"/>
    <w:rsid w:val="00AD2CDC"/>
    <w:rsid w:val="00AD2F32"/>
    <w:rsid w:val="00AD307E"/>
    <w:rsid w:val="00AD32E9"/>
    <w:rsid w:val="00AD347D"/>
    <w:rsid w:val="00AD3848"/>
    <w:rsid w:val="00AD3DF1"/>
    <w:rsid w:val="00AD3F4B"/>
    <w:rsid w:val="00AD4499"/>
    <w:rsid w:val="00AD503D"/>
    <w:rsid w:val="00AD5349"/>
    <w:rsid w:val="00AD6010"/>
    <w:rsid w:val="00AD6952"/>
    <w:rsid w:val="00AD6996"/>
    <w:rsid w:val="00AD6A5A"/>
    <w:rsid w:val="00AD6D73"/>
    <w:rsid w:val="00AD6E4C"/>
    <w:rsid w:val="00AD6E7F"/>
    <w:rsid w:val="00AD7783"/>
    <w:rsid w:val="00AD794F"/>
    <w:rsid w:val="00AD7CFC"/>
    <w:rsid w:val="00AE0040"/>
    <w:rsid w:val="00AE10DC"/>
    <w:rsid w:val="00AE1439"/>
    <w:rsid w:val="00AE1F00"/>
    <w:rsid w:val="00AE2370"/>
    <w:rsid w:val="00AE2B64"/>
    <w:rsid w:val="00AE3891"/>
    <w:rsid w:val="00AE3BEB"/>
    <w:rsid w:val="00AE439B"/>
    <w:rsid w:val="00AE43AD"/>
    <w:rsid w:val="00AE4649"/>
    <w:rsid w:val="00AE49E1"/>
    <w:rsid w:val="00AE56A6"/>
    <w:rsid w:val="00AE574E"/>
    <w:rsid w:val="00AE607D"/>
    <w:rsid w:val="00AE6927"/>
    <w:rsid w:val="00AE6AF5"/>
    <w:rsid w:val="00AE6C85"/>
    <w:rsid w:val="00AE76A2"/>
    <w:rsid w:val="00AE7954"/>
    <w:rsid w:val="00AE7B19"/>
    <w:rsid w:val="00AF0198"/>
    <w:rsid w:val="00AF0253"/>
    <w:rsid w:val="00AF11B8"/>
    <w:rsid w:val="00AF1BF4"/>
    <w:rsid w:val="00AF1CE7"/>
    <w:rsid w:val="00AF2360"/>
    <w:rsid w:val="00AF44CC"/>
    <w:rsid w:val="00AF47BB"/>
    <w:rsid w:val="00AF512F"/>
    <w:rsid w:val="00AF5788"/>
    <w:rsid w:val="00AF5F2F"/>
    <w:rsid w:val="00AF62B8"/>
    <w:rsid w:val="00AF69BF"/>
    <w:rsid w:val="00AF6BD6"/>
    <w:rsid w:val="00AF7C4E"/>
    <w:rsid w:val="00AF7D80"/>
    <w:rsid w:val="00AF7ECC"/>
    <w:rsid w:val="00B01602"/>
    <w:rsid w:val="00B016BF"/>
    <w:rsid w:val="00B01736"/>
    <w:rsid w:val="00B01965"/>
    <w:rsid w:val="00B02506"/>
    <w:rsid w:val="00B026C7"/>
    <w:rsid w:val="00B02889"/>
    <w:rsid w:val="00B02F07"/>
    <w:rsid w:val="00B038D4"/>
    <w:rsid w:val="00B03AF3"/>
    <w:rsid w:val="00B0502F"/>
    <w:rsid w:val="00B05ADC"/>
    <w:rsid w:val="00B064D7"/>
    <w:rsid w:val="00B0754A"/>
    <w:rsid w:val="00B113D5"/>
    <w:rsid w:val="00B11478"/>
    <w:rsid w:val="00B11FA5"/>
    <w:rsid w:val="00B13BB4"/>
    <w:rsid w:val="00B148C1"/>
    <w:rsid w:val="00B14EED"/>
    <w:rsid w:val="00B155A3"/>
    <w:rsid w:val="00B15C2A"/>
    <w:rsid w:val="00B15D50"/>
    <w:rsid w:val="00B16866"/>
    <w:rsid w:val="00B169CD"/>
    <w:rsid w:val="00B16C20"/>
    <w:rsid w:val="00B16CBF"/>
    <w:rsid w:val="00B17A43"/>
    <w:rsid w:val="00B20D1D"/>
    <w:rsid w:val="00B20D27"/>
    <w:rsid w:val="00B20DAD"/>
    <w:rsid w:val="00B21469"/>
    <w:rsid w:val="00B219FC"/>
    <w:rsid w:val="00B226C5"/>
    <w:rsid w:val="00B2272E"/>
    <w:rsid w:val="00B22810"/>
    <w:rsid w:val="00B228AA"/>
    <w:rsid w:val="00B23497"/>
    <w:rsid w:val="00B23AF2"/>
    <w:rsid w:val="00B249DB"/>
    <w:rsid w:val="00B251DD"/>
    <w:rsid w:val="00B25AD9"/>
    <w:rsid w:val="00B25FC8"/>
    <w:rsid w:val="00B26230"/>
    <w:rsid w:val="00B263FF"/>
    <w:rsid w:val="00B264F2"/>
    <w:rsid w:val="00B26B77"/>
    <w:rsid w:val="00B26FD3"/>
    <w:rsid w:val="00B27118"/>
    <w:rsid w:val="00B27AB8"/>
    <w:rsid w:val="00B27BC1"/>
    <w:rsid w:val="00B302D1"/>
    <w:rsid w:val="00B3176E"/>
    <w:rsid w:val="00B31E02"/>
    <w:rsid w:val="00B3296F"/>
    <w:rsid w:val="00B32CCA"/>
    <w:rsid w:val="00B33431"/>
    <w:rsid w:val="00B335B1"/>
    <w:rsid w:val="00B3382D"/>
    <w:rsid w:val="00B33B5E"/>
    <w:rsid w:val="00B34095"/>
    <w:rsid w:val="00B344EC"/>
    <w:rsid w:val="00B34E6A"/>
    <w:rsid w:val="00B352E4"/>
    <w:rsid w:val="00B357EE"/>
    <w:rsid w:val="00B35DF5"/>
    <w:rsid w:val="00B35FB1"/>
    <w:rsid w:val="00B36126"/>
    <w:rsid w:val="00B36941"/>
    <w:rsid w:val="00B36E97"/>
    <w:rsid w:val="00B3751B"/>
    <w:rsid w:val="00B37AC1"/>
    <w:rsid w:val="00B40D9E"/>
    <w:rsid w:val="00B410F9"/>
    <w:rsid w:val="00B41A82"/>
    <w:rsid w:val="00B42696"/>
    <w:rsid w:val="00B42B7D"/>
    <w:rsid w:val="00B42FEB"/>
    <w:rsid w:val="00B4310A"/>
    <w:rsid w:val="00B43250"/>
    <w:rsid w:val="00B43571"/>
    <w:rsid w:val="00B4389D"/>
    <w:rsid w:val="00B4456B"/>
    <w:rsid w:val="00B44630"/>
    <w:rsid w:val="00B44C29"/>
    <w:rsid w:val="00B44D0D"/>
    <w:rsid w:val="00B44FD4"/>
    <w:rsid w:val="00B45448"/>
    <w:rsid w:val="00B46025"/>
    <w:rsid w:val="00B46B69"/>
    <w:rsid w:val="00B46C4C"/>
    <w:rsid w:val="00B46C6B"/>
    <w:rsid w:val="00B4787A"/>
    <w:rsid w:val="00B479B5"/>
    <w:rsid w:val="00B50121"/>
    <w:rsid w:val="00B502D8"/>
    <w:rsid w:val="00B50D51"/>
    <w:rsid w:val="00B511B4"/>
    <w:rsid w:val="00B5125E"/>
    <w:rsid w:val="00B5430C"/>
    <w:rsid w:val="00B55740"/>
    <w:rsid w:val="00B56335"/>
    <w:rsid w:val="00B56718"/>
    <w:rsid w:val="00B57BA0"/>
    <w:rsid w:val="00B60192"/>
    <w:rsid w:val="00B602B1"/>
    <w:rsid w:val="00B613CC"/>
    <w:rsid w:val="00B61952"/>
    <w:rsid w:val="00B6210A"/>
    <w:rsid w:val="00B622E9"/>
    <w:rsid w:val="00B624D4"/>
    <w:rsid w:val="00B6280E"/>
    <w:rsid w:val="00B62BF9"/>
    <w:rsid w:val="00B63DA1"/>
    <w:rsid w:val="00B64486"/>
    <w:rsid w:val="00B66A2C"/>
    <w:rsid w:val="00B66B53"/>
    <w:rsid w:val="00B678ED"/>
    <w:rsid w:val="00B72391"/>
    <w:rsid w:val="00B724E9"/>
    <w:rsid w:val="00B763C0"/>
    <w:rsid w:val="00B7710F"/>
    <w:rsid w:val="00B7715D"/>
    <w:rsid w:val="00B7765F"/>
    <w:rsid w:val="00B77F76"/>
    <w:rsid w:val="00B801CD"/>
    <w:rsid w:val="00B80C7D"/>
    <w:rsid w:val="00B81141"/>
    <w:rsid w:val="00B8131A"/>
    <w:rsid w:val="00B82404"/>
    <w:rsid w:val="00B82421"/>
    <w:rsid w:val="00B82579"/>
    <w:rsid w:val="00B82DBA"/>
    <w:rsid w:val="00B82FC9"/>
    <w:rsid w:val="00B834FE"/>
    <w:rsid w:val="00B83A1B"/>
    <w:rsid w:val="00B83EB5"/>
    <w:rsid w:val="00B83F1D"/>
    <w:rsid w:val="00B84667"/>
    <w:rsid w:val="00B84760"/>
    <w:rsid w:val="00B84D8C"/>
    <w:rsid w:val="00B85F18"/>
    <w:rsid w:val="00B867A6"/>
    <w:rsid w:val="00B86E8A"/>
    <w:rsid w:val="00B86F5C"/>
    <w:rsid w:val="00B90841"/>
    <w:rsid w:val="00B9208B"/>
    <w:rsid w:val="00B92EF8"/>
    <w:rsid w:val="00B92F7B"/>
    <w:rsid w:val="00B933A5"/>
    <w:rsid w:val="00B93B69"/>
    <w:rsid w:val="00B93C9F"/>
    <w:rsid w:val="00B9455F"/>
    <w:rsid w:val="00B94B63"/>
    <w:rsid w:val="00B951D8"/>
    <w:rsid w:val="00B959C1"/>
    <w:rsid w:val="00B96544"/>
    <w:rsid w:val="00B9658F"/>
    <w:rsid w:val="00B9681D"/>
    <w:rsid w:val="00B96E6B"/>
    <w:rsid w:val="00B96F3C"/>
    <w:rsid w:val="00B9713F"/>
    <w:rsid w:val="00B971DD"/>
    <w:rsid w:val="00B97D66"/>
    <w:rsid w:val="00BA0ACA"/>
    <w:rsid w:val="00BA1429"/>
    <w:rsid w:val="00BA1B28"/>
    <w:rsid w:val="00BA1C19"/>
    <w:rsid w:val="00BA2A26"/>
    <w:rsid w:val="00BA2E00"/>
    <w:rsid w:val="00BA2FDF"/>
    <w:rsid w:val="00BA35B7"/>
    <w:rsid w:val="00BA3BDA"/>
    <w:rsid w:val="00BA3ECD"/>
    <w:rsid w:val="00BA4879"/>
    <w:rsid w:val="00BA4A2D"/>
    <w:rsid w:val="00BA4D7A"/>
    <w:rsid w:val="00BA54A2"/>
    <w:rsid w:val="00BA5824"/>
    <w:rsid w:val="00BA5BE3"/>
    <w:rsid w:val="00BA5E99"/>
    <w:rsid w:val="00BA5EB1"/>
    <w:rsid w:val="00BA5F16"/>
    <w:rsid w:val="00BA6151"/>
    <w:rsid w:val="00BA6C3E"/>
    <w:rsid w:val="00BA70DB"/>
    <w:rsid w:val="00BA70E7"/>
    <w:rsid w:val="00BA75C2"/>
    <w:rsid w:val="00BB010E"/>
    <w:rsid w:val="00BB0332"/>
    <w:rsid w:val="00BB0419"/>
    <w:rsid w:val="00BB0AB2"/>
    <w:rsid w:val="00BB1C42"/>
    <w:rsid w:val="00BB2828"/>
    <w:rsid w:val="00BB2A85"/>
    <w:rsid w:val="00BB2B35"/>
    <w:rsid w:val="00BB39FF"/>
    <w:rsid w:val="00BB3A5C"/>
    <w:rsid w:val="00BB48D2"/>
    <w:rsid w:val="00BB4BBA"/>
    <w:rsid w:val="00BB5C3D"/>
    <w:rsid w:val="00BB5D93"/>
    <w:rsid w:val="00BB6DFE"/>
    <w:rsid w:val="00BB6E4A"/>
    <w:rsid w:val="00BB70EA"/>
    <w:rsid w:val="00BB7276"/>
    <w:rsid w:val="00BB7398"/>
    <w:rsid w:val="00BC0453"/>
    <w:rsid w:val="00BC05E2"/>
    <w:rsid w:val="00BC09FA"/>
    <w:rsid w:val="00BC0BCD"/>
    <w:rsid w:val="00BC0E8D"/>
    <w:rsid w:val="00BC1603"/>
    <w:rsid w:val="00BC234C"/>
    <w:rsid w:val="00BC2E23"/>
    <w:rsid w:val="00BC34C2"/>
    <w:rsid w:val="00BC3DAE"/>
    <w:rsid w:val="00BC3F59"/>
    <w:rsid w:val="00BC42CF"/>
    <w:rsid w:val="00BC4CB0"/>
    <w:rsid w:val="00BC6137"/>
    <w:rsid w:val="00BC76C6"/>
    <w:rsid w:val="00BC7CE7"/>
    <w:rsid w:val="00BC7FDD"/>
    <w:rsid w:val="00BD01EE"/>
    <w:rsid w:val="00BD0270"/>
    <w:rsid w:val="00BD05DF"/>
    <w:rsid w:val="00BD0B6A"/>
    <w:rsid w:val="00BD1227"/>
    <w:rsid w:val="00BD1E29"/>
    <w:rsid w:val="00BD2AEB"/>
    <w:rsid w:val="00BD37D7"/>
    <w:rsid w:val="00BD4196"/>
    <w:rsid w:val="00BD47B6"/>
    <w:rsid w:val="00BD607A"/>
    <w:rsid w:val="00BD752D"/>
    <w:rsid w:val="00BE03E9"/>
    <w:rsid w:val="00BE0497"/>
    <w:rsid w:val="00BE098E"/>
    <w:rsid w:val="00BE169A"/>
    <w:rsid w:val="00BE1E32"/>
    <w:rsid w:val="00BE2E41"/>
    <w:rsid w:val="00BE305B"/>
    <w:rsid w:val="00BE37C8"/>
    <w:rsid w:val="00BE3D47"/>
    <w:rsid w:val="00BE4048"/>
    <w:rsid w:val="00BE424A"/>
    <w:rsid w:val="00BE440C"/>
    <w:rsid w:val="00BE519A"/>
    <w:rsid w:val="00BE5294"/>
    <w:rsid w:val="00BE5E0F"/>
    <w:rsid w:val="00BE6618"/>
    <w:rsid w:val="00BE6710"/>
    <w:rsid w:val="00BE6939"/>
    <w:rsid w:val="00BE7A7D"/>
    <w:rsid w:val="00BE7EFB"/>
    <w:rsid w:val="00BF0101"/>
    <w:rsid w:val="00BF015B"/>
    <w:rsid w:val="00BF0476"/>
    <w:rsid w:val="00BF0630"/>
    <w:rsid w:val="00BF0A88"/>
    <w:rsid w:val="00BF2416"/>
    <w:rsid w:val="00BF4375"/>
    <w:rsid w:val="00BF45BB"/>
    <w:rsid w:val="00BF4B4C"/>
    <w:rsid w:val="00BF4C3F"/>
    <w:rsid w:val="00BF5271"/>
    <w:rsid w:val="00BF64D8"/>
    <w:rsid w:val="00BF65E7"/>
    <w:rsid w:val="00BF691B"/>
    <w:rsid w:val="00BF696B"/>
    <w:rsid w:val="00BF6DFE"/>
    <w:rsid w:val="00BF6F92"/>
    <w:rsid w:val="00BF7CB1"/>
    <w:rsid w:val="00BF7F75"/>
    <w:rsid w:val="00BF7F80"/>
    <w:rsid w:val="00C009B5"/>
    <w:rsid w:val="00C01030"/>
    <w:rsid w:val="00C0113B"/>
    <w:rsid w:val="00C0196B"/>
    <w:rsid w:val="00C01A13"/>
    <w:rsid w:val="00C03080"/>
    <w:rsid w:val="00C03474"/>
    <w:rsid w:val="00C036F3"/>
    <w:rsid w:val="00C038D7"/>
    <w:rsid w:val="00C03D64"/>
    <w:rsid w:val="00C04485"/>
    <w:rsid w:val="00C04C7F"/>
    <w:rsid w:val="00C04FE4"/>
    <w:rsid w:val="00C05634"/>
    <w:rsid w:val="00C05C70"/>
    <w:rsid w:val="00C05DC8"/>
    <w:rsid w:val="00C05E4D"/>
    <w:rsid w:val="00C06166"/>
    <w:rsid w:val="00C0746B"/>
    <w:rsid w:val="00C07DEA"/>
    <w:rsid w:val="00C106D8"/>
    <w:rsid w:val="00C10764"/>
    <w:rsid w:val="00C11072"/>
    <w:rsid w:val="00C121B2"/>
    <w:rsid w:val="00C12887"/>
    <w:rsid w:val="00C131D8"/>
    <w:rsid w:val="00C13578"/>
    <w:rsid w:val="00C14607"/>
    <w:rsid w:val="00C1469D"/>
    <w:rsid w:val="00C147E4"/>
    <w:rsid w:val="00C179C0"/>
    <w:rsid w:val="00C17E6C"/>
    <w:rsid w:val="00C2109D"/>
    <w:rsid w:val="00C219CC"/>
    <w:rsid w:val="00C21EF5"/>
    <w:rsid w:val="00C22315"/>
    <w:rsid w:val="00C237CF"/>
    <w:rsid w:val="00C23983"/>
    <w:rsid w:val="00C23D0C"/>
    <w:rsid w:val="00C240E3"/>
    <w:rsid w:val="00C2427F"/>
    <w:rsid w:val="00C2570A"/>
    <w:rsid w:val="00C259BC"/>
    <w:rsid w:val="00C25E11"/>
    <w:rsid w:val="00C260AB"/>
    <w:rsid w:val="00C262FD"/>
    <w:rsid w:val="00C265E6"/>
    <w:rsid w:val="00C27D9D"/>
    <w:rsid w:val="00C30324"/>
    <w:rsid w:val="00C30910"/>
    <w:rsid w:val="00C31BA6"/>
    <w:rsid w:val="00C31BD1"/>
    <w:rsid w:val="00C328FB"/>
    <w:rsid w:val="00C32A5E"/>
    <w:rsid w:val="00C32A8E"/>
    <w:rsid w:val="00C32E2E"/>
    <w:rsid w:val="00C3390A"/>
    <w:rsid w:val="00C343F6"/>
    <w:rsid w:val="00C3468D"/>
    <w:rsid w:val="00C34D65"/>
    <w:rsid w:val="00C34EA5"/>
    <w:rsid w:val="00C354CD"/>
    <w:rsid w:val="00C369EA"/>
    <w:rsid w:val="00C37E11"/>
    <w:rsid w:val="00C409E1"/>
    <w:rsid w:val="00C40B5D"/>
    <w:rsid w:val="00C40E90"/>
    <w:rsid w:val="00C40F32"/>
    <w:rsid w:val="00C412A9"/>
    <w:rsid w:val="00C4153E"/>
    <w:rsid w:val="00C41AF1"/>
    <w:rsid w:val="00C41B5E"/>
    <w:rsid w:val="00C43209"/>
    <w:rsid w:val="00C43602"/>
    <w:rsid w:val="00C43685"/>
    <w:rsid w:val="00C43921"/>
    <w:rsid w:val="00C44009"/>
    <w:rsid w:val="00C442FC"/>
    <w:rsid w:val="00C44D70"/>
    <w:rsid w:val="00C4517B"/>
    <w:rsid w:val="00C45489"/>
    <w:rsid w:val="00C45534"/>
    <w:rsid w:val="00C45E07"/>
    <w:rsid w:val="00C479C4"/>
    <w:rsid w:val="00C502C3"/>
    <w:rsid w:val="00C505D1"/>
    <w:rsid w:val="00C50EE0"/>
    <w:rsid w:val="00C528A4"/>
    <w:rsid w:val="00C52C5D"/>
    <w:rsid w:val="00C54061"/>
    <w:rsid w:val="00C545F8"/>
    <w:rsid w:val="00C54C63"/>
    <w:rsid w:val="00C54E76"/>
    <w:rsid w:val="00C54F7C"/>
    <w:rsid w:val="00C55027"/>
    <w:rsid w:val="00C55524"/>
    <w:rsid w:val="00C55968"/>
    <w:rsid w:val="00C560A1"/>
    <w:rsid w:val="00C56861"/>
    <w:rsid w:val="00C57924"/>
    <w:rsid w:val="00C606F2"/>
    <w:rsid w:val="00C60C5E"/>
    <w:rsid w:val="00C61E8C"/>
    <w:rsid w:val="00C61FE7"/>
    <w:rsid w:val="00C625F3"/>
    <w:rsid w:val="00C62930"/>
    <w:rsid w:val="00C649DB"/>
    <w:rsid w:val="00C64AB7"/>
    <w:rsid w:val="00C65772"/>
    <w:rsid w:val="00C65A6B"/>
    <w:rsid w:val="00C66B96"/>
    <w:rsid w:val="00C66E8B"/>
    <w:rsid w:val="00C67080"/>
    <w:rsid w:val="00C675C9"/>
    <w:rsid w:val="00C67AF7"/>
    <w:rsid w:val="00C67E15"/>
    <w:rsid w:val="00C70D7A"/>
    <w:rsid w:val="00C70EC8"/>
    <w:rsid w:val="00C7130A"/>
    <w:rsid w:val="00C713B2"/>
    <w:rsid w:val="00C727BE"/>
    <w:rsid w:val="00C72B79"/>
    <w:rsid w:val="00C73882"/>
    <w:rsid w:val="00C738D4"/>
    <w:rsid w:val="00C748C3"/>
    <w:rsid w:val="00C74B97"/>
    <w:rsid w:val="00C765D2"/>
    <w:rsid w:val="00C76DD8"/>
    <w:rsid w:val="00C76F3D"/>
    <w:rsid w:val="00C77CBC"/>
    <w:rsid w:val="00C77D3E"/>
    <w:rsid w:val="00C81463"/>
    <w:rsid w:val="00C81BEA"/>
    <w:rsid w:val="00C824E8"/>
    <w:rsid w:val="00C82A8C"/>
    <w:rsid w:val="00C84690"/>
    <w:rsid w:val="00C849AC"/>
    <w:rsid w:val="00C84A20"/>
    <w:rsid w:val="00C852A3"/>
    <w:rsid w:val="00C85752"/>
    <w:rsid w:val="00C85768"/>
    <w:rsid w:val="00C8602F"/>
    <w:rsid w:val="00C8732A"/>
    <w:rsid w:val="00C87406"/>
    <w:rsid w:val="00C87D46"/>
    <w:rsid w:val="00C87F1C"/>
    <w:rsid w:val="00C900CC"/>
    <w:rsid w:val="00C90E12"/>
    <w:rsid w:val="00C9167E"/>
    <w:rsid w:val="00C91B4C"/>
    <w:rsid w:val="00C927A5"/>
    <w:rsid w:val="00C927AF"/>
    <w:rsid w:val="00C93484"/>
    <w:rsid w:val="00C935BC"/>
    <w:rsid w:val="00C9382E"/>
    <w:rsid w:val="00C946CA"/>
    <w:rsid w:val="00C94D08"/>
    <w:rsid w:val="00C95DD1"/>
    <w:rsid w:val="00C96848"/>
    <w:rsid w:val="00C96FD5"/>
    <w:rsid w:val="00C97401"/>
    <w:rsid w:val="00C97C2E"/>
    <w:rsid w:val="00CA0A02"/>
    <w:rsid w:val="00CA0C71"/>
    <w:rsid w:val="00CA152E"/>
    <w:rsid w:val="00CA16C2"/>
    <w:rsid w:val="00CA2BBD"/>
    <w:rsid w:val="00CA2F4F"/>
    <w:rsid w:val="00CA3470"/>
    <w:rsid w:val="00CA357F"/>
    <w:rsid w:val="00CA3922"/>
    <w:rsid w:val="00CA4C8A"/>
    <w:rsid w:val="00CA4E11"/>
    <w:rsid w:val="00CA5B92"/>
    <w:rsid w:val="00CA5C8A"/>
    <w:rsid w:val="00CA5F01"/>
    <w:rsid w:val="00CA61BE"/>
    <w:rsid w:val="00CA6433"/>
    <w:rsid w:val="00CB040E"/>
    <w:rsid w:val="00CB0DC3"/>
    <w:rsid w:val="00CB0E68"/>
    <w:rsid w:val="00CB1789"/>
    <w:rsid w:val="00CB24AF"/>
    <w:rsid w:val="00CB2588"/>
    <w:rsid w:val="00CB25ED"/>
    <w:rsid w:val="00CB2BA7"/>
    <w:rsid w:val="00CB360C"/>
    <w:rsid w:val="00CB3F3F"/>
    <w:rsid w:val="00CB40F1"/>
    <w:rsid w:val="00CB47AF"/>
    <w:rsid w:val="00CB5279"/>
    <w:rsid w:val="00CB5316"/>
    <w:rsid w:val="00CB5390"/>
    <w:rsid w:val="00CB541D"/>
    <w:rsid w:val="00CB63FE"/>
    <w:rsid w:val="00CB6473"/>
    <w:rsid w:val="00CB7287"/>
    <w:rsid w:val="00CB7BAD"/>
    <w:rsid w:val="00CC18E7"/>
    <w:rsid w:val="00CC210F"/>
    <w:rsid w:val="00CC27FE"/>
    <w:rsid w:val="00CC2882"/>
    <w:rsid w:val="00CC2DFB"/>
    <w:rsid w:val="00CC2F5E"/>
    <w:rsid w:val="00CC3CBC"/>
    <w:rsid w:val="00CC3D60"/>
    <w:rsid w:val="00CC41B0"/>
    <w:rsid w:val="00CC50BC"/>
    <w:rsid w:val="00CC5A74"/>
    <w:rsid w:val="00CC5CE9"/>
    <w:rsid w:val="00CC651E"/>
    <w:rsid w:val="00CC668B"/>
    <w:rsid w:val="00CC681C"/>
    <w:rsid w:val="00CC70E3"/>
    <w:rsid w:val="00CC787D"/>
    <w:rsid w:val="00CC799C"/>
    <w:rsid w:val="00CC7F76"/>
    <w:rsid w:val="00CD0447"/>
    <w:rsid w:val="00CD056F"/>
    <w:rsid w:val="00CD096A"/>
    <w:rsid w:val="00CD1127"/>
    <w:rsid w:val="00CD1B1D"/>
    <w:rsid w:val="00CD1CD3"/>
    <w:rsid w:val="00CD27CA"/>
    <w:rsid w:val="00CD40E9"/>
    <w:rsid w:val="00CD47A4"/>
    <w:rsid w:val="00CD4ED1"/>
    <w:rsid w:val="00CD4FDA"/>
    <w:rsid w:val="00CD513E"/>
    <w:rsid w:val="00CD5227"/>
    <w:rsid w:val="00CD5410"/>
    <w:rsid w:val="00CD5BA5"/>
    <w:rsid w:val="00CD695B"/>
    <w:rsid w:val="00CD6C7B"/>
    <w:rsid w:val="00CD6EBB"/>
    <w:rsid w:val="00CD7E3E"/>
    <w:rsid w:val="00CE006F"/>
    <w:rsid w:val="00CE07A1"/>
    <w:rsid w:val="00CE0821"/>
    <w:rsid w:val="00CE0F1A"/>
    <w:rsid w:val="00CE161F"/>
    <w:rsid w:val="00CE2C57"/>
    <w:rsid w:val="00CE3715"/>
    <w:rsid w:val="00CE37F8"/>
    <w:rsid w:val="00CE3CB1"/>
    <w:rsid w:val="00CE4165"/>
    <w:rsid w:val="00CE4218"/>
    <w:rsid w:val="00CE4461"/>
    <w:rsid w:val="00CE4A4A"/>
    <w:rsid w:val="00CE50E6"/>
    <w:rsid w:val="00CE6B7D"/>
    <w:rsid w:val="00CE6C4A"/>
    <w:rsid w:val="00CE6E99"/>
    <w:rsid w:val="00CF08A0"/>
    <w:rsid w:val="00CF0933"/>
    <w:rsid w:val="00CF1359"/>
    <w:rsid w:val="00CF1529"/>
    <w:rsid w:val="00CF2015"/>
    <w:rsid w:val="00CF2974"/>
    <w:rsid w:val="00CF2B56"/>
    <w:rsid w:val="00CF3141"/>
    <w:rsid w:val="00CF3780"/>
    <w:rsid w:val="00CF39E0"/>
    <w:rsid w:val="00CF4AA7"/>
    <w:rsid w:val="00CF58C7"/>
    <w:rsid w:val="00CF62AA"/>
    <w:rsid w:val="00CF7B7F"/>
    <w:rsid w:val="00D00AA7"/>
    <w:rsid w:val="00D0107E"/>
    <w:rsid w:val="00D025B4"/>
    <w:rsid w:val="00D0267A"/>
    <w:rsid w:val="00D03C08"/>
    <w:rsid w:val="00D03D73"/>
    <w:rsid w:val="00D03E9B"/>
    <w:rsid w:val="00D03F73"/>
    <w:rsid w:val="00D041BB"/>
    <w:rsid w:val="00D04DFA"/>
    <w:rsid w:val="00D0652F"/>
    <w:rsid w:val="00D068AF"/>
    <w:rsid w:val="00D072B9"/>
    <w:rsid w:val="00D0730C"/>
    <w:rsid w:val="00D07FFB"/>
    <w:rsid w:val="00D10E0A"/>
    <w:rsid w:val="00D10E98"/>
    <w:rsid w:val="00D1158D"/>
    <w:rsid w:val="00D11859"/>
    <w:rsid w:val="00D11AAB"/>
    <w:rsid w:val="00D1275F"/>
    <w:rsid w:val="00D1345B"/>
    <w:rsid w:val="00D1378C"/>
    <w:rsid w:val="00D142BA"/>
    <w:rsid w:val="00D14ECD"/>
    <w:rsid w:val="00D15323"/>
    <w:rsid w:val="00D160BC"/>
    <w:rsid w:val="00D1664C"/>
    <w:rsid w:val="00D16F63"/>
    <w:rsid w:val="00D17632"/>
    <w:rsid w:val="00D176B8"/>
    <w:rsid w:val="00D17864"/>
    <w:rsid w:val="00D202CF"/>
    <w:rsid w:val="00D203A5"/>
    <w:rsid w:val="00D212C2"/>
    <w:rsid w:val="00D217D3"/>
    <w:rsid w:val="00D21B44"/>
    <w:rsid w:val="00D21D6E"/>
    <w:rsid w:val="00D23C1B"/>
    <w:rsid w:val="00D23CA0"/>
    <w:rsid w:val="00D24551"/>
    <w:rsid w:val="00D24948"/>
    <w:rsid w:val="00D26316"/>
    <w:rsid w:val="00D265E2"/>
    <w:rsid w:val="00D26864"/>
    <w:rsid w:val="00D27251"/>
    <w:rsid w:val="00D27444"/>
    <w:rsid w:val="00D27488"/>
    <w:rsid w:val="00D27CFA"/>
    <w:rsid w:val="00D27E7F"/>
    <w:rsid w:val="00D27E8F"/>
    <w:rsid w:val="00D30136"/>
    <w:rsid w:val="00D30C00"/>
    <w:rsid w:val="00D319A8"/>
    <w:rsid w:val="00D31CEC"/>
    <w:rsid w:val="00D31D29"/>
    <w:rsid w:val="00D31D7F"/>
    <w:rsid w:val="00D328DF"/>
    <w:rsid w:val="00D334B2"/>
    <w:rsid w:val="00D34340"/>
    <w:rsid w:val="00D35216"/>
    <w:rsid w:val="00D358D3"/>
    <w:rsid w:val="00D36099"/>
    <w:rsid w:val="00D3635F"/>
    <w:rsid w:val="00D3646D"/>
    <w:rsid w:val="00D36598"/>
    <w:rsid w:val="00D36CE5"/>
    <w:rsid w:val="00D36D6F"/>
    <w:rsid w:val="00D41078"/>
    <w:rsid w:val="00D423E1"/>
    <w:rsid w:val="00D4398F"/>
    <w:rsid w:val="00D43DDD"/>
    <w:rsid w:val="00D4427D"/>
    <w:rsid w:val="00D4445C"/>
    <w:rsid w:val="00D44728"/>
    <w:rsid w:val="00D44AEC"/>
    <w:rsid w:val="00D44D64"/>
    <w:rsid w:val="00D44FC4"/>
    <w:rsid w:val="00D451F1"/>
    <w:rsid w:val="00D457A2"/>
    <w:rsid w:val="00D46838"/>
    <w:rsid w:val="00D46DAE"/>
    <w:rsid w:val="00D46F4F"/>
    <w:rsid w:val="00D4709E"/>
    <w:rsid w:val="00D47726"/>
    <w:rsid w:val="00D503E5"/>
    <w:rsid w:val="00D5072F"/>
    <w:rsid w:val="00D51487"/>
    <w:rsid w:val="00D51601"/>
    <w:rsid w:val="00D528DA"/>
    <w:rsid w:val="00D530C4"/>
    <w:rsid w:val="00D53906"/>
    <w:rsid w:val="00D53F4A"/>
    <w:rsid w:val="00D54018"/>
    <w:rsid w:val="00D56C44"/>
    <w:rsid w:val="00D576AA"/>
    <w:rsid w:val="00D57FF9"/>
    <w:rsid w:val="00D60318"/>
    <w:rsid w:val="00D605C1"/>
    <w:rsid w:val="00D625F4"/>
    <w:rsid w:val="00D62DC1"/>
    <w:rsid w:val="00D631A9"/>
    <w:rsid w:val="00D63737"/>
    <w:rsid w:val="00D637C7"/>
    <w:rsid w:val="00D638CE"/>
    <w:rsid w:val="00D640F4"/>
    <w:rsid w:val="00D648E9"/>
    <w:rsid w:val="00D65017"/>
    <w:rsid w:val="00D652AB"/>
    <w:rsid w:val="00D65738"/>
    <w:rsid w:val="00D65811"/>
    <w:rsid w:val="00D65ABF"/>
    <w:rsid w:val="00D65F7A"/>
    <w:rsid w:val="00D65F97"/>
    <w:rsid w:val="00D66025"/>
    <w:rsid w:val="00D6606B"/>
    <w:rsid w:val="00D6645C"/>
    <w:rsid w:val="00D6654B"/>
    <w:rsid w:val="00D6697D"/>
    <w:rsid w:val="00D66BF4"/>
    <w:rsid w:val="00D671A6"/>
    <w:rsid w:val="00D672FA"/>
    <w:rsid w:val="00D707CE"/>
    <w:rsid w:val="00D7130D"/>
    <w:rsid w:val="00D72A57"/>
    <w:rsid w:val="00D7367A"/>
    <w:rsid w:val="00D73756"/>
    <w:rsid w:val="00D73FAF"/>
    <w:rsid w:val="00D74722"/>
    <w:rsid w:val="00D74E6F"/>
    <w:rsid w:val="00D756FF"/>
    <w:rsid w:val="00D75F11"/>
    <w:rsid w:val="00D76B71"/>
    <w:rsid w:val="00D76E0C"/>
    <w:rsid w:val="00D7709D"/>
    <w:rsid w:val="00D77225"/>
    <w:rsid w:val="00D774B4"/>
    <w:rsid w:val="00D800D0"/>
    <w:rsid w:val="00D80275"/>
    <w:rsid w:val="00D81779"/>
    <w:rsid w:val="00D81D92"/>
    <w:rsid w:val="00D8201A"/>
    <w:rsid w:val="00D83EB9"/>
    <w:rsid w:val="00D84C36"/>
    <w:rsid w:val="00D863A5"/>
    <w:rsid w:val="00D86736"/>
    <w:rsid w:val="00D86868"/>
    <w:rsid w:val="00D8719A"/>
    <w:rsid w:val="00D87690"/>
    <w:rsid w:val="00D877FA"/>
    <w:rsid w:val="00D87D27"/>
    <w:rsid w:val="00D918D5"/>
    <w:rsid w:val="00D91EEA"/>
    <w:rsid w:val="00D931BF"/>
    <w:rsid w:val="00D93F22"/>
    <w:rsid w:val="00D94BA9"/>
    <w:rsid w:val="00D95004"/>
    <w:rsid w:val="00D950F9"/>
    <w:rsid w:val="00D96131"/>
    <w:rsid w:val="00D9629D"/>
    <w:rsid w:val="00D96484"/>
    <w:rsid w:val="00D97242"/>
    <w:rsid w:val="00D97737"/>
    <w:rsid w:val="00D97969"/>
    <w:rsid w:val="00DA047B"/>
    <w:rsid w:val="00DA06C3"/>
    <w:rsid w:val="00DA18B2"/>
    <w:rsid w:val="00DA2A1A"/>
    <w:rsid w:val="00DA2E31"/>
    <w:rsid w:val="00DA2F25"/>
    <w:rsid w:val="00DA3ED0"/>
    <w:rsid w:val="00DA4826"/>
    <w:rsid w:val="00DA5FEF"/>
    <w:rsid w:val="00DA683A"/>
    <w:rsid w:val="00DA6A32"/>
    <w:rsid w:val="00DA6BB3"/>
    <w:rsid w:val="00DA6C99"/>
    <w:rsid w:val="00DB0E1A"/>
    <w:rsid w:val="00DB0E72"/>
    <w:rsid w:val="00DB0EFC"/>
    <w:rsid w:val="00DB13BB"/>
    <w:rsid w:val="00DB1D81"/>
    <w:rsid w:val="00DB2372"/>
    <w:rsid w:val="00DB2F55"/>
    <w:rsid w:val="00DB301F"/>
    <w:rsid w:val="00DB3187"/>
    <w:rsid w:val="00DB5017"/>
    <w:rsid w:val="00DB53F1"/>
    <w:rsid w:val="00DB5876"/>
    <w:rsid w:val="00DB736B"/>
    <w:rsid w:val="00DB7A22"/>
    <w:rsid w:val="00DB7ED0"/>
    <w:rsid w:val="00DC01CD"/>
    <w:rsid w:val="00DC01F6"/>
    <w:rsid w:val="00DC36B6"/>
    <w:rsid w:val="00DC4534"/>
    <w:rsid w:val="00DC4D12"/>
    <w:rsid w:val="00DC4F69"/>
    <w:rsid w:val="00DC60ED"/>
    <w:rsid w:val="00DC64B8"/>
    <w:rsid w:val="00DC671E"/>
    <w:rsid w:val="00DC68D0"/>
    <w:rsid w:val="00DC6E0C"/>
    <w:rsid w:val="00DC793C"/>
    <w:rsid w:val="00DD04DF"/>
    <w:rsid w:val="00DD0C1B"/>
    <w:rsid w:val="00DD114E"/>
    <w:rsid w:val="00DD17E8"/>
    <w:rsid w:val="00DD1C5D"/>
    <w:rsid w:val="00DD1DBB"/>
    <w:rsid w:val="00DD1DEC"/>
    <w:rsid w:val="00DD2CEB"/>
    <w:rsid w:val="00DD30F6"/>
    <w:rsid w:val="00DD3A8A"/>
    <w:rsid w:val="00DD43FA"/>
    <w:rsid w:val="00DD4526"/>
    <w:rsid w:val="00DD4752"/>
    <w:rsid w:val="00DD52EC"/>
    <w:rsid w:val="00DD53E9"/>
    <w:rsid w:val="00DD5CE1"/>
    <w:rsid w:val="00DD5DFB"/>
    <w:rsid w:val="00DD5EE6"/>
    <w:rsid w:val="00DD6327"/>
    <w:rsid w:val="00DD6FFC"/>
    <w:rsid w:val="00DD7312"/>
    <w:rsid w:val="00DD7F9E"/>
    <w:rsid w:val="00DE02D0"/>
    <w:rsid w:val="00DE0C8A"/>
    <w:rsid w:val="00DE1BCF"/>
    <w:rsid w:val="00DE2029"/>
    <w:rsid w:val="00DE27BB"/>
    <w:rsid w:val="00DE2CA5"/>
    <w:rsid w:val="00DE2D4D"/>
    <w:rsid w:val="00DE3D2C"/>
    <w:rsid w:val="00DE516D"/>
    <w:rsid w:val="00DE60FA"/>
    <w:rsid w:val="00DE64F7"/>
    <w:rsid w:val="00DE7158"/>
    <w:rsid w:val="00DE724B"/>
    <w:rsid w:val="00DE7659"/>
    <w:rsid w:val="00DF005A"/>
    <w:rsid w:val="00DF0643"/>
    <w:rsid w:val="00DF11E6"/>
    <w:rsid w:val="00DF1420"/>
    <w:rsid w:val="00DF2559"/>
    <w:rsid w:val="00DF2686"/>
    <w:rsid w:val="00DF34F4"/>
    <w:rsid w:val="00DF378D"/>
    <w:rsid w:val="00DF44B4"/>
    <w:rsid w:val="00DF4594"/>
    <w:rsid w:val="00DF4A1A"/>
    <w:rsid w:val="00DF5153"/>
    <w:rsid w:val="00DF5216"/>
    <w:rsid w:val="00DF5827"/>
    <w:rsid w:val="00DF5AC5"/>
    <w:rsid w:val="00DF61C6"/>
    <w:rsid w:val="00DF657C"/>
    <w:rsid w:val="00DF7570"/>
    <w:rsid w:val="00DF7725"/>
    <w:rsid w:val="00DF7A84"/>
    <w:rsid w:val="00E001A2"/>
    <w:rsid w:val="00E001FA"/>
    <w:rsid w:val="00E00BD1"/>
    <w:rsid w:val="00E01168"/>
    <w:rsid w:val="00E01636"/>
    <w:rsid w:val="00E01EDC"/>
    <w:rsid w:val="00E0217B"/>
    <w:rsid w:val="00E033DA"/>
    <w:rsid w:val="00E03589"/>
    <w:rsid w:val="00E0367B"/>
    <w:rsid w:val="00E03E73"/>
    <w:rsid w:val="00E042BB"/>
    <w:rsid w:val="00E04488"/>
    <w:rsid w:val="00E05022"/>
    <w:rsid w:val="00E054BA"/>
    <w:rsid w:val="00E06199"/>
    <w:rsid w:val="00E105BD"/>
    <w:rsid w:val="00E11324"/>
    <w:rsid w:val="00E11A0A"/>
    <w:rsid w:val="00E11D72"/>
    <w:rsid w:val="00E12769"/>
    <w:rsid w:val="00E131C2"/>
    <w:rsid w:val="00E13273"/>
    <w:rsid w:val="00E13B13"/>
    <w:rsid w:val="00E1505B"/>
    <w:rsid w:val="00E150AB"/>
    <w:rsid w:val="00E1521C"/>
    <w:rsid w:val="00E1543C"/>
    <w:rsid w:val="00E155B9"/>
    <w:rsid w:val="00E15626"/>
    <w:rsid w:val="00E159D8"/>
    <w:rsid w:val="00E15CFC"/>
    <w:rsid w:val="00E15E81"/>
    <w:rsid w:val="00E160A4"/>
    <w:rsid w:val="00E16F9F"/>
    <w:rsid w:val="00E172D4"/>
    <w:rsid w:val="00E178FF"/>
    <w:rsid w:val="00E17D23"/>
    <w:rsid w:val="00E21554"/>
    <w:rsid w:val="00E2242E"/>
    <w:rsid w:val="00E22858"/>
    <w:rsid w:val="00E22D47"/>
    <w:rsid w:val="00E22FDE"/>
    <w:rsid w:val="00E230DF"/>
    <w:rsid w:val="00E231AF"/>
    <w:rsid w:val="00E233A5"/>
    <w:rsid w:val="00E235BE"/>
    <w:rsid w:val="00E238CE"/>
    <w:rsid w:val="00E25526"/>
    <w:rsid w:val="00E256EF"/>
    <w:rsid w:val="00E26E32"/>
    <w:rsid w:val="00E30382"/>
    <w:rsid w:val="00E30737"/>
    <w:rsid w:val="00E30A23"/>
    <w:rsid w:val="00E31654"/>
    <w:rsid w:val="00E32C7D"/>
    <w:rsid w:val="00E335F1"/>
    <w:rsid w:val="00E33614"/>
    <w:rsid w:val="00E34969"/>
    <w:rsid w:val="00E35096"/>
    <w:rsid w:val="00E3663D"/>
    <w:rsid w:val="00E367C7"/>
    <w:rsid w:val="00E37090"/>
    <w:rsid w:val="00E370F5"/>
    <w:rsid w:val="00E3756E"/>
    <w:rsid w:val="00E37C8C"/>
    <w:rsid w:val="00E402E5"/>
    <w:rsid w:val="00E4032D"/>
    <w:rsid w:val="00E40945"/>
    <w:rsid w:val="00E4096E"/>
    <w:rsid w:val="00E41225"/>
    <w:rsid w:val="00E42A71"/>
    <w:rsid w:val="00E4369A"/>
    <w:rsid w:val="00E43F9E"/>
    <w:rsid w:val="00E443D6"/>
    <w:rsid w:val="00E44465"/>
    <w:rsid w:val="00E45083"/>
    <w:rsid w:val="00E45098"/>
    <w:rsid w:val="00E45BF0"/>
    <w:rsid w:val="00E4655B"/>
    <w:rsid w:val="00E469DB"/>
    <w:rsid w:val="00E47513"/>
    <w:rsid w:val="00E47707"/>
    <w:rsid w:val="00E47DD0"/>
    <w:rsid w:val="00E5000B"/>
    <w:rsid w:val="00E51643"/>
    <w:rsid w:val="00E51737"/>
    <w:rsid w:val="00E51CFE"/>
    <w:rsid w:val="00E52223"/>
    <w:rsid w:val="00E5224E"/>
    <w:rsid w:val="00E52A35"/>
    <w:rsid w:val="00E53BEB"/>
    <w:rsid w:val="00E53F0D"/>
    <w:rsid w:val="00E5433B"/>
    <w:rsid w:val="00E5447A"/>
    <w:rsid w:val="00E55155"/>
    <w:rsid w:val="00E55C0D"/>
    <w:rsid w:val="00E55EB1"/>
    <w:rsid w:val="00E561CF"/>
    <w:rsid w:val="00E561F8"/>
    <w:rsid w:val="00E5630F"/>
    <w:rsid w:val="00E56E11"/>
    <w:rsid w:val="00E56FFA"/>
    <w:rsid w:val="00E57496"/>
    <w:rsid w:val="00E57B6A"/>
    <w:rsid w:val="00E57D6C"/>
    <w:rsid w:val="00E606F7"/>
    <w:rsid w:val="00E60A26"/>
    <w:rsid w:val="00E614EB"/>
    <w:rsid w:val="00E615ED"/>
    <w:rsid w:val="00E61EA5"/>
    <w:rsid w:val="00E622A6"/>
    <w:rsid w:val="00E63654"/>
    <w:rsid w:val="00E63DBD"/>
    <w:rsid w:val="00E64058"/>
    <w:rsid w:val="00E65826"/>
    <w:rsid w:val="00E65C5C"/>
    <w:rsid w:val="00E6643B"/>
    <w:rsid w:val="00E66590"/>
    <w:rsid w:val="00E66A04"/>
    <w:rsid w:val="00E67642"/>
    <w:rsid w:val="00E67D3C"/>
    <w:rsid w:val="00E7080E"/>
    <w:rsid w:val="00E71160"/>
    <w:rsid w:val="00E7126C"/>
    <w:rsid w:val="00E718E9"/>
    <w:rsid w:val="00E7214E"/>
    <w:rsid w:val="00E725CB"/>
    <w:rsid w:val="00E726AE"/>
    <w:rsid w:val="00E72E26"/>
    <w:rsid w:val="00E72F47"/>
    <w:rsid w:val="00E740DA"/>
    <w:rsid w:val="00E74E26"/>
    <w:rsid w:val="00E750EB"/>
    <w:rsid w:val="00E755EE"/>
    <w:rsid w:val="00E75927"/>
    <w:rsid w:val="00E75E7B"/>
    <w:rsid w:val="00E75F0E"/>
    <w:rsid w:val="00E76686"/>
    <w:rsid w:val="00E7677B"/>
    <w:rsid w:val="00E77503"/>
    <w:rsid w:val="00E8123D"/>
    <w:rsid w:val="00E8135B"/>
    <w:rsid w:val="00E81433"/>
    <w:rsid w:val="00E81BE2"/>
    <w:rsid w:val="00E849BB"/>
    <w:rsid w:val="00E87039"/>
    <w:rsid w:val="00E87041"/>
    <w:rsid w:val="00E87231"/>
    <w:rsid w:val="00E87379"/>
    <w:rsid w:val="00E87DC2"/>
    <w:rsid w:val="00E87DCF"/>
    <w:rsid w:val="00E90056"/>
    <w:rsid w:val="00E901F0"/>
    <w:rsid w:val="00E9067D"/>
    <w:rsid w:val="00E90EDC"/>
    <w:rsid w:val="00E91170"/>
    <w:rsid w:val="00E91438"/>
    <w:rsid w:val="00E9154C"/>
    <w:rsid w:val="00E91C32"/>
    <w:rsid w:val="00E9265E"/>
    <w:rsid w:val="00E92F1F"/>
    <w:rsid w:val="00E940BA"/>
    <w:rsid w:val="00E94564"/>
    <w:rsid w:val="00E94B4D"/>
    <w:rsid w:val="00E94C91"/>
    <w:rsid w:val="00E96E67"/>
    <w:rsid w:val="00E9763C"/>
    <w:rsid w:val="00EA04A3"/>
    <w:rsid w:val="00EA0D4F"/>
    <w:rsid w:val="00EA0DC3"/>
    <w:rsid w:val="00EA102E"/>
    <w:rsid w:val="00EA1061"/>
    <w:rsid w:val="00EA13B1"/>
    <w:rsid w:val="00EA1565"/>
    <w:rsid w:val="00EA1C24"/>
    <w:rsid w:val="00EA2DC6"/>
    <w:rsid w:val="00EA3E55"/>
    <w:rsid w:val="00EA447C"/>
    <w:rsid w:val="00EA4E2A"/>
    <w:rsid w:val="00EA581E"/>
    <w:rsid w:val="00EA593C"/>
    <w:rsid w:val="00EA5BEF"/>
    <w:rsid w:val="00EA79FF"/>
    <w:rsid w:val="00EA7AD8"/>
    <w:rsid w:val="00EA7E92"/>
    <w:rsid w:val="00EB00C7"/>
    <w:rsid w:val="00EB0192"/>
    <w:rsid w:val="00EB01E7"/>
    <w:rsid w:val="00EB0C3E"/>
    <w:rsid w:val="00EB0E96"/>
    <w:rsid w:val="00EB10D3"/>
    <w:rsid w:val="00EB1BDC"/>
    <w:rsid w:val="00EB2852"/>
    <w:rsid w:val="00EB2EA5"/>
    <w:rsid w:val="00EB3039"/>
    <w:rsid w:val="00EB3729"/>
    <w:rsid w:val="00EB3D1F"/>
    <w:rsid w:val="00EB3D99"/>
    <w:rsid w:val="00EB3F79"/>
    <w:rsid w:val="00EB415B"/>
    <w:rsid w:val="00EB5806"/>
    <w:rsid w:val="00EB5D58"/>
    <w:rsid w:val="00EB6AB2"/>
    <w:rsid w:val="00EB7287"/>
    <w:rsid w:val="00EB7B6F"/>
    <w:rsid w:val="00EB7C10"/>
    <w:rsid w:val="00EC0013"/>
    <w:rsid w:val="00EC087B"/>
    <w:rsid w:val="00EC1796"/>
    <w:rsid w:val="00EC1C02"/>
    <w:rsid w:val="00EC292B"/>
    <w:rsid w:val="00EC3844"/>
    <w:rsid w:val="00EC3AB2"/>
    <w:rsid w:val="00EC3DBA"/>
    <w:rsid w:val="00EC4990"/>
    <w:rsid w:val="00EC4DFD"/>
    <w:rsid w:val="00EC622C"/>
    <w:rsid w:val="00EC776A"/>
    <w:rsid w:val="00ED0110"/>
    <w:rsid w:val="00ED01A5"/>
    <w:rsid w:val="00ED0662"/>
    <w:rsid w:val="00ED088F"/>
    <w:rsid w:val="00ED1426"/>
    <w:rsid w:val="00ED2992"/>
    <w:rsid w:val="00ED30A1"/>
    <w:rsid w:val="00ED371F"/>
    <w:rsid w:val="00ED3757"/>
    <w:rsid w:val="00ED48B0"/>
    <w:rsid w:val="00ED53FD"/>
    <w:rsid w:val="00ED6370"/>
    <w:rsid w:val="00ED6481"/>
    <w:rsid w:val="00ED681E"/>
    <w:rsid w:val="00ED6B28"/>
    <w:rsid w:val="00ED6DB2"/>
    <w:rsid w:val="00ED7156"/>
    <w:rsid w:val="00ED716E"/>
    <w:rsid w:val="00ED7231"/>
    <w:rsid w:val="00ED74EF"/>
    <w:rsid w:val="00ED764E"/>
    <w:rsid w:val="00ED7B15"/>
    <w:rsid w:val="00ED7B1D"/>
    <w:rsid w:val="00EE0557"/>
    <w:rsid w:val="00EE0BEA"/>
    <w:rsid w:val="00EE0DC0"/>
    <w:rsid w:val="00EE0E9A"/>
    <w:rsid w:val="00EE1603"/>
    <w:rsid w:val="00EE168B"/>
    <w:rsid w:val="00EE16BC"/>
    <w:rsid w:val="00EE1EDF"/>
    <w:rsid w:val="00EE1F12"/>
    <w:rsid w:val="00EE22AD"/>
    <w:rsid w:val="00EE24CA"/>
    <w:rsid w:val="00EE2951"/>
    <w:rsid w:val="00EE2BB3"/>
    <w:rsid w:val="00EE3BE1"/>
    <w:rsid w:val="00EE3C71"/>
    <w:rsid w:val="00EE41AB"/>
    <w:rsid w:val="00EE44BA"/>
    <w:rsid w:val="00EE44D2"/>
    <w:rsid w:val="00EE4A07"/>
    <w:rsid w:val="00EE4B70"/>
    <w:rsid w:val="00EE4D27"/>
    <w:rsid w:val="00EE50A7"/>
    <w:rsid w:val="00EE520E"/>
    <w:rsid w:val="00EE55B2"/>
    <w:rsid w:val="00EE56FD"/>
    <w:rsid w:val="00EE6050"/>
    <w:rsid w:val="00EE61C2"/>
    <w:rsid w:val="00EE651C"/>
    <w:rsid w:val="00EE67FB"/>
    <w:rsid w:val="00EE6D1F"/>
    <w:rsid w:val="00EE7285"/>
    <w:rsid w:val="00EE79E1"/>
    <w:rsid w:val="00EF0BEB"/>
    <w:rsid w:val="00EF0E79"/>
    <w:rsid w:val="00EF1381"/>
    <w:rsid w:val="00EF18D6"/>
    <w:rsid w:val="00EF2757"/>
    <w:rsid w:val="00EF3609"/>
    <w:rsid w:val="00EF4004"/>
    <w:rsid w:val="00EF4905"/>
    <w:rsid w:val="00EF4DF5"/>
    <w:rsid w:val="00EF5059"/>
    <w:rsid w:val="00EF5DBF"/>
    <w:rsid w:val="00EF6B69"/>
    <w:rsid w:val="00EF7607"/>
    <w:rsid w:val="00EF779D"/>
    <w:rsid w:val="00F0056A"/>
    <w:rsid w:val="00F00CE9"/>
    <w:rsid w:val="00F012F1"/>
    <w:rsid w:val="00F02E03"/>
    <w:rsid w:val="00F03AAA"/>
    <w:rsid w:val="00F03AC4"/>
    <w:rsid w:val="00F04F5C"/>
    <w:rsid w:val="00F04F88"/>
    <w:rsid w:val="00F0513C"/>
    <w:rsid w:val="00F05D26"/>
    <w:rsid w:val="00F066A0"/>
    <w:rsid w:val="00F0699B"/>
    <w:rsid w:val="00F0717F"/>
    <w:rsid w:val="00F0732D"/>
    <w:rsid w:val="00F0798B"/>
    <w:rsid w:val="00F079CC"/>
    <w:rsid w:val="00F10460"/>
    <w:rsid w:val="00F105E9"/>
    <w:rsid w:val="00F10875"/>
    <w:rsid w:val="00F10DDF"/>
    <w:rsid w:val="00F11107"/>
    <w:rsid w:val="00F11206"/>
    <w:rsid w:val="00F112FB"/>
    <w:rsid w:val="00F14224"/>
    <w:rsid w:val="00F14616"/>
    <w:rsid w:val="00F14C3D"/>
    <w:rsid w:val="00F1553D"/>
    <w:rsid w:val="00F16B36"/>
    <w:rsid w:val="00F178B6"/>
    <w:rsid w:val="00F17C61"/>
    <w:rsid w:val="00F203B8"/>
    <w:rsid w:val="00F2164C"/>
    <w:rsid w:val="00F22225"/>
    <w:rsid w:val="00F22595"/>
    <w:rsid w:val="00F22E3F"/>
    <w:rsid w:val="00F22F2B"/>
    <w:rsid w:val="00F22FDE"/>
    <w:rsid w:val="00F23440"/>
    <w:rsid w:val="00F237C4"/>
    <w:rsid w:val="00F23D5B"/>
    <w:rsid w:val="00F23EFE"/>
    <w:rsid w:val="00F2401A"/>
    <w:rsid w:val="00F24868"/>
    <w:rsid w:val="00F24EEB"/>
    <w:rsid w:val="00F2539F"/>
    <w:rsid w:val="00F255CC"/>
    <w:rsid w:val="00F25637"/>
    <w:rsid w:val="00F25648"/>
    <w:rsid w:val="00F27A34"/>
    <w:rsid w:val="00F27B20"/>
    <w:rsid w:val="00F27D8E"/>
    <w:rsid w:val="00F30F84"/>
    <w:rsid w:val="00F30FF9"/>
    <w:rsid w:val="00F31668"/>
    <w:rsid w:val="00F321C4"/>
    <w:rsid w:val="00F32621"/>
    <w:rsid w:val="00F32DDE"/>
    <w:rsid w:val="00F32F63"/>
    <w:rsid w:val="00F335C0"/>
    <w:rsid w:val="00F338C2"/>
    <w:rsid w:val="00F33C39"/>
    <w:rsid w:val="00F366CA"/>
    <w:rsid w:val="00F369F6"/>
    <w:rsid w:val="00F374FB"/>
    <w:rsid w:val="00F37545"/>
    <w:rsid w:val="00F3785D"/>
    <w:rsid w:val="00F37E03"/>
    <w:rsid w:val="00F40B04"/>
    <w:rsid w:val="00F40B05"/>
    <w:rsid w:val="00F40F68"/>
    <w:rsid w:val="00F410C7"/>
    <w:rsid w:val="00F41B84"/>
    <w:rsid w:val="00F41C0A"/>
    <w:rsid w:val="00F422EF"/>
    <w:rsid w:val="00F42EDE"/>
    <w:rsid w:val="00F43533"/>
    <w:rsid w:val="00F43776"/>
    <w:rsid w:val="00F439C9"/>
    <w:rsid w:val="00F44ADF"/>
    <w:rsid w:val="00F45418"/>
    <w:rsid w:val="00F46ABF"/>
    <w:rsid w:val="00F50CC3"/>
    <w:rsid w:val="00F50F72"/>
    <w:rsid w:val="00F51340"/>
    <w:rsid w:val="00F51350"/>
    <w:rsid w:val="00F518B6"/>
    <w:rsid w:val="00F53093"/>
    <w:rsid w:val="00F53266"/>
    <w:rsid w:val="00F551E0"/>
    <w:rsid w:val="00F561C7"/>
    <w:rsid w:val="00F5689C"/>
    <w:rsid w:val="00F57060"/>
    <w:rsid w:val="00F57E42"/>
    <w:rsid w:val="00F57F66"/>
    <w:rsid w:val="00F618F7"/>
    <w:rsid w:val="00F61A6A"/>
    <w:rsid w:val="00F61BA0"/>
    <w:rsid w:val="00F61C9C"/>
    <w:rsid w:val="00F61ED2"/>
    <w:rsid w:val="00F62BE0"/>
    <w:rsid w:val="00F630C3"/>
    <w:rsid w:val="00F63956"/>
    <w:rsid w:val="00F648B9"/>
    <w:rsid w:val="00F659AE"/>
    <w:rsid w:val="00F65FF1"/>
    <w:rsid w:val="00F66459"/>
    <w:rsid w:val="00F67428"/>
    <w:rsid w:val="00F70B7E"/>
    <w:rsid w:val="00F71E20"/>
    <w:rsid w:val="00F7232B"/>
    <w:rsid w:val="00F729BF"/>
    <w:rsid w:val="00F72EA1"/>
    <w:rsid w:val="00F73479"/>
    <w:rsid w:val="00F73768"/>
    <w:rsid w:val="00F74522"/>
    <w:rsid w:val="00F75023"/>
    <w:rsid w:val="00F76E3C"/>
    <w:rsid w:val="00F771F6"/>
    <w:rsid w:val="00F775A9"/>
    <w:rsid w:val="00F77F23"/>
    <w:rsid w:val="00F802CC"/>
    <w:rsid w:val="00F802DD"/>
    <w:rsid w:val="00F802E1"/>
    <w:rsid w:val="00F82640"/>
    <w:rsid w:val="00F82746"/>
    <w:rsid w:val="00F832F4"/>
    <w:rsid w:val="00F8366B"/>
    <w:rsid w:val="00F83F08"/>
    <w:rsid w:val="00F8419C"/>
    <w:rsid w:val="00F846D3"/>
    <w:rsid w:val="00F84EC5"/>
    <w:rsid w:val="00F8539D"/>
    <w:rsid w:val="00F85CEA"/>
    <w:rsid w:val="00F86867"/>
    <w:rsid w:val="00F87997"/>
    <w:rsid w:val="00F87F5A"/>
    <w:rsid w:val="00F87FC9"/>
    <w:rsid w:val="00F90138"/>
    <w:rsid w:val="00F906C2"/>
    <w:rsid w:val="00F90CEC"/>
    <w:rsid w:val="00F9143E"/>
    <w:rsid w:val="00F914AB"/>
    <w:rsid w:val="00F91A18"/>
    <w:rsid w:val="00F92270"/>
    <w:rsid w:val="00F925FC"/>
    <w:rsid w:val="00F9313E"/>
    <w:rsid w:val="00F93ABD"/>
    <w:rsid w:val="00F93D53"/>
    <w:rsid w:val="00F94212"/>
    <w:rsid w:val="00F9539A"/>
    <w:rsid w:val="00F955E4"/>
    <w:rsid w:val="00F95BE9"/>
    <w:rsid w:val="00F96D5C"/>
    <w:rsid w:val="00F97BC7"/>
    <w:rsid w:val="00FA186B"/>
    <w:rsid w:val="00FA29D7"/>
    <w:rsid w:val="00FA2A24"/>
    <w:rsid w:val="00FA2C63"/>
    <w:rsid w:val="00FA38E1"/>
    <w:rsid w:val="00FA3AAE"/>
    <w:rsid w:val="00FA4FBE"/>
    <w:rsid w:val="00FA5236"/>
    <w:rsid w:val="00FA5659"/>
    <w:rsid w:val="00FA57A1"/>
    <w:rsid w:val="00FA57E1"/>
    <w:rsid w:val="00FA5F06"/>
    <w:rsid w:val="00FA5FF3"/>
    <w:rsid w:val="00FA612E"/>
    <w:rsid w:val="00FA6AF9"/>
    <w:rsid w:val="00FA6B56"/>
    <w:rsid w:val="00FA6BB0"/>
    <w:rsid w:val="00FA6E49"/>
    <w:rsid w:val="00FA7945"/>
    <w:rsid w:val="00FA7B77"/>
    <w:rsid w:val="00FA7CC3"/>
    <w:rsid w:val="00FA7D5B"/>
    <w:rsid w:val="00FB0761"/>
    <w:rsid w:val="00FB0A42"/>
    <w:rsid w:val="00FB12CD"/>
    <w:rsid w:val="00FB149C"/>
    <w:rsid w:val="00FB1626"/>
    <w:rsid w:val="00FB22D4"/>
    <w:rsid w:val="00FB2FDE"/>
    <w:rsid w:val="00FB3B2F"/>
    <w:rsid w:val="00FB3FB9"/>
    <w:rsid w:val="00FB41D5"/>
    <w:rsid w:val="00FB5135"/>
    <w:rsid w:val="00FB51A0"/>
    <w:rsid w:val="00FB5A2F"/>
    <w:rsid w:val="00FB5D73"/>
    <w:rsid w:val="00FB6479"/>
    <w:rsid w:val="00FB7638"/>
    <w:rsid w:val="00FB7861"/>
    <w:rsid w:val="00FC01A6"/>
    <w:rsid w:val="00FC02C6"/>
    <w:rsid w:val="00FC0395"/>
    <w:rsid w:val="00FC05A4"/>
    <w:rsid w:val="00FC08A5"/>
    <w:rsid w:val="00FC1BD5"/>
    <w:rsid w:val="00FC2B3F"/>
    <w:rsid w:val="00FC30D7"/>
    <w:rsid w:val="00FC3336"/>
    <w:rsid w:val="00FC4106"/>
    <w:rsid w:val="00FC45AD"/>
    <w:rsid w:val="00FC46E3"/>
    <w:rsid w:val="00FC4EC2"/>
    <w:rsid w:val="00FC4F1A"/>
    <w:rsid w:val="00FC54E2"/>
    <w:rsid w:val="00FC5DD9"/>
    <w:rsid w:val="00FC5FE5"/>
    <w:rsid w:val="00FC643B"/>
    <w:rsid w:val="00FC650B"/>
    <w:rsid w:val="00FC6E34"/>
    <w:rsid w:val="00FD0578"/>
    <w:rsid w:val="00FD0D97"/>
    <w:rsid w:val="00FD0DAF"/>
    <w:rsid w:val="00FD1019"/>
    <w:rsid w:val="00FD1DD3"/>
    <w:rsid w:val="00FD2127"/>
    <w:rsid w:val="00FD2827"/>
    <w:rsid w:val="00FD329E"/>
    <w:rsid w:val="00FD3B7B"/>
    <w:rsid w:val="00FD4364"/>
    <w:rsid w:val="00FD4BCB"/>
    <w:rsid w:val="00FD509C"/>
    <w:rsid w:val="00FD55E5"/>
    <w:rsid w:val="00FD59A3"/>
    <w:rsid w:val="00FD6401"/>
    <w:rsid w:val="00FD6E0A"/>
    <w:rsid w:val="00FD7258"/>
    <w:rsid w:val="00FD7C0C"/>
    <w:rsid w:val="00FE0D6E"/>
    <w:rsid w:val="00FE1285"/>
    <w:rsid w:val="00FE165C"/>
    <w:rsid w:val="00FE1BAE"/>
    <w:rsid w:val="00FE2D18"/>
    <w:rsid w:val="00FE3CD6"/>
    <w:rsid w:val="00FE3E28"/>
    <w:rsid w:val="00FE3EDA"/>
    <w:rsid w:val="00FE517E"/>
    <w:rsid w:val="00FE541D"/>
    <w:rsid w:val="00FE5A06"/>
    <w:rsid w:val="00FE5C6C"/>
    <w:rsid w:val="00FE63BF"/>
    <w:rsid w:val="00FE74D3"/>
    <w:rsid w:val="00FE7784"/>
    <w:rsid w:val="00FE7B96"/>
    <w:rsid w:val="00FF0797"/>
    <w:rsid w:val="00FF1B9F"/>
    <w:rsid w:val="00FF1FBB"/>
    <w:rsid w:val="00FF28EF"/>
    <w:rsid w:val="00FF36DC"/>
    <w:rsid w:val="00FF37EE"/>
    <w:rsid w:val="00FF4A02"/>
    <w:rsid w:val="00FF4FA5"/>
    <w:rsid w:val="00FF5028"/>
    <w:rsid w:val="00FF52C9"/>
    <w:rsid w:val="00FF53FB"/>
    <w:rsid w:val="00FF587F"/>
    <w:rsid w:val="00FF5BC4"/>
    <w:rsid w:val="00FF602E"/>
    <w:rsid w:val="00FF6873"/>
    <w:rsid w:val="00FF74ED"/>
    <w:rsid w:val="00FF7D3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3249"/>
    <o:shapelayout v:ext="edit">
      <o:idmap v:ext="edit" data="1"/>
    </o:shapelayout>
  </w:shapeDefaults>
  <w:decimalSymbol w:val="."/>
  <w:listSeparator w:val=","/>
  <w14:docId w14:val="45CDB58E"/>
  <w15:docId w15:val="{D1601706-0FBF-4FBF-8B58-2D5307F4E5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24" w:unhideWhenUsed="1"/>
    <w:lsdException w:name="annotation text" w:semiHidden="1" w:unhideWhenUsed="1"/>
    <w:lsdException w:name="header" w:semiHidden="1" w:uiPriority="49" w:unhideWhenUsed="1"/>
    <w:lsdException w:name="footer" w:semiHidden="1" w:uiPriority="4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24" w:unhideWhenUsed="1"/>
    <w:lsdException w:name="annotation reference" w:semiHidden="1" w:unhideWhenUsed="1"/>
    <w:lsdException w:name="line number" w:semiHidden="1" w:unhideWhenUsed="1"/>
    <w:lsdException w:name="page number" w:semiHidden="1" w:unhideWhenUsed="1"/>
    <w:lsdException w:name="endnote reference" w:uiPriority="24"/>
    <w:lsdException w:name="endnote text" w:uiPriority="24"/>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rsid w:val="0041210B"/>
    <w:pPr>
      <w:spacing w:after="220" w:line="240" w:lineRule="atLeast"/>
    </w:pPr>
    <w:rPr>
      <w:rFonts w:ascii="Arial" w:hAnsi="Arial"/>
      <w:sz w:val="20"/>
      <w:lang w:val="en-AU"/>
    </w:rPr>
  </w:style>
  <w:style w:type="paragraph" w:styleId="Heading1">
    <w:name w:val="heading 1"/>
    <w:basedOn w:val="Para0"/>
    <w:next w:val="Para0"/>
    <w:link w:val="Heading1Char"/>
    <w:qFormat/>
    <w:rsid w:val="00AF0253"/>
    <w:pPr>
      <w:keepNext/>
      <w:keepLines/>
      <w:pageBreakBefore/>
      <w:numPr>
        <w:numId w:val="7"/>
      </w:numPr>
      <w:spacing w:line="360" w:lineRule="exact"/>
      <w:outlineLvl w:val="0"/>
    </w:pPr>
    <w:rPr>
      <w:rFonts w:eastAsiaTheme="majorEastAsia" w:cstheme="majorBidi"/>
      <w:b/>
      <w:bCs/>
      <w:color w:val="00338D"/>
      <w:sz w:val="32"/>
      <w:szCs w:val="32"/>
    </w:rPr>
  </w:style>
  <w:style w:type="paragraph" w:styleId="Heading2">
    <w:name w:val="heading 2"/>
    <w:aliases w:val="h2,2 headline,h,Level 2,2m,Head 2,Head 21,Head 22,Clause 1,Level 2 Head,H2,proj2,proj21,proj22,proj23,proj24,proj25,proj26,proj27,proj28,proj29,proj210,proj211,proj212,proj221,proj231,proj241,proj251,proj261,proj271,proj281,proj291,proj2101"/>
    <w:basedOn w:val="Para0"/>
    <w:next w:val="Para0"/>
    <w:link w:val="Heading2Char"/>
    <w:qFormat/>
    <w:rsid w:val="00AD7CFC"/>
    <w:pPr>
      <w:keepNext/>
      <w:keepLines/>
      <w:numPr>
        <w:ilvl w:val="1"/>
        <w:numId w:val="7"/>
      </w:numPr>
      <w:outlineLvl w:val="1"/>
    </w:pPr>
    <w:rPr>
      <w:rFonts w:eastAsiaTheme="majorEastAsia" w:cstheme="majorBidi"/>
      <w:b/>
      <w:bCs/>
      <w:color w:val="00338D"/>
      <w:sz w:val="24"/>
      <w:szCs w:val="26"/>
    </w:rPr>
  </w:style>
  <w:style w:type="paragraph" w:styleId="Heading3">
    <w:name w:val="heading 3"/>
    <w:basedOn w:val="Para0"/>
    <w:next w:val="Para0"/>
    <w:link w:val="Heading3Char"/>
    <w:qFormat/>
    <w:rsid w:val="001F418B"/>
    <w:pPr>
      <w:keepNext/>
      <w:keepLines/>
      <w:numPr>
        <w:ilvl w:val="2"/>
        <w:numId w:val="7"/>
      </w:numPr>
      <w:ind w:left="851"/>
      <w:outlineLvl w:val="2"/>
    </w:pPr>
    <w:rPr>
      <w:rFonts w:eastAsiaTheme="majorEastAsia" w:cstheme="majorBidi"/>
      <w:b/>
      <w:bCs/>
    </w:rPr>
  </w:style>
  <w:style w:type="paragraph" w:styleId="Heading4">
    <w:name w:val="heading 4"/>
    <w:basedOn w:val="Para0"/>
    <w:next w:val="Para0"/>
    <w:link w:val="Heading4Char"/>
    <w:qFormat/>
    <w:rsid w:val="001F418B"/>
    <w:pPr>
      <w:keepNext/>
      <w:keepLines/>
      <w:numPr>
        <w:ilvl w:val="3"/>
        <w:numId w:val="7"/>
      </w:numPr>
      <w:outlineLvl w:val="3"/>
    </w:pPr>
    <w:rPr>
      <w:rFonts w:eastAsiaTheme="majorEastAsia" w:cstheme="majorBidi"/>
      <w:b/>
      <w:bCs/>
      <w:iCs/>
    </w:rPr>
  </w:style>
  <w:style w:type="paragraph" w:styleId="Heading5">
    <w:name w:val="heading 5"/>
    <w:basedOn w:val="Para0"/>
    <w:next w:val="Para0"/>
    <w:link w:val="Heading5Char"/>
    <w:qFormat/>
    <w:rsid w:val="001F418B"/>
    <w:pPr>
      <w:keepNext/>
      <w:keepLines/>
      <w:numPr>
        <w:ilvl w:val="4"/>
        <w:numId w:val="7"/>
      </w:numPr>
      <w:outlineLvl w:val="4"/>
    </w:pPr>
    <w:rPr>
      <w:rFonts w:eastAsiaTheme="majorEastAsia" w:cstheme="majorBidi"/>
      <w:b/>
    </w:rPr>
  </w:style>
  <w:style w:type="paragraph" w:styleId="Heading6">
    <w:name w:val="heading 6"/>
    <w:basedOn w:val="Para0"/>
    <w:next w:val="Para0"/>
    <w:link w:val="Heading6Char"/>
    <w:qFormat/>
    <w:rsid w:val="001F418B"/>
    <w:pPr>
      <w:keepNext/>
      <w:keepLines/>
      <w:numPr>
        <w:ilvl w:val="5"/>
        <w:numId w:val="7"/>
      </w:numPr>
      <w:outlineLvl w:val="5"/>
    </w:pPr>
    <w:rPr>
      <w:rFonts w:eastAsiaTheme="majorEastAsia" w:cstheme="majorBidi"/>
      <w:b/>
      <w:iCs/>
    </w:rPr>
  </w:style>
  <w:style w:type="paragraph" w:styleId="Heading7">
    <w:name w:val="heading 7"/>
    <w:basedOn w:val="Normal"/>
    <w:next w:val="Para0"/>
    <w:link w:val="Heading7Char"/>
    <w:qFormat/>
    <w:rsid w:val="00AD7CFC"/>
    <w:pPr>
      <w:numPr>
        <w:ilvl w:val="6"/>
        <w:numId w:val="7"/>
      </w:numPr>
      <w:spacing w:before="240" w:after="120" w:line="360" w:lineRule="exact"/>
      <w:outlineLvl w:val="6"/>
    </w:pPr>
    <w:rPr>
      <w:b/>
      <w:color w:val="00338D"/>
    </w:rPr>
  </w:style>
  <w:style w:type="paragraph" w:styleId="Heading8">
    <w:name w:val="heading 8"/>
    <w:basedOn w:val="Heading2"/>
    <w:next w:val="Para0"/>
    <w:link w:val="Heading8Char"/>
    <w:qFormat/>
    <w:rsid w:val="00AD7CFC"/>
    <w:pPr>
      <w:numPr>
        <w:ilvl w:val="7"/>
      </w:numPr>
      <w:outlineLvl w:val="7"/>
    </w:pPr>
  </w:style>
  <w:style w:type="paragraph" w:styleId="Heading9">
    <w:name w:val="heading 9"/>
    <w:aliases w:val="Appendix"/>
    <w:basedOn w:val="Para0"/>
    <w:next w:val="Para0"/>
    <w:link w:val="Heading9Char"/>
    <w:uiPriority w:val="2"/>
    <w:qFormat/>
    <w:rsid w:val="00CB63FE"/>
    <w:pPr>
      <w:pageBreakBefore/>
      <w:spacing w:line="360" w:lineRule="exact"/>
      <w:outlineLvl w:val="8"/>
    </w:pPr>
    <w:rPr>
      <w:b/>
      <w:color w:val="00338D"/>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0">
    <w:name w:val="Para 0"/>
    <w:aliases w:val="Auto,After:  3 pt,Normal +Centre:  3 pt,Line spacing:  1.5 lines"/>
    <w:basedOn w:val="Normal"/>
    <w:link w:val="Para0Char"/>
    <w:uiPriority w:val="4"/>
    <w:qFormat/>
    <w:rsid w:val="00E33614"/>
    <w:pPr>
      <w:spacing w:before="240" w:after="120"/>
    </w:pPr>
  </w:style>
  <w:style w:type="character" w:customStyle="1" w:styleId="Heading1Char">
    <w:name w:val="Heading 1 Char"/>
    <w:basedOn w:val="DefaultParagraphFont"/>
    <w:link w:val="Heading1"/>
    <w:rsid w:val="007B0DDD"/>
    <w:rPr>
      <w:rFonts w:ascii="Arial" w:eastAsiaTheme="majorEastAsia" w:hAnsi="Arial" w:cstheme="majorBidi"/>
      <w:b/>
      <w:bCs/>
      <w:color w:val="00338D"/>
      <w:sz w:val="32"/>
      <w:szCs w:val="32"/>
      <w:lang w:val="en-GB"/>
    </w:rPr>
  </w:style>
  <w:style w:type="character" w:customStyle="1" w:styleId="Heading2Char">
    <w:name w:val="Heading 2 Char"/>
    <w:aliases w:val="h2 Char,2 headline Char,h Char,Level 2 Char,2m Char,Head 2 Char,Head 21 Char,Head 22 Char,Clause 1 Char,Level 2 Head Char,H2 Char,proj2 Char,proj21 Char,proj22 Char,proj23 Char,proj24 Char,proj25 Char,proj26 Char,proj27 Char,proj28 Char"/>
    <w:basedOn w:val="DefaultParagraphFont"/>
    <w:link w:val="Heading2"/>
    <w:rsid w:val="007B0DDD"/>
    <w:rPr>
      <w:rFonts w:ascii="Arial" w:eastAsiaTheme="majorEastAsia" w:hAnsi="Arial" w:cstheme="majorBidi"/>
      <w:b/>
      <w:bCs/>
      <w:color w:val="00338D"/>
      <w:szCs w:val="26"/>
      <w:lang w:val="en-GB"/>
    </w:rPr>
  </w:style>
  <w:style w:type="character" w:customStyle="1" w:styleId="Heading3Char">
    <w:name w:val="Heading 3 Char"/>
    <w:basedOn w:val="DefaultParagraphFont"/>
    <w:link w:val="Heading3"/>
    <w:rsid w:val="001F418B"/>
    <w:rPr>
      <w:rFonts w:ascii="Arial" w:eastAsiaTheme="majorEastAsia" w:hAnsi="Arial" w:cstheme="majorBidi"/>
      <w:b/>
      <w:bCs/>
      <w:sz w:val="20"/>
      <w:lang w:val="en-GB"/>
    </w:rPr>
  </w:style>
  <w:style w:type="character" w:customStyle="1" w:styleId="Heading4Char">
    <w:name w:val="Heading 4 Char"/>
    <w:basedOn w:val="DefaultParagraphFont"/>
    <w:link w:val="Heading4"/>
    <w:rsid w:val="001F418B"/>
    <w:rPr>
      <w:rFonts w:ascii="Arial" w:eastAsiaTheme="majorEastAsia" w:hAnsi="Arial" w:cstheme="majorBidi"/>
      <w:b/>
      <w:bCs/>
      <w:iCs/>
      <w:sz w:val="20"/>
      <w:lang w:val="en-GB"/>
    </w:rPr>
  </w:style>
  <w:style w:type="character" w:customStyle="1" w:styleId="Heading5Char">
    <w:name w:val="Heading 5 Char"/>
    <w:basedOn w:val="DefaultParagraphFont"/>
    <w:link w:val="Heading5"/>
    <w:rsid w:val="001F418B"/>
    <w:rPr>
      <w:rFonts w:ascii="Arial" w:eastAsiaTheme="majorEastAsia" w:hAnsi="Arial" w:cstheme="majorBidi"/>
      <w:b/>
      <w:sz w:val="20"/>
      <w:lang w:val="en-GB"/>
    </w:rPr>
  </w:style>
  <w:style w:type="character" w:customStyle="1" w:styleId="Heading6Char">
    <w:name w:val="Heading 6 Char"/>
    <w:basedOn w:val="DefaultParagraphFont"/>
    <w:link w:val="Heading6"/>
    <w:rsid w:val="001F418B"/>
    <w:rPr>
      <w:rFonts w:ascii="Arial" w:eastAsiaTheme="majorEastAsia" w:hAnsi="Arial" w:cstheme="majorBidi"/>
      <w:b/>
      <w:iCs/>
      <w:sz w:val="20"/>
      <w:lang w:val="en-GB"/>
    </w:rPr>
  </w:style>
  <w:style w:type="character" w:customStyle="1" w:styleId="Heading7Char">
    <w:name w:val="Heading 7 Char"/>
    <w:basedOn w:val="DefaultParagraphFont"/>
    <w:link w:val="Heading7"/>
    <w:rsid w:val="008B6D44"/>
    <w:rPr>
      <w:rFonts w:ascii="Arial" w:hAnsi="Arial"/>
      <w:b/>
      <w:color w:val="00338D"/>
      <w:sz w:val="20"/>
      <w:lang w:val="en-GB"/>
    </w:rPr>
  </w:style>
  <w:style w:type="character" w:customStyle="1" w:styleId="Heading8Char">
    <w:name w:val="Heading 8 Char"/>
    <w:basedOn w:val="DefaultParagraphFont"/>
    <w:link w:val="Heading8"/>
    <w:rsid w:val="008B6D44"/>
    <w:rPr>
      <w:rFonts w:ascii="Arial" w:eastAsiaTheme="majorEastAsia" w:hAnsi="Arial" w:cstheme="majorBidi"/>
      <w:b/>
      <w:bCs/>
      <w:color w:val="00338D"/>
      <w:szCs w:val="26"/>
      <w:lang w:val="en-GB"/>
    </w:rPr>
  </w:style>
  <w:style w:type="character" w:customStyle="1" w:styleId="Heading9Char">
    <w:name w:val="Heading 9 Char"/>
    <w:aliases w:val="Appendix Char"/>
    <w:basedOn w:val="DefaultParagraphFont"/>
    <w:link w:val="Heading9"/>
    <w:uiPriority w:val="2"/>
    <w:rsid w:val="00CB63FE"/>
    <w:rPr>
      <w:rFonts w:ascii="Arial" w:hAnsi="Arial"/>
      <w:b/>
      <w:color w:val="00338D"/>
      <w:sz w:val="32"/>
      <w:lang w:val="en-GB"/>
    </w:rPr>
  </w:style>
  <w:style w:type="paragraph" w:customStyle="1" w:styleId="ContentBold">
    <w:name w:val="Content Bold"/>
    <w:basedOn w:val="Para0"/>
    <w:next w:val="Para0"/>
    <w:semiHidden/>
    <w:qFormat/>
    <w:rsid w:val="00AD7CFC"/>
    <w:rPr>
      <w:b/>
    </w:rPr>
  </w:style>
  <w:style w:type="paragraph" w:customStyle="1" w:styleId="CoverHeading">
    <w:name w:val="Cover Heading"/>
    <w:basedOn w:val="Normal"/>
    <w:next w:val="CoverSubheading"/>
    <w:rsid w:val="00AD7CFC"/>
    <w:pPr>
      <w:spacing w:after="200" w:line="360" w:lineRule="exact"/>
      <w:ind w:right="851"/>
      <w:jc w:val="right"/>
    </w:pPr>
    <w:rPr>
      <w:rFonts w:ascii="Arial Black" w:hAnsi="Arial Black"/>
      <w:color w:val="DFE6D0" w:themeColor="background2"/>
      <w:sz w:val="32"/>
    </w:rPr>
  </w:style>
  <w:style w:type="paragraph" w:customStyle="1" w:styleId="CoverSubheading">
    <w:name w:val="Cover Subheading"/>
    <w:basedOn w:val="CoverHeading"/>
    <w:next w:val="CoverDate"/>
    <w:semiHidden/>
    <w:rsid w:val="00903EC7"/>
    <w:pPr>
      <w:spacing w:line="280" w:lineRule="exact"/>
    </w:pPr>
    <w:rPr>
      <w:rFonts w:ascii="Arial" w:hAnsi="Arial"/>
      <w:sz w:val="22"/>
      <w:szCs w:val="22"/>
    </w:rPr>
  </w:style>
  <w:style w:type="paragraph" w:customStyle="1" w:styleId="CoverDate">
    <w:name w:val="Cover Date"/>
    <w:basedOn w:val="CoverHeading"/>
    <w:next w:val="Para0"/>
    <w:rsid w:val="00AD7CFC"/>
    <w:pPr>
      <w:spacing w:line="280" w:lineRule="exact"/>
    </w:pPr>
    <w:rPr>
      <w:rFonts w:ascii="Arial" w:hAnsi="Arial"/>
      <w:sz w:val="22"/>
    </w:rPr>
  </w:style>
  <w:style w:type="paragraph" w:customStyle="1" w:styleId="PageTitle">
    <w:name w:val="Page Title"/>
    <w:basedOn w:val="Para0"/>
    <w:semiHidden/>
    <w:rsid w:val="00AD7CFC"/>
    <w:pPr>
      <w:spacing w:before="0" w:after="0" w:line="240" w:lineRule="auto"/>
      <w:ind w:left="3402"/>
    </w:pPr>
    <w:rPr>
      <w:rFonts w:ascii="Arial Black" w:hAnsi="Arial Black"/>
      <w:color w:val="999999"/>
      <w:sz w:val="24"/>
    </w:rPr>
  </w:style>
  <w:style w:type="paragraph" w:customStyle="1" w:styleId="CopyrightInfo">
    <w:name w:val="Copyright Info"/>
    <w:basedOn w:val="CoverHeading"/>
    <w:next w:val="Para0"/>
    <w:semiHidden/>
    <w:rsid w:val="00AD7CFC"/>
    <w:pPr>
      <w:spacing w:before="200" w:after="30" w:line="180" w:lineRule="exact"/>
      <w:jc w:val="both"/>
    </w:pPr>
    <w:rPr>
      <w:rFonts w:ascii="Arial" w:hAnsi="Arial"/>
      <w:color w:val="auto"/>
      <w:sz w:val="14"/>
    </w:rPr>
  </w:style>
  <w:style w:type="paragraph" w:customStyle="1" w:styleId="FooterText">
    <w:name w:val="Footer Text"/>
    <w:basedOn w:val="Para0"/>
    <w:semiHidden/>
    <w:qFormat/>
    <w:rsid w:val="00AD7CFC"/>
    <w:pPr>
      <w:spacing w:after="0" w:line="200" w:lineRule="exact"/>
      <w:ind w:left="567" w:right="284"/>
    </w:pPr>
    <w:rPr>
      <w:rFonts w:ascii="Arial Narrow" w:hAnsi="Arial Narrow"/>
      <w:b/>
      <w:sz w:val="16"/>
    </w:rPr>
  </w:style>
  <w:style w:type="paragraph" w:customStyle="1" w:styleId="Tablebullet">
    <w:name w:val="Table bullet"/>
    <w:basedOn w:val="Tabletext"/>
    <w:uiPriority w:val="14"/>
    <w:qFormat/>
    <w:rsid w:val="00AD7CFC"/>
    <w:pPr>
      <w:numPr>
        <w:numId w:val="25"/>
      </w:numPr>
    </w:pPr>
  </w:style>
  <w:style w:type="paragraph" w:customStyle="1" w:styleId="Tableheading">
    <w:name w:val="Table heading"/>
    <w:basedOn w:val="Normal"/>
    <w:qFormat/>
    <w:rsid w:val="006218E7"/>
    <w:pPr>
      <w:keepNext/>
      <w:spacing w:before="100" w:after="100"/>
    </w:pPr>
    <w:rPr>
      <w:rFonts w:ascii="Arial Black" w:hAnsi="Arial Black"/>
      <w:sz w:val="16"/>
    </w:rPr>
  </w:style>
  <w:style w:type="paragraph" w:styleId="BalloonText">
    <w:name w:val="Balloon Text"/>
    <w:basedOn w:val="Normal"/>
    <w:link w:val="BalloonTextChar"/>
    <w:uiPriority w:val="99"/>
    <w:semiHidden/>
    <w:unhideWhenUsed/>
    <w:rsid w:val="00AD7CF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D7CFC"/>
    <w:rPr>
      <w:rFonts w:ascii="Lucida Grande" w:hAnsi="Lucida Grande" w:cs="Lucida Grande"/>
      <w:sz w:val="18"/>
      <w:szCs w:val="18"/>
      <w:lang w:val="en-AU"/>
    </w:rPr>
  </w:style>
  <w:style w:type="paragraph" w:customStyle="1" w:styleId="ContentBulletsLetter">
    <w:name w:val="Content Bullets Letter"/>
    <w:basedOn w:val="Para0"/>
    <w:semiHidden/>
    <w:qFormat/>
    <w:rsid w:val="00AD7CFC"/>
    <w:pPr>
      <w:numPr>
        <w:numId w:val="3"/>
      </w:numPr>
    </w:pPr>
  </w:style>
  <w:style w:type="paragraph" w:customStyle="1" w:styleId="ContentBulletsRound">
    <w:name w:val="Content Bullets Round"/>
    <w:basedOn w:val="Para0"/>
    <w:semiHidden/>
    <w:qFormat/>
    <w:rsid w:val="00AD7CFC"/>
    <w:pPr>
      <w:numPr>
        <w:numId w:val="6"/>
      </w:numPr>
    </w:pPr>
    <w:rPr>
      <w:color w:val="000000"/>
    </w:rPr>
  </w:style>
  <w:style w:type="paragraph" w:styleId="Caption">
    <w:name w:val="caption"/>
    <w:aliases w:val="TABLE,Item,CDM B/Caption,Table Caption,Char"/>
    <w:basedOn w:val="Tableheading"/>
    <w:next w:val="Para0"/>
    <w:link w:val="CaptionChar"/>
    <w:uiPriority w:val="35"/>
    <w:qFormat/>
    <w:rsid w:val="00AD7CFC"/>
    <w:pPr>
      <w:spacing w:before="240"/>
    </w:pPr>
    <w:rPr>
      <w:rFonts w:ascii="Arial Narrow" w:hAnsi="Arial Narrow"/>
      <w:b/>
      <w:sz w:val="20"/>
    </w:rPr>
  </w:style>
  <w:style w:type="paragraph" w:customStyle="1" w:styleId="ContentBulletsArrow">
    <w:name w:val="Content Bullets Arrow"/>
    <w:basedOn w:val="Para0"/>
    <w:semiHidden/>
    <w:qFormat/>
    <w:rsid w:val="00AD7CFC"/>
    <w:pPr>
      <w:numPr>
        <w:numId w:val="1"/>
      </w:numPr>
    </w:pPr>
    <w:rPr>
      <w:color w:val="42145F"/>
    </w:rPr>
  </w:style>
  <w:style w:type="paragraph" w:customStyle="1" w:styleId="ContentBulletsNumber">
    <w:name w:val="Content Bullets Number"/>
    <w:basedOn w:val="Para0"/>
    <w:semiHidden/>
    <w:qFormat/>
    <w:rsid w:val="00AD7CFC"/>
    <w:pPr>
      <w:numPr>
        <w:numId w:val="4"/>
      </w:numPr>
    </w:pPr>
  </w:style>
  <w:style w:type="paragraph" w:styleId="FootnoteText">
    <w:name w:val="footnote text"/>
    <w:basedOn w:val="Normal"/>
    <w:link w:val="FootnoteTextChar"/>
    <w:uiPriority w:val="24"/>
    <w:rsid w:val="00AD7CFC"/>
    <w:pPr>
      <w:spacing w:after="240" w:line="240" w:lineRule="auto"/>
      <w:ind w:left="170" w:hanging="170"/>
      <w:contextualSpacing/>
    </w:pPr>
    <w:rPr>
      <w:color w:val="000000"/>
      <w:sz w:val="15"/>
    </w:rPr>
  </w:style>
  <w:style w:type="character" w:customStyle="1" w:styleId="FootnoteTextChar">
    <w:name w:val="Footnote Text Char"/>
    <w:basedOn w:val="DefaultParagraphFont"/>
    <w:link w:val="FootnoteText"/>
    <w:uiPriority w:val="24"/>
    <w:rsid w:val="008B6D44"/>
    <w:rPr>
      <w:rFonts w:ascii="Arial" w:hAnsi="Arial"/>
      <w:color w:val="000000"/>
      <w:sz w:val="15"/>
      <w:lang w:val="en-AU"/>
    </w:rPr>
  </w:style>
  <w:style w:type="paragraph" w:customStyle="1" w:styleId="Tabletext">
    <w:name w:val="Table text"/>
    <w:basedOn w:val="Normal"/>
    <w:uiPriority w:val="14"/>
    <w:qFormat/>
    <w:rsid w:val="00AD7CFC"/>
    <w:pPr>
      <w:spacing w:before="60" w:after="60"/>
    </w:pPr>
  </w:style>
  <w:style w:type="table" w:styleId="TableGrid">
    <w:name w:val="Table Grid"/>
    <w:basedOn w:val="TableNormal"/>
    <w:uiPriority w:val="59"/>
    <w:rsid w:val="00AD7C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D7CFC"/>
  </w:style>
  <w:style w:type="paragraph" w:customStyle="1" w:styleId="ProjectName">
    <w:name w:val="Project Name"/>
    <w:basedOn w:val="CoverHeading"/>
    <w:next w:val="Para0"/>
    <w:rsid w:val="004300A0"/>
    <w:pPr>
      <w:spacing w:after="0" w:line="240" w:lineRule="auto"/>
      <w:ind w:right="0"/>
      <w:jc w:val="left"/>
    </w:pPr>
    <w:rPr>
      <w:rFonts w:ascii="Arial" w:hAnsi="Arial"/>
      <w:b/>
      <w:color w:val="00338D"/>
      <w:sz w:val="24"/>
    </w:rPr>
  </w:style>
  <w:style w:type="paragraph" w:customStyle="1" w:styleId="PageHeading">
    <w:name w:val="Page Heading"/>
    <w:basedOn w:val="PageTitle"/>
    <w:next w:val="Para0"/>
    <w:semiHidden/>
    <w:rsid w:val="00AD7CFC"/>
    <w:pPr>
      <w:spacing w:after="240"/>
    </w:pPr>
    <w:rPr>
      <w:sz w:val="22"/>
    </w:rPr>
  </w:style>
  <w:style w:type="paragraph" w:customStyle="1" w:styleId="Tableletter">
    <w:name w:val="Table letter"/>
    <w:basedOn w:val="Tablebullet"/>
    <w:uiPriority w:val="14"/>
    <w:qFormat/>
    <w:rsid w:val="00AD7CFC"/>
    <w:pPr>
      <w:numPr>
        <w:numId w:val="27"/>
      </w:numPr>
    </w:pPr>
  </w:style>
  <w:style w:type="paragraph" w:styleId="TOC1">
    <w:name w:val="toc 1"/>
    <w:basedOn w:val="Normal"/>
    <w:next w:val="Normal"/>
    <w:autoRedefine/>
    <w:uiPriority w:val="39"/>
    <w:unhideWhenUsed/>
    <w:qFormat/>
    <w:rsid w:val="0054034A"/>
    <w:pPr>
      <w:tabs>
        <w:tab w:val="right" w:leader="dot" w:pos="9923"/>
      </w:tabs>
      <w:spacing w:after="100" w:line="240" w:lineRule="auto"/>
      <w:ind w:left="709" w:right="454" w:hanging="709"/>
    </w:pPr>
    <w:rPr>
      <w:b/>
      <w:noProof/>
    </w:rPr>
  </w:style>
  <w:style w:type="paragraph" w:styleId="TOC2">
    <w:name w:val="toc 2"/>
    <w:basedOn w:val="Normal"/>
    <w:next w:val="Normal"/>
    <w:autoRedefine/>
    <w:uiPriority w:val="39"/>
    <w:unhideWhenUsed/>
    <w:rsid w:val="008476C4"/>
    <w:pPr>
      <w:tabs>
        <w:tab w:val="left" w:pos="993"/>
        <w:tab w:val="right" w:leader="dot" w:pos="9923"/>
      </w:tabs>
      <w:spacing w:after="100" w:line="240" w:lineRule="auto"/>
      <w:ind w:left="993" w:right="454" w:hanging="993"/>
    </w:pPr>
    <w:rPr>
      <w:noProof/>
      <w:szCs w:val="20"/>
    </w:rPr>
  </w:style>
  <w:style w:type="character" w:styleId="FootnoteReference">
    <w:name w:val="footnote reference"/>
    <w:basedOn w:val="DefaultParagraphFont"/>
    <w:uiPriority w:val="24"/>
    <w:rsid w:val="00AD7CFC"/>
    <w:rPr>
      <w:rFonts w:ascii="Arial" w:hAnsi="Arial"/>
      <w:sz w:val="15"/>
      <w:vertAlign w:val="superscript"/>
    </w:rPr>
  </w:style>
  <w:style w:type="paragraph" w:styleId="TOC3">
    <w:name w:val="toc 3"/>
    <w:basedOn w:val="Normal"/>
    <w:next w:val="Normal"/>
    <w:autoRedefine/>
    <w:uiPriority w:val="39"/>
    <w:unhideWhenUsed/>
    <w:rsid w:val="00CA4C8A"/>
    <w:pPr>
      <w:tabs>
        <w:tab w:val="left" w:pos="1134"/>
        <w:tab w:val="right" w:pos="9923"/>
      </w:tabs>
      <w:spacing w:after="100"/>
      <w:ind w:left="675" w:right="418" w:hanging="391"/>
    </w:pPr>
    <w:rPr>
      <w:noProof/>
    </w:rPr>
  </w:style>
  <w:style w:type="paragraph" w:customStyle="1" w:styleId="FooterNumbering">
    <w:name w:val="Footer Numbering"/>
    <w:basedOn w:val="FooterText"/>
    <w:next w:val="Para0"/>
    <w:semiHidden/>
    <w:unhideWhenUsed/>
    <w:qFormat/>
    <w:rsid w:val="00AD7CFC"/>
    <w:pPr>
      <w:ind w:left="0"/>
      <w:jc w:val="right"/>
    </w:pPr>
  </w:style>
  <w:style w:type="paragraph" w:customStyle="1" w:styleId="ContentBulletsDash">
    <w:name w:val="Content Bullets Dash"/>
    <w:basedOn w:val="Para0"/>
    <w:semiHidden/>
    <w:qFormat/>
    <w:rsid w:val="00AD7CFC"/>
    <w:pPr>
      <w:numPr>
        <w:numId w:val="2"/>
      </w:numPr>
    </w:pPr>
  </w:style>
  <w:style w:type="paragraph" w:customStyle="1" w:styleId="ContentBulletsRomanNumeral">
    <w:name w:val="Content Bullets Roman Numeral"/>
    <w:basedOn w:val="Para0"/>
    <w:semiHidden/>
    <w:qFormat/>
    <w:rsid w:val="00AD7CFC"/>
    <w:pPr>
      <w:numPr>
        <w:numId w:val="5"/>
      </w:numPr>
    </w:pPr>
  </w:style>
  <w:style w:type="paragraph" w:customStyle="1" w:styleId="Tablenumber">
    <w:name w:val="Table number"/>
    <w:basedOn w:val="Tablebullet"/>
    <w:uiPriority w:val="14"/>
    <w:qFormat/>
    <w:rsid w:val="00AD7CFC"/>
    <w:pPr>
      <w:numPr>
        <w:numId w:val="26"/>
      </w:numPr>
    </w:pPr>
  </w:style>
  <w:style w:type="paragraph" w:customStyle="1" w:styleId="Tablesmalltext">
    <w:name w:val="Table small text"/>
    <w:basedOn w:val="Normal"/>
    <w:uiPriority w:val="15"/>
    <w:qFormat/>
    <w:rsid w:val="00AD7CFC"/>
    <w:pPr>
      <w:spacing w:before="40" w:after="40"/>
    </w:pPr>
    <w:rPr>
      <w:sz w:val="16"/>
    </w:rPr>
  </w:style>
  <w:style w:type="paragraph" w:customStyle="1" w:styleId="Tablesmallbullet">
    <w:name w:val="Table small bullet"/>
    <w:basedOn w:val="Tablesmalltext"/>
    <w:uiPriority w:val="15"/>
    <w:qFormat/>
    <w:rsid w:val="00AD7CFC"/>
    <w:pPr>
      <w:numPr>
        <w:numId w:val="21"/>
      </w:numPr>
    </w:pPr>
  </w:style>
  <w:style w:type="paragraph" w:customStyle="1" w:styleId="Tablesmallheading">
    <w:name w:val="Table small heading"/>
    <w:basedOn w:val="Tableheading"/>
    <w:uiPriority w:val="15"/>
    <w:qFormat/>
    <w:rsid w:val="006218E7"/>
    <w:pPr>
      <w:spacing w:before="60" w:after="60"/>
    </w:pPr>
    <w:rPr>
      <w:rFonts w:ascii="Arial" w:hAnsi="Arial"/>
      <w:b/>
    </w:rPr>
  </w:style>
  <w:style w:type="paragraph" w:customStyle="1" w:styleId="Tablesmallletter">
    <w:name w:val="Table small letter"/>
    <w:basedOn w:val="Tablesmallbullet"/>
    <w:uiPriority w:val="15"/>
    <w:qFormat/>
    <w:rsid w:val="00AD7CFC"/>
    <w:pPr>
      <w:numPr>
        <w:numId w:val="23"/>
      </w:numPr>
    </w:pPr>
  </w:style>
  <w:style w:type="paragraph" w:customStyle="1" w:styleId="Tablesmallnumber">
    <w:name w:val="Table small number"/>
    <w:basedOn w:val="Tablesmallbullet"/>
    <w:uiPriority w:val="15"/>
    <w:qFormat/>
    <w:rsid w:val="00AD7CFC"/>
    <w:pPr>
      <w:numPr>
        <w:numId w:val="22"/>
      </w:numPr>
    </w:pPr>
  </w:style>
  <w:style w:type="paragraph" w:customStyle="1" w:styleId="Sectionheading">
    <w:name w:val="Section heading"/>
    <w:basedOn w:val="Summary"/>
    <w:next w:val="Para0"/>
    <w:uiPriority w:val="1"/>
    <w:qFormat/>
    <w:rsid w:val="00162083"/>
    <w:pPr>
      <w:spacing w:line="360" w:lineRule="exact"/>
    </w:pPr>
  </w:style>
  <w:style w:type="paragraph" w:styleId="Header">
    <w:name w:val="header"/>
    <w:basedOn w:val="PageTitle"/>
    <w:link w:val="HeaderChar"/>
    <w:uiPriority w:val="49"/>
    <w:rsid w:val="00B867A6"/>
    <w:pPr>
      <w:ind w:left="142"/>
    </w:pPr>
    <w:rPr>
      <w:rFonts w:ascii="Arial" w:hAnsi="Arial"/>
      <w:b/>
      <w:color w:val="666666"/>
      <w:sz w:val="22"/>
    </w:rPr>
  </w:style>
  <w:style w:type="character" w:customStyle="1" w:styleId="HeaderChar">
    <w:name w:val="Header Char"/>
    <w:basedOn w:val="DefaultParagraphFont"/>
    <w:link w:val="Header"/>
    <w:uiPriority w:val="49"/>
    <w:rsid w:val="00B867A6"/>
    <w:rPr>
      <w:rFonts w:ascii="Arial" w:hAnsi="Arial"/>
      <w:b/>
      <w:color w:val="666666"/>
      <w:sz w:val="22"/>
    </w:rPr>
  </w:style>
  <w:style w:type="paragraph" w:styleId="Footer">
    <w:name w:val="footer"/>
    <w:basedOn w:val="Normal"/>
    <w:link w:val="FooterChar"/>
    <w:uiPriority w:val="49"/>
    <w:rsid w:val="009F5221"/>
    <w:pPr>
      <w:tabs>
        <w:tab w:val="right" w:pos="9923"/>
        <w:tab w:val="right" w:pos="14884"/>
        <w:tab w:val="right" w:pos="21830"/>
      </w:tabs>
      <w:spacing w:after="0"/>
      <w:ind w:left="11"/>
    </w:pPr>
    <w:rPr>
      <w:rFonts w:eastAsia="Times" w:cs="Times New Roman"/>
      <w:color w:val="999999"/>
      <w:sz w:val="16"/>
      <w:szCs w:val="20"/>
    </w:rPr>
  </w:style>
  <w:style w:type="character" w:customStyle="1" w:styleId="FooterChar">
    <w:name w:val="Footer Char"/>
    <w:basedOn w:val="DefaultParagraphFont"/>
    <w:link w:val="Footer"/>
    <w:uiPriority w:val="49"/>
    <w:rsid w:val="009F5221"/>
    <w:rPr>
      <w:rFonts w:ascii="Arial" w:eastAsia="Times" w:hAnsi="Arial" w:cs="Times New Roman"/>
      <w:color w:val="999999"/>
      <w:sz w:val="16"/>
      <w:szCs w:val="20"/>
    </w:rPr>
  </w:style>
  <w:style w:type="paragraph" w:styleId="TOCHeading">
    <w:name w:val="TOC Heading"/>
    <w:basedOn w:val="Heading1"/>
    <w:next w:val="Normal"/>
    <w:uiPriority w:val="39"/>
    <w:semiHidden/>
    <w:qFormat/>
    <w:rsid w:val="00AD7CFC"/>
    <w:pPr>
      <w:pageBreakBefore w:val="0"/>
      <w:numPr>
        <w:numId w:val="0"/>
      </w:numPr>
      <w:spacing w:before="480" w:after="0" w:line="276" w:lineRule="auto"/>
      <w:outlineLvl w:val="9"/>
    </w:pPr>
    <w:rPr>
      <w:rFonts w:asciiTheme="majorHAnsi" w:hAnsiTheme="majorHAnsi"/>
      <w:color w:val="53757F" w:themeColor="accent1" w:themeShade="BF"/>
      <w:sz w:val="28"/>
      <w:szCs w:val="28"/>
    </w:rPr>
  </w:style>
  <w:style w:type="character" w:styleId="Hyperlink">
    <w:name w:val="Hyperlink"/>
    <w:basedOn w:val="DefaultParagraphFont"/>
    <w:uiPriority w:val="99"/>
    <w:rsid w:val="00AD7CFC"/>
    <w:rPr>
      <w:color w:val="66AACD" w:themeColor="hyperlink"/>
      <w:u w:val="single"/>
    </w:rPr>
  </w:style>
  <w:style w:type="paragraph" w:customStyle="1" w:styleId="Sidebarheading">
    <w:name w:val="Sidebar heading"/>
    <w:basedOn w:val="Normal"/>
    <w:next w:val="Sidebartext"/>
    <w:uiPriority w:val="11"/>
    <w:qFormat/>
    <w:rsid w:val="00CD27CA"/>
    <w:pPr>
      <w:framePr w:hSpace="181" w:wrap="around" w:hAnchor="margin" w:x="109" w:y="182"/>
      <w:spacing w:before="40" w:after="120"/>
    </w:pPr>
    <w:rPr>
      <w:b/>
      <w:caps/>
      <w:color w:val="00338D"/>
      <w:sz w:val="18"/>
    </w:rPr>
  </w:style>
  <w:style w:type="paragraph" w:customStyle="1" w:styleId="Sidebartext">
    <w:name w:val="Sidebar text"/>
    <w:basedOn w:val="Sidebarheading"/>
    <w:uiPriority w:val="12"/>
    <w:qFormat/>
    <w:rsid w:val="00CD27CA"/>
    <w:pPr>
      <w:framePr w:wrap="around"/>
    </w:pPr>
    <w:rPr>
      <w:b w:val="0"/>
      <w:caps w:val="0"/>
      <w:color w:val="auto"/>
    </w:rPr>
  </w:style>
  <w:style w:type="paragraph" w:customStyle="1" w:styleId="ContactDetails">
    <w:name w:val="Contact Details"/>
    <w:basedOn w:val="Normal"/>
    <w:semiHidden/>
    <w:rsid w:val="00AD7CFC"/>
    <w:pPr>
      <w:tabs>
        <w:tab w:val="left" w:pos="170"/>
      </w:tabs>
      <w:autoSpaceDE w:val="0"/>
      <w:autoSpaceDN w:val="0"/>
      <w:adjustRightInd w:val="0"/>
      <w:spacing w:before="60" w:after="28" w:line="220" w:lineRule="atLeast"/>
      <w:jc w:val="center"/>
      <w:textAlignment w:val="baseline"/>
    </w:pPr>
    <w:rPr>
      <w:rFonts w:ascii="Verdana" w:eastAsia="Times" w:hAnsi="Verdana" w:cs="Frutiger 45 Light"/>
      <w:color w:val="333F7F"/>
      <w:szCs w:val="22"/>
      <w:lang w:eastAsia="en-AU"/>
    </w:rPr>
  </w:style>
  <w:style w:type="paragraph" w:customStyle="1" w:styleId="Sidebarbullet">
    <w:name w:val="Sidebar bullet"/>
    <w:basedOn w:val="Sidebartext"/>
    <w:uiPriority w:val="12"/>
    <w:qFormat/>
    <w:rsid w:val="007E2DDD"/>
    <w:pPr>
      <w:framePr w:wrap="around"/>
      <w:numPr>
        <w:numId w:val="20"/>
      </w:numPr>
      <w:spacing w:after="60"/>
    </w:pPr>
  </w:style>
  <w:style w:type="paragraph" w:customStyle="1" w:styleId="Collateralheading">
    <w:name w:val="Collateral heading"/>
    <w:basedOn w:val="Normal"/>
    <w:next w:val="Normal"/>
    <w:semiHidden/>
    <w:unhideWhenUsed/>
    <w:rsid w:val="00AD7CFC"/>
    <w:pPr>
      <w:keepNext/>
      <w:spacing w:before="80" w:after="120"/>
    </w:pPr>
    <w:rPr>
      <w:rFonts w:ascii="Arial Black" w:hAnsi="Arial Black"/>
      <w:color w:val="00338D"/>
      <w:sz w:val="18"/>
    </w:rPr>
  </w:style>
  <w:style w:type="paragraph" w:customStyle="1" w:styleId="Collateralsubheading">
    <w:name w:val="Collateral sub heading"/>
    <w:basedOn w:val="Collateralheading"/>
    <w:next w:val="Normal"/>
    <w:semiHidden/>
    <w:unhideWhenUsed/>
    <w:rsid w:val="00AD7CFC"/>
    <w:pPr>
      <w:widowControl w:val="0"/>
      <w:spacing w:after="160"/>
    </w:pPr>
    <w:rPr>
      <w:rFonts w:ascii="Arial" w:hAnsi="Arial"/>
      <w:b/>
      <w:sz w:val="19"/>
    </w:rPr>
  </w:style>
  <w:style w:type="paragraph" w:customStyle="1" w:styleId="Name1">
    <w:name w:val="Name 1"/>
    <w:basedOn w:val="Normal"/>
    <w:semiHidden/>
    <w:rsid w:val="00CD27CA"/>
    <w:pPr>
      <w:spacing w:after="160" w:line="320" w:lineRule="exact"/>
      <w:jc w:val="right"/>
    </w:pPr>
    <w:rPr>
      <w:rFonts w:ascii="Arial Black" w:hAnsi="Arial Black"/>
      <w:color w:val="00338D"/>
      <w:sz w:val="36"/>
    </w:rPr>
  </w:style>
  <w:style w:type="paragraph" w:styleId="ListBullet">
    <w:name w:val="List Bullet"/>
    <w:basedOn w:val="Normal"/>
    <w:uiPriority w:val="99"/>
    <w:unhideWhenUsed/>
    <w:rsid w:val="00AD7CFC"/>
    <w:pPr>
      <w:tabs>
        <w:tab w:val="num" w:pos="370"/>
      </w:tabs>
      <w:ind w:left="370" w:hanging="360"/>
      <w:contextualSpacing/>
    </w:pPr>
  </w:style>
  <w:style w:type="paragraph" w:customStyle="1" w:styleId="Name2">
    <w:name w:val="Name 2"/>
    <w:basedOn w:val="Name1"/>
    <w:semiHidden/>
    <w:rsid w:val="00CD27CA"/>
    <w:pPr>
      <w:spacing w:after="0"/>
      <w:jc w:val="left"/>
    </w:pPr>
    <w:rPr>
      <w:sz w:val="20"/>
    </w:rPr>
  </w:style>
  <w:style w:type="paragraph" w:customStyle="1" w:styleId="Projectrole1">
    <w:name w:val="Project role 1"/>
    <w:basedOn w:val="Normal"/>
    <w:semiHidden/>
    <w:rsid w:val="00CD27CA"/>
    <w:pPr>
      <w:spacing w:after="160"/>
      <w:jc w:val="right"/>
    </w:pPr>
    <w:rPr>
      <w:caps/>
      <w:color w:val="00338D"/>
    </w:rPr>
  </w:style>
  <w:style w:type="paragraph" w:customStyle="1" w:styleId="Projectrole2">
    <w:name w:val="Project role 2"/>
    <w:basedOn w:val="Projectrole1"/>
    <w:semiHidden/>
    <w:rsid w:val="00CD27CA"/>
    <w:pPr>
      <w:jc w:val="left"/>
    </w:pPr>
    <w:rPr>
      <w:sz w:val="14"/>
      <w:szCs w:val="16"/>
    </w:rPr>
  </w:style>
  <w:style w:type="paragraph" w:customStyle="1" w:styleId="Bodynarrow">
    <w:name w:val="Body narrow"/>
    <w:basedOn w:val="Normal"/>
    <w:uiPriority w:val="10"/>
    <w:qFormat/>
    <w:rsid w:val="00F70B7E"/>
    <w:pPr>
      <w:spacing w:before="40" w:after="120"/>
      <w:ind w:left="3402"/>
    </w:pPr>
  </w:style>
  <w:style w:type="paragraph" w:customStyle="1" w:styleId="Bodynarrowbullet">
    <w:name w:val="Body narrow bullet"/>
    <w:basedOn w:val="Bodynarrow"/>
    <w:uiPriority w:val="10"/>
    <w:qFormat/>
    <w:rsid w:val="00CD27CA"/>
    <w:pPr>
      <w:numPr>
        <w:numId w:val="12"/>
      </w:numPr>
      <w:tabs>
        <w:tab w:val="left" w:pos="198"/>
      </w:tabs>
      <w:spacing w:after="60"/>
    </w:pPr>
  </w:style>
  <w:style w:type="paragraph" w:customStyle="1" w:styleId="Bodynarrowarrow">
    <w:name w:val="Body narrow arrow"/>
    <w:basedOn w:val="Bodynarrowbullet"/>
    <w:uiPriority w:val="10"/>
    <w:qFormat/>
    <w:rsid w:val="00CD27CA"/>
    <w:pPr>
      <w:numPr>
        <w:ilvl w:val="1"/>
      </w:numPr>
      <w:tabs>
        <w:tab w:val="clear" w:pos="198"/>
      </w:tabs>
    </w:pPr>
  </w:style>
  <w:style w:type="paragraph" w:customStyle="1" w:styleId="Disclaimer1">
    <w:name w:val="Disclaimer 1"/>
    <w:basedOn w:val="Normal"/>
    <w:semiHidden/>
    <w:unhideWhenUsed/>
    <w:rsid w:val="00AD7CFC"/>
    <w:pPr>
      <w:framePr w:hSpace="181" w:wrap="around" w:vAnchor="page" w:hAnchor="margin" w:y="12811"/>
      <w:spacing w:after="200" w:line="200" w:lineRule="exact"/>
    </w:pPr>
    <w:rPr>
      <w:b/>
      <w:color w:val="999999"/>
      <w:sz w:val="17"/>
    </w:rPr>
  </w:style>
  <w:style w:type="paragraph" w:customStyle="1" w:styleId="Disclaimer2">
    <w:name w:val="Disclaimer 2"/>
    <w:basedOn w:val="Disclaimer1"/>
    <w:semiHidden/>
    <w:unhideWhenUsed/>
    <w:rsid w:val="00AD7CFC"/>
    <w:pPr>
      <w:framePr w:wrap="around"/>
      <w:spacing w:before="80" w:after="40" w:line="180" w:lineRule="atLeast"/>
    </w:pPr>
    <w:rPr>
      <w:sz w:val="14"/>
    </w:rPr>
  </w:style>
  <w:style w:type="paragraph" w:customStyle="1" w:styleId="Para0narrow">
    <w:name w:val="Para 0 narrow"/>
    <w:basedOn w:val="Para0"/>
    <w:next w:val="Para0"/>
    <w:semiHidden/>
    <w:qFormat/>
    <w:rsid w:val="00264230"/>
  </w:style>
  <w:style w:type="paragraph" w:customStyle="1" w:styleId="Para0narrowbullet">
    <w:name w:val="Para 0 narrow bullet"/>
    <w:basedOn w:val="Para0bullet"/>
    <w:next w:val="Para0bullet"/>
    <w:semiHidden/>
    <w:qFormat/>
    <w:rsid w:val="00101052"/>
    <w:pPr>
      <w:numPr>
        <w:numId w:val="0"/>
      </w:numPr>
    </w:pPr>
  </w:style>
  <w:style w:type="paragraph" w:customStyle="1" w:styleId="SummaryHeading">
    <w:name w:val="SummaryHeading"/>
    <w:basedOn w:val="Sectionheading"/>
    <w:semiHidden/>
    <w:qFormat/>
    <w:rsid w:val="00AD7CFC"/>
  </w:style>
  <w:style w:type="paragraph" w:customStyle="1" w:styleId="Para0bold">
    <w:name w:val="Para 0 bold"/>
    <w:basedOn w:val="Para0"/>
    <w:uiPriority w:val="4"/>
    <w:qFormat/>
    <w:rsid w:val="00264230"/>
    <w:rPr>
      <w:b/>
    </w:rPr>
  </w:style>
  <w:style w:type="paragraph" w:customStyle="1" w:styleId="Para0number">
    <w:name w:val="Para 0 number"/>
    <w:basedOn w:val="Para0"/>
    <w:uiPriority w:val="4"/>
    <w:qFormat/>
    <w:rsid w:val="00264230"/>
    <w:pPr>
      <w:numPr>
        <w:numId w:val="29"/>
      </w:numPr>
      <w:tabs>
        <w:tab w:val="left" w:pos="851"/>
      </w:tabs>
      <w:spacing w:before="0"/>
    </w:pPr>
  </w:style>
  <w:style w:type="paragraph" w:customStyle="1" w:styleId="Para0arrow">
    <w:name w:val="Para 0 arrow"/>
    <w:basedOn w:val="Para0"/>
    <w:uiPriority w:val="4"/>
    <w:qFormat/>
    <w:rsid w:val="00264230"/>
    <w:pPr>
      <w:numPr>
        <w:numId w:val="15"/>
      </w:numPr>
      <w:tabs>
        <w:tab w:val="left" w:pos="851"/>
      </w:tabs>
      <w:spacing w:before="0"/>
    </w:pPr>
  </w:style>
  <w:style w:type="paragraph" w:customStyle="1" w:styleId="Para0dash">
    <w:name w:val="Para 0 dash"/>
    <w:basedOn w:val="Para0"/>
    <w:uiPriority w:val="4"/>
    <w:qFormat/>
    <w:rsid w:val="00264230"/>
    <w:pPr>
      <w:numPr>
        <w:numId w:val="14"/>
      </w:numPr>
      <w:tabs>
        <w:tab w:val="left" w:pos="851"/>
      </w:tabs>
      <w:spacing w:before="0"/>
    </w:pPr>
  </w:style>
  <w:style w:type="paragraph" w:customStyle="1" w:styleId="Para0roman">
    <w:name w:val="Para 0 roman"/>
    <w:basedOn w:val="Para0"/>
    <w:uiPriority w:val="4"/>
    <w:qFormat/>
    <w:rsid w:val="00264230"/>
    <w:pPr>
      <w:numPr>
        <w:numId w:val="19"/>
      </w:numPr>
      <w:tabs>
        <w:tab w:val="left" w:pos="851"/>
      </w:tabs>
      <w:spacing w:before="0"/>
    </w:pPr>
  </w:style>
  <w:style w:type="paragraph" w:customStyle="1" w:styleId="Para0letter">
    <w:name w:val="Para 0 letter"/>
    <w:basedOn w:val="Para0"/>
    <w:uiPriority w:val="4"/>
    <w:qFormat/>
    <w:rsid w:val="00264230"/>
    <w:pPr>
      <w:numPr>
        <w:numId w:val="18"/>
      </w:numPr>
      <w:tabs>
        <w:tab w:val="left" w:pos="851"/>
      </w:tabs>
      <w:spacing w:before="0"/>
    </w:pPr>
  </w:style>
  <w:style w:type="paragraph" w:customStyle="1" w:styleId="Para0bullet">
    <w:name w:val="Para 0 bullet"/>
    <w:basedOn w:val="Para0"/>
    <w:link w:val="Para0bulletChar"/>
    <w:uiPriority w:val="4"/>
    <w:qFormat/>
    <w:rsid w:val="00264230"/>
    <w:pPr>
      <w:numPr>
        <w:numId w:val="37"/>
      </w:numPr>
      <w:tabs>
        <w:tab w:val="left" w:pos="851"/>
      </w:tabs>
      <w:spacing w:before="0"/>
    </w:pPr>
  </w:style>
  <w:style w:type="paragraph" w:styleId="TOC9">
    <w:name w:val="toc 9"/>
    <w:basedOn w:val="Normal"/>
    <w:next w:val="Normal"/>
    <w:autoRedefine/>
    <w:uiPriority w:val="39"/>
    <w:unhideWhenUsed/>
    <w:rsid w:val="00997940"/>
    <w:pPr>
      <w:tabs>
        <w:tab w:val="right" w:leader="dot" w:pos="9923"/>
      </w:tabs>
      <w:spacing w:after="100"/>
    </w:pPr>
    <w:rPr>
      <w:b/>
      <w:noProof/>
    </w:rPr>
  </w:style>
  <w:style w:type="paragraph" w:customStyle="1" w:styleId="CVName">
    <w:name w:val="CVName"/>
    <w:basedOn w:val="Normal"/>
    <w:semiHidden/>
    <w:rsid w:val="00AD7CFC"/>
  </w:style>
  <w:style w:type="paragraph" w:customStyle="1" w:styleId="Content">
    <w:name w:val="Content"/>
    <w:basedOn w:val="Normal"/>
    <w:semiHidden/>
    <w:unhideWhenUsed/>
    <w:qFormat/>
    <w:rsid w:val="00AD7CFC"/>
    <w:pPr>
      <w:spacing w:line="280" w:lineRule="exact"/>
    </w:pPr>
  </w:style>
  <w:style w:type="paragraph" w:styleId="TOC4">
    <w:name w:val="toc 4"/>
    <w:basedOn w:val="Normal"/>
    <w:next w:val="Normal"/>
    <w:autoRedefine/>
    <w:uiPriority w:val="39"/>
    <w:unhideWhenUsed/>
    <w:rsid w:val="00997940"/>
    <w:pPr>
      <w:tabs>
        <w:tab w:val="right" w:leader="dot" w:pos="9906"/>
      </w:tabs>
      <w:spacing w:after="100"/>
      <w:ind w:left="1315" w:hanging="1315"/>
    </w:pPr>
  </w:style>
  <w:style w:type="paragraph" w:styleId="TOC5">
    <w:name w:val="toc 5"/>
    <w:basedOn w:val="Normal"/>
    <w:next w:val="Normal"/>
    <w:autoRedefine/>
    <w:uiPriority w:val="39"/>
    <w:unhideWhenUsed/>
    <w:rsid w:val="00997940"/>
    <w:pPr>
      <w:tabs>
        <w:tab w:val="right" w:leader="dot" w:pos="9923"/>
      </w:tabs>
      <w:spacing w:after="100"/>
      <w:ind w:left="1315" w:hanging="1315"/>
    </w:pPr>
  </w:style>
  <w:style w:type="paragraph" w:styleId="TOC6">
    <w:name w:val="toc 6"/>
    <w:basedOn w:val="Normal"/>
    <w:next w:val="Normal"/>
    <w:autoRedefine/>
    <w:uiPriority w:val="39"/>
    <w:unhideWhenUsed/>
    <w:rsid w:val="00997940"/>
    <w:pPr>
      <w:tabs>
        <w:tab w:val="left" w:pos="1315"/>
        <w:tab w:val="right" w:leader="dot" w:pos="9923"/>
      </w:tabs>
      <w:spacing w:after="100"/>
      <w:ind w:left="675" w:hanging="675"/>
    </w:pPr>
  </w:style>
  <w:style w:type="paragraph" w:styleId="TOC7">
    <w:name w:val="toc 7"/>
    <w:basedOn w:val="Normal"/>
    <w:next w:val="Normal"/>
    <w:autoRedefine/>
    <w:uiPriority w:val="39"/>
    <w:unhideWhenUsed/>
    <w:rsid w:val="00997940"/>
    <w:pPr>
      <w:tabs>
        <w:tab w:val="left" w:pos="1315"/>
        <w:tab w:val="right" w:leader="dot" w:pos="9923"/>
      </w:tabs>
      <w:spacing w:after="100"/>
      <w:ind w:left="675" w:hanging="675"/>
    </w:pPr>
  </w:style>
  <w:style w:type="paragraph" w:styleId="TOC8">
    <w:name w:val="toc 8"/>
    <w:basedOn w:val="Normal"/>
    <w:next w:val="Normal"/>
    <w:autoRedefine/>
    <w:uiPriority w:val="39"/>
    <w:unhideWhenUsed/>
    <w:rsid w:val="00997940"/>
    <w:pPr>
      <w:tabs>
        <w:tab w:val="left" w:pos="1315"/>
        <w:tab w:val="right" w:leader="dot" w:pos="9923"/>
      </w:tabs>
      <w:spacing w:after="100"/>
      <w:ind w:left="675" w:hanging="675"/>
    </w:pPr>
  </w:style>
  <w:style w:type="paragraph" w:customStyle="1" w:styleId="Para1narrowarrow">
    <w:name w:val="Para 1 narrow arrow"/>
    <w:basedOn w:val="Para0narrowbullet"/>
    <w:uiPriority w:val="5"/>
    <w:unhideWhenUsed/>
    <w:rsid w:val="00264230"/>
    <w:pPr>
      <w:numPr>
        <w:ilvl w:val="1"/>
        <w:numId w:val="37"/>
      </w:numPr>
    </w:pPr>
  </w:style>
  <w:style w:type="paragraph" w:customStyle="1" w:styleId="Bodyheading">
    <w:name w:val="Body heading"/>
    <w:basedOn w:val="Collateralheading"/>
    <w:next w:val="Bodynarrow"/>
    <w:uiPriority w:val="9"/>
    <w:qFormat/>
    <w:rsid w:val="00CD27CA"/>
    <w:pPr>
      <w:widowControl w:val="0"/>
      <w:ind w:left="3402"/>
    </w:pPr>
  </w:style>
  <w:style w:type="paragraph" w:customStyle="1" w:styleId="Bodysubheading">
    <w:name w:val="Body sub heading"/>
    <w:basedOn w:val="Bodynarrow"/>
    <w:next w:val="Bodynarrow"/>
    <w:uiPriority w:val="9"/>
    <w:qFormat/>
    <w:rsid w:val="00CD27CA"/>
    <w:pPr>
      <w:spacing w:before="120"/>
    </w:pPr>
    <w:rPr>
      <w:b/>
    </w:rPr>
  </w:style>
  <w:style w:type="paragraph" w:customStyle="1" w:styleId="CVTitle">
    <w:name w:val="CVTitle"/>
    <w:basedOn w:val="Projectrole1"/>
    <w:semiHidden/>
    <w:rsid w:val="00AD7CFC"/>
  </w:style>
  <w:style w:type="paragraph" w:customStyle="1" w:styleId="CVHead">
    <w:name w:val="CVHead"/>
    <w:basedOn w:val="Collateralheading"/>
    <w:semiHidden/>
    <w:rsid w:val="00AD7CFC"/>
  </w:style>
  <w:style w:type="paragraph" w:customStyle="1" w:styleId="PHHeading1">
    <w:name w:val="PHHeading 1"/>
    <w:basedOn w:val="CVHead"/>
    <w:semiHidden/>
    <w:rsid w:val="00AD7CFC"/>
  </w:style>
  <w:style w:type="paragraph" w:customStyle="1" w:styleId="PHHeading2">
    <w:name w:val="PHHeading 2"/>
    <w:basedOn w:val="Collateralsubheading"/>
    <w:semiHidden/>
    <w:rsid w:val="00AD7CFC"/>
  </w:style>
  <w:style w:type="paragraph" w:customStyle="1" w:styleId="PHHeading3">
    <w:name w:val="PHHeading 3"/>
    <w:basedOn w:val="PHHeading2"/>
    <w:semiHidden/>
    <w:rsid w:val="00AD7CFC"/>
  </w:style>
  <w:style w:type="paragraph" w:customStyle="1" w:styleId="Para1">
    <w:name w:val="Para 1"/>
    <w:basedOn w:val="Para0"/>
    <w:uiPriority w:val="5"/>
    <w:rsid w:val="00E33614"/>
    <w:pPr>
      <w:ind w:left="425"/>
    </w:pPr>
  </w:style>
  <w:style w:type="paragraph" w:customStyle="1" w:styleId="Para1bullet">
    <w:name w:val="Para 1 bullet"/>
    <w:basedOn w:val="Para0bullet"/>
    <w:uiPriority w:val="5"/>
    <w:rsid w:val="00101052"/>
    <w:pPr>
      <w:numPr>
        <w:numId w:val="0"/>
      </w:numPr>
    </w:pPr>
  </w:style>
  <w:style w:type="paragraph" w:customStyle="1" w:styleId="Para1dash">
    <w:name w:val="Para 1 dash"/>
    <w:basedOn w:val="Para0dash"/>
    <w:uiPriority w:val="5"/>
    <w:rsid w:val="00101052"/>
    <w:pPr>
      <w:ind w:left="850"/>
    </w:pPr>
  </w:style>
  <w:style w:type="paragraph" w:customStyle="1" w:styleId="Para1letter">
    <w:name w:val="Para 1 letter"/>
    <w:basedOn w:val="Para0letter"/>
    <w:uiPriority w:val="5"/>
    <w:rsid w:val="00101052"/>
    <w:pPr>
      <w:ind w:left="850"/>
    </w:pPr>
  </w:style>
  <w:style w:type="paragraph" w:customStyle="1" w:styleId="Para1number">
    <w:name w:val="Para 1 number"/>
    <w:basedOn w:val="Para1bullet"/>
    <w:uiPriority w:val="5"/>
    <w:rsid w:val="00534198"/>
    <w:pPr>
      <w:numPr>
        <w:numId w:val="9"/>
      </w:numPr>
      <w:ind w:left="850" w:hanging="425"/>
    </w:pPr>
  </w:style>
  <w:style w:type="paragraph" w:customStyle="1" w:styleId="Summary">
    <w:name w:val="Summary"/>
    <w:basedOn w:val="Normal"/>
    <w:next w:val="Para0"/>
    <w:uiPriority w:val="1"/>
    <w:qFormat/>
    <w:rsid w:val="00AD7CFC"/>
    <w:pPr>
      <w:pageBreakBefore/>
      <w:spacing w:after="120" w:line="320" w:lineRule="exact"/>
    </w:pPr>
    <w:rPr>
      <w:b/>
      <w:color w:val="00338D"/>
      <w:sz w:val="32"/>
    </w:rPr>
  </w:style>
  <w:style w:type="paragraph" w:customStyle="1" w:styleId="SectionSubheading1">
    <w:name w:val="Section Sub heading 1"/>
    <w:basedOn w:val="Heading2"/>
    <w:next w:val="Para0"/>
    <w:uiPriority w:val="1"/>
    <w:qFormat/>
    <w:rsid w:val="00AD7CFC"/>
    <w:pPr>
      <w:numPr>
        <w:ilvl w:val="0"/>
        <w:numId w:val="0"/>
      </w:numPr>
    </w:pPr>
  </w:style>
  <w:style w:type="paragraph" w:customStyle="1" w:styleId="SectionSubheading2">
    <w:name w:val="Section Sub heading 2"/>
    <w:basedOn w:val="Heading3"/>
    <w:next w:val="Para0"/>
    <w:uiPriority w:val="1"/>
    <w:qFormat/>
    <w:rsid w:val="00AD7CFC"/>
    <w:pPr>
      <w:numPr>
        <w:ilvl w:val="0"/>
        <w:numId w:val="0"/>
      </w:numPr>
    </w:pPr>
  </w:style>
  <w:style w:type="paragraph" w:customStyle="1" w:styleId="DocumentTitle">
    <w:name w:val="Document Title"/>
    <w:basedOn w:val="Normal"/>
    <w:uiPriority w:val="19"/>
    <w:rsid w:val="00267DD3"/>
    <w:pPr>
      <w:spacing w:after="60"/>
    </w:pPr>
  </w:style>
  <w:style w:type="paragraph" w:customStyle="1" w:styleId="Para2">
    <w:name w:val="Para 2"/>
    <w:basedOn w:val="Para1"/>
    <w:uiPriority w:val="6"/>
    <w:rsid w:val="00264230"/>
    <w:pPr>
      <w:ind w:left="851"/>
    </w:pPr>
  </w:style>
  <w:style w:type="paragraph" w:customStyle="1" w:styleId="Para2bullet">
    <w:name w:val="Para 2 bullet"/>
    <w:basedOn w:val="Para1bullet"/>
    <w:uiPriority w:val="6"/>
    <w:rsid w:val="00534198"/>
    <w:pPr>
      <w:ind w:left="1276"/>
    </w:pPr>
  </w:style>
  <w:style w:type="paragraph" w:customStyle="1" w:styleId="Para2dash">
    <w:name w:val="Para 2 dash"/>
    <w:basedOn w:val="Para1dash"/>
    <w:uiPriority w:val="6"/>
    <w:rsid w:val="00534198"/>
    <w:pPr>
      <w:ind w:left="1276"/>
    </w:pPr>
  </w:style>
  <w:style w:type="paragraph" w:customStyle="1" w:styleId="Para2letter">
    <w:name w:val="Para 2 letter"/>
    <w:basedOn w:val="Para1letter"/>
    <w:uiPriority w:val="6"/>
    <w:rsid w:val="00534198"/>
    <w:pPr>
      <w:ind w:left="1276"/>
    </w:pPr>
  </w:style>
  <w:style w:type="paragraph" w:customStyle="1" w:styleId="Contents">
    <w:name w:val="Contents"/>
    <w:basedOn w:val="PageHeading"/>
    <w:next w:val="Para0"/>
    <w:uiPriority w:val="24"/>
    <w:rsid w:val="004300A0"/>
    <w:pPr>
      <w:pageBreakBefore/>
      <w:spacing w:after="100"/>
      <w:ind w:left="0"/>
    </w:pPr>
    <w:rPr>
      <w:rFonts w:ascii="Arial" w:hAnsi="Arial"/>
      <w:b/>
      <w:color w:val="00338D"/>
      <w:sz w:val="24"/>
    </w:rPr>
  </w:style>
  <w:style w:type="paragraph" w:customStyle="1" w:styleId="Tablecaption">
    <w:name w:val="Table caption"/>
    <w:basedOn w:val="Caption"/>
    <w:next w:val="Para0"/>
    <w:rsid w:val="0083301B"/>
    <w:rPr>
      <w:rFonts w:ascii="Arial" w:hAnsi="Arial"/>
    </w:rPr>
  </w:style>
  <w:style w:type="paragraph" w:customStyle="1" w:styleId="Figurecaption">
    <w:name w:val="Figure caption"/>
    <w:basedOn w:val="Caption"/>
    <w:next w:val="Para0"/>
    <w:semiHidden/>
    <w:rsid w:val="00AD7CFC"/>
  </w:style>
  <w:style w:type="paragraph" w:customStyle="1" w:styleId="Appendixsubheading1">
    <w:name w:val="Appendix subheading 1"/>
    <w:basedOn w:val="Normal"/>
    <w:next w:val="Para0"/>
    <w:uiPriority w:val="2"/>
    <w:qFormat/>
    <w:rsid w:val="005E3F0E"/>
    <w:pPr>
      <w:spacing w:before="240" w:after="120" w:line="280" w:lineRule="exact"/>
    </w:pPr>
    <w:rPr>
      <w:b/>
      <w:color w:val="00338D"/>
      <w:sz w:val="24"/>
    </w:rPr>
  </w:style>
  <w:style w:type="paragraph" w:customStyle="1" w:styleId="Appendixsubheading2">
    <w:name w:val="Appendix subheading 2"/>
    <w:basedOn w:val="Normal"/>
    <w:next w:val="Para0"/>
    <w:uiPriority w:val="2"/>
    <w:qFormat/>
    <w:rsid w:val="005E3F0E"/>
    <w:pPr>
      <w:spacing w:before="240" w:after="120"/>
    </w:pPr>
    <w:rPr>
      <w:b/>
      <w:color w:val="00338D"/>
    </w:rPr>
  </w:style>
  <w:style w:type="paragraph" w:customStyle="1" w:styleId="Image">
    <w:name w:val="Image"/>
    <w:basedOn w:val="Normal"/>
    <w:semiHidden/>
    <w:rsid w:val="00AD7CFC"/>
    <w:pPr>
      <w:spacing w:after="0" w:line="240" w:lineRule="auto"/>
    </w:pPr>
  </w:style>
  <w:style w:type="paragraph" w:customStyle="1" w:styleId="Para1bold">
    <w:name w:val="Para 1 bold"/>
    <w:basedOn w:val="Para1"/>
    <w:uiPriority w:val="5"/>
    <w:rsid w:val="00264230"/>
    <w:rPr>
      <w:b/>
    </w:rPr>
  </w:style>
  <w:style w:type="paragraph" w:customStyle="1" w:styleId="Para1roman">
    <w:name w:val="Para 1 roman"/>
    <w:basedOn w:val="Para0roman"/>
    <w:uiPriority w:val="5"/>
    <w:rsid w:val="00534198"/>
    <w:pPr>
      <w:ind w:left="850"/>
    </w:pPr>
  </w:style>
  <w:style w:type="paragraph" w:customStyle="1" w:styleId="Para2bold">
    <w:name w:val="Para 2 bold"/>
    <w:basedOn w:val="Para2"/>
    <w:uiPriority w:val="6"/>
    <w:rsid w:val="00264230"/>
    <w:rPr>
      <w:b/>
    </w:rPr>
  </w:style>
  <w:style w:type="paragraph" w:customStyle="1" w:styleId="Para2number">
    <w:name w:val="Para 2 number"/>
    <w:basedOn w:val="Para1number"/>
    <w:uiPriority w:val="6"/>
    <w:rsid w:val="007C1375"/>
    <w:pPr>
      <w:ind w:left="1276"/>
    </w:pPr>
  </w:style>
  <w:style w:type="paragraph" w:customStyle="1" w:styleId="Para2roman">
    <w:name w:val="Para 2 roman"/>
    <w:basedOn w:val="Para2number"/>
    <w:uiPriority w:val="6"/>
    <w:rsid w:val="00264230"/>
    <w:pPr>
      <w:numPr>
        <w:ilvl w:val="2"/>
        <w:numId w:val="29"/>
      </w:numPr>
    </w:pPr>
  </w:style>
  <w:style w:type="paragraph" w:customStyle="1" w:styleId="TableContent">
    <w:name w:val="Table Content"/>
    <w:basedOn w:val="Normal"/>
    <w:semiHidden/>
    <w:qFormat/>
    <w:rsid w:val="00AD7CFC"/>
    <w:pPr>
      <w:spacing w:before="60" w:after="60" w:line="240" w:lineRule="exact"/>
    </w:pPr>
  </w:style>
  <w:style w:type="character" w:customStyle="1" w:styleId="Bodynarrowbold">
    <w:name w:val="Body narrow bold"/>
    <w:uiPriority w:val="10"/>
    <w:rsid w:val="00F70B7E"/>
    <w:rPr>
      <w:rFonts w:ascii="Arial" w:hAnsi="Arial"/>
      <w:b/>
      <w:sz w:val="20"/>
    </w:rPr>
  </w:style>
  <w:style w:type="numbering" w:customStyle="1" w:styleId="JacobsNumberedList1">
    <w:name w:val="Jacobs Numbered List 1"/>
    <w:uiPriority w:val="99"/>
    <w:rsid w:val="007A33C5"/>
    <w:pPr>
      <w:numPr>
        <w:numId w:val="17"/>
      </w:numPr>
    </w:pPr>
  </w:style>
  <w:style w:type="numbering" w:customStyle="1" w:styleId="JacobsNumberedList2">
    <w:name w:val="Jacobs Numbered List 2"/>
    <w:uiPriority w:val="99"/>
    <w:rsid w:val="007A33C5"/>
    <w:pPr>
      <w:numPr>
        <w:numId w:val="18"/>
      </w:numPr>
    </w:pPr>
  </w:style>
  <w:style w:type="numbering" w:customStyle="1" w:styleId="JacobsNumberedList3">
    <w:name w:val="Jacobs Numbered List 3"/>
    <w:uiPriority w:val="99"/>
    <w:rsid w:val="007A33C5"/>
    <w:pPr>
      <w:numPr>
        <w:numId w:val="19"/>
      </w:numPr>
    </w:pPr>
  </w:style>
  <w:style w:type="numbering" w:customStyle="1" w:styleId="JacobsBulletList1">
    <w:name w:val="Jacobs Bullet List 1"/>
    <w:uiPriority w:val="99"/>
    <w:rsid w:val="007A33C5"/>
    <w:pPr>
      <w:numPr>
        <w:numId w:val="13"/>
      </w:numPr>
    </w:pPr>
  </w:style>
  <w:style w:type="numbering" w:customStyle="1" w:styleId="JacobsBulletList2">
    <w:name w:val="Jacobs Bullet List 2"/>
    <w:uiPriority w:val="99"/>
    <w:rsid w:val="007A33C5"/>
    <w:pPr>
      <w:numPr>
        <w:numId w:val="14"/>
      </w:numPr>
    </w:pPr>
  </w:style>
  <w:style w:type="paragraph" w:customStyle="1" w:styleId="PurpleHeading">
    <w:name w:val="Purple Heading"/>
    <w:basedOn w:val="Normal"/>
    <w:semiHidden/>
    <w:rsid w:val="00AD7CFC"/>
    <w:pPr>
      <w:framePr w:hSpace="181" w:wrap="around" w:vAnchor="text" w:hAnchor="margin" w:x="142" w:y="456"/>
      <w:spacing w:before="80" w:after="0" w:line="320" w:lineRule="atLeast"/>
      <w:suppressOverlap/>
    </w:pPr>
    <w:rPr>
      <w:rFonts w:ascii="Arial Black" w:hAnsi="Arial Black"/>
      <w:b/>
      <w:color w:val="00338D"/>
      <w:sz w:val="24"/>
    </w:rPr>
  </w:style>
  <w:style w:type="paragraph" w:customStyle="1" w:styleId="Purplenarrow">
    <w:name w:val="Purple narrow"/>
    <w:basedOn w:val="PurpleHeading"/>
    <w:semiHidden/>
    <w:rsid w:val="00AD7CFC"/>
    <w:pPr>
      <w:framePr w:wrap="around"/>
      <w:spacing w:before="0"/>
    </w:pPr>
    <w:rPr>
      <w:rFonts w:ascii="Arial" w:hAnsi="Arial"/>
      <w:b w:val="0"/>
      <w:caps/>
      <w:sz w:val="18"/>
    </w:rPr>
  </w:style>
  <w:style w:type="table" w:styleId="MediumList2">
    <w:name w:val="Medium List 2"/>
    <w:basedOn w:val="TableNormal"/>
    <w:uiPriority w:val="66"/>
    <w:rsid w:val="00AD7CFC"/>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1">
    <w:name w:val="Medium Grid 1 Accent 1"/>
    <w:basedOn w:val="TableNormal"/>
    <w:uiPriority w:val="67"/>
    <w:rsid w:val="00AD7CFC"/>
    <w:tblPr>
      <w:tblStyleRowBandSize w:val="1"/>
      <w:tblStyleColBandSize w:val="1"/>
      <w:tblBorders>
        <w:top w:val="single" w:sz="8" w:space="0" w:color="97B3BB" w:themeColor="accent1" w:themeTint="BF"/>
        <w:left w:val="single" w:sz="8" w:space="0" w:color="97B3BB" w:themeColor="accent1" w:themeTint="BF"/>
        <w:bottom w:val="single" w:sz="8" w:space="0" w:color="97B3BB" w:themeColor="accent1" w:themeTint="BF"/>
        <w:right w:val="single" w:sz="8" w:space="0" w:color="97B3BB" w:themeColor="accent1" w:themeTint="BF"/>
        <w:insideH w:val="single" w:sz="8" w:space="0" w:color="97B3BB" w:themeColor="accent1" w:themeTint="BF"/>
        <w:insideV w:val="single" w:sz="8" w:space="0" w:color="97B3BB" w:themeColor="accent1" w:themeTint="BF"/>
      </w:tblBorders>
    </w:tblPr>
    <w:tcPr>
      <w:shd w:val="clear" w:color="auto" w:fill="DCE6E8" w:themeFill="accent1" w:themeFillTint="3F"/>
    </w:tcPr>
    <w:tblStylePr w:type="firstRow">
      <w:rPr>
        <w:b/>
        <w:bCs/>
      </w:rPr>
    </w:tblStylePr>
    <w:tblStylePr w:type="lastRow">
      <w:rPr>
        <w:b/>
        <w:bCs/>
      </w:rPr>
      <w:tblPr/>
      <w:tcPr>
        <w:tcBorders>
          <w:top w:val="single" w:sz="18" w:space="0" w:color="97B3BB" w:themeColor="accent1" w:themeTint="BF"/>
        </w:tcBorders>
      </w:tcPr>
    </w:tblStylePr>
    <w:tblStylePr w:type="firstCol">
      <w:rPr>
        <w:b/>
        <w:bCs/>
      </w:rPr>
    </w:tblStylePr>
    <w:tblStylePr w:type="lastCol">
      <w:rPr>
        <w:b/>
        <w:bCs/>
      </w:rPr>
    </w:tblStylePr>
    <w:tblStylePr w:type="band1Vert">
      <w:tblPr/>
      <w:tcPr>
        <w:shd w:val="clear" w:color="auto" w:fill="BACCD2" w:themeFill="accent1" w:themeFillTint="7F"/>
      </w:tcPr>
    </w:tblStylePr>
    <w:tblStylePr w:type="band1Horz">
      <w:tblPr/>
      <w:tcPr>
        <w:shd w:val="clear" w:color="auto" w:fill="BACCD2" w:themeFill="accent1" w:themeFillTint="7F"/>
      </w:tcPr>
    </w:tblStylePr>
  </w:style>
  <w:style w:type="table" w:customStyle="1" w:styleId="Table1">
    <w:name w:val="Table1"/>
    <w:basedOn w:val="TableNormal"/>
    <w:uiPriority w:val="99"/>
    <w:rsid w:val="00AD7CFC"/>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tblStylePr w:type="firstCol">
      <w:tblPr/>
      <w:tcPr>
        <w:shd w:val="clear" w:color="auto" w:fill="E6E5E3"/>
      </w:tcPr>
    </w:tblStylePr>
  </w:style>
  <w:style w:type="table" w:customStyle="1" w:styleId="Table2">
    <w:name w:val="Table2"/>
    <w:basedOn w:val="TableNormal"/>
    <w:uiPriority w:val="99"/>
    <w:rsid w:val="00AD7CFC"/>
    <w:rPr>
      <w:rFonts w:ascii="Arial" w:hAnsi="Arial"/>
      <w:sz w:val="20"/>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style>
  <w:style w:type="paragraph" w:customStyle="1" w:styleId="PenPicBodyheading">
    <w:name w:val="Pen Pic Body heading"/>
    <w:basedOn w:val="Bodyheading"/>
    <w:semiHidden/>
    <w:rsid w:val="00AD7CFC"/>
    <w:pPr>
      <w:ind w:left="284"/>
    </w:pPr>
  </w:style>
  <w:style w:type="paragraph" w:customStyle="1" w:styleId="PenPicSidebartext">
    <w:name w:val="Pen Pic Sidebar text"/>
    <w:basedOn w:val="Normal"/>
    <w:semiHidden/>
    <w:rsid w:val="00AD7CFC"/>
    <w:pPr>
      <w:suppressAutoHyphens/>
      <w:autoSpaceDE w:val="0"/>
      <w:autoSpaceDN w:val="0"/>
      <w:adjustRightInd w:val="0"/>
      <w:spacing w:before="60" w:after="60"/>
      <w:ind w:left="284"/>
      <w:textAlignment w:val="center"/>
    </w:pPr>
    <w:rPr>
      <w:rFonts w:cs="Arial Narrow"/>
      <w:color w:val="000000"/>
      <w:sz w:val="19"/>
      <w:szCs w:val="19"/>
    </w:rPr>
  </w:style>
  <w:style w:type="paragraph" w:customStyle="1" w:styleId="PenPicSidebarbullet">
    <w:name w:val="Pen Pic Sidebar bullet"/>
    <w:basedOn w:val="Sidebarbullet"/>
    <w:rsid w:val="000A0E10"/>
    <w:pPr>
      <w:framePr w:hSpace="0" w:wrap="auto" w:hAnchor="text" w:xAlign="left" w:yAlign="inline"/>
      <w:numPr>
        <w:numId w:val="10"/>
      </w:numPr>
    </w:pPr>
    <w:rPr>
      <w:color w:val="000000"/>
      <w:sz w:val="19"/>
    </w:rPr>
  </w:style>
  <w:style w:type="numbering" w:customStyle="1" w:styleId="JacobsBulletList3">
    <w:name w:val="Jacobs Bullet List 3"/>
    <w:uiPriority w:val="99"/>
    <w:rsid w:val="007A33C5"/>
    <w:pPr>
      <w:numPr>
        <w:numId w:val="15"/>
      </w:numPr>
    </w:pPr>
  </w:style>
  <w:style w:type="numbering" w:customStyle="1" w:styleId="JacobsTableList1">
    <w:name w:val="Jacobs Table List 1"/>
    <w:uiPriority w:val="99"/>
    <w:rsid w:val="007A33C5"/>
    <w:pPr>
      <w:numPr>
        <w:numId w:val="25"/>
      </w:numPr>
    </w:pPr>
  </w:style>
  <w:style w:type="numbering" w:customStyle="1" w:styleId="JacobsTableNumberedList1">
    <w:name w:val="Jacobs Table Numbered List 1"/>
    <w:uiPriority w:val="99"/>
    <w:rsid w:val="007A33C5"/>
    <w:pPr>
      <w:numPr>
        <w:numId w:val="26"/>
      </w:numPr>
    </w:pPr>
  </w:style>
  <w:style w:type="numbering" w:customStyle="1" w:styleId="JacobsTableNumberedList2">
    <w:name w:val="Jacobs Table Numbered List 2"/>
    <w:uiPriority w:val="99"/>
    <w:rsid w:val="007A33C5"/>
    <w:pPr>
      <w:numPr>
        <w:numId w:val="27"/>
      </w:numPr>
    </w:pPr>
  </w:style>
  <w:style w:type="numbering" w:customStyle="1" w:styleId="JacobsSmallTableList1">
    <w:name w:val="Jacobs Small Table List 1"/>
    <w:uiPriority w:val="99"/>
    <w:rsid w:val="007A33C5"/>
    <w:pPr>
      <w:numPr>
        <w:numId w:val="21"/>
      </w:numPr>
    </w:pPr>
  </w:style>
  <w:style w:type="numbering" w:customStyle="1" w:styleId="JacobsSmallTableNumberedList1">
    <w:name w:val="Jacobs Small Table Numbered List 1"/>
    <w:uiPriority w:val="99"/>
    <w:rsid w:val="007A33C5"/>
    <w:pPr>
      <w:numPr>
        <w:numId w:val="22"/>
      </w:numPr>
    </w:pPr>
  </w:style>
  <w:style w:type="numbering" w:customStyle="1" w:styleId="JacobsSmallTableNumberedList2">
    <w:name w:val="Jacobs Small Table Numbered List 2"/>
    <w:uiPriority w:val="99"/>
    <w:rsid w:val="007A33C5"/>
    <w:pPr>
      <w:numPr>
        <w:numId w:val="23"/>
      </w:numPr>
    </w:pPr>
  </w:style>
  <w:style w:type="numbering" w:customStyle="1" w:styleId="JacobsBodyList">
    <w:name w:val="Jacobs Body List"/>
    <w:uiPriority w:val="99"/>
    <w:rsid w:val="007A33C5"/>
    <w:pPr>
      <w:numPr>
        <w:numId w:val="12"/>
      </w:numPr>
    </w:pPr>
  </w:style>
  <w:style w:type="numbering" w:customStyle="1" w:styleId="JacobsNarrowList">
    <w:name w:val="Jacobs Narrow List"/>
    <w:uiPriority w:val="99"/>
    <w:rsid w:val="007A33C5"/>
    <w:pPr>
      <w:numPr>
        <w:numId w:val="16"/>
      </w:numPr>
    </w:pPr>
  </w:style>
  <w:style w:type="numbering" w:customStyle="1" w:styleId="JacobsSidebarList">
    <w:name w:val="Jacobs Sidebar List"/>
    <w:uiPriority w:val="99"/>
    <w:rsid w:val="007A33C5"/>
    <w:pPr>
      <w:numPr>
        <w:numId w:val="20"/>
      </w:numPr>
    </w:pPr>
  </w:style>
  <w:style w:type="paragraph" w:customStyle="1" w:styleId="Reference">
    <w:name w:val="Reference"/>
    <w:basedOn w:val="Para0"/>
    <w:uiPriority w:val="24"/>
    <w:rsid w:val="00AD7CFC"/>
    <w:pPr>
      <w:spacing w:before="0"/>
      <w:contextualSpacing/>
    </w:pPr>
    <w:rPr>
      <w:i/>
      <w:sz w:val="14"/>
    </w:rPr>
  </w:style>
  <w:style w:type="paragraph" w:styleId="EndnoteText">
    <w:name w:val="endnote text"/>
    <w:basedOn w:val="Normal"/>
    <w:link w:val="EndnoteTextChar"/>
    <w:uiPriority w:val="24"/>
    <w:rsid w:val="00AD7CFC"/>
    <w:pPr>
      <w:spacing w:after="240" w:line="240" w:lineRule="auto"/>
      <w:ind w:left="170" w:hanging="170"/>
      <w:contextualSpacing/>
    </w:pPr>
    <w:rPr>
      <w:sz w:val="15"/>
      <w:szCs w:val="20"/>
    </w:rPr>
  </w:style>
  <w:style w:type="character" w:customStyle="1" w:styleId="EndnoteTextChar">
    <w:name w:val="Endnote Text Char"/>
    <w:basedOn w:val="DefaultParagraphFont"/>
    <w:link w:val="EndnoteText"/>
    <w:uiPriority w:val="24"/>
    <w:rsid w:val="008B6D44"/>
    <w:rPr>
      <w:rFonts w:ascii="Arial" w:hAnsi="Arial"/>
      <w:sz w:val="15"/>
      <w:szCs w:val="20"/>
      <w:lang w:val="en-AU"/>
    </w:rPr>
  </w:style>
  <w:style w:type="character" w:styleId="EndnoteReference">
    <w:name w:val="endnote reference"/>
    <w:basedOn w:val="DefaultParagraphFont"/>
    <w:uiPriority w:val="24"/>
    <w:rsid w:val="00AD7CFC"/>
    <w:rPr>
      <w:rFonts w:ascii="Arial" w:hAnsi="Arial"/>
      <w:sz w:val="15"/>
      <w:vertAlign w:val="superscript"/>
    </w:rPr>
  </w:style>
  <w:style w:type="paragraph" w:customStyle="1" w:styleId="CoverTitle">
    <w:name w:val="Cover Title"/>
    <w:basedOn w:val="CoverHeading2"/>
    <w:rsid w:val="00AD7CFC"/>
    <w:rPr>
      <w:sz w:val="24"/>
    </w:rPr>
  </w:style>
  <w:style w:type="paragraph" w:customStyle="1" w:styleId="CoverHeading2">
    <w:name w:val="Cover Heading 2"/>
    <w:basedOn w:val="CoverHeading"/>
    <w:rsid w:val="00AD7CFC"/>
    <w:rPr>
      <w:color w:val="00338D"/>
    </w:rPr>
  </w:style>
  <w:style w:type="paragraph" w:customStyle="1" w:styleId="CoverSubheading2">
    <w:name w:val="Cover Subheading 2"/>
    <w:basedOn w:val="CoverHeading2"/>
    <w:semiHidden/>
    <w:rsid w:val="00903EC7"/>
    <w:pPr>
      <w:spacing w:line="280" w:lineRule="exact"/>
    </w:pPr>
    <w:rPr>
      <w:rFonts w:ascii="Arial" w:hAnsi="Arial"/>
      <w:color w:val="6C6F70"/>
      <w:sz w:val="24"/>
    </w:rPr>
  </w:style>
  <w:style w:type="paragraph" w:customStyle="1" w:styleId="CoverDate2">
    <w:name w:val="Cover Date 2"/>
    <w:basedOn w:val="CoverDate"/>
    <w:rsid w:val="00AD7CFC"/>
    <w:rPr>
      <w:color w:val="6C6F70"/>
      <w:sz w:val="24"/>
    </w:rPr>
  </w:style>
  <w:style w:type="paragraph" w:customStyle="1" w:styleId="Tableitem">
    <w:name w:val="Table item"/>
    <w:basedOn w:val="Tabletext"/>
    <w:uiPriority w:val="14"/>
    <w:rsid w:val="00AD7CFC"/>
    <w:pPr>
      <w:numPr>
        <w:numId w:val="24"/>
      </w:numPr>
    </w:pPr>
  </w:style>
  <w:style w:type="paragraph" w:customStyle="1" w:styleId="Tablesmallitem">
    <w:name w:val="Table small item"/>
    <w:basedOn w:val="Tablesmalltext"/>
    <w:rsid w:val="00AD7CFC"/>
    <w:pPr>
      <w:numPr>
        <w:numId w:val="28"/>
      </w:numPr>
    </w:pPr>
  </w:style>
  <w:style w:type="numbering" w:customStyle="1" w:styleId="JacobsTableItem">
    <w:name w:val="Jacobs Table Item"/>
    <w:uiPriority w:val="99"/>
    <w:rsid w:val="007A33C5"/>
    <w:pPr>
      <w:numPr>
        <w:numId w:val="24"/>
      </w:numPr>
    </w:pPr>
  </w:style>
  <w:style w:type="numbering" w:customStyle="1" w:styleId="JacobsTablesmallitem">
    <w:name w:val="Jacobs Table small item"/>
    <w:uiPriority w:val="99"/>
    <w:rsid w:val="007A33C5"/>
    <w:pPr>
      <w:numPr>
        <w:numId w:val="28"/>
      </w:numPr>
    </w:pPr>
  </w:style>
  <w:style w:type="paragraph" w:customStyle="1" w:styleId="Appendixsubheading3">
    <w:name w:val="Appendix subheading 3"/>
    <w:basedOn w:val="Appendixsubheading2"/>
    <w:next w:val="Para0"/>
    <w:rsid w:val="001F418B"/>
    <w:pPr>
      <w:numPr>
        <w:ilvl w:val="3"/>
        <w:numId w:val="8"/>
      </w:numPr>
    </w:pPr>
    <w:rPr>
      <w:color w:val="auto"/>
    </w:rPr>
  </w:style>
  <w:style w:type="paragraph" w:customStyle="1" w:styleId="Para3">
    <w:name w:val="Para 3"/>
    <w:basedOn w:val="Para2"/>
    <w:uiPriority w:val="7"/>
    <w:rsid w:val="00AD7CFC"/>
    <w:pPr>
      <w:ind w:left="1276"/>
    </w:pPr>
  </w:style>
  <w:style w:type="paragraph" w:customStyle="1" w:styleId="Para3bold">
    <w:name w:val="Para 3 bold"/>
    <w:basedOn w:val="Para2bold"/>
    <w:uiPriority w:val="7"/>
    <w:rsid w:val="00AD7CFC"/>
    <w:pPr>
      <w:ind w:left="1276"/>
    </w:pPr>
  </w:style>
  <w:style w:type="paragraph" w:customStyle="1" w:styleId="Para3bullet">
    <w:name w:val="Para 3 bullet"/>
    <w:basedOn w:val="Para2bullet"/>
    <w:uiPriority w:val="7"/>
    <w:rsid w:val="007C1375"/>
    <w:pPr>
      <w:ind w:left="1701"/>
    </w:pPr>
  </w:style>
  <w:style w:type="paragraph" w:customStyle="1" w:styleId="Para3dash">
    <w:name w:val="Para 3 dash"/>
    <w:basedOn w:val="Para2dash"/>
    <w:uiPriority w:val="7"/>
    <w:rsid w:val="007C1375"/>
    <w:pPr>
      <w:ind w:left="1701"/>
    </w:pPr>
  </w:style>
  <w:style w:type="paragraph" w:customStyle="1" w:styleId="Para3number">
    <w:name w:val="Para 3 number"/>
    <w:basedOn w:val="Para2number"/>
    <w:uiPriority w:val="7"/>
    <w:rsid w:val="007C1375"/>
    <w:pPr>
      <w:ind w:left="1701"/>
    </w:pPr>
  </w:style>
  <w:style w:type="paragraph" w:customStyle="1" w:styleId="Para3letter">
    <w:name w:val="Para 3 letter"/>
    <w:basedOn w:val="Para2letter"/>
    <w:uiPriority w:val="7"/>
    <w:rsid w:val="007C1375"/>
    <w:pPr>
      <w:ind w:left="1701"/>
    </w:pPr>
  </w:style>
  <w:style w:type="paragraph" w:customStyle="1" w:styleId="Para3roman">
    <w:name w:val="Para 3 roman"/>
    <w:basedOn w:val="Para2roman"/>
    <w:uiPriority w:val="7"/>
    <w:rsid w:val="007C1375"/>
  </w:style>
  <w:style w:type="paragraph" w:customStyle="1" w:styleId="Para4">
    <w:name w:val="Para 4"/>
    <w:basedOn w:val="Para3"/>
    <w:uiPriority w:val="8"/>
    <w:rsid w:val="00AD7CFC"/>
    <w:pPr>
      <w:ind w:left="1701"/>
    </w:pPr>
  </w:style>
  <w:style w:type="paragraph" w:customStyle="1" w:styleId="Para4bold">
    <w:name w:val="Para 4 bold"/>
    <w:basedOn w:val="Para3bold"/>
    <w:uiPriority w:val="8"/>
    <w:rsid w:val="00AD7CFC"/>
    <w:pPr>
      <w:ind w:left="1701"/>
    </w:pPr>
  </w:style>
  <w:style w:type="paragraph" w:customStyle="1" w:styleId="Para4bullet">
    <w:name w:val="Para 4 bullet"/>
    <w:basedOn w:val="Para3bullet"/>
    <w:uiPriority w:val="8"/>
    <w:rsid w:val="0066339A"/>
    <w:pPr>
      <w:ind w:left="2126"/>
    </w:pPr>
  </w:style>
  <w:style w:type="paragraph" w:customStyle="1" w:styleId="Para4dash">
    <w:name w:val="Para 4 dash"/>
    <w:basedOn w:val="Para3dash"/>
    <w:uiPriority w:val="8"/>
    <w:rsid w:val="0066339A"/>
    <w:pPr>
      <w:ind w:left="2126"/>
    </w:pPr>
  </w:style>
  <w:style w:type="paragraph" w:customStyle="1" w:styleId="Para4number">
    <w:name w:val="Para 4 number"/>
    <w:basedOn w:val="Para3number"/>
    <w:uiPriority w:val="8"/>
    <w:rsid w:val="0066339A"/>
    <w:pPr>
      <w:ind w:left="2126"/>
    </w:pPr>
  </w:style>
  <w:style w:type="paragraph" w:customStyle="1" w:styleId="Para4letter">
    <w:name w:val="Para 4 letter"/>
    <w:basedOn w:val="Para3letter"/>
    <w:uiPriority w:val="8"/>
    <w:rsid w:val="0066339A"/>
    <w:pPr>
      <w:ind w:left="2126"/>
    </w:pPr>
  </w:style>
  <w:style w:type="paragraph" w:customStyle="1" w:styleId="Para4roman">
    <w:name w:val="Para 4 roman"/>
    <w:basedOn w:val="Para3roman"/>
    <w:uiPriority w:val="8"/>
    <w:rsid w:val="0066339A"/>
    <w:pPr>
      <w:ind w:left="2126"/>
    </w:pPr>
  </w:style>
  <w:style w:type="paragraph" w:customStyle="1" w:styleId="ClientName">
    <w:name w:val="Client Name"/>
    <w:basedOn w:val="Tabletext"/>
    <w:uiPriority w:val="19"/>
    <w:qFormat/>
    <w:rsid w:val="00AD7CFC"/>
    <w:pPr>
      <w:spacing w:before="0"/>
    </w:pPr>
  </w:style>
  <w:style w:type="character" w:customStyle="1" w:styleId="Para0Char">
    <w:name w:val="Para 0 Char"/>
    <w:aliases w:val="Auto Char,After:  3 pt Char Char"/>
    <w:basedOn w:val="DefaultParagraphFont"/>
    <w:link w:val="Para0"/>
    <w:uiPriority w:val="4"/>
    <w:rsid w:val="00E33614"/>
    <w:rPr>
      <w:rFonts w:ascii="Arial" w:hAnsi="Arial"/>
      <w:sz w:val="20"/>
      <w:lang w:val="en-GB"/>
    </w:rPr>
  </w:style>
  <w:style w:type="paragraph" w:styleId="IntenseQuote">
    <w:name w:val="Intense Quote"/>
    <w:basedOn w:val="Normal"/>
    <w:next w:val="Normal"/>
    <w:link w:val="IntenseQuoteChar"/>
    <w:uiPriority w:val="30"/>
    <w:semiHidden/>
    <w:rsid w:val="00AD7CFC"/>
    <w:pPr>
      <w:pBdr>
        <w:bottom w:val="single" w:sz="4" w:space="4" w:color="759AA5" w:themeColor="accent1"/>
      </w:pBdr>
      <w:spacing w:before="200" w:after="280"/>
      <w:ind w:left="936" w:right="936"/>
    </w:pPr>
    <w:rPr>
      <w:b/>
      <w:bCs/>
      <w:i/>
      <w:iCs/>
      <w:color w:val="759AA5" w:themeColor="accent1"/>
    </w:rPr>
  </w:style>
  <w:style w:type="character" w:customStyle="1" w:styleId="IntenseQuoteChar">
    <w:name w:val="Intense Quote Char"/>
    <w:basedOn w:val="DefaultParagraphFont"/>
    <w:link w:val="IntenseQuote"/>
    <w:uiPriority w:val="30"/>
    <w:semiHidden/>
    <w:rsid w:val="00AD7CFC"/>
    <w:rPr>
      <w:rFonts w:ascii="Arial" w:hAnsi="Arial"/>
      <w:b/>
      <w:bCs/>
      <w:i/>
      <w:iCs/>
      <w:color w:val="759AA5" w:themeColor="accent1"/>
      <w:sz w:val="20"/>
      <w:lang w:val="en-AU"/>
    </w:rPr>
  </w:style>
  <w:style w:type="paragraph" w:customStyle="1" w:styleId="ProjectNo">
    <w:name w:val="Project No"/>
    <w:basedOn w:val="Tabletext"/>
    <w:rsid w:val="00AD7CFC"/>
    <w:pPr>
      <w:spacing w:before="0"/>
    </w:pPr>
  </w:style>
  <w:style w:type="paragraph" w:styleId="Quote">
    <w:name w:val="Quote"/>
    <w:basedOn w:val="Normal"/>
    <w:next w:val="Normal"/>
    <w:link w:val="QuoteChar"/>
    <w:uiPriority w:val="29"/>
    <w:semiHidden/>
    <w:rsid w:val="00AD7CFC"/>
    <w:rPr>
      <w:i/>
      <w:iCs/>
      <w:color w:val="00338D"/>
    </w:rPr>
  </w:style>
  <w:style w:type="character" w:customStyle="1" w:styleId="QuoteChar">
    <w:name w:val="Quote Char"/>
    <w:basedOn w:val="DefaultParagraphFont"/>
    <w:link w:val="Quote"/>
    <w:uiPriority w:val="29"/>
    <w:semiHidden/>
    <w:rsid w:val="00AD7CFC"/>
    <w:rPr>
      <w:rFonts w:ascii="Arial" w:hAnsi="Arial"/>
      <w:i/>
      <w:iCs/>
      <w:color w:val="00338D"/>
      <w:sz w:val="20"/>
      <w:lang w:val="en-AU"/>
    </w:rPr>
  </w:style>
  <w:style w:type="paragraph" w:styleId="Subtitle">
    <w:name w:val="Subtitle"/>
    <w:basedOn w:val="Normal"/>
    <w:next w:val="Normal"/>
    <w:link w:val="SubtitleChar"/>
    <w:uiPriority w:val="11"/>
    <w:semiHidden/>
    <w:rsid w:val="00AD7CFC"/>
    <w:pPr>
      <w:numPr>
        <w:ilvl w:val="1"/>
      </w:numPr>
    </w:pPr>
    <w:rPr>
      <w:rFonts w:asciiTheme="majorHAnsi" w:eastAsiaTheme="majorEastAsia" w:hAnsiTheme="majorHAnsi" w:cstheme="majorBidi"/>
      <w:i/>
      <w:iCs/>
      <w:color w:val="759AA5" w:themeColor="accent1"/>
      <w:spacing w:val="15"/>
      <w:sz w:val="24"/>
    </w:rPr>
  </w:style>
  <w:style w:type="character" w:customStyle="1" w:styleId="SubtitleChar">
    <w:name w:val="Subtitle Char"/>
    <w:basedOn w:val="DefaultParagraphFont"/>
    <w:link w:val="Subtitle"/>
    <w:uiPriority w:val="11"/>
    <w:semiHidden/>
    <w:rsid w:val="00AD7CFC"/>
    <w:rPr>
      <w:rFonts w:asciiTheme="majorHAnsi" w:eastAsiaTheme="majorEastAsia" w:hAnsiTheme="majorHAnsi" w:cstheme="majorBidi"/>
      <w:i/>
      <w:iCs/>
      <w:color w:val="759AA5" w:themeColor="accent1"/>
      <w:spacing w:val="15"/>
      <w:lang w:val="en-AU"/>
    </w:rPr>
  </w:style>
  <w:style w:type="paragraph" w:customStyle="1" w:styleId="EmptyHeader">
    <w:name w:val="Empty Header"/>
    <w:basedOn w:val="Header"/>
    <w:rsid w:val="0085252A"/>
    <w:pPr>
      <w:spacing w:line="20" w:lineRule="exact"/>
    </w:pPr>
    <w:rPr>
      <w:sz w:val="2"/>
    </w:rPr>
  </w:style>
  <w:style w:type="paragraph" w:customStyle="1" w:styleId="HeaderSpacer">
    <w:name w:val="Header Spacer"/>
    <w:basedOn w:val="Header"/>
    <w:rsid w:val="00014CF3"/>
    <w:pPr>
      <w:spacing w:line="480" w:lineRule="exact"/>
      <w:ind w:left="0"/>
    </w:pPr>
  </w:style>
  <w:style w:type="table" w:customStyle="1" w:styleId="JacobsBlue">
    <w:name w:val="Jacobs Blue"/>
    <w:basedOn w:val="TableGrid"/>
    <w:uiPriority w:val="99"/>
    <w:rsid w:val="00254801"/>
    <w:tblPr>
      <w:tblStyleRowBandSize w:val="1"/>
      <w:tblStyleColBandSize w:val="1"/>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tblPr/>
      <w:tcPr>
        <w:tcBorders>
          <w:top w:val="single" w:sz="4" w:space="0" w:color="808080"/>
          <w:left w:val="single" w:sz="4" w:space="0" w:color="808080"/>
          <w:bottom w:val="single" w:sz="4" w:space="0" w:color="808080"/>
          <w:right w:val="single" w:sz="4" w:space="0" w:color="808080"/>
          <w:insideH w:val="nil"/>
          <w:insideV w:val="single" w:sz="4" w:space="0" w:color="FFFFFF" w:themeColor="background1"/>
          <w:tl2br w:val="nil"/>
          <w:tr2bl w:val="nil"/>
        </w:tcBorders>
        <w:shd w:val="clear" w:color="auto" w:fill="00338D"/>
      </w:tcPr>
    </w:tblStylePr>
    <w:tblStylePr w:type="lastRow">
      <w:rPr>
        <w:b/>
      </w:rPr>
      <w:tblPr/>
      <w:tcPr>
        <w:tcBorders>
          <w:top w:val="single" w:sz="12"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CFCAC7"/>
      </w:tcPr>
    </w:tblStylePr>
    <w:tblStylePr w:type="firstCol">
      <w:tblPr/>
      <w:tcPr>
        <w:shd w:val="clear" w:color="auto" w:fill="E6E5E3"/>
      </w:tcPr>
    </w:tblStylePr>
    <w:tblStylePr w:type="lastCol">
      <w:tblPr/>
      <w:tcPr>
        <w:tcBorders>
          <w:top w:val="single" w:sz="4" w:space="0" w:color="808080"/>
          <w:left w:val="single" w:sz="12" w:space="0" w:color="808080"/>
          <w:bottom w:val="single" w:sz="4" w:space="0" w:color="808080"/>
          <w:right w:val="single" w:sz="4" w:space="0" w:color="808080"/>
          <w:insideH w:val="nil"/>
          <w:insideV w:val="nil"/>
          <w:tl2br w:val="nil"/>
          <w:tr2bl w:val="nil"/>
        </w:tcBorders>
        <w:shd w:val="clear" w:color="auto" w:fill="CFCAC7"/>
      </w:tcPr>
    </w:tblStylePr>
    <w:tblStylePr w:type="band2Vert">
      <w:tblPr/>
      <w:tcPr>
        <w:shd w:val="clear" w:color="auto" w:fill="E6E5E3"/>
      </w:tcPr>
    </w:tblStylePr>
    <w:tblStylePr w:type="band2Horz">
      <w:tblPr/>
      <w:tcPr>
        <w:shd w:val="clear" w:color="auto" w:fill="E6E5E3"/>
      </w:tc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table" w:customStyle="1" w:styleId="JacobsGrey">
    <w:name w:val="Jacobs Grey"/>
    <w:basedOn w:val="TableGrid"/>
    <w:uiPriority w:val="99"/>
    <w:rsid w:val="00254801"/>
    <w:tblPr>
      <w:tblStyleRowBandSize w:val="1"/>
      <w:tblStyleColBandSize w:val="1"/>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tblPr/>
      <w:tcPr>
        <w:shd w:val="clear" w:color="auto" w:fill="CFCAC7"/>
      </w:tcPr>
    </w:tblStylePr>
    <w:tblStylePr w:type="lastRow">
      <w:rPr>
        <w:b/>
      </w:rPr>
      <w:tblPr/>
      <w:tcPr>
        <w:tcBorders>
          <w:top w:val="single" w:sz="12"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CFCAC7"/>
      </w:tcPr>
    </w:tblStylePr>
    <w:tblStylePr w:type="firstCol">
      <w:tblPr/>
      <w:tcPr>
        <w:shd w:val="clear" w:color="auto" w:fill="E6E5E3"/>
      </w:tcPr>
    </w:tblStylePr>
    <w:tblStylePr w:type="lastCol">
      <w:rPr>
        <w:b/>
      </w:rPr>
      <w:tblPr/>
      <w:tcPr>
        <w:tcBorders>
          <w:top w:val="single" w:sz="4" w:space="0" w:color="808080"/>
          <w:left w:val="single" w:sz="12" w:space="0" w:color="808080"/>
          <w:bottom w:val="single" w:sz="4" w:space="0" w:color="808080"/>
          <w:right w:val="single" w:sz="4" w:space="0" w:color="808080"/>
          <w:insideH w:val="nil"/>
          <w:insideV w:val="nil"/>
          <w:tl2br w:val="nil"/>
          <w:tr2bl w:val="nil"/>
        </w:tcBorders>
        <w:shd w:val="clear" w:color="auto" w:fill="CFCAC7"/>
      </w:tcPr>
    </w:tblStylePr>
    <w:tblStylePr w:type="band2Vert">
      <w:tblPr/>
      <w:tcPr>
        <w:shd w:val="clear" w:color="auto" w:fill="E6E5E3"/>
      </w:tcPr>
    </w:tblStylePr>
    <w:tblStylePr w:type="band2Horz">
      <w:tblPr/>
      <w:tcPr>
        <w:shd w:val="clear" w:color="auto" w:fill="E6E5E3"/>
      </w:tc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paragraph" w:customStyle="1" w:styleId="CVName0">
    <w:name w:val="CV Name"/>
    <w:basedOn w:val="Name1"/>
    <w:uiPriority w:val="2"/>
    <w:rsid w:val="00CD27CA"/>
    <w:pPr>
      <w:ind w:left="3402"/>
      <w:jc w:val="left"/>
    </w:pPr>
  </w:style>
  <w:style w:type="paragraph" w:customStyle="1" w:styleId="CVRole">
    <w:name w:val="CV Role"/>
    <w:basedOn w:val="Projectrole1"/>
    <w:next w:val="Bodynarrow"/>
    <w:uiPriority w:val="2"/>
    <w:rsid w:val="00CD27CA"/>
    <w:pPr>
      <w:ind w:left="3402"/>
      <w:jc w:val="left"/>
    </w:pPr>
  </w:style>
  <w:style w:type="paragraph" w:customStyle="1" w:styleId="Name3">
    <w:name w:val="Name 3"/>
    <w:basedOn w:val="Name1"/>
    <w:semiHidden/>
    <w:rsid w:val="00CD27CA"/>
    <w:pPr>
      <w:ind w:left="3402"/>
      <w:jc w:val="left"/>
    </w:pPr>
  </w:style>
  <w:style w:type="paragraph" w:customStyle="1" w:styleId="PDLocation">
    <w:name w:val="PD Location"/>
    <w:basedOn w:val="Normal"/>
    <w:rsid w:val="00CD27CA"/>
    <w:pPr>
      <w:spacing w:after="160"/>
      <w:ind w:left="3402"/>
    </w:pPr>
    <w:rPr>
      <w:caps/>
      <w:color w:val="00338D"/>
    </w:rPr>
  </w:style>
  <w:style w:type="paragraph" w:customStyle="1" w:styleId="PDName">
    <w:name w:val="PD Name"/>
    <w:basedOn w:val="Normal"/>
    <w:rsid w:val="001449D8"/>
    <w:pPr>
      <w:spacing w:after="160" w:line="400" w:lineRule="exact"/>
      <w:ind w:left="3402"/>
    </w:pPr>
    <w:rPr>
      <w:rFonts w:ascii="Arial Black" w:hAnsi="Arial Black"/>
      <w:color w:val="00338D"/>
      <w:sz w:val="36"/>
    </w:rPr>
  </w:style>
  <w:style w:type="paragraph" w:customStyle="1" w:styleId="SummaryBoxBullet">
    <w:name w:val="Summary Box Bullet"/>
    <w:basedOn w:val="Normal"/>
    <w:unhideWhenUsed/>
    <w:rsid w:val="00C01030"/>
    <w:pPr>
      <w:numPr>
        <w:numId w:val="11"/>
      </w:numPr>
    </w:pPr>
    <w:rPr>
      <w:rFonts w:cs="Arial"/>
      <w:color w:val="666666"/>
      <w:szCs w:val="18"/>
    </w:rPr>
  </w:style>
  <w:style w:type="paragraph" w:customStyle="1" w:styleId="SummaryBoxHeading">
    <w:name w:val="Summary Box Heading"/>
    <w:basedOn w:val="Normal"/>
    <w:next w:val="Normal"/>
    <w:unhideWhenUsed/>
    <w:rsid w:val="00C01030"/>
    <w:pPr>
      <w:autoSpaceDE w:val="0"/>
      <w:autoSpaceDN w:val="0"/>
      <w:adjustRightInd w:val="0"/>
      <w:spacing w:after="0" w:line="240" w:lineRule="auto"/>
    </w:pPr>
    <w:rPr>
      <w:rFonts w:cs="Arial"/>
      <w:b/>
      <w:bCs/>
      <w:color w:val="000000"/>
      <w:sz w:val="22"/>
      <w:szCs w:val="22"/>
    </w:rPr>
  </w:style>
  <w:style w:type="paragraph" w:customStyle="1" w:styleId="SummaryBoxText">
    <w:name w:val="Summary Box Text"/>
    <w:basedOn w:val="Normal"/>
    <w:unhideWhenUsed/>
    <w:rsid w:val="00C01030"/>
    <w:pPr>
      <w:autoSpaceDE w:val="0"/>
      <w:autoSpaceDN w:val="0"/>
      <w:adjustRightInd w:val="0"/>
      <w:spacing w:after="60" w:line="240" w:lineRule="auto"/>
    </w:pPr>
    <w:rPr>
      <w:rFonts w:cs="Arial"/>
      <w:bCs/>
      <w:color w:val="666666"/>
      <w:sz w:val="18"/>
      <w:szCs w:val="18"/>
    </w:rPr>
  </w:style>
  <w:style w:type="paragraph" w:customStyle="1" w:styleId="QuoteBoxSubtext">
    <w:name w:val="Quote Box Subtext"/>
    <w:basedOn w:val="Normal"/>
    <w:unhideWhenUsed/>
    <w:rsid w:val="00C01030"/>
    <w:pPr>
      <w:spacing w:after="60" w:line="240" w:lineRule="auto"/>
    </w:pPr>
    <w:rPr>
      <w:rFonts w:cs="Arial"/>
      <w:b/>
      <w:color w:val="00338D"/>
      <w:szCs w:val="20"/>
    </w:rPr>
  </w:style>
  <w:style w:type="paragraph" w:customStyle="1" w:styleId="QuoteBoxSubtextItalics">
    <w:name w:val="Quote Box Subtext Italics"/>
    <w:basedOn w:val="QuoteBoxSubtext"/>
    <w:unhideWhenUsed/>
    <w:rsid w:val="00C01030"/>
    <w:rPr>
      <w:b w:val="0"/>
      <w:i/>
    </w:rPr>
  </w:style>
  <w:style w:type="paragraph" w:customStyle="1" w:styleId="QuoteBoxText">
    <w:name w:val="Quote Box Text"/>
    <w:basedOn w:val="Normal"/>
    <w:unhideWhenUsed/>
    <w:rsid w:val="00C01030"/>
    <w:rPr>
      <w:rFonts w:cs="Arial"/>
      <w:b/>
      <w:color w:val="00338D"/>
      <w:sz w:val="24"/>
    </w:rPr>
  </w:style>
  <w:style w:type="paragraph" w:customStyle="1" w:styleId="ImageCaptionHeading">
    <w:name w:val="Image Caption Heading"/>
    <w:basedOn w:val="Normal"/>
    <w:next w:val="Normal"/>
    <w:unhideWhenUsed/>
    <w:rsid w:val="00C01030"/>
    <w:pPr>
      <w:spacing w:after="0" w:line="200" w:lineRule="exact"/>
    </w:pPr>
    <w:rPr>
      <w:rFonts w:cs="Arial"/>
      <w:b/>
      <w:color w:val="999999"/>
      <w:sz w:val="16"/>
      <w:szCs w:val="16"/>
    </w:rPr>
  </w:style>
  <w:style w:type="paragraph" w:customStyle="1" w:styleId="ImageCaptionSubtext">
    <w:name w:val="Image Caption Subtext"/>
    <w:basedOn w:val="ImageCaptionHeading"/>
    <w:unhideWhenUsed/>
    <w:rsid w:val="00C01030"/>
    <w:rPr>
      <w:b w:val="0"/>
    </w:rPr>
  </w:style>
  <w:style w:type="paragraph" w:styleId="ListParagraph">
    <w:name w:val="List Paragraph"/>
    <w:basedOn w:val="Normal"/>
    <w:uiPriority w:val="34"/>
    <w:qFormat/>
    <w:rsid w:val="00456704"/>
    <w:pPr>
      <w:spacing w:after="0" w:line="240" w:lineRule="auto"/>
      <w:ind w:left="720"/>
    </w:pPr>
    <w:rPr>
      <w:rFonts w:ascii="Calibri" w:eastAsiaTheme="minorHAnsi" w:hAnsi="Calibri" w:cs="Times New Roman"/>
      <w:sz w:val="22"/>
      <w:szCs w:val="22"/>
    </w:rPr>
  </w:style>
  <w:style w:type="character" w:styleId="CommentReference">
    <w:name w:val="annotation reference"/>
    <w:basedOn w:val="DefaultParagraphFont"/>
    <w:uiPriority w:val="99"/>
    <w:semiHidden/>
    <w:unhideWhenUsed/>
    <w:rsid w:val="00BB1C42"/>
    <w:rPr>
      <w:sz w:val="16"/>
      <w:szCs w:val="16"/>
    </w:rPr>
  </w:style>
  <w:style w:type="paragraph" w:styleId="CommentText">
    <w:name w:val="annotation text"/>
    <w:basedOn w:val="Normal"/>
    <w:link w:val="CommentTextChar"/>
    <w:uiPriority w:val="99"/>
    <w:unhideWhenUsed/>
    <w:rsid w:val="00BB1C42"/>
    <w:pPr>
      <w:spacing w:line="240" w:lineRule="auto"/>
    </w:pPr>
    <w:rPr>
      <w:szCs w:val="20"/>
    </w:rPr>
  </w:style>
  <w:style w:type="character" w:customStyle="1" w:styleId="CommentTextChar">
    <w:name w:val="Comment Text Char"/>
    <w:basedOn w:val="DefaultParagraphFont"/>
    <w:link w:val="CommentText"/>
    <w:uiPriority w:val="99"/>
    <w:rsid w:val="00BB1C42"/>
    <w:rPr>
      <w:rFonts w:ascii="Arial" w:hAnsi="Arial"/>
      <w:sz w:val="20"/>
      <w:szCs w:val="20"/>
      <w:lang w:val="en-GB"/>
    </w:rPr>
  </w:style>
  <w:style w:type="paragraph" w:styleId="CommentSubject">
    <w:name w:val="annotation subject"/>
    <w:basedOn w:val="CommentText"/>
    <w:next w:val="CommentText"/>
    <w:link w:val="CommentSubjectChar"/>
    <w:uiPriority w:val="99"/>
    <w:semiHidden/>
    <w:unhideWhenUsed/>
    <w:rsid w:val="00BB1C42"/>
    <w:rPr>
      <w:b/>
      <w:bCs/>
    </w:rPr>
  </w:style>
  <w:style w:type="character" w:customStyle="1" w:styleId="CommentSubjectChar">
    <w:name w:val="Comment Subject Char"/>
    <w:basedOn w:val="CommentTextChar"/>
    <w:link w:val="CommentSubject"/>
    <w:uiPriority w:val="99"/>
    <w:semiHidden/>
    <w:rsid w:val="00BB1C42"/>
    <w:rPr>
      <w:rFonts w:ascii="Arial" w:hAnsi="Arial"/>
      <w:b/>
      <w:bCs/>
      <w:sz w:val="20"/>
      <w:szCs w:val="20"/>
      <w:lang w:val="en-GB"/>
    </w:rPr>
  </w:style>
  <w:style w:type="paragraph" w:styleId="Revision">
    <w:name w:val="Revision"/>
    <w:hidden/>
    <w:uiPriority w:val="99"/>
    <w:semiHidden/>
    <w:rsid w:val="00D87D27"/>
    <w:rPr>
      <w:rFonts w:ascii="Arial" w:hAnsi="Arial"/>
      <w:sz w:val="20"/>
      <w:lang w:val="en-GB"/>
    </w:rPr>
  </w:style>
  <w:style w:type="paragraph" w:customStyle="1" w:styleId="Heading4KJF">
    <w:name w:val="Heading 4_KJF"/>
    <w:basedOn w:val="Heading4"/>
    <w:link w:val="Heading4KJFChar"/>
    <w:qFormat/>
    <w:rsid w:val="0029664F"/>
    <w:pPr>
      <w:numPr>
        <w:ilvl w:val="0"/>
        <w:numId w:val="0"/>
      </w:numPr>
      <w:ind w:left="851" w:hanging="851"/>
    </w:pPr>
    <w:rPr>
      <w:i/>
    </w:rPr>
  </w:style>
  <w:style w:type="character" w:customStyle="1" w:styleId="Heading4KJFChar">
    <w:name w:val="Heading 4_KJF Char"/>
    <w:basedOn w:val="Heading4Char"/>
    <w:link w:val="Heading4KJF"/>
    <w:rsid w:val="0029664F"/>
    <w:rPr>
      <w:rFonts w:ascii="Arial" w:eastAsiaTheme="majorEastAsia" w:hAnsi="Arial" w:cstheme="majorBidi"/>
      <w:b/>
      <w:bCs/>
      <w:i/>
      <w:iCs/>
      <w:sz w:val="20"/>
      <w:lang w:val="en-GB"/>
    </w:rPr>
  </w:style>
  <w:style w:type="table" w:customStyle="1" w:styleId="MediumList21">
    <w:name w:val="Medium List 21"/>
    <w:basedOn w:val="TableNormal"/>
    <w:uiPriority w:val="66"/>
    <w:rsid w:val="005972ED"/>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apple-converted-space">
    <w:name w:val="apple-converted-space"/>
    <w:basedOn w:val="DefaultParagraphFont"/>
    <w:rsid w:val="005972ED"/>
  </w:style>
  <w:style w:type="character" w:styleId="Emphasis">
    <w:name w:val="Emphasis"/>
    <w:basedOn w:val="DefaultParagraphFont"/>
    <w:uiPriority w:val="20"/>
    <w:qFormat/>
    <w:rsid w:val="005972ED"/>
    <w:rPr>
      <w:i/>
      <w:iCs/>
    </w:rPr>
  </w:style>
  <w:style w:type="paragraph" w:customStyle="1" w:styleId="Default">
    <w:name w:val="Default"/>
    <w:rsid w:val="005972ED"/>
    <w:pPr>
      <w:autoSpaceDE w:val="0"/>
      <w:autoSpaceDN w:val="0"/>
      <w:adjustRightInd w:val="0"/>
    </w:pPr>
    <w:rPr>
      <w:rFonts w:ascii="Calibri" w:hAnsi="Calibri" w:cs="Calibri"/>
      <w:color w:val="000000"/>
      <w:lang w:val="en-AU"/>
    </w:rPr>
  </w:style>
  <w:style w:type="numbering" w:customStyle="1" w:styleId="JacobsBulletList11">
    <w:name w:val="Jacobs Bullet List 11"/>
    <w:uiPriority w:val="99"/>
    <w:rsid w:val="005972ED"/>
  </w:style>
  <w:style w:type="numbering" w:customStyle="1" w:styleId="SKMSidebarList">
    <w:name w:val="SKM Sidebar List"/>
    <w:uiPriority w:val="99"/>
    <w:rsid w:val="005972ED"/>
    <w:pPr>
      <w:numPr>
        <w:numId w:val="31"/>
      </w:numPr>
    </w:pPr>
  </w:style>
  <w:style w:type="character" w:styleId="FollowedHyperlink">
    <w:name w:val="FollowedHyperlink"/>
    <w:basedOn w:val="DefaultParagraphFont"/>
    <w:uiPriority w:val="99"/>
    <w:semiHidden/>
    <w:unhideWhenUsed/>
    <w:rsid w:val="005972ED"/>
    <w:rPr>
      <w:color w:val="809DB3" w:themeColor="followedHyperlink"/>
      <w:u w:val="single"/>
    </w:rPr>
  </w:style>
  <w:style w:type="paragraph" w:styleId="TableofFigures">
    <w:name w:val="table of figures"/>
    <w:basedOn w:val="Normal"/>
    <w:next w:val="Normal"/>
    <w:uiPriority w:val="99"/>
    <w:unhideWhenUsed/>
    <w:rsid w:val="005972ED"/>
    <w:pPr>
      <w:spacing w:after="0"/>
    </w:pPr>
  </w:style>
  <w:style w:type="character" w:customStyle="1" w:styleId="tgc">
    <w:name w:val="_tgc"/>
    <w:basedOn w:val="DefaultParagraphFont"/>
    <w:rsid w:val="005972ED"/>
  </w:style>
  <w:style w:type="numbering" w:customStyle="1" w:styleId="JacobsBulletList13">
    <w:name w:val="Jacobs Bullet List 13"/>
    <w:uiPriority w:val="99"/>
    <w:rsid w:val="005972ED"/>
    <w:pPr>
      <w:numPr>
        <w:numId w:val="2"/>
      </w:numPr>
    </w:pPr>
  </w:style>
  <w:style w:type="paragraph" w:styleId="NormalWeb">
    <w:name w:val="Normal (Web)"/>
    <w:basedOn w:val="Normal"/>
    <w:uiPriority w:val="99"/>
    <w:unhideWhenUsed/>
    <w:rsid w:val="00D87690"/>
    <w:pPr>
      <w:spacing w:before="100" w:beforeAutospacing="1" w:after="100" w:afterAutospacing="1" w:line="240" w:lineRule="auto"/>
    </w:pPr>
    <w:rPr>
      <w:rFonts w:ascii="Times New Roman" w:hAnsi="Times New Roman" w:cs="Times New Roman"/>
      <w:sz w:val="24"/>
      <w:lang w:eastAsia="en-AU"/>
    </w:rPr>
  </w:style>
  <w:style w:type="paragraph" w:styleId="NoSpacing">
    <w:name w:val="No Spacing"/>
    <w:uiPriority w:val="99"/>
    <w:qFormat/>
    <w:rsid w:val="007D3E1A"/>
    <w:rPr>
      <w:rFonts w:eastAsiaTheme="minorHAnsi"/>
      <w:sz w:val="22"/>
      <w:szCs w:val="22"/>
      <w:lang w:val="en-AU"/>
    </w:rPr>
  </w:style>
  <w:style w:type="numbering" w:customStyle="1" w:styleId="JacobsBulletList12">
    <w:name w:val="Jacobs Bullet List 12"/>
    <w:uiPriority w:val="99"/>
    <w:rsid w:val="007E33A2"/>
  </w:style>
  <w:style w:type="character" w:customStyle="1" w:styleId="Para0bulletChar">
    <w:name w:val="Para 0 bullet Char"/>
    <w:basedOn w:val="DefaultParagraphFont"/>
    <w:link w:val="Para0bullet"/>
    <w:uiPriority w:val="4"/>
    <w:locked/>
    <w:rsid w:val="007E33A2"/>
    <w:rPr>
      <w:rFonts w:ascii="Arial" w:hAnsi="Arial"/>
      <w:sz w:val="20"/>
      <w:lang w:val="en-GB"/>
    </w:rPr>
  </w:style>
  <w:style w:type="paragraph" w:customStyle="1" w:styleId="SignTitle">
    <w:name w:val="SignTitle"/>
    <w:basedOn w:val="Normal"/>
    <w:semiHidden/>
    <w:rsid w:val="009D08A1"/>
    <w:pPr>
      <w:spacing w:after="0"/>
    </w:pPr>
    <w:rPr>
      <w:rFonts w:eastAsia="Times New Roman" w:cs="Times New Roman"/>
      <w:color w:val="000000"/>
      <w:szCs w:val="20"/>
    </w:rPr>
  </w:style>
  <w:style w:type="character" w:customStyle="1" w:styleId="UnresolvedMention1">
    <w:name w:val="Unresolved Mention1"/>
    <w:basedOn w:val="DefaultParagraphFont"/>
    <w:uiPriority w:val="99"/>
    <w:semiHidden/>
    <w:unhideWhenUsed/>
    <w:rsid w:val="005E7A9F"/>
    <w:rPr>
      <w:color w:val="808080"/>
      <w:shd w:val="clear" w:color="auto" w:fill="E6E6E6"/>
    </w:rPr>
  </w:style>
  <w:style w:type="paragraph" w:customStyle="1" w:styleId="Heading3noTOC">
    <w:name w:val="Heading 3 (no TOC)"/>
    <w:next w:val="Normal"/>
    <w:qFormat/>
    <w:rsid w:val="002F5809"/>
    <w:pPr>
      <w:spacing w:after="200"/>
    </w:pPr>
    <w:rPr>
      <w:rFonts w:ascii="Arial Narrow Bold" w:eastAsia="MS Gothic" w:hAnsi="Arial Narrow Bold" w:cs="Times New Roman"/>
      <w:color w:val="7AC143"/>
      <w:lang w:val="en-AU" w:eastAsia="ja-JP"/>
    </w:rPr>
  </w:style>
  <w:style w:type="paragraph" w:customStyle="1" w:styleId="Heading4noTOC">
    <w:name w:val="Heading 4 (no TOC)"/>
    <w:next w:val="Normal"/>
    <w:qFormat/>
    <w:rsid w:val="002F5809"/>
    <w:pPr>
      <w:spacing w:after="200"/>
    </w:pPr>
    <w:rPr>
      <w:rFonts w:ascii="Arial Narrow" w:eastAsia="MS Gothic" w:hAnsi="Arial Narrow" w:cs="Times New Roman"/>
      <w:color w:val="7AC143"/>
      <w:lang w:val="en-AU" w:eastAsia="ja-JP"/>
    </w:rPr>
  </w:style>
  <w:style w:type="paragraph" w:customStyle="1" w:styleId="PIRSABulletPoints">
    <w:name w:val="PIRSA Bullet Points"/>
    <w:basedOn w:val="Normal"/>
    <w:qFormat/>
    <w:rsid w:val="002F5809"/>
    <w:pPr>
      <w:numPr>
        <w:numId w:val="79"/>
      </w:numPr>
      <w:spacing w:after="100" w:line="260" w:lineRule="exact"/>
    </w:pPr>
    <w:rPr>
      <w:rFonts w:ascii="Arial Narrow" w:eastAsia="MS Mincho" w:hAnsi="Arial Narrow" w:cs="Times New Roman"/>
      <w:sz w:val="22"/>
      <w:lang w:val="en-US" w:eastAsia="ja-JP"/>
    </w:rPr>
  </w:style>
  <w:style w:type="character" w:customStyle="1" w:styleId="CaptionChar">
    <w:name w:val="Caption Char"/>
    <w:aliases w:val="TABLE Char,Item Char,CDM B/Caption Char,Table Caption Char,Char Char"/>
    <w:link w:val="Caption"/>
    <w:uiPriority w:val="35"/>
    <w:locked/>
    <w:rsid w:val="002F5809"/>
    <w:rPr>
      <w:rFonts w:ascii="Arial Narrow" w:hAnsi="Arial Narrow"/>
      <w:b/>
      <w:sz w:val="20"/>
      <w:lang w:val="en-GB"/>
    </w:rPr>
  </w:style>
  <w:style w:type="paragraph" w:styleId="PlainText">
    <w:name w:val="Plain Text"/>
    <w:basedOn w:val="Normal"/>
    <w:link w:val="PlainTextChar"/>
    <w:uiPriority w:val="99"/>
    <w:semiHidden/>
    <w:unhideWhenUsed/>
    <w:rsid w:val="00BD0270"/>
    <w:pPr>
      <w:spacing w:after="0" w:line="240" w:lineRule="auto"/>
    </w:pPr>
    <w:rPr>
      <w:rFonts w:ascii="Calibri" w:eastAsiaTheme="minorHAnsi" w:hAnsi="Calibri" w:cs="Times New Roman"/>
      <w:sz w:val="22"/>
      <w:szCs w:val="22"/>
    </w:rPr>
  </w:style>
  <w:style w:type="character" w:customStyle="1" w:styleId="PlainTextChar">
    <w:name w:val="Plain Text Char"/>
    <w:basedOn w:val="DefaultParagraphFont"/>
    <w:link w:val="PlainText"/>
    <w:uiPriority w:val="99"/>
    <w:semiHidden/>
    <w:rsid w:val="00BD0270"/>
    <w:rPr>
      <w:rFonts w:ascii="Calibri" w:eastAsiaTheme="minorHAnsi" w:hAnsi="Calibri" w:cs="Times New Roman"/>
      <w:sz w:val="22"/>
      <w:szCs w:val="22"/>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376233">
      <w:bodyDiv w:val="1"/>
      <w:marLeft w:val="0"/>
      <w:marRight w:val="0"/>
      <w:marTop w:val="0"/>
      <w:marBottom w:val="0"/>
      <w:divBdr>
        <w:top w:val="none" w:sz="0" w:space="0" w:color="auto"/>
        <w:left w:val="none" w:sz="0" w:space="0" w:color="auto"/>
        <w:bottom w:val="none" w:sz="0" w:space="0" w:color="auto"/>
        <w:right w:val="none" w:sz="0" w:space="0" w:color="auto"/>
      </w:divBdr>
    </w:div>
    <w:div w:id="231084668">
      <w:bodyDiv w:val="1"/>
      <w:marLeft w:val="0"/>
      <w:marRight w:val="0"/>
      <w:marTop w:val="0"/>
      <w:marBottom w:val="0"/>
      <w:divBdr>
        <w:top w:val="none" w:sz="0" w:space="0" w:color="auto"/>
        <w:left w:val="none" w:sz="0" w:space="0" w:color="auto"/>
        <w:bottom w:val="none" w:sz="0" w:space="0" w:color="auto"/>
        <w:right w:val="none" w:sz="0" w:space="0" w:color="auto"/>
      </w:divBdr>
    </w:div>
    <w:div w:id="368795777">
      <w:bodyDiv w:val="1"/>
      <w:marLeft w:val="0"/>
      <w:marRight w:val="0"/>
      <w:marTop w:val="0"/>
      <w:marBottom w:val="0"/>
      <w:divBdr>
        <w:top w:val="none" w:sz="0" w:space="0" w:color="auto"/>
        <w:left w:val="none" w:sz="0" w:space="0" w:color="auto"/>
        <w:bottom w:val="none" w:sz="0" w:space="0" w:color="auto"/>
        <w:right w:val="none" w:sz="0" w:space="0" w:color="auto"/>
      </w:divBdr>
    </w:div>
    <w:div w:id="375080996">
      <w:bodyDiv w:val="1"/>
      <w:marLeft w:val="0"/>
      <w:marRight w:val="0"/>
      <w:marTop w:val="0"/>
      <w:marBottom w:val="0"/>
      <w:divBdr>
        <w:top w:val="none" w:sz="0" w:space="0" w:color="auto"/>
        <w:left w:val="none" w:sz="0" w:space="0" w:color="auto"/>
        <w:bottom w:val="none" w:sz="0" w:space="0" w:color="auto"/>
        <w:right w:val="none" w:sz="0" w:space="0" w:color="auto"/>
      </w:divBdr>
    </w:div>
    <w:div w:id="426851995">
      <w:bodyDiv w:val="1"/>
      <w:marLeft w:val="0"/>
      <w:marRight w:val="0"/>
      <w:marTop w:val="0"/>
      <w:marBottom w:val="0"/>
      <w:divBdr>
        <w:top w:val="none" w:sz="0" w:space="0" w:color="auto"/>
        <w:left w:val="none" w:sz="0" w:space="0" w:color="auto"/>
        <w:bottom w:val="none" w:sz="0" w:space="0" w:color="auto"/>
        <w:right w:val="none" w:sz="0" w:space="0" w:color="auto"/>
      </w:divBdr>
    </w:div>
    <w:div w:id="443576472">
      <w:bodyDiv w:val="1"/>
      <w:marLeft w:val="0"/>
      <w:marRight w:val="0"/>
      <w:marTop w:val="0"/>
      <w:marBottom w:val="0"/>
      <w:divBdr>
        <w:top w:val="none" w:sz="0" w:space="0" w:color="auto"/>
        <w:left w:val="none" w:sz="0" w:space="0" w:color="auto"/>
        <w:bottom w:val="none" w:sz="0" w:space="0" w:color="auto"/>
        <w:right w:val="none" w:sz="0" w:space="0" w:color="auto"/>
      </w:divBdr>
    </w:div>
    <w:div w:id="585841736">
      <w:bodyDiv w:val="1"/>
      <w:marLeft w:val="0"/>
      <w:marRight w:val="0"/>
      <w:marTop w:val="0"/>
      <w:marBottom w:val="0"/>
      <w:divBdr>
        <w:top w:val="none" w:sz="0" w:space="0" w:color="auto"/>
        <w:left w:val="none" w:sz="0" w:space="0" w:color="auto"/>
        <w:bottom w:val="none" w:sz="0" w:space="0" w:color="auto"/>
        <w:right w:val="none" w:sz="0" w:space="0" w:color="auto"/>
      </w:divBdr>
    </w:div>
    <w:div w:id="643507074">
      <w:bodyDiv w:val="1"/>
      <w:marLeft w:val="0"/>
      <w:marRight w:val="0"/>
      <w:marTop w:val="0"/>
      <w:marBottom w:val="0"/>
      <w:divBdr>
        <w:top w:val="none" w:sz="0" w:space="0" w:color="auto"/>
        <w:left w:val="none" w:sz="0" w:space="0" w:color="auto"/>
        <w:bottom w:val="none" w:sz="0" w:space="0" w:color="auto"/>
        <w:right w:val="none" w:sz="0" w:space="0" w:color="auto"/>
      </w:divBdr>
    </w:div>
    <w:div w:id="672876709">
      <w:bodyDiv w:val="1"/>
      <w:marLeft w:val="0"/>
      <w:marRight w:val="0"/>
      <w:marTop w:val="0"/>
      <w:marBottom w:val="0"/>
      <w:divBdr>
        <w:top w:val="none" w:sz="0" w:space="0" w:color="auto"/>
        <w:left w:val="none" w:sz="0" w:space="0" w:color="auto"/>
        <w:bottom w:val="none" w:sz="0" w:space="0" w:color="auto"/>
        <w:right w:val="none" w:sz="0" w:space="0" w:color="auto"/>
      </w:divBdr>
    </w:div>
    <w:div w:id="675306329">
      <w:bodyDiv w:val="1"/>
      <w:marLeft w:val="0"/>
      <w:marRight w:val="0"/>
      <w:marTop w:val="0"/>
      <w:marBottom w:val="0"/>
      <w:divBdr>
        <w:top w:val="none" w:sz="0" w:space="0" w:color="auto"/>
        <w:left w:val="none" w:sz="0" w:space="0" w:color="auto"/>
        <w:bottom w:val="none" w:sz="0" w:space="0" w:color="auto"/>
        <w:right w:val="none" w:sz="0" w:space="0" w:color="auto"/>
      </w:divBdr>
    </w:div>
    <w:div w:id="678235767">
      <w:bodyDiv w:val="1"/>
      <w:marLeft w:val="0"/>
      <w:marRight w:val="0"/>
      <w:marTop w:val="0"/>
      <w:marBottom w:val="0"/>
      <w:divBdr>
        <w:top w:val="none" w:sz="0" w:space="0" w:color="auto"/>
        <w:left w:val="none" w:sz="0" w:space="0" w:color="auto"/>
        <w:bottom w:val="none" w:sz="0" w:space="0" w:color="auto"/>
        <w:right w:val="none" w:sz="0" w:space="0" w:color="auto"/>
      </w:divBdr>
    </w:div>
    <w:div w:id="743722324">
      <w:bodyDiv w:val="1"/>
      <w:marLeft w:val="0"/>
      <w:marRight w:val="0"/>
      <w:marTop w:val="0"/>
      <w:marBottom w:val="0"/>
      <w:divBdr>
        <w:top w:val="none" w:sz="0" w:space="0" w:color="auto"/>
        <w:left w:val="none" w:sz="0" w:space="0" w:color="auto"/>
        <w:bottom w:val="none" w:sz="0" w:space="0" w:color="auto"/>
        <w:right w:val="none" w:sz="0" w:space="0" w:color="auto"/>
      </w:divBdr>
      <w:divsChild>
        <w:div w:id="677271737">
          <w:marLeft w:val="0"/>
          <w:marRight w:val="0"/>
          <w:marTop w:val="0"/>
          <w:marBottom w:val="0"/>
          <w:divBdr>
            <w:top w:val="none" w:sz="0" w:space="0" w:color="auto"/>
            <w:left w:val="none" w:sz="0" w:space="0" w:color="auto"/>
            <w:bottom w:val="none" w:sz="0" w:space="0" w:color="auto"/>
            <w:right w:val="none" w:sz="0" w:space="0" w:color="auto"/>
          </w:divBdr>
        </w:div>
        <w:div w:id="827285240">
          <w:marLeft w:val="0"/>
          <w:marRight w:val="0"/>
          <w:marTop w:val="0"/>
          <w:marBottom w:val="0"/>
          <w:divBdr>
            <w:top w:val="none" w:sz="0" w:space="0" w:color="auto"/>
            <w:left w:val="none" w:sz="0" w:space="0" w:color="auto"/>
            <w:bottom w:val="none" w:sz="0" w:space="0" w:color="auto"/>
            <w:right w:val="none" w:sz="0" w:space="0" w:color="auto"/>
          </w:divBdr>
        </w:div>
        <w:div w:id="1129200058">
          <w:marLeft w:val="0"/>
          <w:marRight w:val="0"/>
          <w:marTop w:val="0"/>
          <w:marBottom w:val="0"/>
          <w:divBdr>
            <w:top w:val="none" w:sz="0" w:space="0" w:color="auto"/>
            <w:left w:val="none" w:sz="0" w:space="0" w:color="auto"/>
            <w:bottom w:val="none" w:sz="0" w:space="0" w:color="auto"/>
            <w:right w:val="none" w:sz="0" w:space="0" w:color="auto"/>
          </w:divBdr>
        </w:div>
        <w:div w:id="1658143009">
          <w:marLeft w:val="0"/>
          <w:marRight w:val="0"/>
          <w:marTop w:val="0"/>
          <w:marBottom w:val="0"/>
          <w:divBdr>
            <w:top w:val="none" w:sz="0" w:space="0" w:color="auto"/>
            <w:left w:val="none" w:sz="0" w:space="0" w:color="auto"/>
            <w:bottom w:val="none" w:sz="0" w:space="0" w:color="auto"/>
            <w:right w:val="none" w:sz="0" w:space="0" w:color="auto"/>
          </w:divBdr>
        </w:div>
      </w:divsChild>
    </w:div>
    <w:div w:id="752045084">
      <w:bodyDiv w:val="1"/>
      <w:marLeft w:val="0"/>
      <w:marRight w:val="0"/>
      <w:marTop w:val="0"/>
      <w:marBottom w:val="0"/>
      <w:divBdr>
        <w:top w:val="none" w:sz="0" w:space="0" w:color="auto"/>
        <w:left w:val="none" w:sz="0" w:space="0" w:color="auto"/>
        <w:bottom w:val="none" w:sz="0" w:space="0" w:color="auto"/>
        <w:right w:val="none" w:sz="0" w:space="0" w:color="auto"/>
      </w:divBdr>
    </w:div>
    <w:div w:id="766383588">
      <w:bodyDiv w:val="1"/>
      <w:marLeft w:val="0"/>
      <w:marRight w:val="0"/>
      <w:marTop w:val="0"/>
      <w:marBottom w:val="0"/>
      <w:divBdr>
        <w:top w:val="none" w:sz="0" w:space="0" w:color="auto"/>
        <w:left w:val="none" w:sz="0" w:space="0" w:color="auto"/>
        <w:bottom w:val="none" w:sz="0" w:space="0" w:color="auto"/>
        <w:right w:val="none" w:sz="0" w:space="0" w:color="auto"/>
      </w:divBdr>
    </w:div>
    <w:div w:id="798769416">
      <w:bodyDiv w:val="1"/>
      <w:marLeft w:val="0"/>
      <w:marRight w:val="0"/>
      <w:marTop w:val="0"/>
      <w:marBottom w:val="0"/>
      <w:divBdr>
        <w:top w:val="none" w:sz="0" w:space="0" w:color="auto"/>
        <w:left w:val="none" w:sz="0" w:space="0" w:color="auto"/>
        <w:bottom w:val="none" w:sz="0" w:space="0" w:color="auto"/>
        <w:right w:val="none" w:sz="0" w:space="0" w:color="auto"/>
      </w:divBdr>
    </w:div>
    <w:div w:id="807207816">
      <w:bodyDiv w:val="1"/>
      <w:marLeft w:val="0"/>
      <w:marRight w:val="0"/>
      <w:marTop w:val="0"/>
      <w:marBottom w:val="0"/>
      <w:divBdr>
        <w:top w:val="none" w:sz="0" w:space="0" w:color="auto"/>
        <w:left w:val="none" w:sz="0" w:space="0" w:color="auto"/>
        <w:bottom w:val="none" w:sz="0" w:space="0" w:color="auto"/>
        <w:right w:val="none" w:sz="0" w:space="0" w:color="auto"/>
      </w:divBdr>
    </w:div>
    <w:div w:id="807287291">
      <w:bodyDiv w:val="1"/>
      <w:marLeft w:val="0"/>
      <w:marRight w:val="0"/>
      <w:marTop w:val="0"/>
      <w:marBottom w:val="0"/>
      <w:divBdr>
        <w:top w:val="none" w:sz="0" w:space="0" w:color="auto"/>
        <w:left w:val="none" w:sz="0" w:space="0" w:color="auto"/>
        <w:bottom w:val="none" w:sz="0" w:space="0" w:color="auto"/>
        <w:right w:val="none" w:sz="0" w:space="0" w:color="auto"/>
      </w:divBdr>
    </w:div>
    <w:div w:id="818159203">
      <w:bodyDiv w:val="1"/>
      <w:marLeft w:val="0"/>
      <w:marRight w:val="0"/>
      <w:marTop w:val="0"/>
      <w:marBottom w:val="0"/>
      <w:divBdr>
        <w:top w:val="none" w:sz="0" w:space="0" w:color="auto"/>
        <w:left w:val="none" w:sz="0" w:space="0" w:color="auto"/>
        <w:bottom w:val="none" w:sz="0" w:space="0" w:color="auto"/>
        <w:right w:val="none" w:sz="0" w:space="0" w:color="auto"/>
      </w:divBdr>
    </w:div>
    <w:div w:id="954289706">
      <w:bodyDiv w:val="1"/>
      <w:marLeft w:val="0"/>
      <w:marRight w:val="0"/>
      <w:marTop w:val="0"/>
      <w:marBottom w:val="0"/>
      <w:divBdr>
        <w:top w:val="none" w:sz="0" w:space="0" w:color="auto"/>
        <w:left w:val="none" w:sz="0" w:space="0" w:color="auto"/>
        <w:bottom w:val="none" w:sz="0" w:space="0" w:color="auto"/>
        <w:right w:val="none" w:sz="0" w:space="0" w:color="auto"/>
      </w:divBdr>
    </w:div>
    <w:div w:id="1092434138">
      <w:bodyDiv w:val="1"/>
      <w:marLeft w:val="0"/>
      <w:marRight w:val="0"/>
      <w:marTop w:val="0"/>
      <w:marBottom w:val="0"/>
      <w:divBdr>
        <w:top w:val="none" w:sz="0" w:space="0" w:color="auto"/>
        <w:left w:val="none" w:sz="0" w:space="0" w:color="auto"/>
        <w:bottom w:val="none" w:sz="0" w:space="0" w:color="auto"/>
        <w:right w:val="none" w:sz="0" w:space="0" w:color="auto"/>
      </w:divBdr>
    </w:div>
    <w:div w:id="1123577445">
      <w:bodyDiv w:val="1"/>
      <w:marLeft w:val="0"/>
      <w:marRight w:val="0"/>
      <w:marTop w:val="0"/>
      <w:marBottom w:val="0"/>
      <w:divBdr>
        <w:top w:val="none" w:sz="0" w:space="0" w:color="auto"/>
        <w:left w:val="none" w:sz="0" w:space="0" w:color="auto"/>
        <w:bottom w:val="none" w:sz="0" w:space="0" w:color="auto"/>
        <w:right w:val="none" w:sz="0" w:space="0" w:color="auto"/>
      </w:divBdr>
    </w:div>
    <w:div w:id="1142502381">
      <w:bodyDiv w:val="1"/>
      <w:marLeft w:val="0"/>
      <w:marRight w:val="0"/>
      <w:marTop w:val="0"/>
      <w:marBottom w:val="0"/>
      <w:divBdr>
        <w:top w:val="none" w:sz="0" w:space="0" w:color="auto"/>
        <w:left w:val="none" w:sz="0" w:space="0" w:color="auto"/>
        <w:bottom w:val="none" w:sz="0" w:space="0" w:color="auto"/>
        <w:right w:val="none" w:sz="0" w:space="0" w:color="auto"/>
      </w:divBdr>
    </w:div>
    <w:div w:id="1224172055">
      <w:bodyDiv w:val="1"/>
      <w:marLeft w:val="0"/>
      <w:marRight w:val="0"/>
      <w:marTop w:val="0"/>
      <w:marBottom w:val="0"/>
      <w:divBdr>
        <w:top w:val="none" w:sz="0" w:space="0" w:color="auto"/>
        <w:left w:val="none" w:sz="0" w:space="0" w:color="auto"/>
        <w:bottom w:val="none" w:sz="0" w:space="0" w:color="auto"/>
        <w:right w:val="none" w:sz="0" w:space="0" w:color="auto"/>
      </w:divBdr>
    </w:div>
    <w:div w:id="1241327043">
      <w:bodyDiv w:val="1"/>
      <w:marLeft w:val="0"/>
      <w:marRight w:val="0"/>
      <w:marTop w:val="0"/>
      <w:marBottom w:val="0"/>
      <w:divBdr>
        <w:top w:val="none" w:sz="0" w:space="0" w:color="auto"/>
        <w:left w:val="none" w:sz="0" w:space="0" w:color="auto"/>
        <w:bottom w:val="none" w:sz="0" w:space="0" w:color="auto"/>
        <w:right w:val="none" w:sz="0" w:space="0" w:color="auto"/>
      </w:divBdr>
    </w:div>
    <w:div w:id="1244029831">
      <w:bodyDiv w:val="1"/>
      <w:marLeft w:val="0"/>
      <w:marRight w:val="0"/>
      <w:marTop w:val="0"/>
      <w:marBottom w:val="0"/>
      <w:divBdr>
        <w:top w:val="none" w:sz="0" w:space="0" w:color="auto"/>
        <w:left w:val="none" w:sz="0" w:space="0" w:color="auto"/>
        <w:bottom w:val="none" w:sz="0" w:space="0" w:color="auto"/>
        <w:right w:val="none" w:sz="0" w:space="0" w:color="auto"/>
      </w:divBdr>
    </w:div>
    <w:div w:id="1247766191">
      <w:bodyDiv w:val="1"/>
      <w:marLeft w:val="0"/>
      <w:marRight w:val="0"/>
      <w:marTop w:val="0"/>
      <w:marBottom w:val="0"/>
      <w:divBdr>
        <w:top w:val="none" w:sz="0" w:space="0" w:color="auto"/>
        <w:left w:val="none" w:sz="0" w:space="0" w:color="auto"/>
        <w:bottom w:val="none" w:sz="0" w:space="0" w:color="auto"/>
        <w:right w:val="none" w:sz="0" w:space="0" w:color="auto"/>
      </w:divBdr>
    </w:div>
    <w:div w:id="1304895601">
      <w:bodyDiv w:val="1"/>
      <w:marLeft w:val="0"/>
      <w:marRight w:val="0"/>
      <w:marTop w:val="0"/>
      <w:marBottom w:val="0"/>
      <w:divBdr>
        <w:top w:val="none" w:sz="0" w:space="0" w:color="auto"/>
        <w:left w:val="none" w:sz="0" w:space="0" w:color="auto"/>
        <w:bottom w:val="none" w:sz="0" w:space="0" w:color="auto"/>
        <w:right w:val="none" w:sz="0" w:space="0" w:color="auto"/>
      </w:divBdr>
    </w:div>
    <w:div w:id="1332681702">
      <w:bodyDiv w:val="1"/>
      <w:marLeft w:val="0"/>
      <w:marRight w:val="0"/>
      <w:marTop w:val="0"/>
      <w:marBottom w:val="0"/>
      <w:divBdr>
        <w:top w:val="none" w:sz="0" w:space="0" w:color="auto"/>
        <w:left w:val="none" w:sz="0" w:space="0" w:color="auto"/>
        <w:bottom w:val="none" w:sz="0" w:space="0" w:color="auto"/>
        <w:right w:val="none" w:sz="0" w:space="0" w:color="auto"/>
      </w:divBdr>
    </w:div>
    <w:div w:id="1551647594">
      <w:bodyDiv w:val="1"/>
      <w:marLeft w:val="0"/>
      <w:marRight w:val="0"/>
      <w:marTop w:val="0"/>
      <w:marBottom w:val="0"/>
      <w:divBdr>
        <w:top w:val="none" w:sz="0" w:space="0" w:color="auto"/>
        <w:left w:val="none" w:sz="0" w:space="0" w:color="auto"/>
        <w:bottom w:val="none" w:sz="0" w:space="0" w:color="auto"/>
        <w:right w:val="none" w:sz="0" w:space="0" w:color="auto"/>
      </w:divBdr>
    </w:div>
    <w:div w:id="1563981055">
      <w:bodyDiv w:val="1"/>
      <w:marLeft w:val="0"/>
      <w:marRight w:val="0"/>
      <w:marTop w:val="0"/>
      <w:marBottom w:val="0"/>
      <w:divBdr>
        <w:top w:val="none" w:sz="0" w:space="0" w:color="auto"/>
        <w:left w:val="none" w:sz="0" w:space="0" w:color="auto"/>
        <w:bottom w:val="none" w:sz="0" w:space="0" w:color="auto"/>
        <w:right w:val="none" w:sz="0" w:space="0" w:color="auto"/>
      </w:divBdr>
    </w:div>
    <w:div w:id="1635524437">
      <w:bodyDiv w:val="1"/>
      <w:marLeft w:val="0"/>
      <w:marRight w:val="0"/>
      <w:marTop w:val="0"/>
      <w:marBottom w:val="0"/>
      <w:divBdr>
        <w:top w:val="none" w:sz="0" w:space="0" w:color="auto"/>
        <w:left w:val="none" w:sz="0" w:space="0" w:color="auto"/>
        <w:bottom w:val="none" w:sz="0" w:space="0" w:color="auto"/>
        <w:right w:val="none" w:sz="0" w:space="0" w:color="auto"/>
      </w:divBdr>
    </w:div>
    <w:div w:id="1651641461">
      <w:bodyDiv w:val="1"/>
      <w:marLeft w:val="0"/>
      <w:marRight w:val="0"/>
      <w:marTop w:val="0"/>
      <w:marBottom w:val="0"/>
      <w:divBdr>
        <w:top w:val="none" w:sz="0" w:space="0" w:color="auto"/>
        <w:left w:val="none" w:sz="0" w:space="0" w:color="auto"/>
        <w:bottom w:val="none" w:sz="0" w:space="0" w:color="auto"/>
        <w:right w:val="none" w:sz="0" w:space="0" w:color="auto"/>
      </w:divBdr>
    </w:div>
    <w:div w:id="1664771315">
      <w:bodyDiv w:val="1"/>
      <w:marLeft w:val="0"/>
      <w:marRight w:val="0"/>
      <w:marTop w:val="0"/>
      <w:marBottom w:val="0"/>
      <w:divBdr>
        <w:top w:val="none" w:sz="0" w:space="0" w:color="auto"/>
        <w:left w:val="none" w:sz="0" w:space="0" w:color="auto"/>
        <w:bottom w:val="none" w:sz="0" w:space="0" w:color="auto"/>
        <w:right w:val="none" w:sz="0" w:space="0" w:color="auto"/>
      </w:divBdr>
    </w:div>
    <w:div w:id="1682008339">
      <w:bodyDiv w:val="1"/>
      <w:marLeft w:val="0"/>
      <w:marRight w:val="0"/>
      <w:marTop w:val="0"/>
      <w:marBottom w:val="0"/>
      <w:divBdr>
        <w:top w:val="none" w:sz="0" w:space="0" w:color="auto"/>
        <w:left w:val="none" w:sz="0" w:space="0" w:color="auto"/>
        <w:bottom w:val="none" w:sz="0" w:space="0" w:color="auto"/>
        <w:right w:val="none" w:sz="0" w:space="0" w:color="auto"/>
      </w:divBdr>
    </w:div>
    <w:div w:id="1737391568">
      <w:bodyDiv w:val="1"/>
      <w:marLeft w:val="0"/>
      <w:marRight w:val="0"/>
      <w:marTop w:val="0"/>
      <w:marBottom w:val="0"/>
      <w:divBdr>
        <w:top w:val="none" w:sz="0" w:space="0" w:color="auto"/>
        <w:left w:val="none" w:sz="0" w:space="0" w:color="auto"/>
        <w:bottom w:val="none" w:sz="0" w:space="0" w:color="auto"/>
        <w:right w:val="none" w:sz="0" w:space="0" w:color="auto"/>
      </w:divBdr>
    </w:div>
    <w:div w:id="1828746420">
      <w:bodyDiv w:val="1"/>
      <w:marLeft w:val="0"/>
      <w:marRight w:val="0"/>
      <w:marTop w:val="0"/>
      <w:marBottom w:val="0"/>
      <w:divBdr>
        <w:top w:val="none" w:sz="0" w:space="0" w:color="auto"/>
        <w:left w:val="none" w:sz="0" w:space="0" w:color="auto"/>
        <w:bottom w:val="none" w:sz="0" w:space="0" w:color="auto"/>
        <w:right w:val="none" w:sz="0" w:space="0" w:color="auto"/>
      </w:divBdr>
    </w:div>
    <w:div w:id="1975744722">
      <w:bodyDiv w:val="1"/>
      <w:marLeft w:val="0"/>
      <w:marRight w:val="0"/>
      <w:marTop w:val="0"/>
      <w:marBottom w:val="0"/>
      <w:divBdr>
        <w:top w:val="none" w:sz="0" w:space="0" w:color="auto"/>
        <w:left w:val="none" w:sz="0" w:space="0" w:color="auto"/>
        <w:bottom w:val="none" w:sz="0" w:space="0" w:color="auto"/>
        <w:right w:val="none" w:sz="0" w:space="0" w:color="auto"/>
      </w:divBdr>
    </w:div>
    <w:div w:id="2017033364">
      <w:bodyDiv w:val="1"/>
      <w:marLeft w:val="0"/>
      <w:marRight w:val="0"/>
      <w:marTop w:val="0"/>
      <w:marBottom w:val="0"/>
      <w:divBdr>
        <w:top w:val="none" w:sz="0" w:space="0" w:color="auto"/>
        <w:left w:val="none" w:sz="0" w:space="0" w:color="auto"/>
        <w:bottom w:val="none" w:sz="0" w:space="0" w:color="auto"/>
        <w:right w:val="none" w:sz="0" w:space="0" w:color="auto"/>
      </w:divBdr>
    </w:div>
    <w:div w:id="20696930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0.xml"/><Relationship Id="rId117" Type="http://schemas.openxmlformats.org/officeDocument/2006/relationships/header" Target="header25.xml"/><Relationship Id="rId21" Type="http://schemas.openxmlformats.org/officeDocument/2006/relationships/header" Target="header7.xml"/><Relationship Id="rId42" Type="http://schemas.openxmlformats.org/officeDocument/2006/relationships/image" Target="media/image18.jpeg"/><Relationship Id="rId47" Type="http://schemas.openxmlformats.org/officeDocument/2006/relationships/image" Target="media/image23.png"/><Relationship Id="rId63" Type="http://schemas.openxmlformats.org/officeDocument/2006/relationships/image" Target="media/image32.jpeg"/><Relationship Id="rId68" Type="http://schemas.openxmlformats.org/officeDocument/2006/relationships/diagramQuickStyle" Target="diagrams/quickStyle1.xml"/><Relationship Id="rId84" Type="http://schemas.openxmlformats.org/officeDocument/2006/relationships/image" Target="media/image43.png"/><Relationship Id="rId89" Type="http://schemas.openxmlformats.org/officeDocument/2006/relationships/image" Target="media/image48.png"/><Relationship Id="rId112" Type="http://schemas.microsoft.com/office/2007/relationships/hdphoto" Target="media/hdphoto2.wdp"/><Relationship Id="rId133" Type="http://schemas.openxmlformats.org/officeDocument/2006/relationships/image" Target="media/image72.png"/><Relationship Id="rId138" Type="http://schemas.openxmlformats.org/officeDocument/2006/relationships/image" Target="media/image77.png"/><Relationship Id="rId16" Type="http://schemas.openxmlformats.org/officeDocument/2006/relationships/header" Target="header5.xml"/><Relationship Id="rId107" Type="http://schemas.openxmlformats.org/officeDocument/2006/relationships/header" Target="header21.xml"/><Relationship Id="rId11" Type="http://schemas.openxmlformats.org/officeDocument/2006/relationships/header" Target="header2.xml"/><Relationship Id="rId32" Type="http://schemas.openxmlformats.org/officeDocument/2006/relationships/header" Target="header12.xml"/><Relationship Id="rId37" Type="http://schemas.openxmlformats.org/officeDocument/2006/relationships/image" Target="media/image13.jpeg"/><Relationship Id="rId53" Type="http://schemas.openxmlformats.org/officeDocument/2006/relationships/image" Target="media/image27.jpeg"/><Relationship Id="rId58" Type="http://schemas.openxmlformats.org/officeDocument/2006/relationships/header" Target="header16.xml"/><Relationship Id="rId74" Type="http://schemas.openxmlformats.org/officeDocument/2006/relationships/image" Target="media/image38.png"/><Relationship Id="rId79" Type="http://schemas.microsoft.com/office/2007/relationships/hdphoto" Target="media/hdphoto1.wdp"/><Relationship Id="rId102" Type="http://schemas.openxmlformats.org/officeDocument/2006/relationships/image" Target="media/image56.jpeg"/><Relationship Id="rId123" Type="http://schemas.openxmlformats.org/officeDocument/2006/relationships/image" Target="media/image62.png"/><Relationship Id="rId128" Type="http://schemas.openxmlformats.org/officeDocument/2006/relationships/image" Target="media/image67.png"/><Relationship Id="rId5" Type="http://schemas.openxmlformats.org/officeDocument/2006/relationships/footnotes" Target="footnotes.xml"/><Relationship Id="rId90" Type="http://schemas.openxmlformats.org/officeDocument/2006/relationships/image" Target="media/image49.png"/><Relationship Id="rId95" Type="http://schemas.openxmlformats.org/officeDocument/2006/relationships/footer" Target="footer17.xml"/><Relationship Id="rId22" Type="http://schemas.openxmlformats.org/officeDocument/2006/relationships/image" Target="media/image6.png"/><Relationship Id="rId27" Type="http://schemas.openxmlformats.org/officeDocument/2006/relationships/footer" Target="footer6.xml"/><Relationship Id="rId43" Type="http://schemas.openxmlformats.org/officeDocument/2006/relationships/image" Target="media/image19.jpeg"/><Relationship Id="rId48" Type="http://schemas.openxmlformats.org/officeDocument/2006/relationships/image" Target="media/image24.png"/><Relationship Id="rId64" Type="http://schemas.openxmlformats.org/officeDocument/2006/relationships/image" Target="media/image33.png"/><Relationship Id="rId69" Type="http://schemas.openxmlformats.org/officeDocument/2006/relationships/diagramColors" Target="diagrams/colors1.xml"/><Relationship Id="rId113" Type="http://schemas.openxmlformats.org/officeDocument/2006/relationships/header" Target="header23.xml"/><Relationship Id="rId118" Type="http://schemas.openxmlformats.org/officeDocument/2006/relationships/footer" Target="footer22.xml"/><Relationship Id="rId134" Type="http://schemas.openxmlformats.org/officeDocument/2006/relationships/image" Target="media/image73.png"/><Relationship Id="rId139" Type="http://schemas.openxmlformats.org/officeDocument/2006/relationships/image" Target="media/image78.png"/><Relationship Id="rId8" Type="http://schemas.openxmlformats.org/officeDocument/2006/relationships/image" Target="media/image2.jpeg"/><Relationship Id="rId51" Type="http://schemas.openxmlformats.org/officeDocument/2006/relationships/image" Target="media/image25.png"/><Relationship Id="rId72" Type="http://schemas.openxmlformats.org/officeDocument/2006/relationships/image" Target="media/image36.png"/><Relationship Id="rId80" Type="http://schemas.openxmlformats.org/officeDocument/2006/relationships/footer" Target="footer14.xml"/><Relationship Id="rId85" Type="http://schemas.openxmlformats.org/officeDocument/2006/relationships/image" Target="media/image44.png"/><Relationship Id="rId93" Type="http://schemas.openxmlformats.org/officeDocument/2006/relationships/image" Target="media/image52.png"/><Relationship Id="rId98" Type="http://schemas.openxmlformats.org/officeDocument/2006/relationships/image" Target="media/image54.jpeg"/><Relationship Id="rId121" Type="http://schemas.openxmlformats.org/officeDocument/2006/relationships/header" Target="header27.xml"/><Relationship Id="rId14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header" Target="header9.xml"/><Relationship Id="rId33" Type="http://schemas.openxmlformats.org/officeDocument/2006/relationships/footer" Target="footer7.xml"/><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footer" Target="footer11.xml"/><Relationship Id="rId67" Type="http://schemas.openxmlformats.org/officeDocument/2006/relationships/diagramLayout" Target="diagrams/layout1.xml"/><Relationship Id="rId103" Type="http://schemas.openxmlformats.org/officeDocument/2006/relationships/image" Target="media/image57.jpeg"/><Relationship Id="rId108" Type="http://schemas.openxmlformats.org/officeDocument/2006/relationships/footer" Target="footer19.xml"/><Relationship Id="rId116" Type="http://schemas.openxmlformats.org/officeDocument/2006/relationships/header" Target="header24.xml"/><Relationship Id="rId124" Type="http://schemas.openxmlformats.org/officeDocument/2006/relationships/image" Target="media/image63.png"/><Relationship Id="rId129" Type="http://schemas.openxmlformats.org/officeDocument/2006/relationships/image" Target="media/image68.png"/><Relationship Id="rId137" Type="http://schemas.openxmlformats.org/officeDocument/2006/relationships/image" Target="media/image76.png"/><Relationship Id="rId20" Type="http://schemas.openxmlformats.org/officeDocument/2006/relationships/footer" Target="footer5.xml"/><Relationship Id="rId41" Type="http://schemas.openxmlformats.org/officeDocument/2006/relationships/image" Target="media/image17.png"/><Relationship Id="rId54" Type="http://schemas.openxmlformats.org/officeDocument/2006/relationships/image" Target="media/image28.png"/><Relationship Id="rId62" Type="http://schemas.openxmlformats.org/officeDocument/2006/relationships/image" Target="media/image31.png"/><Relationship Id="rId70" Type="http://schemas.microsoft.com/office/2007/relationships/diagramDrawing" Target="diagrams/drawing1.xml"/><Relationship Id="rId75" Type="http://schemas.openxmlformats.org/officeDocument/2006/relationships/footer" Target="footer13.xml"/><Relationship Id="rId83" Type="http://schemas.openxmlformats.org/officeDocument/2006/relationships/footer" Target="footer16.xml"/><Relationship Id="rId88" Type="http://schemas.openxmlformats.org/officeDocument/2006/relationships/image" Target="media/image47.png"/><Relationship Id="rId91" Type="http://schemas.openxmlformats.org/officeDocument/2006/relationships/image" Target="media/image50.png"/><Relationship Id="rId96" Type="http://schemas.openxmlformats.org/officeDocument/2006/relationships/header" Target="header19.xml"/><Relationship Id="rId111" Type="http://schemas.openxmlformats.org/officeDocument/2006/relationships/image" Target="media/image60.png"/><Relationship Id="rId132" Type="http://schemas.openxmlformats.org/officeDocument/2006/relationships/image" Target="media/image71.png"/><Relationship Id="rId140" Type="http://schemas.openxmlformats.org/officeDocument/2006/relationships/header" Target="header29.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eader" Target="header11.xml"/><Relationship Id="rId36" Type="http://schemas.openxmlformats.org/officeDocument/2006/relationships/image" Target="media/image12.png"/><Relationship Id="rId49" Type="http://schemas.openxmlformats.org/officeDocument/2006/relationships/header" Target="header14.xml"/><Relationship Id="rId57" Type="http://schemas.openxmlformats.org/officeDocument/2006/relationships/footer" Target="footer10.xml"/><Relationship Id="rId106" Type="http://schemas.openxmlformats.org/officeDocument/2006/relationships/header" Target="header20.xml"/><Relationship Id="rId114" Type="http://schemas.openxmlformats.org/officeDocument/2006/relationships/footer" Target="footer21.xml"/><Relationship Id="rId119" Type="http://schemas.openxmlformats.org/officeDocument/2006/relationships/header" Target="header26.xml"/><Relationship Id="rId127" Type="http://schemas.openxmlformats.org/officeDocument/2006/relationships/image" Target="media/image66.png"/><Relationship Id="rId10" Type="http://schemas.openxmlformats.org/officeDocument/2006/relationships/footer" Target="footer1.xml"/><Relationship Id="rId31" Type="http://schemas.openxmlformats.org/officeDocument/2006/relationships/image" Target="media/image11.png"/><Relationship Id="rId44" Type="http://schemas.openxmlformats.org/officeDocument/2006/relationships/image" Target="media/image20.png"/><Relationship Id="rId52" Type="http://schemas.openxmlformats.org/officeDocument/2006/relationships/image" Target="media/image26.jpeg"/><Relationship Id="rId60" Type="http://schemas.openxmlformats.org/officeDocument/2006/relationships/header" Target="header17.xml"/><Relationship Id="rId65" Type="http://schemas.openxmlformats.org/officeDocument/2006/relationships/image" Target="media/image34.png"/><Relationship Id="rId73" Type="http://schemas.openxmlformats.org/officeDocument/2006/relationships/image" Target="media/image37.png"/><Relationship Id="rId78" Type="http://schemas.openxmlformats.org/officeDocument/2006/relationships/image" Target="media/image41.png"/><Relationship Id="rId81" Type="http://schemas.openxmlformats.org/officeDocument/2006/relationships/footer" Target="footer15.xml"/><Relationship Id="rId86" Type="http://schemas.openxmlformats.org/officeDocument/2006/relationships/image" Target="media/image45.png"/><Relationship Id="rId94" Type="http://schemas.openxmlformats.org/officeDocument/2006/relationships/header" Target="header18.xml"/><Relationship Id="rId99" Type="http://schemas.openxmlformats.org/officeDocument/2006/relationships/image" Target="media/image55.jpeg"/><Relationship Id="rId101" Type="http://schemas.openxmlformats.org/officeDocument/2006/relationships/footer" Target="footer18.xml"/><Relationship Id="rId122" Type="http://schemas.openxmlformats.org/officeDocument/2006/relationships/header" Target="header28.xml"/><Relationship Id="rId130" Type="http://schemas.openxmlformats.org/officeDocument/2006/relationships/image" Target="media/image69.png"/><Relationship Id="rId135" Type="http://schemas.openxmlformats.org/officeDocument/2006/relationships/image" Target="media/image74.png"/><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5.jpeg"/><Relationship Id="rId39" Type="http://schemas.openxmlformats.org/officeDocument/2006/relationships/image" Target="media/image15.png"/><Relationship Id="rId109" Type="http://schemas.openxmlformats.org/officeDocument/2006/relationships/header" Target="header22.xml"/><Relationship Id="rId34" Type="http://schemas.openxmlformats.org/officeDocument/2006/relationships/header" Target="header13.xml"/><Relationship Id="rId50" Type="http://schemas.openxmlformats.org/officeDocument/2006/relationships/footer" Target="footer9.xml"/><Relationship Id="rId55" Type="http://schemas.openxmlformats.org/officeDocument/2006/relationships/image" Target="media/image29.png"/><Relationship Id="rId76" Type="http://schemas.openxmlformats.org/officeDocument/2006/relationships/image" Target="media/image39.png"/><Relationship Id="rId97" Type="http://schemas.openxmlformats.org/officeDocument/2006/relationships/image" Target="media/image53.png"/><Relationship Id="rId104" Type="http://schemas.openxmlformats.org/officeDocument/2006/relationships/image" Target="media/image58.png"/><Relationship Id="rId120" Type="http://schemas.openxmlformats.org/officeDocument/2006/relationships/footer" Target="footer23.xml"/><Relationship Id="rId125" Type="http://schemas.openxmlformats.org/officeDocument/2006/relationships/image" Target="media/image64.png"/><Relationship Id="rId141"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35.jpeg"/><Relationship Id="rId92" Type="http://schemas.openxmlformats.org/officeDocument/2006/relationships/image" Target="media/image51.jpeg"/><Relationship Id="rId2" Type="http://schemas.openxmlformats.org/officeDocument/2006/relationships/styles" Target="styles.xml"/><Relationship Id="rId29" Type="http://schemas.openxmlformats.org/officeDocument/2006/relationships/image" Target="media/image9.jpeg"/><Relationship Id="rId24" Type="http://schemas.openxmlformats.org/officeDocument/2006/relationships/image" Target="media/image8.png"/><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diagramData" Target="diagrams/data1.xml"/><Relationship Id="rId87" Type="http://schemas.openxmlformats.org/officeDocument/2006/relationships/image" Target="media/image46.png"/><Relationship Id="rId110" Type="http://schemas.openxmlformats.org/officeDocument/2006/relationships/footer" Target="footer20.xml"/><Relationship Id="rId115" Type="http://schemas.openxmlformats.org/officeDocument/2006/relationships/image" Target="media/image61.emf"/><Relationship Id="rId131" Type="http://schemas.openxmlformats.org/officeDocument/2006/relationships/image" Target="media/image70.png"/><Relationship Id="rId136" Type="http://schemas.openxmlformats.org/officeDocument/2006/relationships/image" Target="media/image75.png"/><Relationship Id="rId61" Type="http://schemas.openxmlformats.org/officeDocument/2006/relationships/footer" Target="footer12.xml"/><Relationship Id="rId82" Type="http://schemas.openxmlformats.org/officeDocument/2006/relationships/image" Target="media/image42.png"/><Relationship Id="rId19" Type="http://schemas.openxmlformats.org/officeDocument/2006/relationships/header" Target="header6.xml"/><Relationship Id="rId14" Type="http://schemas.openxmlformats.org/officeDocument/2006/relationships/header" Target="header4.xml"/><Relationship Id="rId30" Type="http://schemas.openxmlformats.org/officeDocument/2006/relationships/image" Target="media/image10.png"/><Relationship Id="rId35" Type="http://schemas.openxmlformats.org/officeDocument/2006/relationships/footer" Target="footer8.xml"/><Relationship Id="rId56" Type="http://schemas.openxmlformats.org/officeDocument/2006/relationships/header" Target="header15.xml"/><Relationship Id="rId77" Type="http://schemas.openxmlformats.org/officeDocument/2006/relationships/image" Target="media/image40.png"/><Relationship Id="rId100" Type="http://schemas.openxmlformats.org/officeDocument/2006/relationships/hyperlink" Target="https://www.mdba.gov.au/sites/default/files/pubs/Final-BWS-Nov14_0816.pdf" TargetMode="External"/><Relationship Id="rId105" Type="http://schemas.openxmlformats.org/officeDocument/2006/relationships/image" Target="media/image59.png"/><Relationship Id="rId126" Type="http://schemas.openxmlformats.org/officeDocument/2006/relationships/image" Target="media/image65.png"/></Relationships>
</file>

<file path=word/_rels/header10.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header1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header1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header1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header15.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0.jpeg"/></Relationships>
</file>

<file path=word/_rels/header16.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header17.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header2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header22.xml.rels><?xml version="1.0" encoding="UTF-8" standalone="yes"?>
<Relationships xmlns="http://schemas.openxmlformats.org/package/2006/relationships"><Relationship Id="rId1" Type="http://schemas.openxmlformats.org/officeDocument/2006/relationships/image" Target="media/image3.jpeg"/></Relationships>
</file>

<file path=word/_rels/header2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0.jpeg"/></Relationships>
</file>

<file path=word/_rels/header25.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header26.xml.rels><?xml version="1.0" encoding="UTF-8" standalone="yes"?>
<Relationships xmlns="http://schemas.openxmlformats.org/package/2006/relationships"><Relationship Id="rId1" Type="http://schemas.openxmlformats.org/officeDocument/2006/relationships/image" Target="media/image3.jpeg"/></Relationships>
</file>

<file path=word/_rels/header27.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7.jpeg"/></Relationships>
</file>

<file path=word/_rels/header28.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header29.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0.jpeg"/></Relationships>
</file>

<file path=word/_rels/head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_rels/header8.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7.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A47BD34-DDAC-4F65-BBC6-DA091740B112}" type="doc">
      <dgm:prSet loTypeId="urn:microsoft.com/office/officeart/2005/8/layout/hProcess9" loCatId="process" qsTypeId="urn:microsoft.com/office/officeart/2005/8/quickstyle/simple1" qsCatId="simple" csTypeId="urn:microsoft.com/office/officeart/2005/8/colors/accent1_2" csCatId="accent1" phldr="1"/>
      <dgm:spPr/>
    </dgm:pt>
    <dgm:pt modelId="{1F6339BA-7300-4BE6-967B-2C507776D4E7}">
      <dgm:prSet phldrT="[Text]"/>
      <dgm:spPr>
        <a:xfrm>
          <a:off x="1693" y="961477"/>
          <a:ext cx="985923" cy="1281970"/>
        </a:xfrm>
        <a:solidFill>
          <a:srgbClr val="759AA5">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a:solidFill>
                <a:sysClr val="window" lastClr="FFFFFF"/>
              </a:solidFill>
              <a:latin typeface="Calibri"/>
              <a:ea typeface="+mn-ea"/>
              <a:cs typeface="+mn-cs"/>
            </a:rPr>
            <a:t>(a) Develop a long list of sites and potential management options (developed in Part A, Step 5)</a:t>
          </a:r>
        </a:p>
      </dgm:t>
    </dgm:pt>
    <dgm:pt modelId="{D7FBEB13-DE8F-42B8-87AF-F56DD6A8BD5E}" type="parTrans" cxnId="{549AB6A3-A31C-4A58-BD92-1728213F95C5}">
      <dgm:prSet/>
      <dgm:spPr/>
      <dgm:t>
        <a:bodyPr/>
        <a:lstStyle/>
        <a:p>
          <a:endParaRPr lang="en-AU"/>
        </a:p>
      </dgm:t>
    </dgm:pt>
    <dgm:pt modelId="{471C7055-BF1A-4CFB-AD6E-03077CD1C397}" type="sibTrans" cxnId="{549AB6A3-A31C-4A58-BD92-1728213F95C5}">
      <dgm:prSet/>
      <dgm:spPr/>
      <dgm:t>
        <a:bodyPr/>
        <a:lstStyle/>
        <a:p>
          <a:endParaRPr lang="en-AU"/>
        </a:p>
      </dgm:t>
    </dgm:pt>
    <dgm:pt modelId="{0CA5C419-D0F9-4FCB-BF39-91FD934A0E22}">
      <dgm:prSet phldrT="[Text]"/>
      <dgm:spPr>
        <a:xfrm>
          <a:off x="1036913" y="961477"/>
          <a:ext cx="985923" cy="1281970"/>
        </a:xfrm>
        <a:solidFill>
          <a:srgbClr val="759AA5">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a:solidFill>
                <a:sysClr val="window" lastClr="FFFFFF"/>
              </a:solidFill>
              <a:latin typeface="Calibri"/>
              <a:ea typeface="+mn-ea"/>
              <a:cs typeface="+mn-cs"/>
            </a:rPr>
            <a:t>(b) Select an appropriate prioritisation tool (refer Table 4.1)</a:t>
          </a:r>
        </a:p>
      </dgm:t>
    </dgm:pt>
    <dgm:pt modelId="{D5D60FBA-72FC-45F3-9DDC-C92F64F3A847}" type="parTrans" cxnId="{DD4DD928-41C0-48BC-9299-63CC207AF6C7}">
      <dgm:prSet/>
      <dgm:spPr/>
      <dgm:t>
        <a:bodyPr/>
        <a:lstStyle/>
        <a:p>
          <a:endParaRPr lang="en-AU"/>
        </a:p>
      </dgm:t>
    </dgm:pt>
    <dgm:pt modelId="{F53BE80D-3983-48F3-87F8-5D2D67E2E23C}" type="sibTrans" cxnId="{DD4DD928-41C0-48BC-9299-63CC207AF6C7}">
      <dgm:prSet/>
      <dgm:spPr/>
      <dgm:t>
        <a:bodyPr/>
        <a:lstStyle/>
        <a:p>
          <a:endParaRPr lang="en-AU"/>
        </a:p>
      </dgm:t>
    </dgm:pt>
    <dgm:pt modelId="{C16726DD-075B-4A26-8F6E-2091ABB8823A}">
      <dgm:prSet phldrT="[Text]"/>
      <dgm:spPr>
        <a:xfrm>
          <a:off x="3107353" y="961477"/>
          <a:ext cx="985923" cy="1281970"/>
        </a:xfrm>
        <a:solidFill>
          <a:srgbClr val="759AA5">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lvl="0"/>
          <a:r>
            <a:rPr lang="en-AU">
              <a:solidFill>
                <a:sysClr val="window" lastClr="FFFFFF"/>
              </a:solidFill>
              <a:latin typeface="Calibri"/>
              <a:ea typeface="+mn-ea"/>
              <a:cs typeface="+mn-cs"/>
            </a:rPr>
            <a:t>(d) Option Prioritisation and shortlising for management units and options</a:t>
          </a:r>
        </a:p>
      </dgm:t>
    </dgm:pt>
    <dgm:pt modelId="{F7E8DD07-087E-4527-B43D-F740BB320211}" type="parTrans" cxnId="{561E1CFF-4CFC-4C01-89AF-27CF2DA57F46}">
      <dgm:prSet/>
      <dgm:spPr/>
      <dgm:t>
        <a:bodyPr/>
        <a:lstStyle/>
        <a:p>
          <a:endParaRPr lang="en-AU"/>
        </a:p>
      </dgm:t>
    </dgm:pt>
    <dgm:pt modelId="{03D3DC1F-34B5-4807-A450-3385F99AFE31}" type="sibTrans" cxnId="{561E1CFF-4CFC-4C01-89AF-27CF2DA57F46}">
      <dgm:prSet/>
      <dgm:spPr/>
      <dgm:t>
        <a:bodyPr/>
        <a:lstStyle/>
        <a:p>
          <a:endParaRPr lang="en-AU"/>
        </a:p>
      </dgm:t>
    </dgm:pt>
    <dgm:pt modelId="{9BD0CD38-8E93-4AA7-B173-203B46D8EF86}">
      <dgm:prSet/>
      <dgm:spPr/>
      <dgm:t>
        <a:bodyPr/>
        <a:lstStyle/>
        <a:p>
          <a:r>
            <a:rPr lang="en-AU">
              <a:solidFill>
                <a:sysClr val="window" lastClr="FFFFFF"/>
              </a:solidFill>
              <a:latin typeface="Calibri"/>
              <a:ea typeface="+mn-ea"/>
              <a:cs typeface="+mn-cs"/>
            </a:rPr>
            <a:t>(c) Establish evaluation criteria for Management Units and options (refer section 4.1.2 )</a:t>
          </a:r>
        </a:p>
      </dgm:t>
    </dgm:pt>
    <dgm:pt modelId="{8B24672D-14CD-40B1-A5C3-381CD94D01CE}" type="parTrans" cxnId="{F83026F1-9E46-40B7-B0EC-498371CE7731}">
      <dgm:prSet/>
      <dgm:spPr/>
      <dgm:t>
        <a:bodyPr/>
        <a:lstStyle/>
        <a:p>
          <a:endParaRPr lang="en-US"/>
        </a:p>
      </dgm:t>
    </dgm:pt>
    <dgm:pt modelId="{6DF8C33A-3A08-4798-9975-80D02CC1C45B}" type="sibTrans" cxnId="{F83026F1-9E46-40B7-B0EC-498371CE7731}">
      <dgm:prSet/>
      <dgm:spPr/>
      <dgm:t>
        <a:bodyPr/>
        <a:lstStyle/>
        <a:p>
          <a:endParaRPr lang="en-US"/>
        </a:p>
      </dgm:t>
    </dgm:pt>
    <dgm:pt modelId="{D3B294FB-5380-4D8A-9339-C85C29570A99}">
      <dgm:prSet phldrT="[Text]"/>
      <dgm:spPr>
        <a:xfrm>
          <a:off x="5177792" y="961477"/>
          <a:ext cx="985923" cy="1281970"/>
        </a:xfrm>
        <a:solidFill>
          <a:srgbClr val="759AA5">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a:solidFill>
                <a:sysClr val="window" lastClr="FFFFFF"/>
              </a:solidFill>
              <a:latin typeface="Calibri"/>
              <a:ea typeface="+mn-ea"/>
              <a:cs typeface="+mn-cs"/>
            </a:rPr>
            <a:t>(f) Finalise site selection and management option(s)</a:t>
          </a:r>
        </a:p>
      </dgm:t>
    </dgm:pt>
    <dgm:pt modelId="{852B1843-7024-42AB-A3FF-FF8CE4AC7432}" type="sibTrans" cxnId="{8D63A6E2-D2FF-4FED-9874-634E3B1331D8}">
      <dgm:prSet/>
      <dgm:spPr/>
      <dgm:t>
        <a:bodyPr/>
        <a:lstStyle/>
        <a:p>
          <a:endParaRPr lang="en-AU"/>
        </a:p>
      </dgm:t>
    </dgm:pt>
    <dgm:pt modelId="{C959FAC9-A10B-4B27-8718-2546FE6C1B2F}" type="parTrans" cxnId="{8D63A6E2-D2FF-4FED-9874-634E3B1331D8}">
      <dgm:prSet/>
      <dgm:spPr/>
      <dgm:t>
        <a:bodyPr/>
        <a:lstStyle/>
        <a:p>
          <a:endParaRPr lang="en-AU"/>
        </a:p>
      </dgm:t>
    </dgm:pt>
    <dgm:pt modelId="{0F865495-31E8-4023-A427-ED4873F7CA78}">
      <dgm:prSet phldrT="[Text]"/>
      <dgm:spPr>
        <a:xfrm>
          <a:off x="4142572" y="961477"/>
          <a:ext cx="985923" cy="1281970"/>
        </a:xfrm>
        <a:solidFill>
          <a:srgbClr val="759AA5">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a:solidFill>
                <a:sysClr val="window" lastClr="FFFFFF"/>
              </a:solidFill>
              <a:latin typeface="Calibri"/>
              <a:ea typeface="+mn-ea"/>
              <a:cs typeface="+mn-cs"/>
            </a:rPr>
            <a:t>(e) Confidence assessment and further investigations to increase confidence as required</a:t>
          </a:r>
        </a:p>
      </dgm:t>
    </dgm:pt>
    <dgm:pt modelId="{F4F6085B-13B3-4762-9C64-9873E4E3976F}" type="sibTrans" cxnId="{EE0C80DB-8D19-4ED0-B82B-2BD4C915D494}">
      <dgm:prSet/>
      <dgm:spPr/>
      <dgm:t>
        <a:bodyPr/>
        <a:lstStyle/>
        <a:p>
          <a:endParaRPr lang="en-AU"/>
        </a:p>
      </dgm:t>
    </dgm:pt>
    <dgm:pt modelId="{1B1F1235-91EC-4407-B64A-C3DAA2BE9CD3}" type="parTrans" cxnId="{EE0C80DB-8D19-4ED0-B82B-2BD4C915D494}">
      <dgm:prSet/>
      <dgm:spPr/>
      <dgm:t>
        <a:bodyPr/>
        <a:lstStyle/>
        <a:p>
          <a:endParaRPr lang="en-AU"/>
        </a:p>
      </dgm:t>
    </dgm:pt>
    <dgm:pt modelId="{7B725B8D-C8A0-41BA-9D91-B366281D5105}" type="pres">
      <dgm:prSet presAssocID="{2A47BD34-DDAC-4F65-BBC6-DA091740B112}" presName="CompostProcess" presStyleCnt="0">
        <dgm:presLayoutVars>
          <dgm:dir/>
          <dgm:resizeHandles val="exact"/>
        </dgm:presLayoutVars>
      </dgm:prSet>
      <dgm:spPr/>
    </dgm:pt>
    <dgm:pt modelId="{A39D8190-BB36-4EFC-A758-2208D91BDCE9}" type="pres">
      <dgm:prSet presAssocID="{2A47BD34-DDAC-4F65-BBC6-DA091740B112}" presName="arrow" presStyleLbl="bgShp" presStyleIdx="0" presStyleCnt="1"/>
      <dgm:spPr>
        <a:xfrm>
          <a:off x="462405" y="0"/>
          <a:ext cx="5240598" cy="3204926"/>
        </a:xfrm>
        <a:prstGeom prst="rightArrow">
          <a:avLst/>
        </a:prstGeom>
        <a:solidFill>
          <a:srgbClr val="759AA5">
            <a:tint val="40000"/>
            <a:hueOff val="0"/>
            <a:satOff val="0"/>
            <a:lumOff val="0"/>
            <a:alphaOff val="0"/>
          </a:srgbClr>
        </a:solidFill>
        <a:ln>
          <a:noFill/>
        </a:ln>
        <a:effectLst/>
      </dgm:spPr>
    </dgm:pt>
    <dgm:pt modelId="{633C8DC1-47EE-4CBA-BB8B-40B7C635C5FE}" type="pres">
      <dgm:prSet presAssocID="{2A47BD34-DDAC-4F65-BBC6-DA091740B112}" presName="linearProcess" presStyleCnt="0"/>
      <dgm:spPr/>
    </dgm:pt>
    <dgm:pt modelId="{9ABB0E6E-FA8E-4522-B37F-CA9C8C2A7C3F}" type="pres">
      <dgm:prSet presAssocID="{1F6339BA-7300-4BE6-967B-2C507776D4E7}" presName="textNode" presStyleLbl="node1" presStyleIdx="0" presStyleCnt="6">
        <dgm:presLayoutVars>
          <dgm:bulletEnabled val="1"/>
        </dgm:presLayoutVars>
      </dgm:prSet>
      <dgm:spPr>
        <a:prstGeom prst="roundRect">
          <a:avLst/>
        </a:prstGeom>
      </dgm:spPr>
      <dgm:t>
        <a:bodyPr/>
        <a:lstStyle/>
        <a:p>
          <a:endParaRPr lang="en-AU"/>
        </a:p>
      </dgm:t>
    </dgm:pt>
    <dgm:pt modelId="{030AF371-4A03-43A9-8E2E-66FECB4FEF9F}" type="pres">
      <dgm:prSet presAssocID="{471C7055-BF1A-4CFB-AD6E-03077CD1C397}" presName="sibTrans" presStyleCnt="0"/>
      <dgm:spPr/>
    </dgm:pt>
    <dgm:pt modelId="{F89EA27A-D625-4009-8EAF-896D8AD638D4}" type="pres">
      <dgm:prSet presAssocID="{0CA5C419-D0F9-4FCB-BF39-91FD934A0E22}" presName="textNode" presStyleLbl="node1" presStyleIdx="1" presStyleCnt="6">
        <dgm:presLayoutVars>
          <dgm:bulletEnabled val="1"/>
        </dgm:presLayoutVars>
      </dgm:prSet>
      <dgm:spPr>
        <a:prstGeom prst="roundRect">
          <a:avLst/>
        </a:prstGeom>
      </dgm:spPr>
      <dgm:t>
        <a:bodyPr/>
        <a:lstStyle/>
        <a:p>
          <a:endParaRPr lang="en-AU"/>
        </a:p>
      </dgm:t>
    </dgm:pt>
    <dgm:pt modelId="{EAB08037-14AB-4E1B-98B5-6F7FF8E162D7}" type="pres">
      <dgm:prSet presAssocID="{F53BE80D-3983-48F3-87F8-5D2D67E2E23C}" presName="sibTrans" presStyleCnt="0"/>
      <dgm:spPr/>
    </dgm:pt>
    <dgm:pt modelId="{EC72117D-ED14-493A-8267-F61C5B9501F2}" type="pres">
      <dgm:prSet presAssocID="{9BD0CD38-8E93-4AA7-B173-203B46D8EF86}" presName="textNode" presStyleLbl="node1" presStyleIdx="2" presStyleCnt="6">
        <dgm:presLayoutVars>
          <dgm:bulletEnabled val="1"/>
        </dgm:presLayoutVars>
      </dgm:prSet>
      <dgm:spPr/>
      <dgm:t>
        <a:bodyPr/>
        <a:lstStyle/>
        <a:p>
          <a:endParaRPr lang="en-AU"/>
        </a:p>
      </dgm:t>
    </dgm:pt>
    <dgm:pt modelId="{A936C20C-B40B-4BDB-B39E-22A000ACDC56}" type="pres">
      <dgm:prSet presAssocID="{6DF8C33A-3A08-4798-9975-80D02CC1C45B}" presName="sibTrans" presStyleCnt="0"/>
      <dgm:spPr/>
    </dgm:pt>
    <dgm:pt modelId="{AAEB7CFB-CB2B-4A9B-925F-155A9CA6F542}" type="pres">
      <dgm:prSet presAssocID="{C16726DD-075B-4A26-8F6E-2091ABB8823A}" presName="textNode" presStyleLbl="node1" presStyleIdx="3" presStyleCnt="6">
        <dgm:presLayoutVars>
          <dgm:bulletEnabled val="1"/>
        </dgm:presLayoutVars>
      </dgm:prSet>
      <dgm:spPr>
        <a:prstGeom prst="roundRect">
          <a:avLst/>
        </a:prstGeom>
      </dgm:spPr>
      <dgm:t>
        <a:bodyPr/>
        <a:lstStyle/>
        <a:p>
          <a:endParaRPr lang="en-AU"/>
        </a:p>
      </dgm:t>
    </dgm:pt>
    <dgm:pt modelId="{AA76DCE9-1A9A-45F2-AC5E-0393638B8316}" type="pres">
      <dgm:prSet presAssocID="{03D3DC1F-34B5-4807-A450-3385F99AFE31}" presName="sibTrans" presStyleCnt="0"/>
      <dgm:spPr/>
    </dgm:pt>
    <dgm:pt modelId="{9650FDDD-33DC-4364-98EC-4FD9F2A1E867}" type="pres">
      <dgm:prSet presAssocID="{0F865495-31E8-4023-A427-ED4873F7CA78}" presName="textNode" presStyleLbl="node1" presStyleIdx="4" presStyleCnt="6">
        <dgm:presLayoutVars>
          <dgm:bulletEnabled val="1"/>
        </dgm:presLayoutVars>
      </dgm:prSet>
      <dgm:spPr>
        <a:prstGeom prst="roundRect">
          <a:avLst/>
        </a:prstGeom>
      </dgm:spPr>
      <dgm:t>
        <a:bodyPr/>
        <a:lstStyle/>
        <a:p>
          <a:endParaRPr lang="en-AU"/>
        </a:p>
      </dgm:t>
    </dgm:pt>
    <dgm:pt modelId="{8FBDC914-B2A7-4688-B597-D0E7B7B35641}" type="pres">
      <dgm:prSet presAssocID="{F4F6085B-13B3-4762-9C64-9873E4E3976F}" presName="sibTrans" presStyleCnt="0"/>
      <dgm:spPr/>
    </dgm:pt>
    <dgm:pt modelId="{165C1355-56A9-4D4D-997E-0C027106A00E}" type="pres">
      <dgm:prSet presAssocID="{D3B294FB-5380-4D8A-9339-C85C29570A99}" presName="textNode" presStyleLbl="node1" presStyleIdx="5" presStyleCnt="6">
        <dgm:presLayoutVars>
          <dgm:bulletEnabled val="1"/>
        </dgm:presLayoutVars>
      </dgm:prSet>
      <dgm:spPr>
        <a:prstGeom prst="roundRect">
          <a:avLst/>
        </a:prstGeom>
      </dgm:spPr>
      <dgm:t>
        <a:bodyPr/>
        <a:lstStyle/>
        <a:p>
          <a:endParaRPr lang="en-AU"/>
        </a:p>
      </dgm:t>
    </dgm:pt>
  </dgm:ptLst>
  <dgm:cxnLst>
    <dgm:cxn modelId="{8D97D356-1784-4263-BB21-06C44F9C7813}" type="presOf" srcId="{0CA5C419-D0F9-4FCB-BF39-91FD934A0E22}" destId="{F89EA27A-D625-4009-8EAF-896D8AD638D4}" srcOrd="0" destOrd="0" presId="urn:microsoft.com/office/officeart/2005/8/layout/hProcess9"/>
    <dgm:cxn modelId="{549AB6A3-A31C-4A58-BD92-1728213F95C5}" srcId="{2A47BD34-DDAC-4F65-BBC6-DA091740B112}" destId="{1F6339BA-7300-4BE6-967B-2C507776D4E7}" srcOrd="0" destOrd="0" parTransId="{D7FBEB13-DE8F-42B8-87AF-F56DD6A8BD5E}" sibTransId="{471C7055-BF1A-4CFB-AD6E-03077CD1C397}"/>
    <dgm:cxn modelId="{F83026F1-9E46-40B7-B0EC-498371CE7731}" srcId="{2A47BD34-DDAC-4F65-BBC6-DA091740B112}" destId="{9BD0CD38-8E93-4AA7-B173-203B46D8EF86}" srcOrd="2" destOrd="0" parTransId="{8B24672D-14CD-40B1-A5C3-381CD94D01CE}" sibTransId="{6DF8C33A-3A08-4798-9975-80D02CC1C45B}"/>
    <dgm:cxn modelId="{EAA88F51-4C8F-43C8-A3A8-55A2B2E3B1F0}" type="presOf" srcId="{C16726DD-075B-4A26-8F6E-2091ABB8823A}" destId="{AAEB7CFB-CB2B-4A9B-925F-155A9CA6F542}" srcOrd="0" destOrd="0" presId="urn:microsoft.com/office/officeart/2005/8/layout/hProcess9"/>
    <dgm:cxn modelId="{D51846D6-DCDB-4E06-880D-68DF590171CB}" type="presOf" srcId="{0F865495-31E8-4023-A427-ED4873F7CA78}" destId="{9650FDDD-33DC-4364-98EC-4FD9F2A1E867}" srcOrd="0" destOrd="0" presId="urn:microsoft.com/office/officeart/2005/8/layout/hProcess9"/>
    <dgm:cxn modelId="{561E1CFF-4CFC-4C01-89AF-27CF2DA57F46}" srcId="{2A47BD34-DDAC-4F65-BBC6-DA091740B112}" destId="{C16726DD-075B-4A26-8F6E-2091ABB8823A}" srcOrd="3" destOrd="0" parTransId="{F7E8DD07-087E-4527-B43D-F740BB320211}" sibTransId="{03D3DC1F-34B5-4807-A450-3385F99AFE31}"/>
    <dgm:cxn modelId="{8D63A6E2-D2FF-4FED-9874-634E3B1331D8}" srcId="{2A47BD34-DDAC-4F65-BBC6-DA091740B112}" destId="{D3B294FB-5380-4D8A-9339-C85C29570A99}" srcOrd="5" destOrd="0" parTransId="{C959FAC9-A10B-4B27-8718-2546FE6C1B2F}" sibTransId="{852B1843-7024-42AB-A3FF-FF8CE4AC7432}"/>
    <dgm:cxn modelId="{9A4E3490-B0F9-4390-BAF7-1D6952D9CAEE}" type="presOf" srcId="{D3B294FB-5380-4D8A-9339-C85C29570A99}" destId="{165C1355-56A9-4D4D-997E-0C027106A00E}" srcOrd="0" destOrd="0" presId="urn:microsoft.com/office/officeart/2005/8/layout/hProcess9"/>
    <dgm:cxn modelId="{FCDD16AC-49AD-4438-9B08-D64BB288222A}" type="presOf" srcId="{2A47BD34-DDAC-4F65-BBC6-DA091740B112}" destId="{7B725B8D-C8A0-41BA-9D91-B366281D5105}" srcOrd="0" destOrd="0" presId="urn:microsoft.com/office/officeart/2005/8/layout/hProcess9"/>
    <dgm:cxn modelId="{9B512B02-E3D1-4E8D-8FF9-82CACEB552FE}" type="presOf" srcId="{9BD0CD38-8E93-4AA7-B173-203B46D8EF86}" destId="{EC72117D-ED14-493A-8267-F61C5B9501F2}" srcOrd="0" destOrd="0" presId="urn:microsoft.com/office/officeart/2005/8/layout/hProcess9"/>
    <dgm:cxn modelId="{478D0789-6372-4491-9A81-D8A3AD4448B3}" type="presOf" srcId="{1F6339BA-7300-4BE6-967B-2C507776D4E7}" destId="{9ABB0E6E-FA8E-4522-B37F-CA9C8C2A7C3F}" srcOrd="0" destOrd="0" presId="urn:microsoft.com/office/officeart/2005/8/layout/hProcess9"/>
    <dgm:cxn modelId="{DD4DD928-41C0-48BC-9299-63CC207AF6C7}" srcId="{2A47BD34-DDAC-4F65-BBC6-DA091740B112}" destId="{0CA5C419-D0F9-4FCB-BF39-91FD934A0E22}" srcOrd="1" destOrd="0" parTransId="{D5D60FBA-72FC-45F3-9DDC-C92F64F3A847}" sibTransId="{F53BE80D-3983-48F3-87F8-5D2D67E2E23C}"/>
    <dgm:cxn modelId="{EE0C80DB-8D19-4ED0-B82B-2BD4C915D494}" srcId="{2A47BD34-DDAC-4F65-BBC6-DA091740B112}" destId="{0F865495-31E8-4023-A427-ED4873F7CA78}" srcOrd="4" destOrd="0" parTransId="{1B1F1235-91EC-4407-B64A-C3DAA2BE9CD3}" sibTransId="{F4F6085B-13B3-4762-9C64-9873E4E3976F}"/>
    <dgm:cxn modelId="{38FE9946-FC41-43DE-899B-168A880EE50C}" type="presParOf" srcId="{7B725B8D-C8A0-41BA-9D91-B366281D5105}" destId="{A39D8190-BB36-4EFC-A758-2208D91BDCE9}" srcOrd="0" destOrd="0" presId="urn:microsoft.com/office/officeart/2005/8/layout/hProcess9"/>
    <dgm:cxn modelId="{7DA473A3-6E3E-4EBB-8781-FABFDC139976}" type="presParOf" srcId="{7B725B8D-C8A0-41BA-9D91-B366281D5105}" destId="{633C8DC1-47EE-4CBA-BB8B-40B7C635C5FE}" srcOrd="1" destOrd="0" presId="urn:microsoft.com/office/officeart/2005/8/layout/hProcess9"/>
    <dgm:cxn modelId="{5C002E84-DE33-4CD1-823C-381721ECF6ED}" type="presParOf" srcId="{633C8DC1-47EE-4CBA-BB8B-40B7C635C5FE}" destId="{9ABB0E6E-FA8E-4522-B37F-CA9C8C2A7C3F}" srcOrd="0" destOrd="0" presId="urn:microsoft.com/office/officeart/2005/8/layout/hProcess9"/>
    <dgm:cxn modelId="{82E31F2D-0E2A-4880-832F-22AD952F47F7}" type="presParOf" srcId="{633C8DC1-47EE-4CBA-BB8B-40B7C635C5FE}" destId="{030AF371-4A03-43A9-8E2E-66FECB4FEF9F}" srcOrd="1" destOrd="0" presId="urn:microsoft.com/office/officeart/2005/8/layout/hProcess9"/>
    <dgm:cxn modelId="{841516EC-D25B-4A69-BF3E-305A6042A004}" type="presParOf" srcId="{633C8DC1-47EE-4CBA-BB8B-40B7C635C5FE}" destId="{F89EA27A-D625-4009-8EAF-896D8AD638D4}" srcOrd="2" destOrd="0" presId="urn:microsoft.com/office/officeart/2005/8/layout/hProcess9"/>
    <dgm:cxn modelId="{949B99A5-DFF9-4084-8F12-64C70DC8CFE4}" type="presParOf" srcId="{633C8DC1-47EE-4CBA-BB8B-40B7C635C5FE}" destId="{EAB08037-14AB-4E1B-98B5-6F7FF8E162D7}" srcOrd="3" destOrd="0" presId="urn:microsoft.com/office/officeart/2005/8/layout/hProcess9"/>
    <dgm:cxn modelId="{958F15DE-9DB8-4788-B202-FB37F20F4627}" type="presParOf" srcId="{633C8DC1-47EE-4CBA-BB8B-40B7C635C5FE}" destId="{EC72117D-ED14-493A-8267-F61C5B9501F2}" srcOrd="4" destOrd="0" presId="urn:microsoft.com/office/officeart/2005/8/layout/hProcess9"/>
    <dgm:cxn modelId="{7716F03F-B03D-41FF-A4D9-43CEBDE1F26F}" type="presParOf" srcId="{633C8DC1-47EE-4CBA-BB8B-40B7C635C5FE}" destId="{A936C20C-B40B-4BDB-B39E-22A000ACDC56}" srcOrd="5" destOrd="0" presId="urn:microsoft.com/office/officeart/2005/8/layout/hProcess9"/>
    <dgm:cxn modelId="{4427A70B-4FA4-4261-BF2F-9CDE094683CF}" type="presParOf" srcId="{633C8DC1-47EE-4CBA-BB8B-40B7C635C5FE}" destId="{AAEB7CFB-CB2B-4A9B-925F-155A9CA6F542}" srcOrd="6" destOrd="0" presId="urn:microsoft.com/office/officeart/2005/8/layout/hProcess9"/>
    <dgm:cxn modelId="{2A61FE3A-E667-477F-AFDF-0DCC83EB6C8A}" type="presParOf" srcId="{633C8DC1-47EE-4CBA-BB8B-40B7C635C5FE}" destId="{AA76DCE9-1A9A-45F2-AC5E-0393638B8316}" srcOrd="7" destOrd="0" presId="urn:microsoft.com/office/officeart/2005/8/layout/hProcess9"/>
    <dgm:cxn modelId="{5F3B16A3-EBBB-4A4F-983E-E39BE4C6E541}" type="presParOf" srcId="{633C8DC1-47EE-4CBA-BB8B-40B7C635C5FE}" destId="{9650FDDD-33DC-4364-98EC-4FD9F2A1E867}" srcOrd="8" destOrd="0" presId="urn:microsoft.com/office/officeart/2005/8/layout/hProcess9"/>
    <dgm:cxn modelId="{63F581CE-9E57-4A24-B827-479E7942EBE3}" type="presParOf" srcId="{633C8DC1-47EE-4CBA-BB8B-40B7C635C5FE}" destId="{8FBDC914-B2A7-4688-B597-D0E7B7B35641}" srcOrd="9" destOrd="0" presId="urn:microsoft.com/office/officeart/2005/8/layout/hProcess9"/>
    <dgm:cxn modelId="{BB13B000-A4B6-4EE4-8EC3-CA8A7A25150B}" type="presParOf" srcId="{633C8DC1-47EE-4CBA-BB8B-40B7C635C5FE}" destId="{165C1355-56A9-4D4D-997E-0C027106A00E}" srcOrd="10" destOrd="0" presId="urn:microsoft.com/office/officeart/2005/8/layout/hProcess9"/>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9D8190-BB36-4EFC-A758-2208D91BDCE9}">
      <dsp:nvSpPr>
        <dsp:cNvPr id="0" name=""/>
        <dsp:cNvSpPr/>
      </dsp:nvSpPr>
      <dsp:spPr>
        <a:xfrm>
          <a:off x="462405" y="0"/>
          <a:ext cx="5240598" cy="3204926"/>
        </a:xfrm>
        <a:prstGeom prst="rightArrow">
          <a:avLst/>
        </a:prstGeom>
        <a:solidFill>
          <a:srgbClr val="759AA5">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9ABB0E6E-FA8E-4522-B37F-CA9C8C2A7C3F}">
      <dsp:nvSpPr>
        <dsp:cNvPr id="0" name=""/>
        <dsp:cNvSpPr/>
      </dsp:nvSpPr>
      <dsp:spPr>
        <a:xfrm>
          <a:off x="1693" y="961477"/>
          <a:ext cx="985923" cy="1281970"/>
        </a:xfrm>
        <a:prstGeom prst="roundRect">
          <a:avLst/>
        </a:prstGeom>
        <a:solidFill>
          <a:srgbClr val="759AA5">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AU" sz="1000" kern="1200">
              <a:solidFill>
                <a:sysClr val="window" lastClr="FFFFFF"/>
              </a:solidFill>
              <a:latin typeface="Calibri"/>
              <a:ea typeface="+mn-ea"/>
              <a:cs typeface="+mn-cs"/>
            </a:rPr>
            <a:t>(a) Develop a long list of sites and potential management options (developed in Part A, Step 5)</a:t>
          </a:r>
        </a:p>
      </dsp:txBody>
      <dsp:txXfrm>
        <a:off x="49822" y="1009606"/>
        <a:ext cx="889665" cy="1185712"/>
      </dsp:txXfrm>
    </dsp:sp>
    <dsp:sp modelId="{F89EA27A-D625-4009-8EAF-896D8AD638D4}">
      <dsp:nvSpPr>
        <dsp:cNvPr id="0" name=""/>
        <dsp:cNvSpPr/>
      </dsp:nvSpPr>
      <dsp:spPr>
        <a:xfrm>
          <a:off x="1036913" y="961477"/>
          <a:ext cx="985923" cy="1281970"/>
        </a:xfrm>
        <a:prstGeom prst="roundRect">
          <a:avLst/>
        </a:prstGeom>
        <a:solidFill>
          <a:srgbClr val="759AA5">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AU" sz="1000" kern="1200">
              <a:solidFill>
                <a:sysClr val="window" lastClr="FFFFFF"/>
              </a:solidFill>
              <a:latin typeface="Calibri"/>
              <a:ea typeface="+mn-ea"/>
              <a:cs typeface="+mn-cs"/>
            </a:rPr>
            <a:t>(b) Select an appropriate prioritisation tool (refer Table 4.1)</a:t>
          </a:r>
        </a:p>
      </dsp:txBody>
      <dsp:txXfrm>
        <a:off x="1085042" y="1009606"/>
        <a:ext cx="889665" cy="1185712"/>
      </dsp:txXfrm>
    </dsp:sp>
    <dsp:sp modelId="{EC72117D-ED14-493A-8267-F61C5B9501F2}">
      <dsp:nvSpPr>
        <dsp:cNvPr id="0" name=""/>
        <dsp:cNvSpPr/>
      </dsp:nvSpPr>
      <dsp:spPr>
        <a:xfrm>
          <a:off x="2072133" y="961477"/>
          <a:ext cx="985923" cy="128197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AU" sz="1000" kern="1200">
              <a:solidFill>
                <a:sysClr val="window" lastClr="FFFFFF"/>
              </a:solidFill>
              <a:latin typeface="Calibri"/>
              <a:ea typeface="+mn-ea"/>
              <a:cs typeface="+mn-cs"/>
            </a:rPr>
            <a:t>(c) Establish evaluation criteria for Management Units and options (refer section 4.1.2 )</a:t>
          </a:r>
        </a:p>
      </dsp:txBody>
      <dsp:txXfrm>
        <a:off x="2120262" y="1009606"/>
        <a:ext cx="889665" cy="1185712"/>
      </dsp:txXfrm>
    </dsp:sp>
    <dsp:sp modelId="{AAEB7CFB-CB2B-4A9B-925F-155A9CA6F542}">
      <dsp:nvSpPr>
        <dsp:cNvPr id="0" name=""/>
        <dsp:cNvSpPr/>
      </dsp:nvSpPr>
      <dsp:spPr>
        <a:xfrm>
          <a:off x="3107353" y="961477"/>
          <a:ext cx="985923" cy="1281970"/>
        </a:xfrm>
        <a:prstGeom prst="roundRect">
          <a:avLst/>
        </a:prstGeom>
        <a:solidFill>
          <a:srgbClr val="759AA5">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AU" sz="1000" kern="1200">
              <a:solidFill>
                <a:sysClr val="window" lastClr="FFFFFF"/>
              </a:solidFill>
              <a:latin typeface="Calibri"/>
              <a:ea typeface="+mn-ea"/>
              <a:cs typeface="+mn-cs"/>
            </a:rPr>
            <a:t>(d) Option Prioritisation and shortlising for management units and options</a:t>
          </a:r>
        </a:p>
      </dsp:txBody>
      <dsp:txXfrm>
        <a:off x="3155482" y="1009606"/>
        <a:ext cx="889665" cy="1185712"/>
      </dsp:txXfrm>
    </dsp:sp>
    <dsp:sp modelId="{9650FDDD-33DC-4364-98EC-4FD9F2A1E867}">
      <dsp:nvSpPr>
        <dsp:cNvPr id="0" name=""/>
        <dsp:cNvSpPr/>
      </dsp:nvSpPr>
      <dsp:spPr>
        <a:xfrm>
          <a:off x="4142572" y="961477"/>
          <a:ext cx="985923" cy="1281970"/>
        </a:xfrm>
        <a:prstGeom prst="roundRect">
          <a:avLst/>
        </a:prstGeom>
        <a:solidFill>
          <a:srgbClr val="759AA5">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AU" sz="1000" kern="1200">
              <a:solidFill>
                <a:sysClr val="window" lastClr="FFFFFF"/>
              </a:solidFill>
              <a:latin typeface="Calibri"/>
              <a:ea typeface="+mn-ea"/>
              <a:cs typeface="+mn-cs"/>
            </a:rPr>
            <a:t>(e) Confidence assessment and further investigations to increase confidence as required</a:t>
          </a:r>
        </a:p>
      </dsp:txBody>
      <dsp:txXfrm>
        <a:off x="4190701" y="1009606"/>
        <a:ext cx="889665" cy="1185712"/>
      </dsp:txXfrm>
    </dsp:sp>
    <dsp:sp modelId="{165C1355-56A9-4D4D-997E-0C027106A00E}">
      <dsp:nvSpPr>
        <dsp:cNvPr id="0" name=""/>
        <dsp:cNvSpPr/>
      </dsp:nvSpPr>
      <dsp:spPr>
        <a:xfrm>
          <a:off x="5177792" y="961477"/>
          <a:ext cx="985923" cy="1281970"/>
        </a:xfrm>
        <a:prstGeom prst="roundRect">
          <a:avLst/>
        </a:prstGeom>
        <a:solidFill>
          <a:srgbClr val="759AA5">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AU" sz="1000" kern="1200">
              <a:solidFill>
                <a:sysClr val="window" lastClr="FFFFFF"/>
              </a:solidFill>
              <a:latin typeface="Calibri"/>
              <a:ea typeface="+mn-ea"/>
              <a:cs typeface="+mn-cs"/>
            </a:rPr>
            <a:t>(f) Finalise site selection and management option(s)</a:t>
          </a:r>
        </a:p>
      </dsp:txBody>
      <dsp:txXfrm>
        <a:off x="5225921" y="1009606"/>
        <a:ext cx="889665" cy="1185712"/>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Jacobs Document">
  <a:themeElements>
    <a:clrScheme name="Thatch">
      <a:dk1>
        <a:sysClr val="windowText" lastClr="000000"/>
      </a:dk1>
      <a:lt1>
        <a:sysClr val="window" lastClr="FFFFFF"/>
      </a:lt1>
      <a:dk2>
        <a:srgbClr val="1D3641"/>
      </a:dk2>
      <a:lt2>
        <a:srgbClr val="DFE6D0"/>
      </a:lt2>
      <a:accent1>
        <a:srgbClr val="759AA5"/>
      </a:accent1>
      <a:accent2>
        <a:srgbClr val="CFC60D"/>
      </a:accent2>
      <a:accent3>
        <a:srgbClr val="99987F"/>
      </a:accent3>
      <a:accent4>
        <a:srgbClr val="90AC97"/>
      </a:accent4>
      <a:accent5>
        <a:srgbClr val="FFAD1C"/>
      </a:accent5>
      <a:accent6>
        <a:srgbClr val="B9AB6F"/>
      </a:accent6>
      <a:hlink>
        <a:srgbClr val="66AACD"/>
      </a:hlink>
      <a:folHlink>
        <a:srgbClr val="809DB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B4E1F3AD.dotm</Template>
  <TotalTime>1</TotalTime>
  <Pages>181</Pages>
  <Words>51528</Words>
  <Characters>293710</Characters>
  <Application>Microsoft Office Word</Application>
  <DocSecurity>0</DocSecurity>
  <Lines>2447</Lines>
  <Paragraphs>689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344549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Black Box Management Framework: A Framework for Managing Floodplain and Wetland Black Box Eucalypts in the Murray-Darling Basin</dc:title>
  <dc:subject/>
  <dc:creator>Jacobs Group (Australia)</dc:creator>
  <cp:keywords/>
  <dc:description/>
  <cp:lastModifiedBy>Durack, Bec</cp:lastModifiedBy>
  <cp:revision>2</cp:revision>
  <dcterms:created xsi:type="dcterms:W3CDTF">2018-07-13T01:45:00Z</dcterms:created>
  <dcterms:modified xsi:type="dcterms:W3CDTF">2018-07-13T01:45:00Z</dcterms:modified>
</cp:coreProperties>
</file>