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A82B7" w14:textId="6870A4B3" w:rsidR="00E87598" w:rsidRDefault="001A7B83" w:rsidP="00E57598">
      <w:pPr>
        <w:pStyle w:val="Heading1"/>
      </w:pPr>
      <w:bookmarkStart w:id="0" w:name="_Hlk77923587"/>
      <w:r>
        <w:t xml:space="preserve">Cost </w:t>
      </w:r>
      <w:r w:rsidR="00115D06">
        <w:t>R</w:t>
      </w:r>
      <w:r>
        <w:t xml:space="preserve">ecovery </w:t>
      </w:r>
      <w:r w:rsidR="00115D06">
        <w:t>I</w:t>
      </w:r>
      <w:r>
        <w:t>mplementation</w:t>
      </w:r>
      <w:r w:rsidR="00BD6580">
        <w:t> </w:t>
      </w:r>
      <w:r w:rsidR="00115D06">
        <w:t>S</w:t>
      </w:r>
      <w:r w:rsidR="00BD6580">
        <w:t>tatement: biosecurity </w:t>
      </w:r>
      <w:r>
        <w:t>(hitchhiker)</w:t>
      </w:r>
    </w:p>
    <w:p w14:paraId="472D16A9" w14:textId="7F3C08D4" w:rsidR="00764D6A" w:rsidRDefault="001A7B83" w:rsidP="00E57598">
      <w:pPr>
        <w:pStyle w:val="Heading1"/>
        <w:rPr>
          <w:noProof/>
        </w:rPr>
      </w:pPr>
      <w:r>
        <w:t>2022–23</w:t>
      </w:r>
      <w:bookmarkEnd w:id="0"/>
    </w:p>
    <w:p w14:paraId="3D2B9E88" w14:textId="5F5C2B3E" w:rsidR="00430743" w:rsidRDefault="00430743" w:rsidP="00430743"/>
    <w:p w14:paraId="6DF3C4A2" w14:textId="470137A1" w:rsidR="00430743" w:rsidRPr="00430743" w:rsidRDefault="00430743" w:rsidP="00430743">
      <w:r>
        <w:rPr>
          <w:noProof/>
        </w:rPr>
        <w:drawing>
          <wp:inline distT="0" distB="0" distL="0" distR="0" wp14:anchorId="63CCDFB6" wp14:editId="45F802E3">
            <wp:extent cx="5759450" cy="3841750"/>
            <wp:effectExtent l="0" t="0" r="0" b="6350"/>
            <wp:docPr id="1" name="Picture 1" descr="A picture containing road, sky, outdoor, cargo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oad, sky, outdoor, cargo container&#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3841750"/>
                    </a:xfrm>
                    <a:prstGeom prst="rect">
                      <a:avLst/>
                    </a:prstGeom>
                    <a:noFill/>
                    <a:ln>
                      <a:noFill/>
                    </a:ln>
                  </pic:spPr>
                </pic:pic>
              </a:graphicData>
            </a:graphic>
          </wp:inline>
        </w:drawing>
      </w:r>
    </w:p>
    <w:p w14:paraId="27CB2D1C" w14:textId="2C258CFE" w:rsidR="00764D6A" w:rsidRDefault="00E91D72">
      <w:pPr>
        <w:pStyle w:val="Normalsmall"/>
      </w:pPr>
      <w:r>
        <w:br w:type="page"/>
      </w:r>
      <w:r>
        <w:lastRenderedPageBreak/>
        <w:t xml:space="preserve">© Commonwealth of Australia </w:t>
      </w:r>
      <w:r w:rsidR="0043674A">
        <w:t>2022</w:t>
      </w:r>
    </w:p>
    <w:p w14:paraId="388E623D" w14:textId="77777777" w:rsidR="00764D6A" w:rsidRDefault="00E91D72">
      <w:pPr>
        <w:pStyle w:val="Normalsmall"/>
        <w:rPr>
          <w:rStyle w:val="Strong"/>
        </w:rPr>
      </w:pPr>
      <w:r>
        <w:rPr>
          <w:rStyle w:val="Strong"/>
        </w:rPr>
        <w:t>Ownership of intellectual property rights</w:t>
      </w:r>
    </w:p>
    <w:p w14:paraId="495B9A8C"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5A44C546" w14:textId="77777777" w:rsidR="00764D6A" w:rsidRDefault="00E91D72">
      <w:pPr>
        <w:pStyle w:val="Normalsmall"/>
        <w:rPr>
          <w:rStyle w:val="Strong"/>
        </w:rPr>
      </w:pPr>
      <w:r>
        <w:rPr>
          <w:rStyle w:val="Strong"/>
        </w:rPr>
        <w:t>Creative Commons licence</w:t>
      </w:r>
    </w:p>
    <w:p w14:paraId="1B50F529" w14:textId="77777777" w:rsidR="00764D6A" w:rsidRDefault="00E91D72">
      <w:pPr>
        <w:pStyle w:val="Normalsmall"/>
      </w:pPr>
      <w:r>
        <w:t xml:space="preserve">All material in this publication is licensed under a </w:t>
      </w:r>
      <w:hyperlink r:id="rId14" w:history="1">
        <w:r>
          <w:rPr>
            <w:rStyle w:val="Hyperlink"/>
          </w:rPr>
          <w:t>Creative Commons Attribution 4.0 International Licence</w:t>
        </w:r>
      </w:hyperlink>
      <w:r>
        <w:t xml:space="preserve"> except content supplied by third parties, logos and the Commonwealth Coat of Arms.</w:t>
      </w:r>
    </w:p>
    <w:p w14:paraId="0BD9DA7F" w14:textId="5C476932" w:rsidR="00764D6A" w:rsidRDefault="00E91D72">
      <w:pPr>
        <w:pStyle w:val="Normalsmall"/>
      </w:pPr>
      <w:r>
        <w:t xml:space="preserve">Inquiries about the licence and any use of this document should be emailed to </w:t>
      </w:r>
      <w:hyperlink r:id="rId15" w:history="1">
        <w:r w:rsidR="002F2374" w:rsidRPr="002F2374">
          <w:rPr>
            <w:rStyle w:val="Hyperlink"/>
          </w:rPr>
          <w:t>copyright@agricuture.gov.au</w:t>
        </w:r>
      </w:hyperlink>
      <w:r>
        <w:t>.</w:t>
      </w:r>
    </w:p>
    <w:p w14:paraId="3FA0013E" w14:textId="77777777" w:rsidR="00764D6A" w:rsidRDefault="00E91D72">
      <w:pPr>
        <w:pStyle w:val="Normalsmall"/>
      </w:pPr>
      <w:r>
        <w:rPr>
          <w:noProof/>
          <w:lang w:eastAsia="en-AU"/>
        </w:rPr>
        <w:drawing>
          <wp:inline distT="0" distB="0" distL="0" distR="0" wp14:anchorId="7E3D5BA9" wp14:editId="41F84636">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85C8FD2" w14:textId="77777777" w:rsidR="00764D6A" w:rsidRDefault="00E91D72">
      <w:pPr>
        <w:pStyle w:val="Normalsmall"/>
        <w:rPr>
          <w:rStyle w:val="Strong"/>
        </w:rPr>
      </w:pPr>
      <w:r>
        <w:rPr>
          <w:rStyle w:val="Strong"/>
        </w:rPr>
        <w:t>Cataloguing data</w:t>
      </w:r>
    </w:p>
    <w:p w14:paraId="12066580" w14:textId="719B4B96" w:rsidR="00764D6A" w:rsidRDefault="00E91D72">
      <w:pPr>
        <w:pStyle w:val="Normalsmall"/>
      </w:pPr>
      <w:r>
        <w:t xml:space="preserve">This publication (and any material sourced from it) should be attributed as: </w:t>
      </w:r>
      <w:r w:rsidR="0043674A" w:rsidRPr="00075AA9">
        <w:t>DA</w:t>
      </w:r>
      <w:r w:rsidR="0043674A">
        <w:t>FF</w:t>
      </w:r>
      <w:r w:rsidR="0043674A" w:rsidRPr="00075AA9">
        <w:t xml:space="preserve"> </w:t>
      </w:r>
      <w:r w:rsidR="00B97E61" w:rsidRPr="00075AA9">
        <w:t>202</w:t>
      </w:r>
      <w:r w:rsidR="0043674A">
        <w:t>2</w:t>
      </w:r>
      <w:r w:rsidRPr="00075AA9">
        <w:t xml:space="preserve">, </w:t>
      </w:r>
      <w:r w:rsidR="00075AA9" w:rsidRPr="00075AA9">
        <w:rPr>
          <w:i/>
        </w:rPr>
        <w:t xml:space="preserve">Cost recovery implementation statement: biosecurity </w:t>
      </w:r>
      <w:r w:rsidR="00E57598">
        <w:rPr>
          <w:i/>
        </w:rPr>
        <w:t>(</w:t>
      </w:r>
      <w:r w:rsidR="00E87598">
        <w:rPr>
          <w:i/>
        </w:rPr>
        <w:t>h</w:t>
      </w:r>
      <w:r w:rsidR="00E57598">
        <w:rPr>
          <w:i/>
        </w:rPr>
        <w:t xml:space="preserve">itchhiker) </w:t>
      </w:r>
      <w:r w:rsidR="0043674A" w:rsidRPr="00075AA9">
        <w:rPr>
          <w:i/>
        </w:rPr>
        <w:t>202</w:t>
      </w:r>
      <w:r w:rsidR="0043674A">
        <w:rPr>
          <w:i/>
        </w:rPr>
        <w:t>2</w:t>
      </w:r>
      <w:r w:rsidR="00075AA9" w:rsidRPr="00075AA9">
        <w:rPr>
          <w:i/>
        </w:rPr>
        <w:t>–2</w:t>
      </w:r>
      <w:r w:rsidR="0043674A">
        <w:rPr>
          <w:i/>
        </w:rPr>
        <w:t>3</w:t>
      </w:r>
      <w:r>
        <w:t xml:space="preserve">, </w:t>
      </w:r>
      <w:r w:rsidR="00B5740E">
        <w:t xml:space="preserve">Department of Agriculture, </w:t>
      </w:r>
      <w:r w:rsidR="0043674A">
        <w:t>Fisheries and Forestry</w:t>
      </w:r>
      <w:r>
        <w:t>, Canberra</w:t>
      </w:r>
      <w:r w:rsidR="00430743">
        <w:t xml:space="preserve">, </w:t>
      </w:r>
      <w:r w:rsidR="00894B14">
        <w:t xml:space="preserve">November </w:t>
      </w:r>
      <w:r w:rsidR="00A113BA">
        <w:t>2022</w:t>
      </w:r>
      <w:r>
        <w:t>. CC BY 4.0.</w:t>
      </w:r>
    </w:p>
    <w:p w14:paraId="6D3EC16B" w14:textId="37E066FA" w:rsidR="00764D6A" w:rsidRDefault="00E91D72">
      <w:pPr>
        <w:pStyle w:val="Normalsmall"/>
      </w:pPr>
      <w:r>
        <w:t xml:space="preserve">This publication is </w:t>
      </w:r>
      <w:r w:rsidRPr="00E20810">
        <w:t>available at</w:t>
      </w:r>
      <w:r w:rsidR="00BF2A0B" w:rsidRPr="00BF2A0B">
        <w:t xml:space="preserve"> </w:t>
      </w:r>
      <w:hyperlink r:id="rId17" w:history="1">
        <w:r w:rsidR="009E6C1F">
          <w:rPr>
            <w:rStyle w:val="Hyperlink"/>
          </w:rPr>
          <w:t>www.agriculture.gov.au/about/fees/biosecurity-cris</w:t>
        </w:r>
      </w:hyperlink>
    </w:p>
    <w:p w14:paraId="1B8F1EBC" w14:textId="0E348822" w:rsidR="00764D6A" w:rsidRDefault="00B5740E">
      <w:pPr>
        <w:pStyle w:val="Normalsmall"/>
        <w:spacing w:after="0"/>
      </w:pPr>
      <w:r>
        <w:t xml:space="preserve">Department of Agriculture, </w:t>
      </w:r>
      <w:r w:rsidR="002F2374">
        <w:t>Fisheries and Forestry</w:t>
      </w:r>
    </w:p>
    <w:p w14:paraId="5C9AC552" w14:textId="77777777" w:rsidR="00764D6A" w:rsidRDefault="00E91D72">
      <w:pPr>
        <w:pStyle w:val="Normalsmall"/>
        <w:spacing w:after="0"/>
      </w:pPr>
      <w:r>
        <w:t>GPO Box 858 Canberra ACT 2601</w:t>
      </w:r>
    </w:p>
    <w:p w14:paraId="3890CF61" w14:textId="77777777" w:rsidR="00764D6A" w:rsidRDefault="00E91D72">
      <w:pPr>
        <w:pStyle w:val="Normalsmall"/>
        <w:spacing w:after="0"/>
      </w:pPr>
      <w:r>
        <w:t xml:space="preserve">Telephone </w:t>
      </w:r>
      <w:r w:rsidRPr="00773056">
        <w:t>1800 900 090</w:t>
      </w:r>
    </w:p>
    <w:p w14:paraId="267087FE" w14:textId="0BF58644" w:rsidR="00764D6A" w:rsidRDefault="00E91D72">
      <w:pPr>
        <w:pStyle w:val="Normalsmall"/>
      </w:pPr>
      <w:r w:rsidRPr="00E20810">
        <w:t xml:space="preserve">Web </w:t>
      </w:r>
      <w:hyperlink r:id="rId18" w:history="1">
        <w:r w:rsidR="002F2374" w:rsidRPr="00E20810">
          <w:rPr>
            <w:rStyle w:val="Hyperlink"/>
          </w:rPr>
          <w:t>a</w:t>
        </w:r>
        <w:r w:rsidR="002F2374">
          <w:rPr>
            <w:rStyle w:val="Hyperlink"/>
          </w:rPr>
          <w:t>griculture</w:t>
        </w:r>
        <w:r w:rsidR="002F2374" w:rsidRPr="00E20810">
          <w:rPr>
            <w:rStyle w:val="Hyperlink"/>
          </w:rPr>
          <w:t>.gov.au</w:t>
        </w:r>
      </w:hyperlink>
    </w:p>
    <w:p w14:paraId="461DE740" w14:textId="77777777" w:rsidR="007C358A" w:rsidRDefault="007C358A">
      <w:pPr>
        <w:pStyle w:val="Normalsmall"/>
      </w:pPr>
      <w:r>
        <w:rPr>
          <w:rStyle w:val="Strong"/>
        </w:rPr>
        <w:t>Disclaimer</w:t>
      </w:r>
    </w:p>
    <w:p w14:paraId="043D6323" w14:textId="74EBAB41" w:rsidR="00764D6A" w:rsidRDefault="00E91D72">
      <w:pPr>
        <w:pStyle w:val="Normalsmall"/>
      </w:pPr>
      <w:r>
        <w:t xml:space="preserve">The Australian Government acting through the </w:t>
      </w:r>
      <w:r w:rsidR="00B5740E">
        <w:t xml:space="preserve">Department of Agriculture, </w:t>
      </w:r>
      <w:r w:rsidR="002F2374">
        <w:t>Fisheries and Forestry</w:t>
      </w:r>
      <w:r>
        <w:t xml:space="preserve"> has exercised due care and skill in preparing and compiling the information and data in this publication. Notwithstanding, the </w:t>
      </w:r>
      <w:r w:rsidR="00B5740E">
        <w:t xml:space="preserve">Department of Agriculture, </w:t>
      </w:r>
      <w:r w:rsidR="002F2374">
        <w:t xml:space="preserve">Fisheries and </w:t>
      </w:r>
      <w:r w:rsidR="000E5412">
        <w:t>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2502A4FD" w14:textId="77777777" w:rsidR="00764D6A" w:rsidRDefault="00E91D72">
      <w:pPr>
        <w:spacing w:after="0" w:line="240" w:lineRule="auto"/>
      </w:pPr>
      <w:r>
        <w:br w:type="page"/>
      </w:r>
    </w:p>
    <w:sdt>
      <w:sdtPr>
        <w:rPr>
          <w:rFonts w:ascii="Cambria" w:eastAsiaTheme="minorHAnsi" w:hAnsi="Cambria"/>
          <w:bCs w:val="0"/>
          <w:noProof/>
          <w:color w:val="auto"/>
          <w:sz w:val="22"/>
          <w:szCs w:val="22"/>
          <w:lang w:eastAsia="en-US"/>
        </w:rPr>
        <w:id w:val="-760297017"/>
        <w:docPartObj>
          <w:docPartGallery w:val="Table of Contents"/>
          <w:docPartUnique/>
        </w:docPartObj>
      </w:sdtPr>
      <w:sdtEndPr>
        <w:rPr>
          <w:b/>
        </w:rPr>
      </w:sdtEndPr>
      <w:sdtContent>
        <w:p w14:paraId="71803E92" w14:textId="496A5F17" w:rsidR="00764D6A" w:rsidRDefault="00E91D72">
          <w:pPr>
            <w:pStyle w:val="TOCHeading"/>
          </w:pPr>
          <w:r>
            <w:t>Contents</w:t>
          </w:r>
        </w:p>
        <w:p w14:paraId="0D764CA1" w14:textId="6FDC2349" w:rsidR="001D7BB6" w:rsidRDefault="00E91D72">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19313378" w:history="1">
            <w:r w:rsidR="001D7BB6" w:rsidRPr="000B390D">
              <w:rPr>
                <w:rStyle w:val="Hyperlink"/>
              </w:rPr>
              <w:t>Summary</w:t>
            </w:r>
            <w:r w:rsidR="001D7BB6">
              <w:rPr>
                <w:webHidden/>
              </w:rPr>
              <w:tab/>
            </w:r>
            <w:r w:rsidR="001D7BB6">
              <w:rPr>
                <w:webHidden/>
              </w:rPr>
              <w:fldChar w:fldCharType="begin"/>
            </w:r>
            <w:r w:rsidR="001D7BB6">
              <w:rPr>
                <w:webHidden/>
              </w:rPr>
              <w:instrText xml:space="preserve"> PAGEREF _Toc119313378 \h </w:instrText>
            </w:r>
            <w:r w:rsidR="001D7BB6">
              <w:rPr>
                <w:webHidden/>
              </w:rPr>
            </w:r>
            <w:r w:rsidR="001D7BB6">
              <w:rPr>
                <w:webHidden/>
              </w:rPr>
              <w:fldChar w:fldCharType="separate"/>
            </w:r>
            <w:r w:rsidR="001D7BB6">
              <w:rPr>
                <w:webHidden/>
              </w:rPr>
              <w:t>v</w:t>
            </w:r>
            <w:r w:rsidR="001D7BB6">
              <w:rPr>
                <w:webHidden/>
              </w:rPr>
              <w:fldChar w:fldCharType="end"/>
            </w:r>
          </w:hyperlink>
        </w:p>
        <w:p w14:paraId="0E667AAF" w14:textId="741A661A" w:rsidR="001D7BB6" w:rsidRDefault="003C1A72">
          <w:pPr>
            <w:pStyle w:val="TOC1"/>
            <w:rPr>
              <w:rFonts w:asciiTheme="minorHAnsi" w:eastAsiaTheme="minorEastAsia" w:hAnsiTheme="minorHAnsi"/>
              <w:b w:val="0"/>
              <w:lang w:eastAsia="en-AU"/>
            </w:rPr>
          </w:pPr>
          <w:hyperlink w:anchor="_Toc119313379" w:history="1">
            <w:r w:rsidR="001D7BB6" w:rsidRPr="000B390D">
              <w:rPr>
                <w:rStyle w:val="Hyperlink"/>
              </w:rPr>
              <w:t>1</w:t>
            </w:r>
            <w:r w:rsidR="001D7BB6">
              <w:rPr>
                <w:rFonts w:asciiTheme="minorHAnsi" w:eastAsiaTheme="minorEastAsia" w:hAnsiTheme="minorHAnsi"/>
                <w:b w:val="0"/>
                <w:lang w:eastAsia="en-AU"/>
              </w:rPr>
              <w:tab/>
            </w:r>
            <w:r w:rsidR="001D7BB6" w:rsidRPr="000B390D">
              <w:rPr>
                <w:rStyle w:val="Hyperlink"/>
              </w:rPr>
              <w:t>Introduction</w:t>
            </w:r>
            <w:r w:rsidR="001D7BB6">
              <w:rPr>
                <w:webHidden/>
              </w:rPr>
              <w:tab/>
            </w:r>
            <w:r w:rsidR="001D7BB6">
              <w:rPr>
                <w:webHidden/>
              </w:rPr>
              <w:fldChar w:fldCharType="begin"/>
            </w:r>
            <w:r w:rsidR="001D7BB6">
              <w:rPr>
                <w:webHidden/>
              </w:rPr>
              <w:instrText xml:space="preserve"> PAGEREF _Toc119313379 \h </w:instrText>
            </w:r>
            <w:r w:rsidR="001D7BB6">
              <w:rPr>
                <w:webHidden/>
              </w:rPr>
            </w:r>
            <w:r w:rsidR="001D7BB6">
              <w:rPr>
                <w:webHidden/>
              </w:rPr>
              <w:fldChar w:fldCharType="separate"/>
            </w:r>
            <w:r w:rsidR="001D7BB6">
              <w:rPr>
                <w:webHidden/>
              </w:rPr>
              <w:t>1</w:t>
            </w:r>
            <w:r w:rsidR="001D7BB6">
              <w:rPr>
                <w:webHidden/>
              </w:rPr>
              <w:fldChar w:fldCharType="end"/>
            </w:r>
          </w:hyperlink>
        </w:p>
        <w:p w14:paraId="0C7D35EA" w14:textId="0F6DF0BB" w:rsidR="001D7BB6" w:rsidRDefault="003C1A72">
          <w:pPr>
            <w:pStyle w:val="TOC2"/>
            <w:tabs>
              <w:tab w:val="left" w:pos="1100"/>
            </w:tabs>
            <w:rPr>
              <w:rFonts w:asciiTheme="minorHAnsi" w:eastAsiaTheme="minorEastAsia" w:hAnsiTheme="minorHAnsi"/>
              <w:lang w:eastAsia="en-AU"/>
            </w:rPr>
          </w:pPr>
          <w:hyperlink w:anchor="_Toc119313380" w:history="1">
            <w:r w:rsidR="001D7BB6" w:rsidRPr="000B390D">
              <w:rPr>
                <w:rStyle w:val="Hyperlink"/>
                <w:lang w:eastAsia="ja-JP"/>
              </w:rPr>
              <w:t>1.1</w:t>
            </w:r>
            <w:r w:rsidR="001D7BB6">
              <w:rPr>
                <w:rFonts w:asciiTheme="minorHAnsi" w:eastAsiaTheme="minorEastAsia" w:hAnsiTheme="minorHAnsi"/>
                <w:lang w:eastAsia="en-AU"/>
              </w:rPr>
              <w:tab/>
            </w:r>
            <w:r w:rsidR="001D7BB6" w:rsidRPr="000B390D">
              <w:rPr>
                <w:rStyle w:val="Hyperlink"/>
                <w:lang w:eastAsia="ja-JP"/>
              </w:rPr>
              <w:t>Purpose of the cost recovery implementation statement</w:t>
            </w:r>
            <w:r w:rsidR="001D7BB6">
              <w:rPr>
                <w:webHidden/>
              </w:rPr>
              <w:tab/>
            </w:r>
            <w:r w:rsidR="001D7BB6">
              <w:rPr>
                <w:webHidden/>
              </w:rPr>
              <w:fldChar w:fldCharType="begin"/>
            </w:r>
            <w:r w:rsidR="001D7BB6">
              <w:rPr>
                <w:webHidden/>
              </w:rPr>
              <w:instrText xml:space="preserve"> PAGEREF _Toc119313380 \h </w:instrText>
            </w:r>
            <w:r w:rsidR="001D7BB6">
              <w:rPr>
                <w:webHidden/>
              </w:rPr>
            </w:r>
            <w:r w:rsidR="001D7BB6">
              <w:rPr>
                <w:webHidden/>
              </w:rPr>
              <w:fldChar w:fldCharType="separate"/>
            </w:r>
            <w:r w:rsidR="001D7BB6">
              <w:rPr>
                <w:webHidden/>
              </w:rPr>
              <w:t>1</w:t>
            </w:r>
            <w:r w:rsidR="001D7BB6">
              <w:rPr>
                <w:webHidden/>
              </w:rPr>
              <w:fldChar w:fldCharType="end"/>
            </w:r>
          </w:hyperlink>
        </w:p>
        <w:p w14:paraId="3A89F72C" w14:textId="4ECA23E8" w:rsidR="001D7BB6" w:rsidRDefault="003C1A72">
          <w:pPr>
            <w:pStyle w:val="TOC2"/>
            <w:tabs>
              <w:tab w:val="left" w:pos="1100"/>
            </w:tabs>
            <w:rPr>
              <w:rFonts w:asciiTheme="minorHAnsi" w:eastAsiaTheme="minorEastAsia" w:hAnsiTheme="minorHAnsi"/>
              <w:lang w:eastAsia="en-AU"/>
            </w:rPr>
          </w:pPr>
          <w:hyperlink w:anchor="_Toc119313381" w:history="1">
            <w:r w:rsidR="001D7BB6" w:rsidRPr="000B390D">
              <w:rPr>
                <w:rStyle w:val="Hyperlink"/>
                <w:lang w:eastAsia="ja-JP"/>
              </w:rPr>
              <w:t>1.2</w:t>
            </w:r>
            <w:r w:rsidR="001D7BB6">
              <w:rPr>
                <w:rFonts w:asciiTheme="minorHAnsi" w:eastAsiaTheme="minorEastAsia" w:hAnsiTheme="minorHAnsi"/>
                <w:lang w:eastAsia="en-AU"/>
              </w:rPr>
              <w:tab/>
            </w:r>
            <w:r w:rsidR="001D7BB6" w:rsidRPr="000B390D">
              <w:rPr>
                <w:rStyle w:val="Hyperlink"/>
                <w:lang w:eastAsia="ja-JP"/>
              </w:rPr>
              <w:t>Description of the regulatory activity</w:t>
            </w:r>
            <w:r w:rsidR="001D7BB6">
              <w:rPr>
                <w:webHidden/>
              </w:rPr>
              <w:tab/>
            </w:r>
            <w:r w:rsidR="001D7BB6">
              <w:rPr>
                <w:webHidden/>
              </w:rPr>
              <w:fldChar w:fldCharType="begin"/>
            </w:r>
            <w:r w:rsidR="001D7BB6">
              <w:rPr>
                <w:webHidden/>
              </w:rPr>
              <w:instrText xml:space="preserve"> PAGEREF _Toc119313381 \h </w:instrText>
            </w:r>
            <w:r w:rsidR="001D7BB6">
              <w:rPr>
                <w:webHidden/>
              </w:rPr>
            </w:r>
            <w:r w:rsidR="001D7BB6">
              <w:rPr>
                <w:webHidden/>
              </w:rPr>
              <w:fldChar w:fldCharType="separate"/>
            </w:r>
            <w:r w:rsidR="001D7BB6">
              <w:rPr>
                <w:webHidden/>
              </w:rPr>
              <w:t>1</w:t>
            </w:r>
            <w:r w:rsidR="001D7BB6">
              <w:rPr>
                <w:webHidden/>
              </w:rPr>
              <w:fldChar w:fldCharType="end"/>
            </w:r>
          </w:hyperlink>
        </w:p>
        <w:p w14:paraId="59DC306B" w14:textId="3C72A70E" w:rsidR="001D7BB6" w:rsidRDefault="003C1A72">
          <w:pPr>
            <w:pStyle w:val="TOC2"/>
            <w:tabs>
              <w:tab w:val="left" w:pos="1100"/>
            </w:tabs>
            <w:rPr>
              <w:rFonts w:asciiTheme="minorHAnsi" w:eastAsiaTheme="minorEastAsia" w:hAnsiTheme="minorHAnsi"/>
              <w:lang w:eastAsia="en-AU"/>
            </w:rPr>
          </w:pPr>
          <w:hyperlink w:anchor="_Toc119313382" w:history="1">
            <w:r w:rsidR="001D7BB6" w:rsidRPr="000B390D">
              <w:rPr>
                <w:rStyle w:val="Hyperlink"/>
                <w:lang w:eastAsia="ja-JP"/>
              </w:rPr>
              <w:t>1.3</w:t>
            </w:r>
            <w:r w:rsidR="001D7BB6">
              <w:rPr>
                <w:rFonts w:asciiTheme="minorHAnsi" w:eastAsiaTheme="minorEastAsia" w:hAnsiTheme="minorHAnsi"/>
                <w:lang w:eastAsia="en-AU"/>
              </w:rPr>
              <w:tab/>
            </w:r>
            <w:r w:rsidR="001D7BB6" w:rsidRPr="000B390D">
              <w:rPr>
                <w:rStyle w:val="Hyperlink"/>
                <w:lang w:eastAsia="ja-JP"/>
              </w:rPr>
              <w:t>Why cost recovery is appropriate</w:t>
            </w:r>
            <w:r w:rsidR="001D7BB6">
              <w:rPr>
                <w:webHidden/>
              </w:rPr>
              <w:tab/>
            </w:r>
            <w:r w:rsidR="001D7BB6">
              <w:rPr>
                <w:webHidden/>
              </w:rPr>
              <w:fldChar w:fldCharType="begin"/>
            </w:r>
            <w:r w:rsidR="001D7BB6">
              <w:rPr>
                <w:webHidden/>
              </w:rPr>
              <w:instrText xml:space="preserve"> PAGEREF _Toc119313382 \h </w:instrText>
            </w:r>
            <w:r w:rsidR="001D7BB6">
              <w:rPr>
                <w:webHidden/>
              </w:rPr>
            </w:r>
            <w:r w:rsidR="001D7BB6">
              <w:rPr>
                <w:webHidden/>
              </w:rPr>
              <w:fldChar w:fldCharType="separate"/>
            </w:r>
            <w:r w:rsidR="001D7BB6">
              <w:rPr>
                <w:webHidden/>
              </w:rPr>
              <w:t>2</w:t>
            </w:r>
            <w:r w:rsidR="001D7BB6">
              <w:rPr>
                <w:webHidden/>
              </w:rPr>
              <w:fldChar w:fldCharType="end"/>
            </w:r>
          </w:hyperlink>
        </w:p>
        <w:p w14:paraId="6F3A661D" w14:textId="044DF0B1" w:rsidR="001D7BB6" w:rsidRDefault="003C1A72">
          <w:pPr>
            <w:pStyle w:val="TOC2"/>
            <w:tabs>
              <w:tab w:val="left" w:pos="1100"/>
            </w:tabs>
            <w:rPr>
              <w:rFonts w:asciiTheme="minorHAnsi" w:eastAsiaTheme="minorEastAsia" w:hAnsiTheme="minorHAnsi"/>
              <w:lang w:eastAsia="en-AU"/>
            </w:rPr>
          </w:pPr>
          <w:hyperlink w:anchor="_Toc119313383" w:history="1">
            <w:r w:rsidR="001D7BB6" w:rsidRPr="000B390D">
              <w:rPr>
                <w:rStyle w:val="Hyperlink"/>
                <w:lang w:eastAsia="ja-JP"/>
              </w:rPr>
              <w:t>1.4</w:t>
            </w:r>
            <w:r w:rsidR="001D7BB6">
              <w:rPr>
                <w:rFonts w:asciiTheme="minorHAnsi" w:eastAsiaTheme="minorEastAsia" w:hAnsiTheme="minorHAnsi"/>
                <w:lang w:eastAsia="en-AU"/>
              </w:rPr>
              <w:tab/>
            </w:r>
            <w:r w:rsidR="001D7BB6" w:rsidRPr="000B390D">
              <w:rPr>
                <w:rStyle w:val="Hyperlink"/>
                <w:lang w:eastAsia="ja-JP"/>
              </w:rPr>
              <w:t>Reforms: Building Australia’s future biosecurity system</w:t>
            </w:r>
            <w:r w:rsidR="001D7BB6">
              <w:rPr>
                <w:webHidden/>
              </w:rPr>
              <w:tab/>
            </w:r>
            <w:r w:rsidR="001D7BB6">
              <w:rPr>
                <w:webHidden/>
              </w:rPr>
              <w:fldChar w:fldCharType="begin"/>
            </w:r>
            <w:r w:rsidR="001D7BB6">
              <w:rPr>
                <w:webHidden/>
              </w:rPr>
              <w:instrText xml:space="preserve"> PAGEREF _Toc119313383 \h </w:instrText>
            </w:r>
            <w:r w:rsidR="001D7BB6">
              <w:rPr>
                <w:webHidden/>
              </w:rPr>
            </w:r>
            <w:r w:rsidR="001D7BB6">
              <w:rPr>
                <w:webHidden/>
              </w:rPr>
              <w:fldChar w:fldCharType="separate"/>
            </w:r>
            <w:r w:rsidR="001D7BB6">
              <w:rPr>
                <w:webHidden/>
              </w:rPr>
              <w:t>2</w:t>
            </w:r>
            <w:r w:rsidR="001D7BB6">
              <w:rPr>
                <w:webHidden/>
              </w:rPr>
              <w:fldChar w:fldCharType="end"/>
            </w:r>
          </w:hyperlink>
        </w:p>
        <w:p w14:paraId="2E6C604C" w14:textId="5F844087" w:rsidR="001D7BB6" w:rsidRDefault="003C1A72">
          <w:pPr>
            <w:pStyle w:val="TOC1"/>
            <w:rPr>
              <w:rFonts w:asciiTheme="minorHAnsi" w:eastAsiaTheme="minorEastAsia" w:hAnsiTheme="minorHAnsi"/>
              <w:b w:val="0"/>
              <w:lang w:eastAsia="en-AU"/>
            </w:rPr>
          </w:pPr>
          <w:hyperlink w:anchor="_Toc119313384" w:history="1">
            <w:r w:rsidR="001D7BB6" w:rsidRPr="000B390D">
              <w:rPr>
                <w:rStyle w:val="Hyperlink"/>
              </w:rPr>
              <w:t>2</w:t>
            </w:r>
            <w:r w:rsidR="001D7BB6">
              <w:rPr>
                <w:rFonts w:asciiTheme="minorHAnsi" w:eastAsiaTheme="minorEastAsia" w:hAnsiTheme="minorHAnsi"/>
                <w:b w:val="0"/>
                <w:lang w:eastAsia="en-AU"/>
              </w:rPr>
              <w:tab/>
            </w:r>
            <w:r w:rsidR="001D7BB6" w:rsidRPr="000B390D">
              <w:rPr>
                <w:rStyle w:val="Hyperlink"/>
              </w:rPr>
              <w:t>Policy and statutory authority to cost recover</w:t>
            </w:r>
            <w:r w:rsidR="001D7BB6">
              <w:rPr>
                <w:webHidden/>
              </w:rPr>
              <w:tab/>
            </w:r>
            <w:r w:rsidR="001D7BB6">
              <w:rPr>
                <w:webHidden/>
              </w:rPr>
              <w:fldChar w:fldCharType="begin"/>
            </w:r>
            <w:r w:rsidR="001D7BB6">
              <w:rPr>
                <w:webHidden/>
              </w:rPr>
              <w:instrText xml:space="preserve"> PAGEREF _Toc119313384 \h </w:instrText>
            </w:r>
            <w:r w:rsidR="001D7BB6">
              <w:rPr>
                <w:webHidden/>
              </w:rPr>
            </w:r>
            <w:r w:rsidR="001D7BB6">
              <w:rPr>
                <w:webHidden/>
              </w:rPr>
              <w:fldChar w:fldCharType="separate"/>
            </w:r>
            <w:r w:rsidR="001D7BB6">
              <w:rPr>
                <w:webHidden/>
              </w:rPr>
              <w:t>4</w:t>
            </w:r>
            <w:r w:rsidR="001D7BB6">
              <w:rPr>
                <w:webHidden/>
              </w:rPr>
              <w:fldChar w:fldCharType="end"/>
            </w:r>
          </w:hyperlink>
        </w:p>
        <w:p w14:paraId="0EB6FD88" w14:textId="121669CA" w:rsidR="001D7BB6" w:rsidRDefault="003C1A72">
          <w:pPr>
            <w:pStyle w:val="TOC2"/>
            <w:tabs>
              <w:tab w:val="left" w:pos="1100"/>
            </w:tabs>
            <w:rPr>
              <w:rFonts w:asciiTheme="minorHAnsi" w:eastAsiaTheme="minorEastAsia" w:hAnsiTheme="minorHAnsi"/>
              <w:lang w:eastAsia="en-AU"/>
            </w:rPr>
          </w:pPr>
          <w:hyperlink w:anchor="_Toc119313385" w:history="1">
            <w:r w:rsidR="001D7BB6" w:rsidRPr="000B390D">
              <w:rPr>
                <w:rStyle w:val="Hyperlink"/>
                <w:lang w:eastAsia="ja-JP"/>
              </w:rPr>
              <w:t>2.1</w:t>
            </w:r>
            <w:r w:rsidR="001D7BB6">
              <w:rPr>
                <w:rFonts w:asciiTheme="minorHAnsi" w:eastAsiaTheme="minorEastAsia" w:hAnsiTheme="minorHAnsi"/>
                <w:lang w:eastAsia="en-AU"/>
              </w:rPr>
              <w:tab/>
            </w:r>
            <w:r w:rsidR="001D7BB6" w:rsidRPr="000B390D">
              <w:rPr>
                <w:rStyle w:val="Hyperlink"/>
                <w:lang w:eastAsia="ja-JP"/>
              </w:rPr>
              <w:t>Government policy approval to cost recover the regulatory activity</w:t>
            </w:r>
            <w:r w:rsidR="001D7BB6">
              <w:rPr>
                <w:webHidden/>
              </w:rPr>
              <w:tab/>
            </w:r>
            <w:r w:rsidR="001D7BB6">
              <w:rPr>
                <w:webHidden/>
              </w:rPr>
              <w:fldChar w:fldCharType="begin"/>
            </w:r>
            <w:r w:rsidR="001D7BB6">
              <w:rPr>
                <w:webHidden/>
              </w:rPr>
              <w:instrText xml:space="preserve"> PAGEREF _Toc119313385 \h </w:instrText>
            </w:r>
            <w:r w:rsidR="001D7BB6">
              <w:rPr>
                <w:webHidden/>
              </w:rPr>
            </w:r>
            <w:r w:rsidR="001D7BB6">
              <w:rPr>
                <w:webHidden/>
              </w:rPr>
              <w:fldChar w:fldCharType="separate"/>
            </w:r>
            <w:r w:rsidR="001D7BB6">
              <w:rPr>
                <w:webHidden/>
              </w:rPr>
              <w:t>4</w:t>
            </w:r>
            <w:r w:rsidR="001D7BB6">
              <w:rPr>
                <w:webHidden/>
              </w:rPr>
              <w:fldChar w:fldCharType="end"/>
            </w:r>
          </w:hyperlink>
        </w:p>
        <w:p w14:paraId="1D290D8B" w14:textId="1B4AAF47" w:rsidR="001D7BB6" w:rsidRDefault="003C1A72">
          <w:pPr>
            <w:pStyle w:val="TOC2"/>
            <w:tabs>
              <w:tab w:val="left" w:pos="1100"/>
            </w:tabs>
            <w:rPr>
              <w:rFonts w:asciiTheme="minorHAnsi" w:eastAsiaTheme="minorEastAsia" w:hAnsiTheme="minorHAnsi"/>
              <w:lang w:eastAsia="en-AU"/>
            </w:rPr>
          </w:pPr>
          <w:hyperlink w:anchor="_Toc119313386" w:history="1">
            <w:r w:rsidR="001D7BB6" w:rsidRPr="000B390D">
              <w:rPr>
                <w:rStyle w:val="Hyperlink"/>
                <w:lang w:eastAsia="ja-JP"/>
              </w:rPr>
              <w:t>2.2</w:t>
            </w:r>
            <w:r w:rsidR="001D7BB6">
              <w:rPr>
                <w:rFonts w:asciiTheme="minorHAnsi" w:eastAsiaTheme="minorEastAsia" w:hAnsiTheme="minorHAnsi"/>
                <w:lang w:eastAsia="en-AU"/>
              </w:rPr>
              <w:tab/>
            </w:r>
            <w:r w:rsidR="001D7BB6" w:rsidRPr="000B390D">
              <w:rPr>
                <w:rStyle w:val="Hyperlink"/>
                <w:lang w:eastAsia="ja-JP"/>
              </w:rPr>
              <w:t>Statutory authority to charge</w:t>
            </w:r>
            <w:r w:rsidR="001D7BB6">
              <w:rPr>
                <w:webHidden/>
              </w:rPr>
              <w:tab/>
            </w:r>
            <w:r w:rsidR="001D7BB6">
              <w:rPr>
                <w:webHidden/>
              </w:rPr>
              <w:fldChar w:fldCharType="begin"/>
            </w:r>
            <w:r w:rsidR="001D7BB6">
              <w:rPr>
                <w:webHidden/>
              </w:rPr>
              <w:instrText xml:space="preserve"> PAGEREF _Toc119313386 \h </w:instrText>
            </w:r>
            <w:r w:rsidR="001D7BB6">
              <w:rPr>
                <w:webHidden/>
              </w:rPr>
            </w:r>
            <w:r w:rsidR="001D7BB6">
              <w:rPr>
                <w:webHidden/>
              </w:rPr>
              <w:fldChar w:fldCharType="separate"/>
            </w:r>
            <w:r w:rsidR="001D7BB6">
              <w:rPr>
                <w:webHidden/>
              </w:rPr>
              <w:t>4</w:t>
            </w:r>
            <w:r w:rsidR="001D7BB6">
              <w:rPr>
                <w:webHidden/>
              </w:rPr>
              <w:fldChar w:fldCharType="end"/>
            </w:r>
          </w:hyperlink>
        </w:p>
        <w:p w14:paraId="4AF95DBE" w14:textId="7852EB53" w:rsidR="001D7BB6" w:rsidRDefault="003C1A72">
          <w:pPr>
            <w:pStyle w:val="TOC1"/>
            <w:rPr>
              <w:rFonts w:asciiTheme="minorHAnsi" w:eastAsiaTheme="minorEastAsia" w:hAnsiTheme="minorHAnsi"/>
              <w:b w:val="0"/>
              <w:lang w:eastAsia="en-AU"/>
            </w:rPr>
          </w:pPr>
          <w:hyperlink w:anchor="_Toc119313387" w:history="1">
            <w:r w:rsidR="001D7BB6" w:rsidRPr="000B390D">
              <w:rPr>
                <w:rStyle w:val="Hyperlink"/>
              </w:rPr>
              <w:t>3</w:t>
            </w:r>
            <w:r w:rsidR="001D7BB6">
              <w:rPr>
                <w:rFonts w:asciiTheme="minorHAnsi" w:eastAsiaTheme="minorEastAsia" w:hAnsiTheme="minorHAnsi"/>
                <w:b w:val="0"/>
                <w:lang w:eastAsia="en-AU"/>
              </w:rPr>
              <w:tab/>
            </w:r>
            <w:r w:rsidR="001D7BB6" w:rsidRPr="000B390D">
              <w:rPr>
                <w:rStyle w:val="Hyperlink"/>
              </w:rPr>
              <w:t>Regulatory charging model</w:t>
            </w:r>
            <w:r w:rsidR="001D7BB6">
              <w:rPr>
                <w:webHidden/>
              </w:rPr>
              <w:tab/>
            </w:r>
            <w:r w:rsidR="001D7BB6">
              <w:rPr>
                <w:webHidden/>
              </w:rPr>
              <w:fldChar w:fldCharType="begin"/>
            </w:r>
            <w:r w:rsidR="001D7BB6">
              <w:rPr>
                <w:webHidden/>
              </w:rPr>
              <w:instrText xml:space="preserve"> PAGEREF _Toc119313387 \h </w:instrText>
            </w:r>
            <w:r w:rsidR="001D7BB6">
              <w:rPr>
                <w:webHidden/>
              </w:rPr>
            </w:r>
            <w:r w:rsidR="001D7BB6">
              <w:rPr>
                <w:webHidden/>
              </w:rPr>
              <w:fldChar w:fldCharType="separate"/>
            </w:r>
            <w:r w:rsidR="001D7BB6">
              <w:rPr>
                <w:webHidden/>
              </w:rPr>
              <w:t>6</w:t>
            </w:r>
            <w:r w:rsidR="001D7BB6">
              <w:rPr>
                <w:webHidden/>
              </w:rPr>
              <w:fldChar w:fldCharType="end"/>
            </w:r>
          </w:hyperlink>
        </w:p>
        <w:p w14:paraId="5B8E3077" w14:textId="3891FB7E" w:rsidR="001D7BB6" w:rsidRDefault="003C1A72">
          <w:pPr>
            <w:pStyle w:val="TOC2"/>
            <w:tabs>
              <w:tab w:val="left" w:pos="1100"/>
            </w:tabs>
            <w:rPr>
              <w:rFonts w:asciiTheme="minorHAnsi" w:eastAsiaTheme="minorEastAsia" w:hAnsiTheme="minorHAnsi"/>
              <w:lang w:eastAsia="en-AU"/>
            </w:rPr>
          </w:pPr>
          <w:hyperlink w:anchor="_Toc119313388" w:history="1">
            <w:r w:rsidR="001D7BB6" w:rsidRPr="000B390D">
              <w:rPr>
                <w:rStyle w:val="Hyperlink"/>
                <w:lang w:eastAsia="ja-JP"/>
              </w:rPr>
              <w:t>3.1</w:t>
            </w:r>
            <w:r w:rsidR="001D7BB6">
              <w:rPr>
                <w:rFonts w:asciiTheme="minorHAnsi" w:eastAsiaTheme="minorEastAsia" w:hAnsiTheme="minorHAnsi"/>
                <w:lang w:eastAsia="en-AU"/>
              </w:rPr>
              <w:tab/>
            </w:r>
            <w:r w:rsidR="001D7BB6" w:rsidRPr="000B390D">
              <w:rPr>
                <w:rStyle w:val="Hyperlink"/>
                <w:lang w:eastAsia="ja-JP"/>
              </w:rPr>
              <w:t>Outputs and business processes of regulatory charging</w:t>
            </w:r>
            <w:r w:rsidR="001D7BB6">
              <w:rPr>
                <w:webHidden/>
              </w:rPr>
              <w:tab/>
            </w:r>
            <w:r w:rsidR="001D7BB6">
              <w:rPr>
                <w:webHidden/>
              </w:rPr>
              <w:fldChar w:fldCharType="begin"/>
            </w:r>
            <w:r w:rsidR="001D7BB6">
              <w:rPr>
                <w:webHidden/>
              </w:rPr>
              <w:instrText xml:space="preserve"> PAGEREF _Toc119313388 \h </w:instrText>
            </w:r>
            <w:r w:rsidR="001D7BB6">
              <w:rPr>
                <w:webHidden/>
              </w:rPr>
            </w:r>
            <w:r w:rsidR="001D7BB6">
              <w:rPr>
                <w:webHidden/>
              </w:rPr>
              <w:fldChar w:fldCharType="separate"/>
            </w:r>
            <w:r w:rsidR="001D7BB6">
              <w:rPr>
                <w:webHidden/>
              </w:rPr>
              <w:t>6</w:t>
            </w:r>
            <w:r w:rsidR="001D7BB6">
              <w:rPr>
                <w:webHidden/>
              </w:rPr>
              <w:fldChar w:fldCharType="end"/>
            </w:r>
          </w:hyperlink>
        </w:p>
        <w:p w14:paraId="78E63B64" w14:textId="3BA217D2" w:rsidR="001D7BB6" w:rsidRDefault="003C1A72">
          <w:pPr>
            <w:pStyle w:val="TOC2"/>
            <w:tabs>
              <w:tab w:val="left" w:pos="1100"/>
            </w:tabs>
            <w:rPr>
              <w:rFonts w:asciiTheme="minorHAnsi" w:eastAsiaTheme="minorEastAsia" w:hAnsiTheme="minorHAnsi"/>
              <w:lang w:eastAsia="en-AU"/>
            </w:rPr>
          </w:pPr>
          <w:hyperlink w:anchor="_Toc119313389" w:history="1">
            <w:r w:rsidR="001D7BB6" w:rsidRPr="000B390D">
              <w:rPr>
                <w:rStyle w:val="Hyperlink"/>
                <w:lang w:eastAsia="ja-JP"/>
              </w:rPr>
              <w:t>3.2</w:t>
            </w:r>
            <w:r w:rsidR="001D7BB6">
              <w:rPr>
                <w:rFonts w:asciiTheme="minorHAnsi" w:eastAsiaTheme="minorEastAsia" w:hAnsiTheme="minorHAnsi"/>
                <w:lang w:eastAsia="en-AU"/>
              </w:rPr>
              <w:tab/>
            </w:r>
            <w:r w:rsidR="001D7BB6" w:rsidRPr="000B390D">
              <w:rPr>
                <w:rStyle w:val="Hyperlink"/>
                <w:lang w:eastAsia="ja-JP"/>
              </w:rPr>
              <w:t>Costs of regulatory charging</w:t>
            </w:r>
            <w:r w:rsidR="001D7BB6">
              <w:rPr>
                <w:webHidden/>
              </w:rPr>
              <w:tab/>
            </w:r>
            <w:r w:rsidR="001D7BB6">
              <w:rPr>
                <w:webHidden/>
              </w:rPr>
              <w:fldChar w:fldCharType="begin"/>
            </w:r>
            <w:r w:rsidR="001D7BB6">
              <w:rPr>
                <w:webHidden/>
              </w:rPr>
              <w:instrText xml:space="preserve"> PAGEREF _Toc119313389 \h </w:instrText>
            </w:r>
            <w:r w:rsidR="001D7BB6">
              <w:rPr>
                <w:webHidden/>
              </w:rPr>
            </w:r>
            <w:r w:rsidR="001D7BB6">
              <w:rPr>
                <w:webHidden/>
              </w:rPr>
              <w:fldChar w:fldCharType="separate"/>
            </w:r>
            <w:r w:rsidR="001D7BB6">
              <w:rPr>
                <w:webHidden/>
              </w:rPr>
              <w:t>6</w:t>
            </w:r>
            <w:r w:rsidR="001D7BB6">
              <w:rPr>
                <w:webHidden/>
              </w:rPr>
              <w:fldChar w:fldCharType="end"/>
            </w:r>
          </w:hyperlink>
        </w:p>
        <w:p w14:paraId="33815654" w14:textId="7D113A2B" w:rsidR="001D7BB6" w:rsidRDefault="003C1A72">
          <w:pPr>
            <w:pStyle w:val="TOC2"/>
            <w:tabs>
              <w:tab w:val="left" w:pos="1100"/>
            </w:tabs>
            <w:rPr>
              <w:rFonts w:asciiTheme="minorHAnsi" w:eastAsiaTheme="minorEastAsia" w:hAnsiTheme="minorHAnsi"/>
              <w:lang w:eastAsia="en-AU"/>
            </w:rPr>
          </w:pPr>
          <w:hyperlink w:anchor="_Toc119313390" w:history="1">
            <w:r w:rsidR="001D7BB6" w:rsidRPr="000B390D">
              <w:rPr>
                <w:rStyle w:val="Hyperlink"/>
                <w:lang w:eastAsia="ja-JP"/>
              </w:rPr>
              <w:t>3.3</w:t>
            </w:r>
            <w:r w:rsidR="001D7BB6">
              <w:rPr>
                <w:rFonts w:asciiTheme="minorHAnsi" w:eastAsiaTheme="minorEastAsia" w:hAnsiTheme="minorHAnsi"/>
                <w:lang w:eastAsia="en-AU"/>
              </w:rPr>
              <w:tab/>
            </w:r>
            <w:r w:rsidR="001D7BB6" w:rsidRPr="000B390D">
              <w:rPr>
                <w:rStyle w:val="Hyperlink"/>
                <w:lang w:eastAsia="ja-JP"/>
              </w:rPr>
              <w:t>Design of regulatory cost recovery</w:t>
            </w:r>
            <w:r w:rsidR="001D7BB6">
              <w:rPr>
                <w:webHidden/>
              </w:rPr>
              <w:tab/>
            </w:r>
            <w:r w:rsidR="001D7BB6">
              <w:rPr>
                <w:webHidden/>
              </w:rPr>
              <w:fldChar w:fldCharType="begin"/>
            </w:r>
            <w:r w:rsidR="001D7BB6">
              <w:rPr>
                <w:webHidden/>
              </w:rPr>
              <w:instrText xml:space="preserve"> PAGEREF _Toc119313390 \h </w:instrText>
            </w:r>
            <w:r w:rsidR="001D7BB6">
              <w:rPr>
                <w:webHidden/>
              </w:rPr>
            </w:r>
            <w:r w:rsidR="001D7BB6">
              <w:rPr>
                <w:webHidden/>
              </w:rPr>
              <w:fldChar w:fldCharType="separate"/>
            </w:r>
            <w:r w:rsidR="001D7BB6">
              <w:rPr>
                <w:webHidden/>
              </w:rPr>
              <w:t>9</w:t>
            </w:r>
            <w:r w:rsidR="001D7BB6">
              <w:rPr>
                <w:webHidden/>
              </w:rPr>
              <w:fldChar w:fldCharType="end"/>
            </w:r>
          </w:hyperlink>
        </w:p>
        <w:p w14:paraId="03D996AE" w14:textId="24ECB480" w:rsidR="001D7BB6" w:rsidRDefault="003C1A72">
          <w:pPr>
            <w:pStyle w:val="TOC2"/>
            <w:tabs>
              <w:tab w:val="left" w:pos="1100"/>
            </w:tabs>
            <w:rPr>
              <w:rFonts w:asciiTheme="minorHAnsi" w:eastAsiaTheme="minorEastAsia" w:hAnsiTheme="minorHAnsi"/>
              <w:lang w:eastAsia="en-AU"/>
            </w:rPr>
          </w:pPr>
          <w:hyperlink w:anchor="_Toc119313391" w:history="1">
            <w:r w:rsidR="001D7BB6" w:rsidRPr="000B390D">
              <w:rPr>
                <w:rStyle w:val="Hyperlink"/>
                <w:lang w:eastAsia="ja-JP"/>
              </w:rPr>
              <w:t>3.4</w:t>
            </w:r>
            <w:r w:rsidR="001D7BB6">
              <w:rPr>
                <w:rFonts w:asciiTheme="minorHAnsi" w:eastAsiaTheme="minorEastAsia" w:hAnsiTheme="minorHAnsi"/>
                <w:lang w:eastAsia="en-AU"/>
              </w:rPr>
              <w:tab/>
            </w:r>
            <w:r w:rsidR="001D7BB6" w:rsidRPr="000B390D">
              <w:rPr>
                <w:rStyle w:val="Hyperlink"/>
              </w:rPr>
              <w:t>Cost recovery reserves</w:t>
            </w:r>
            <w:r w:rsidR="001D7BB6">
              <w:rPr>
                <w:webHidden/>
              </w:rPr>
              <w:tab/>
            </w:r>
            <w:r w:rsidR="001D7BB6">
              <w:rPr>
                <w:webHidden/>
              </w:rPr>
              <w:fldChar w:fldCharType="begin"/>
            </w:r>
            <w:r w:rsidR="001D7BB6">
              <w:rPr>
                <w:webHidden/>
              </w:rPr>
              <w:instrText xml:space="preserve"> PAGEREF _Toc119313391 \h </w:instrText>
            </w:r>
            <w:r w:rsidR="001D7BB6">
              <w:rPr>
                <w:webHidden/>
              </w:rPr>
            </w:r>
            <w:r w:rsidR="001D7BB6">
              <w:rPr>
                <w:webHidden/>
              </w:rPr>
              <w:fldChar w:fldCharType="separate"/>
            </w:r>
            <w:r w:rsidR="001D7BB6">
              <w:rPr>
                <w:webHidden/>
              </w:rPr>
              <w:t>9</w:t>
            </w:r>
            <w:r w:rsidR="001D7BB6">
              <w:rPr>
                <w:webHidden/>
              </w:rPr>
              <w:fldChar w:fldCharType="end"/>
            </w:r>
          </w:hyperlink>
        </w:p>
        <w:p w14:paraId="4D765399" w14:textId="4933D26F" w:rsidR="001D7BB6" w:rsidRDefault="003C1A72">
          <w:pPr>
            <w:pStyle w:val="TOC2"/>
            <w:tabs>
              <w:tab w:val="left" w:pos="1100"/>
            </w:tabs>
            <w:rPr>
              <w:rFonts w:asciiTheme="minorHAnsi" w:eastAsiaTheme="minorEastAsia" w:hAnsiTheme="minorHAnsi"/>
              <w:lang w:eastAsia="en-AU"/>
            </w:rPr>
          </w:pPr>
          <w:hyperlink w:anchor="_Toc119313392" w:history="1">
            <w:r w:rsidR="001D7BB6" w:rsidRPr="000B390D">
              <w:rPr>
                <w:rStyle w:val="Hyperlink"/>
                <w:lang w:eastAsia="ja-JP"/>
              </w:rPr>
              <w:t>3.5</w:t>
            </w:r>
            <w:r w:rsidR="001D7BB6">
              <w:rPr>
                <w:rFonts w:asciiTheme="minorHAnsi" w:eastAsiaTheme="minorEastAsia" w:hAnsiTheme="minorHAnsi"/>
                <w:lang w:eastAsia="en-AU"/>
              </w:rPr>
              <w:tab/>
            </w:r>
            <w:r w:rsidR="001D7BB6" w:rsidRPr="000B390D">
              <w:rPr>
                <w:rStyle w:val="Hyperlink"/>
                <w:lang w:eastAsia="ja-JP"/>
              </w:rPr>
              <w:t>Changes to regulatory charging</w:t>
            </w:r>
            <w:r w:rsidR="001D7BB6">
              <w:rPr>
                <w:webHidden/>
              </w:rPr>
              <w:tab/>
            </w:r>
            <w:r w:rsidR="001D7BB6">
              <w:rPr>
                <w:webHidden/>
              </w:rPr>
              <w:fldChar w:fldCharType="begin"/>
            </w:r>
            <w:r w:rsidR="001D7BB6">
              <w:rPr>
                <w:webHidden/>
              </w:rPr>
              <w:instrText xml:space="preserve"> PAGEREF _Toc119313392 \h </w:instrText>
            </w:r>
            <w:r w:rsidR="001D7BB6">
              <w:rPr>
                <w:webHidden/>
              </w:rPr>
            </w:r>
            <w:r w:rsidR="001D7BB6">
              <w:rPr>
                <w:webHidden/>
              </w:rPr>
              <w:fldChar w:fldCharType="separate"/>
            </w:r>
            <w:r w:rsidR="001D7BB6">
              <w:rPr>
                <w:webHidden/>
              </w:rPr>
              <w:t>10</w:t>
            </w:r>
            <w:r w:rsidR="001D7BB6">
              <w:rPr>
                <w:webHidden/>
              </w:rPr>
              <w:fldChar w:fldCharType="end"/>
            </w:r>
          </w:hyperlink>
        </w:p>
        <w:p w14:paraId="4F71EBDF" w14:textId="294CDD13" w:rsidR="001D7BB6" w:rsidRDefault="003C1A72">
          <w:pPr>
            <w:pStyle w:val="TOC2"/>
            <w:tabs>
              <w:tab w:val="left" w:pos="1100"/>
            </w:tabs>
            <w:rPr>
              <w:rFonts w:asciiTheme="minorHAnsi" w:eastAsiaTheme="minorEastAsia" w:hAnsiTheme="minorHAnsi"/>
              <w:lang w:eastAsia="en-AU"/>
            </w:rPr>
          </w:pPr>
          <w:hyperlink w:anchor="_Toc119313393" w:history="1">
            <w:r w:rsidR="001D7BB6" w:rsidRPr="000B390D">
              <w:rPr>
                <w:rStyle w:val="Hyperlink"/>
                <w:lang w:eastAsia="ja-JP"/>
              </w:rPr>
              <w:t>3.6</w:t>
            </w:r>
            <w:r w:rsidR="001D7BB6">
              <w:rPr>
                <w:rFonts w:asciiTheme="minorHAnsi" w:eastAsiaTheme="minorEastAsia" w:hAnsiTheme="minorHAnsi"/>
                <w:lang w:eastAsia="en-AU"/>
              </w:rPr>
              <w:tab/>
            </w:r>
            <w:r w:rsidR="001D7BB6" w:rsidRPr="000B390D">
              <w:rPr>
                <w:rStyle w:val="Hyperlink"/>
                <w:lang w:eastAsia="ja-JP"/>
              </w:rPr>
              <w:t>Biosecurity fees and charges</w:t>
            </w:r>
            <w:r w:rsidR="001D7BB6">
              <w:rPr>
                <w:webHidden/>
              </w:rPr>
              <w:tab/>
            </w:r>
            <w:r w:rsidR="001D7BB6">
              <w:rPr>
                <w:webHidden/>
              </w:rPr>
              <w:fldChar w:fldCharType="begin"/>
            </w:r>
            <w:r w:rsidR="001D7BB6">
              <w:rPr>
                <w:webHidden/>
              </w:rPr>
              <w:instrText xml:space="preserve"> PAGEREF _Toc119313393 \h </w:instrText>
            </w:r>
            <w:r w:rsidR="001D7BB6">
              <w:rPr>
                <w:webHidden/>
              </w:rPr>
            </w:r>
            <w:r w:rsidR="001D7BB6">
              <w:rPr>
                <w:webHidden/>
              </w:rPr>
              <w:fldChar w:fldCharType="separate"/>
            </w:r>
            <w:r w:rsidR="001D7BB6">
              <w:rPr>
                <w:webHidden/>
              </w:rPr>
              <w:t>10</w:t>
            </w:r>
            <w:r w:rsidR="001D7BB6">
              <w:rPr>
                <w:webHidden/>
              </w:rPr>
              <w:fldChar w:fldCharType="end"/>
            </w:r>
          </w:hyperlink>
        </w:p>
        <w:p w14:paraId="6072BB4D" w14:textId="6DA36F72" w:rsidR="001D7BB6" w:rsidRDefault="003C1A72">
          <w:pPr>
            <w:pStyle w:val="TOC2"/>
            <w:tabs>
              <w:tab w:val="left" w:pos="1100"/>
            </w:tabs>
            <w:rPr>
              <w:rFonts w:asciiTheme="minorHAnsi" w:eastAsiaTheme="minorEastAsia" w:hAnsiTheme="minorHAnsi"/>
              <w:lang w:eastAsia="en-AU"/>
            </w:rPr>
          </w:pPr>
          <w:hyperlink w:anchor="_Toc119313394" w:history="1">
            <w:r w:rsidR="001D7BB6" w:rsidRPr="000B390D">
              <w:rPr>
                <w:rStyle w:val="Hyperlink"/>
              </w:rPr>
              <w:t>3.7</w:t>
            </w:r>
            <w:r w:rsidR="001D7BB6">
              <w:rPr>
                <w:rFonts w:asciiTheme="minorHAnsi" w:eastAsiaTheme="minorEastAsia" w:hAnsiTheme="minorHAnsi"/>
                <w:lang w:eastAsia="en-AU"/>
              </w:rPr>
              <w:tab/>
            </w:r>
            <w:r w:rsidR="001D7BB6" w:rsidRPr="000B390D">
              <w:rPr>
                <w:rStyle w:val="Hyperlink"/>
              </w:rPr>
              <w:t>Projected cost base for 2022–23</w:t>
            </w:r>
            <w:r w:rsidR="001D7BB6">
              <w:rPr>
                <w:webHidden/>
              </w:rPr>
              <w:tab/>
            </w:r>
            <w:r w:rsidR="001D7BB6">
              <w:rPr>
                <w:webHidden/>
              </w:rPr>
              <w:fldChar w:fldCharType="begin"/>
            </w:r>
            <w:r w:rsidR="001D7BB6">
              <w:rPr>
                <w:webHidden/>
              </w:rPr>
              <w:instrText xml:space="preserve"> PAGEREF _Toc119313394 \h </w:instrText>
            </w:r>
            <w:r w:rsidR="001D7BB6">
              <w:rPr>
                <w:webHidden/>
              </w:rPr>
            </w:r>
            <w:r w:rsidR="001D7BB6">
              <w:rPr>
                <w:webHidden/>
              </w:rPr>
              <w:fldChar w:fldCharType="separate"/>
            </w:r>
            <w:r w:rsidR="001D7BB6">
              <w:rPr>
                <w:webHidden/>
              </w:rPr>
              <w:t>12</w:t>
            </w:r>
            <w:r w:rsidR="001D7BB6">
              <w:rPr>
                <w:webHidden/>
              </w:rPr>
              <w:fldChar w:fldCharType="end"/>
            </w:r>
          </w:hyperlink>
        </w:p>
        <w:p w14:paraId="2C886B64" w14:textId="3F51942D" w:rsidR="001D7BB6" w:rsidRDefault="003C1A72">
          <w:pPr>
            <w:pStyle w:val="TOC1"/>
            <w:rPr>
              <w:rFonts w:asciiTheme="minorHAnsi" w:eastAsiaTheme="minorEastAsia" w:hAnsiTheme="minorHAnsi"/>
              <w:b w:val="0"/>
              <w:lang w:eastAsia="en-AU"/>
            </w:rPr>
          </w:pPr>
          <w:hyperlink w:anchor="_Toc119313395" w:history="1">
            <w:r w:rsidR="001D7BB6" w:rsidRPr="000B390D">
              <w:rPr>
                <w:rStyle w:val="Hyperlink"/>
              </w:rPr>
              <w:t>4</w:t>
            </w:r>
            <w:r w:rsidR="001D7BB6">
              <w:rPr>
                <w:rFonts w:asciiTheme="minorHAnsi" w:eastAsiaTheme="minorEastAsia" w:hAnsiTheme="minorHAnsi"/>
                <w:b w:val="0"/>
                <w:lang w:eastAsia="en-AU"/>
              </w:rPr>
              <w:tab/>
            </w:r>
            <w:r w:rsidR="001D7BB6" w:rsidRPr="000B390D">
              <w:rPr>
                <w:rStyle w:val="Hyperlink"/>
              </w:rPr>
              <w:t>Risk assessment</w:t>
            </w:r>
            <w:r w:rsidR="001D7BB6">
              <w:rPr>
                <w:webHidden/>
              </w:rPr>
              <w:tab/>
            </w:r>
            <w:r w:rsidR="001D7BB6">
              <w:rPr>
                <w:webHidden/>
              </w:rPr>
              <w:fldChar w:fldCharType="begin"/>
            </w:r>
            <w:r w:rsidR="001D7BB6">
              <w:rPr>
                <w:webHidden/>
              </w:rPr>
              <w:instrText xml:space="preserve"> PAGEREF _Toc119313395 \h </w:instrText>
            </w:r>
            <w:r w:rsidR="001D7BB6">
              <w:rPr>
                <w:webHidden/>
              </w:rPr>
            </w:r>
            <w:r w:rsidR="001D7BB6">
              <w:rPr>
                <w:webHidden/>
              </w:rPr>
              <w:fldChar w:fldCharType="separate"/>
            </w:r>
            <w:r w:rsidR="001D7BB6">
              <w:rPr>
                <w:webHidden/>
              </w:rPr>
              <w:t>13</w:t>
            </w:r>
            <w:r w:rsidR="001D7BB6">
              <w:rPr>
                <w:webHidden/>
              </w:rPr>
              <w:fldChar w:fldCharType="end"/>
            </w:r>
          </w:hyperlink>
        </w:p>
        <w:p w14:paraId="088C9CD2" w14:textId="195E0F00" w:rsidR="001D7BB6" w:rsidRDefault="003C1A72">
          <w:pPr>
            <w:pStyle w:val="TOC1"/>
            <w:rPr>
              <w:rFonts w:asciiTheme="minorHAnsi" w:eastAsiaTheme="minorEastAsia" w:hAnsiTheme="minorHAnsi"/>
              <w:b w:val="0"/>
              <w:lang w:eastAsia="en-AU"/>
            </w:rPr>
          </w:pPr>
          <w:hyperlink w:anchor="_Toc119313396" w:history="1">
            <w:r w:rsidR="001D7BB6" w:rsidRPr="000B390D">
              <w:rPr>
                <w:rStyle w:val="Hyperlink"/>
              </w:rPr>
              <w:t>5</w:t>
            </w:r>
            <w:r w:rsidR="001D7BB6">
              <w:rPr>
                <w:rFonts w:asciiTheme="minorHAnsi" w:eastAsiaTheme="minorEastAsia" w:hAnsiTheme="minorHAnsi"/>
                <w:b w:val="0"/>
                <w:lang w:eastAsia="en-AU"/>
              </w:rPr>
              <w:tab/>
            </w:r>
            <w:r w:rsidR="001D7BB6" w:rsidRPr="000B390D">
              <w:rPr>
                <w:rStyle w:val="Hyperlink"/>
              </w:rPr>
              <w:t>Stakeholder engagement</w:t>
            </w:r>
            <w:r w:rsidR="001D7BB6">
              <w:rPr>
                <w:webHidden/>
              </w:rPr>
              <w:tab/>
            </w:r>
            <w:r w:rsidR="001D7BB6">
              <w:rPr>
                <w:webHidden/>
              </w:rPr>
              <w:fldChar w:fldCharType="begin"/>
            </w:r>
            <w:r w:rsidR="001D7BB6">
              <w:rPr>
                <w:webHidden/>
              </w:rPr>
              <w:instrText xml:space="preserve"> PAGEREF _Toc119313396 \h </w:instrText>
            </w:r>
            <w:r w:rsidR="001D7BB6">
              <w:rPr>
                <w:webHidden/>
              </w:rPr>
            </w:r>
            <w:r w:rsidR="001D7BB6">
              <w:rPr>
                <w:webHidden/>
              </w:rPr>
              <w:fldChar w:fldCharType="separate"/>
            </w:r>
            <w:r w:rsidR="001D7BB6">
              <w:rPr>
                <w:webHidden/>
              </w:rPr>
              <w:t>14</w:t>
            </w:r>
            <w:r w:rsidR="001D7BB6">
              <w:rPr>
                <w:webHidden/>
              </w:rPr>
              <w:fldChar w:fldCharType="end"/>
            </w:r>
          </w:hyperlink>
        </w:p>
        <w:p w14:paraId="1568CE54" w14:textId="08108283" w:rsidR="001D7BB6" w:rsidRDefault="003C1A72">
          <w:pPr>
            <w:pStyle w:val="TOC2"/>
            <w:tabs>
              <w:tab w:val="left" w:pos="1100"/>
            </w:tabs>
            <w:rPr>
              <w:rFonts w:asciiTheme="minorHAnsi" w:eastAsiaTheme="minorEastAsia" w:hAnsiTheme="minorHAnsi"/>
              <w:lang w:eastAsia="en-AU"/>
            </w:rPr>
          </w:pPr>
          <w:hyperlink w:anchor="_Toc119313397" w:history="1">
            <w:r w:rsidR="001D7BB6" w:rsidRPr="000B390D">
              <w:rPr>
                <w:rStyle w:val="Hyperlink"/>
                <w:lang w:eastAsia="ja-JP"/>
              </w:rPr>
              <w:t>5.1</w:t>
            </w:r>
            <w:r w:rsidR="001D7BB6">
              <w:rPr>
                <w:rFonts w:asciiTheme="minorHAnsi" w:eastAsiaTheme="minorEastAsia" w:hAnsiTheme="minorHAnsi"/>
                <w:lang w:eastAsia="en-AU"/>
              </w:rPr>
              <w:tab/>
            </w:r>
            <w:r w:rsidR="001D7BB6" w:rsidRPr="000B390D">
              <w:rPr>
                <w:rStyle w:val="Hyperlink"/>
                <w:lang w:eastAsia="ja-JP"/>
              </w:rPr>
              <w:t>Industry engagement</w:t>
            </w:r>
            <w:r w:rsidR="001D7BB6">
              <w:rPr>
                <w:webHidden/>
              </w:rPr>
              <w:tab/>
            </w:r>
            <w:r w:rsidR="001D7BB6">
              <w:rPr>
                <w:webHidden/>
              </w:rPr>
              <w:fldChar w:fldCharType="begin"/>
            </w:r>
            <w:r w:rsidR="001D7BB6">
              <w:rPr>
                <w:webHidden/>
              </w:rPr>
              <w:instrText xml:space="preserve"> PAGEREF _Toc119313397 \h </w:instrText>
            </w:r>
            <w:r w:rsidR="001D7BB6">
              <w:rPr>
                <w:webHidden/>
              </w:rPr>
            </w:r>
            <w:r w:rsidR="001D7BB6">
              <w:rPr>
                <w:webHidden/>
              </w:rPr>
              <w:fldChar w:fldCharType="separate"/>
            </w:r>
            <w:r w:rsidR="001D7BB6">
              <w:rPr>
                <w:webHidden/>
              </w:rPr>
              <w:t>14</w:t>
            </w:r>
            <w:r w:rsidR="001D7BB6">
              <w:rPr>
                <w:webHidden/>
              </w:rPr>
              <w:fldChar w:fldCharType="end"/>
            </w:r>
          </w:hyperlink>
        </w:p>
        <w:p w14:paraId="70C01C2B" w14:textId="6EF1B9A6" w:rsidR="001D7BB6" w:rsidRDefault="003C1A72">
          <w:pPr>
            <w:pStyle w:val="TOC2"/>
            <w:tabs>
              <w:tab w:val="left" w:pos="1100"/>
            </w:tabs>
            <w:rPr>
              <w:rFonts w:asciiTheme="minorHAnsi" w:eastAsiaTheme="minorEastAsia" w:hAnsiTheme="minorHAnsi"/>
              <w:lang w:eastAsia="en-AU"/>
            </w:rPr>
          </w:pPr>
          <w:hyperlink w:anchor="_Toc119313398" w:history="1">
            <w:r w:rsidR="001D7BB6" w:rsidRPr="000B390D">
              <w:rPr>
                <w:rStyle w:val="Hyperlink"/>
                <w:lang w:eastAsia="ja-JP"/>
              </w:rPr>
              <w:t>5.2</w:t>
            </w:r>
            <w:r w:rsidR="001D7BB6">
              <w:rPr>
                <w:rFonts w:asciiTheme="minorHAnsi" w:eastAsiaTheme="minorEastAsia" w:hAnsiTheme="minorHAnsi"/>
                <w:lang w:eastAsia="en-AU"/>
              </w:rPr>
              <w:tab/>
            </w:r>
            <w:r w:rsidR="001D7BB6" w:rsidRPr="000B390D">
              <w:rPr>
                <w:rStyle w:val="Hyperlink"/>
                <w:lang w:eastAsia="ja-JP"/>
              </w:rPr>
              <w:t>Ongoing engagement strategy</w:t>
            </w:r>
            <w:r w:rsidR="001D7BB6">
              <w:rPr>
                <w:webHidden/>
              </w:rPr>
              <w:tab/>
            </w:r>
            <w:r w:rsidR="001D7BB6">
              <w:rPr>
                <w:webHidden/>
              </w:rPr>
              <w:fldChar w:fldCharType="begin"/>
            </w:r>
            <w:r w:rsidR="001D7BB6">
              <w:rPr>
                <w:webHidden/>
              </w:rPr>
              <w:instrText xml:space="preserve"> PAGEREF _Toc119313398 \h </w:instrText>
            </w:r>
            <w:r w:rsidR="001D7BB6">
              <w:rPr>
                <w:webHidden/>
              </w:rPr>
            </w:r>
            <w:r w:rsidR="001D7BB6">
              <w:rPr>
                <w:webHidden/>
              </w:rPr>
              <w:fldChar w:fldCharType="separate"/>
            </w:r>
            <w:r w:rsidR="001D7BB6">
              <w:rPr>
                <w:webHidden/>
              </w:rPr>
              <w:t>14</w:t>
            </w:r>
            <w:r w:rsidR="001D7BB6">
              <w:rPr>
                <w:webHidden/>
              </w:rPr>
              <w:fldChar w:fldCharType="end"/>
            </w:r>
          </w:hyperlink>
        </w:p>
        <w:p w14:paraId="15058B8B" w14:textId="1FDA3312" w:rsidR="001D7BB6" w:rsidRDefault="003C1A72">
          <w:pPr>
            <w:pStyle w:val="TOC1"/>
            <w:rPr>
              <w:rFonts w:asciiTheme="minorHAnsi" w:eastAsiaTheme="minorEastAsia" w:hAnsiTheme="minorHAnsi"/>
              <w:b w:val="0"/>
              <w:lang w:eastAsia="en-AU"/>
            </w:rPr>
          </w:pPr>
          <w:hyperlink w:anchor="_Toc119313399" w:history="1">
            <w:r w:rsidR="001D7BB6" w:rsidRPr="000B390D">
              <w:rPr>
                <w:rStyle w:val="Hyperlink"/>
              </w:rPr>
              <w:t>6</w:t>
            </w:r>
            <w:r w:rsidR="001D7BB6">
              <w:rPr>
                <w:rFonts w:asciiTheme="minorHAnsi" w:eastAsiaTheme="minorEastAsia" w:hAnsiTheme="minorHAnsi"/>
                <w:b w:val="0"/>
                <w:lang w:eastAsia="en-AU"/>
              </w:rPr>
              <w:tab/>
            </w:r>
            <w:r w:rsidR="001D7BB6" w:rsidRPr="000B390D">
              <w:rPr>
                <w:rStyle w:val="Hyperlink"/>
              </w:rPr>
              <w:t>Financial estimates</w:t>
            </w:r>
            <w:r w:rsidR="001D7BB6">
              <w:rPr>
                <w:webHidden/>
              </w:rPr>
              <w:tab/>
            </w:r>
            <w:r w:rsidR="001D7BB6">
              <w:rPr>
                <w:webHidden/>
              </w:rPr>
              <w:fldChar w:fldCharType="begin"/>
            </w:r>
            <w:r w:rsidR="001D7BB6">
              <w:rPr>
                <w:webHidden/>
              </w:rPr>
              <w:instrText xml:space="preserve"> PAGEREF _Toc119313399 \h </w:instrText>
            </w:r>
            <w:r w:rsidR="001D7BB6">
              <w:rPr>
                <w:webHidden/>
              </w:rPr>
            </w:r>
            <w:r w:rsidR="001D7BB6">
              <w:rPr>
                <w:webHidden/>
              </w:rPr>
              <w:fldChar w:fldCharType="separate"/>
            </w:r>
            <w:r w:rsidR="001D7BB6">
              <w:rPr>
                <w:webHidden/>
              </w:rPr>
              <w:t>16</w:t>
            </w:r>
            <w:r w:rsidR="001D7BB6">
              <w:rPr>
                <w:webHidden/>
              </w:rPr>
              <w:fldChar w:fldCharType="end"/>
            </w:r>
          </w:hyperlink>
        </w:p>
        <w:p w14:paraId="10C718F5" w14:textId="65D9B53B" w:rsidR="001D7BB6" w:rsidRDefault="003C1A72">
          <w:pPr>
            <w:pStyle w:val="TOC2"/>
            <w:tabs>
              <w:tab w:val="left" w:pos="1100"/>
            </w:tabs>
            <w:rPr>
              <w:rFonts w:asciiTheme="minorHAnsi" w:eastAsiaTheme="minorEastAsia" w:hAnsiTheme="minorHAnsi"/>
              <w:lang w:eastAsia="en-AU"/>
            </w:rPr>
          </w:pPr>
          <w:hyperlink w:anchor="_Toc119313400" w:history="1">
            <w:r w:rsidR="001D7BB6" w:rsidRPr="000B390D">
              <w:rPr>
                <w:rStyle w:val="Hyperlink"/>
                <w:lang w:eastAsia="ja-JP"/>
              </w:rPr>
              <w:t>6.1</w:t>
            </w:r>
            <w:r w:rsidR="001D7BB6">
              <w:rPr>
                <w:rFonts w:asciiTheme="minorHAnsi" w:eastAsiaTheme="minorEastAsia" w:hAnsiTheme="minorHAnsi"/>
                <w:lang w:eastAsia="en-AU"/>
              </w:rPr>
              <w:tab/>
            </w:r>
            <w:r w:rsidR="001D7BB6" w:rsidRPr="000B390D">
              <w:rPr>
                <w:rStyle w:val="Hyperlink"/>
                <w:lang w:eastAsia="ja-JP"/>
              </w:rPr>
              <w:t>Annual estimates</w:t>
            </w:r>
            <w:r w:rsidR="001D7BB6">
              <w:rPr>
                <w:webHidden/>
              </w:rPr>
              <w:tab/>
            </w:r>
            <w:r w:rsidR="001D7BB6">
              <w:rPr>
                <w:webHidden/>
              </w:rPr>
              <w:fldChar w:fldCharType="begin"/>
            </w:r>
            <w:r w:rsidR="001D7BB6">
              <w:rPr>
                <w:webHidden/>
              </w:rPr>
              <w:instrText xml:space="preserve"> PAGEREF _Toc119313400 \h </w:instrText>
            </w:r>
            <w:r w:rsidR="001D7BB6">
              <w:rPr>
                <w:webHidden/>
              </w:rPr>
            </w:r>
            <w:r w:rsidR="001D7BB6">
              <w:rPr>
                <w:webHidden/>
              </w:rPr>
              <w:fldChar w:fldCharType="separate"/>
            </w:r>
            <w:r w:rsidR="001D7BB6">
              <w:rPr>
                <w:webHidden/>
              </w:rPr>
              <w:t>16</w:t>
            </w:r>
            <w:r w:rsidR="001D7BB6">
              <w:rPr>
                <w:webHidden/>
              </w:rPr>
              <w:fldChar w:fldCharType="end"/>
            </w:r>
          </w:hyperlink>
        </w:p>
        <w:p w14:paraId="41153117" w14:textId="0ED8C250" w:rsidR="001D7BB6" w:rsidRDefault="003C1A72">
          <w:pPr>
            <w:pStyle w:val="TOC1"/>
            <w:rPr>
              <w:rFonts w:asciiTheme="minorHAnsi" w:eastAsiaTheme="minorEastAsia" w:hAnsiTheme="minorHAnsi"/>
              <w:b w:val="0"/>
              <w:lang w:eastAsia="en-AU"/>
            </w:rPr>
          </w:pPr>
          <w:hyperlink w:anchor="_Toc119313401" w:history="1">
            <w:r w:rsidR="001D7BB6" w:rsidRPr="000B390D">
              <w:rPr>
                <w:rStyle w:val="Hyperlink"/>
              </w:rPr>
              <w:t>7</w:t>
            </w:r>
            <w:r w:rsidR="001D7BB6">
              <w:rPr>
                <w:rFonts w:asciiTheme="minorHAnsi" w:eastAsiaTheme="minorEastAsia" w:hAnsiTheme="minorHAnsi"/>
                <w:b w:val="0"/>
                <w:lang w:eastAsia="en-AU"/>
              </w:rPr>
              <w:tab/>
            </w:r>
            <w:r w:rsidR="001D7BB6" w:rsidRPr="000B390D">
              <w:rPr>
                <w:rStyle w:val="Hyperlink"/>
              </w:rPr>
              <w:t>Financial and non-financial performance</w:t>
            </w:r>
            <w:r w:rsidR="001D7BB6">
              <w:rPr>
                <w:webHidden/>
              </w:rPr>
              <w:tab/>
            </w:r>
            <w:r w:rsidR="001D7BB6">
              <w:rPr>
                <w:webHidden/>
              </w:rPr>
              <w:fldChar w:fldCharType="begin"/>
            </w:r>
            <w:r w:rsidR="001D7BB6">
              <w:rPr>
                <w:webHidden/>
              </w:rPr>
              <w:instrText xml:space="preserve"> PAGEREF _Toc119313401 \h </w:instrText>
            </w:r>
            <w:r w:rsidR="001D7BB6">
              <w:rPr>
                <w:webHidden/>
              </w:rPr>
            </w:r>
            <w:r w:rsidR="001D7BB6">
              <w:rPr>
                <w:webHidden/>
              </w:rPr>
              <w:fldChar w:fldCharType="separate"/>
            </w:r>
            <w:r w:rsidR="001D7BB6">
              <w:rPr>
                <w:webHidden/>
              </w:rPr>
              <w:t>17</w:t>
            </w:r>
            <w:r w:rsidR="001D7BB6">
              <w:rPr>
                <w:webHidden/>
              </w:rPr>
              <w:fldChar w:fldCharType="end"/>
            </w:r>
          </w:hyperlink>
        </w:p>
        <w:p w14:paraId="65092123" w14:textId="53DA1975" w:rsidR="001D7BB6" w:rsidRDefault="003C1A72">
          <w:pPr>
            <w:pStyle w:val="TOC2"/>
            <w:tabs>
              <w:tab w:val="left" w:pos="1100"/>
            </w:tabs>
            <w:rPr>
              <w:rFonts w:asciiTheme="minorHAnsi" w:eastAsiaTheme="minorEastAsia" w:hAnsiTheme="minorHAnsi"/>
              <w:lang w:eastAsia="en-AU"/>
            </w:rPr>
          </w:pPr>
          <w:hyperlink w:anchor="_Toc119313402" w:history="1">
            <w:r w:rsidR="001D7BB6" w:rsidRPr="000B390D">
              <w:rPr>
                <w:rStyle w:val="Hyperlink"/>
                <w:lang w:eastAsia="ja-JP"/>
              </w:rPr>
              <w:t>7.1</w:t>
            </w:r>
            <w:r w:rsidR="001D7BB6">
              <w:rPr>
                <w:rFonts w:asciiTheme="minorHAnsi" w:eastAsiaTheme="minorEastAsia" w:hAnsiTheme="minorHAnsi"/>
                <w:lang w:eastAsia="en-AU"/>
              </w:rPr>
              <w:tab/>
            </w:r>
            <w:r w:rsidR="001D7BB6" w:rsidRPr="000B390D">
              <w:rPr>
                <w:rStyle w:val="Hyperlink"/>
                <w:lang w:eastAsia="ja-JP"/>
              </w:rPr>
              <w:t>Financial performance</w:t>
            </w:r>
            <w:r w:rsidR="001D7BB6">
              <w:rPr>
                <w:webHidden/>
              </w:rPr>
              <w:tab/>
            </w:r>
            <w:r w:rsidR="001D7BB6">
              <w:rPr>
                <w:webHidden/>
              </w:rPr>
              <w:fldChar w:fldCharType="begin"/>
            </w:r>
            <w:r w:rsidR="001D7BB6">
              <w:rPr>
                <w:webHidden/>
              </w:rPr>
              <w:instrText xml:space="preserve"> PAGEREF _Toc119313402 \h </w:instrText>
            </w:r>
            <w:r w:rsidR="001D7BB6">
              <w:rPr>
                <w:webHidden/>
              </w:rPr>
            </w:r>
            <w:r w:rsidR="001D7BB6">
              <w:rPr>
                <w:webHidden/>
              </w:rPr>
              <w:fldChar w:fldCharType="separate"/>
            </w:r>
            <w:r w:rsidR="001D7BB6">
              <w:rPr>
                <w:webHidden/>
              </w:rPr>
              <w:t>17</w:t>
            </w:r>
            <w:r w:rsidR="001D7BB6">
              <w:rPr>
                <w:webHidden/>
              </w:rPr>
              <w:fldChar w:fldCharType="end"/>
            </w:r>
          </w:hyperlink>
        </w:p>
        <w:p w14:paraId="2A491721" w14:textId="67E8E520" w:rsidR="001D7BB6" w:rsidRDefault="003C1A72">
          <w:pPr>
            <w:pStyle w:val="TOC2"/>
            <w:tabs>
              <w:tab w:val="left" w:pos="1100"/>
            </w:tabs>
            <w:rPr>
              <w:rFonts w:asciiTheme="minorHAnsi" w:eastAsiaTheme="minorEastAsia" w:hAnsiTheme="minorHAnsi"/>
              <w:lang w:eastAsia="en-AU"/>
            </w:rPr>
          </w:pPr>
          <w:hyperlink w:anchor="_Toc119313403" w:history="1">
            <w:r w:rsidR="001D7BB6" w:rsidRPr="000B390D">
              <w:rPr>
                <w:rStyle w:val="Hyperlink"/>
              </w:rPr>
              <w:t>7.2</w:t>
            </w:r>
            <w:r w:rsidR="001D7BB6">
              <w:rPr>
                <w:rFonts w:asciiTheme="minorHAnsi" w:eastAsiaTheme="minorEastAsia" w:hAnsiTheme="minorHAnsi"/>
                <w:lang w:eastAsia="en-AU"/>
              </w:rPr>
              <w:tab/>
            </w:r>
            <w:r w:rsidR="001D7BB6" w:rsidRPr="000B390D">
              <w:rPr>
                <w:rStyle w:val="Hyperlink"/>
              </w:rPr>
              <w:t>Non-financial performance</w:t>
            </w:r>
            <w:r w:rsidR="001D7BB6">
              <w:rPr>
                <w:webHidden/>
              </w:rPr>
              <w:tab/>
            </w:r>
            <w:r w:rsidR="001D7BB6">
              <w:rPr>
                <w:webHidden/>
              </w:rPr>
              <w:fldChar w:fldCharType="begin"/>
            </w:r>
            <w:r w:rsidR="001D7BB6">
              <w:rPr>
                <w:webHidden/>
              </w:rPr>
              <w:instrText xml:space="preserve"> PAGEREF _Toc119313403 \h </w:instrText>
            </w:r>
            <w:r w:rsidR="001D7BB6">
              <w:rPr>
                <w:webHidden/>
              </w:rPr>
            </w:r>
            <w:r w:rsidR="001D7BB6">
              <w:rPr>
                <w:webHidden/>
              </w:rPr>
              <w:fldChar w:fldCharType="separate"/>
            </w:r>
            <w:r w:rsidR="001D7BB6">
              <w:rPr>
                <w:webHidden/>
              </w:rPr>
              <w:t>17</w:t>
            </w:r>
            <w:r w:rsidR="001D7BB6">
              <w:rPr>
                <w:webHidden/>
              </w:rPr>
              <w:fldChar w:fldCharType="end"/>
            </w:r>
          </w:hyperlink>
        </w:p>
        <w:p w14:paraId="5109178B" w14:textId="18383829" w:rsidR="001D7BB6" w:rsidRDefault="003C1A72">
          <w:pPr>
            <w:pStyle w:val="TOC1"/>
            <w:rPr>
              <w:rFonts w:asciiTheme="minorHAnsi" w:eastAsiaTheme="minorEastAsia" w:hAnsiTheme="minorHAnsi"/>
              <w:b w:val="0"/>
              <w:lang w:eastAsia="en-AU"/>
            </w:rPr>
          </w:pPr>
          <w:hyperlink w:anchor="_Toc119313404" w:history="1">
            <w:r w:rsidR="001D7BB6" w:rsidRPr="000B390D">
              <w:rPr>
                <w:rStyle w:val="Hyperlink"/>
              </w:rPr>
              <w:t>8</w:t>
            </w:r>
            <w:r w:rsidR="001D7BB6">
              <w:rPr>
                <w:rFonts w:asciiTheme="minorHAnsi" w:eastAsiaTheme="minorEastAsia" w:hAnsiTheme="minorHAnsi"/>
                <w:b w:val="0"/>
                <w:lang w:eastAsia="en-AU"/>
              </w:rPr>
              <w:tab/>
            </w:r>
            <w:r w:rsidR="001D7BB6" w:rsidRPr="000B390D">
              <w:rPr>
                <w:rStyle w:val="Hyperlink"/>
              </w:rPr>
              <w:t>Key forward dates and events</w:t>
            </w:r>
            <w:r w:rsidR="001D7BB6">
              <w:rPr>
                <w:webHidden/>
              </w:rPr>
              <w:tab/>
            </w:r>
            <w:r w:rsidR="001D7BB6">
              <w:rPr>
                <w:webHidden/>
              </w:rPr>
              <w:fldChar w:fldCharType="begin"/>
            </w:r>
            <w:r w:rsidR="001D7BB6">
              <w:rPr>
                <w:webHidden/>
              </w:rPr>
              <w:instrText xml:space="preserve"> PAGEREF _Toc119313404 \h </w:instrText>
            </w:r>
            <w:r w:rsidR="001D7BB6">
              <w:rPr>
                <w:webHidden/>
              </w:rPr>
            </w:r>
            <w:r w:rsidR="001D7BB6">
              <w:rPr>
                <w:webHidden/>
              </w:rPr>
              <w:fldChar w:fldCharType="separate"/>
            </w:r>
            <w:r w:rsidR="001D7BB6">
              <w:rPr>
                <w:webHidden/>
              </w:rPr>
              <w:t>19</w:t>
            </w:r>
            <w:r w:rsidR="001D7BB6">
              <w:rPr>
                <w:webHidden/>
              </w:rPr>
              <w:fldChar w:fldCharType="end"/>
            </w:r>
          </w:hyperlink>
        </w:p>
        <w:p w14:paraId="64D8FF11" w14:textId="049CAC83" w:rsidR="001D7BB6" w:rsidRDefault="003C1A72">
          <w:pPr>
            <w:pStyle w:val="TOC1"/>
            <w:rPr>
              <w:rFonts w:asciiTheme="minorHAnsi" w:eastAsiaTheme="minorEastAsia" w:hAnsiTheme="minorHAnsi"/>
              <w:b w:val="0"/>
              <w:lang w:eastAsia="en-AU"/>
            </w:rPr>
          </w:pPr>
          <w:hyperlink w:anchor="_Toc119313405" w:history="1">
            <w:r w:rsidR="001D7BB6" w:rsidRPr="000B390D">
              <w:rPr>
                <w:rStyle w:val="Hyperlink"/>
              </w:rPr>
              <w:t>9</w:t>
            </w:r>
            <w:r w:rsidR="001D7BB6">
              <w:rPr>
                <w:rFonts w:asciiTheme="minorHAnsi" w:eastAsiaTheme="minorEastAsia" w:hAnsiTheme="minorHAnsi"/>
                <w:b w:val="0"/>
                <w:lang w:eastAsia="en-AU"/>
              </w:rPr>
              <w:tab/>
            </w:r>
            <w:r w:rsidR="001D7BB6" w:rsidRPr="000B390D">
              <w:rPr>
                <w:rStyle w:val="Hyperlink"/>
              </w:rPr>
              <w:t>CRIS approval and change register</w:t>
            </w:r>
            <w:r w:rsidR="001D7BB6">
              <w:rPr>
                <w:webHidden/>
              </w:rPr>
              <w:tab/>
            </w:r>
            <w:r w:rsidR="001D7BB6">
              <w:rPr>
                <w:webHidden/>
              </w:rPr>
              <w:fldChar w:fldCharType="begin"/>
            </w:r>
            <w:r w:rsidR="001D7BB6">
              <w:rPr>
                <w:webHidden/>
              </w:rPr>
              <w:instrText xml:space="preserve"> PAGEREF _Toc119313405 \h </w:instrText>
            </w:r>
            <w:r w:rsidR="001D7BB6">
              <w:rPr>
                <w:webHidden/>
              </w:rPr>
            </w:r>
            <w:r w:rsidR="001D7BB6">
              <w:rPr>
                <w:webHidden/>
              </w:rPr>
              <w:fldChar w:fldCharType="separate"/>
            </w:r>
            <w:r w:rsidR="001D7BB6">
              <w:rPr>
                <w:webHidden/>
              </w:rPr>
              <w:t>20</w:t>
            </w:r>
            <w:r w:rsidR="001D7BB6">
              <w:rPr>
                <w:webHidden/>
              </w:rPr>
              <w:fldChar w:fldCharType="end"/>
            </w:r>
          </w:hyperlink>
        </w:p>
        <w:p w14:paraId="73BE2BA1" w14:textId="1DDCF1FC" w:rsidR="001D7BB6" w:rsidRDefault="003C1A72">
          <w:pPr>
            <w:pStyle w:val="TOC1"/>
            <w:rPr>
              <w:rFonts w:asciiTheme="minorHAnsi" w:eastAsiaTheme="minorEastAsia" w:hAnsiTheme="minorHAnsi"/>
              <w:b w:val="0"/>
              <w:lang w:eastAsia="en-AU"/>
            </w:rPr>
          </w:pPr>
          <w:hyperlink w:anchor="_Toc119313406" w:history="1">
            <w:r w:rsidR="001D7BB6" w:rsidRPr="000B390D">
              <w:rPr>
                <w:rStyle w:val="Hyperlink"/>
              </w:rPr>
              <w:t>Appendix A: Summary tables of volumes and regulatory activities</w:t>
            </w:r>
            <w:r w:rsidR="001D7BB6">
              <w:rPr>
                <w:webHidden/>
              </w:rPr>
              <w:tab/>
            </w:r>
            <w:r w:rsidR="001D7BB6">
              <w:rPr>
                <w:webHidden/>
              </w:rPr>
              <w:fldChar w:fldCharType="begin"/>
            </w:r>
            <w:r w:rsidR="001D7BB6">
              <w:rPr>
                <w:webHidden/>
              </w:rPr>
              <w:instrText xml:space="preserve"> PAGEREF _Toc119313406 \h </w:instrText>
            </w:r>
            <w:r w:rsidR="001D7BB6">
              <w:rPr>
                <w:webHidden/>
              </w:rPr>
            </w:r>
            <w:r w:rsidR="001D7BB6">
              <w:rPr>
                <w:webHidden/>
              </w:rPr>
              <w:fldChar w:fldCharType="separate"/>
            </w:r>
            <w:r w:rsidR="001D7BB6">
              <w:rPr>
                <w:webHidden/>
              </w:rPr>
              <w:t>21</w:t>
            </w:r>
            <w:r w:rsidR="001D7BB6">
              <w:rPr>
                <w:webHidden/>
              </w:rPr>
              <w:fldChar w:fldCharType="end"/>
            </w:r>
          </w:hyperlink>
        </w:p>
        <w:p w14:paraId="619CB460" w14:textId="69C63273" w:rsidR="001D7BB6" w:rsidRDefault="003C1A72">
          <w:pPr>
            <w:pStyle w:val="TOC1"/>
            <w:rPr>
              <w:rFonts w:asciiTheme="minorHAnsi" w:eastAsiaTheme="minorEastAsia" w:hAnsiTheme="minorHAnsi"/>
              <w:b w:val="0"/>
              <w:lang w:eastAsia="en-AU"/>
            </w:rPr>
          </w:pPr>
          <w:hyperlink w:anchor="_Toc119313407" w:history="1">
            <w:r w:rsidR="001D7BB6" w:rsidRPr="000B390D">
              <w:rPr>
                <w:rStyle w:val="Hyperlink"/>
              </w:rPr>
              <w:t>Appendix B: Description of cost model activities</w:t>
            </w:r>
            <w:r w:rsidR="001D7BB6">
              <w:rPr>
                <w:webHidden/>
              </w:rPr>
              <w:tab/>
            </w:r>
            <w:r w:rsidR="001D7BB6">
              <w:rPr>
                <w:webHidden/>
              </w:rPr>
              <w:fldChar w:fldCharType="begin"/>
            </w:r>
            <w:r w:rsidR="001D7BB6">
              <w:rPr>
                <w:webHidden/>
              </w:rPr>
              <w:instrText xml:space="preserve"> PAGEREF _Toc119313407 \h </w:instrText>
            </w:r>
            <w:r w:rsidR="001D7BB6">
              <w:rPr>
                <w:webHidden/>
              </w:rPr>
            </w:r>
            <w:r w:rsidR="001D7BB6">
              <w:rPr>
                <w:webHidden/>
              </w:rPr>
              <w:fldChar w:fldCharType="separate"/>
            </w:r>
            <w:r w:rsidR="001D7BB6">
              <w:rPr>
                <w:webHidden/>
              </w:rPr>
              <w:t>22</w:t>
            </w:r>
            <w:r w:rsidR="001D7BB6">
              <w:rPr>
                <w:webHidden/>
              </w:rPr>
              <w:fldChar w:fldCharType="end"/>
            </w:r>
          </w:hyperlink>
        </w:p>
        <w:p w14:paraId="53C0AE80" w14:textId="7F7370E7" w:rsidR="001D7BB6" w:rsidRDefault="003C1A72">
          <w:pPr>
            <w:pStyle w:val="TOC2"/>
            <w:rPr>
              <w:rFonts w:asciiTheme="minorHAnsi" w:eastAsiaTheme="minorEastAsia" w:hAnsiTheme="minorHAnsi"/>
              <w:lang w:eastAsia="en-AU"/>
            </w:rPr>
          </w:pPr>
          <w:hyperlink w:anchor="_Toc119313408" w:history="1">
            <w:r w:rsidR="001D7BB6" w:rsidRPr="000B390D">
              <w:rPr>
                <w:rStyle w:val="Hyperlink"/>
                <w:lang w:eastAsia="ja-JP"/>
              </w:rPr>
              <w:t>Program management and administration activities (charge)</w:t>
            </w:r>
            <w:r w:rsidR="001D7BB6">
              <w:rPr>
                <w:webHidden/>
              </w:rPr>
              <w:tab/>
            </w:r>
            <w:r w:rsidR="001D7BB6">
              <w:rPr>
                <w:webHidden/>
              </w:rPr>
              <w:fldChar w:fldCharType="begin"/>
            </w:r>
            <w:r w:rsidR="001D7BB6">
              <w:rPr>
                <w:webHidden/>
              </w:rPr>
              <w:instrText xml:space="preserve"> PAGEREF _Toc119313408 \h </w:instrText>
            </w:r>
            <w:r w:rsidR="001D7BB6">
              <w:rPr>
                <w:webHidden/>
              </w:rPr>
            </w:r>
            <w:r w:rsidR="001D7BB6">
              <w:rPr>
                <w:webHidden/>
              </w:rPr>
              <w:fldChar w:fldCharType="separate"/>
            </w:r>
            <w:r w:rsidR="001D7BB6">
              <w:rPr>
                <w:webHidden/>
              </w:rPr>
              <w:t>22</w:t>
            </w:r>
            <w:r w:rsidR="001D7BB6">
              <w:rPr>
                <w:webHidden/>
              </w:rPr>
              <w:fldChar w:fldCharType="end"/>
            </w:r>
          </w:hyperlink>
        </w:p>
        <w:p w14:paraId="21F3465C" w14:textId="462E6C3C" w:rsidR="001D7BB6" w:rsidRDefault="003C1A72">
          <w:pPr>
            <w:pStyle w:val="TOC2"/>
            <w:rPr>
              <w:rFonts w:asciiTheme="minorHAnsi" w:eastAsiaTheme="minorEastAsia" w:hAnsiTheme="minorHAnsi"/>
              <w:lang w:eastAsia="en-AU"/>
            </w:rPr>
          </w:pPr>
          <w:hyperlink w:anchor="_Toc119313409" w:history="1">
            <w:r w:rsidR="001D7BB6" w:rsidRPr="000B390D">
              <w:rPr>
                <w:rStyle w:val="Hyperlink"/>
                <w:lang w:eastAsia="ja-JP"/>
              </w:rPr>
              <w:t>Assurance activities (charge)</w:t>
            </w:r>
            <w:r w:rsidR="001D7BB6">
              <w:rPr>
                <w:webHidden/>
              </w:rPr>
              <w:tab/>
            </w:r>
            <w:r w:rsidR="001D7BB6">
              <w:rPr>
                <w:webHidden/>
              </w:rPr>
              <w:fldChar w:fldCharType="begin"/>
            </w:r>
            <w:r w:rsidR="001D7BB6">
              <w:rPr>
                <w:webHidden/>
              </w:rPr>
              <w:instrText xml:space="preserve"> PAGEREF _Toc119313409 \h </w:instrText>
            </w:r>
            <w:r w:rsidR="001D7BB6">
              <w:rPr>
                <w:webHidden/>
              </w:rPr>
            </w:r>
            <w:r w:rsidR="001D7BB6">
              <w:rPr>
                <w:webHidden/>
              </w:rPr>
              <w:fldChar w:fldCharType="separate"/>
            </w:r>
            <w:r w:rsidR="001D7BB6">
              <w:rPr>
                <w:webHidden/>
              </w:rPr>
              <w:t>23</w:t>
            </w:r>
            <w:r w:rsidR="001D7BB6">
              <w:rPr>
                <w:webHidden/>
              </w:rPr>
              <w:fldChar w:fldCharType="end"/>
            </w:r>
          </w:hyperlink>
        </w:p>
        <w:p w14:paraId="0CDEF371" w14:textId="4B702580" w:rsidR="001D7BB6" w:rsidRDefault="003C1A72">
          <w:pPr>
            <w:pStyle w:val="TOC2"/>
            <w:rPr>
              <w:rFonts w:asciiTheme="minorHAnsi" w:eastAsiaTheme="minorEastAsia" w:hAnsiTheme="minorHAnsi"/>
              <w:lang w:eastAsia="en-AU"/>
            </w:rPr>
          </w:pPr>
          <w:hyperlink w:anchor="_Toc119313410" w:history="1">
            <w:r w:rsidR="001D7BB6" w:rsidRPr="000B390D">
              <w:rPr>
                <w:rStyle w:val="Hyperlink"/>
                <w:lang w:eastAsia="ja-JP"/>
              </w:rPr>
              <w:t>Incident management activities (charge)</w:t>
            </w:r>
            <w:r w:rsidR="001D7BB6">
              <w:rPr>
                <w:webHidden/>
              </w:rPr>
              <w:tab/>
            </w:r>
            <w:r w:rsidR="001D7BB6">
              <w:rPr>
                <w:webHidden/>
              </w:rPr>
              <w:fldChar w:fldCharType="begin"/>
            </w:r>
            <w:r w:rsidR="001D7BB6">
              <w:rPr>
                <w:webHidden/>
              </w:rPr>
              <w:instrText xml:space="preserve"> PAGEREF _Toc119313410 \h </w:instrText>
            </w:r>
            <w:r w:rsidR="001D7BB6">
              <w:rPr>
                <w:webHidden/>
              </w:rPr>
            </w:r>
            <w:r w:rsidR="001D7BB6">
              <w:rPr>
                <w:webHidden/>
              </w:rPr>
              <w:fldChar w:fldCharType="separate"/>
            </w:r>
            <w:r w:rsidR="001D7BB6">
              <w:rPr>
                <w:webHidden/>
              </w:rPr>
              <w:t>23</w:t>
            </w:r>
            <w:r w:rsidR="001D7BB6">
              <w:rPr>
                <w:webHidden/>
              </w:rPr>
              <w:fldChar w:fldCharType="end"/>
            </w:r>
          </w:hyperlink>
        </w:p>
        <w:p w14:paraId="602DFC7B" w14:textId="225E6039" w:rsidR="001D7BB6" w:rsidRDefault="003C1A72">
          <w:pPr>
            <w:pStyle w:val="TOC2"/>
            <w:rPr>
              <w:rFonts w:asciiTheme="minorHAnsi" w:eastAsiaTheme="minorEastAsia" w:hAnsiTheme="minorHAnsi"/>
              <w:lang w:eastAsia="en-AU"/>
            </w:rPr>
          </w:pPr>
          <w:hyperlink w:anchor="_Toc119313411" w:history="1">
            <w:r w:rsidR="001D7BB6" w:rsidRPr="000B390D">
              <w:rPr>
                <w:rStyle w:val="Hyperlink"/>
                <w:lang w:eastAsia="ja-JP"/>
              </w:rPr>
              <w:t>Intervention activities (fee)</w:t>
            </w:r>
            <w:r w:rsidR="001D7BB6">
              <w:rPr>
                <w:webHidden/>
              </w:rPr>
              <w:tab/>
            </w:r>
            <w:r w:rsidR="001D7BB6">
              <w:rPr>
                <w:webHidden/>
              </w:rPr>
              <w:fldChar w:fldCharType="begin"/>
            </w:r>
            <w:r w:rsidR="001D7BB6">
              <w:rPr>
                <w:webHidden/>
              </w:rPr>
              <w:instrText xml:space="preserve"> PAGEREF _Toc119313411 \h </w:instrText>
            </w:r>
            <w:r w:rsidR="001D7BB6">
              <w:rPr>
                <w:webHidden/>
              </w:rPr>
            </w:r>
            <w:r w:rsidR="001D7BB6">
              <w:rPr>
                <w:webHidden/>
              </w:rPr>
              <w:fldChar w:fldCharType="separate"/>
            </w:r>
            <w:r w:rsidR="001D7BB6">
              <w:rPr>
                <w:webHidden/>
              </w:rPr>
              <w:t>24</w:t>
            </w:r>
            <w:r w:rsidR="001D7BB6">
              <w:rPr>
                <w:webHidden/>
              </w:rPr>
              <w:fldChar w:fldCharType="end"/>
            </w:r>
          </w:hyperlink>
        </w:p>
        <w:p w14:paraId="1B1D2EC5" w14:textId="5F3BF0FE" w:rsidR="00764D6A" w:rsidRPr="005F46B0" w:rsidRDefault="00E91D72" w:rsidP="005F46B0">
          <w:pPr>
            <w:pStyle w:val="TOC2"/>
            <w:rPr>
              <w:b/>
            </w:rPr>
          </w:pPr>
          <w:r>
            <w:rPr>
              <w:b/>
            </w:rPr>
            <w:lastRenderedPageBreak/>
            <w:fldChar w:fldCharType="end"/>
          </w:r>
        </w:p>
      </w:sdtContent>
    </w:sdt>
    <w:p w14:paraId="4997F363" w14:textId="77777777" w:rsidR="00764D6A" w:rsidRDefault="00E91D72">
      <w:pPr>
        <w:pStyle w:val="TOCHeading2"/>
        <w:rPr>
          <w:rStyle w:val="Strong"/>
        </w:rPr>
      </w:pPr>
      <w:r>
        <w:rPr>
          <w:rStyle w:val="Strong"/>
        </w:rPr>
        <w:t>Tables</w:t>
      </w:r>
    </w:p>
    <w:p w14:paraId="382493C9" w14:textId="612CFB10" w:rsidR="004E2A9E" w:rsidRDefault="00E91D72">
      <w:pPr>
        <w:pStyle w:val="TableofFigures"/>
        <w:tabs>
          <w:tab w:val="right" w:leader="dot" w:pos="9060"/>
        </w:tabs>
        <w:rPr>
          <w:rFonts w:asciiTheme="minorHAnsi" w:eastAsiaTheme="minorEastAsia" w:hAnsiTheme="minorHAnsi"/>
          <w:noProof/>
          <w:lang w:eastAsia="en-AU"/>
        </w:rPr>
      </w:pPr>
      <w:r>
        <w:rPr>
          <w:rStyle w:val="Hyperlink"/>
        </w:rPr>
        <w:fldChar w:fldCharType="begin"/>
      </w:r>
      <w:r>
        <w:rPr>
          <w:rStyle w:val="Hyperlink"/>
          <w:noProof/>
        </w:rPr>
        <w:instrText xml:space="preserve"> TOC \h \z \c "Table" </w:instrText>
      </w:r>
      <w:r>
        <w:rPr>
          <w:rStyle w:val="Hyperlink"/>
        </w:rPr>
        <w:fldChar w:fldCharType="separate"/>
      </w:r>
      <w:hyperlink w:anchor="_Toc113262178" w:history="1">
        <w:r w:rsidR="004E2A9E" w:rsidRPr="004F567C">
          <w:rPr>
            <w:rStyle w:val="Hyperlink"/>
            <w:noProof/>
          </w:rPr>
          <w:t>Table 1 Biosecurity arrangement cost breakdown, 2022–23</w:t>
        </w:r>
        <w:r w:rsidR="004E2A9E">
          <w:rPr>
            <w:noProof/>
            <w:webHidden/>
          </w:rPr>
          <w:tab/>
        </w:r>
        <w:r w:rsidR="004E2A9E">
          <w:rPr>
            <w:noProof/>
            <w:webHidden/>
          </w:rPr>
          <w:fldChar w:fldCharType="begin"/>
        </w:r>
        <w:r w:rsidR="004E2A9E">
          <w:rPr>
            <w:noProof/>
            <w:webHidden/>
          </w:rPr>
          <w:instrText xml:space="preserve"> PAGEREF _Toc113262178 \h </w:instrText>
        </w:r>
        <w:r w:rsidR="004E2A9E">
          <w:rPr>
            <w:noProof/>
            <w:webHidden/>
          </w:rPr>
        </w:r>
        <w:r w:rsidR="004E2A9E">
          <w:rPr>
            <w:noProof/>
            <w:webHidden/>
          </w:rPr>
          <w:fldChar w:fldCharType="separate"/>
        </w:r>
        <w:r w:rsidR="0033587A">
          <w:rPr>
            <w:noProof/>
            <w:webHidden/>
          </w:rPr>
          <w:t>9</w:t>
        </w:r>
        <w:r w:rsidR="004E2A9E">
          <w:rPr>
            <w:noProof/>
            <w:webHidden/>
          </w:rPr>
          <w:fldChar w:fldCharType="end"/>
        </w:r>
      </w:hyperlink>
    </w:p>
    <w:p w14:paraId="6E46531E" w14:textId="7DF6BCCE" w:rsidR="004E2A9E" w:rsidRDefault="003C1A72">
      <w:pPr>
        <w:pStyle w:val="TableofFigures"/>
        <w:tabs>
          <w:tab w:val="right" w:leader="dot" w:pos="9060"/>
        </w:tabs>
        <w:rPr>
          <w:rFonts w:asciiTheme="minorHAnsi" w:eastAsiaTheme="minorEastAsia" w:hAnsiTheme="minorHAnsi"/>
          <w:noProof/>
          <w:lang w:eastAsia="en-AU"/>
        </w:rPr>
      </w:pPr>
      <w:hyperlink w:anchor="_Toc113262179" w:history="1">
        <w:r w:rsidR="004E2A9E" w:rsidRPr="004F567C">
          <w:rPr>
            <w:rStyle w:val="Hyperlink"/>
            <w:noProof/>
          </w:rPr>
          <w:t>Table 2 Fees, charges, and volumes for biosecurity arrangement, 2022–23</w:t>
        </w:r>
        <w:r w:rsidR="004E2A9E">
          <w:rPr>
            <w:noProof/>
            <w:webHidden/>
          </w:rPr>
          <w:tab/>
        </w:r>
        <w:r w:rsidR="004E2A9E">
          <w:rPr>
            <w:noProof/>
            <w:webHidden/>
          </w:rPr>
          <w:fldChar w:fldCharType="begin"/>
        </w:r>
        <w:r w:rsidR="004E2A9E">
          <w:rPr>
            <w:noProof/>
            <w:webHidden/>
          </w:rPr>
          <w:instrText xml:space="preserve"> PAGEREF _Toc113262179 \h </w:instrText>
        </w:r>
        <w:r w:rsidR="004E2A9E">
          <w:rPr>
            <w:noProof/>
            <w:webHidden/>
          </w:rPr>
        </w:r>
        <w:r w:rsidR="004E2A9E">
          <w:rPr>
            <w:noProof/>
            <w:webHidden/>
          </w:rPr>
          <w:fldChar w:fldCharType="separate"/>
        </w:r>
        <w:r w:rsidR="0033587A">
          <w:rPr>
            <w:noProof/>
            <w:webHidden/>
          </w:rPr>
          <w:t>10</w:t>
        </w:r>
        <w:r w:rsidR="004E2A9E">
          <w:rPr>
            <w:noProof/>
            <w:webHidden/>
          </w:rPr>
          <w:fldChar w:fldCharType="end"/>
        </w:r>
      </w:hyperlink>
    </w:p>
    <w:p w14:paraId="1AEFA295" w14:textId="4FBADA85" w:rsidR="004E2A9E" w:rsidRDefault="003C1A72">
      <w:pPr>
        <w:pStyle w:val="TableofFigures"/>
        <w:tabs>
          <w:tab w:val="right" w:leader="dot" w:pos="9060"/>
        </w:tabs>
        <w:rPr>
          <w:rFonts w:asciiTheme="minorHAnsi" w:eastAsiaTheme="minorEastAsia" w:hAnsiTheme="minorHAnsi"/>
          <w:noProof/>
          <w:lang w:eastAsia="en-AU"/>
        </w:rPr>
      </w:pPr>
      <w:hyperlink w:anchor="_Toc113262180" w:history="1">
        <w:r w:rsidR="004E2A9E" w:rsidRPr="004F567C">
          <w:rPr>
            <w:rStyle w:val="Hyperlink"/>
            <w:noProof/>
          </w:rPr>
          <w:t>Table 3 Cost type breakdown for biosecurity arrangement</w:t>
        </w:r>
        <w:r w:rsidR="004E2A9E">
          <w:rPr>
            <w:noProof/>
            <w:webHidden/>
          </w:rPr>
          <w:tab/>
        </w:r>
        <w:r w:rsidR="004E2A9E">
          <w:rPr>
            <w:noProof/>
            <w:webHidden/>
          </w:rPr>
          <w:fldChar w:fldCharType="begin"/>
        </w:r>
        <w:r w:rsidR="004E2A9E">
          <w:rPr>
            <w:noProof/>
            <w:webHidden/>
          </w:rPr>
          <w:instrText xml:space="preserve"> PAGEREF _Toc113262180 \h </w:instrText>
        </w:r>
        <w:r w:rsidR="004E2A9E">
          <w:rPr>
            <w:noProof/>
            <w:webHidden/>
          </w:rPr>
        </w:r>
        <w:r w:rsidR="004E2A9E">
          <w:rPr>
            <w:noProof/>
            <w:webHidden/>
          </w:rPr>
          <w:fldChar w:fldCharType="separate"/>
        </w:r>
        <w:r w:rsidR="0033587A">
          <w:rPr>
            <w:noProof/>
            <w:webHidden/>
          </w:rPr>
          <w:t>12</w:t>
        </w:r>
        <w:r w:rsidR="004E2A9E">
          <w:rPr>
            <w:noProof/>
            <w:webHidden/>
          </w:rPr>
          <w:fldChar w:fldCharType="end"/>
        </w:r>
      </w:hyperlink>
    </w:p>
    <w:p w14:paraId="763CEB31" w14:textId="091002A7" w:rsidR="004E2A9E" w:rsidRDefault="003C1A72">
      <w:pPr>
        <w:pStyle w:val="TableofFigures"/>
        <w:tabs>
          <w:tab w:val="right" w:leader="dot" w:pos="9060"/>
        </w:tabs>
        <w:rPr>
          <w:rFonts w:asciiTheme="minorHAnsi" w:eastAsiaTheme="minorEastAsia" w:hAnsiTheme="minorHAnsi"/>
          <w:noProof/>
          <w:lang w:eastAsia="en-AU"/>
        </w:rPr>
      </w:pPr>
      <w:hyperlink w:anchor="_Toc113262181" w:history="1">
        <w:r w:rsidR="004E2A9E" w:rsidRPr="004F567C">
          <w:rPr>
            <w:rStyle w:val="Hyperlink"/>
            <w:noProof/>
          </w:rPr>
          <w:t>Table 4 Risks for biosecurity arrangement</w:t>
        </w:r>
        <w:r w:rsidR="004E2A9E">
          <w:rPr>
            <w:noProof/>
            <w:webHidden/>
          </w:rPr>
          <w:tab/>
        </w:r>
        <w:r w:rsidR="004E2A9E">
          <w:rPr>
            <w:noProof/>
            <w:webHidden/>
          </w:rPr>
          <w:fldChar w:fldCharType="begin"/>
        </w:r>
        <w:r w:rsidR="004E2A9E">
          <w:rPr>
            <w:noProof/>
            <w:webHidden/>
          </w:rPr>
          <w:instrText xml:space="preserve"> PAGEREF _Toc113262181 \h </w:instrText>
        </w:r>
        <w:r w:rsidR="004E2A9E">
          <w:rPr>
            <w:noProof/>
            <w:webHidden/>
          </w:rPr>
        </w:r>
        <w:r w:rsidR="004E2A9E">
          <w:rPr>
            <w:noProof/>
            <w:webHidden/>
          </w:rPr>
          <w:fldChar w:fldCharType="separate"/>
        </w:r>
        <w:r w:rsidR="0033587A">
          <w:rPr>
            <w:noProof/>
            <w:webHidden/>
          </w:rPr>
          <w:t>13</w:t>
        </w:r>
        <w:r w:rsidR="004E2A9E">
          <w:rPr>
            <w:noProof/>
            <w:webHidden/>
          </w:rPr>
          <w:fldChar w:fldCharType="end"/>
        </w:r>
      </w:hyperlink>
    </w:p>
    <w:p w14:paraId="1A17B86E" w14:textId="7D26CFDA" w:rsidR="004E2A9E" w:rsidRDefault="003C1A72">
      <w:pPr>
        <w:pStyle w:val="TableofFigures"/>
        <w:tabs>
          <w:tab w:val="right" w:leader="dot" w:pos="9060"/>
        </w:tabs>
        <w:rPr>
          <w:rFonts w:asciiTheme="minorHAnsi" w:eastAsiaTheme="minorEastAsia" w:hAnsiTheme="minorHAnsi"/>
          <w:noProof/>
          <w:lang w:eastAsia="en-AU"/>
        </w:rPr>
      </w:pPr>
      <w:hyperlink w:anchor="_Toc113262182" w:history="1">
        <w:r w:rsidR="004E2A9E" w:rsidRPr="004F567C">
          <w:rPr>
            <w:rStyle w:val="Hyperlink"/>
            <w:noProof/>
          </w:rPr>
          <w:t>Table 5 Financial estimates for biosecurity arrangement, 2022–23 to 2024–25</w:t>
        </w:r>
        <w:r w:rsidR="004E2A9E">
          <w:rPr>
            <w:noProof/>
            <w:webHidden/>
          </w:rPr>
          <w:tab/>
        </w:r>
        <w:r w:rsidR="004E2A9E">
          <w:rPr>
            <w:noProof/>
            <w:webHidden/>
          </w:rPr>
          <w:fldChar w:fldCharType="begin"/>
        </w:r>
        <w:r w:rsidR="004E2A9E">
          <w:rPr>
            <w:noProof/>
            <w:webHidden/>
          </w:rPr>
          <w:instrText xml:space="preserve"> PAGEREF _Toc113262182 \h </w:instrText>
        </w:r>
        <w:r w:rsidR="004E2A9E">
          <w:rPr>
            <w:noProof/>
            <w:webHidden/>
          </w:rPr>
        </w:r>
        <w:r w:rsidR="004E2A9E">
          <w:rPr>
            <w:noProof/>
            <w:webHidden/>
          </w:rPr>
          <w:fldChar w:fldCharType="separate"/>
        </w:r>
        <w:r w:rsidR="0033587A">
          <w:rPr>
            <w:noProof/>
            <w:webHidden/>
          </w:rPr>
          <w:t>16</w:t>
        </w:r>
        <w:r w:rsidR="004E2A9E">
          <w:rPr>
            <w:noProof/>
            <w:webHidden/>
          </w:rPr>
          <w:fldChar w:fldCharType="end"/>
        </w:r>
      </w:hyperlink>
    </w:p>
    <w:p w14:paraId="1B0B10BB" w14:textId="1EB9B149" w:rsidR="004E2A9E" w:rsidRDefault="003C1A72">
      <w:pPr>
        <w:pStyle w:val="TableofFigures"/>
        <w:tabs>
          <w:tab w:val="right" w:leader="dot" w:pos="9060"/>
        </w:tabs>
        <w:rPr>
          <w:rFonts w:asciiTheme="minorHAnsi" w:eastAsiaTheme="minorEastAsia" w:hAnsiTheme="minorHAnsi"/>
          <w:noProof/>
          <w:lang w:eastAsia="en-AU"/>
        </w:rPr>
      </w:pPr>
      <w:hyperlink w:anchor="_Toc113262183" w:history="1">
        <w:r w:rsidR="004E2A9E" w:rsidRPr="004F567C">
          <w:rPr>
            <w:rStyle w:val="Hyperlink"/>
            <w:noProof/>
          </w:rPr>
          <w:t>Table 6 Financial performance for biosecurity arrangement, 2018–19 to 2021–22</w:t>
        </w:r>
        <w:r w:rsidR="004E2A9E">
          <w:rPr>
            <w:noProof/>
            <w:webHidden/>
          </w:rPr>
          <w:tab/>
        </w:r>
        <w:r w:rsidR="004E2A9E">
          <w:rPr>
            <w:noProof/>
            <w:webHidden/>
          </w:rPr>
          <w:fldChar w:fldCharType="begin"/>
        </w:r>
        <w:r w:rsidR="004E2A9E">
          <w:rPr>
            <w:noProof/>
            <w:webHidden/>
          </w:rPr>
          <w:instrText xml:space="preserve"> PAGEREF _Toc113262183 \h </w:instrText>
        </w:r>
        <w:r w:rsidR="004E2A9E">
          <w:rPr>
            <w:noProof/>
            <w:webHidden/>
          </w:rPr>
        </w:r>
        <w:r w:rsidR="004E2A9E">
          <w:rPr>
            <w:noProof/>
            <w:webHidden/>
          </w:rPr>
          <w:fldChar w:fldCharType="separate"/>
        </w:r>
        <w:r w:rsidR="0033587A">
          <w:rPr>
            <w:noProof/>
            <w:webHidden/>
          </w:rPr>
          <w:t>17</w:t>
        </w:r>
        <w:r w:rsidR="004E2A9E">
          <w:rPr>
            <w:noProof/>
            <w:webHidden/>
          </w:rPr>
          <w:fldChar w:fldCharType="end"/>
        </w:r>
      </w:hyperlink>
    </w:p>
    <w:p w14:paraId="128D9553" w14:textId="3D0F45D1" w:rsidR="004E2A9E" w:rsidRDefault="003C1A72">
      <w:pPr>
        <w:pStyle w:val="TableofFigures"/>
        <w:tabs>
          <w:tab w:val="right" w:leader="dot" w:pos="9060"/>
        </w:tabs>
        <w:rPr>
          <w:rFonts w:asciiTheme="minorHAnsi" w:eastAsiaTheme="minorEastAsia" w:hAnsiTheme="minorHAnsi"/>
          <w:noProof/>
          <w:lang w:eastAsia="en-AU"/>
        </w:rPr>
      </w:pPr>
      <w:hyperlink w:anchor="_Toc113262184" w:history="1">
        <w:r w:rsidR="004E2A9E" w:rsidRPr="004F567C">
          <w:rPr>
            <w:rStyle w:val="Hyperlink"/>
            <w:noProof/>
          </w:rPr>
          <w:t>Table 7 Non-financial performance measures for biosecurity arrangement, 2020–21</w:t>
        </w:r>
        <w:r w:rsidR="004E2A9E">
          <w:rPr>
            <w:noProof/>
            <w:webHidden/>
          </w:rPr>
          <w:tab/>
        </w:r>
        <w:r w:rsidR="004E2A9E">
          <w:rPr>
            <w:noProof/>
            <w:webHidden/>
          </w:rPr>
          <w:fldChar w:fldCharType="begin"/>
        </w:r>
        <w:r w:rsidR="004E2A9E">
          <w:rPr>
            <w:noProof/>
            <w:webHidden/>
          </w:rPr>
          <w:instrText xml:space="preserve"> PAGEREF _Toc113262184 \h </w:instrText>
        </w:r>
        <w:r w:rsidR="004E2A9E">
          <w:rPr>
            <w:noProof/>
            <w:webHidden/>
          </w:rPr>
        </w:r>
        <w:r w:rsidR="004E2A9E">
          <w:rPr>
            <w:noProof/>
            <w:webHidden/>
          </w:rPr>
          <w:fldChar w:fldCharType="separate"/>
        </w:r>
        <w:r w:rsidR="0033587A">
          <w:rPr>
            <w:noProof/>
            <w:webHidden/>
          </w:rPr>
          <w:t>17</w:t>
        </w:r>
        <w:r w:rsidR="004E2A9E">
          <w:rPr>
            <w:noProof/>
            <w:webHidden/>
          </w:rPr>
          <w:fldChar w:fldCharType="end"/>
        </w:r>
      </w:hyperlink>
    </w:p>
    <w:p w14:paraId="5CA65E41" w14:textId="3860F594" w:rsidR="004E2A9E" w:rsidRDefault="003C1A72">
      <w:pPr>
        <w:pStyle w:val="TableofFigures"/>
        <w:tabs>
          <w:tab w:val="right" w:leader="dot" w:pos="9060"/>
        </w:tabs>
        <w:rPr>
          <w:rFonts w:asciiTheme="minorHAnsi" w:eastAsiaTheme="minorEastAsia" w:hAnsiTheme="minorHAnsi"/>
          <w:noProof/>
          <w:lang w:eastAsia="en-AU"/>
        </w:rPr>
      </w:pPr>
      <w:hyperlink w:anchor="_Toc113262185" w:history="1">
        <w:r w:rsidR="004E2A9E" w:rsidRPr="004F567C">
          <w:rPr>
            <w:rStyle w:val="Hyperlink"/>
            <w:noProof/>
          </w:rPr>
          <w:t>Table 8 Key forward dates and events</w:t>
        </w:r>
        <w:r w:rsidR="004E2A9E">
          <w:rPr>
            <w:noProof/>
            <w:webHidden/>
          </w:rPr>
          <w:tab/>
        </w:r>
        <w:r w:rsidR="004E2A9E">
          <w:rPr>
            <w:noProof/>
            <w:webHidden/>
          </w:rPr>
          <w:fldChar w:fldCharType="begin"/>
        </w:r>
        <w:r w:rsidR="004E2A9E">
          <w:rPr>
            <w:noProof/>
            <w:webHidden/>
          </w:rPr>
          <w:instrText xml:space="preserve"> PAGEREF _Toc113262185 \h </w:instrText>
        </w:r>
        <w:r w:rsidR="004E2A9E">
          <w:rPr>
            <w:noProof/>
            <w:webHidden/>
          </w:rPr>
        </w:r>
        <w:r w:rsidR="004E2A9E">
          <w:rPr>
            <w:noProof/>
            <w:webHidden/>
          </w:rPr>
          <w:fldChar w:fldCharType="separate"/>
        </w:r>
        <w:r w:rsidR="0033587A">
          <w:rPr>
            <w:noProof/>
            <w:webHidden/>
          </w:rPr>
          <w:t>19</w:t>
        </w:r>
        <w:r w:rsidR="004E2A9E">
          <w:rPr>
            <w:noProof/>
            <w:webHidden/>
          </w:rPr>
          <w:fldChar w:fldCharType="end"/>
        </w:r>
      </w:hyperlink>
    </w:p>
    <w:p w14:paraId="757AB9EE" w14:textId="4B11B4B3" w:rsidR="004E2A9E" w:rsidRDefault="003C1A72">
      <w:pPr>
        <w:pStyle w:val="TableofFigures"/>
        <w:tabs>
          <w:tab w:val="right" w:leader="dot" w:pos="9060"/>
        </w:tabs>
        <w:rPr>
          <w:rFonts w:asciiTheme="minorHAnsi" w:eastAsiaTheme="minorEastAsia" w:hAnsiTheme="minorHAnsi"/>
          <w:noProof/>
          <w:lang w:eastAsia="en-AU"/>
        </w:rPr>
      </w:pPr>
      <w:hyperlink w:anchor="_Toc113262186" w:history="1">
        <w:r w:rsidR="004E2A9E" w:rsidRPr="004F567C">
          <w:rPr>
            <w:rStyle w:val="Hyperlink"/>
            <w:noProof/>
          </w:rPr>
          <w:t>Table 9 Change register</w:t>
        </w:r>
        <w:r w:rsidR="004E2A9E">
          <w:rPr>
            <w:noProof/>
            <w:webHidden/>
          </w:rPr>
          <w:tab/>
        </w:r>
        <w:r w:rsidR="004E2A9E">
          <w:rPr>
            <w:noProof/>
            <w:webHidden/>
          </w:rPr>
          <w:fldChar w:fldCharType="begin"/>
        </w:r>
        <w:r w:rsidR="004E2A9E">
          <w:rPr>
            <w:noProof/>
            <w:webHidden/>
          </w:rPr>
          <w:instrText xml:space="preserve"> PAGEREF _Toc113262186 \h </w:instrText>
        </w:r>
        <w:r w:rsidR="004E2A9E">
          <w:rPr>
            <w:noProof/>
            <w:webHidden/>
          </w:rPr>
        </w:r>
        <w:r w:rsidR="004E2A9E">
          <w:rPr>
            <w:noProof/>
            <w:webHidden/>
          </w:rPr>
          <w:fldChar w:fldCharType="separate"/>
        </w:r>
        <w:r w:rsidR="0033587A">
          <w:rPr>
            <w:noProof/>
            <w:webHidden/>
          </w:rPr>
          <w:t>20</w:t>
        </w:r>
        <w:r w:rsidR="004E2A9E">
          <w:rPr>
            <w:noProof/>
            <w:webHidden/>
          </w:rPr>
          <w:fldChar w:fldCharType="end"/>
        </w:r>
      </w:hyperlink>
    </w:p>
    <w:p w14:paraId="254CD948" w14:textId="003BC2E5" w:rsidR="00764D6A" w:rsidRDefault="00E91D72" w:rsidP="00D173B9">
      <w:pPr>
        <w:pStyle w:val="TableofFigures"/>
        <w:tabs>
          <w:tab w:val="right" w:leader="dot" w:pos="9060"/>
        </w:tabs>
      </w:pPr>
      <w:r>
        <w:rPr>
          <w:noProof/>
        </w:rPr>
        <w:fldChar w:fldCharType="end"/>
      </w:r>
    </w:p>
    <w:p w14:paraId="10385BDA" w14:textId="77777777" w:rsidR="00764D6A" w:rsidRDefault="00E91D72">
      <w:pPr>
        <w:pStyle w:val="TOCHeading2"/>
        <w:rPr>
          <w:rStyle w:val="Strong"/>
        </w:rPr>
      </w:pPr>
      <w:r>
        <w:rPr>
          <w:rStyle w:val="Strong"/>
        </w:rPr>
        <w:t>Figures</w:t>
      </w:r>
    </w:p>
    <w:p w14:paraId="5B61BFAA" w14:textId="2BE11B33" w:rsidR="004E2A9E" w:rsidRDefault="00E91D72">
      <w:pPr>
        <w:pStyle w:val="TableofFigures"/>
        <w:tabs>
          <w:tab w:val="right" w:leader="dot" w:pos="9060"/>
        </w:tabs>
        <w:rPr>
          <w:rFonts w:asciiTheme="minorHAnsi" w:eastAsiaTheme="minorEastAsia" w:hAnsiTheme="minorHAnsi"/>
          <w:noProof/>
          <w:lang w:eastAsia="en-AU"/>
        </w:rPr>
      </w:pPr>
      <w:r>
        <w:fldChar w:fldCharType="begin"/>
      </w:r>
      <w:r>
        <w:instrText xml:space="preserve"> TOC \h \z \c "Figure" </w:instrText>
      </w:r>
      <w:r>
        <w:fldChar w:fldCharType="separate"/>
      </w:r>
      <w:hyperlink w:anchor="_Toc113262187" w:history="1">
        <w:r w:rsidR="004E2A9E" w:rsidRPr="00A733B9">
          <w:rPr>
            <w:rStyle w:val="Hyperlink"/>
            <w:noProof/>
          </w:rPr>
          <w:t>Figure 1 Charge and fee related activities and associated outputs</w:t>
        </w:r>
        <w:r w:rsidR="004E2A9E">
          <w:rPr>
            <w:noProof/>
            <w:webHidden/>
          </w:rPr>
          <w:tab/>
        </w:r>
        <w:r w:rsidR="004E2A9E">
          <w:rPr>
            <w:noProof/>
            <w:webHidden/>
          </w:rPr>
          <w:fldChar w:fldCharType="begin"/>
        </w:r>
        <w:r w:rsidR="004E2A9E">
          <w:rPr>
            <w:noProof/>
            <w:webHidden/>
          </w:rPr>
          <w:instrText xml:space="preserve"> PAGEREF _Toc113262187 \h </w:instrText>
        </w:r>
        <w:r w:rsidR="004E2A9E">
          <w:rPr>
            <w:noProof/>
            <w:webHidden/>
          </w:rPr>
        </w:r>
        <w:r w:rsidR="004E2A9E">
          <w:rPr>
            <w:noProof/>
            <w:webHidden/>
          </w:rPr>
          <w:fldChar w:fldCharType="separate"/>
        </w:r>
        <w:r w:rsidR="0033587A">
          <w:rPr>
            <w:noProof/>
            <w:webHidden/>
          </w:rPr>
          <w:t>8</w:t>
        </w:r>
        <w:r w:rsidR="004E2A9E">
          <w:rPr>
            <w:noProof/>
            <w:webHidden/>
          </w:rPr>
          <w:fldChar w:fldCharType="end"/>
        </w:r>
      </w:hyperlink>
    </w:p>
    <w:p w14:paraId="5002B6AC" w14:textId="447DFCE0" w:rsidR="004E2A9E" w:rsidRDefault="003C1A72">
      <w:pPr>
        <w:pStyle w:val="TableofFigures"/>
        <w:tabs>
          <w:tab w:val="right" w:leader="dot" w:pos="9060"/>
        </w:tabs>
        <w:rPr>
          <w:rFonts w:asciiTheme="minorHAnsi" w:eastAsiaTheme="minorEastAsia" w:hAnsiTheme="minorHAnsi"/>
          <w:noProof/>
          <w:lang w:eastAsia="en-AU"/>
        </w:rPr>
      </w:pPr>
      <w:hyperlink w:anchor="_Toc113262188" w:history="1">
        <w:r w:rsidR="004E2A9E" w:rsidRPr="00A733B9">
          <w:rPr>
            <w:rStyle w:val="Hyperlink"/>
            <w:noProof/>
          </w:rPr>
          <w:t>Figure 2 Activity based cost model</w:t>
        </w:r>
        <w:r w:rsidR="004E2A9E">
          <w:rPr>
            <w:noProof/>
            <w:webHidden/>
          </w:rPr>
          <w:tab/>
        </w:r>
        <w:r w:rsidR="004E2A9E">
          <w:rPr>
            <w:noProof/>
            <w:webHidden/>
          </w:rPr>
          <w:fldChar w:fldCharType="begin"/>
        </w:r>
        <w:r w:rsidR="004E2A9E">
          <w:rPr>
            <w:noProof/>
            <w:webHidden/>
          </w:rPr>
          <w:instrText xml:space="preserve"> PAGEREF _Toc113262188 \h </w:instrText>
        </w:r>
        <w:r w:rsidR="004E2A9E">
          <w:rPr>
            <w:noProof/>
            <w:webHidden/>
          </w:rPr>
        </w:r>
        <w:r w:rsidR="004E2A9E">
          <w:rPr>
            <w:noProof/>
            <w:webHidden/>
          </w:rPr>
          <w:fldChar w:fldCharType="separate"/>
        </w:r>
        <w:r w:rsidR="0033587A">
          <w:rPr>
            <w:noProof/>
            <w:webHidden/>
          </w:rPr>
          <w:t>8</w:t>
        </w:r>
        <w:r w:rsidR="004E2A9E">
          <w:rPr>
            <w:noProof/>
            <w:webHidden/>
          </w:rPr>
          <w:fldChar w:fldCharType="end"/>
        </w:r>
      </w:hyperlink>
    </w:p>
    <w:p w14:paraId="0C166D6C" w14:textId="1326BD21" w:rsidR="00764D6A" w:rsidRDefault="00E91D72">
      <w:r>
        <w:fldChar w:fldCharType="end"/>
      </w:r>
    </w:p>
    <w:p w14:paraId="7183BC18" w14:textId="4E211D33" w:rsidR="00764D6A" w:rsidRDefault="00E91D72">
      <w:pPr>
        <w:pStyle w:val="Heading2"/>
        <w:numPr>
          <w:ilvl w:val="0"/>
          <w:numId w:val="0"/>
        </w:numPr>
        <w:ind w:left="709" w:hanging="709"/>
      </w:pPr>
      <w:bookmarkStart w:id="1" w:name="_Toc430782149"/>
      <w:bookmarkStart w:id="2" w:name="_Toc119313378"/>
      <w:r>
        <w:lastRenderedPageBreak/>
        <w:t>Summary</w:t>
      </w:r>
      <w:bookmarkEnd w:id="1"/>
      <w:bookmarkEnd w:id="2"/>
    </w:p>
    <w:p w14:paraId="0FCC0859" w14:textId="1891693B" w:rsidR="003C6D62" w:rsidRDefault="003C6D62" w:rsidP="003C6D62">
      <w:r>
        <w:t xml:space="preserve">This cost recovery implementation statement (CRIS) provides information on the financial performance of the biosecurity arrangement and describes how the Department of Agriculture, </w:t>
      </w:r>
      <w:r w:rsidR="002F2374">
        <w:t>Fisheries and Forestry</w:t>
      </w:r>
      <w:r>
        <w:t xml:space="preserve"> will:</w:t>
      </w:r>
    </w:p>
    <w:p w14:paraId="2168F9AD" w14:textId="21F1E627" w:rsidR="003C6D62" w:rsidRDefault="003C6D62" w:rsidP="003C6D62">
      <w:pPr>
        <w:pStyle w:val="ListBullet"/>
      </w:pPr>
      <w:r>
        <w:t>recover the cost of providing biosecurity regulatory functions (including imported food)</w:t>
      </w:r>
    </w:p>
    <w:p w14:paraId="18DB8228" w14:textId="6A8F975B" w:rsidR="00075AA9" w:rsidRPr="006E0AB5" w:rsidRDefault="003C6D62" w:rsidP="0037372D">
      <w:pPr>
        <w:pStyle w:val="ListBullet"/>
      </w:pPr>
      <w:r w:rsidRPr="006E0AB5">
        <w:t xml:space="preserve">implement the government’s </w:t>
      </w:r>
      <w:r w:rsidR="006A3D0F" w:rsidRPr="006E0AB5">
        <w:t>2021</w:t>
      </w:r>
      <w:r w:rsidR="00827465" w:rsidRPr="006E0AB5">
        <w:t>–</w:t>
      </w:r>
      <w:r w:rsidR="006A3D0F" w:rsidRPr="006E0AB5">
        <w:t xml:space="preserve">22 Budget </w:t>
      </w:r>
      <w:r w:rsidRPr="006E0AB5">
        <w:t>decision to invest $</w:t>
      </w:r>
      <w:r w:rsidR="001F6DBC" w:rsidRPr="006E0AB5">
        <w:t>96.</w:t>
      </w:r>
      <w:r w:rsidR="0037372D" w:rsidRPr="006E0AB5">
        <w:t>9</w:t>
      </w:r>
      <w:r w:rsidR="00790A4C" w:rsidRPr="006E0AB5">
        <w:t> </w:t>
      </w:r>
      <w:r w:rsidR="0037372D" w:rsidRPr="006E0AB5">
        <w:t>million</w:t>
      </w:r>
      <w:r w:rsidR="003A1F01" w:rsidRPr="006E0AB5">
        <w:t xml:space="preserve"> </w:t>
      </w:r>
      <w:r w:rsidRPr="006E0AB5">
        <w:t>(over</w:t>
      </w:r>
      <w:r w:rsidR="003A1F01" w:rsidRPr="006E0AB5">
        <w:t> </w:t>
      </w:r>
      <w:r w:rsidRPr="006E0AB5">
        <w:t>4</w:t>
      </w:r>
      <w:r w:rsidR="003A1F01" w:rsidRPr="006E0AB5">
        <w:t> </w:t>
      </w:r>
      <w:r w:rsidRPr="006E0AB5">
        <w:t>years) to manage the r</w:t>
      </w:r>
      <w:r w:rsidR="002B20D1" w:rsidRPr="006E0AB5">
        <w:t xml:space="preserve">isk of hitchhiker pests and partially </w:t>
      </w:r>
      <w:r w:rsidRPr="006E0AB5">
        <w:t>recover</w:t>
      </w:r>
      <w:r w:rsidR="002B20D1" w:rsidRPr="006E0AB5">
        <w:t xml:space="preserve"> these</w:t>
      </w:r>
      <w:r w:rsidRPr="006E0AB5">
        <w:t xml:space="preserve"> cost</w:t>
      </w:r>
      <w:r w:rsidR="002B20D1" w:rsidRPr="006E0AB5">
        <w:t>s</w:t>
      </w:r>
      <w:r w:rsidRPr="006E0AB5">
        <w:t xml:space="preserve"> through </w:t>
      </w:r>
      <w:r w:rsidR="00042B49" w:rsidRPr="006E0AB5">
        <w:t>an</w:t>
      </w:r>
      <w:r w:rsidR="00B338B1" w:rsidRPr="006E0AB5">
        <w:t xml:space="preserve"> increase </w:t>
      </w:r>
      <w:r w:rsidR="003E5FDF" w:rsidRPr="006E0AB5">
        <w:t>in</w:t>
      </w:r>
      <w:r w:rsidR="00042B49" w:rsidRPr="006E0AB5">
        <w:t xml:space="preserve"> one </w:t>
      </w:r>
      <w:r w:rsidR="00B338B1" w:rsidRPr="006E0AB5">
        <w:t>regulatory</w:t>
      </w:r>
      <w:r w:rsidRPr="006E0AB5">
        <w:t xml:space="preserve"> charge</w:t>
      </w:r>
      <w:r w:rsidR="00042B49" w:rsidRPr="006E0AB5">
        <w:t xml:space="preserve">, </w:t>
      </w:r>
      <w:r w:rsidR="00E57598" w:rsidRPr="006E0AB5">
        <w:t xml:space="preserve">commencing </w:t>
      </w:r>
      <w:bookmarkStart w:id="3" w:name="_Hlk119052237"/>
      <w:r w:rsidR="00CA0E35" w:rsidRPr="00CA0E35">
        <w:t>16</w:t>
      </w:r>
      <w:r w:rsidR="001849F6" w:rsidRPr="00CA0E35">
        <w:t xml:space="preserve"> January 2023</w:t>
      </w:r>
      <w:bookmarkEnd w:id="3"/>
    </w:p>
    <w:p w14:paraId="40CF1D2E" w14:textId="1960BD27" w:rsidR="00D063B3" w:rsidRPr="006E0AB5" w:rsidRDefault="002F2374" w:rsidP="00827465">
      <w:pPr>
        <w:pStyle w:val="ListBullet"/>
      </w:pPr>
      <w:r w:rsidRPr="006E0AB5">
        <w:t>i</w:t>
      </w:r>
      <w:r w:rsidR="003E5FDF" w:rsidRPr="006E0AB5">
        <w:t xml:space="preserve">mplementation will result in a $9 increase in the Sea </w:t>
      </w:r>
      <w:r w:rsidR="00C84D14" w:rsidRPr="006E0AB5">
        <w:t xml:space="preserve">- </w:t>
      </w:r>
      <w:r w:rsidR="003E5FDF" w:rsidRPr="006E0AB5">
        <w:t>Full Import Declaration</w:t>
      </w:r>
      <w:r w:rsidR="00C84D14" w:rsidRPr="006E0AB5">
        <w:t xml:space="preserve"> (FID)</w:t>
      </w:r>
      <w:r w:rsidR="005E6219" w:rsidRPr="006E0AB5">
        <w:t xml:space="preserve"> regulatory charge</w:t>
      </w:r>
      <w:r w:rsidR="003E5FDF" w:rsidRPr="006E0AB5">
        <w:t>.</w:t>
      </w:r>
    </w:p>
    <w:p w14:paraId="51520A65" w14:textId="782404DD" w:rsidR="00075AA9" w:rsidRDefault="00075AA9"/>
    <w:p w14:paraId="65D3E9DD" w14:textId="3D6B1D5B" w:rsidR="00075AA9" w:rsidRDefault="00075AA9">
      <w:pPr>
        <w:sectPr w:rsidR="00075AA9">
          <w:headerReference w:type="default" r:id="rId19"/>
          <w:footerReference w:type="default" r:id="rId20"/>
          <w:headerReference w:type="first" r:id="rId21"/>
          <w:pgSz w:w="11906" w:h="16838"/>
          <w:pgMar w:top="1418" w:right="1418" w:bottom="1418" w:left="1418" w:header="567" w:footer="283" w:gutter="0"/>
          <w:pgNumType w:fmt="lowerRoman" w:start="1"/>
          <w:cols w:space="708"/>
          <w:titlePg/>
          <w:docGrid w:linePitch="360"/>
        </w:sectPr>
      </w:pPr>
    </w:p>
    <w:p w14:paraId="0DBFBAF3" w14:textId="53DA2E67" w:rsidR="00764D6A" w:rsidRPr="00075AA9" w:rsidRDefault="00E91D72" w:rsidP="00075AA9">
      <w:pPr>
        <w:pStyle w:val="Heading2"/>
      </w:pPr>
      <w:bookmarkStart w:id="4" w:name="_Toc430782150"/>
      <w:bookmarkStart w:id="5" w:name="_Toc119313379"/>
      <w:r w:rsidRPr="00075AA9">
        <w:lastRenderedPageBreak/>
        <w:t>Introduction</w:t>
      </w:r>
      <w:bookmarkEnd w:id="4"/>
      <w:bookmarkEnd w:id="5"/>
    </w:p>
    <w:p w14:paraId="69964187" w14:textId="07C0EEFB" w:rsidR="00075AA9" w:rsidRDefault="00075AA9" w:rsidP="00075AA9">
      <w:pPr>
        <w:pStyle w:val="Heading3"/>
        <w:rPr>
          <w:lang w:eastAsia="ja-JP"/>
        </w:rPr>
      </w:pPr>
      <w:bookmarkStart w:id="6" w:name="_Toc119313380"/>
      <w:r>
        <w:rPr>
          <w:lang w:eastAsia="ja-JP"/>
        </w:rPr>
        <w:t>Purpose of the cost recovery implementation statement</w:t>
      </w:r>
      <w:bookmarkEnd w:id="6"/>
    </w:p>
    <w:p w14:paraId="6670EB74" w14:textId="2644CE31" w:rsidR="003C6D62" w:rsidRDefault="003C6D62" w:rsidP="003C6D62">
      <w:pPr>
        <w:rPr>
          <w:lang w:eastAsia="ja-JP"/>
        </w:rPr>
      </w:pPr>
      <w:r>
        <w:rPr>
          <w:lang w:eastAsia="ja-JP"/>
        </w:rPr>
        <w:t xml:space="preserve">This cost recovery implementation statement (CRIS) provides information on how the Department of Agriculture, </w:t>
      </w:r>
      <w:r w:rsidR="002F2374">
        <w:rPr>
          <w:lang w:eastAsia="ja-JP"/>
        </w:rPr>
        <w:t>Fisheries and Forestry</w:t>
      </w:r>
      <w:r>
        <w:rPr>
          <w:lang w:eastAsia="ja-JP"/>
        </w:rPr>
        <w:t xml:space="preserve"> implements regulatory charging arrangements for biosecurity and imported food regulatory activities.</w:t>
      </w:r>
    </w:p>
    <w:p w14:paraId="1505AE77" w14:textId="2CFEC0B2" w:rsidR="003C6D62" w:rsidRPr="009450AB" w:rsidRDefault="003C6D62" w:rsidP="003C6D62">
      <w:pPr>
        <w:rPr>
          <w:lang w:eastAsia="ja-JP"/>
        </w:rPr>
      </w:pPr>
      <w:r w:rsidRPr="009450AB">
        <w:rPr>
          <w:lang w:eastAsia="ja-JP"/>
        </w:rPr>
        <w:t xml:space="preserve">It reports financial and non-financial performance information for these activities and contains financial forecasts from </w:t>
      </w:r>
      <w:r w:rsidR="00246FCE" w:rsidRPr="009450AB">
        <w:rPr>
          <w:lang w:eastAsia="ja-JP"/>
        </w:rPr>
        <w:t>2022</w:t>
      </w:r>
      <w:r w:rsidRPr="009450AB">
        <w:rPr>
          <w:lang w:eastAsia="ja-JP"/>
        </w:rPr>
        <w:t>–</w:t>
      </w:r>
      <w:r w:rsidR="00246FCE" w:rsidRPr="009450AB">
        <w:rPr>
          <w:lang w:eastAsia="ja-JP"/>
        </w:rPr>
        <w:t xml:space="preserve">23 </w:t>
      </w:r>
      <w:r w:rsidRPr="009450AB">
        <w:rPr>
          <w:lang w:eastAsia="ja-JP"/>
        </w:rPr>
        <w:t xml:space="preserve">to </w:t>
      </w:r>
      <w:r w:rsidR="00246FCE" w:rsidRPr="009450AB">
        <w:rPr>
          <w:lang w:eastAsia="ja-JP"/>
        </w:rPr>
        <w:t>2024</w:t>
      </w:r>
      <w:r w:rsidRPr="009450AB">
        <w:rPr>
          <w:lang w:eastAsia="ja-JP"/>
        </w:rPr>
        <w:t>–</w:t>
      </w:r>
      <w:r w:rsidR="00246FCE" w:rsidRPr="009450AB">
        <w:rPr>
          <w:lang w:eastAsia="ja-JP"/>
        </w:rPr>
        <w:t>25</w:t>
      </w:r>
      <w:r w:rsidRPr="009450AB">
        <w:rPr>
          <w:lang w:eastAsia="ja-JP"/>
        </w:rPr>
        <w:t>.</w:t>
      </w:r>
    </w:p>
    <w:p w14:paraId="0E01E0B7" w14:textId="34A74A1F" w:rsidR="0052731F" w:rsidRPr="00F44465" w:rsidRDefault="003C6D62" w:rsidP="0052731F">
      <w:pPr>
        <w:rPr>
          <w:lang w:eastAsia="ja-JP"/>
        </w:rPr>
      </w:pPr>
      <w:r w:rsidRPr="00F44465">
        <w:rPr>
          <w:lang w:eastAsia="ja-JP"/>
        </w:rPr>
        <w:t>Th</w:t>
      </w:r>
      <w:r w:rsidR="001A1886" w:rsidRPr="00F44465">
        <w:rPr>
          <w:lang w:eastAsia="ja-JP"/>
        </w:rPr>
        <w:t>e</w:t>
      </w:r>
      <w:r w:rsidR="0052731F" w:rsidRPr="00F44465">
        <w:rPr>
          <w:lang w:eastAsia="ja-JP"/>
        </w:rPr>
        <w:t xml:space="preserve"> </w:t>
      </w:r>
      <w:r w:rsidR="0001680C" w:rsidRPr="00F44465">
        <w:rPr>
          <w:lang w:eastAsia="ja-JP"/>
        </w:rPr>
        <w:t xml:space="preserve">2021–22 </w:t>
      </w:r>
      <w:r w:rsidR="0052731F" w:rsidRPr="00F44465">
        <w:rPr>
          <w:lang w:eastAsia="ja-JP"/>
        </w:rPr>
        <w:t>CRIS</w:t>
      </w:r>
      <w:r w:rsidRPr="00F44465">
        <w:rPr>
          <w:lang w:eastAsia="ja-JP"/>
        </w:rPr>
        <w:t xml:space="preserve"> </w:t>
      </w:r>
      <w:r w:rsidR="00B338B1" w:rsidRPr="00F44465">
        <w:rPr>
          <w:lang w:eastAsia="ja-JP"/>
        </w:rPr>
        <w:t xml:space="preserve">advised </w:t>
      </w:r>
      <w:r w:rsidRPr="00F44465">
        <w:rPr>
          <w:lang w:eastAsia="ja-JP"/>
        </w:rPr>
        <w:t xml:space="preserve">industry of the Australian Government’s 2021–22 Budget </w:t>
      </w:r>
      <w:r w:rsidR="00870EDD" w:rsidRPr="00F44465">
        <w:rPr>
          <w:lang w:eastAsia="ja-JP"/>
        </w:rPr>
        <w:t xml:space="preserve">and </w:t>
      </w:r>
      <w:r w:rsidR="00CD610A" w:rsidRPr="00F44465">
        <w:rPr>
          <w:lang w:eastAsia="ja-JP"/>
        </w:rPr>
        <w:t xml:space="preserve">mid-year </w:t>
      </w:r>
      <w:r w:rsidR="004E2A9E">
        <w:rPr>
          <w:lang w:eastAsia="ja-JP"/>
        </w:rPr>
        <w:t>b</w:t>
      </w:r>
      <w:r w:rsidR="00CD610A" w:rsidRPr="00F44465">
        <w:rPr>
          <w:lang w:eastAsia="ja-JP"/>
        </w:rPr>
        <w:t>udget</w:t>
      </w:r>
      <w:r w:rsidR="00870EDD" w:rsidRPr="00F44465">
        <w:rPr>
          <w:lang w:eastAsia="ja-JP"/>
        </w:rPr>
        <w:t xml:space="preserve"> </w:t>
      </w:r>
      <w:r w:rsidRPr="00F44465">
        <w:rPr>
          <w:lang w:eastAsia="ja-JP"/>
        </w:rPr>
        <w:t>decision</w:t>
      </w:r>
      <w:r w:rsidR="00870EDD" w:rsidRPr="00F44465">
        <w:rPr>
          <w:lang w:eastAsia="ja-JP"/>
        </w:rPr>
        <w:t>s</w:t>
      </w:r>
      <w:r w:rsidRPr="00F44465">
        <w:rPr>
          <w:lang w:eastAsia="ja-JP"/>
        </w:rPr>
        <w:t xml:space="preserve"> to provide over $</w:t>
      </w:r>
      <w:r w:rsidR="00870EDD" w:rsidRPr="00F44465">
        <w:rPr>
          <w:lang w:eastAsia="ja-JP"/>
        </w:rPr>
        <w:t>5</w:t>
      </w:r>
      <w:r w:rsidRPr="00F44465">
        <w:rPr>
          <w:lang w:eastAsia="ja-JP"/>
        </w:rPr>
        <w:t xml:space="preserve">00 million in new funding to expand its investment in safeguarding Australia from exotic pests and diseases. This </w:t>
      </w:r>
      <w:r w:rsidR="00B338B1" w:rsidRPr="00F44465">
        <w:rPr>
          <w:lang w:eastAsia="ja-JP"/>
        </w:rPr>
        <w:t xml:space="preserve">included </w:t>
      </w:r>
      <w:r w:rsidRPr="00F44465">
        <w:rPr>
          <w:lang w:eastAsia="ja-JP"/>
        </w:rPr>
        <w:t>$</w:t>
      </w:r>
      <w:r w:rsidR="001F6DBC" w:rsidRPr="00F44465">
        <w:rPr>
          <w:lang w:eastAsia="ja-JP"/>
        </w:rPr>
        <w:t>96.9</w:t>
      </w:r>
      <w:r w:rsidRPr="00F44465">
        <w:rPr>
          <w:lang w:eastAsia="ja-JP"/>
        </w:rPr>
        <w:t xml:space="preserve"> million (over 4 years) to manage the risk of hitchhiker pests</w:t>
      </w:r>
      <w:r w:rsidR="0052731F" w:rsidRPr="00F44465">
        <w:rPr>
          <w:lang w:eastAsia="ja-JP"/>
        </w:rPr>
        <w:t>, with partial recovery of costs through regulatory charge</w:t>
      </w:r>
      <w:r w:rsidR="00B338B1" w:rsidRPr="00F44465">
        <w:rPr>
          <w:lang w:eastAsia="ja-JP"/>
        </w:rPr>
        <w:t>s</w:t>
      </w:r>
      <w:r w:rsidR="0052731F" w:rsidRPr="00F44465">
        <w:rPr>
          <w:lang w:eastAsia="ja-JP"/>
        </w:rPr>
        <w:t>.</w:t>
      </w:r>
    </w:p>
    <w:p w14:paraId="744CC703" w14:textId="4032002B" w:rsidR="00145A5F" w:rsidRPr="00F44465" w:rsidRDefault="0052731F" w:rsidP="00B50935">
      <w:pPr>
        <w:rPr>
          <w:lang w:eastAsia="ja-JP"/>
        </w:rPr>
      </w:pPr>
      <w:r w:rsidRPr="00F44465">
        <w:rPr>
          <w:lang w:eastAsia="ja-JP"/>
        </w:rPr>
        <w:t>Th</w:t>
      </w:r>
      <w:r w:rsidR="001A1886" w:rsidRPr="00F44465">
        <w:rPr>
          <w:lang w:eastAsia="ja-JP"/>
        </w:rPr>
        <w:t>is</w:t>
      </w:r>
      <w:r w:rsidR="001A7B83" w:rsidRPr="00F44465">
        <w:rPr>
          <w:lang w:eastAsia="ja-JP"/>
        </w:rPr>
        <w:t xml:space="preserve"> </w:t>
      </w:r>
      <w:r w:rsidRPr="00F44465">
        <w:rPr>
          <w:lang w:eastAsia="ja-JP"/>
        </w:rPr>
        <w:t xml:space="preserve">CRIS </w:t>
      </w:r>
      <w:r w:rsidR="00DC7BB6" w:rsidRPr="00F44465">
        <w:rPr>
          <w:lang w:eastAsia="ja-JP"/>
        </w:rPr>
        <w:t>sets out</w:t>
      </w:r>
      <w:r w:rsidR="00145A5F" w:rsidRPr="00F44465">
        <w:rPr>
          <w:lang w:eastAsia="ja-JP"/>
        </w:rPr>
        <w:t xml:space="preserve"> implementation of the government’s </w:t>
      </w:r>
      <w:r w:rsidR="0001680C" w:rsidRPr="00F44465">
        <w:rPr>
          <w:lang w:eastAsia="ja-JP"/>
        </w:rPr>
        <w:t xml:space="preserve">2021–22 </w:t>
      </w:r>
      <w:r w:rsidR="00145A5F" w:rsidRPr="00F44465">
        <w:rPr>
          <w:lang w:eastAsia="ja-JP"/>
        </w:rPr>
        <w:t xml:space="preserve">Budget decision and recovery of ongoing cost, through an increase to the Full Import Declaration – Sea regulatory charge </w:t>
      </w:r>
      <w:r w:rsidR="00501A0B" w:rsidRPr="00F44465">
        <w:rPr>
          <w:lang w:eastAsia="ja-JP"/>
        </w:rPr>
        <w:t xml:space="preserve">commencing </w:t>
      </w:r>
      <w:r w:rsidR="00CA0E35" w:rsidRPr="00CA0E35">
        <w:rPr>
          <w:lang w:eastAsia="ja-JP"/>
        </w:rPr>
        <w:t>16</w:t>
      </w:r>
      <w:r w:rsidR="001849F6" w:rsidRPr="00CA0E35">
        <w:rPr>
          <w:lang w:eastAsia="ja-JP"/>
        </w:rPr>
        <w:t xml:space="preserve"> January 2023</w:t>
      </w:r>
      <w:r w:rsidR="00145A5F" w:rsidRPr="00CA0E35">
        <w:rPr>
          <w:lang w:eastAsia="ja-JP"/>
        </w:rPr>
        <w:t>.</w:t>
      </w:r>
    </w:p>
    <w:p w14:paraId="026F1686" w14:textId="2ABADF48" w:rsidR="003C6D62" w:rsidRPr="00CF432E" w:rsidRDefault="003C6D62" w:rsidP="003C6D62">
      <w:pPr>
        <w:rPr>
          <w:lang w:eastAsia="ja-JP"/>
        </w:rPr>
      </w:pPr>
      <w:r w:rsidRPr="00F44465">
        <w:rPr>
          <w:lang w:eastAsia="ja-JP"/>
        </w:rPr>
        <w:t xml:space="preserve">A full review of </w:t>
      </w:r>
      <w:r w:rsidR="00C84D14" w:rsidRPr="00F44465">
        <w:rPr>
          <w:lang w:eastAsia="ja-JP"/>
        </w:rPr>
        <w:t xml:space="preserve">cost recovered </w:t>
      </w:r>
      <w:r w:rsidRPr="00F44465">
        <w:rPr>
          <w:lang w:eastAsia="ja-JP"/>
        </w:rPr>
        <w:t xml:space="preserve">regulatory charging for biosecurity </w:t>
      </w:r>
      <w:r w:rsidR="00E57598" w:rsidRPr="00F44465">
        <w:rPr>
          <w:lang w:eastAsia="ja-JP"/>
        </w:rPr>
        <w:t>activities commenced</w:t>
      </w:r>
      <w:r w:rsidR="00B3687B" w:rsidRPr="00F44465">
        <w:rPr>
          <w:lang w:eastAsia="ja-JP"/>
        </w:rPr>
        <w:t xml:space="preserve"> in 2021</w:t>
      </w:r>
      <w:r w:rsidR="00501A0B" w:rsidRPr="00F44465">
        <w:rPr>
          <w:lang w:eastAsia="ja-JP"/>
        </w:rPr>
        <w:t>, consistent with current government policy authority</w:t>
      </w:r>
      <w:r w:rsidR="0094725E" w:rsidRPr="00F44465">
        <w:rPr>
          <w:lang w:eastAsia="ja-JP"/>
        </w:rPr>
        <w:t xml:space="preserve">. </w:t>
      </w:r>
      <w:r w:rsidR="00B3687B" w:rsidRPr="00F44465">
        <w:rPr>
          <w:lang w:eastAsia="ja-JP"/>
        </w:rPr>
        <w:t>Th</w:t>
      </w:r>
      <w:r w:rsidR="009450AB" w:rsidRPr="00F44465">
        <w:rPr>
          <w:lang w:eastAsia="ja-JP"/>
        </w:rPr>
        <w:t>e</w:t>
      </w:r>
      <w:r w:rsidR="00B3687B" w:rsidRPr="00F44465">
        <w:rPr>
          <w:lang w:eastAsia="ja-JP"/>
        </w:rPr>
        <w:t xml:space="preserve"> review</w:t>
      </w:r>
      <w:r w:rsidR="0052731F" w:rsidRPr="00F44465">
        <w:rPr>
          <w:lang w:eastAsia="ja-JP"/>
        </w:rPr>
        <w:t xml:space="preserve"> </w:t>
      </w:r>
      <w:r w:rsidR="00B50935" w:rsidRPr="00F44465">
        <w:rPr>
          <w:lang w:eastAsia="ja-JP"/>
        </w:rPr>
        <w:t xml:space="preserve">will </w:t>
      </w:r>
      <w:r w:rsidR="0052731F" w:rsidRPr="00F44465">
        <w:rPr>
          <w:lang w:eastAsia="ja-JP"/>
        </w:rPr>
        <w:t>include extensive stakeholder consultation</w:t>
      </w:r>
      <w:r w:rsidR="00501A0B" w:rsidRPr="00F44465">
        <w:rPr>
          <w:lang w:eastAsia="ja-JP"/>
        </w:rPr>
        <w:t xml:space="preserve"> on regulatory charging</w:t>
      </w:r>
      <w:r w:rsidR="0094725E" w:rsidRPr="00F44465">
        <w:rPr>
          <w:lang w:eastAsia="ja-JP"/>
        </w:rPr>
        <w:t xml:space="preserve">, </w:t>
      </w:r>
      <w:r w:rsidR="00501A0B" w:rsidRPr="00F44465">
        <w:rPr>
          <w:lang w:eastAsia="ja-JP"/>
        </w:rPr>
        <w:t xml:space="preserve">with </w:t>
      </w:r>
      <w:r w:rsidR="00EC3100" w:rsidRPr="00F44465">
        <w:rPr>
          <w:lang w:eastAsia="ja-JP"/>
        </w:rPr>
        <w:t>changes and subsequent CRIS</w:t>
      </w:r>
      <w:r w:rsidR="0094725E" w:rsidRPr="00F44465">
        <w:rPr>
          <w:lang w:eastAsia="ja-JP"/>
        </w:rPr>
        <w:t xml:space="preserve"> </w:t>
      </w:r>
      <w:r w:rsidR="00EC3100" w:rsidRPr="00F44465">
        <w:rPr>
          <w:lang w:eastAsia="ja-JP"/>
        </w:rPr>
        <w:t xml:space="preserve">updates expected to be implemented </w:t>
      </w:r>
      <w:r w:rsidR="0043674A" w:rsidRPr="00F44465">
        <w:rPr>
          <w:lang w:eastAsia="ja-JP"/>
        </w:rPr>
        <w:t>in</w:t>
      </w:r>
      <w:r w:rsidR="00246FCE" w:rsidRPr="00F44465">
        <w:rPr>
          <w:lang w:eastAsia="ja-JP"/>
        </w:rPr>
        <w:t xml:space="preserve"> 20</w:t>
      </w:r>
      <w:r w:rsidR="007B7F3A" w:rsidRPr="00F44465">
        <w:rPr>
          <w:lang w:eastAsia="ja-JP"/>
        </w:rPr>
        <w:t>23</w:t>
      </w:r>
      <w:r w:rsidRPr="00F44465">
        <w:rPr>
          <w:lang w:eastAsia="ja-JP"/>
        </w:rPr>
        <w:t>.</w:t>
      </w:r>
    </w:p>
    <w:p w14:paraId="28491DF4" w14:textId="26B1A3A0" w:rsidR="00075AA9" w:rsidRDefault="003C6D62" w:rsidP="003C6D62">
      <w:pPr>
        <w:rPr>
          <w:lang w:eastAsia="ja-JP"/>
        </w:rPr>
      </w:pPr>
      <w:r>
        <w:rPr>
          <w:lang w:eastAsia="ja-JP"/>
        </w:rPr>
        <w:t xml:space="preserve">This CRIS should be read in conjunction with </w:t>
      </w:r>
      <w:r w:rsidR="002B32A7">
        <w:rPr>
          <w:lang w:eastAsia="ja-JP"/>
        </w:rPr>
        <w:t xml:space="preserve">the </w:t>
      </w:r>
      <w:hyperlink r:id="rId22" w:history="1">
        <w:r w:rsidR="00B3687B" w:rsidRPr="00B3687B">
          <w:rPr>
            <w:rStyle w:val="Hyperlink"/>
            <w:lang w:eastAsia="ja-JP"/>
          </w:rPr>
          <w:t>Cost Recovery Implementation Statement Biosecurity 2021</w:t>
        </w:r>
        <w:r w:rsidR="003A1F01">
          <w:rPr>
            <w:rStyle w:val="Hyperlink"/>
            <w:lang w:eastAsia="ja-JP"/>
          </w:rPr>
          <w:t>–</w:t>
        </w:r>
        <w:r w:rsidR="00B3687B" w:rsidRPr="00B3687B">
          <w:rPr>
            <w:rStyle w:val="Hyperlink"/>
            <w:lang w:eastAsia="ja-JP"/>
          </w:rPr>
          <w:t>22</w:t>
        </w:r>
      </w:hyperlink>
      <w:r w:rsidR="00B3687B">
        <w:rPr>
          <w:lang w:eastAsia="ja-JP"/>
        </w:rPr>
        <w:t xml:space="preserve">, and the </w:t>
      </w:r>
      <w:hyperlink r:id="rId23" w:history="1">
        <w:r w:rsidRPr="000B2120">
          <w:rPr>
            <w:rStyle w:val="Hyperlink"/>
            <w:lang w:eastAsia="ja-JP"/>
          </w:rPr>
          <w:t>Cost Recovery Implementation Statement Biosecurity 2019–20</w:t>
        </w:r>
      </w:hyperlink>
      <w:r>
        <w:rPr>
          <w:lang w:eastAsia="ja-JP"/>
        </w:rPr>
        <w:t xml:space="preserve"> </w:t>
      </w:r>
      <w:r w:rsidR="002441E4">
        <w:rPr>
          <w:lang w:eastAsia="ja-JP"/>
        </w:rPr>
        <w:t>which provide historical information on the biosecurity arrangement. T</w:t>
      </w:r>
      <w:r>
        <w:rPr>
          <w:lang w:eastAsia="ja-JP"/>
        </w:rPr>
        <w:t xml:space="preserve">he </w:t>
      </w:r>
      <w:hyperlink r:id="rId24" w:history="1">
        <w:r w:rsidR="00EC3100" w:rsidRPr="00EC3100">
          <w:rPr>
            <w:rStyle w:val="Hyperlink"/>
            <w:lang w:eastAsia="ja-JP"/>
          </w:rPr>
          <w:t>Australian Government Charging Framework</w:t>
        </w:r>
      </w:hyperlink>
      <w:r w:rsidR="00EC3100">
        <w:rPr>
          <w:lang w:eastAsia="ja-JP"/>
        </w:rPr>
        <w:t xml:space="preserve"> </w:t>
      </w:r>
      <w:r w:rsidR="002441E4">
        <w:rPr>
          <w:lang w:eastAsia="ja-JP"/>
        </w:rPr>
        <w:t>provides the policy basis for cost recovery.</w:t>
      </w:r>
    </w:p>
    <w:p w14:paraId="180EEBEA" w14:textId="40A947A1" w:rsidR="00075AA9" w:rsidRDefault="00075AA9" w:rsidP="00807763">
      <w:pPr>
        <w:pStyle w:val="Heading3"/>
        <w:rPr>
          <w:lang w:eastAsia="ja-JP"/>
        </w:rPr>
      </w:pPr>
      <w:bookmarkStart w:id="7" w:name="_Toc119313381"/>
      <w:r>
        <w:rPr>
          <w:lang w:eastAsia="ja-JP"/>
        </w:rPr>
        <w:t>Description of the regulatory activity</w:t>
      </w:r>
      <w:bookmarkEnd w:id="7"/>
    </w:p>
    <w:p w14:paraId="0F7D346C" w14:textId="03A35E1B" w:rsidR="00075AA9" w:rsidRDefault="00075AA9" w:rsidP="00075AA9">
      <w:pPr>
        <w:rPr>
          <w:lang w:eastAsia="ja-JP"/>
        </w:rPr>
      </w:pPr>
      <w:r>
        <w:rPr>
          <w:lang w:eastAsia="ja-JP"/>
        </w:rPr>
        <w:t xml:space="preserve">Biosecurity activity is regulated in accordance with the biosecurity legislative framework (outlined in </w:t>
      </w:r>
      <w:hyperlink w:anchor="_Statutory_authority_to" w:history="1">
        <w:r w:rsidRPr="0098425B">
          <w:rPr>
            <w:rStyle w:val="Hyperlink"/>
            <w:lang w:eastAsia="ja-JP"/>
          </w:rPr>
          <w:t>section 2.2</w:t>
        </w:r>
      </w:hyperlink>
      <w:r>
        <w:rPr>
          <w:lang w:eastAsia="ja-JP"/>
        </w:rPr>
        <w:t xml:space="preserve">). We undertake regulatory activities to assess and manage the biosecurity risks arising from people, </w:t>
      </w:r>
      <w:r w:rsidR="008061C7">
        <w:rPr>
          <w:lang w:eastAsia="ja-JP"/>
        </w:rPr>
        <w:t>goods,</w:t>
      </w:r>
      <w:r>
        <w:rPr>
          <w:lang w:eastAsia="ja-JP"/>
        </w:rPr>
        <w:t xml:space="preserve"> and </w:t>
      </w:r>
      <w:r w:rsidR="006F1618">
        <w:rPr>
          <w:lang w:eastAsia="ja-JP"/>
        </w:rPr>
        <w:t xml:space="preserve">conveyances </w:t>
      </w:r>
      <w:r>
        <w:rPr>
          <w:lang w:eastAsia="ja-JP"/>
        </w:rPr>
        <w:t>(</w:t>
      </w:r>
      <w:r w:rsidR="006F1618">
        <w:rPr>
          <w:lang w:eastAsia="ja-JP"/>
        </w:rPr>
        <w:t xml:space="preserve">vessel </w:t>
      </w:r>
      <w:r>
        <w:rPr>
          <w:lang w:eastAsia="ja-JP"/>
        </w:rPr>
        <w:t>and aircraft) entering Australia. These activities also include assessing compliance of imported food with relevant food standards and public health and safety requirements.</w:t>
      </w:r>
    </w:p>
    <w:p w14:paraId="6AD41D93" w14:textId="2D5211A1" w:rsidR="00767BDD" w:rsidRDefault="003C6D62" w:rsidP="003C6D62">
      <w:pPr>
        <w:rPr>
          <w:lang w:eastAsia="ja-JP"/>
        </w:rPr>
      </w:pPr>
      <w:r w:rsidRPr="003C6D62">
        <w:rPr>
          <w:lang w:eastAsia="ja-JP"/>
        </w:rPr>
        <w:t xml:space="preserve">These essential activities, which occur onshore, offshore and at the border, are a major part of our day-to-day business. During </w:t>
      </w:r>
      <w:r w:rsidR="0001680C" w:rsidRPr="0001680C">
        <w:rPr>
          <w:lang w:eastAsia="ja-JP"/>
        </w:rPr>
        <w:t>202</w:t>
      </w:r>
      <w:r w:rsidR="0001680C">
        <w:rPr>
          <w:lang w:eastAsia="ja-JP"/>
        </w:rPr>
        <w:t>0</w:t>
      </w:r>
      <w:r w:rsidR="0001680C" w:rsidRPr="0001680C">
        <w:rPr>
          <w:lang w:eastAsia="ja-JP"/>
        </w:rPr>
        <w:t>–2</w:t>
      </w:r>
      <w:r w:rsidR="0001680C">
        <w:rPr>
          <w:lang w:eastAsia="ja-JP"/>
        </w:rPr>
        <w:t>1</w:t>
      </w:r>
      <w:r w:rsidRPr="003C6D62">
        <w:rPr>
          <w:lang w:eastAsia="ja-JP"/>
        </w:rPr>
        <w:t xml:space="preserve">, over 72 million international mail articles arrived in Australia, we intercepted over 64,000 items of biosecurity concern in mail articles, </w:t>
      </w:r>
      <w:r w:rsidR="00CD6C8B">
        <w:rPr>
          <w:lang w:eastAsia="ja-JP"/>
        </w:rPr>
        <w:t xml:space="preserve">and </w:t>
      </w:r>
      <w:r w:rsidRPr="003C6D62">
        <w:rPr>
          <w:lang w:eastAsia="ja-JP"/>
        </w:rPr>
        <w:t xml:space="preserve">over 34,000 international voyages and flights arrived at international airports and seaports around the country. Around 15,000 import permit applications were submitted and nearly 5,000 animals were processed at Post-Entry Quarantine (PEQ) facilities. A more detailed breakdown of our essential activities is provided at </w:t>
      </w:r>
      <w:hyperlink w:anchor="_Appendix_A:_Description" w:history="1">
        <w:r w:rsidRPr="00524504">
          <w:rPr>
            <w:rStyle w:val="Hyperlink"/>
            <w:lang w:eastAsia="ja-JP"/>
          </w:rPr>
          <w:t>Appendix A</w:t>
        </w:r>
      </w:hyperlink>
      <w:r w:rsidRPr="003C6D62">
        <w:rPr>
          <w:lang w:eastAsia="ja-JP"/>
        </w:rPr>
        <w:t>.</w:t>
      </w:r>
    </w:p>
    <w:p w14:paraId="21F57086" w14:textId="48134F4F" w:rsidR="00075AA9" w:rsidRDefault="00075AA9" w:rsidP="00075AA9">
      <w:pPr>
        <w:rPr>
          <w:lang w:eastAsia="ja-JP"/>
        </w:rPr>
      </w:pPr>
      <w:r>
        <w:rPr>
          <w:lang w:eastAsia="ja-JP"/>
        </w:rPr>
        <w:t xml:space="preserve">Our biosecurity regulatory charges are imposed on </w:t>
      </w:r>
      <w:r w:rsidR="000B128E">
        <w:rPr>
          <w:lang w:eastAsia="ja-JP"/>
        </w:rPr>
        <w:t>4</w:t>
      </w:r>
      <w:r w:rsidR="006C69E7">
        <w:rPr>
          <w:lang w:eastAsia="ja-JP"/>
        </w:rPr>
        <w:t> </w:t>
      </w:r>
      <w:r>
        <w:rPr>
          <w:lang w:eastAsia="ja-JP"/>
        </w:rPr>
        <w:t xml:space="preserve">key groups: importers, </w:t>
      </w:r>
      <w:r w:rsidR="00FD4105">
        <w:rPr>
          <w:lang w:eastAsia="ja-JP"/>
        </w:rPr>
        <w:t xml:space="preserve">conveyance </w:t>
      </w:r>
      <w:r>
        <w:rPr>
          <w:lang w:eastAsia="ja-JP"/>
        </w:rPr>
        <w:t>operators, approved arrangement participants and, to a limited extent, passengers.</w:t>
      </w:r>
    </w:p>
    <w:p w14:paraId="5FEA9AD8" w14:textId="311B50C3" w:rsidR="00075AA9" w:rsidRDefault="00075AA9" w:rsidP="00075AA9">
      <w:pPr>
        <w:rPr>
          <w:lang w:eastAsia="ja-JP"/>
        </w:rPr>
      </w:pPr>
      <w:r>
        <w:rPr>
          <w:lang w:eastAsia="ja-JP"/>
        </w:rPr>
        <w:lastRenderedPageBreak/>
        <w:t>We charge regulated entities to provide the following key biosecurity activities:</w:t>
      </w:r>
    </w:p>
    <w:p w14:paraId="46434C53" w14:textId="27A18C92" w:rsidR="00075AA9" w:rsidRDefault="00075AA9" w:rsidP="00807763">
      <w:pPr>
        <w:pStyle w:val="ListBullet"/>
        <w:rPr>
          <w:lang w:eastAsia="ja-JP"/>
        </w:rPr>
      </w:pPr>
      <w:r>
        <w:rPr>
          <w:lang w:eastAsia="ja-JP"/>
        </w:rPr>
        <w:t>Importers</w:t>
      </w:r>
      <w:r w:rsidR="00807763">
        <w:rPr>
          <w:lang w:eastAsia="ja-JP"/>
        </w:rPr>
        <w:t xml:space="preserve"> – </w:t>
      </w:r>
      <w:r w:rsidR="00EE56C7">
        <w:rPr>
          <w:lang w:eastAsia="ja-JP"/>
        </w:rPr>
        <w:t xml:space="preserve">inspection, </w:t>
      </w:r>
      <w:r>
        <w:rPr>
          <w:lang w:eastAsia="ja-JP"/>
        </w:rPr>
        <w:t>assessment and management of the biosecurity risks associated with imported goods and packaging (including air and sea cargo,</w:t>
      </w:r>
      <w:r w:rsidR="006A5038">
        <w:rPr>
          <w:lang w:eastAsia="ja-JP"/>
        </w:rPr>
        <w:t xml:space="preserve"> </w:t>
      </w:r>
      <w:r w:rsidR="0059705C">
        <w:rPr>
          <w:lang w:eastAsia="ja-JP"/>
        </w:rPr>
        <w:t>containers, international</w:t>
      </w:r>
      <w:r>
        <w:rPr>
          <w:lang w:eastAsia="ja-JP"/>
        </w:rPr>
        <w:t xml:space="preserve"> mail, food, live </w:t>
      </w:r>
      <w:proofErr w:type="gramStart"/>
      <w:r>
        <w:rPr>
          <w:lang w:eastAsia="ja-JP"/>
        </w:rPr>
        <w:t>animals</w:t>
      </w:r>
      <w:proofErr w:type="gramEnd"/>
      <w:r>
        <w:rPr>
          <w:lang w:eastAsia="ja-JP"/>
        </w:rPr>
        <w:t xml:space="preserve"> and plants). This also includes husbandry activities undertaken by the department, associated with the </w:t>
      </w:r>
      <w:r w:rsidR="00C7776C">
        <w:rPr>
          <w:lang w:eastAsia="ja-JP"/>
        </w:rPr>
        <w:t>PEQ</w:t>
      </w:r>
      <w:r w:rsidR="008061C7">
        <w:rPr>
          <w:lang w:eastAsia="ja-JP"/>
        </w:rPr>
        <w:t xml:space="preserve"> </w:t>
      </w:r>
      <w:r>
        <w:rPr>
          <w:lang w:eastAsia="ja-JP"/>
        </w:rPr>
        <w:t>of live animals and plants prior to release into Australia (such as horses, dogs, cats, hatching eggs, birds, ruminants, bees, nursery stock and viable seeds).</w:t>
      </w:r>
    </w:p>
    <w:p w14:paraId="1ED3EFA9" w14:textId="6B066720" w:rsidR="00075AA9" w:rsidRDefault="00321A10" w:rsidP="00807763">
      <w:pPr>
        <w:pStyle w:val="ListBullet"/>
        <w:rPr>
          <w:lang w:eastAsia="ja-JP"/>
        </w:rPr>
      </w:pPr>
      <w:r w:rsidRPr="00321A10">
        <w:rPr>
          <w:lang w:eastAsia="ja-JP"/>
        </w:rPr>
        <w:t>Conveyance operators</w:t>
      </w:r>
      <w:r w:rsidR="00E44FA5">
        <w:rPr>
          <w:lang w:eastAsia="ja-JP"/>
        </w:rPr>
        <w:t xml:space="preserve"> </w:t>
      </w:r>
      <w:r w:rsidR="003A1F01">
        <w:rPr>
          <w:lang w:eastAsia="ja-JP"/>
        </w:rPr>
        <w:t>–</w:t>
      </w:r>
      <w:r w:rsidR="00E44FA5">
        <w:rPr>
          <w:lang w:eastAsia="ja-JP"/>
        </w:rPr>
        <w:t xml:space="preserve"> </w:t>
      </w:r>
      <w:r w:rsidRPr="00321A10">
        <w:rPr>
          <w:lang w:eastAsia="ja-JP"/>
        </w:rPr>
        <w:t>vessel and aircraft entering Australia. This includes assessments and inspections to manage the risks posed by the vessel itself, contaminants on the vessel, human biosecurity risks, ballast water and biofouling on vessels, and aircraft disinsection (where non-compliant on arrival) and assessment of aircraft for release from biosecurity control.</w:t>
      </w:r>
    </w:p>
    <w:p w14:paraId="439DE243" w14:textId="2F6439F0" w:rsidR="00075AA9" w:rsidRDefault="003562FE" w:rsidP="00807763">
      <w:pPr>
        <w:pStyle w:val="ListBullet"/>
        <w:rPr>
          <w:lang w:eastAsia="ja-JP"/>
        </w:rPr>
      </w:pPr>
      <w:r w:rsidRPr="003562FE">
        <w:rPr>
          <w:lang w:eastAsia="ja-JP"/>
        </w:rPr>
        <w:t>Arrangement participants – managing the administration as well as policy processes and conditions</w:t>
      </w:r>
      <w:r w:rsidR="00E44FA5">
        <w:rPr>
          <w:lang w:eastAsia="ja-JP"/>
        </w:rPr>
        <w:t>-</w:t>
      </w:r>
      <w:r w:rsidRPr="003562FE">
        <w:rPr>
          <w:lang w:eastAsia="ja-JP"/>
        </w:rPr>
        <w:t>setting for regulatory arrangements approved by the department, including biosecurity approved arrangements and imported food compliance agreements.</w:t>
      </w:r>
    </w:p>
    <w:p w14:paraId="1AFE0334" w14:textId="399C83A4" w:rsidR="00075AA9" w:rsidRDefault="00075AA9" w:rsidP="00807763">
      <w:pPr>
        <w:pStyle w:val="ListBullet"/>
        <w:rPr>
          <w:lang w:eastAsia="ja-JP"/>
        </w:rPr>
      </w:pPr>
      <w:r>
        <w:rPr>
          <w:lang w:eastAsia="ja-JP"/>
        </w:rPr>
        <w:t>Passengers</w:t>
      </w:r>
      <w:r w:rsidR="00807763">
        <w:rPr>
          <w:lang w:eastAsia="ja-JP"/>
        </w:rPr>
        <w:t xml:space="preserve"> – </w:t>
      </w:r>
      <w:r>
        <w:rPr>
          <w:lang w:eastAsia="ja-JP"/>
        </w:rPr>
        <w:t xml:space="preserve">assessment and management of biosecurity risks posed by </w:t>
      </w:r>
      <w:r w:rsidR="006F2021">
        <w:rPr>
          <w:lang w:eastAsia="ja-JP"/>
        </w:rPr>
        <w:t xml:space="preserve">baggage accompanying </w:t>
      </w:r>
      <w:r>
        <w:rPr>
          <w:lang w:eastAsia="ja-JP"/>
        </w:rPr>
        <w:t>passenger</w:t>
      </w:r>
      <w:r w:rsidR="006F2021">
        <w:rPr>
          <w:lang w:eastAsia="ja-JP"/>
        </w:rPr>
        <w:t>s</w:t>
      </w:r>
      <w:r>
        <w:rPr>
          <w:lang w:eastAsia="ja-JP"/>
        </w:rPr>
        <w:t>. Activities such as inspection and assessment of baggage are only cost recovered whe</w:t>
      </w:r>
      <w:r w:rsidR="006D16FF">
        <w:rPr>
          <w:lang w:eastAsia="ja-JP"/>
        </w:rPr>
        <w:t>n</w:t>
      </w:r>
      <w:r>
        <w:rPr>
          <w:lang w:eastAsia="ja-JP"/>
        </w:rPr>
        <w:t xml:space="preserve"> provided outside of designated international airports or </w:t>
      </w:r>
      <w:r w:rsidR="00CE6E03">
        <w:rPr>
          <w:lang w:eastAsia="ja-JP"/>
        </w:rPr>
        <w:t>seaports</w:t>
      </w:r>
      <w:r>
        <w:rPr>
          <w:lang w:eastAsia="ja-JP"/>
        </w:rPr>
        <w:t>.</w:t>
      </w:r>
    </w:p>
    <w:p w14:paraId="1DCD93B8" w14:textId="708AEF9D" w:rsidR="00075AA9" w:rsidRDefault="00075AA9" w:rsidP="00807763">
      <w:pPr>
        <w:pStyle w:val="Heading3"/>
        <w:rPr>
          <w:lang w:eastAsia="ja-JP"/>
        </w:rPr>
      </w:pPr>
      <w:bookmarkStart w:id="8" w:name="_Toc119313382"/>
      <w:r>
        <w:rPr>
          <w:lang w:eastAsia="ja-JP"/>
        </w:rPr>
        <w:t>Why cost recovery is appropriate</w:t>
      </w:r>
      <w:bookmarkEnd w:id="8"/>
    </w:p>
    <w:p w14:paraId="0014EE73" w14:textId="16EBE1DE" w:rsidR="00402DAC" w:rsidRDefault="007755D0" w:rsidP="00075AA9">
      <w:pPr>
        <w:rPr>
          <w:lang w:eastAsia="ja-JP"/>
        </w:rPr>
      </w:pPr>
      <w:r>
        <w:rPr>
          <w:lang w:eastAsia="ja-JP"/>
        </w:rPr>
        <w:t xml:space="preserve">Regulatory charging </w:t>
      </w:r>
      <w:r w:rsidR="00075AA9">
        <w:rPr>
          <w:lang w:eastAsia="ja-JP"/>
        </w:rPr>
        <w:t>falls within the Australian Government’s broader charging framework. Regulatory charging is appropriate because biosecurity regulatory activity is provided to a clearly identifiable group</w:t>
      </w:r>
      <w:r w:rsidR="000B128E">
        <w:rPr>
          <w:lang w:eastAsia="ja-JP"/>
        </w:rPr>
        <w:t xml:space="preserve"> – </w:t>
      </w:r>
      <w:r w:rsidR="00075AA9">
        <w:rPr>
          <w:lang w:eastAsia="ja-JP"/>
        </w:rPr>
        <w:t xml:space="preserve">individuals and organisations that participate in the import supply </w:t>
      </w:r>
      <w:r w:rsidR="00C7776C">
        <w:rPr>
          <w:lang w:eastAsia="ja-JP"/>
        </w:rPr>
        <w:t>chain.</w:t>
      </w:r>
      <w:r w:rsidR="00075AA9">
        <w:rPr>
          <w:lang w:eastAsia="ja-JP"/>
        </w:rPr>
        <w:t xml:space="preserve"> Regulatory charging also increases the cost consciousness of regulated entities </w:t>
      </w:r>
      <w:r w:rsidR="006F2021">
        <w:rPr>
          <w:lang w:eastAsia="ja-JP"/>
        </w:rPr>
        <w:t xml:space="preserve">regarding </w:t>
      </w:r>
      <w:r w:rsidR="00075AA9">
        <w:rPr>
          <w:lang w:eastAsia="ja-JP"/>
        </w:rPr>
        <w:t>how much regulated activity costs.</w:t>
      </w:r>
    </w:p>
    <w:p w14:paraId="7244AE01" w14:textId="485BA14E" w:rsidR="0059705C" w:rsidRDefault="0059705C" w:rsidP="0059705C">
      <w:pPr>
        <w:pStyle w:val="Heading3"/>
        <w:rPr>
          <w:lang w:eastAsia="ja-JP"/>
        </w:rPr>
      </w:pPr>
      <w:bookmarkStart w:id="9" w:name="_Reforms:_Building_Australia’s"/>
      <w:bookmarkStart w:id="10" w:name="_Toc119313383"/>
      <w:bookmarkEnd w:id="9"/>
      <w:r>
        <w:rPr>
          <w:lang w:eastAsia="ja-JP"/>
        </w:rPr>
        <w:t>Reforms: Building Australia’s future biosecurity system</w:t>
      </w:r>
      <w:bookmarkEnd w:id="10"/>
      <w:r>
        <w:rPr>
          <w:lang w:eastAsia="ja-JP"/>
        </w:rPr>
        <w:t xml:space="preserve"> </w:t>
      </w:r>
    </w:p>
    <w:p w14:paraId="7D3E35E9" w14:textId="42167CCF" w:rsidR="0059705C" w:rsidRPr="00E87598" w:rsidRDefault="009E6C1F" w:rsidP="0059705C">
      <w:pPr>
        <w:rPr>
          <w:lang w:eastAsia="ja-JP"/>
        </w:rPr>
      </w:pPr>
      <w:r w:rsidRPr="009450AB">
        <w:rPr>
          <w:lang w:eastAsia="ja-JP"/>
        </w:rPr>
        <w:t>T</w:t>
      </w:r>
      <w:r w:rsidR="0059705C" w:rsidRPr="009450AB">
        <w:rPr>
          <w:lang w:eastAsia="ja-JP"/>
        </w:rPr>
        <w:t xml:space="preserve">he </w:t>
      </w:r>
      <w:hyperlink r:id="rId25" w:history="1">
        <w:r w:rsidR="0059705C" w:rsidRPr="009450AB">
          <w:rPr>
            <w:rStyle w:val="Hyperlink"/>
            <w:lang w:eastAsia="ja-JP"/>
          </w:rPr>
          <w:t>Commonwealth Biosecurity 2030</w:t>
        </w:r>
      </w:hyperlink>
      <w:r w:rsidR="0059705C" w:rsidRPr="009450AB">
        <w:rPr>
          <w:lang w:eastAsia="ja-JP"/>
        </w:rPr>
        <w:t xml:space="preserve"> roadmap, outlines how we will build our future system and keep Australia at the forefront of best-practice biosecurity.</w:t>
      </w:r>
    </w:p>
    <w:p w14:paraId="56A723E7" w14:textId="77777777" w:rsidR="0059705C" w:rsidRPr="006E0AB5" w:rsidRDefault="0059705C" w:rsidP="004E2A9E">
      <w:pPr>
        <w:pStyle w:val="Quote"/>
      </w:pPr>
      <w:r w:rsidRPr="006E0AB5">
        <w:t xml:space="preserve">We’ll do this by focusing on better governance and regulation, improved use of available technology, supporting our people capability, as well as sustainable, effective funding. This will give us strong ongoing commitment from those who play a key role in our biosecurity system, such as industry, </w:t>
      </w:r>
      <w:proofErr w:type="gramStart"/>
      <w:r w:rsidRPr="006E0AB5">
        <w:t>government</w:t>
      </w:r>
      <w:proofErr w:type="gramEnd"/>
      <w:r w:rsidRPr="006E0AB5">
        <w:t xml:space="preserve"> and community. It will also support our people capability on the ground, and better use of data and technology so we can work smarter.</w:t>
      </w:r>
    </w:p>
    <w:p w14:paraId="65194349" w14:textId="77777777" w:rsidR="0059705C" w:rsidRPr="00E87598" w:rsidRDefault="0059705C" w:rsidP="00865197">
      <w:pPr>
        <w:pStyle w:val="Quote"/>
        <w:rPr>
          <w:lang w:eastAsia="ja-JP"/>
        </w:rPr>
      </w:pPr>
      <w:r w:rsidRPr="00E87598">
        <w:rPr>
          <w:lang w:eastAsia="ja-JP"/>
        </w:rPr>
        <w:t>Director of Biosecurity, Mr Andrew Metcalfe AO.</w:t>
      </w:r>
    </w:p>
    <w:p w14:paraId="153736B7" w14:textId="4B2F4CC6" w:rsidR="0059705C" w:rsidRPr="002D5398" w:rsidRDefault="00260F65" w:rsidP="0059705C">
      <w:pPr>
        <w:rPr>
          <w:lang w:eastAsia="ja-JP"/>
        </w:rPr>
      </w:pPr>
      <w:r w:rsidRPr="002D5398">
        <w:rPr>
          <w:lang w:eastAsia="ja-JP"/>
        </w:rPr>
        <w:t xml:space="preserve">The </w:t>
      </w:r>
      <w:r w:rsidR="0059705C" w:rsidRPr="002D5398">
        <w:rPr>
          <w:lang w:eastAsia="ja-JP"/>
        </w:rPr>
        <w:t>roadmap sets out nine strategic action areas, which includes aligning our funding and investment model to emerging system needs. Our efforts to work toward a fit for purpose, sustainable and equitable approach to system funding will involve consultation with our key system partners and participants.</w:t>
      </w:r>
    </w:p>
    <w:p w14:paraId="023AD33D" w14:textId="40A04022" w:rsidR="0059705C" w:rsidRPr="002D5398" w:rsidRDefault="0059705C" w:rsidP="0059705C">
      <w:pPr>
        <w:rPr>
          <w:lang w:eastAsia="ja-JP"/>
        </w:rPr>
      </w:pPr>
      <w:r w:rsidRPr="002D5398">
        <w:rPr>
          <w:lang w:eastAsia="ja-JP"/>
        </w:rPr>
        <w:lastRenderedPageBreak/>
        <w:t xml:space="preserve">In the </w:t>
      </w:r>
      <w:bookmarkStart w:id="11" w:name="_Hlk99975445"/>
      <w:bookmarkStart w:id="12" w:name="_Hlk97628592"/>
      <w:r w:rsidRPr="002D5398">
        <w:rPr>
          <w:lang w:eastAsia="ja-JP"/>
        </w:rPr>
        <w:t xml:space="preserve">2021–22 </w:t>
      </w:r>
      <w:bookmarkEnd w:id="11"/>
      <w:r w:rsidRPr="002D5398">
        <w:rPr>
          <w:lang w:eastAsia="ja-JP"/>
        </w:rPr>
        <w:t xml:space="preserve">Budget </w:t>
      </w:r>
      <w:r w:rsidR="00870EDD" w:rsidRPr="002D5398">
        <w:rPr>
          <w:lang w:eastAsia="ja-JP"/>
        </w:rPr>
        <w:t xml:space="preserve">and </w:t>
      </w:r>
      <w:r w:rsidR="00CD610A" w:rsidRPr="002D5398">
        <w:rPr>
          <w:lang w:eastAsia="ja-JP"/>
        </w:rPr>
        <w:t>the mid-year Budget</w:t>
      </w:r>
      <w:bookmarkEnd w:id="12"/>
      <w:r w:rsidRPr="002D5398">
        <w:rPr>
          <w:lang w:eastAsia="ja-JP"/>
        </w:rPr>
        <w:t xml:space="preserve">, the Australian Government announced new funding to expand investment in safeguarding Australia from exotic pests and diseases. This package provides early funding to support our strategic roadmap. It will deliver robust, </w:t>
      </w:r>
      <w:proofErr w:type="gramStart"/>
      <w:r w:rsidRPr="002D5398">
        <w:rPr>
          <w:lang w:eastAsia="ja-JP"/>
        </w:rPr>
        <w:t>adaptable</w:t>
      </w:r>
      <w:proofErr w:type="gramEnd"/>
      <w:r w:rsidRPr="002D5398">
        <w:rPr>
          <w:lang w:eastAsia="ja-JP"/>
        </w:rPr>
        <w:t xml:space="preserve"> and forward-leaning biosecurity capabilities, consistent with findings from independent reviews of the biosecurity system.</w:t>
      </w:r>
    </w:p>
    <w:p w14:paraId="25C68CF3" w14:textId="77777777" w:rsidR="0059705C" w:rsidRPr="002D5398" w:rsidRDefault="0059705C" w:rsidP="0059705C">
      <w:pPr>
        <w:rPr>
          <w:lang w:eastAsia="ja-JP"/>
        </w:rPr>
      </w:pPr>
      <w:r w:rsidRPr="002D5398">
        <w:rPr>
          <w:lang w:eastAsia="ja-JP"/>
        </w:rPr>
        <w:t xml:space="preserve">Importers, </w:t>
      </w:r>
      <w:proofErr w:type="gramStart"/>
      <w:r w:rsidRPr="002D5398">
        <w:rPr>
          <w:lang w:eastAsia="ja-JP"/>
        </w:rPr>
        <w:t>travellers</w:t>
      </w:r>
      <w:proofErr w:type="gramEnd"/>
      <w:r w:rsidRPr="002D5398">
        <w:rPr>
          <w:lang w:eastAsia="ja-JP"/>
        </w:rPr>
        <w:t xml:space="preserve"> and the broader community will benefit from streamlined, modern entry and intervention arrangements that apply a risk-based approach. These arrangements are designed to protect against biosecurity threats while reducing red tape and supporting the government’s Simplified Trade System agenda</w:t>
      </w:r>
    </w:p>
    <w:p w14:paraId="4D1A0C30" w14:textId="4052F178" w:rsidR="0059705C" w:rsidRPr="002D5398" w:rsidRDefault="0059705C" w:rsidP="0059705C">
      <w:pPr>
        <w:rPr>
          <w:lang w:eastAsia="ja-JP"/>
        </w:rPr>
      </w:pPr>
      <w:r w:rsidRPr="009450AB">
        <w:rPr>
          <w:lang w:eastAsia="ja-JP"/>
        </w:rPr>
        <w:t xml:space="preserve">The </w:t>
      </w:r>
      <w:r w:rsidR="00870EDD" w:rsidRPr="009450AB">
        <w:rPr>
          <w:lang w:eastAsia="ja-JP"/>
        </w:rPr>
        <w:t xml:space="preserve">investment of </w:t>
      </w:r>
      <w:r w:rsidRPr="009450AB">
        <w:rPr>
          <w:lang w:eastAsia="ja-JP"/>
        </w:rPr>
        <w:t>over $</w:t>
      </w:r>
      <w:r w:rsidR="00870EDD" w:rsidRPr="009450AB">
        <w:rPr>
          <w:lang w:eastAsia="ja-JP"/>
        </w:rPr>
        <w:t>5</w:t>
      </w:r>
      <w:r w:rsidRPr="009450AB">
        <w:rPr>
          <w:lang w:eastAsia="ja-JP"/>
        </w:rPr>
        <w:t xml:space="preserve">00 million </w:t>
      </w:r>
      <w:r w:rsidR="00E44FA5">
        <w:rPr>
          <w:lang w:eastAsia="ja-JP"/>
        </w:rPr>
        <w:t xml:space="preserve">is </w:t>
      </w:r>
      <w:r w:rsidRPr="009450AB">
        <w:rPr>
          <w:lang w:eastAsia="ja-JP"/>
        </w:rPr>
        <w:t xml:space="preserve">over 4 years from </w:t>
      </w:r>
      <w:r w:rsidR="002441E4" w:rsidRPr="009450AB">
        <w:rPr>
          <w:lang w:eastAsia="ja-JP"/>
        </w:rPr>
        <w:t>2021</w:t>
      </w:r>
      <w:r w:rsidRPr="009450AB">
        <w:rPr>
          <w:lang w:eastAsia="ja-JP"/>
        </w:rPr>
        <w:t>–</w:t>
      </w:r>
      <w:r w:rsidR="002441E4" w:rsidRPr="009450AB">
        <w:rPr>
          <w:lang w:eastAsia="ja-JP"/>
        </w:rPr>
        <w:t>22</w:t>
      </w:r>
      <w:r w:rsidR="00C84D14" w:rsidRPr="009450AB">
        <w:rPr>
          <w:lang w:eastAsia="ja-JP"/>
        </w:rPr>
        <w:t>. Cost for this investment will be shared between government and through partial cost recovery from industry</w:t>
      </w:r>
      <w:r w:rsidR="009A0FC5" w:rsidRPr="009450AB">
        <w:rPr>
          <w:lang w:eastAsia="ja-JP"/>
        </w:rPr>
        <w:t xml:space="preserve">. This </w:t>
      </w:r>
      <w:r w:rsidRPr="009450AB">
        <w:rPr>
          <w:lang w:eastAsia="ja-JP"/>
        </w:rPr>
        <w:t>includes the</w:t>
      </w:r>
      <w:r w:rsidR="003A1F01" w:rsidRPr="009450AB">
        <w:rPr>
          <w:lang w:eastAsia="ja-JP"/>
        </w:rPr>
        <w:t> </w:t>
      </w:r>
      <w:r w:rsidRPr="009450AB">
        <w:rPr>
          <w:lang w:eastAsia="ja-JP"/>
        </w:rPr>
        <w:t>following</w:t>
      </w:r>
      <w:r w:rsidR="00727E6F" w:rsidRPr="009450AB">
        <w:rPr>
          <w:lang w:eastAsia="ja-JP"/>
        </w:rPr>
        <w:t>:</w:t>
      </w:r>
    </w:p>
    <w:p w14:paraId="7B5269F8" w14:textId="1918EE23" w:rsidR="0059705C" w:rsidRPr="002D5398" w:rsidRDefault="0059705C" w:rsidP="0059705C">
      <w:pPr>
        <w:pStyle w:val="ListBullet"/>
        <w:rPr>
          <w:lang w:eastAsia="ja-JP"/>
        </w:rPr>
      </w:pPr>
      <w:r w:rsidRPr="002D5398">
        <w:rPr>
          <w:rStyle w:val="Emphasis"/>
        </w:rPr>
        <w:t>Investing in our critical frontline resources and people</w:t>
      </w:r>
      <w:r w:rsidRPr="002D5398">
        <w:rPr>
          <w:lang w:eastAsia="ja-JP"/>
        </w:rPr>
        <w:t xml:space="preserve"> –</w:t>
      </w:r>
      <w:r w:rsidR="00870EDD" w:rsidRPr="002D5398">
        <w:rPr>
          <w:lang w:eastAsia="ja-JP"/>
        </w:rPr>
        <w:t xml:space="preserve"> </w:t>
      </w:r>
      <w:r w:rsidRPr="002D5398">
        <w:rPr>
          <w:lang w:eastAsia="ja-JP"/>
        </w:rPr>
        <w:t xml:space="preserve">$84.1 million in frontline measures to better manage the risk of pests and diseases entering Australia. </w:t>
      </w:r>
      <w:r w:rsidR="003623A3" w:rsidRPr="002D5398">
        <w:rPr>
          <w:lang w:eastAsia="ja-JP"/>
        </w:rPr>
        <w:t>This i</w:t>
      </w:r>
      <w:r w:rsidRPr="002D5398">
        <w:rPr>
          <w:lang w:eastAsia="ja-JP"/>
        </w:rPr>
        <w:t>nclud</w:t>
      </w:r>
      <w:r w:rsidR="003623A3" w:rsidRPr="002D5398">
        <w:rPr>
          <w:lang w:eastAsia="ja-JP"/>
        </w:rPr>
        <w:t>es</w:t>
      </w:r>
      <w:r w:rsidRPr="002D5398">
        <w:rPr>
          <w:lang w:eastAsia="ja-JP"/>
        </w:rPr>
        <w:t xml:space="preserve"> more on-the-ground resources to target known and emerging threats, like African swine fever and applying modern technology to better detect and respond to these threats.</w:t>
      </w:r>
    </w:p>
    <w:p w14:paraId="23B85BD0" w14:textId="3E310B9C" w:rsidR="0059705C" w:rsidRPr="002D5398" w:rsidRDefault="0059705C" w:rsidP="0059705C">
      <w:pPr>
        <w:pStyle w:val="ListBullet"/>
        <w:rPr>
          <w:lang w:eastAsia="ja-JP"/>
        </w:rPr>
      </w:pPr>
      <w:r w:rsidRPr="002D5398">
        <w:rPr>
          <w:rStyle w:val="Emphasis"/>
        </w:rPr>
        <w:t>Modernising our ICT systems, technology, and data analytics</w:t>
      </w:r>
      <w:r w:rsidRPr="002D5398">
        <w:rPr>
          <w:lang w:eastAsia="ja-JP"/>
        </w:rPr>
        <w:t xml:space="preserve"> –</w:t>
      </w:r>
      <w:r w:rsidR="001F6DBC" w:rsidRPr="002D5398">
        <w:rPr>
          <w:lang w:eastAsia="ja-JP"/>
        </w:rPr>
        <w:t xml:space="preserve"> </w:t>
      </w:r>
      <w:r w:rsidRPr="002D5398">
        <w:rPr>
          <w:lang w:eastAsia="ja-JP"/>
        </w:rPr>
        <w:t xml:space="preserve">$80.9 million to build a modern, effective biosecurity system underpinned by the right technology, information systems and analytical capabilities. </w:t>
      </w:r>
      <w:r w:rsidR="003623A3" w:rsidRPr="002D5398">
        <w:rPr>
          <w:lang w:eastAsia="ja-JP"/>
        </w:rPr>
        <w:t>This i</w:t>
      </w:r>
      <w:r w:rsidRPr="002D5398">
        <w:rPr>
          <w:lang w:eastAsia="ja-JP"/>
        </w:rPr>
        <w:t>nclud</w:t>
      </w:r>
      <w:r w:rsidR="003623A3" w:rsidRPr="002D5398">
        <w:rPr>
          <w:lang w:eastAsia="ja-JP"/>
        </w:rPr>
        <w:t>es</w:t>
      </w:r>
      <w:r w:rsidRPr="002D5398">
        <w:rPr>
          <w:lang w:eastAsia="ja-JP"/>
        </w:rPr>
        <w:t xml:space="preserve"> modernising and strengthening Australia’s biosecurity screening capability to provide faster and more efficient clearance of people and goods, improving our digital capability to manage biosecurity risks in the international mail pathway, and enhancing and expanding our international arrivals system to streamline arrivals of vessels and aircraft.</w:t>
      </w:r>
    </w:p>
    <w:p w14:paraId="72A6F2D5" w14:textId="0819A496" w:rsidR="0059705C" w:rsidRPr="002D5398" w:rsidRDefault="0059705C" w:rsidP="0059705C">
      <w:pPr>
        <w:pStyle w:val="ListBullet"/>
        <w:rPr>
          <w:lang w:eastAsia="ja-JP"/>
        </w:rPr>
      </w:pPr>
      <w:r w:rsidRPr="002D5398">
        <w:rPr>
          <w:rStyle w:val="Emphasis"/>
        </w:rPr>
        <w:t xml:space="preserve">Strengthening our partnerships with importers, companies, </w:t>
      </w:r>
      <w:proofErr w:type="gramStart"/>
      <w:r w:rsidRPr="002D5398">
        <w:rPr>
          <w:rStyle w:val="Emphasis"/>
        </w:rPr>
        <w:t>producers</w:t>
      </w:r>
      <w:proofErr w:type="gramEnd"/>
      <w:r w:rsidRPr="002D5398">
        <w:rPr>
          <w:rStyle w:val="Emphasis"/>
        </w:rPr>
        <w:t xml:space="preserve"> and the community</w:t>
      </w:r>
      <w:r w:rsidRPr="002D5398">
        <w:rPr>
          <w:lang w:eastAsia="ja-JP"/>
        </w:rPr>
        <w:t xml:space="preserve"> –$235.1 million to improve our ability to detect and manage threats offshore, while increasing our capacity to respond to incursions. </w:t>
      </w:r>
      <w:r w:rsidR="003623A3" w:rsidRPr="002D5398">
        <w:rPr>
          <w:lang w:eastAsia="ja-JP"/>
        </w:rPr>
        <w:t>This i</w:t>
      </w:r>
      <w:r w:rsidRPr="002D5398">
        <w:rPr>
          <w:lang w:eastAsia="ja-JP"/>
        </w:rPr>
        <w:t>nclud</w:t>
      </w:r>
      <w:r w:rsidR="003623A3" w:rsidRPr="002D5398">
        <w:rPr>
          <w:lang w:eastAsia="ja-JP"/>
        </w:rPr>
        <w:t>es</w:t>
      </w:r>
      <w:r w:rsidRPr="002D5398">
        <w:rPr>
          <w:lang w:eastAsia="ja-JP"/>
        </w:rPr>
        <w:t xml:space="preserve"> strengthening our systems to manage risk on the container cargo pathway, expanding offshore assurance arrangements around hitchhiker pest risks, stronger border interventions for shipping containers and increased information on global container and commodity movements.  We will work to increase </w:t>
      </w:r>
      <w:proofErr w:type="gramStart"/>
      <w:r w:rsidRPr="002D5398">
        <w:rPr>
          <w:lang w:eastAsia="ja-JP"/>
        </w:rPr>
        <w:t>importers’</w:t>
      </w:r>
      <w:proofErr w:type="gramEnd"/>
      <w:r w:rsidRPr="002D5398">
        <w:rPr>
          <w:lang w:eastAsia="ja-JP"/>
        </w:rPr>
        <w:t xml:space="preserve"> and individuals’ understanding of their role in the biosecurity system, through a new biosecurity brand and targeted information, awareness and education campaigns.  We will make greater use of industry arrangements, with trials of potential new approaches that will deliver faster and safer clearance of low-risk commodities.</w:t>
      </w:r>
    </w:p>
    <w:p w14:paraId="109311F0" w14:textId="1AA677BB" w:rsidR="00C84D14" w:rsidRPr="002D5398" w:rsidRDefault="00870EDD" w:rsidP="00D052B1">
      <w:pPr>
        <w:pStyle w:val="ListBullet"/>
        <w:rPr>
          <w:lang w:eastAsia="ja-JP"/>
        </w:rPr>
      </w:pPr>
      <w:bookmarkStart w:id="13" w:name="_Hlk97628833"/>
      <w:r w:rsidRPr="002D5398">
        <w:rPr>
          <w:lang w:eastAsia="ja-JP"/>
        </w:rPr>
        <w:t>Over $100 million to further modernise and simpl</w:t>
      </w:r>
      <w:r w:rsidR="00876241" w:rsidRPr="002D5398">
        <w:rPr>
          <w:lang w:eastAsia="ja-JP"/>
        </w:rPr>
        <w:t>ify</w:t>
      </w:r>
      <w:r w:rsidRPr="002D5398">
        <w:rPr>
          <w:lang w:eastAsia="ja-JP"/>
        </w:rPr>
        <w:t xml:space="preserve"> our biosecurity system, build resilience to manage fruit fly, </w:t>
      </w:r>
      <w:r w:rsidR="00727E6F" w:rsidRPr="002D5398">
        <w:rPr>
          <w:lang w:eastAsia="ja-JP"/>
        </w:rPr>
        <w:t xml:space="preserve">enhance </w:t>
      </w:r>
      <w:r w:rsidRPr="002D5398">
        <w:rPr>
          <w:lang w:eastAsia="ja-JP"/>
        </w:rPr>
        <w:t xml:space="preserve">on-ground control of established pest animals and </w:t>
      </w:r>
      <w:r w:rsidR="00CD610A" w:rsidRPr="002D5398">
        <w:rPr>
          <w:lang w:eastAsia="ja-JP"/>
        </w:rPr>
        <w:t>weeds and</w:t>
      </w:r>
      <w:r w:rsidRPr="002D5398">
        <w:rPr>
          <w:lang w:eastAsia="ja-JP"/>
        </w:rPr>
        <w:t xml:space="preserve"> </w:t>
      </w:r>
      <w:r w:rsidR="00727E6F" w:rsidRPr="002D5398">
        <w:rPr>
          <w:lang w:eastAsia="ja-JP"/>
        </w:rPr>
        <w:t>improve traceability arrangements.</w:t>
      </w:r>
      <w:bookmarkEnd w:id="13"/>
    </w:p>
    <w:p w14:paraId="4E1AEF76" w14:textId="38316177" w:rsidR="000B128E" w:rsidRDefault="000B128E" w:rsidP="000B128E">
      <w:pPr>
        <w:pStyle w:val="Heading2"/>
      </w:pPr>
      <w:bookmarkStart w:id="14" w:name="_Toc119313384"/>
      <w:r>
        <w:lastRenderedPageBreak/>
        <w:t>Policy and statutory authority to cost recover</w:t>
      </w:r>
      <w:bookmarkEnd w:id="14"/>
    </w:p>
    <w:p w14:paraId="7A6161FF" w14:textId="3F18F417" w:rsidR="000B128E" w:rsidRDefault="000B128E" w:rsidP="000B128E">
      <w:pPr>
        <w:rPr>
          <w:lang w:eastAsia="ja-JP"/>
        </w:rPr>
      </w:pPr>
      <w:r>
        <w:rPr>
          <w:lang w:eastAsia="ja-JP"/>
        </w:rPr>
        <w:t xml:space="preserve">Under the </w:t>
      </w:r>
      <w:r w:rsidR="002B20D1">
        <w:rPr>
          <w:lang w:eastAsia="ja-JP"/>
        </w:rPr>
        <w:t>Australian Government C</w:t>
      </w:r>
      <w:r>
        <w:rPr>
          <w:lang w:eastAsia="ja-JP"/>
        </w:rPr>
        <w:t xml:space="preserve">harging </w:t>
      </w:r>
      <w:r w:rsidR="002B20D1">
        <w:rPr>
          <w:lang w:eastAsia="ja-JP"/>
        </w:rPr>
        <w:t>F</w:t>
      </w:r>
      <w:r>
        <w:rPr>
          <w:lang w:eastAsia="ja-JP"/>
        </w:rPr>
        <w:t>ramework, regulatory charging requires both policy approval and statutory authority. The following section provides information on government approval of regulatory charging for biosecurity activities and the legislation that enable us to collect fees and charges.</w:t>
      </w:r>
    </w:p>
    <w:p w14:paraId="04F97591" w14:textId="7FAD72A0" w:rsidR="000B128E" w:rsidRDefault="000B128E" w:rsidP="000B128E">
      <w:pPr>
        <w:pStyle w:val="Heading3"/>
        <w:rPr>
          <w:lang w:eastAsia="ja-JP"/>
        </w:rPr>
      </w:pPr>
      <w:bookmarkStart w:id="15" w:name="_Toc119313385"/>
      <w:r>
        <w:rPr>
          <w:lang w:eastAsia="ja-JP"/>
        </w:rPr>
        <w:t>Government policy approval to cost recover the regulatory activity</w:t>
      </w:r>
      <w:bookmarkEnd w:id="15"/>
    </w:p>
    <w:p w14:paraId="56A84F56" w14:textId="56F75E45" w:rsidR="00A977E9" w:rsidRDefault="00290CC8" w:rsidP="000B128E">
      <w:pPr>
        <w:rPr>
          <w:lang w:eastAsia="ja-JP"/>
        </w:rPr>
      </w:pPr>
      <w:r w:rsidRPr="00290CC8">
        <w:rPr>
          <w:lang w:eastAsia="ja-JP"/>
        </w:rPr>
        <w:t xml:space="preserve">The Australian Government </w:t>
      </w:r>
      <w:r w:rsidR="003623A3">
        <w:rPr>
          <w:lang w:eastAsia="ja-JP"/>
        </w:rPr>
        <w:t xml:space="preserve">has </w:t>
      </w:r>
      <w:r w:rsidRPr="00290CC8">
        <w:rPr>
          <w:lang w:eastAsia="ja-JP"/>
        </w:rPr>
        <w:t xml:space="preserve">authority for regulatory charging of biosecurity </w:t>
      </w:r>
      <w:r w:rsidR="005B122A" w:rsidRPr="00290CC8">
        <w:rPr>
          <w:lang w:eastAsia="ja-JP"/>
        </w:rPr>
        <w:t>activities to</w:t>
      </w:r>
      <w:r w:rsidRPr="00290CC8">
        <w:rPr>
          <w:lang w:eastAsia="ja-JP"/>
        </w:rPr>
        <w:t xml:space="preserve"> prevent, respond to and recover from pests and diseases that threaten the economy and environment</w:t>
      </w:r>
      <w:r>
        <w:rPr>
          <w:lang w:eastAsia="ja-JP"/>
        </w:rPr>
        <w:t>.</w:t>
      </w:r>
    </w:p>
    <w:p w14:paraId="79D565D6" w14:textId="286EFF26" w:rsidR="00524504" w:rsidRDefault="00524504" w:rsidP="00524504">
      <w:bookmarkStart w:id="16" w:name="_Hlk97630093"/>
      <w:r w:rsidRPr="00F44465">
        <w:rPr>
          <w:lang w:eastAsia="ja-JP"/>
        </w:rPr>
        <w:t xml:space="preserve">The </w:t>
      </w:r>
      <w:proofErr w:type="gramStart"/>
      <w:r w:rsidR="00B04D55" w:rsidRPr="009A51D7">
        <w:rPr>
          <w:lang w:eastAsia="ja-JP"/>
        </w:rPr>
        <w:t>Agriculture</w:t>
      </w:r>
      <w:proofErr w:type="gramEnd"/>
      <w:r w:rsidR="00B04D55" w:rsidRPr="009A51D7">
        <w:rPr>
          <w:lang w:eastAsia="ja-JP"/>
        </w:rPr>
        <w:t xml:space="preserve"> 2030</w:t>
      </w:r>
      <w:r w:rsidR="00750409" w:rsidRPr="00F44465">
        <w:rPr>
          <w:lang w:eastAsia="ja-JP"/>
        </w:rPr>
        <w:t xml:space="preserve"> decisions made in the </w:t>
      </w:r>
      <w:r w:rsidRPr="00F44465">
        <w:rPr>
          <w:lang w:eastAsia="ja-JP"/>
        </w:rPr>
        <w:t>2021–22 Budget</w:t>
      </w:r>
      <w:r w:rsidR="00750409" w:rsidRPr="00F44465">
        <w:rPr>
          <w:lang w:eastAsia="ja-JP"/>
        </w:rPr>
        <w:t xml:space="preserve"> and mid-year</w:t>
      </w:r>
      <w:r w:rsidR="00727E6F" w:rsidRPr="00F44465">
        <w:rPr>
          <w:lang w:eastAsia="ja-JP"/>
        </w:rPr>
        <w:t xml:space="preserve"> </w:t>
      </w:r>
      <w:r w:rsidR="00750409" w:rsidRPr="00F44465">
        <w:rPr>
          <w:lang w:eastAsia="ja-JP"/>
        </w:rPr>
        <w:t xml:space="preserve">Budget </w:t>
      </w:r>
      <w:r w:rsidRPr="00F44465">
        <w:rPr>
          <w:lang w:eastAsia="ja-JP"/>
        </w:rPr>
        <w:t>include</w:t>
      </w:r>
      <w:r w:rsidR="0080035A" w:rsidRPr="00F44465">
        <w:rPr>
          <w:lang w:eastAsia="ja-JP"/>
        </w:rPr>
        <w:t>d</w:t>
      </w:r>
      <w:r w:rsidR="00750409" w:rsidRPr="00F44465">
        <w:rPr>
          <w:lang w:eastAsia="ja-JP"/>
        </w:rPr>
        <w:t xml:space="preserve"> </w:t>
      </w:r>
      <w:r w:rsidRPr="00F44465">
        <w:rPr>
          <w:lang w:eastAsia="ja-JP"/>
        </w:rPr>
        <w:t>$</w:t>
      </w:r>
      <w:r w:rsidR="001F6DBC" w:rsidRPr="00F44465">
        <w:rPr>
          <w:lang w:eastAsia="ja-JP"/>
        </w:rPr>
        <w:t>96.9</w:t>
      </w:r>
      <w:r w:rsidRPr="00F44465">
        <w:rPr>
          <w:lang w:eastAsia="ja-JP"/>
        </w:rPr>
        <w:t xml:space="preserve"> million (over 4 years) to manage the risk of hitchhiker pests. </w:t>
      </w:r>
      <w:bookmarkEnd w:id="16"/>
      <w:r w:rsidRPr="00F44465">
        <w:rPr>
          <w:lang w:eastAsia="ja-JP"/>
        </w:rPr>
        <w:t xml:space="preserve">Funding in the first year </w:t>
      </w:r>
      <w:r w:rsidR="00B04D55" w:rsidRPr="00F44465">
        <w:rPr>
          <w:lang w:eastAsia="ja-JP"/>
        </w:rPr>
        <w:t>was</w:t>
      </w:r>
      <w:r w:rsidRPr="00F44465">
        <w:rPr>
          <w:lang w:eastAsia="ja-JP"/>
        </w:rPr>
        <w:t xml:space="preserve"> from a combination of government appropriation and the biosecurity cost recovery reserve. </w:t>
      </w:r>
      <w:r w:rsidR="002A7AA9" w:rsidRPr="00F44465">
        <w:rPr>
          <w:lang w:eastAsia="ja-JP"/>
        </w:rPr>
        <w:t>The ongoing</w:t>
      </w:r>
      <w:r w:rsidRPr="00F44465">
        <w:t xml:space="preserve"> costs for managing these risks will be partially recovered from industry, while some specified activities will be funded by the government. Further information on building Australia’s future biosecurity system can be found in </w:t>
      </w:r>
      <w:hyperlink w:anchor="_Reforms:_Building_Australia’s" w:history="1">
        <w:r w:rsidRPr="00F44465">
          <w:rPr>
            <w:rStyle w:val="Hyperlink"/>
          </w:rPr>
          <w:t>section 1.4</w:t>
        </w:r>
      </w:hyperlink>
      <w:r w:rsidRPr="00F44465">
        <w:t>.</w:t>
      </w:r>
    </w:p>
    <w:p w14:paraId="08297F66" w14:textId="6D276637" w:rsidR="000B128E" w:rsidRDefault="000B128E" w:rsidP="000B128E">
      <w:pPr>
        <w:pStyle w:val="Heading3"/>
        <w:rPr>
          <w:lang w:eastAsia="ja-JP"/>
        </w:rPr>
      </w:pPr>
      <w:bookmarkStart w:id="17" w:name="_Statutory_authority_to"/>
      <w:bookmarkStart w:id="18" w:name="_Toc119313386"/>
      <w:bookmarkStart w:id="19" w:name="_Hlk86138239"/>
      <w:bookmarkEnd w:id="17"/>
      <w:r>
        <w:rPr>
          <w:lang w:eastAsia="ja-JP"/>
        </w:rPr>
        <w:t>Statutory authority to charge</w:t>
      </w:r>
      <w:bookmarkEnd w:id="18"/>
    </w:p>
    <w:p w14:paraId="3B091BEF" w14:textId="5C2BEA06" w:rsidR="000B128E" w:rsidRDefault="000B128E" w:rsidP="000B128E">
      <w:pPr>
        <w:rPr>
          <w:lang w:eastAsia="ja-JP"/>
        </w:rPr>
      </w:pPr>
      <w:r>
        <w:rPr>
          <w:lang w:eastAsia="ja-JP"/>
        </w:rPr>
        <w:t>Fees and</w:t>
      </w:r>
      <w:r w:rsidR="00290CC8">
        <w:rPr>
          <w:lang w:eastAsia="ja-JP"/>
        </w:rPr>
        <w:t xml:space="preserve"> charges</w:t>
      </w:r>
      <w:r>
        <w:rPr>
          <w:lang w:eastAsia="ja-JP"/>
        </w:rPr>
        <w:t xml:space="preserve"> for biosecurity </w:t>
      </w:r>
      <w:r w:rsidR="00524504">
        <w:rPr>
          <w:lang w:eastAsia="ja-JP"/>
        </w:rPr>
        <w:t xml:space="preserve">regulatory </w:t>
      </w:r>
      <w:r>
        <w:rPr>
          <w:lang w:eastAsia="ja-JP"/>
        </w:rPr>
        <w:t>activities are recovered under separate statutory authorities.</w:t>
      </w:r>
    </w:p>
    <w:p w14:paraId="67817C49" w14:textId="6B605FF3" w:rsidR="000B128E" w:rsidRDefault="007755D0" w:rsidP="000B128E">
      <w:pPr>
        <w:pStyle w:val="Heading4"/>
        <w:rPr>
          <w:lang w:eastAsia="ja-JP"/>
        </w:rPr>
      </w:pPr>
      <w:r>
        <w:rPr>
          <w:lang w:eastAsia="ja-JP"/>
        </w:rPr>
        <w:t>Fees</w:t>
      </w:r>
    </w:p>
    <w:p w14:paraId="4425502B" w14:textId="2BFFCFE9" w:rsidR="001962A1" w:rsidRDefault="000B128E" w:rsidP="007A18BA">
      <w:pPr>
        <w:rPr>
          <w:lang w:eastAsia="ja-JP"/>
        </w:rPr>
      </w:pPr>
      <w:r>
        <w:rPr>
          <w:lang w:eastAsia="ja-JP"/>
        </w:rPr>
        <w:t xml:space="preserve">The </w:t>
      </w:r>
      <w:hyperlink r:id="rId26" w:history="1">
        <w:r w:rsidRPr="00771774">
          <w:rPr>
            <w:rStyle w:val="Hyperlink"/>
            <w:lang w:eastAsia="ja-JP"/>
          </w:rPr>
          <w:t>Biosecurity Act 2015</w:t>
        </w:r>
      </w:hyperlink>
      <w:r>
        <w:rPr>
          <w:lang w:eastAsia="ja-JP"/>
        </w:rPr>
        <w:t xml:space="preserve"> is the primary biosecurity legislation in Australia. </w:t>
      </w:r>
      <w:hyperlink r:id="rId27" w:history="1">
        <w:r w:rsidR="00674B09" w:rsidRPr="007755D0">
          <w:rPr>
            <w:rStyle w:val="Hyperlink"/>
          </w:rPr>
          <w:t>The Imported Food Control Act 1992</w:t>
        </w:r>
      </w:hyperlink>
      <w:r w:rsidR="00674B09" w:rsidRPr="007755D0">
        <w:t xml:space="preserve"> is the primary </w:t>
      </w:r>
      <w:r w:rsidR="007755D0" w:rsidRPr="007755D0">
        <w:t>food importation</w:t>
      </w:r>
      <w:r w:rsidR="00674B09" w:rsidRPr="007755D0">
        <w:t xml:space="preserve"> legislation.</w:t>
      </w:r>
      <w:r w:rsidR="00674B09">
        <w:t xml:space="preserve"> </w:t>
      </w:r>
      <w:r>
        <w:rPr>
          <w:lang w:eastAsia="ja-JP"/>
        </w:rPr>
        <w:t>Subordinate legislation</w:t>
      </w:r>
      <w:r w:rsidR="000230F1">
        <w:rPr>
          <w:lang w:eastAsia="ja-JP"/>
        </w:rPr>
        <w:t xml:space="preserve"> (including regulations)</w:t>
      </w:r>
      <w:r>
        <w:rPr>
          <w:lang w:eastAsia="ja-JP"/>
        </w:rPr>
        <w:t xml:space="preserve"> and supporting policies affect the management of ballast water, approved arrangements and import risk analysis.</w:t>
      </w:r>
    </w:p>
    <w:p w14:paraId="708EE0A9" w14:textId="0B473F0A" w:rsidR="009D0ABD" w:rsidRDefault="000B128E" w:rsidP="007A18BA">
      <w:pPr>
        <w:rPr>
          <w:lang w:eastAsia="ja-JP"/>
        </w:rPr>
      </w:pPr>
      <w:r>
        <w:rPr>
          <w:lang w:eastAsia="ja-JP"/>
        </w:rPr>
        <w:t xml:space="preserve">The </w:t>
      </w:r>
      <w:hyperlink r:id="rId28" w:history="1">
        <w:r w:rsidRPr="00E8443C">
          <w:rPr>
            <w:rStyle w:val="Hyperlink"/>
            <w:lang w:eastAsia="ja-JP"/>
          </w:rPr>
          <w:t>Biosecurity Regulation 2016</w:t>
        </w:r>
      </w:hyperlink>
      <w:r>
        <w:rPr>
          <w:lang w:eastAsia="ja-JP"/>
        </w:rPr>
        <w:t xml:space="preserve"> provides fees for different biosecurity </w:t>
      </w:r>
      <w:r w:rsidR="00CF46CF">
        <w:rPr>
          <w:lang w:eastAsia="ja-JP"/>
        </w:rPr>
        <w:t xml:space="preserve">regulatory </w:t>
      </w:r>
      <w:r>
        <w:rPr>
          <w:lang w:eastAsia="ja-JP"/>
        </w:rPr>
        <w:t>activities.</w:t>
      </w:r>
      <w:r w:rsidR="00DF4F56">
        <w:rPr>
          <w:lang w:eastAsia="ja-JP"/>
        </w:rPr>
        <w:t xml:space="preserve"> </w:t>
      </w:r>
      <w:r w:rsidR="00DF4F56" w:rsidRPr="00DF4F56">
        <w:rPr>
          <w:lang w:eastAsia="ja-JP"/>
        </w:rPr>
        <w:t xml:space="preserve">Section 592 of the </w:t>
      </w:r>
      <w:r w:rsidR="00C61FB5">
        <w:rPr>
          <w:lang w:eastAsia="ja-JP"/>
        </w:rPr>
        <w:t xml:space="preserve">Biosecurity </w:t>
      </w:r>
      <w:r w:rsidR="00DF4F56" w:rsidRPr="00DF4F56">
        <w:rPr>
          <w:lang w:eastAsia="ja-JP"/>
        </w:rPr>
        <w:t xml:space="preserve">Act </w:t>
      </w:r>
      <w:r w:rsidR="000230F1">
        <w:rPr>
          <w:lang w:eastAsia="ja-JP"/>
        </w:rPr>
        <w:t xml:space="preserve">allow </w:t>
      </w:r>
      <w:r w:rsidR="00DF4F56" w:rsidRPr="00DF4F56">
        <w:rPr>
          <w:lang w:eastAsia="ja-JP"/>
        </w:rPr>
        <w:t xml:space="preserve">fees </w:t>
      </w:r>
      <w:r w:rsidR="000230F1">
        <w:rPr>
          <w:lang w:eastAsia="ja-JP"/>
        </w:rPr>
        <w:t xml:space="preserve">that may be charged in relation to activities carried out by, or on behalf of the Commonwealth, </w:t>
      </w:r>
      <w:r w:rsidR="00DF4F56" w:rsidRPr="00DF4F56">
        <w:rPr>
          <w:lang w:eastAsia="ja-JP"/>
        </w:rPr>
        <w:t xml:space="preserve">to be </w:t>
      </w:r>
      <w:r w:rsidR="000230F1">
        <w:rPr>
          <w:lang w:eastAsia="ja-JP"/>
        </w:rPr>
        <w:t xml:space="preserve">prescribed </w:t>
      </w:r>
      <w:r w:rsidR="00DF4F56" w:rsidRPr="00DF4F56">
        <w:rPr>
          <w:lang w:eastAsia="ja-JP"/>
        </w:rPr>
        <w:t xml:space="preserve">in </w:t>
      </w:r>
      <w:r w:rsidR="000230F1">
        <w:rPr>
          <w:lang w:eastAsia="ja-JP"/>
        </w:rPr>
        <w:t>r</w:t>
      </w:r>
      <w:r w:rsidR="00DF4F56" w:rsidRPr="00DF4F56">
        <w:rPr>
          <w:lang w:eastAsia="ja-JP"/>
        </w:rPr>
        <w:t>egulations made under the Act.</w:t>
      </w:r>
      <w:bookmarkStart w:id="20" w:name="_Hlk86132079"/>
    </w:p>
    <w:p w14:paraId="52961CB7" w14:textId="5340BF1A" w:rsidR="00E70A2F" w:rsidRDefault="00FF396F" w:rsidP="007A18BA">
      <w:pPr>
        <w:rPr>
          <w:lang w:eastAsia="ja-JP"/>
        </w:rPr>
      </w:pPr>
      <w:r>
        <w:rPr>
          <w:lang w:eastAsia="ja-JP"/>
        </w:rPr>
        <w:t xml:space="preserve">The </w:t>
      </w:r>
      <w:hyperlink r:id="rId29" w:history="1">
        <w:r w:rsidRPr="001962A1">
          <w:rPr>
            <w:rStyle w:val="Hyperlink"/>
            <w:lang w:eastAsia="ja-JP"/>
          </w:rPr>
          <w:t>Imported Food Regulations 2019</w:t>
        </w:r>
      </w:hyperlink>
      <w:r>
        <w:rPr>
          <w:lang w:eastAsia="ja-JP"/>
        </w:rPr>
        <w:t xml:space="preserve"> provides fees for different chargeable services. </w:t>
      </w:r>
      <w:r w:rsidR="00E70A2F">
        <w:rPr>
          <w:lang w:eastAsia="ja-JP"/>
        </w:rPr>
        <w:t>Section 36 of the Imported Food Control Act allow</w:t>
      </w:r>
      <w:r w:rsidR="00443D5B">
        <w:rPr>
          <w:lang w:eastAsia="ja-JP"/>
        </w:rPr>
        <w:t>s for</w:t>
      </w:r>
      <w:r w:rsidR="00E70A2F">
        <w:rPr>
          <w:lang w:eastAsia="ja-JP"/>
        </w:rPr>
        <w:t xml:space="preserve"> fees that may be charged in relation to </w:t>
      </w:r>
      <w:r w:rsidR="007A18BA">
        <w:rPr>
          <w:lang w:eastAsia="ja-JP"/>
        </w:rPr>
        <w:t xml:space="preserve">certain </w:t>
      </w:r>
      <w:r w:rsidR="006D5A55">
        <w:rPr>
          <w:lang w:eastAsia="ja-JP"/>
        </w:rPr>
        <w:t xml:space="preserve">chargeable </w:t>
      </w:r>
      <w:r w:rsidR="007A18BA">
        <w:rPr>
          <w:lang w:eastAsia="ja-JP"/>
        </w:rPr>
        <w:t>services</w:t>
      </w:r>
      <w:r w:rsidR="006D5A55">
        <w:rPr>
          <w:lang w:eastAsia="ja-JP"/>
        </w:rPr>
        <w:t xml:space="preserve">, </w:t>
      </w:r>
      <w:r w:rsidR="00A26677">
        <w:rPr>
          <w:lang w:eastAsia="ja-JP"/>
        </w:rPr>
        <w:t xml:space="preserve">to be </w:t>
      </w:r>
      <w:r w:rsidR="007A18BA">
        <w:rPr>
          <w:lang w:eastAsia="ja-JP"/>
        </w:rPr>
        <w:t>prescribed</w:t>
      </w:r>
      <w:r>
        <w:rPr>
          <w:lang w:eastAsia="ja-JP"/>
        </w:rPr>
        <w:t xml:space="preserve"> in regulations </w:t>
      </w:r>
      <w:r w:rsidR="00741283">
        <w:rPr>
          <w:lang w:eastAsia="ja-JP"/>
        </w:rPr>
        <w:t xml:space="preserve">made </w:t>
      </w:r>
      <w:r>
        <w:rPr>
          <w:lang w:eastAsia="ja-JP"/>
        </w:rPr>
        <w:t xml:space="preserve">under </w:t>
      </w:r>
      <w:r w:rsidR="00605381">
        <w:rPr>
          <w:lang w:eastAsia="ja-JP"/>
        </w:rPr>
        <w:t>this Act</w:t>
      </w:r>
      <w:r>
        <w:rPr>
          <w:lang w:eastAsia="ja-JP"/>
        </w:rPr>
        <w:t>.</w:t>
      </w:r>
      <w:bookmarkEnd w:id="20"/>
    </w:p>
    <w:p w14:paraId="5CC60F86" w14:textId="5E01751A" w:rsidR="000B128E" w:rsidRDefault="007755D0" w:rsidP="000B128E">
      <w:pPr>
        <w:pStyle w:val="Heading4"/>
        <w:rPr>
          <w:lang w:eastAsia="ja-JP"/>
        </w:rPr>
      </w:pPr>
      <w:r>
        <w:rPr>
          <w:lang w:eastAsia="ja-JP"/>
        </w:rPr>
        <w:t>Charges</w:t>
      </w:r>
    </w:p>
    <w:p w14:paraId="354E6305" w14:textId="435189B0" w:rsidR="000B128E" w:rsidRDefault="00DF4F56" w:rsidP="000B128E">
      <w:pPr>
        <w:rPr>
          <w:lang w:eastAsia="ja-JP"/>
        </w:rPr>
      </w:pPr>
      <w:r w:rsidRPr="00DF4F56">
        <w:rPr>
          <w:lang w:eastAsia="ja-JP"/>
        </w:rPr>
        <w:t xml:space="preserve">Charges are imposed through specific biosecurity and imported food charging acts and associated delegated legislation, which provide powers to impose and collect charges for biosecurity and imported food </w:t>
      </w:r>
      <w:r w:rsidR="00D900EC">
        <w:rPr>
          <w:lang w:eastAsia="ja-JP"/>
        </w:rPr>
        <w:t>regu</w:t>
      </w:r>
      <w:r w:rsidR="008378B3">
        <w:rPr>
          <w:lang w:eastAsia="ja-JP"/>
        </w:rPr>
        <w:t xml:space="preserve">latory </w:t>
      </w:r>
      <w:r w:rsidRPr="00DF4F56">
        <w:rPr>
          <w:lang w:eastAsia="ja-JP"/>
        </w:rPr>
        <w:t>activities:</w:t>
      </w:r>
    </w:p>
    <w:p w14:paraId="1B397A68" w14:textId="29E22ABD" w:rsidR="000B128E" w:rsidRDefault="003C1A72" w:rsidP="007B13E1">
      <w:pPr>
        <w:pStyle w:val="ListBullet"/>
        <w:spacing w:before="0"/>
        <w:rPr>
          <w:lang w:eastAsia="ja-JP"/>
        </w:rPr>
      </w:pPr>
      <w:hyperlink r:id="rId30" w:history="1">
        <w:r w:rsidR="000B128E" w:rsidRPr="003879AF">
          <w:rPr>
            <w:rStyle w:val="Hyperlink"/>
            <w:lang w:eastAsia="ja-JP"/>
          </w:rPr>
          <w:t>Biosecurity Charges Imposition (Customs) Act 2015</w:t>
        </w:r>
      </w:hyperlink>
    </w:p>
    <w:p w14:paraId="0719951E" w14:textId="78849641" w:rsidR="000B128E" w:rsidRDefault="003C1A72" w:rsidP="000B128E">
      <w:pPr>
        <w:pStyle w:val="ListBullet"/>
        <w:rPr>
          <w:lang w:eastAsia="ja-JP"/>
        </w:rPr>
      </w:pPr>
      <w:hyperlink r:id="rId31" w:history="1">
        <w:r w:rsidR="000B128E" w:rsidRPr="003879AF">
          <w:rPr>
            <w:rStyle w:val="Hyperlink"/>
            <w:lang w:eastAsia="ja-JP"/>
          </w:rPr>
          <w:t>Biosecurity Charges Imposition (Excise) Act 2015</w:t>
        </w:r>
      </w:hyperlink>
    </w:p>
    <w:p w14:paraId="7B7A4F40" w14:textId="52313865" w:rsidR="000B128E" w:rsidRDefault="003C1A72" w:rsidP="000B128E">
      <w:pPr>
        <w:pStyle w:val="ListBullet"/>
        <w:rPr>
          <w:lang w:eastAsia="ja-JP"/>
        </w:rPr>
      </w:pPr>
      <w:hyperlink r:id="rId32" w:history="1">
        <w:r w:rsidR="000B128E" w:rsidRPr="003879AF">
          <w:rPr>
            <w:rStyle w:val="Hyperlink"/>
            <w:lang w:eastAsia="ja-JP"/>
          </w:rPr>
          <w:t>Biosecurity Charges Imposition (General) Act 2015</w:t>
        </w:r>
      </w:hyperlink>
    </w:p>
    <w:p w14:paraId="1E3F42AA" w14:textId="4C7D3BF2" w:rsidR="000B128E" w:rsidRDefault="003C1A72" w:rsidP="000B128E">
      <w:pPr>
        <w:pStyle w:val="ListBullet"/>
        <w:rPr>
          <w:lang w:eastAsia="ja-JP"/>
        </w:rPr>
      </w:pPr>
      <w:hyperlink r:id="rId33" w:history="1">
        <w:r w:rsidR="000B128E" w:rsidRPr="003879AF">
          <w:rPr>
            <w:rStyle w:val="Hyperlink"/>
            <w:lang w:eastAsia="ja-JP"/>
          </w:rPr>
          <w:t>Imported Food Charges (Imposition—Customs) Act 2015</w:t>
        </w:r>
      </w:hyperlink>
    </w:p>
    <w:p w14:paraId="7BED2355" w14:textId="4DAE21BD" w:rsidR="000B128E" w:rsidRDefault="003C1A72" w:rsidP="000B128E">
      <w:pPr>
        <w:pStyle w:val="ListBullet"/>
        <w:rPr>
          <w:lang w:eastAsia="ja-JP"/>
        </w:rPr>
      </w:pPr>
      <w:hyperlink r:id="rId34" w:history="1">
        <w:r w:rsidR="000B128E" w:rsidRPr="003879AF">
          <w:rPr>
            <w:rStyle w:val="Hyperlink"/>
            <w:lang w:eastAsia="ja-JP"/>
          </w:rPr>
          <w:t>Imported Food Charges (Imposition—Excise) Act 2015</w:t>
        </w:r>
      </w:hyperlink>
    </w:p>
    <w:p w14:paraId="53718131" w14:textId="04674773" w:rsidR="000B128E" w:rsidRDefault="003C1A72" w:rsidP="000B128E">
      <w:pPr>
        <w:pStyle w:val="ListBullet"/>
        <w:rPr>
          <w:lang w:eastAsia="ja-JP"/>
        </w:rPr>
      </w:pPr>
      <w:hyperlink r:id="rId35" w:history="1">
        <w:r w:rsidR="000B128E" w:rsidRPr="003879AF">
          <w:rPr>
            <w:rStyle w:val="Hyperlink"/>
            <w:lang w:eastAsia="ja-JP"/>
          </w:rPr>
          <w:t>Imported Food Charges (Imposition—General) Act 2015</w:t>
        </w:r>
      </w:hyperlink>
    </w:p>
    <w:p w14:paraId="447624D2" w14:textId="3B18031F" w:rsidR="000B128E" w:rsidRDefault="003C1A72" w:rsidP="000B128E">
      <w:pPr>
        <w:pStyle w:val="ListBullet"/>
        <w:rPr>
          <w:lang w:eastAsia="ja-JP"/>
        </w:rPr>
      </w:pPr>
      <w:hyperlink r:id="rId36" w:history="1">
        <w:r w:rsidR="000B128E" w:rsidRPr="003879AF">
          <w:rPr>
            <w:rStyle w:val="Hyperlink"/>
            <w:lang w:eastAsia="ja-JP"/>
          </w:rPr>
          <w:t>Imported Food Charges (Collection) Act 2015</w:t>
        </w:r>
      </w:hyperlink>
    </w:p>
    <w:p w14:paraId="351343D0" w14:textId="516801BC" w:rsidR="000B128E" w:rsidRDefault="000B128E" w:rsidP="000B128E">
      <w:pPr>
        <w:rPr>
          <w:lang w:eastAsia="ja-JP"/>
        </w:rPr>
      </w:pPr>
      <w:r>
        <w:rPr>
          <w:lang w:eastAsia="ja-JP"/>
        </w:rPr>
        <w:t xml:space="preserve">Specific charges are prescribed in the </w:t>
      </w:r>
      <w:hyperlink r:id="rId37" w:history="1">
        <w:r w:rsidRPr="00E25190">
          <w:rPr>
            <w:rStyle w:val="Hyperlink"/>
            <w:lang w:eastAsia="ja-JP"/>
          </w:rPr>
          <w:t>Biosecurity Charges Imposition (Customs) Regulation 2016</w:t>
        </w:r>
      </w:hyperlink>
      <w:r>
        <w:rPr>
          <w:lang w:eastAsia="ja-JP"/>
        </w:rPr>
        <w:t xml:space="preserve"> and the </w:t>
      </w:r>
      <w:hyperlink r:id="rId38" w:history="1">
        <w:r w:rsidRPr="00E25190">
          <w:rPr>
            <w:rStyle w:val="Hyperlink"/>
            <w:lang w:eastAsia="ja-JP"/>
          </w:rPr>
          <w:t>Biosecurity Charges Imposition (General) Regulation 2016</w:t>
        </w:r>
      </w:hyperlink>
      <w:r>
        <w:rPr>
          <w:lang w:eastAsia="ja-JP"/>
        </w:rPr>
        <w:t>.</w:t>
      </w:r>
    </w:p>
    <w:p w14:paraId="43CF5DF3" w14:textId="7F4BFC33" w:rsidR="000B128E" w:rsidRPr="00D052B1" w:rsidRDefault="00BC2261" w:rsidP="00D052B1">
      <w:pPr>
        <w:rPr>
          <w:lang w:eastAsia="ja-JP"/>
        </w:rPr>
      </w:pPr>
      <w:r>
        <w:rPr>
          <w:lang w:eastAsia="ja-JP"/>
        </w:rPr>
        <w:t xml:space="preserve">Specific charges are prescribed in the </w:t>
      </w:r>
      <w:hyperlink r:id="rId39" w:history="1">
        <w:r w:rsidRPr="00741283">
          <w:rPr>
            <w:rStyle w:val="Hyperlink"/>
            <w:lang w:eastAsia="ja-JP"/>
          </w:rPr>
          <w:t xml:space="preserve">Imported Food </w:t>
        </w:r>
        <w:r w:rsidR="00741283">
          <w:rPr>
            <w:rStyle w:val="Hyperlink"/>
            <w:lang w:eastAsia="ja-JP"/>
          </w:rPr>
          <w:t>Charges</w:t>
        </w:r>
        <w:r w:rsidRPr="00741283">
          <w:rPr>
            <w:rStyle w:val="Hyperlink"/>
            <w:lang w:eastAsia="ja-JP"/>
          </w:rPr>
          <w:t xml:space="preserve"> (</w:t>
        </w:r>
        <w:r w:rsidR="00741283" w:rsidRPr="00741283">
          <w:rPr>
            <w:rStyle w:val="Hyperlink"/>
            <w:lang w:eastAsia="ja-JP"/>
          </w:rPr>
          <w:t>Imposition—Customs</w:t>
        </w:r>
        <w:r w:rsidRPr="00741283">
          <w:rPr>
            <w:rStyle w:val="Hyperlink"/>
            <w:lang w:eastAsia="ja-JP"/>
          </w:rPr>
          <w:t>) Regulation</w:t>
        </w:r>
        <w:r w:rsidR="00741283" w:rsidRPr="00741283">
          <w:rPr>
            <w:rStyle w:val="Hyperlink"/>
            <w:lang w:eastAsia="ja-JP"/>
          </w:rPr>
          <w:t xml:space="preserve"> 2015</w:t>
        </w:r>
      </w:hyperlink>
      <w:r w:rsidR="00741283">
        <w:rPr>
          <w:lang w:eastAsia="ja-JP"/>
        </w:rPr>
        <w:t xml:space="preserve"> and the </w:t>
      </w:r>
      <w:hyperlink r:id="rId40" w:history="1">
        <w:r w:rsidR="00741283" w:rsidRPr="00741283">
          <w:rPr>
            <w:rStyle w:val="Hyperlink"/>
            <w:lang w:eastAsia="ja-JP"/>
          </w:rPr>
          <w:t>Imported Food Charges (Imposition—General) Regulation</w:t>
        </w:r>
      </w:hyperlink>
      <w:r w:rsidR="00741283">
        <w:rPr>
          <w:lang w:eastAsia="ja-JP"/>
        </w:rPr>
        <w:t xml:space="preserve"> 2015.</w:t>
      </w:r>
      <w:bookmarkEnd w:id="19"/>
    </w:p>
    <w:p w14:paraId="01F46072" w14:textId="1942F859" w:rsidR="000B128E" w:rsidRDefault="000B128E" w:rsidP="000B128E">
      <w:pPr>
        <w:pStyle w:val="Heading2"/>
      </w:pPr>
      <w:bookmarkStart w:id="21" w:name="_Regulatory_charging_model"/>
      <w:bookmarkStart w:id="22" w:name="_Toc119313387"/>
      <w:bookmarkEnd w:id="21"/>
      <w:r>
        <w:lastRenderedPageBreak/>
        <w:t>Regulatory charging model</w:t>
      </w:r>
      <w:bookmarkEnd w:id="22"/>
    </w:p>
    <w:p w14:paraId="17249483" w14:textId="2117245E" w:rsidR="000B128E" w:rsidRDefault="000B128E" w:rsidP="000B128E">
      <w:pPr>
        <w:pStyle w:val="Heading3"/>
        <w:rPr>
          <w:lang w:eastAsia="ja-JP"/>
        </w:rPr>
      </w:pPr>
      <w:bookmarkStart w:id="23" w:name="_Toc119313388"/>
      <w:r>
        <w:rPr>
          <w:lang w:eastAsia="ja-JP"/>
        </w:rPr>
        <w:t>Outputs and business processes of regulatory charging</w:t>
      </w:r>
      <w:bookmarkEnd w:id="23"/>
    </w:p>
    <w:p w14:paraId="716227AD" w14:textId="3A3119C3" w:rsidR="000B128E" w:rsidRDefault="000B128E" w:rsidP="007B13E1">
      <w:pPr>
        <w:spacing w:before="120"/>
        <w:rPr>
          <w:lang w:eastAsia="ja-JP"/>
        </w:rPr>
      </w:pPr>
      <w:r>
        <w:rPr>
          <w:lang w:eastAsia="ja-JP"/>
        </w:rPr>
        <w:t xml:space="preserve">The key policy objective for our regulatory charging arrangements </w:t>
      </w:r>
      <w:r w:rsidR="00C61FB5">
        <w:rPr>
          <w:lang w:eastAsia="ja-JP"/>
        </w:rPr>
        <w:t>is</w:t>
      </w:r>
      <w:r>
        <w:rPr>
          <w:lang w:eastAsia="ja-JP"/>
        </w:rPr>
        <w:t xml:space="preserve"> to:</w:t>
      </w:r>
    </w:p>
    <w:p w14:paraId="541FE932" w14:textId="4C00D3B5" w:rsidR="000B128E" w:rsidRDefault="000B128E" w:rsidP="00810BEB">
      <w:pPr>
        <w:pStyle w:val="ListBullet"/>
        <w:rPr>
          <w:lang w:eastAsia="ja-JP"/>
        </w:rPr>
      </w:pPr>
      <w:r>
        <w:rPr>
          <w:lang w:eastAsia="ja-JP"/>
        </w:rPr>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r w:rsidR="00C61FB5">
        <w:rPr>
          <w:lang w:eastAsia="ja-JP"/>
        </w:rPr>
        <w:t>.</w:t>
      </w:r>
    </w:p>
    <w:p w14:paraId="7DE7472E" w14:textId="540C1F22" w:rsidR="00810BEB" w:rsidRDefault="004A2FA3" w:rsidP="00767BDD">
      <w:pPr>
        <w:ind w:firstLine="425"/>
      </w:pPr>
      <w:r>
        <w:t>This objective is a</w:t>
      </w:r>
      <w:r w:rsidR="00DF4F56">
        <w:t xml:space="preserve">vailable in the </w:t>
      </w:r>
      <w:hyperlink r:id="rId41" w:anchor="202223" w:history="1">
        <w:r w:rsidR="00B04D55">
          <w:rPr>
            <w:rStyle w:val="Hyperlink"/>
          </w:rPr>
          <w:t>Portfolio Budget Statement 2022</w:t>
        </w:r>
        <w:r w:rsidR="007B13E1">
          <w:rPr>
            <w:rStyle w:val="Hyperlink"/>
          </w:rPr>
          <w:t>–</w:t>
        </w:r>
        <w:r w:rsidR="00B04D55">
          <w:rPr>
            <w:rStyle w:val="Hyperlink"/>
          </w:rPr>
          <w:t>23</w:t>
        </w:r>
      </w:hyperlink>
      <w:r w:rsidR="00810BEB" w:rsidRPr="00810BEB">
        <w:t xml:space="preserve"> </w:t>
      </w:r>
      <w:r w:rsidR="00810BEB">
        <w:t xml:space="preserve">Outcome </w:t>
      </w:r>
      <w:r w:rsidR="004832BC">
        <w:t>2</w:t>
      </w:r>
      <w:r w:rsidR="00C61FB5">
        <w:t>,</w:t>
      </w:r>
      <w:r w:rsidR="00810BEB">
        <w:t xml:space="preserve"> </w:t>
      </w:r>
      <w:r w:rsidR="00C61FB5">
        <w:t>page</w:t>
      </w:r>
      <w:r w:rsidR="00810BEB">
        <w:t xml:space="preserve"> </w:t>
      </w:r>
      <w:r w:rsidR="004832BC">
        <w:t>5</w:t>
      </w:r>
      <w:r w:rsidR="00810BEB">
        <w:t>.</w:t>
      </w:r>
    </w:p>
    <w:p w14:paraId="674214E7" w14:textId="4E5A63BD" w:rsidR="000B128E" w:rsidRDefault="000B128E" w:rsidP="000B128E">
      <w:pPr>
        <w:rPr>
          <w:lang w:eastAsia="ja-JP"/>
        </w:rPr>
      </w:pPr>
      <w:r>
        <w:rPr>
          <w:lang w:eastAsia="ja-JP"/>
        </w:rPr>
        <w:t xml:space="preserve">Regulatory activities are described in </w:t>
      </w:r>
      <w:hyperlink w:anchor="_Appendix_B:_Description" w:history="1">
        <w:r w:rsidRPr="00DF4F56">
          <w:rPr>
            <w:rStyle w:val="Hyperlink"/>
            <w:lang w:eastAsia="ja-JP"/>
          </w:rPr>
          <w:t>Appendi</w:t>
        </w:r>
        <w:r w:rsidR="00C61FB5">
          <w:rPr>
            <w:rStyle w:val="Hyperlink"/>
            <w:lang w:eastAsia="ja-JP"/>
          </w:rPr>
          <w:t xml:space="preserve">x </w:t>
        </w:r>
        <w:r w:rsidR="00D83313">
          <w:rPr>
            <w:rStyle w:val="Hyperlink"/>
            <w:lang w:eastAsia="ja-JP"/>
          </w:rPr>
          <w:t>B</w:t>
        </w:r>
      </w:hyperlink>
      <w:r>
        <w:rPr>
          <w:lang w:eastAsia="ja-JP"/>
        </w:rPr>
        <w:t xml:space="preserve"> and are grouped into </w:t>
      </w:r>
      <w:r w:rsidR="00E25190">
        <w:rPr>
          <w:lang w:eastAsia="ja-JP"/>
        </w:rPr>
        <w:t>4</w:t>
      </w:r>
      <w:r w:rsidR="00E25190">
        <w:t> </w:t>
      </w:r>
      <w:r>
        <w:rPr>
          <w:lang w:eastAsia="ja-JP"/>
        </w:rPr>
        <w:t>categories:</w:t>
      </w:r>
    </w:p>
    <w:p w14:paraId="6D28D7C7" w14:textId="64BA92DB" w:rsidR="000B128E" w:rsidRDefault="000B128E" w:rsidP="00E25190">
      <w:pPr>
        <w:pStyle w:val="ListNumber"/>
        <w:rPr>
          <w:lang w:eastAsia="ja-JP"/>
        </w:rPr>
      </w:pPr>
      <w:r>
        <w:rPr>
          <w:lang w:eastAsia="ja-JP"/>
        </w:rPr>
        <w:t>Program management and administration</w:t>
      </w:r>
      <w:r w:rsidR="00B6177D">
        <w:rPr>
          <w:lang w:eastAsia="ja-JP"/>
        </w:rPr>
        <w:t xml:space="preserve"> – </w:t>
      </w:r>
      <w:r>
        <w:rPr>
          <w:lang w:eastAsia="ja-JP"/>
        </w:rPr>
        <w:t>administrative activities that support us to deliver our biosecurity regulatory activities.</w:t>
      </w:r>
    </w:p>
    <w:p w14:paraId="52EAE2C8" w14:textId="3C4E96CA" w:rsidR="000B128E" w:rsidRDefault="000B128E" w:rsidP="00E25190">
      <w:pPr>
        <w:pStyle w:val="ListNumber"/>
        <w:rPr>
          <w:lang w:eastAsia="ja-JP"/>
        </w:rPr>
      </w:pPr>
      <w:r>
        <w:rPr>
          <w:lang w:eastAsia="ja-JP"/>
        </w:rPr>
        <w:t>Assurance</w:t>
      </w:r>
      <w:r w:rsidR="00B6177D">
        <w:rPr>
          <w:lang w:eastAsia="ja-JP"/>
        </w:rPr>
        <w:t xml:space="preserve"> – </w:t>
      </w:r>
      <w:r>
        <w:rPr>
          <w:lang w:eastAsia="ja-JP"/>
        </w:rPr>
        <w:t>activities that mitigate risks to collective user groups by assessing departmental controls of systems and processes to ensure they operate in accordance with their intended design.</w:t>
      </w:r>
    </w:p>
    <w:p w14:paraId="180AE54E" w14:textId="7260D899" w:rsidR="000B128E" w:rsidRDefault="000B128E" w:rsidP="00E25190">
      <w:pPr>
        <w:pStyle w:val="ListNumber"/>
        <w:rPr>
          <w:lang w:eastAsia="ja-JP"/>
        </w:rPr>
      </w:pPr>
      <w:r>
        <w:rPr>
          <w:lang w:eastAsia="ja-JP"/>
        </w:rPr>
        <w:t>Incident management</w:t>
      </w:r>
      <w:r w:rsidR="00B6177D">
        <w:rPr>
          <w:lang w:eastAsia="ja-JP"/>
        </w:rPr>
        <w:t xml:space="preserve"> – </w:t>
      </w:r>
      <w:r>
        <w:rPr>
          <w:lang w:eastAsia="ja-JP"/>
        </w:rPr>
        <w:t xml:space="preserve">activities that respond to incidents concerning alleged breaches of Australian regulation or </w:t>
      </w:r>
      <w:r w:rsidR="00DF4F56">
        <w:rPr>
          <w:lang w:eastAsia="ja-JP"/>
        </w:rPr>
        <w:t>import</w:t>
      </w:r>
      <w:r>
        <w:rPr>
          <w:lang w:eastAsia="ja-JP"/>
        </w:rPr>
        <w:t xml:space="preserve"> conditions.</w:t>
      </w:r>
    </w:p>
    <w:p w14:paraId="750BA239" w14:textId="7038BE3E" w:rsidR="000B128E" w:rsidRDefault="000B128E" w:rsidP="00E25190">
      <w:pPr>
        <w:pStyle w:val="ListNumber"/>
        <w:rPr>
          <w:lang w:eastAsia="ja-JP"/>
        </w:rPr>
      </w:pPr>
      <w:r>
        <w:rPr>
          <w:lang w:eastAsia="ja-JP"/>
        </w:rPr>
        <w:t>Intervention</w:t>
      </w:r>
      <w:r w:rsidR="00F75BD4">
        <w:rPr>
          <w:lang w:eastAsia="ja-JP"/>
        </w:rPr>
        <w:t xml:space="preserve"> </w:t>
      </w:r>
      <w:r w:rsidR="00DF4F56">
        <w:rPr>
          <w:lang w:eastAsia="ja-JP"/>
        </w:rPr>
        <w:t>–</w:t>
      </w:r>
      <w:r w:rsidR="00B6177D">
        <w:rPr>
          <w:lang w:eastAsia="ja-JP"/>
        </w:rPr>
        <w:t xml:space="preserve"> </w:t>
      </w:r>
      <w:r>
        <w:rPr>
          <w:lang w:eastAsia="ja-JP"/>
        </w:rPr>
        <w:t>activities provided directly to an individual, business or organisation to meet import requirements</w:t>
      </w:r>
      <w:r w:rsidR="00443D5B">
        <w:rPr>
          <w:lang w:eastAsia="ja-JP"/>
        </w:rPr>
        <w:t xml:space="preserve"> (</w:t>
      </w:r>
      <w:proofErr w:type="gramStart"/>
      <w:r w:rsidR="00443D5B">
        <w:rPr>
          <w:lang w:eastAsia="ja-JP"/>
        </w:rPr>
        <w:t>e.g.</w:t>
      </w:r>
      <w:proofErr w:type="gramEnd"/>
      <w:r w:rsidR="00443D5B">
        <w:rPr>
          <w:lang w:eastAsia="ja-JP"/>
        </w:rPr>
        <w:t xml:space="preserve"> inspection and assessment)</w:t>
      </w:r>
      <w:r>
        <w:rPr>
          <w:lang w:eastAsia="ja-JP"/>
        </w:rPr>
        <w:t>.</w:t>
      </w:r>
    </w:p>
    <w:p w14:paraId="5A5B4A15" w14:textId="0FDAFD19" w:rsidR="000B128E" w:rsidRDefault="000B128E" w:rsidP="00E25190">
      <w:pPr>
        <w:pStyle w:val="Heading3"/>
        <w:rPr>
          <w:lang w:eastAsia="ja-JP"/>
        </w:rPr>
      </w:pPr>
      <w:bookmarkStart w:id="24" w:name="_Toc119313389"/>
      <w:r>
        <w:rPr>
          <w:lang w:eastAsia="ja-JP"/>
        </w:rPr>
        <w:t xml:space="preserve">Costs of </w:t>
      </w:r>
      <w:r w:rsidR="00495B6C">
        <w:rPr>
          <w:lang w:eastAsia="ja-JP"/>
        </w:rPr>
        <w:t>r</w:t>
      </w:r>
      <w:r>
        <w:rPr>
          <w:lang w:eastAsia="ja-JP"/>
        </w:rPr>
        <w:t>egulatory charging</w:t>
      </w:r>
      <w:bookmarkEnd w:id="24"/>
    </w:p>
    <w:p w14:paraId="7B35FEB0" w14:textId="070B5647" w:rsidR="000B128E" w:rsidRDefault="000B128E" w:rsidP="007B13E1">
      <w:pPr>
        <w:pStyle w:val="Heading4"/>
        <w:spacing w:before="120" w:after="120"/>
        <w:rPr>
          <w:lang w:eastAsia="ja-JP"/>
        </w:rPr>
      </w:pPr>
      <w:r>
        <w:rPr>
          <w:lang w:eastAsia="ja-JP"/>
        </w:rPr>
        <w:t>Cost allocation process</w:t>
      </w:r>
    </w:p>
    <w:p w14:paraId="617897D4" w14:textId="68D64147" w:rsidR="000B128E" w:rsidRDefault="000B128E" w:rsidP="000B128E">
      <w:pPr>
        <w:rPr>
          <w:lang w:eastAsia="ja-JP"/>
        </w:rPr>
      </w:pPr>
      <w:r>
        <w:rPr>
          <w:lang w:eastAsia="ja-JP"/>
        </w:rPr>
        <w:t xml:space="preserve">To determine the cost of regulatory activities, we use an </w:t>
      </w:r>
      <w:r w:rsidR="00DF4F56">
        <w:rPr>
          <w:lang w:eastAsia="ja-JP"/>
        </w:rPr>
        <w:t>activity-based</w:t>
      </w:r>
      <w:r>
        <w:rPr>
          <w:lang w:eastAsia="ja-JP"/>
        </w:rPr>
        <w:t xml:space="preserve"> costing (ABC) system. Our ABC allocation methodology reflects effort incurred </w:t>
      </w:r>
      <w:r w:rsidR="00F75BD4">
        <w:rPr>
          <w:lang w:eastAsia="ja-JP"/>
        </w:rPr>
        <w:t xml:space="preserve">in </w:t>
      </w:r>
      <w:r w:rsidR="00DF4F56">
        <w:rPr>
          <w:lang w:eastAsia="ja-JP"/>
        </w:rPr>
        <w:t>delivering regulatory</w:t>
      </w:r>
      <w:r>
        <w:rPr>
          <w:lang w:eastAsia="ja-JP"/>
        </w:rPr>
        <w:t xml:space="preserve"> activities to the individual or entity. This provides an accountable and transparent allocation of costs that is also efficient and effective to administer.</w:t>
      </w:r>
    </w:p>
    <w:p w14:paraId="6A657D73" w14:textId="147B151E" w:rsidR="000B128E" w:rsidRDefault="000B128E" w:rsidP="000B128E">
      <w:pPr>
        <w:rPr>
          <w:lang w:eastAsia="ja-JP"/>
        </w:rPr>
      </w:pPr>
      <w:r>
        <w:rPr>
          <w:lang w:eastAsia="ja-JP"/>
        </w:rPr>
        <w:t xml:space="preserve">The </w:t>
      </w:r>
      <w:r w:rsidR="00B6177D">
        <w:rPr>
          <w:lang w:eastAsia="ja-JP"/>
        </w:rPr>
        <w:t>2</w:t>
      </w:r>
      <w:r>
        <w:rPr>
          <w:lang w:eastAsia="ja-JP"/>
        </w:rPr>
        <w:t xml:space="preserve"> expense categories are:</w:t>
      </w:r>
    </w:p>
    <w:p w14:paraId="528A9206" w14:textId="55AC658C" w:rsidR="000B128E" w:rsidRDefault="00B6177D" w:rsidP="00E25190">
      <w:pPr>
        <w:pStyle w:val="ListNumber"/>
        <w:numPr>
          <w:ilvl w:val="0"/>
          <w:numId w:val="31"/>
        </w:numPr>
        <w:rPr>
          <w:lang w:eastAsia="ja-JP"/>
        </w:rPr>
      </w:pPr>
      <w:r>
        <w:rPr>
          <w:lang w:eastAsia="ja-JP"/>
        </w:rPr>
        <w:t>D</w:t>
      </w:r>
      <w:r w:rsidR="000B128E">
        <w:rPr>
          <w:lang w:eastAsia="ja-JP"/>
        </w:rPr>
        <w:t>irect expenses—these can be directly attributed to the provision of an activity, for example, inspections</w:t>
      </w:r>
      <w:r w:rsidR="0037601D">
        <w:rPr>
          <w:lang w:eastAsia="ja-JP"/>
        </w:rPr>
        <w:t xml:space="preserve"> and assessments</w:t>
      </w:r>
      <w:r w:rsidR="000B128E">
        <w:rPr>
          <w:lang w:eastAsia="ja-JP"/>
        </w:rPr>
        <w:t xml:space="preserve">. They comprise staff salaries and supplier costs including direct capital expenses, which includes plant, </w:t>
      </w:r>
      <w:proofErr w:type="gramStart"/>
      <w:r w:rsidR="000B128E">
        <w:rPr>
          <w:lang w:eastAsia="ja-JP"/>
        </w:rPr>
        <w:t>property</w:t>
      </w:r>
      <w:proofErr w:type="gramEnd"/>
      <w:r w:rsidR="000B128E">
        <w:rPr>
          <w:lang w:eastAsia="ja-JP"/>
        </w:rPr>
        <w:t xml:space="preserve"> and depreciation.</w:t>
      </w:r>
    </w:p>
    <w:p w14:paraId="2910C394" w14:textId="22448F4B" w:rsidR="000B128E" w:rsidRDefault="00B6177D" w:rsidP="00E25190">
      <w:pPr>
        <w:pStyle w:val="ListNumber"/>
        <w:rPr>
          <w:lang w:eastAsia="ja-JP"/>
        </w:rPr>
      </w:pPr>
      <w:r>
        <w:rPr>
          <w:lang w:eastAsia="ja-JP"/>
        </w:rPr>
        <w:t>I</w:t>
      </w:r>
      <w:r w:rsidR="000B128E">
        <w:rPr>
          <w:lang w:eastAsia="ja-JP"/>
        </w:rPr>
        <w:t>ndirect expenses—</w:t>
      </w:r>
      <w:r w:rsidR="005046EF">
        <w:t>these support</w:t>
      </w:r>
      <w:r w:rsidR="00F75BD4">
        <w:t xml:space="preserve"> the effective and necessary provision of </w:t>
      </w:r>
      <w:r w:rsidR="00DF4F56">
        <w:t>our direct</w:t>
      </w:r>
      <w:r w:rsidR="00F75BD4">
        <w:t xml:space="preserve"> expense activity</w:t>
      </w:r>
      <w:r w:rsidR="000B128E">
        <w:rPr>
          <w:lang w:eastAsia="ja-JP"/>
        </w:rPr>
        <w:t xml:space="preserve">. Indirect expenses include corporate employee salaries and overheads such as information technology, finance, human resource costs, and indirect capital expenses, which includes plant, </w:t>
      </w:r>
      <w:proofErr w:type="gramStart"/>
      <w:r w:rsidR="000B128E">
        <w:rPr>
          <w:lang w:eastAsia="ja-JP"/>
        </w:rPr>
        <w:t>property</w:t>
      </w:r>
      <w:proofErr w:type="gramEnd"/>
      <w:r w:rsidR="000B128E">
        <w:rPr>
          <w:lang w:eastAsia="ja-JP"/>
        </w:rPr>
        <w:t xml:space="preserve"> and depreciation.</w:t>
      </w:r>
    </w:p>
    <w:p w14:paraId="0CFF1B97" w14:textId="2FBE8438" w:rsidR="00D46711" w:rsidRDefault="00F75BD4" w:rsidP="00767BDD">
      <w:pPr>
        <w:rPr>
          <w:lang w:eastAsia="ja-JP"/>
        </w:rPr>
      </w:pPr>
      <w:r>
        <w:rPr>
          <w:lang w:eastAsia="ja-JP"/>
        </w:rPr>
        <w:t xml:space="preserve">The </w:t>
      </w:r>
      <w:r>
        <w:t xml:space="preserve">cost allocation process apportions the costs of support functions (indirect expense) and direct expense to the processes and activities defined in </w:t>
      </w:r>
      <w:hyperlink w:anchor="_Appendix_B:_Description" w:history="1">
        <w:r w:rsidR="00CF46CF">
          <w:rPr>
            <w:rStyle w:val="Hyperlink"/>
            <w:rFonts w:asciiTheme="majorHAnsi" w:hAnsiTheme="majorHAnsi"/>
          </w:rPr>
          <w:t>Appendix B</w:t>
        </w:r>
      </w:hyperlink>
      <w:r>
        <w:t xml:space="preserve">. </w:t>
      </w:r>
      <w:r>
        <w:rPr>
          <w:lang w:eastAsia="ja-JP"/>
        </w:rPr>
        <w:t xml:space="preserve">Indirect expenses are included in the cost base to reflect the systems and processes that assist with administration, </w:t>
      </w:r>
      <w:r>
        <w:rPr>
          <w:lang w:eastAsia="ja-JP"/>
        </w:rPr>
        <w:lastRenderedPageBreak/>
        <w:t>which the cost recovered arrangement benefit</w:t>
      </w:r>
      <w:r w:rsidR="00D46711">
        <w:rPr>
          <w:lang w:eastAsia="ja-JP"/>
        </w:rPr>
        <w:t>s</w:t>
      </w:r>
      <w:r>
        <w:rPr>
          <w:lang w:eastAsia="ja-JP"/>
        </w:rPr>
        <w:t xml:space="preserve"> from. The same methodology is employed to allocate indirect costs to activities funded by budget appropriation, in line with our internal cost allocation policy.</w:t>
      </w:r>
    </w:p>
    <w:p w14:paraId="403C4934" w14:textId="77777777" w:rsidR="000B128E" w:rsidRDefault="000B128E" w:rsidP="004A2FA3">
      <w:pPr>
        <w:rPr>
          <w:lang w:eastAsia="ja-JP"/>
        </w:rPr>
      </w:pPr>
      <w:r>
        <w:rPr>
          <w:lang w:eastAsia="ja-JP"/>
        </w:rPr>
        <w:t>The ABC system allocates costs in a staged approach. The steps are:</w:t>
      </w:r>
    </w:p>
    <w:p w14:paraId="63D12443" w14:textId="20F996BC" w:rsidR="000B128E" w:rsidRDefault="000B128E" w:rsidP="00E25190">
      <w:pPr>
        <w:pStyle w:val="ListNumber"/>
        <w:numPr>
          <w:ilvl w:val="0"/>
          <w:numId w:val="32"/>
        </w:numPr>
        <w:rPr>
          <w:lang w:eastAsia="ja-JP"/>
        </w:rPr>
      </w:pPr>
      <w:r>
        <w:rPr>
          <w:lang w:eastAsia="ja-JP"/>
        </w:rPr>
        <w:t xml:space="preserve">Indirect costs such as property, finance, information technology, human resources and divisional executives are allocated to direct cost centres using a cost driver that estimates the relative </w:t>
      </w:r>
      <w:r w:rsidR="00F75BD4">
        <w:rPr>
          <w:lang w:eastAsia="ja-JP"/>
        </w:rPr>
        <w:t xml:space="preserve">use </w:t>
      </w:r>
      <w:r>
        <w:rPr>
          <w:lang w:eastAsia="ja-JP"/>
        </w:rPr>
        <w:t xml:space="preserve">of each </w:t>
      </w:r>
      <w:r w:rsidR="002A4104">
        <w:rPr>
          <w:lang w:eastAsia="ja-JP"/>
        </w:rPr>
        <w:t>activity</w:t>
      </w:r>
      <w:r>
        <w:rPr>
          <w:lang w:eastAsia="ja-JP"/>
        </w:rPr>
        <w:t>. Cost drivers for corporate activities include</w:t>
      </w:r>
      <w:r w:rsidR="007F7AD5">
        <w:rPr>
          <w:lang w:eastAsia="ja-JP"/>
        </w:rPr>
        <w:t>:</w:t>
      </w:r>
    </w:p>
    <w:p w14:paraId="6968FD0C" w14:textId="489EE6BA" w:rsidR="000B128E" w:rsidRDefault="00DF4F56" w:rsidP="00E25190">
      <w:pPr>
        <w:pStyle w:val="ListNumber2"/>
        <w:rPr>
          <w:lang w:eastAsia="ja-JP"/>
        </w:rPr>
      </w:pPr>
      <w:r>
        <w:rPr>
          <w:lang w:eastAsia="ja-JP"/>
        </w:rPr>
        <w:t>workpoints</w:t>
      </w:r>
      <w:r w:rsidR="00B6177D">
        <w:rPr>
          <w:lang w:eastAsia="ja-JP"/>
        </w:rPr>
        <w:t xml:space="preserve"> – </w:t>
      </w:r>
      <w:r w:rsidR="000B128E">
        <w:rPr>
          <w:lang w:eastAsia="ja-JP"/>
        </w:rPr>
        <w:t>distributes costs based on space occupied, with the workpoint count reflecting the space where a person may be able to work</w:t>
      </w:r>
    </w:p>
    <w:p w14:paraId="7BC0A5F9" w14:textId="7C80833E" w:rsidR="000B128E" w:rsidRDefault="000B128E" w:rsidP="00E25190">
      <w:pPr>
        <w:pStyle w:val="ListNumber2"/>
        <w:rPr>
          <w:lang w:eastAsia="ja-JP"/>
        </w:rPr>
      </w:pPr>
      <w:r>
        <w:rPr>
          <w:lang w:eastAsia="ja-JP"/>
        </w:rPr>
        <w:t>FTE</w:t>
      </w:r>
      <w:r w:rsidR="00B6177D">
        <w:rPr>
          <w:lang w:eastAsia="ja-JP"/>
        </w:rPr>
        <w:t xml:space="preserve"> – </w:t>
      </w:r>
      <w:r>
        <w:rPr>
          <w:lang w:eastAsia="ja-JP"/>
        </w:rPr>
        <w:t>distributes costs based on each program's full-time equivalent staff numbers</w:t>
      </w:r>
    </w:p>
    <w:p w14:paraId="28AC41E3" w14:textId="1BB65C78" w:rsidR="000B128E" w:rsidRDefault="000B128E" w:rsidP="00E25190">
      <w:pPr>
        <w:pStyle w:val="ListNumber2"/>
        <w:rPr>
          <w:lang w:eastAsia="ja-JP"/>
        </w:rPr>
      </w:pPr>
      <w:r>
        <w:rPr>
          <w:lang w:eastAsia="ja-JP"/>
        </w:rPr>
        <w:t>PC count/IT assets</w:t>
      </w:r>
      <w:r w:rsidR="00B6177D">
        <w:rPr>
          <w:lang w:eastAsia="ja-JP"/>
        </w:rPr>
        <w:t xml:space="preserve"> – </w:t>
      </w:r>
      <w:r>
        <w:rPr>
          <w:lang w:eastAsia="ja-JP"/>
        </w:rPr>
        <w:t>distributes costs based on the number of IT assets in a program</w:t>
      </w:r>
    </w:p>
    <w:p w14:paraId="736861D3" w14:textId="78863B5C" w:rsidR="000B128E" w:rsidRDefault="00B6177D" w:rsidP="00E25190">
      <w:pPr>
        <w:pStyle w:val="ListNumber2"/>
        <w:rPr>
          <w:lang w:eastAsia="ja-JP"/>
        </w:rPr>
      </w:pPr>
      <w:r>
        <w:rPr>
          <w:lang w:eastAsia="ja-JP"/>
        </w:rPr>
        <w:t>t</w:t>
      </w:r>
      <w:r w:rsidR="000B128E">
        <w:rPr>
          <w:lang w:eastAsia="ja-JP"/>
        </w:rPr>
        <w:t>ransactions</w:t>
      </w:r>
      <w:r>
        <w:rPr>
          <w:lang w:eastAsia="ja-JP"/>
        </w:rPr>
        <w:t xml:space="preserve"> – </w:t>
      </w:r>
      <w:r w:rsidR="000B128E">
        <w:rPr>
          <w:lang w:eastAsia="ja-JP"/>
        </w:rPr>
        <w:t>distributes costs based on the number of transactions incurred over a period. This driver is used to allocate expenses related to the functions of accounts receivable and accounts payable</w:t>
      </w:r>
    </w:p>
    <w:p w14:paraId="067DDCFC" w14:textId="01AC2BB9" w:rsidR="000B128E" w:rsidRDefault="00B6177D" w:rsidP="00E25190">
      <w:pPr>
        <w:pStyle w:val="ListNumber2"/>
        <w:rPr>
          <w:lang w:eastAsia="ja-JP"/>
        </w:rPr>
      </w:pPr>
      <w:r>
        <w:rPr>
          <w:lang w:eastAsia="ja-JP"/>
        </w:rPr>
        <w:t>h</w:t>
      </w:r>
      <w:r w:rsidR="000B128E">
        <w:rPr>
          <w:lang w:eastAsia="ja-JP"/>
        </w:rPr>
        <w:t>eadcount</w:t>
      </w:r>
      <w:r>
        <w:rPr>
          <w:lang w:eastAsia="ja-JP"/>
        </w:rPr>
        <w:t xml:space="preserve"> – </w:t>
      </w:r>
      <w:r w:rsidR="000B128E">
        <w:rPr>
          <w:lang w:eastAsia="ja-JP"/>
        </w:rPr>
        <w:t>allocates costs based on the number of staff a program area has as a proportion of the number of staff that are on the department’s total staff</w:t>
      </w:r>
    </w:p>
    <w:p w14:paraId="25935071" w14:textId="0C7B6A90" w:rsidR="000B128E" w:rsidRDefault="00B6177D" w:rsidP="00E25190">
      <w:pPr>
        <w:pStyle w:val="ListNumber2"/>
        <w:rPr>
          <w:lang w:eastAsia="ja-JP"/>
        </w:rPr>
      </w:pPr>
      <w:r>
        <w:rPr>
          <w:lang w:eastAsia="ja-JP"/>
        </w:rPr>
        <w:t>c</w:t>
      </w:r>
      <w:r w:rsidR="000B128E">
        <w:rPr>
          <w:lang w:eastAsia="ja-JP"/>
        </w:rPr>
        <w:t>ustom drivers</w:t>
      </w:r>
      <w:r>
        <w:rPr>
          <w:lang w:eastAsia="ja-JP"/>
        </w:rPr>
        <w:t xml:space="preserve"> – </w:t>
      </w:r>
      <w:r w:rsidR="000B128E">
        <w:rPr>
          <w:lang w:eastAsia="ja-JP"/>
        </w:rPr>
        <w:t>allocate costs to specific cost centres, primarily based on usage for shared program resources.</w:t>
      </w:r>
    </w:p>
    <w:p w14:paraId="1F81CEED" w14:textId="77777777" w:rsidR="000B128E" w:rsidRDefault="000B128E" w:rsidP="00E25190">
      <w:pPr>
        <w:ind w:left="425"/>
        <w:rPr>
          <w:lang w:eastAsia="ja-JP"/>
        </w:rPr>
      </w:pPr>
      <w:r>
        <w:rPr>
          <w:lang w:eastAsia="ja-JP"/>
        </w:rPr>
        <w:t>Cost drivers are reviewed on an annual basis, or as required. Changes to cost drivers are substantiated through effort or other data.</w:t>
      </w:r>
    </w:p>
    <w:p w14:paraId="51EC25B3" w14:textId="3B39FE66" w:rsidR="000B128E" w:rsidRDefault="000B128E" w:rsidP="00E25190">
      <w:pPr>
        <w:pStyle w:val="ListNumber"/>
        <w:rPr>
          <w:lang w:eastAsia="ja-JP"/>
        </w:rPr>
      </w:pPr>
      <w:r>
        <w:rPr>
          <w:lang w:eastAsia="ja-JP"/>
        </w:rPr>
        <w:t>Direct costs (which at this point include the indirect costs allocated in step 1) are allocated to the activity and cost recovered arrangements that best reflect the activity undertaken. Time recording systems allow the accurate allocation of effort to specific activities and arrangements, particularly intervention activities.</w:t>
      </w:r>
    </w:p>
    <w:p w14:paraId="6B6F286E" w14:textId="72923729" w:rsidR="000B128E" w:rsidRDefault="000B128E" w:rsidP="00E25190">
      <w:pPr>
        <w:ind w:left="425"/>
        <w:rPr>
          <w:lang w:eastAsia="ja-JP"/>
        </w:rPr>
      </w:pPr>
      <w:r>
        <w:rPr>
          <w:lang w:eastAsia="ja-JP"/>
        </w:rPr>
        <w:t xml:space="preserve">The primary variable used in the allocation of costs to activities is effort. As a result, cost estimates vary with changes in activity. If actual activity levels change during a financial year, the costs allocated to </w:t>
      </w:r>
      <w:r w:rsidR="00D46711">
        <w:rPr>
          <w:lang w:eastAsia="ja-JP"/>
        </w:rPr>
        <w:t xml:space="preserve">the </w:t>
      </w:r>
      <w:r>
        <w:rPr>
          <w:lang w:eastAsia="ja-JP"/>
        </w:rPr>
        <w:t>arrangement would require adjustment to align with that effort. We monitor this throughout the year and adjust where necessary.</w:t>
      </w:r>
    </w:p>
    <w:p w14:paraId="4B077D21" w14:textId="53C039AD" w:rsidR="000B128E" w:rsidRDefault="002A4104" w:rsidP="00E25190">
      <w:pPr>
        <w:pStyle w:val="ListNumber"/>
        <w:rPr>
          <w:lang w:eastAsia="ja-JP"/>
        </w:rPr>
      </w:pPr>
      <w:r>
        <w:t xml:space="preserve">Activity/arrangement costs (from step 2) are allocated to charge points that identify the cost associated with that charge. A combination of regulatory fees and charges is used. </w:t>
      </w:r>
      <w:bookmarkStart w:id="25" w:name="_Hlk78192903"/>
      <w:r w:rsidR="00574097">
        <w:rPr>
          <w:rStyle w:val="Hyperlink"/>
        </w:rPr>
        <w:fldChar w:fldCharType="begin"/>
      </w:r>
      <w:r w:rsidR="00574097" w:rsidRPr="00306C0D">
        <w:rPr>
          <w:rStyle w:val="Hyperlink"/>
        </w:rPr>
        <w:instrText xml:space="preserve"> REF _Ref77242998 \h  \* MERGEFORMAT </w:instrText>
      </w:r>
      <w:r w:rsidR="00574097">
        <w:rPr>
          <w:rStyle w:val="Hyperlink"/>
        </w:rPr>
      </w:r>
      <w:r w:rsidR="00574097">
        <w:rPr>
          <w:rStyle w:val="Hyperlink"/>
        </w:rPr>
        <w:fldChar w:fldCharType="separate"/>
      </w:r>
      <w:r w:rsidR="0033587A" w:rsidRPr="0033587A">
        <w:rPr>
          <w:rStyle w:val="Hyperlink"/>
        </w:rPr>
        <w:t>Figure 1</w:t>
      </w:r>
      <w:r w:rsidR="00574097">
        <w:fldChar w:fldCharType="end"/>
      </w:r>
      <w:r w:rsidR="00574097">
        <w:t xml:space="preserve"> </w:t>
      </w:r>
      <w:r>
        <w:t>shows how we attribute cost recovered activities to either charge</w:t>
      </w:r>
      <w:r w:rsidR="00C61FB5">
        <w:t>s or fees</w:t>
      </w:r>
      <w:bookmarkEnd w:id="25"/>
      <w:r w:rsidR="00D46711">
        <w:t xml:space="preserve">. </w:t>
      </w:r>
      <w:r w:rsidR="00425B8A">
        <w:rPr>
          <w:lang w:eastAsia="ja-JP"/>
        </w:rPr>
        <w:fldChar w:fldCharType="begin"/>
      </w:r>
      <w:r w:rsidR="00425B8A">
        <w:rPr>
          <w:lang w:eastAsia="ja-JP"/>
        </w:rPr>
        <w:instrText xml:space="preserve"> REF _Ref77243056 \h </w:instrText>
      </w:r>
      <w:r w:rsidR="00306C0D">
        <w:rPr>
          <w:lang w:eastAsia="ja-JP"/>
        </w:rPr>
        <w:instrText xml:space="preserve"> \* MERGEFORMAT </w:instrText>
      </w:r>
      <w:r w:rsidR="00425B8A">
        <w:rPr>
          <w:lang w:eastAsia="ja-JP"/>
        </w:rPr>
      </w:r>
      <w:r w:rsidR="00425B8A">
        <w:rPr>
          <w:lang w:eastAsia="ja-JP"/>
        </w:rPr>
        <w:fldChar w:fldCharType="separate"/>
      </w:r>
      <w:r w:rsidR="0033587A">
        <w:t xml:space="preserve">Figure </w:t>
      </w:r>
      <w:r w:rsidR="0033587A">
        <w:rPr>
          <w:noProof/>
        </w:rPr>
        <w:t>2</w:t>
      </w:r>
      <w:r w:rsidR="00425B8A">
        <w:rPr>
          <w:lang w:eastAsia="ja-JP"/>
        </w:rPr>
        <w:fldChar w:fldCharType="end"/>
      </w:r>
      <w:r w:rsidR="000B128E">
        <w:rPr>
          <w:lang w:eastAsia="ja-JP"/>
        </w:rPr>
        <w:t xml:space="preserve"> provides an example of costs associated with an activity subject to inspection fees. Regulatory charges are detailed further in </w:t>
      </w:r>
      <w:hyperlink w:anchor="_Design_of_regulatory" w:history="1">
        <w:r w:rsidR="000B128E" w:rsidRPr="00B6177D">
          <w:rPr>
            <w:rStyle w:val="Hyperlink"/>
            <w:lang w:eastAsia="ja-JP"/>
          </w:rPr>
          <w:t>section 3.3</w:t>
        </w:r>
      </w:hyperlink>
      <w:r w:rsidR="007B13E1" w:rsidRPr="007B13E1">
        <w:t>.</w:t>
      </w:r>
    </w:p>
    <w:p w14:paraId="1AAD0BDD" w14:textId="3C5DC978" w:rsidR="000B128E" w:rsidRDefault="00425B8A" w:rsidP="00425B8A">
      <w:pPr>
        <w:pStyle w:val="Caption"/>
      </w:pPr>
      <w:bookmarkStart w:id="26" w:name="_Ref77242998"/>
      <w:bookmarkStart w:id="27" w:name="_Toc113262187"/>
      <w:r>
        <w:lastRenderedPageBreak/>
        <w:t xml:space="preserve">Figure </w:t>
      </w:r>
      <w:r w:rsidR="003C1A72">
        <w:fldChar w:fldCharType="begin"/>
      </w:r>
      <w:r w:rsidR="003C1A72">
        <w:instrText xml:space="preserve"> SEQ Figure \* ARABIC </w:instrText>
      </w:r>
      <w:r w:rsidR="003C1A72">
        <w:fldChar w:fldCharType="separate"/>
      </w:r>
      <w:r w:rsidR="0033587A">
        <w:rPr>
          <w:noProof/>
        </w:rPr>
        <w:t>1</w:t>
      </w:r>
      <w:r w:rsidR="003C1A72">
        <w:rPr>
          <w:noProof/>
        </w:rPr>
        <w:fldChar w:fldCharType="end"/>
      </w:r>
      <w:bookmarkEnd w:id="26"/>
      <w:r>
        <w:t xml:space="preserve"> </w:t>
      </w:r>
      <w:r w:rsidR="007646BC">
        <w:t>Charge</w:t>
      </w:r>
      <w:r w:rsidRPr="00425B8A">
        <w:t xml:space="preserve"> and fee related activities</w:t>
      </w:r>
      <w:r w:rsidR="00721502">
        <w:t xml:space="preserve"> </w:t>
      </w:r>
      <w:r w:rsidR="007B24CC">
        <w:t xml:space="preserve">and </w:t>
      </w:r>
      <w:r w:rsidR="00721502">
        <w:t>associated outputs</w:t>
      </w:r>
      <w:bookmarkEnd w:id="27"/>
    </w:p>
    <w:p w14:paraId="2E33659E" w14:textId="2F8FF87A" w:rsidR="00425B8A" w:rsidRDefault="006900E5" w:rsidP="00425B8A">
      <w:pPr>
        <w:rPr>
          <w:lang w:eastAsia="ja-JP"/>
        </w:rPr>
      </w:pPr>
      <w:r>
        <w:rPr>
          <w:noProof/>
          <w:lang w:eastAsia="en-AU"/>
        </w:rPr>
        <w:drawing>
          <wp:inline distT="0" distB="0" distL="0" distR="0" wp14:anchorId="40DC5326" wp14:editId="2528263C">
            <wp:extent cx="5397690" cy="4864653"/>
            <wp:effectExtent l="0" t="0" r="0" b="0"/>
            <wp:docPr id="4" name="Picture 4" descr="Figure 1 shows how we attribute cost recovered activities to either charges or fees. Charges apply to:&#10;program and administration activities such as business systems administration, stakeholder engagement, developing, maintaining, and communicating our policy and instructional material and business improvements. &#10;Assurance activities such as risk management, verification, and surveillance and &#10;Incident management which covers incident management, investigative support, and corrective actions. &#10;Fees apply to assessment, issuing approvals, treatments, diagnostics, husbandry and audi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shows how we attribute cost recovered activities to either charges or fees. Charges apply to:&#10;program and administration activities such as business systems administration, stakeholder engagement, developing, maintaining, and communicating our policy and instructional material and business improvements. &#10;Assurance activities such as risk management, verification, and surveillance and &#10;Incident management which covers incident management, investigative support, and corrective actions. &#10;Fees apply to assessment, issuing approvals, treatments, diagnostics, husbandry and audit.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08811" cy="4874676"/>
                    </a:xfrm>
                    <a:prstGeom prst="rect">
                      <a:avLst/>
                    </a:prstGeom>
                    <a:noFill/>
                  </pic:spPr>
                </pic:pic>
              </a:graphicData>
            </a:graphic>
          </wp:inline>
        </w:drawing>
      </w:r>
    </w:p>
    <w:p w14:paraId="40450D28" w14:textId="449C72CE" w:rsidR="00425B8A" w:rsidRDefault="00425B8A" w:rsidP="00B30597">
      <w:pPr>
        <w:pStyle w:val="Caption"/>
        <w:spacing w:before="480"/>
      </w:pPr>
      <w:bookmarkStart w:id="28" w:name="_Ref77243056"/>
      <w:bookmarkStart w:id="29" w:name="_Toc113262188"/>
      <w:r>
        <w:t xml:space="preserve">Figure </w:t>
      </w:r>
      <w:r w:rsidR="003C1A72">
        <w:fldChar w:fldCharType="begin"/>
      </w:r>
      <w:r w:rsidR="003C1A72">
        <w:instrText xml:space="preserve"> SEQ Figure \* ARABIC </w:instrText>
      </w:r>
      <w:r w:rsidR="003C1A72">
        <w:fldChar w:fldCharType="separate"/>
      </w:r>
      <w:r w:rsidR="0033587A">
        <w:rPr>
          <w:noProof/>
        </w:rPr>
        <w:t>2</w:t>
      </w:r>
      <w:r w:rsidR="003C1A72">
        <w:rPr>
          <w:noProof/>
        </w:rPr>
        <w:fldChar w:fldCharType="end"/>
      </w:r>
      <w:bookmarkEnd w:id="28"/>
      <w:r>
        <w:t xml:space="preserve"> </w:t>
      </w:r>
      <w:r w:rsidRPr="00425B8A">
        <w:t>Activity based cost model</w:t>
      </w:r>
      <w:bookmarkEnd w:id="29"/>
    </w:p>
    <w:p w14:paraId="0AF6B54B" w14:textId="77777777" w:rsidR="0033587A" w:rsidRPr="0033587A" w:rsidRDefault="00425B8A" w:rsidP="0033587A">
      <w:pPr>
        <w:spacing w:after="480"/>
        <w:rPr>
          <w:lang w:eastAsia="ja-JP"/>
        </w:rPr>
      </w:pPr>
      <w:r>
        <w:rPr>
          <w:noProof/>
          <w:lang w:eastAsia="en-AU"/>
        </w:rPr>
        <w:drawing>
          <wp:inline distT="0" distB="0" distL="0" distR="0" wp14:anchorId="57D525EB" wp14:editId="4151D889">
            <wp:extent cx="6139257" cy="1486894"/>
            <wp:effectExtent l="0" t="0" r="0" b="0"/>
            <wp:docPr id="7" name="Picture 7" descr="Figure 2 shows how the activity based cost model is applied. The activity the output and process as follows:&#10;The activity is intervention the output is inspection there are 3 processes where fees are applied: &#10;1. Consignment arrives – pre-inspection in office fee $30 per quarter hour x 1 unit of 15 minutes&#10;2. Biosecurity officer undertakes field inspection – inspection process out of office fee $50 per quarter hour x 2 units of 15 minutes&#10;3. Release goods from biosecurity control – post inspections process out of office fee $50 per quarter hour x 1 unit of 15 minut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2 shows how the activity based cost model is applied. The activity the output and process as follows:&#10;The activity is intervention the output is inspection there are 3 processes where fees are applied: &#10;1. Consignment arrives – pre-inspection in office fee $30 per quarter hour x 1 unit of 15 minutes&#10;2. Biosecurity officer undertakes field inspection – inspection process out of office fee $50 per quarter hour x 2 units of 15 minutes&#10;3. Release goods from biosecurity control – post inspections process out of office fee $50 per quarter hour x 1 unit of 15 minutes.&#10;"/>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6158564" cy="1491570"/>
                    </a:xfrm>
                    <a:prstGeom prst="rect">
                      <a:avLst/>
                    </a:prstGeom>
                    <a:noFill/>
                    <a:ln>
                      <a:noFill/>
                    </a:ln>
                  </pic:spPr>
                </pic:pic>
              </a:graphicData>
            </a:graphic>
          </wp:inline>
        </w:drawing>
      </w:r>
      <w:r w:rsidR="00B6177D" w:rsidRPr="00CF46CF">
        <w:rPr>
          <w:lang w:eastAsia="ja-JP"/>
        </w:rPr>
        <w:fldChar w:fldCharType="begin"/>
      </w:r>
      <w:r w:rsidR="00B6177D" w:rsidRPr="00CF46CF">
        <w:rPr>
          <w:lang w:eastAsia="ja-JP"/>
        </w:rPr>
        <w:instrText xml:space="preserve"> REF _Ref77249876 \h </w:instrText>
      </w:r>
      <w:r w:rsidR="00E1408F" w:rsidRPr="00CF46CF">
        <w:rPr>
          <w:lang w:eastAsia="ja-JP"/>
        </w:rPr>
        <w:instrText xml:space="preserve"> \* MERGEFORMAT </w:instrText>
      </w:r>
      <w:r w:rsidR="00B6177D" w:rsidRPr="00CF46CF">
        <w:rPr>
          <w:lang w:eastAsia="ja-JP"/>
        </w:rPr>
      </w:r>
      <w:r w:rsidR="00B6177D" w:rsidRPr="00CF46CF">
        <w:rPr>
          <w:lang w:eastAsia="ja-JP"/>
        </w:rPr>
        <w:fldChar w:fldCharType="separate"/>
      </w:r>
    </w:p>
    <w:p w14:paraId="4C8A306E" w14:textId="474F542E" w:rsidR="00D46711" w:rsidRDefault="00B6177D" w:rsidP="00D052B1">
      <w:pPr>
        <w:keepNext/>
        <w:pageBreakBefore/>
        <w:widowControl w:val="0"/>
        <w:rPr>
          <w:rFonts w:asciiTheme="majorHAnsi" w:hAnsiTheme="majorHAnsi"/>
        </w:rPr>
      </w:pPr>
      <w:r w:rsidRPr="00CF46CF">
        <w:rPr>
          <w:lang w:eastAsia="ja-JP"/>
        </w:rPr>
        <w:lastRenderedPageBreak/>
        <w:fldChar w:fldCharType="end"/>
      </w:r>
      <w:r w:rsidRPr="00CF46CF">
        <w:rPr>
          <w:lang w:eastAsia="ja-JP"/>
        </w:rPr>
        <w:t xml:space="preserve"> </w:t>
      </w:r>
      <w:r w:rsidR="00FB30D9">
        <w:rPr>
          <w:lang w:eastAsia="ja-JP"/>
        </w:rPr>
        <w:t xml:space="preserve">Table 1 </w:t>
      </w:r>
      <w:r w:rsidR="00E25190" w:rsidRPr="00CF46CF">
        <w:rPr>
          <w:lang w:eastAsia="ja-JP"/>
        </w:rPr>
        <w:t xml:space="preserve">provides a cost breakdown for each output contribution to recover direct and indirect costs for </w:t>
      </w:r>
      <w:r w:rsidR="008B152D" w:rsidRPr="008B152D">
        <w:rPr>
          <w:lang w:eastAsia="ja-JP"/>
        </w:rPr>
        <w:t>202</w:t>
      </w:r>
      <w:r w:rsidR="008B152D">
        <w:rPr>
          <w:lang w:eastAsia="ja-JP"/>
        </w:rPr>
        <w:t>2</w:t>
      </w:r>
      <w:r w:rsidR="008B152D" w:rsidRPr="008B152D">
        <w:rPr>
          <w:lang w:eastAsia="ja-JP"/>
        </w:rPr>
        <w:t>–23</w:t>
      </w:r>
      <w:r w:rsidR="00E25190" w:rsidRPr="008B152D">
        <w:rPr>
          <w:lang w:eastAsia="ja-JP"/>
        </w:rPr>
        <w:t>.</w:t>
      </w:r>
      <w:bookmarkStart w:id="30" w:name="_Ref77249876"/>
    </w:p>
    <w:p w14:paraId="19362226" w14:textId="5D99F323" w:rsidR="00830762" w:rsidRPr="009A0FC5" w:rsidRDefault="00D46711" w:rsidP="00D46711">
      <w:pPr>
        <w:pStyle w:val="Caption"/>
      </w:pPr>
      <w:bookmarkStart w:id="31" w:name="_Toc113262178"/>
      <w:bookmarkEnd w:id="30"/>
      <w:r w:rsidRPr="009A0FC5">
        <w:t xml:space="preserve">Table </w:t>
      </w:r>
      <w:r w:rsidR="003C1A72">
        <w:fldChar w:fldCharType="begin"/>
      </w:r>
      <w:r w:rsidR="003C1A72">
        <w:instrText xml:space="preserve"> SEQ Table \* ARABIC </w:instrText>
      </w:r>
      <w:r w:rsidR="003C1A72">
        <w:fldChar w:fldCharType="separate"/>
      </w:r>
      <w:r w:rsidR="0033587A">
        <w:rPr>
          <w:noProof/>
        </w:rPr>
        <w:t>1</w:t>
      </w:r>
      <w:r w:rsidR="003C1A72">
        <w:rPr>
          <w:noProof/>
        </w:rPr>
        <w:fldChar w:fldCharType="end"/>
      </w:r>
      <w:r w:rsidRPr="009A0FC5">
        <w:t xml:space="preserve"> Biosecurity arrangement cost breakdown, </w:t>
      </w:r>
      <w:r w:rsidR="001A1886" w:rsidRPr="009A0FC5">
        <w:t>2022</w:t>
      </w:r>
      <w:r w:rsidRPr="009A0FC5">
        <w:t>–</w:t>
      </w:r>
      <w:r w:rsidR="001A1886" w:rsidRPr="009A0FC5">
        <w:t>23</w:t>
      </w:r>
      <w:bookmarkEnd w:id="31"/>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835"/>
        <w:gridCol w:w="1885"/>
        <w:gridCol w:w="2090"/>
        <w:gridCol w:w="2260"/>
      </w:tblGrid>
      <w:tr w:rsidR="00830762" w:rsidRPr="009A0FC5" w14:paraId="0A619976" w14:textId="77777777" w:rsidTr="006E0AB5">
        <w:trPr>
          <w:cantSplit/>
          <w:tblHeader/>
        </w:trPr>
        <w:tc>
          <w:tcPr>
            <w:tcW w:w="1563" w:type="pct"/>
          </w:tcPr>
          <w:p w14:paraId="264CB08D" w14:textId="558434F7" w:rsidR="00830762" w:rsidRPr="009A0FC5" w:rsidRDefault="00830762" w:rsidP="00830762">
            <w:pPr>
              <w:pStyle w:val="TableHeading"/>
              <w:rPr>
                <w:lang w:eastAsia="ja-JP"/>
              </w:rPr>
            </w:pPr>
            <w:bookmarkStart w:id="32" w:name="Title_1"/>
            <w:bookmarkEnd w:id="32"/>
            <w:r w:rsidRPr="009A0FC5">
              <w:rPr>
                <w:lang w:eastAsia="ja-JP"/>
              </w:rPr>
              <w:t xml:space="preserve">Cost recovery </w:t>
            </w:r>
            <w:r w:rsidR="00FC2FED" w:rsidRPr="009A0FC5">
              <w:rPr>
                <w:lang w:eastAsia="ja-JP"/>
              </w:rPr>
              <w:t>streams</w:t>
            </w:r>
          </w:p>
        </w:tc>
        <w:tc>
          <w:tcPr>
            <w:tcW w:w="1039" w:type="pct"/>
          </w:tcPr>
          <w:p w14:paraId="671DCFDC" w14:textId="77777777" w:rsidR="00830762" w:rsidRPr="009A0FC5" w:rsidRDefault="00830762" w:rsidP="0098425B">
            <w:pPr>
              <w:pStyle w:val="TableHeading"/>
              <w:jc w:val="right"/>
              <w:rPr>
                <w:lang w:eastAsia="ja-JP"/>
              </w:rPr>
            </w:pPr>
            <w:r w:rsidRPr="009A0FC5">
              <w:rPr>
                <w:lang w:eastAsia="ja-JP"/>
              </w:rPr>
              <w:t>Direct costs ($)</w:t>
            </w:r>
          </w:p>
        </w:tc>
        <w:tc>
          <w:tcPr>
            <w:tcW w:w="1152" w:type="pct"/>
          </w:tcPr>
          <w:p w14:paraId="7DBC256D" w14:textId="77777777" w:rsidR="00830762" w:rsidRPr="009A0FC5" w:rsidRDefault="00830762" w:rsidP="0098425B">
            <w:pPr>
              <w:pStyle w:val="TableHeading"/>
              <w:jc w:val="right"/>
              <w:rPr>
                <w:lang w:eastAsia="ja-JP"/>
              </w:rPr>
            </w:pPr>
            <w:r w:rsidRPr="009A0FC5">
              <w:rPr>
                <w:lang w:eastAsia="ja-JP"/>
              </w:rPr>
              <w:t>Indirect costs ($)</w:t>
            </w:r>
          </w:p>
        </w:tc>
        <w:tc>
          <w:tcPr>
            <w:tcW w:w="1246" w:type="pct"/>
          </w:tcPr>
          <w:p w14:paraId="35F4C620" w14:textId="77777777" w:rsidR="00830762" w:rsidRPr="009A0FC5" w:rsidRDefault="00830762" w:rsidP="0098425B">
            <w:pPr>
              <w:pStyle w:val="TableHeading"/>
              <w:jc w:val="right"/>
              <w:rPr>
                <w:lang w:eastAsia="ja-JP"/>
              </w:rPr>
            </w:pPr>
            <w:r w:rsidRPr="009A0FC5">
              <w:rPr>
                <w:lang w:eastAsia="ja-JP"/>
              </w:rPr>
              <w:t>Total ($)</w:t>
            </w:r>
          </w:p>
        </w:tc>
      </w:tr>
      <w:tr w:rsidR="0039064C" w:rsidRPr="009A0FC5" w14:paraId="33D3C6C4" w14:textId="77777777" w:rsidTr="006E0AB5">
        <w:tc>
          <w:tcPr>
            <w:tcW w:w="1563" w:type="pct"/>
          </w:tcPr>
          <w:p w14:paraId="5D49038E" w14:textId="432A37B9" w:rsidR="0039064C" w:rsidRPr="009A0FC5" w:rsidRDefault="0039064C" w:rsidP="0039064C">
            <w:pPr>
              <w:pStyle w:val="TableText"/>
              <w:keepNext/>
              <w:rPr>
                <w:rStyle w:val="Strong"/>
              </w:rPr>
            </w:pPr>
            <w:r w:rsidRPr="009A0FC5">
              <w:rPr>
                <w:rStyle w:val="Strong"/>
              </w:rPr>
              <w:t>Charges</w:t>
            </w:r>
          </w:p>
        </w:tc>
        <w:tc>
          <w:tcPr>
            <w:tcW w:w="1039" w:type="pct"/>
          </w:tcPr>
          <w:p w14:paraId="551A478F" w14:textId="3EEB3A06" w:rsidR="0039064C" w:rsidRPr="0039064C" w:rsidRDefault="0039064C" w:rsidP="0039064C">
            <w:pPr>
              <w:pStyle w:val="TableText"/>
              <w:keepNext/>
              <w:jc w:val="right"/>
              <w:rPr>
                <w:rStyle w:val="Strong"/>
                <w:b w:val="0"/>
                <w:bCs w:val="0"/>
              </w:rPr>
            </w:pPr>
            <w:r w:rsidRPr="0039064C">
              <w:rPr>
                <w:b/>
                <w:bCs/>
              </w:rPr>
              <w:t>145,843,584</w:t>
            </w:r>
          </w:p>
        </w:tc>
        <w:tc>
          <w:tcPr>
            <w:tcW w:w="1152" w:type="pct"/>
          </w:tcPr>
          <w:p w14:paraId="6C382525" w14:textId="51B0ED1E" w:rsidR="0039064C" w:rsidRPr="0039064C" w:rsidRDefault="0039064C" w:rsidP="0039064C">
            <w:pPr>
              <w:pStyle w:val="TableText"/>
              <w:keepNext/>
              <w:jc w:val="right"/>
              <w:rPr>
                <w:rStyle w:val="Strong"/>
                <w:b w:val="0"/>
                <w:bCs w:val="0"/>
              </w:rPr>
            </w:pPr>
            <w:r w:rsidRPr="0039064C">
              <w:rPr>
                <w:b/>
                <w:bCs/>
              </w:rPr>
              <w:t>78,284,872</w:t>
            </w:r>
          </w:p>
        </w:tc>
        <w:tc>
          <w:tcPr>
            <w:tcW w:w="1246" w:type="pct"/>
          </w:tcPr>
          <w:p w14:paraId="40F5E15F" w14:textId="6E6EEDC9" w:rsidR="0039064C" w:rsidRPr="0039064C" w:rsidRDefault="0039064C" w:rsidP="0039064C">
            <w:pPr>
              <w:pStyle w:val="TableText"/>
              <w:keepNext/>
              <w:jc w:val="right"/>
              <w:rPr>
                <w:rStyle w:val="Strong"/>
                <w:b w:val="0"/>
                <w:bCs w:val="0"/>
              </w:rPr>
            </w:pPr>
            <w:r w:rsidRPr="0039064C">
              <w:rPr>
                <w:b/>
                <w:bCs/>
              </w:rPr>
              <w:t>224,128,456</w:t>
            </w:r>
          </w:p>
        </w:tc>
      </w:tr>
      <w:tr w:rsidR="0039064C" w:rsidRPr="009A0FC5" w14:paraId="65BCCF0A" w14:textId="77777777" w:rsidTr="006E0AB5">
        <w:tc>
          <w:tcPr>
            <w:tcW w:w="1563" w:type="pct"/>
          </w:tcPr>
          <w:p w14:paraId="5E7D0B18" w14:textId="77777777" w:rsidR="0039064C" w:rsidRPr="009A0FC5" w:rsidRDefault="0039064C" w:rsidP="0039064C">
            <w:pPr>
              <w:pStyle w:val="TableText"/>
              <w:keepNext/>
              <w:rPr>
                <w:lang w:eastAsia="ja-JP"/>
              </w:rPr>
            </w:pPr>
            <w:r w:rsidRPr="009A0FC5">
              <w:rPr>
                <w:lang w:eastAsia="ja-JP"/>
              </w:rPr>
              <w:t>Full import declaration charges</w:t>
            </w:r>
          </w:p>
        </w:tc>
        <w:tc>
          <w:tcPr>
            <w:tcW w:w="1039" w:type="pct"/>
          </w:tcPr>
          <w:p w14:paraId="7E1F72E7" w14:textId="4F9BE0A9" w:rsidR="0039064C" w:rsidRPr="009A0FC5" w:rsidRDefault="0039064C" w:rsidP="0039064C">
            <w:pPr>
              <w:pStyle w:val="TableText"/>
              <w:keepNext/>
              <w:jc w:val="right"/>
              <w:rPr>
                <w:lang w:eastAsia="ja-JP"/>
              </w:rPr>
            </w:pPr>
            <w:r w:rsidRPr="009665CF">
              <w:t>120,862,620</w:t>
            </w:r>
          </w:p>
        </w:tc>
        <w:tc>
          <w:tcPr>
            <w:tcW w:w="1152" w:type="pct"/>
          </w:tcPr>
          <w:p w14:paraId="17880A4C" w14:textId="188EBB2A" w:rsidR="0039064C" w:rsidRPr="009A0FC5" w:rsidRDefault="0039064C" w:rsidP="0039064C">
            <w:pPr>
              <w:pStyle w:val="TableText"/>
              <w:keepNext/>
              <w:jc w:val="right"/>
              <w:rPr>
                <w:lang w:eastAsia="ja-JP"/>
              </w:rPr>
            </w:pPr>
            <w:r w:rsidRPr="007C7295">
              <w:t>65,126,197</w:t>
            </w:r>
          </w:p>
        </w:tc>
        <w:tc>
          <w:tcPr>
            <w:tcW w:w="1246" w:type="pct"/>
          </w:tcPr>
          <w:p w14:paraId="58FFBB2F" w14:textId="4CCF7B70" w:rsidR="0039064C" w:rsidRPr="009A0FC5" w:rsidRDefault="0039064C" w:rsidP="0039064C">
            <w:pPr>
              <w:pStyle w:val="TableText"/>
              <w:keepNext/>
              <w:jc w:val="right"/>
              <w:rPr>
                <w:lang w:eastAsia="ja-JP"/>
              </w:rPr>
            </w:pPr>
            <w:r w:rsidRPr="00625A21">
              <w:t>185,988,817</w:t>
            </w:r>
          </w:p>
        </w:tc>
      </w:tr>
      <w:tr w:rsidR="0039064C" w:rsidRPr="009A0FC5" w14:paraId="49E0FFB8" w14:textId="77777777" w:rsidTr="006E0AB5">
        <w:tc>
          <w:tcPr>
            <w:tcW w:w="1563" w:type="pct"/>
          </w:tcPr>
          <w:p w14:paraId="175FB217" w14:textId="77777777" w:rsidR="0039064C" w:rsidRPr="009A0FC5" w:rsidRDefault="0039064C" w:rsidP="0039064C">
            <w:pPr>
              <w:pStyle w:val="TableText"/>
              <w:keepNext/>
              <w:rPr>
                <w:lang w:eastAsia="ja-JP"/>
              </w:rPr>
            </w:pPr>
            <w:r w:rsidRPr="009A0FC5">
              <w:rPr>
                <w:lang w:eastAsia="ja-JP"/>
              </w:rPr>
              <w:t>Approved arrangement</w:t>
            </w:r>
          </w:p>
        </w:tc>
        <w:tc>
          <w:tcPr>
            <w:tcW w:w="1039" w:type="pct"/>
          </w:tcPr>
          <w:p w14:paraId="4D3FCEB5" w14:textId="5A08B596" w:rsidR="0039064C" w:rsidRPr="009A0FC5" w:rsidRDefault="0039064C" w:rsidP="0039064C">
            <w:pPr>
              <w:pStyle w:val="TableText"/>
              <w:keepNext/>
              <w:jc w:val="right"/>
              <w:rPr>
                <w:lang w:eastAsia="ja-JP"/>
              </w:rPr>
            </w:pPr>
            <w:r w:rsidRPr="009665CF">
              <w:t>4,077,893</w:t>
            </w:r>
          </w:p>
        </w:tc>
        <w:tc>
          <w:tcPr>
            <w:tcW w:w="1152" w:type="pct"/>
          </w:tcPr>
          <w:p w14:paraId="23E9D1FE" w14:textId="70C34CE1" w:rsidR="0039064C" w:rsidRPr="009A0FC5" w:rsidRDefault="0039064C" w:rsidP="0039064C">
            <w:pPr>
              <w:pStyle w:val="TableText"/>
              <w:keepNext/>
              <w:jc w:val="right"/>
              <w:rPr>
                <w:lang w:eastAsia="ja-JP"/>
              </w:rPr>
            </w:pPr>
            <w:r w:rsidRPr="007C7295">
              <w:t>2,247,370</w:t>
            </w:r>
          </w:p>
        </w:tc>
        <w:tc>
          <w:tcPr>
            <w:tcW w:w="1246" w:type="pct"/>
          </w:tcPr>
          <w:p w14:paraId="5C29C7C0" w14:textId="1C7C5BA8" w:rsidR="0039064C" w:rsidRPr="009A0FC5" w:rsidRDefault="0039064C" w:rsidP="0039064C">
            <w:pPr>
              <w:pStyle w:val="TableText"/>
              <w:keepNext/>
              <w:jc w:val="right"/>
              <w:rPr>
                <w:lang w:eastAsia="ja-JP"/>
              </w:rPr>
            </w:pPr>
            <w:r w:rsidRPr="00625A21">
              <w:t>6,325,263</w:t>
            </w:r>
          </w:p>
        </w:tc>
      </w:tr>
      <w:tr w:rsidR="0039064C" w:rsidRPr="009A0FC5" w14:paraId="7923BA69" w14:textId="77777777" w:rsidTr="006E0AB5">
        <w:tc>
          <w:tcPr>
            <w:tcW w:w="1563" w:type="pct"/>
          </w:tcPr>
          <w:p w14:paraId="57BF100E" w14:textId="77777777" w:rsidR="0039064C" w:rsidRPr="009A0FC5" w:rsidRDefault="0039064C" w:rsidP="0039064C">
            <w:pPr>
              <w:pStyle w:val="TableText"/>
              <w:keepNext/>
              <w:rPr>
                <w:lang w:eastAsia="ja-JP"/>
              </w:rPr>
            </w:pPr>
            <w:r w:rsidRPr="009A0FC5">
              <w:rPr>
                <w:lang w:eastAsia="ja-JP"/>
              </w:rPr>
              <w:t>Vessel arrival charges</w:t>
            </w:r>
          </w:p>
        </w:tc>
        <w:tc>
          <w:tcPr>
            <w:tcW w:w="1039" w:type="pct"/>
          </w:tcPr>
          <w:p w14:paraId="57D7DD99" w14:textId="609E9B60" w:rsidR="0039064C" w:rsidRPr="009A0FC5" w:rsidRDefault="0039064C" w:rsidP="0039064C">
            <w:pPr>
              <w:pStyle w:val="TableText"/>
              <w:keepNext/>
              <w:jc w:val="right"/>
              <w:rPr>
                <w:lang w:eastAsia="ja-JP"/>
              </w:rPr>
            </w:pPr>
            <w:r w:rsidRPr="009665CF">
              <w:t>13,019,308</w:t>
            </w:r>
          </w:p>
        </w:tc>
        <w:tc>
          <w:tcPr>
            <w:tcW w:w="1152" w:type="pct"/>
          </w:tcPr>
          <w:p w14:paraId="0F5D21BC" w14:textId="54873029" w:rsidR="0039064C" w:rsidRPr="009A0FC5" w:rsidRDefault="0039064C" w:rsidP="0039064C">
            <w:pPr>
              <w:pStyle w:val="TableText"/>
              <w:keepNext/>
              <w:jc w:val="right"/>
              <w:rPr>
                <w:lang w:eastAsia="ja-JP"/>
              </w:rPr>
            </w:pPr>
            <w:r w:rsidRPr="007C7295">
              <w:t>6,685,165</w:t>
            </w:r>
          </w:p>
        </w:tc>
        <w:tc>
          <w:tcPr>
            <w:tcW w:w="1246" w:type="pct"/>
          </w:tcPr>
          <w:p w14:paraId="02E3D309" w14:textId="2C679832" w:rsidR="0039064C" w:rsidRPr="009A0FC5" w:rsidRDefault="0039064C" w:rsidP="0039064C">
            <w:pPr>
              <w:pStyle w:val="TableText"/>
              <w:keepNext/>
              <w:jc w:val="right"/>
              <w:rPr>
                <w:lang w:eastAsia="ja-JP"/>
              </w:rPr>
            </w:pPr>
            <w:r w:rsidRPr="00625A21">
              <w:t>19,704,473</w:t>
            </w:r>
          </w:p>
        </w:tc>
      </w:tr>
      <w:tr w:rsidR="0039064C" w:rsidRPr="009A0FC5" w14:paraId="064D11C1" w14:textId="77777777" w:rsidTr="006E0AB5">
        <w:tc>
          <w:tcPr>
            <w:tcW w:w="1563" w:type="pct"/>
          </w:tcPr>
          <w:p w14:paraId="6AB34C8C" w14:textId="77777777" w:rsidR="0039064C" w:rsidRPr="009A0FC5" w:rsidRDefault="0039064C" w:rsidP="0039064C">
            <w:pPr>
              <w:pStyle w:val="TableText"/>
              <w:keepNext/>
              <w:rPr>
                <w:lang w:eastAsia="ja-JP"/>
              </w:rPr>
            </w:pPr>
            <w:r w:rsidRPr="009A0FC5">
              <w:rPr>
                <w:lang w:eastAsia="ja-JP"/>
              </w:rPr>
              <w:t>Permit Application</w:t>
            </w:r>
          </w:p>
        </w:tc>
        <w:tc>
          <w:tcPr>
            <w:tcW w:w="1039" w:type="pct"/>
          </w:tcPr>
          <w:p w14:paraId="7B8C981B" w14:textId="1A3EEDE5" w:rsidR="0039064C" w:rsidRPr="009A0FC5" w:rsidRDefault="0039064C" w:rsidP="0039064C">
            <w:pPr>
              <w:pStyle w:val="TableText"/>
              <w:keepNext/>
              <w:jc w:val="right"/>
              <w:rPr>
                <w:lang w:eastAsia="ja-JP"/>
              </w:rPr>
            </w:pPr>
            <w:r w:rsidRPr="009665CF">
              <w:t>1,157,596</w:t>
            </w:r>
          </w:p>
        </w:tc>
        <w:tc>
          <w:tcPr>
            <w:tcW w:w="1152" w:type="pct"/>
          </w:tcPr>
          <w:p w14:paraId="5BB450AC" w14:textId="431AE8A5" w:rsidR="0039064C" w:rsidRPr="009A0FC5" w:rsidRDefault="0039064C" w:rsidP="0039064C">
            <w:pPr>
              <w:pStyle w:val="TableText"/>
              <w:keepNext/>
              <w:jc w:val="right"/>
              <w:rPr>
                <w:lang w:eastAsia="ja-JP"/>
              </w:rPr>
            </w:pPr>
            <w:r w:rsidRPr="007C7295">
              <w:t>637,964</w:t>
            </w:r>
          </w:p>
        </w:tc>
        <w:tc>
          <w:tcPr>
            <w:tcW w:w="1246" w:type="pct"/>
          </w:tcPr>
          <w:p w14:paraId="2F87C2E8" w14:textId="371DA764" w:rsidR="0039064C" w:rsidRPr="009A0FC5" w:rsidRDefault="0039064C" w:rsidP="0039064C">
            <w:pPr>
              <w:pStyle w:val="TableText"/>
              <w:keepNext/>
              <w:jc w:val="right"/>
              <w:rPr>
                <w:lang w:eastAsia="ja-JP"/>
              </w:rPr>
            </w:pPr>
            <w:r w:rsidRPr="00625A21">
              <w:t>1,795,560</w:t>
            </w:r>
          </w:p>
        </w:tc>
      </w:tr>
      <w:tr w:rsidR="0039064C" w:rsidRPr="009A0FC5" w14:paraId="0A8FD6CF" w14:textId="77777777" w:rsidTr="006E0AB5">
        <w:tc>
          <w:tcPr>
            <w:tcW w:w="1563" w:type="pct"/>
          </w:tcPr>
          <w:p w14:paraId="55AED9ED" w14:textId="77777777" w:rsidR="0039064C" w:rsidRPr="009A0FC5" w:rsidRDefault="0039064C" w:rsidP="0039064C">
            <w:pPr>
              <w:pStyle w:val="TableText"/>
              <w:keepNext/>
              <w:rPr>
                <w:lang w:eastAsia="ja-JP"/>
              </w:rPr>
            </w:pPr>
            <w:r w:rsidRPr="009A0FC5">
              <w:rPr>
                <w:lang w:eastAsia="ja-JP"/>
              </w:rPr>
              <w:t>PEQ importation charge</w:t>
            </w:r>
          </w:p>
        </w:tc>
        <w:tc>
          <w:tcPr>
            <w:tcW w:w="1039" w:type="pct"/>
          </w:tcPr>
          <w:p w14:paraId="2FEB3782" w14:textId="5AFFE619" w:rsidR="0039064C" w:rsidRPr="009A0FC5" w:rsidRDefault="0039064C" w:rsidP="0039064C">
            <w:pPr>
              <w:pStyle w:val="TableText"/>
              <w:keepNext/>
              <w:jc w:val="right"/>
              <w:rPr>
                <w:lang w:eastAsia="ja-JP"/>
              </w:rPr>
            </w:pPr>
            <w:r w:rsidRPr="009665CF">
              <w:t>6,726,167</w:t>
            </w:r>
          </w:p>
        </w:tc>
        <w:tc>
          <w:tcPr>
            <w:tcW w:w="1152" w:type="pct"/>
          </w:tcPr>
          <w:p w14:paraId="6DBD4AF8" w14:textId="310E3933" w:rsidR="0039064C" w:rsidRPr="009A0FC5" w:rsidRDefault="0039064C" w:rsidP="0039064C">
            <w:pPr>
              <w:pStyle w:val="TableText"/>
              <w:keepNext/>
              <w:jc w:val="right"/>
              <w:rPr>
                <w:lang w:eastAsia="ja-JP"/>
              </w:rPr>
            </w:pPr>
            <w:r w:rsidRPr="007C7295">
              <w:t>3,588,176</w:t>
            </w:r>
          </w:p>
        </w:tc>
        <w:tc>
          <w:tcPr>
            <w:tcW w:w="1246" w:type="pct"/>
          </w:tcPr>
          <w:p w14:paraId="11F1F6A5" w14:textId="565F64A2" w:rsidR="0039064C" w:rsidRPr="009A0FC5" w:rsidRDefault="0039064C" w:rsidP="0039064C">
            <w:pPr>
              <w:pStyle w:val="TableText"/>
              <w:keepNext/>
              <w:jc w:val="right"/>
              <w:rPr>
                <w:lang w:eastAsia="ja-JP"/>
              </w:rPr>
            </w:pPr>
            <w:r w:rsidRPr="00625A21">
              <w:t>10,314,343</w:t>
            </w:r>
          </w:p>
        </w:tc>
      </w:tr>
      <w:tr w:rsidR="0039064C" w:rsidRPr="002F2374" w14:paraId="284F94D8" w14:textId="77777777" w:rsidTr="006E0AB5">
        <w:tc>
          <w:tcPr>
            <w:tcW w:w="1563" w:type="pct"/>
          </w:tcPr>
          <w:p w14:paraId="4B3085E3" w14:textId="0D56A21F" w:rsidR="0039064C" w:rsidRPr="009A0FC5" w:rsidRDefault="0039064C" w:rsidP="0039064C">
            <w:pPr>
              <w:pStyle w:val="TableText"/>
              <w:keepNext/>
              <w:rPr>
                <w:rStyle w:val="Strong"/>
              </w:rPr>
            </w:pPr>
            <w:r w:rsidRPr="009A0FC5">
              <w:rPr>
                <w:rStyle w:val="Strong"/>
              </w:rPr>
              <w:t>Fees</w:t>
            </w:r>
          </w:p>
        </w:tc>
        <w:tc>
          <w:tcPr>
            <w:tcW w:w="1039" w:type="pct"/>
          </w:tcPr>
          <w:p w14:paraId="1F8D2245" w14:textId="6521481F" w:rsidR="0039064C" w:rsidRPr="0039064C" w:rsidRDefault="0039064C" w:rsidP="0039064C">
            <w:pPr>
              <w:pStyle w:val="TableText"/>
              <w:keepNext/>
              <w:jc w:val="right"/>
              <w:rPr>
                <w:rStyle w:val="Strong"/>
                <w:b w:val="0"/>
                <w:bCs w:val="0"/>
              </w:rPr>
            </w:pPr>
            <w:r w:rsidRPr="0039064C">
              <w:rPr>
                <w:b/>
                <w:bCs/>
              </w:rPr>
              <w:t>37,965,041</w:t>
            </w:r>
          </w:p>
        </w:tc>
        <w:tc>
          <w:tcPr>
            <w:tcW w:w="1152" w:type="pct"/>
          </w:tcPr>
          <w:p w14:paraId="04686B84" w14:textId="06D3F695" w:rsidR="0039064C" w:rsidRPr="0039064C" w:rsidRDefault="0039064C" w:rsidP="0039064C">
            <w:pPr>
              <w:pStyle w:val="TableText"/>
              <w:keepNext/>
              <w:jc w:val="right"/>
              <w:rPr>
                <w:rStyle w:val="Strong"/>
                <w:b w:val="0"/>
                <w:bCs w:val="0"/>
              </w:rPr>
            </w:pPr>
            <w:r w:rsidRPr="0039064C">
              <w:rPr>
                <w:b/>
                <w:bCs/>
              </w:rPr>
              <w:t>45,257,503</w:t>
            </w:r>
          </w:p>
        </w:tc>
        <w:tc>
          <w:tcPr>
            <w:tcW w:w="1246" w:type="pct"/>
          </w:tcPr>
          <w:p w14:paraId="34F14E24" w14:textId="551D5076" w:rsidR="0039064C" w:rsidRPr="0039064C" w:rsidRDefault="0039064C" w:rsidP="0039064C">
            <w:pPr>
              <w:pStyle w:val="TableText"/>
              <w:keepNext/>
              <w:jc w:val="right"/>
              <w:rPr>
                <w:rStyle w:val="Strong"/>
                <w:b w:val="0"/>
                <w:bCs w:val="0"/>
              </w:rPr>
            </w:pPr>
            <w:r w:rsidRPr="0039064C">
              <w:rPr>
                <w:b/>
                <w:bCs/>
              </w:rPr>
              <w:t>83,222,544</w:t>
            </w:r>
          </w:p>
        </w:tc>
      </w:tr>
      <w:tr w:rsidR="0039064C" w:rsidRPr="009A0FC5" w14:paraId="3AB92F29" w14:textId="77777777" w:rsidTr="006E0AB5">
        <w:tc>
          <w:tcPr>
            <w:tcW w:w="1563" w:type="pct"/>
          </w:tcPr>
          <w:p w14:paraId="100DED2D" w14:textId="77777777" w:rsidR="0039064C" w:rsidRPr="009A0FC5" w:rsidRDefault="0039064C" w:rsidP="0039064C">
            <w:pPr>
              <w:pStyle w:val="TableText"/>
              <w:keepNext/>
              <w:rPr>
                <w:lang w:eastAsia="ja-JP"/>
              </w:rPr>
            </w:pPr>
            <w:r w:rsidRPr="009A0FC5">
              <w:rPr>
                <w:lang w:eastAsia="ja-JP"/>
              </w:rPr>
              <w:t>Assessment</w:t>
            </w:r>
          </w:p>
        </w:tc>
        <w:tc>
          <w:tcPr>
            <w:tcW w:w="1039" w:type="pct"/>
          </w:tcPr>
          <w:p w14:paraId="01508E80" w14:textId="3EC271C0" w:rsidR="0039064C" w:rsidRPr="009A0FC5" w:rsidRDefault="0039064C" w:rsidP="0039064C">
            <w:pPr>
              <w:pStyle w:val="TableText"/>
              <w:keepNext/>
              <w:jc w:val="right"/>
              <w:rPr>
                <w:lang w:eastAsia="ja-JP"/>
              </w:rPr>
            </w:pPr>
            <w:r w:rsidRPr="009665CF">
              <w:t>10,212,023</w:t>
            </w:r>
          </w:p>
        </w:tc>
        <w:tc>
          <w:tcPr>
            <w:tcW w:w="1152" w:type="pct"/>
          </w:tcPr>
          <w:p w14:paraId="0A776BFE" w14:textId="0F6FE046" w:rsidR="0039064C" w:rsidRPr="009A0FC5" w:rsidRDefault="0039064C" w:rsidP="0039064C">
            <w:pPr>
              <w:pStyle w:val="TableText"/>
              <w:keepNext/>
              <w:jc w:val="right"/>
              <w:rPr>
                <w:lang w:eastAsia="ja-JP"/>
              </w:rPr>
            </w:pPr>
            <w:r w:rsidRPr="007C7295">
              <w:t>12,304,305</w:t>
            </w:r>
          </w:p>
        </w:tc>
        <w:tc>
          <w:tcPr>
            <w:tcW w:w="1246" w:type="pct"/>
          </w:tcPr>
          <w:p w14:paraId="22769830" w14:textId="27F8AD1B" w:rsidR="0039064C" w:rsidRPr="009A0FC5" w:rsidRDefault="0039064C" w:rsidP="0039064C">
            <w:pPr>
              <w:pStyle w:val="TableText"/>
              <w:keepNext/>
              <w:jc w:val="right"/>
              <w:rPr>
                <w:lang w:eastAsia="ja-JP"/>
              </w:rPr>
            </w:pPr>
            <w:r w:rsidRPr="00625A21">
              <w:t>22,516,328</w:t>
            </w:r>
          </w:p>
        </w:tc>
      </w:tr>
      <w:tr w:rsidR="0039064C" w:rsidRPr="009A0FC5" w14:paraId="58A20D41" w14:textId="77777777" w:rsidTr="006E0AB5">
        <w:tc>
          <w:tcPr>
            <w:tcW w:w="1563" w:type="pct"/>
          </w:tcPr>
          <w:p w14:paraId="6D52FF30" w14:textId="77777777" w:rsidR="0039064C" w:rsidRPr="009A0FC5" w:rsidRDefault="0039064C" w:rsidP="0039064C">
            <w:pPr>
              <w:pStyle w:val="TableText"/>
              <w:keepNext/>
              <w:rPr>
                <w:lang w:eastAsia="ja-JP"/>
              </w:rPr>
            </w:pPr>
            <w:r w:rsidRPr="009A0FC5">
              <w:rPr>
                <w:lang w:eastAsia="ja-JP"/>
              </w:rPr>
              <w:t>Issuing approvals or certification</w:t>
            </w:r>
          </w:p>
        </w:tc>
        <w:tc>
          <w:tcPr>
            <w:tcW w:w="1039" w:type="pct"/>
          </w:tcPr>
          <w:p w14:paraId="2414BAF1" w14:textId="48DFFAF1" w:rsidR="0039064C" w:rsidRPr="009A0FC5" w:rsidRDefault="0039064C" w:rsidP="0039064C">
            <w:pPr>
              <w:pStyle w:val="TableText"/>
              <w:keepNext/>
              <w:jc w:val="right"/>
              <w:rPr>
                <w:lang w:eastAsia="ja-JP"/>
              </w:rPr>
            </w:pPr>
            <w:r w:rsidRPr="009665CF">
              <w:t>190,030</w:t>
            </w:r>
          </w:p>
        </w:tc>
        <w:tc>
          <w:tcPr>
            <w:tcW w:w="1152" w:type="pct"/>
          </w:tcPr>
          <w:p w14:paraId="4A54759C" w14:textId="3BC1DCA4" w:rsidR="0039064C" w:rsidRPr="009A0FC5" w:rsidRDefault="0039064C" w:rsidP="0039064C">
            <w:pPr>
              <w:pStyle w:val="TableText"/>
              <w:keepNext/>
              <w:jc w:val="right"/>
              <w:rPr>
                <w:lang w:eastAsia="ja-JP"/>
              </w:rPr>
            </w:pPr>
            <w:r w:rsidRPr="007C7295">
              <w:t>228,964</w:t>
            </w:r>
          </w:p>
        </w:tc>
        <w:tc>
          <w:tcPr>
            <w:tcW w:w="1246" w:type="pct"/>
          </w:tcPr>
          <w:p w14:paraId="2530B525" w14:textId="7C293B8A" w:rsidR="0039064C" w:rsidRPr="009A0FC5" w:rsidRDefault="0039064C" w:rsidP="0039064C">
            <w:pPr>
              <w:pStyle w:val="TableText"/>
              <w:keepNext/>
              <w:jc w:val="right"/>
              <w:rPr>
                <w:lang w:eastAsia="ja-JP"/>
              </w:rPr>
            </w:pPr>
            <w:r w:rsidRPr="00625A21">
              <w:t>418,994</w:t>
            </w:r>
          </w:p>
        </w:tc>
      </w:tr>
      <w:tr w:rsidR="0039064C" w:rsidRPr="009A0FC5" w14:paraId="571AFAE9" w14:textId="77777777" w:rsidTr="006E0AB5">
        <w:tc>
          <w:tcPr>
            <w:tcW w:w="1563" w:type="pct"/>
          </w:tcPr>
          <w:p w14:paraId="5BE35506" w14:textId="77777777" w:rsidR="0039064C" w:rsidRPr="009A0FC5" w:rsidRDefault="0039064C" w:rsidP="0039064C">
            <w:pPr>
              <w:pStyle w:val="TableText"/>
              <w:keepNext/>
              <w:rPr>
                <w:lang w:eastAsia="ja-JP"/>
              </w:rPr>
            </w:pPr>
            <w:r w:rsidRPr="009A0FC5">
              <w:rPr>
                <w:lang w:eastAsia="ja-JP"/>
              </w:rPr>
              <w:t>Inspection</w:t>
            </w:r>
          </w:p>
        </w:tc>
        <w:tc>
          <w:tcPr>
            <w:tcW w:w="1039" w:type="pct"/>
          </w:tcPr>
          <w:p w14:paraId="3B419BED" w14:textId="5BB77F15" w:rsidR="0039064C" w:rsidRPr="009A0FC5" w:rsidRDefault="0039064C" w:rsidP="0039064C">
            <w:pPr>
              <w:pStyle w:val="TableText"/>
              <w:keepNext/>
              <w:jc w:val="right"/>
              <w:rPr>
                <w:lang w:eastAsia="ja-JP"/>
              </w:rPr>
            </w:pPr>
            <w:r w:rsidRPr="009665CF">
              <w:t>22,927,714</w:t>
            </w:r>
          </w:p>
        </w:tc>
        <w:tc>
          <w:tcPr>
            <w:tcW w:w="1152" w:type="pct"/>
          </w:tcPr>
          <w:p w14:paraId="5F079748" w14:textId="35FADEBB" w:rsidR="0039064C" w:rsidRPr="009A0FC5" w:rsidRDefault="0039064C" w:rsidP="0039064C">
            <w:pPr>
              <w:pStyle w:val="TableText"/>
              <w:keepNext/>
              <w:jc w:val="right"/>
              <w:rPr>
                <w:lang w:eastAsia="ja-JP"/>
              </w:rPr>
            </w:pPr>
            <w:r w:rsidRPr="007C7295">
              <w:t>27,623,658</w:t>
            </w:r>
          </w:p>
        </w:tc>
        <w:tc>
          <w:tcPr>
            <w:tcW w:w="1246" w:type="pct"/>
          </w:tcPr>
          <w:p w14:paraId="41438A3C" w14:textId="65637D3B" w:rsidR="0039064C" w:rsidRPr="009A0FC5" w:rsidRDefault="0039064C" w:rsidP="0039064C">
            <w:pPr>
              <w:pStyle w:val="TableText"/>
              <w:keepNext/>
              <w:jc w:val="right"/>
              <w:rPr>
                <w:lang w:eastAsia="ja-JP"/>
              </w:rPr>
            </w:pPr>
            <w:r w:rsidRPr="00625A21">
              <w:t>50,551,372</w:t>
            </w:r>
          </w:p>
        </w:tc>
      </w:tr>
      <w:tr w:rsidR="0039064C" w:rsidRPr="009A0FC5" w14:paraId="2F3D3651" w14:textId="77777777" w:rsidTr="006E0AB5">
        <w:tc>
          <w:tcPr>
            <w:tcW w:w="1563" w:type="pct"/>
          </w:tcPr>
          <w:p w14:paraId="411891B0" w14:textId="77777777" w:rsidR="0039064C" w:rsidRPr="009A0FC5" w:rsidRDefault="0039064C" w:rsidP="0039064C">
            <w:pPr>
              <w:pStyle w:val="TableText"/>
              <w:keepNext/>
              <w:rPr>
                <w:lang w:eastAsia="ja-JP"/>
              </w:rPr>
            </w:pPr>
            <w:r w:rsidRPr="009A0FC5">
              <w:rPr>
                <w:lang w:eastAsia="ja-JP"/>
              </w:rPr>
              <w:t>Treatment</w:t>
            </w:r>
          </w:p>
        </w:tc>
        <w:tc>
          <w:tcPr>
            <w:tcW w:w="1039" w:type="pct"/>
          </w:tcPr>
          <w:p w14:paraId="6699ECFE" w14:textId="0F2D89C8" w:rsidR="0039064C" w:rsidRPr="009A0FC5" w:rsidRDefault="0039064C" w:rsidP="0039064C">
            <w:pPr>
              <w:pStyle w:val="TableText"/>
              <w:keepNext/>
              <w:jc w:val="right"/>
              <w:rPr>
                <w:lang w:eastAsia="ja-JP"/>
              </w:rPr>
            </w:pPr>
            <w:r w:rsidRPr="009665CF">
              <w:t>783,485</w:t>
            </w:r>
          </w:p>
        </w:tc>
        <w:tc>
          <w:tcPr>
            <w:tcW w:w="1152" w:type="pct"/>
          </w:tcPr>
          <w:p w14:paraId="3A25C73B" w14:textId="441E4D0D" w:rsidR="0039064C" w:rsidRPr="009A0FC5" w:rsidRDefault="0039064C" w:rsidP="0039064C">
            <w:pPr>
              <w:pStyle w:val="TableText"/>
              <w:keepNext/>
              <w:jc w:val="right"/>
              <w:rPr>
                <w:lang w:eastAsia="ja-JP"/>
              </w:rPr>
            </w:pPr>
            <w:r w:rsidRPr="007C7295">
              <w:t>944,009</w:t>
            </w:r>
          </w:p>
        </w:tc>
        <w:tc>
          <w:tcPr>
            <w:tcW w:w="1246" w:type="pct"/>
          </w:tcPr>
          <w:p w14:paraId="5658FF0B" w14:textId="7D065131" w:rsidR="0039064C" w:rsidRPr="009A0FC5" w:rsidRDefault="0039064C" w:rsidP="0039064C">
            <w:pPr>
              <w:pStyle w:val="TableText"/>
              <w:keepNext/>
              <w:jc w:val="right"/>
              <w:rPr>
                <w:lang w:eastAsia="ja-JP"/>
              </w:rPr>
            </w:pPr>
            <w:r w:rsidRPr="00625A21">
              <w:t>1,727,494</w:t>
            </w:r>
          </w:p>
        </w:tc>
      </w:tr>
      <w:tr w:rsidR="0039064C" w:rsidRPr="009A0FC5" w14:paraId="09DA50CD" w14:textId="77777777" w:rsidTr="006E0AB5">
        <w:tc>
          <w:tcPr>
            <w:tcW w:w="1563" w:type="pct"/>
          </w:tcPr>
          <w:p w14:paraId="5A599BCA" w14:textId="0B9A009E" w:rsidR="0039064C" w:rsidRPr="009A0FC5" w:rsidRDefault="0039064C" w:rsidP="0039064C">
            <w:pPr>
              <w:pStyle w:val="TableText"/>
              <w:keepNext/>
              <w:rPr>
                <w:lang w:eastAsia="ja-JP"/>
              </w:rPr>
            </w:pPr>
            <w:r>
              <w:rPr>
                <w:lang w:eastAsia="ja-JP"/>
              </w:rPr>
              <w:t>Audit</w:t>
            </w:r>
          </w:p>
        </w:tc>
        <w:tc>
          <w:tcPr>
            <w:tcW w:w="1039" w:type="pct"/>
          </w:tcPr>
          <w:p w14:paraId="3ABA7078" w14:textId="11DA162E" w:rsidR="0039064C" w:rsidRPr="009A0FC5" w:rsidRDefault="0039064C" w:rsidP="0039064C">
            <w:pPr>
              <w:pStyle w:val="TableText"/>
              <w:keepNext/>
              <w:jc w:val="right"/>
              <w:rPr>
                <w:lang w:eastAsia="ja-JP"/>
              </w:rPr>
            </w:pPr>
            <w:r w:rsidRPr="009665CF">
              <w:t>2,226,206</w:t>
            </w:r>
          </w:p>
        </w:tc>
        <w:tc>
          <w:tcPr>
            <w:tcW w:w="1152" w:type="pct"/>
          </w:tcPr>
          <w:p w14:paraId="1D798E80" w14:textId="6DB90AA4" w:rsidR="0039064C" w:rsidRPr="009A0FC5" w:rsidRDefault="0039064C" w:rsidP="0039064C">
            <w:pPr>
              <w:pStyle w:val="TableText"/>
              <w:keepNext/>
              <w:jc w:val="right"/>
              <w:rPr>
                <w:lang w:eastAsia="ja-JP"/>
              </w:rPr>
            </w:pPr>
            <w:r w:rsidRPr="007C7295">
              <w:t>2,682,321</w:t>
            </w:r>
          </w:p>
        </w:tc>
        <w:tc>
          <w:tcPr>
            <w:tcW w:w="1246" w:type="pct"/>
          </w:tcPr>
          <w:p w14:paraId="5B5C9559" w14:textId="37F8F7E9" w:rsidR="0039064C" w:rsidRPr="009A0FC5" w:rsidRDefault="0039064C" w:rsidP="0039064C">
            <w:pPr>
              <w:pStyle w:val="TableText"/>
              <w:keepNext/>
              <w:jc w:val="right"/>
              <w:rPr>
                <w:lang w:eastAsia="ja-JP"/>
              </w:rPr>
            </w:pPr>
            <w:r w:rsidRPr="00625A21">
              <w:t>4,908,527</w:t>
            </w:r>
          </w:p>
        </w:tc>
      </w:tr>
      <w:tr w:rsidR="0039064C" w:rsidRPr="009A0FC5" w14:paraId="3DFE1C5B" w14:textId="77777777" w:rsidTr="006E0AB5">
        <w:tc>
          <w:tcPr>
            <w:tcW w:w="1563" w:type="pct"/>
          </w:tcPr>
          <w:p w14:paraId="175A774E" w14:textId="2850E4F5" w:rsidR="0039064C" w:rsidRPr="009A0FC5" w:rsidRDefault="0039064C" w:rsidP="0039064C">
            <w:pPr>
              <w:pStyle w:val="TableText"/>
              <w:keepNext/>
              <w:rPr>
                <w:lang w:eastAsia="ja-JP"/>
              </w:rPr>
            </w:pPr>
            <w:r w:rsidRPr="009A0FC5">
              <w:rPr>
                <w:lang w:eastAsia="ja-JP"/>
              </w:rPr>
              <w:t>Husbandry</w:t>
            </w:r>
          </w:p>
        </w:tc>
        <w:tc>
          <w:tcPr>
            <w:tcW w:w="1039" w:type="pct"/>
          </w:tcPr>
          <w:p w14:paraId="049FB2F9" w14:textId="488694C4" w:rsidR="0039064C" w:rsidRPr="009A0FC5" w:rsidRDefault="0039064C" w:rsidP="0039064C">
            <w:pPr>
              <w:pStyle w:val="TableText"/>
              <w:keepNext/>
              <w:jc w:val="right"/>
              <w:rPr>
                <w:lang w:eastAsia="ja-JP"/>
              </w:rPr>
            </w:pPr>
            <w:r w:rsidRPr="009665CF">
              <w:t>1,625,583</w:t>
            </w:r>
          </w:p>
        </w:tc>
        <w:tc>
          <w:tcPr>
            <w:tcW w:w="1152" w:type="pct"/>
          </w:tcPr>
          <w:p w14:paraId="7DA1A071" w14:textId="405FF8AB" w:rsidR="0039064C" w:rsidRPr="009A0FC5" w:rsidRDefault="0039064C" w:rsidP="0039064C">
            <w:pPr>
              <w:pStyle w:val="TableText"/>
              <w:keepNext/>
              <w:jc w:val="right"/>
              <w:rPr>
                <w:lang w:eastAsia="ja-JP"/>
              </w:rPr>
            </w:pPr>
            <w:r w:rsidRPr="007C7295">
              <w:t>1,474,246</w:t>
            </w:r>
          </w:p>
        </w:tc>
        <w:tc>
          <w:tcPr>
            <w:tcW w:w="1246" w:type="pct"/>
          </w:tcPr>
          <w:p w14:paraId="3C9512C6" w14:textId="18A0B52D" w:rsidR="0039064C" w:rsidRPr="009A0FC5" w:rsidRDefault="0039064C" w:rsidP="0039064C">
            <w:pPr>
              <w:pStyle w:val="TableText"/>
              <w:keepNext/>
              <w:jc w:val="right"/>
              <w:rPr>
                <w:lang w:eastAsia="ja-JP"/>
              </w:rPr>
            </w:pPr>
            <w:r w:rsidRPr="00625A21">
              <w:t>3,099,829</w:t>
            </w:r>
          </w:p>
        </w:tc>
      </w:tr>
      <w:tr w:rsidR="0039064C" w:rsidRPr="00830762" w14:paraId="152722BE" w14:textId="77777777" w:rsidTr="006E0AB5">
        <w:tc>
          <w:tcPr>
            <w:tcW w:w="1563" w:type="pct"/>
          </w:tcPr>
          <w:p w14:paraId="5892B483" w14:textId="77777777" w:rsidR="0039064C" w:rsidRPr="009A0FC5" w:rsidRDefault="0039064C" w:rsidP="0039064C">
            <w:pPr>
              <w:pStyle w:val="TableText"/>
              <w:rPr>
                <w:rStyle w:val="Strong"/>
              </w:rPr>
            </w:pPr>
            <w:r w:rsidRPr="009A0FC5">
              <w:rPr>
                <w:rStyle w:val="Strong"/>
              </w:rPr>
              <w:t>Total</w:t>
            </w:r>
          </w:p>
        </w:tc>
        <w:tc>
          <w:tcPr>
            <w:tcW w:w="1039" w:type="pct"/>
          </w:tcPr>
          <w:p w14:paraId="0F23DD2F" w14:textId="78A0CB75" w:rsidR="0039064C" w:rsidRPr="0039064C" w:rsidRDefault="0039064C" w:rsidP="0039064C">
            <w:pPr>
              <w:pStyle w:val="TableText"/>
              <w:jc w:val="right"/>
              <w:rPr>
                <w:rStyle w:val="Strong"/>
                <w:b w:val="0"/>
                <w:bCs w:val="0"/>
              </w:rPr>
            </w:pPr>
            <w:r w:rsidRPr="0039064C">
              <w:rPr>
                <w:b/>
                <w:bCs/>
              </w:rPr>
              <w:t>183,808,625</w:t>
            </w:r>
          </w:p>
        </w:tc>
        <w:tc>
          <w:tcPr>
            <w:tcW w:w="1152" w:type="pct"/>
          </w:tcPr>
          <w:p w14:paraId="6DE91483" w14:textId="1A402B4D" w:rsidR="0039064C" w:rsidRPr="0039064C" w:rsidRDefault="0039064C" w:rsidP="0039064C">
            <w:pPr>
              <w:pStyle w:val="TableText"/>
              <w:jc w:val="right"/>
              <w:rPr>
                <w:rStyle w:val="Strong"/>
                <w:b w:val="0"/>
                <w:bCs w:val="0"/>
              </w:rPr>
            </w:pPr>
            <w:r w:rsidRPr="0039064C">
              <w:rPr>
                <w:b/>
                <w:bCs/>
              </w:rPr>
              <w:t>123,542,375</w:t>
            </w:r>
          </w:p>
        </w:tc>
        <w:tc>
          <w:tcPr>
            <w:tcW w:w="1246" w:type="pct"/>
          </w:tcPr>
          <w:p w14:paraId="21C4C786" w14:textId="5B4A54E4" w:rsidR="0039064C" w:rsidRPr="0039064C" w:rsidRDefault="0039064C" w:rsidP="0039064C">
            <w:pPr>
              <w:pStyle w:val="TableText"/>
              <w:jc w:val="right"/>
              <w:rPr>
                <w:rStyle w:val="Strong"/>
                <w:b w:val="0"/>
                <w:bCs w:val="0"/>
              </w:rPr>
            </w:pPr>
            <w:r w:rsidRPr="0039064C">
              <w:rPr>
                <w:b/>
                <w:bCs/>
              </w:rPr>
              <w:t>307,351,000</w:t>
            </w:r>
          </w:p>
        </w:tc>
      </w:tr>
    </w:tbl>
    <w:p w14:paraId="3D1615D2" w14:textId="5E29C028" w:rsidR="00E25190" w:rsidRDefault="00E25190" w:rsidP="00E25190">
      <w:pPr>
        <w:pStyle w:val="Heading4"/>
        <w:spacing w:before="240"/>
        <w:rPr>
          <w:lang w:eastAsia="ja-JP"/>
        </w:rPr>
      </w:pPr>
      <w:r>
        <w:rPr>
          <w:lang w:eastAsia="ja-JP"/>
        </w:rPr>
        <w:t>Financial management strategies</w:t>
      </w:r>
    </w:p>
    <w:p w14:paraId="134FE186" w14:textId="7093725C" w:rsidR="00E25190" w:rsidRDefault="00E25190" w:rsidP="00E25190">
      <w:pPr>
        <w:rPr>
          <w:lang w:eastAsia="ja-JP"/>
        </w:rPr>
      </w:pPr>
      <w:r>
        <w:rPr>
          <w:lang w:eastAsia="ja-JP"/>
        </w:rPr>
        <w:t xml:space="preserve">We are committed to managing costs in an efficient and effective manner in line with our responsibilities as an administrator of public resources. We monitor costs </w:t>
      </w:r>
      <w:r w:rsidR="007170B6">
        <w:rPr>
          <w:lang w:eastAsia="ja-JP"/>
        </w:rPr>
        <w:t>monthly</w:t>
      </w:r>
      <w:r>
        <w:rPr>
          <w:lang w:eastAsia="ja-JP"/>
        </w:rPr>
        <w:t xml:space="preserve"> and set tolerance levels for variances between budgeted and actual expense. We regularly review and improve our workforce models, </w:t>
      </w:r>
      <w:r w:rsidR="00B30597">
        <w:rPr>
          <w:lang w:eastAsia="ja-JP"/>
        </w:rPr>
        <w:t>systems,</w:t>
      </w:r>
      <w:r>
        <w:rPr>
          <w:lang w:eastAsia="ja-JP"/>
        </w:rPr>
        <w:t xml:space="preserve"> and processes.</w:t>
      </w:r>
    </w:p>
    <w:p w14:paraId="7A8B890C" w14:textId="1040D9D0" w:rsidR="00E25190" w:rsidRDefault="00E25190" w:rsidP="00E25190">
      <w:pPr>
        <w:pStyle w:val="Heading3"/>
        <w:rPr>
          <w:lang w:eastAsia="ja-JP"/>
        </w:rPr>
      </w:pPr>
      <w:bookmarkStart w:id="33" w:name="_Design_of_regulatory"/>
      <w:bookmarkStart w:id="34" w:name="_Toc119313390"/>
      <w:bookmarkEnd w:id="33"/>
      <w:r>
        <w:rPr>
          <w:lang w:eastAsia="ja-JP"/>
        </w:rPr>
        <w:t xml:space="preserve">Design of regulatory </w:t>
      </w:r>
      <w:r w:rsidR="00A01FEB">
        <w:rPr>
          <w:lang w:eastAsia="ja-JP"/>
        </w:rPr>
        <w:t>cost recovery</w:t>
      </w:r>
      <w:bookmarkEnd w:id="34"/>
    </w:p>
    <w:p w14:paraId="56159A7A" w14:textId="76D02BA6" w:rsidR="00E25190" w:rsidRDefault="00FF36C8" w:rsidP="00E25190">
      <w:pPr>
        <w:rPr>
          <w:lang w:eastAsia="ja-JP"/>
        </w:rPr>
      </w:pPr>
      <w:r w:rsidRPr="00FF36C8">
        <w:rPr>
          <w:lang w:eastAsia="ja-JP"/>
        </w:rPr>
        <w:t xml:space="preserve">We determine appropriate regulatory cost recovery after establishing activity costs and volumes. We use a combination of regulatory fees and charges depending on whether an activity is for a specific </w:t>
      </w:r>
      <w:r w:rsidR="00BF11DA">
        <w:rPr>
          <w:lang w:eastAsia="ja-JP"/>
        </w:rPr>
        <w:t xml:space="preserve">individual or organisation, </w:t>
      </w:r>
      <w:r w:rsidRPr="00FF36C8">
        <w:rPr>
          <w:lang w:eastAsia="ja-JP"/>
        </w:rPr>
        <w:t xml:space="preserve">or group of recipients. Fees are used to recover the costs of direct intervention and certification activities undertaken for </w:t>
      </w:r>
      <w:proofErr w:type="gramStart"/>
      <w:r w:rsidRPr="00FF36C8">
        <w:rPr>
          <w:lang w:eastAsia="ja-JP"/>
        </w:rPr>
        <w:t>particular importers</w:t>
      </w:r>
      <w:proofErr w:type="gramEnd"/>
      <w:r w:rsidRPr="00FF36C8">
        <w:rPr>
          <w:lang w:eastAsia="ja-JP"/>
        </w:rPr>
        <w:t xml:space="preserve"> or regulated entities. Charges are imposed when activities are provided to a group of individuals or organisations. This recovers costs not directly linked to a specific individual or organisation but form</w:t>
      </w:r>
      <w:r>
        <w:rPr>
          <w:lang w:eastAsia="ja-JP"/>
        </w:rPr>
        <w:t>s</w:t>
      </w:r>
      <w:r w:rsidRPr="00FF36C8">
        <w:rPr>
          <w:lang w:eastAsia="ja-JP"/>
        </w:rPr>
        <w:t xml:space="preserve"> part of the costs of the overall biosecurity regulatory </w:t>
      </w:r>
      <w:r w:rsidR="00A01FEB" w:rsidRPr="00FF36C8">
        <w:rPr>
          <w:lang w:eastAsia="ja-JP"/>
        </w:rPr>
        <w:t>system.</w:t>
      </w:r>
    </w:p>
    <w:p w14:paraId="2AF873B3" w14:textId="2465C0B2" w:rsidR="00A4763B" w:rsidRPr="003C2FE5" w:rsidRDefault="00A4763B" w:rsidP="00A4763B">
      <w:pPr>
        <w:pStyle w:val="Heading3"/>
        <w:rPr>
          <w:lang w:eastAsia="ja-JP"/>
        </w:rPr>
      </w:pPr>
      <w:bookmarkStart w:id="35" w:name="_Toc119313391"/>
      <w:r w:rsidRPr="003C2FE5">
        <w:t>Cost recovery reserves</w:t>
      </w:r>
      <w:bookmarkEnd w:id="35"/>
    </w:p>
    <w:p w14:paraId="60B0A0B3" w14:textId="3BED6231" w:rsidR="0097761C" w:rsidRPr="003C2FE5" w:rsidRDefault="00E25190" w:rsidP="00A4763B">
      <w:pPr>
        <w:rPr>
          <w:lang w:eastAsia="ja-JP"/>
        </w:rPr>
      </w:pPr>
      <w:r w:rsidRPr="003C2FE5">
        <w:rPr>
          <w:lang w:eastAsia="ja-JP"/>
        </w:rPr>
        <w:t xml:space="preserve">We maintain a cost recovery reserve to assist with managing the alignment of revenue and expenses. Our cost recovery reserve policy requires that a balance of </w:t>
      </w:r>
      <w:r w:rsidR="00BF11DA">
        <w:rPr>
          <w:lang w:eastAsia="ja-JP"/>
        </w:rPr>
        <w:t xml:space="preserve">up </w:t>
      </w:r>
      <w:r w:rsidR="004A2FA3" w:rsidRPr="003C2FE5">
        <w:rPr>
          <w:lang w:eastAsia="ja-JP"/>
        </w:rPr>
        <w:t xml:space="preserve">to </w:t>
      </w:r>
      <w:r w:rsidRPr="003C2FE5">
        <w:rPr>
          <w:lang w:eastAsia="ja-JP"/>
        </w:rPr>
        <w:t>5</w:t>
      </w:r>
      <w:r w:rsidR="00AF672F" w:rsidRPr="003C2FE5">
        <w:rPr>
          <w:lang w:eastAsia="ja-JP"/>
        </w:rPr>
        <w:t>%</w:t>
      </w:r>
      <w:r w:rsidRPr="003C2FE5">
        <w:rPr>
          <w:lang w:eastAsia="ja-JP"/>
        </w:rPr>
        <w:t xml:space="preserve"> of annual program expense be maintained. Subject to </w:t>
      </w:r>
      <w:r w:rsidR="008E018B" w:rsidRPr="003C2FE5">
        <w:rPr>
          <w:lang w:eastAsia="ja-JP"/>
        </w:rPr>
        <w:t xml:space="preserve">agreement between the department and industry, </w:t>
      </w:r>
      <w:r w:rsidRPr="003C2FE5">
        <w:rPr>
          <w:lang w:eastAsia="ja-JP"/>
        </w:rPr>
        <w:t>over-recoveries may be managed through remittance or investment initiatives.</w:t>
      </w:r>
    </w:p>
    <w:p w14:paraId="02A175AE" w14:textId="77DE6187" w:rsidR="00A4763B" w:rsidRPr="003C2FE5" w:rsidRDefault="00E25190" w:rsidP="00A4763B">
      <w:r w:rsidRPr="003C2FE5">
        <w:rPr>
          <w:lang w:eastAsia="ja-JP"/>
        </w:rPr>
        <w:t xml:space="preserve">Under-recoveries will result in the arrangement not recovering the expenses of the relevant regulatory functions. This in turn will result in the arrangement operating at a loss, and adversely impact on the reserve balance for the arrangement at year’s end. Ongoing under </w:t>
      </w:r>
      <w:r w:rsidRPr="003C2FE5">
        <w:rPr>
          <w:lang w:eastAsia="ja-JP"/>
        </w:rPr>
        <w:lastRenderedPageBreak/>
        <w:t>recovery will lead to the need for further review of the regulatory charging arrangement to ensure its return to sustainable recovery of all regulatory costs</w:t>
      </w:r>
      <w:r w:rsidR="008E018B" w:rsidRPr="003C2FE5">
        <w:rPr>
          <w:lang w:eastAsia="ja-JP"/>
        </w:rPr>
        <w:t>.</w:t>
      </w:r>
    </w:p>
    <w:p w14:paraId="6F707FE7" w14:textId="3561A86D" w:rsidR="00A4763B" w:rsidRPr="003C2FE5" w:rsidRDefault="00A4763B" w:rsidP="00A4763B">
      <w:r w:rsidRPr="003C2FE5">
        <w:t xml:space="preserve">The cost recovery reserve </w:t>
      </w:r>
      <w:r w:rsidR="0097761C" w:rsidRPr="003C2FE5">
        <w:t>is</w:t>
      </w:r>
      <w:r w:rsidRPr="003C2FE5">
        <w:t xml:space="preserve"> </w:t>
      </w:r>
      <w:r w:rsidR="0097761C" w:rsidRPr="003C2FE5">
        <w:t>the</w:t>
      </w:r>
      <w:r w:rsidRPr="003C2FE5">
        <w:t xml:space="preserve"> mechanism used by the department to manage under or over recovery of costs. Regulatory charg</w:t>
      </w:r>
      <w:r w:rsidR="00BF11DA">
        <w:t>ing</w:t>
      </w:r>
      <w:r w:rsidRPr="003C2FE5">
        <w:t xml:space="preserve"> </w:t>
      </w:r>
      <w:r w:rsidR="00BF11DA">
        <w:t>is</w:t>
      </w:r>
      <w:r w:rsidRPr="003C2FE5">
        <w:t xml:space="preserve"> set to recover reasonable costs. However, several factors can affect the difference between revenue and expenses. These factors include volume variances and changes in expenses based on priorities.</w:t>
      </w:r>
    </w:p>
    <w:p w14:paraId="475637A1" w14:textId="704777A5" w:rsidR="00785C62" w:rsidRDefault="00A4763B" w:rsidP="00785C62">
      <w:pPr>
        <w:rPr>
          <w:lang w:eastAsia="ja-JP"/>
        </w:rPr>
      </w:pPr>
      <w:r w:rsidRPr="003C2FE5">
        <w:t>Once a fee or charge is paid by industry, it becomes government revenue. The department will consult with industry on any under-recovery or over-recovery.</w:t>
      </w:r>
    </w:p>
    <w:p w14:paraId="066C1FAC" w14:textId="0AC26A33" w:rsidR="00E25190" w:rsidRDefault="00D800A2" w:rsidP="00E25190">
      <w:pPr>
        <w:pStyle w:val="Heading3"/>
        <w:rPr>
          <w:lang w:eastAsia="ja-JP"/>
        </w:rPr>
      </w:pPr>
      <w:bookmarkStart w:id="36" w:name="_Toc119313392"/>
      <w:r>
        <w:rPr>
          <w:lang w:eastAsia="ja-JP"/>
        </w:rPr>
        <w:t>Changes</w:t>
      </w:r>
      <w:r w:rsidR="00802F22">
        <w:rPr>
          <w:lang w:eastAsia="ja-JP"/>
        </w:rPr>
        <w:t xml:space="preserve"> to regulatory charging</w:t>
      </w:r>
      <w:bookmarkEnd w:id="36"/>
    </w:p>
    <w:p w14:paraId="541513AD" w14:textId="555DCF97" w:rsidR="00D34BF8" w:rsidRPr="00F44465" w:rsidRDefault="00D34BF8" w:rsidP="00D800A2">
      <w:pPr>
        <w:rPr>
          <w:lang w:eastAsia="ja-JP"/>
        </w:rPr>
      </w:pPr>
      <w:bookmarkStart w:id="37" w:name="_Hlk112921486"/>
      <w:r w:rsidRPr="00F44465">
        <w:rPr>
          <w:lang w:eastAsia="ja-JP"/>
        </w:rPr>
        <w:t>The increased cost to implement th</w:t>
      </w:r>
      <w:r w:rsidR="009450AB" w:rsidRPr="00F44465">
        <w:rPr>
          <w:lang w:eastAsia="ja-JP"/>
        </w:rPr>
        <w:t>e</w:t>
      </w:r>
      <w:r w:rsidRPr="00F44465">
        <w:rPr>
          <w:lang w:eastAsia="ja-JP"/>
        </w:rPr>
        <w:t xml:space="preserve"> Government’s 2021–22 budget decision to manage the risk of hitchhiker pests was managed through the Cost Recovery Reserves, which funded the initial work in </w:t>
      </w:r>
      <w:r w:rsidR="008B152D" w:rsidRPr="00F44465">
        <w:rPr>
          <w:lang w:eastAsia="ja-JP"/>
        </w:rPr>
        <w:t>2021–22</w:t>
      </w:r>
      <w:r w:rsidRPr="00F44465">
        <w:rPr>
          <w:lang w:eastAsia="ja-JP"/>
        </w:rPr>
        <w:t>. The ongoing cost will be partially recovered through the Full Import Declaration charge for sea cargo.</w:t>
      </w:r>
    </w:p>
    <w:p w14:paraId="2E8B422B" w14:textId="52CAACD4" w:rsidR="00D800A2" w:rsidRPr="00F44465" w:rsidRDefault="00AF3EF1" w:rsidP="00D800A2">
      <w:pPr>
        <w:rPr>
          <w:lang w:eastAsia="ja-JP"/>
        </w:rPr>
      </w:pPr>
      <w:r w:rsidRPr="00F44465">
        <w:rPr>
          <w:lang w:eastAsia="ja-JP"/>
        </w:rPr>
        <w:t xml:space="preserve">The effect of the Government’s </w:t>
      </w:r>
      <w:r w:rsidR="00802F22" w:rsidRPr="00F44465">
        <w:rPr>
          <w:lang w:eastAsia="ja-JP"/>
        </w:rPr>
        <w:t xml:space="preserve">2021–22 budget </w:t>
      </w:r>
      <w:r w:rsidRPr="00F44465">
        <w:rPr>
          <w:lang w:eastAsia="ja-JP"/>
        </w:rPr>
        <w:t>decision is to increase the following charge:</w:t>
      </w:r>
    </w:p>
    <w:p w14:paraId="73C23EAA" w14:textId="0C5F6271" w:rsidR="00AF3EF1" w:rsidRPr="00F44465" w:rsidRDefault="00AF3EF1" w:rsidP="00AF3EF1">
      <w:pPr>
        <w:pStyle w:val="ListParagraph"/>
        <w:numPr>
          <w:ilvl w:val="0"/>
          <w:numId w:val="34"/>
        </w:numPr>
        <w:rPr>
          <w:lang w:eastAsia="ja-JP"/>
        </w:rPr>
      </w:pPr>
      <w:r w:rsidRPr="00F44465">
        <w:rPr>
          <w:lang w:eastAsia="ja-JP"/>
        </w:rPr>
        <w:t xml:space="preserve">Full Import Declaration charge – Sea was $49, </w:t>
      </w:r>
      <w:r w:rsidR="001A1886" w:rsidRPr="00F44465">
        <w:rPr>
          <w:lang w:eastAsia="ja-JP"/>
        </w:rPr>
        <w:t>modelled at $9.02 rounded to $</w:t>
      </w:r>
      <w:r w:rsidRPr="00F44465">
        <w:rPr>
          <w:lang w:eastAsia="ja-JP"/>
        </w:rPr>
        <w:t>58</w:t>
      </w:r>
    </w:p>
    <w:p w14:paraId="42502DFE" w14:textId="38E2CC29" w:rsidR="00802F22" w:rsidRPr="00F44465" w:rsidRDefault="00802F22" w:rsidP="00AF3EF1">
      <w:pPr>
        <w:pStyle w:val="ListParagraph"/>
        <w:numPr>
          <w:ilvl w:val="0"/>
          <w:numId w:val="34"/>
        </w:numPr>
        <w:rPr>
          <w:lang w:eastAsia="ja-JP"/>
        </w:rPr>
      </w:pPr>
      <w:r w:rsidRPr="00F44465">
        <w:rPr>
          <w:lang w:eastAsia="ja-JP"/>
        </w:rPr>
        <w:t xml:space="preserve">This price increase will take effect </w:t>
      </w:r>
      <w:r w:rsidR="00CA0E35" w:rsidRPr="00CA0E35">
        <w:rPr>
          <w:lang w:eastAsia="ja-JP"/>
        </w:rPr>
        <w:t>16 January 2023</w:t>
      </w:r>
      <w:r w:rsidRPr="00CA0E35">
        <w:rPr>
          <w:lang w:eastAsia="ja-JP"/>
        </w:rPr>
        <w:t>.</w:t>
      </w:r>
    </w:p>
    <w:p w14:paraId="3B51B212" w14:textId="5814A4FA" w:rsidR="00362834" w:rsidRDefault="009450AB" w:rsidP="00362834">
      <w:pPr>
        <w:rPr>
          <w:lang w:eastAsia="ja-JP"/>
        </w:rPr>
      </w:pPr>
      <w:r w:rsidRPr="00F44465">
        <w:t>The price increase was derived by dividing the amount expected to be cost recovered ($18,039,000) by the forecast volume of 2,000,000 Full Import Declarations we expect for sea cargo in 2022–23. This will be reviewed annually to ensure forecasts and actuals align and are adjusted for future pricing.</w:t>
      </w:r>
    </w:p>
    <w:p w14:paraId="62E67596" w14:textId="04CC7482" w:rsidR="00D34343" w:rsidRPr="00D800A2" w:rsidRDefault="00D34343" w:rsidP="00D34343">
      <w:pPr>
        <w:pStyle w:val="Heading3"/>
        <w:rPr>
          <w:lang w:eastAsia="ja-JP"/>
        </w:rPr>
      </w:pPr>
      <w:bookmarkStart w:id="38" w:name="_Toc119313393"/>
      <w:bookmarkEnd w:id="37"/>
      <w:r w:rsidRPr="00D34343">
        <w:rPr>
          <w:lang w:eastAsia="ja-JP"/>
        </w:rPr>
        <w:t>Biosecurity fees and charges</w:t>
      </w:r>
      <w:bookmarkEnd w:id="38"/>
    </w:p>
    <w:p w14:paraId="085202ED" w14:textId="551B80BC" w:rsidR="00E25190" w:rsidRDefault="00E25190" w:rsidP="00E25190">
      <w:pPr>
        <w:rPr>
          <w:lang w:eastAsia="ja-JP"/>
        </w:rPr>
      </w:pPr>
      <w:r w:rsidRPr="001F7DDC">
        <w:rPr>
          <w:lang w:eastAsia="ja-JP"/>
        </w:rPr>
        <w:t xml:space="preserve">The amounts payable </w:t>
      </w:r>
      <w:proofErr w:type="gramStart"/>
      <w:r w:rsidRPr="001F7DDC">
        <w:rPr>
          <w:lang w:eastAsia="ja-JP"/>
        </w:rPr>
        <w:t>are</w:t>
      </w:r>
      <w:proofErr w:type="gramEnd"/>
      <w:r w:rsidRPr="001F7DDC">
        <w:rPr>
          <w:lang w:eastAsia="ja-JP"/>
        </w:rPr>
        <w:t xml:space="preserve"> shown in </w:t>
      </w:r>
      <w:r w:rsidR="00056AD4" w:rsidRPr="001F7DDC">
        <w:rPr>
          <w:lang w:eastAsia="ja-JP"/>
        </w:rPr>
        <w:fldChar w:fldCharType="begin"/>
      </w:r>
      <w:r w:rsidR="00056AD4" w:rsidRPr="001F7DDC">
        <w:rPr>
          <w:lang w:eastAsia="ja-JP"/>
        </w:rPr>
        <w:instrText xml:space="preserve"> REF _Ref77250642 \h </w:instrText>
      </w:r>
      <w:r w:rsidR="00EC6876" w:rsidRPr="001F7DDC">
        <w:rPr>
          <w:lang w:eastAsia="ja-JP"/>
        </w:rPr>
        <w:instrText xml:space="preserve"> \* MERGEFORMAT </w:instrText>
      </w:r>
      <w:r w:rsidR="00056AD4" w:rsidRPr="001F7DDC">
        <w:rPr>
          <w:lang w:eastAsia="ja-JP"/>
        </w:rPr>
      </w:r>
      <w:r w:rsidR="00056AD4" w:rsidRPr="001F7DDC">
        <w:rPr>
          <w:lang w:eastAsia="ja-JP"/>
        </w:rPr>
        <w:fldChar w:fldCharType="separate"/>
      </w:r>
      <w:r w:rsidR="0033587A" w:rsidRPr="008B152D">
        <w:t xml:space="preserve">Table </w:t>
      </w:r>
      <w:r w:rsidR="0033587A">
        <w:rPr>
          <w:noProof/>
        </w:rPr>
        <w:t>2</w:t>
      </w:r>
      <w:r w:rsidR="00056AD4" w:rsidRPr="001F7DDC">
        <w:rPr>
          <w:lang w:eastAsia="ja-JP"/>
        </w:rPr>
        <w:fldChar w:fldCharType="end"/>
      </w:r>
      <w:r w:rsidRPr="001F7DDC">
        <w:rPr>
          <w:lang w:eastAsia="ja-JP"/>
        </w:rPr>
        <w:t xml:space="preserve">, </w:t>
      </w:r>
      <w:r w:rsidR="00CF46CF" w:rsidRPr="001F7DDC">
        <w:rPr>
          <w:lang w:eastAsia="ja-JP"/>
        </w:rPr>
        <w:t>updated from the 20</w:t>
      </w:r>
      <w:r w:rsidR="00565E5F" w:rsidRPr="001F7DDC">
        <w:rPr>
          <w:lang w:eastAsia="ja-JP"/>
        </w:rPr>
        <w:t>21</w:t>
      </w:r>
      <w:r w:rsidR="004126CB" w:rsidRPr="001F7DDC">
        <w:rPr>
          <w:lang w:eastAsia="ja-JP"/>
        </w:rPr>
        <w:t>–</w:t>
      </w:r>
      <w:r w:rsidR="00565E5F" w:rsidRPr="001F7DDC">
        <w:rPr>
          <w:lang w:eastAsia="ja-JP"/>
        </w:rPr>
        <w:t xml:space="preserve">22 </w:t>
      </w:r>
      <w:r w:rsidR="00CF46CF" w:rsidRPr="001F7DDC">
        <w:rPr>
          <w:lang w:eastAsia="ja-JP"/>
        </w:rPr>
        <w:t xml:space="preserve">CRIS to reflect the increased volumes </w:t>
      </w:r>
      <w:r w:rsidR="00565E5F" w:rsidRPr="001F7DDC">
        <w:rPr>
          <w:lang w:eastAsia="ja-JP"/>
        </w:rPr>
        <w:t xml:space="preserve">and new costs </w:t>
      </w:r>
      <w:r w:rsidR="00CF46CF" w:rsidRPr="001F7DDC">
        <w:rPr>
          <w:lang w:eastAsia="ja-JP"/>
        </w:rPr>
        <w:t>associated with biosecurity regulatory activities.</w:t>
      </w:r>
      <w:r w:rsidR="00EE3B48" w:rsidRPr="001F7DDC">
        <w:rPr>
          <w:lang w:eastAsia="ja-JP"/>
        </w:rPr>
        <w:t xml:space="preserve"> </w:t>
      </w:r>
      <w:bookmarkStart w:id="39" w:name="_Hlk119310618"/>
      <w:r w:rsidR="00EE3B48" w:rsidRPr="001F7DDC">
        <w:rPr>
          <w:lang w:eastAsia="ja-JP"/>
        </w:rPr>
        <w:t xml:space="preserve">The shortfall in revenue will be funded from the Biosecurity Cost Recovery Reserve for </w:t>
      </w:r>
      <w:r w:rsidR="00EC6876" w:rsidRPr="001F7DDC">
        <w:rPr>
          <w:lang w:eastAsia="ja-JP"/>
        </w:rPr>
        <w:t xml:space="preserve">1 </w:t>
      </w:r>
      <w:r w:rsidR="00EE3B48" w:rsidRPr="001F7DDC">
        <w:rPr>
          <w:lang w:eastAsia="ja-JP"/>
        </w:rPr>
        <w:t xml:space="preserve">July </w:t>
      </w:r>
      <w:r w:rsidR="00EC6876" w:rsidRPr="001F7DDC">
        <w:rPr>
          <w:lang w:eastAsia="ja-JP"/>
        </w:rPr>
        <w:t xml:space="preserve">2022 </w:t>
      </w:r>
      <w:r w:rsidR="00EE3B48" w:rsidRPr="001F7DDC">
        <w:rPr>
          <w:lang w:eastAsia="ja-JP"/>
        </w:rPr>
        <w:t xml:space="preserve">to </w:t>
      </w:r>
      <w:r w:rsidR="00EC6876" w:rsidRPr="001F7DDC">
        <w:rPr>
          <w:lang w:eastAsia="ja-JP"/>
        </w:rPr>
        <w:t>15 January 2023</w:t>
      </w:r>
      <w:r w:rsidR="00EE3B48" w:rsidRPr="001F7DDC">
        <w:rPr>
          <w:lang w:eastAsia="ja-JP"/>
        </w:rPr>
        <w:t>.</w:t>
      </w:r>
    </w:p>
    <w:p w14:paraId="4CDF8BF8" w14:textId="04210864" w:rsidR="00B6177D" w:rsidRDefault="00B6177D" w:rsidP="00B6177D">
      <w:pPr>
        <w:pStyle w:val="Caption"/>
      </w:pPr>
      <w:bookmarkStart w:id="40" w:name="_Ref77250642"/>
      <w:bookmarkStart w:id="41" w:name="_Toc113262179"/>
      <w:bookmarkEnd w:id="39"/>
      <w:r w:rsidRPr="008B152D">
        <w:t xml:space="preserve">Table </w:t>
      </w:r>
      <w:r w:rsidR="003C1A72">
        <w:fldChar w:fldCharType="begin"/>
      </w:r>
      <w:r w:rsidR="003C1A72">
        <w:instrText xml:space="preserve"> SEQ Table \* ARABIC </w:instrText>
      </w:r>
      <w:r w:rsidR="003C1A72">
        <w:fldChar w:fldCharType="separate"/>
      </w:r>
      <w:r w:rsidR="0033587A">
        <w:rPr>
          <w:noProof/>
        </w:rPr>
        <w:t>2</w:t>
      </w:r>
      <w:r w:rsidR="003C1A72">
        <w:rPr>
          <w:noProof/>
        </w:rPr>
        <w:fldChar w:fldCharType="end"/>
      </w:r>
      <w:bookmarkEnd w:id="40"/>
      <w:r w:rsidRPr="008B152D">
        <w:t xml:space="preserve"> Fees, </w:t>
      </w:r>
      <w:r w:rsidR="00A01FEB" w:rsidRPr="008B152D">
        <w:t>charges,</w:t>
      </w:r>
      <w:r w:rsidRPr="008B152D">
        <w:t xml:space="preserve"> and volumes for biosecurity arrangement, </w:t>
      </w:r>
      <w:r w:rsidR="003E289C" w:rsidRPr="008B152D">
        <w:t>2022</w:t>
      </w:r>
      <w:r w:rsidRPr="008B152D">
        <w:t>–</w:t>
      </w:r>
      <w:r w:rsidR="003E289C" w:rsidRPr="008B152D">
        <w:t>23</w:t>
      </w:r>
      <w:bookmarkEnd w:id="41"/>
    </w:p>
    <w:tbl>
      <w:tblPr>
        <w:tblStyle w:val="TableGrid"/>
        <w:tblW w:w="5158"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31"/>
        <w:gridCol w:w="1400"/>
        <w:gridCol w:w="2336"/>
        <w:gridCol w:w="1228"/>
        <w:gridCol w:w="850"/>
        <w:gridCol w:w="1138"/>
        <w:gridCol w:w="1274"/>
      </w:tblGrid>
      <w:tr w:rsidR="00260985" w:rsidRPr="00B6177D" w14:paraId="4AFD2F3E" w14:textId="77777777" w:rsidTr="00CA5FCA">
        <w:trPr>
          <w:cantSplit/>
          <w:tblHeader/>
        </w:trPr>
        <w:tc>
          <w:tcPr>
            <w:tcW w:w="605" w:type="pct"/>
          </w:tcPr>
          <w:p w14:paraId="751F98B6" w14:textId="77777777" w:rsidR="00B6177D" w:rsidRPr="00B6177D" w:rsidRDefault="00B6177D" w:rsidP="00B6177D">
            <w:pPr>
              <w:pStyle w:val="TableHeading"/>
            </w:pPr>
            <w:bookmarkStart w:id="42" w:name="Title_2"/>
            <w:bookmarkEnd w:id="42"/>
            <w:r w:rsidRPr="00B6177D">
              <w:t>Type of charge</w:t>
            </w:r>
          </w:p>
        </w:tc>
        <w:tc>
          <w:tcPr>
            <w:tcW w:w="748" w:type="pct"/>
          </w:tcPr>
          <w:p w14:paraId="583275A0" w14:textId="77777777" w:rsidR="00B6177D" w:rsidRPr="00B6177D" w:rsidRDefault="00B6177D" w:rsidP="00B6177D">
            <w:pPr>
              <w:pStyle w:val="TableHeading"/>
              <w:jc w:val="right"/>
            </w:pPr>
            <w:r w:rsidRPr="00B6177D">
              <w:t>Estimated total cost ($)</w:t>
            </w:r>
          </w:p>
        </w:tc>
        <w:tc>
          <w:tcPr>
            <w:tcW w:w="1248" w:type="pct"/>
          </w:tcPr>
          <w:p w14:paraId="22D7708A" w14:textId="77777777" w:rsidR="00B6177D" w:rsidRPr="00B6177D" w:rsidRDefault="00B6177D" w:rsidP="00B6177D">
            <w:pPr>
              <w:pStyle w:val="TableHeading"/>
            </w:pPr>
            <w:r w:rsidRPr="00B6177D">
              <w:t>Charge point</w:t>
            </w:r>
          </w:p>
        </w:tc>
        <w:tc>
          <w:tcPr>
            <w:tcW w:w="656" w:type="pct"/>
          </w:tcPr>
          <w:p w14:paraId="3E0529D0" w14:textId="77777777" w:rsidR="00B6177D" w:rsidRPr="00B6177D" w:rsidRDefault="00B6177D" w:rsidP="00B6177D">
            <w:pPr>
              <w:pStyle w:val="TableHeading"/>
            </w:pPr>
            <w:r w:rsidRPr="00B6177D">
              <w:t>Unit</w:t>
            </w:r>
          </w:p>
        </w:tc>
        <w:tc>
          <w:tcPr>
            <w:tcW w:w="454" w:type="pct"/>
          </w:tcPr>
          <w:p w14:paraId="6721D592" w14:textId="77777777" w:rsidR="00B6177D" w:rsidRPr="00B6177D" w:rsidRDefault="00B6177D" w:rsidP="00B6177D">
            <w:pPr>
              <w:pStyle w:val="TableHeading"/>
              <w:jc w:val="right"/>
            </w:pPr>
            <w:r w:rsidRPr="00B6177D">
              <w:t>Price ($)</w:t>
            </w:r>
          </w:p>
        </w:tc>
        <w:tc>
          <w:tcPr>
            <w:tcW w:w="608" w:type="pct"/>
          </w:tcPr>
          <w:p w14:paraId="180B270C" w14:textId="77777777" w:rsidR="00B6177D" w:rsidRPr="00B6177D" w:rsidRDefault="00B6177D" w:rsidP="00B6177D">
            <w:pPr>
              <w:pStyle w:val="TableHeading"/>
              <w:jc w:val="right"/>
            </w:pPr>
            <w:r w:rsidRPr="00B6177D">
              <w:t>Estimated volume (units)</w:t>
            </w:r>
          </w:p>
        </w:tc>
        <w:tc>
          <w:tcPr>
            <w:tcW w:w="681" w:type="pct"/>
          </w:tcPr>
          <w:p w14:paraId="7EE5A523" w14:textId="77777777" w:rsidR="00B6177D" w:rsidRPr="00B6177D" w:rsidRDefault="00B6177D" w:rsidP="00B6177D">
            <w:pPr>
              <w:pStyle w:val="TableHeading"/>
              <w:jc w:val="right"/>
            </w:pPr>
            <w:r w:rsidRPr="00B6177D">
              <w:t>Estimated total revenue ($)</w:t>
            </w:r>
          </w:p>
        </w:tc>
      </w:tr>
      <w:tr w:rsidR="0039064C" w:rsidRPr="00B6177D" w14:paraId="0F556497" w14:textId="77777777" w:rsidTr="00CA5FCA">
        <w:tc>
          <w:tcPr>
            <w:tcW w:w="605" w:type="pct"/>
            <w:vMerge w:val="restart"/>
          </w:tcPr>
          <w:p w14:paraId="6E0A3D5B" w14:textId="7F98314C" w:rsidR="0039064C" w:rsidRPr="00B6177D" w:rsidRDefault="0039064C" w:rsidP="0039064C">
            <w:pPr>
              <w:pStyle w:val="TableText"/>
            </w:pPr>
            <w:r w:rsidRPr="00B6177D">
              <w:t>Charges</w:t>
            </w:r>
          </w:p>
        </w:tc>
        <w:tc>
          <w:tcPr>
            <w:tcW w:w="748" w:type="pct"/>
          </w:tcPr>
          <w:p w14:paraId="19E0B21D" w14:textId="23017146" w:rsidR="0039064C" w:rsidRPr="00B6177D" w:rsidRDefault="0039064C" w:rsidP="0039064C">
            <w:pPr>
              <w:pStyle w:val="TableText"/>
              <w:jc w:val="right"/>
            </w:pPr>
            <w:r w:rsidRPr="0081032E">
              <w:t>85,020,650</w:t>
            </w:r>
          </w:p>
        </w:tc>
        <w:tc>
          <w:tcPr>
            <w:tcW w:w="1248" w:type="pct"/>
          </w:tcPr>
          <w:p w14:paraId="5C1DC54B" w14:textId="2AD8326F" w:rsidR="0039064C" w:rsidRPr="00B6177D" w:rsidRDefault="0039064C" w:rsidP="0039064C">
            <w:pPr>
              <w:pStyle w:val="TableText"/>
            </w:pPr>
            <w:r w:rsidRPr="00A005A1">
              <w:t>Full Import Declaration charge – air</w:t>
            </w:r>
          </w:p>
        </w:tc>
        <w:tc>
          <w:tcPr>
            <w:tcW w:w="656" w:type="pct"/>
          </w:tcPr>
          <w:p w14:paraId="7D26C860" w14:textId="4313A052" w:rsidR="0039064C" w:rsidRPr="00B6177D" w:rsidRDefault="0039064C" w:rsidP="0039064C">
            <w:pPr>
              <w:pStyle w:val="TableText"/>
            </w:pPr>
            <w:r w:rsidRPr="00A005A1">
              <w:t>Per import declaration</w:t>
            </w:r>
          </w:p>
        </w:tc>
        <w:tc>
          <w:tcPr>
            <w:tcW w:w="454" w:type="pct"/>
          </w:tcPr>
          <w:p w14:paraId="53E20DEC" w14:textId="62FA3504" w:rsidR="0039064C" w:rsidRPr="00B6177D" w:rsidRDefault="0039064C" w:rsidP="0039064C">
            <w:pPr>
              <w:pStyle w:val="TableText"/>
              <w:jc w:val="right"/>
            </w:pPr>
            <w:r w:rsidRPr="00A005A1">
              <w:t>38</w:t>
            </w:r>
          </w:p>
        </w:tc>
        <w:tc>
          <w:tcPr>
            <w:tcW w:w="608" w:type="pct"/>
          </w:tcPr>
          <w:p w14:paraId="223D0B1A" w14:textId="23B98499" w:rsidR="0039064C" w:rsidRPr="00B6177D" w:rsidRDefault="0039064C" w:rsidP="0039064C">
            <w:pPr>
              <w:pStyle w:val="TableText"/>
              <w:jc w:val="right"/>
            </w:pPr>
            <w:r w:rsidRPr="00525E4C">
              <w:t>2,309,601</w:t>
            </w:r>
          </w:p>
        </w:tc>
        <w:tc>
          <w:tcPr>
            <w:tcW w:w="681" w:type="pct"/>
          </w:tcPr>
          <w:p w14:paraId="1ADF9B4C" w14:textId="1F209B34" w:rsidR="0039064C" w:rsidRPr="00B6177D" w:rsidRDefault="0039064C" w:rsidP="0039064C">
            <w:pPr>
              <w:pStyle w:val="TableText"/>
              <w:jc w:val="right"/>
            </w:pPr>
            <w:r w:rsidRPr="00525E4C">
              <w:t>87,764,838</w:t>
            </w:r>
          </w:p>
        </w:tc>
      </w:tr>
      <w:tr w:rsidR="0039064C" w:rsidRPr="00B6177D" w14:paraId="6146944E" w14:textId="77777777" w:rsidTr="00CA5FCA">
        <w:tc>
          <w:tcPr>
            <w:tcW w:w="605" w:type="pct"/>
            <w:vMerge/>
          </w:tcPr>
          <w:p w14:paraId="5A00AE40" w14:textId="7F1ABD78" w:rsidR="0039064C" w:rsidRPr="00B6177D" w:rsidRDefault="0039064C" w:rsidP="0039064C">
            <w:pPr>
              <w:pStyle w:val="TableText"/>
            </w:pPr>
          </w:p>
        </w:tc>
        <w:tc>
          <w:tcPr>
            <w:tcW w:w="748" w:type="pct"/>
          </w:tcPr>
          <w:p w14:paraId="6729AC55" w14:textId="3F33BFFD" w:rsidR="0039064C" w:rsidRPr="001F7DDC" w:rsidRDefault="0039064C" w:rsidP="0039064C">
            <w:pPr>
              <w:pStyle w:val="TableText"/>
              <w:jc w:val="right"/>
            </w:pPr>
            <w:r w:rsidRPr="001F7DDC">
              <w:t>100,969,731</w:t>
            </w:r>
          </w:p>
        </w:tc>
        <w:tc>
          <w:tcPr>
            <w:tcW w:w="1248" w:type="pct"/>
          </w:tcPr>
          <w:p w14:paraId="44C525F9" w14:textId="3549EBAE" w:rsidR="0039064C" w:rsidRPr="001F7DDC" w:rsidRDefault="0039064C" w:rsidP="0039064C">
            <w:pPr>
              <w:pStyle w:val="TableText"/>
            </w:pPr>
            <w:r w:rsidRPr="001F7DDC">
              <w:t>Full Import Declaration charge – sea</w:t>
            </w:r>
          </w:p>
        </w:tc>
        <w:tc>
          <w:tcPr>
            <w:tcW w:w="656" w:type="pct"/>
          </w:tcPr>
          <w:p w14:paraId="5A4EAD47" w14:textId="7AA4E606" w:rsidR="0039064C" w:rsidRPr="001F7DDC" w:rsidRDefault="0039064C" w:rsidP="0039064C">
            <w:pPr>
              <w:pStyle w:val="TableText"/>
            </w:pPr>
            <w:r w:rsidRPr="001F7DDC">
              <w:t>Per import declaration</w:t>
            </w:r>
          </w:p>
        </w:tc>
        <w:tc>
          <w:tcPr>
            <w:tcW w:w="454" w:type="pct"/>
          </w:tcPr>
          <w:p w14:paraId="175A653F" w14:textId="535E9D1D" w:rsidR="0039064C" w:rsidRPr="001F7DDC" w:rsidRDefault="0039064C" w:rsidP="0039064C">
            <w:pPr>
              <w:pStyle w:val="TableText"/>
              <w:jc w:val="right"/>
            </w:pPr>
            <w:r w:rsidRPr="001F7DDC">
              <w:t>49/58</w:t>
            </w:r>
          </w:p>
        </w:tc>
        <w:tc>
          <w:tcPr>
            <w:tcW w:w="608" w:type="pct"/>
          </w:tcPr>
          <w:p w14:paraId="01EADD4F" w14:textId="283493B0" w:rsidR="0039064C" w:rsidRPr="001F7DDC" w:rsidRDefault="0039064C" w:rsidP="0039064C">
            <w:pPr>
              <w:pStyle w:val="TableText"/>
              <w:jc w:val="right"/>
            </w:pPr>
            <w:r w:rsidRPr="001F7DDC">
              <w:t>1,965,186</w:t>
            </w:r>
          </w:p>
        </w:tc>
        <w:tc>
          <w:tcPr>
            <w:tcW w:w="681" w:type="pct"/>
          </w:tcPr>
          <w:p w14:paraId="2A38D4C0" w14:textId="690D2651" w:rsidR="0039064C" w:rsidRPr="001F7DDC" w:rsidRDefault="0039064C" w:rsidP="0039064C">
            <w:pPr>
              <w:pStyle w:val="TableText"/>
              <w:jc w:val="right"/>
            </w:pPr>
            <w:r w:rsidRPr="001F7DDC">
              <w:t>10</w:t>
            </w:r>
            <w:r w:rsidR="00FB209A" w:rsidRPr="001F7DDC">
              <w:t>4</w:t>
            </w:r>
            <w:r w:rsidRPr="001F7DDC">
              <w:t>,</w:t>
            </w:r>
            <w:r w:rsidR="00FB209A" w:rsidRPr="001F7DDC">
              <w:t>400</w:t>
            </w:r>
            <w:r w:rsidRPr="001F7DDC">
              <w:t>,</w:t>
            </w:r>
            <w:r w:rsidR="00FB209A" w:rsidRPr="001F7DDC">
              <w:t>506</w:t>
            </w:r>
          </w:p>
        </w:tc>
      </w:tr>
      <w:tr w:rsidR="0039064C" w:rsidRPr="00B6177D" w14:paraId="73AB8E3F" w14:textId="77777777" w:rsidTr="00CA5FCA">
        <w:tc>
          <w:tcPr>
            <w:tcW w:w="605" w:type="pct"/>
            <w:vMerge/>
          </w:tcPr>
          <w:p w14:paraId="6BB45AE9" w14:textId="37EC83C4" w:rsidR="0039064C" w:rsidRPr="00B6177D" w:rsidRDefault="0039064C" w:rsidP="0039064C">
            <w:pPr>
              <w:pStyle w:val="TableText"/>
            </w:pPr>
          </w:p>
        </w:tc>
        <w:tc>
          <w:tcPr>
            <w:tcW w:w="748" w:type="pct"/>
          </w:tcPr>
          <w:p w14:paraId="0110900A" w14:textId="59502F82" w:rsidR="0039064C" w:rsidRPr="00B6177D" w:rsidRDefault="0039064C" w:rsidP="0039064C">
            <w:pPr>
              <w:pStyle w:val="TableText"/>
              <w:jc w:val="right"/>
            </w:pPr>
            <w:r w:rsidRPr="0081032E">
              <w:t>19,628,574</w:t>
            </w:r>
          </w:p>
        </w:tc>
        <w:tc>
          <w:tcPr>
            <w:tcW w:w="1248" w:type="pct"/>
          </w:tcPr>
          <w:p w14:paraId="7372789E" w14:textId="298F737F" w:rsidR="0039064C" w:rsidRPr="00B6177D" w:rsidRDefault="0039064C" w:rsidP="0039064C">
            <w:pPr>
              <w:pStyle w:val="TableText"/>
            </w:pPr>
            <w:r w:rsidRPr="00E60DEB">
              <w:t>Vessel (≥25 m) arrival charge</w:t>
            </w:r>
          </w:p>
        </w:tc>
        <w:tc>
          <w:tcPr>
            <w:tcW w:w="656" w:type="pct"/>
          </w:tcPr>
          <w:p w14:paraId="098A2CF4" w14:textId="7F4EA60D" w:rsidR="0039064C" w:rsidRPr="00B6177D" w:rsidRDefault="0039064C" w:rsidP="0039064C">
            <w:pPr>
              <w:pStyle w:val="TableText"/>
            </w:pPr>
            <w:r w:rsidRPr="00E60DEB">
              <w:t>Per vessel</w:t>
            </w:r>
          </w:p>
        </w:tc>
        <w:tc>
          <w:tcPr>
            <w:tcW w:w="454" w:type="pct"/>
          </w:tcPr>
          <w:p w14:paraId="14EB4CB5" w14:textId="0745358A" w:rsidR="0039064C" w:rsidRPr="00B6177D" w:rsidRDefault="0039064C" w:rsidP="0039064C">
            <w:pPr>
              <w:pStyle w:val="TableText"/>
              <w:jc w:val="right"/>
            </w:pPr>
            <w:r w:rsidRPr="00E60DEB">
              <w:t>1,054</w:t>
            </w:r>
          </w:p>
        </w:tc>
        <w:tc>
          <w:tcPr>
            <w:tcW w:w="608" w:type="pct"/>
          </w:tcPr>
          <w:p w14:paraId="21EA7AD8" w14:textId="6BF06638" w:rsidR="0039064C" w:rsidRPr="00B6177D" w:rsidRDefault="0039064C" w:rsidP="0039064C">
            <w:pPr>
              <w:pStyle w:val="TableText"/>
              <w:jc w:val="right"/>
            </w:pPr>
            <w:r w:rsidRPr="00525E4C">
              <w:t>17,635</w:t>
            </w:r>
          </w:p>
        </w:tc>
        <w:tc>
          <w:tcPr>
            <w:tcW w:w="681" w:type="pct"/>
          </w:tcPr>
          <w:p w14:paraId="3B77880F" w14:textId="008E5361" w:rsidR="0039064C" w:rsidRPr="00B6177D" w:rsidRDefault="0039064C" w:rsidP="0039064C">
            <w:pPr>
              <w:pStyle w:val="TableText"/>
              <w:jc w:val="right"/>
            </w:pPr>
            <w:r w:rsidRPr="00525E4C">
              <w:t>18,587,290</w:t>
            </w:r>
          </w:p>
        </w:tc>
      </w:tr>
      <w:tr w:rsidR="0039064C" w:rsidRPr="00B6177D" w14:paraId="3C939AA5" w14:textId="77777777" w:rsidTr="00CA5FCA">
        <w:tc>
          <w:tcPr>
            <w:tcW w:w="605" w:type="pct"/>
            <w:vMerge/>
          </w:tcPr>
          <w:p w14:paraId="177D0F2F" w14:textId="62204376" w:rsidR="0039064C" w:rsidRPr="00B6177D" w:rsidRDefault="0039064C" w:rsidP="0039064C">
            <w:pPr>
              <w:pStyle w:val="TableText"/>
            </w:pPr>
          </w:p>
        </w:tc>
        <w:tc>
          <w:tcPr>
            <w:tcW w:w="748" w:type="pct"/>
          </w:tcPr>
          <w:p w14:paraId="33BC4123" w14:textId="28308D89" w:rsidR="0039064C" w:rsidRPr="00B6177D" w:rsidRDefault="0039064C" w:rsidP="0039064C">
            <w:pPr>
              <w:pStyle w:val="TableText"/>
              <w:jc w:val="right"/>
            </w:pPr>
            <w:r w:rsidRPr="0081032E">
              <w:t>75,900</w:t>
            </w:r>
          </w:p>
        </w:tc>
        <w:tc>
          <w:tcPr>
            <w:tcW w:w="1248" w:type="pct"/>
          </w:tcPr>
          <w:p w14:paraId="581BA4FE" w14:textId="527CA8CF" w:rsidR="0039064C" w:rsidRPr="00B6177D" w:rsidRDefault="0039064C" w:rsidP="0039064C">
            <w:pPr>
              <w:pStyle w:val="TableText"/>
            </w:pPr>
            <w:r w:rsidRPr="00E60DEB">
              <w:t>Vessel (&lt;25 m) arrival charge</w:t>
            </w:r>
          </w:p>
        </w:tc>
        <w:tc>
          <w:tcPr>
            <w:tcW w:w="656" w:type="pct"/>
          </w:tcPr>
          <w:p w14:paraId="379596D7" w14:textId="1364F1E8" w:rsidR="0039064C" w:rsidRPr="00B6177D" w:rsidRDefault="0039064C" w:rsidP="0039064C">
            <w:pPr>
              <w:pStyle w:val="TableText"/>
            </w:pPr>
            <w:r w:rsidRPr="00E60DEB">
              <w:t>Per vessel</w:t>
            </w:r>
          </w:p>
        </w:tc>
        <w:tc>
          <w:tcPr>
            <w:tcW w:w="454" w:type="pct"/>
          </w:tcPr>
          <w:p w14:paraId="00C88589" w14:textId="22A1098E" w:rsidR="0039064C" w:rsidRPr="00B6177D" w:rsidRDefault="0039064C" w:rsidP="0039064C">
            <w:pPr>
              <w:pStyle w:val="TableText"/>
              <w:jc w:val="right"/>
            </w:pPr>
            <w:r w:rsidRPr="00E60DEB">
              <w:t>120</w:t>
            </w:r>
          </w:p>
        </w:tc>
        <w:tc>
          <w:tcPr>
            <w:tcW w:w="608" w:type="pct"/>
          </w:tcPr>
          <w:p w14:paraId="27B77A90" w14:textId="7048A626" w:rsidR="0039064C" w:rsidRPr="00B6177D" w:rsidRDefault="0039064C" w:rsidP="0039064C">
            <w:pPr>
              <w:pStyle w:val="TableText"/>
              <w:jc w:val="right"/>
            </w:pPr>
            <w:r w:rsidRPr="00525E4C">
              <w:t>135</w:t>
            </w:r>
          </w:p>
        </w:tc>
        <w:tc>
          <w:tcPr>
            <w:tcW w:w="681" w:type="pct"/>
          </w:tcPr>
          <w:p w14:paraId="44E5BD15" w14:textId="2E1AF96A" w:rsidR="0039064C" w:rsidRPr="00B6177D" w:rsidRDefault="0039064C" w:rsidP="0039064C">
            <w:pPr>
              <w:pStyle w:val="TableText"/>
              <w:jc w:val="right"/>
            </w:pPr>
            <w:r w:rsidRPr="00525E4C">
              <w:t>16,200</w:t>
            </w:r>
          </w:p>
        </w:tc>
      </w:tr>
      <w:tr w:rsidR="0039064C" w:rsidRPr="00B6177D" w14:paraId="1DE72F9A" w14:textId="77777777" w:rsidTr="00CA5FCA">
        <w:tc>
          <w:tcPr>
            <w:tcW w:w="605" w:type="pct"/>
            <w:vMerge/>
          </w:tcPr>
          <w:p w14:paraId="05A07D2B" w14:textId="07E9FA46" w:rsidR="0039064C" w:rsidRPr="00B6177D" w:rsidRDefault="0039064C" w:rsidP="0039064C">
            <w:pPr>
              <w:pStyle w:val="TableText"/>
            </w:pPr>
          </w:p>
        </w:tc>
        <w:tc>
          <w:tcPr>
            <w:tcW w:w="748" w:type="pct"/>
          </w:tcPr>
          <w:p w14:paraId="78EE8A33" w14:textId="02B731CC" w:rsidR="0039064C" w:rsidRPr="00B6177D" w:rsidRDefault="0039064C" w:rsidP="0039064C">
            <w:pPr>
              <w:pStyle w:val="TableText"/>
              <w:jc w:val="right"/>
            </w:pPr>
            <w:r w:rsidRPr="0081032E">
              <w:t>1,795,560</w:t>
            </w:r>
          </w:p>
        </w:tc>
        <w:tc>
          <w:tcPr>
            <w:tcW w:w="1248" w:type="pct"/>
          </w:tcPr>
          <w:p w14:paraId="7238AD7A" w14:textId="43588E9E" w:rsidR="0039064C" w:rsidRPr="00B6177D" w:rsidRDefault="0039064C" w:rsidP="0039064C">
            <w:pPr>
              <w:pStyle w:val="TableText"/>
            </w:pPr>
            <w:r w:rsidRPr="00E60DEB">
              <w:t>Permit application charge</w:t>
            </w:r>
          </w:p>
        </w:tc>
        <w:tc>
          <w:tcPr>
            <w:tcW w:w="656" w:type="pct"/>
          </w:tcPr>
          <w:p w14:paraId="03641158" w14:textId="37642914" w:rsidR="0039064C" w:rsidRPr="00B6177D" w:rsidRDefault="0039064C" w:rsidP="0039064C">
            <w:pPr>
              <w:pStyle w:val="TableText"/>
            </w:pPr>
            <w:r w:rsidRPr="00E60DEB">
              <w:t>Per application</w:t>
            </w:r>
          </w:p>
        </w:tc>
        <w:tc>
          <w:tcPr>
            <w:tcW w:w="454" w:type="pct"/>
          </w:tcPr>
          <w:p w14:paraId="30F9FF5D" w14:textId="1888B8CA" w:rsidR="0039064C" w:rsidRPr="00B6177D" w:rsidRDefault="0039064C" w:rsidP="0039064C">
            <w:pPr>
              <w:pStyle w:val="TableText"/>
              <w:jc w:val="right"/>
            </w:pPr>
            <w:r w:rsidRPr="00E60DEB">
              <w:t>120</w:t>
            </w:r>
          </w:p>
        </w:tc>
        <w:tc>
          <w:tcPr>
            <w:tcW w:w="608" w:type="pct"/>
          </w:tcPr>
          <w:p w14:paraId="01C65494" w14:textId="1B5581F0" w:rsidR="0039064C" w:rsidRPr="00B6177D" w:rsidRDefault="0039064C" w:rsidP="0039064C">
            <w:pPr>
              <w:pStyle w:val="TableText"/>
              <w:jc w:val="right"/>
            </w:pPr>
            <w:r w:rsidRPr="00525E4C">
              <w:t>13,573</w:t>
            </w:r>
          </w:p>
        </w:tc>
        <w:tc>
          <w:tcPr>
            <w:tcW w:w="681" w:type="pct"/>
          </w:tcPr>
          <w:p w14:paraId="30A75150" w14:textId="3A66A3B0" w:rsidR="0039064C" w:rsidRPr="00B6177D" w:rsidRDefault="0039064C" w:rsidP="0039064C">
            <w:pPr>
              <w:pStyle w:val="TableText"/>
              <w:jc w:val="right"/>
            </w:pPr>
            <w:r w:rsidRPr="00525E4C">
              <w:t>1,628,760</w:t>
            </w:r>
          </w:p>
        </w:tc>
      </w:tr>
      <w:tr w:rsidR="0039064C" w:rsidRPr="00B6177D" w14:paraId="65D1E3D0" w14:textId="77777777" w:rsidTr="00CA5FCA">
        <w:tc>
          <w:tcPr>
            <w:tcW w:w="605" w:type="pct"/>
            <w:vMerge/>
          </w:tcPr>
          <w:p w14:paraId="4919E0A4" w14:textId="77777777" w:rsidR="0039064C" w:rsidRPr="00B6177D" w:rsidRDefault="0039064C" w:rsidP="0039064C">
            <w:pPr>
              <w:pStyle w:val="TableText"/>
            </w:pPr>
          </w:p>
        </w:tc>
        <w:tc>
          <w:tcPr>
            <w:tcW w:w="748" w:type="pct"/>
          </w:tcPr>
          <w:p w14:paraId="00CBC82D" w14:textId="57078B90" w:rsidR="0039064C" w:rsidRPr="00B6177D" w:rsidRDefault="0039064C" w:rsidP="0039064C">
            <w:pPr>
              <w:pStyle w:val="TableText"/>
              <w:jc w:val="right"/>
            </w:pPr>
            <w:r w:rsidRPr="0081032E">
              <w:t>1,922,044</w:t>
            </w:r>
          </w:p>
        </w:tc>
        <w:tc>
          <w:tcPr>
            <w:tcW w:w="1248" w:type="pct"/>
          </w:tcPr>
          <w:p w14:paraId="24CB1C99" w14:textId="77777777" w:rsidR="0039064C" w:rsidRPr="00B6177D" w:rsidRDefault="0039064C" w:rsidP="0039064C">
            <w:pPr>
              <w:pStyle w:val="TableText"/>
            </w:pPr>
            <w:r w:rsidRPr="00B6177D">
              <w:t>Approved arrangement – AEPCOMM</w:t>
            </w:r>
          </w:p>
        </w:tc>
        <w:tc>
          <w:tcPr>
            <w:tcW w:w="656" w:type="pct"/>
          </w:tcPr>
          <w:p w14:paraId="1F14E08B" w14:textId="77777777" w:rsidR="0039064C" w:rsidRPr="00B6177D" w:rsidRDefault="0039064C" w:rsidP="0039064C">
            <w:pPr>
              <w:pStyle w:val="TableText"/>
            </w:pPr>
            <w:r w:rsidRPr="00B6177D">
              <w:t>Per item</w:t>
            </w:r>
          </w:p>
        </w:tc>
        <w:tc>
          <w:tcPr>
            <w:tcW w:w="454" w:type="pct"/>
          </w:tcPr>
          <w:p w14:paraId="7EF6F3FF" w14:textId="77777777" w:rsidR="0039064C" w:rsidRPr="00B6177D" w:rsidRDefault="0039064C" w:rsidP="0039064C">
            <w:pPr>
              <w:pStyle w:val="TableText"/>
              <w:jc w:val="right"/>
            </w:pPr>
            <w:r w:rsidRPr="00B6177D">
              <w:t>18</w:t>
            </w:r>
          </w:p>
        </w:tc>
        <w:tc>
          <w:tcPr>
            <w:tcW w:w="608" w:type="pct"/>
          </w:tcPr>
          <w:p w14:paraId="62FB685F" w14:textId="07324676" w:rsidR="0039064C" w:rsidRPr="00B6177D" w:rsidRDefault="0039064C" w:rsidP="0039064C">
            <w:pPr>
              <w:pStyle w:val="TableText"/>
              <w:jc w:val="right"/>
            </w:pPr>
            <w:r w:rsidRPr="00525E4C">
              <w:t>135,651</w:t>
            </w:r>
          </w:p>
        </w:tc>
        <w:tc>
          <w:tcPr>
            <w:tcW w:w="681" w:type="pct"/>
          </w:tcPr>
          <w:p w14:paraId="61DFE7F1" w14:textId="2EC5DDC2" w:rsidR="0039064C" w:rsidRPr="00B6177D" w:rsidRDefault="0039064C" w:rsidP="0039064C">
            <w:pPr>
              <w:pStyle w:val="TableText"/>
              <w:jc w:val="right"/>
            </w:pPr>
            <w:r w:rsidRPr="00525E4C">
              <w:t>2,441,718</w:t>
            </w:r>
          </w:p>
        </w:tc>
      </w:tr>
      <w:tr w:rsidR="0039064C" w:rsidRPr="00B6177D" w14:paraId="2DB7937A" w14:textId="77777777" w:rsidTr="00CA5FCA">
        <w:tc>
          <w:tcPr>
            <w:tcW w:w="605" w:type="pct"/>
            <w:vMerge/>
          </w:tcPr>
          <w:p w14:paraId="401D858B" w14:textId="77777777" w:rsidR="0039064C" w:rsidRPr="00B6177D" w:rsidRDefault="0039064C" w:rsidP="0039064C">
            <w:pPr>
              <w:pStyle w:val="TableText"/>
            </w:pPr>
          </w:p>
        </w:tc>
        <w:tc>
          <w:tcPr>
            <w:tcW w:w="748" w:type="pct"/>
          </w:tcPr>
          <w:p w14:paraId="4798FD50" w14:textId="2D2EF175" w:rsidR="0039064C" w:rsidRPr="00B6177D" w:rsidRDefault="0039064C" w:rsidP="0039064C">
            <w:pPr>
              <w:pStyle w:val="TableText"/>
              <w:jc w:val="right"/>
            </w:pPr>
            <w:r w:rsidRPr="0081032E">
              <w:t>2,990,347</w:t>
            </w:r>
          </w:p>
        </w:tc>
        <w:tc>
          <w:tcPr>
            <w:tcW w:w="1248" w:type="pct"/>
          </w:tcPr>
          <w:p w14:paraId="533ABB68" w14:textId="77777777" w:rsidR="0039064C" w:rsidRPr="00B6177D" w:rsidRDefault="0039064C" w:rsidP="0039064C">
            <w:pPr>
              <w:pStyle w:val="TableText"/>
            </w:pPr>
            <w:r w:rsidRPr="00B6177D">
              <w:t>Approved arrangement – single site</w:t>
            </w:r>
          </w:p>
        </w:tc>
        <w:tc>
          <w:tcPr>
            <w:tcW w:w="656" w:type="pct"/>
          </w:tcPr>
          <w:p w14:paraId="0F345A5A" w14:textId="77777777" w:rsidR="0039064C" w:rsidRPr="00B6177D" w:rsidRDefault="0039064C" w:rsidP="0039064C">
            <w:pPr>
              <w:pStyle w:val="TableText"/>
            </w:pPr>
            <w:r w:rsidRPr="00B6177D">
              <w:t>Per item</w:t>
            </w:r>
          </w:p>
        </w:tc>
        <w:tc>
          <w:tcPr>
            <w:tcW w:w="454" w:type="pct"/>
          </w:tcPr>
          <w:p w14:paraId="667AF2CE" w14:textId="17EEAECB" w:rsidR="0039064C" w:rsidRPr="00B6177D" w:rsidRDefault="0039064C" w:rsidP="0039064C">
            <w:pPr>
              <w:pStyle w:val="TableText"/>
              <w:jc w:val="right"/>
            </w:pPr>
            <w:r w:rsidRPr="00B6177D">
              <w:t>2,</w:t>
            </w:r>
            <w:r>
              <w:t>9</w:t>
            </w:r>
            <w:r w:rsidRPr="00B6177D">
              <w:t>00</w:t>
            </w:r>
          </w:p>
        </w:tc>
        <w:tc>
          <w:tcPr>
            <w:tcW w:w="608" w:type="pct"/>
          </w:tcPr>
          <w:p w14:paraId="15C1A6F3" w14:textId="5EDA2465" w:rsidR="0039064C" w:rsidRPr="00B6177D" w:rsidRDefault="0039064C" w:rsidP="0039064C">
            <w:pPr>
              <w:pStyle w:val="TableText"/>
              <w:jc w:val="right"/>
            </w:pPr>
            <w:r w:rsidRPr="00525E4C">
              <w:t>1,142</w:t>
            </w:r>
          </w:p>
        </w:tc>
        <w:tc>
          <w:tcPr>
            <w:tcW w:w="681" w:type="pct"/>
          </w:tcPr>
          <w:p w14:paraId="412E7126" w14:textId="71B3219D" w:rsidR="0039064C" w:rsidRPr="00B6177D" w:rsidRDefault="0039064C" w:rsidP="0039064C">
            <w:pPr>
              <w:pStyle w:val="TableText"/>
              <w:jc w:val="right"/>
            </w:pPr>
            <w:r w:rsidRPr="00525E4C">
              <w:t>3,311,800</w:t>
            </w:r>
          </w:p>
        </w:tc>
      </w:tr>
      <w:tr w:rsidR="0039064C" w:rsidRPr="00B6177D" w14:paraId="12A00C39" w14:textId="77777777" w:rsidTr="00CA5FCA">
        <w:tc>
          <w:tcPr>
            <w:tcW w:w="605" w:type="pct"/>
            <w:vMerge/>
          </w:tcPr>
          <w:p w14:paraId="76A16C89" w14:textId="77777777" w:rsidR="0039064C" w:rsidRPr="00B6177D" w:rsidRDefault="0039064C" w:rsidP="0039064C">
            <w:pPr>
              <w:pStyle w:val="TableText"/>
            </w:pPr>
          </w:p>
        </w:tc>
        <w:tc>
          <w:tcPr>
            <w:tcW w:w="748" w:type="pct"/>
          </w:tcPr>
          <w:p w14:paraId="29CDACF8" w14:textId="669B5A73" w:rsidR="0039064C" w:rsidRPr="00B6177D" w:rsidRDefault="0039064C" w:rsidP="0039064C">
            <w:pPr>
              <w:pStyle w:val="TableText"/>
              <w:jc w:val="right"/>
            </w:pPr>
            <w:r w:rsidRPr="00863DE2">
              <w:t>1,212,754</w:t>
            </w:r>
          </w:p>
        </w:tc>
        <w:tc>
          <w:tcPr>
            <w:tcW w:w="1248" w:type="pct"/>
          </w:tcPr>
          <w:p w14:paraId="527180D5" w14:textId="77777777" w:rsidR="0039064C" w:rsidRPr="00B6177D" w:rsidRDefault="0039064C" w:rsidP="0039064C">
            <w:pPr>
              <w:pStyle w:val="TableText"/>
            </w:pPr>
            <w:r w:rsidRPr="00B6177D">
              <w:t>Approved arrangement – multi site</w:t>
            </w:r>
          </w:p>
        </w:tc>
        <w:tc>
          <w:tcPr>
            <w:tcW w:w="656" w:type="pct"/>
          </w:tcPr>
          <w:p w14:paraId="676843F1" w14:textId="77777777" w:rsidR="0039064C" w:rsidRPr="00B6177D" w:rsidRDefault="0039064C" w:rsidP="0039064C">
            <w:pPr>
              <w:pStyle w:val="TableText"/>
            </w:pPr>
            <w:r w:rsidRPr="00B6177D">
              <w:t>Per item</w:t>
            </w:r>
          </w:p>
        </w:tc>
        <w:tc>
          <w:tcPr>
            <w:tcW w:w="454" w:type="pct"/>
          </w:tcPr>
          <w:p w14:paraId="26036937" w14:textId="77777777" w:rsidR="0039064C" w:rsidRPr="00B6177D" w:rsidRDefault="0039064C" w:rsidP="0039064C">
            <w:pPr>
              <w:pStyle w:val="TableText"/>
              <w:jc w:val="right"/>
            </w:pPr>
            <w:r w:rsidRPr="00B6177D">
              <w:t>2,900</w:t>
            </w:r>
          </w:p>
        </w:tc>
        <w:tc>
          <w:tcPr>
            <w:tcW w:w="608" w:type="pct"/>
          </w:tcPr>
          <w:p w14:paraId="6BE835B3" w14:textId="02CF3EE1" w:rsidR="0039064C" w:rsidRPr="00B6177D" w:rsidRDefault="0039064C" w:rsidP="0039064C">
            <w:pPr>
              <w:pStyle w:val="TableText"/>
              <w:jc w:val="right"/>
            </w:pPr>
            <w:r w:rsidRPr="00525E4C">
              <w:t>419</w:t>
            </w:r>
          </w:p>
        </w:tc>
        <w:tc>
          <w:tcPr>
            <w:tcW w:w="681" w:type="pct"/>
          </w:tcPr>
          <w:p w14:paraId="4661023F" w14:textId="63ABFC3A" w:rsidR="0039064C" w:rsidRPr="00B6177D" w:rsidRDefault="0039064C" w:rsidP="0039064C">
            <w:pPr>
              <w:pStyle w:val="TableText"/>
              <w:jc w:val="right"/>
            </w:pPr>
            <w:r w:rsidRPr="00525E4C">
              <w:t>1,215,100</w:t>
            </w:r>
          </w:p>
        </w:tc>
      </w:tr>
      <w:tr w:rsidR="0039064C" w:rsidRPr="00B6177D" w14:paraId="579E712F" w14:textId="77777777" w:rsidTr="00CA5FCA">
        <w:tc>
          <w:tcPr>
            <w:tcW w:w="605" w:type="pct"/>
            <w:vMerge/>
          </w:tcPr>
          <w:p w14:paraId="21019850" w14:textId="77777777" w:rsidR="0039064C" w:rsidRPr="00B6177D" w:rsidRDefault="0039064C" w:rsidP="0039064C">
            <w:pPr>
              <w:pStyle w:val="TableText"/>
            </w:pPr>
          </w:p>
        </w:tc>
        <w:tc>
          <w:tcPr>
            <w:tcW w:w="748" w:type="pct"/>
          </w:tcPr>
          <w:p w14:paraId="553CF1FA" w14:textId="5425DADD" w:rsidR="0039064C" w:rsidRPr="00B6177D" w:rsidRDefault="0039064C" w:rsidP="0039064C">
            <w:pPr>
              <w:pStyle w:val="TableText"/>
              <w:jc w:val="right"/>
            </w:pPr>
            <w:r w:rsidRPr="00863DE2">
              <w:t>200,119</w:t>
            </w:r>
          </w:p>
        </w:tc>
        <w:tc>
          <w:tcPr>
            <w:tcW w:w="1248" w:type="pct"/>
          </w:tcPr>
          <w:p w14:paraId="1E1BF783" w14:textId="77777777" w:rsidR="0039064C" w:rsidRPr="00B6177D" w:rsidRDefault="0039064C" w:rsidP="0039064C">
            <w:pPr>
              <w:pStyle w:val="TableText"/>
            </w:pPr>
            <w:r w:rsidRPr="00B6177D">
              <w:t>Approved arrangement – broker</w:t>
            </w:r>
          </w:p>
        </w:tc>
        <w:tc>
          <w:tcPr>
            <w:tcW w:w="656" w:type="pct"/>
          </w:tcPr>
          <w:p w14:paraId="31F32173" w14:textId="77777777" w:rsidR="0039064C" w:rsidRPr="00B6177D" w:rsidRDefault="0039064C" w:rsidP="0039064C">
            <w:pPr>
              <w:pStyle w:val="TableText"/>
            </w:pPr>
            <w:r w:rsidRPr="00B6177D">
              <w:t>Per item</w:t>
            </w:r>
          </w:p>
        </w:tc>
        <w:tc>
          <w:tcPr>
            <w:tcW w:w="454" w:type="pct"/>
          </w:tcPr>
          <w:p w14:paraId="57570FD8" w14:textId="399F581B" w:rsidR="0039064C" w:rsidRPr="00B6177D" w:rsidRDefault="0039064C" w:rsidP="0039064C">
            <w:pPr>
              <w:pStyle w:val="TableText"/>
              <w:jc w:val="right"/>
            </w:pPr>
            <w:r>
              <w:t>2,900</w:t>
            </w:r>
          </w:p>
        </w:tc>
        <w:tc>
          <w:tcPr>
            <w:tcW w:w="608" w:type="pct"/>
          </w:tcPr>
          <w:p w14:paraId="4207ADDB" w14:textId="6889CE23" w:rsidR="0039064C" w:rsidRPr="00B6177D" w:rsidRDefault="0039064C" w:rsidP="0039064C">
            <w:pPr>
              <w:pStyle w:val="TableText"/>
              <w:jc w:val="right"/>
            </w:pPr>
            <w:r w:rsidRPr="00525E4C">
              <w:t>374</w:t>
            </w:r>
          </w:p>
        </w:tc>
        <w:tc>
          <w:tcPr>
            <w:tcW w:w="681" w:type="pct"/>
          </w:tcPr>
          <w:p w14:paraId="3BA582F9" w14:textId="09B60902" w:rsidR="0039064C" w:rsidRPr="00B6177D" w:rsidRDefault="0039064C" w:rsidP="0039064C">
            <w:pPr>
              <w:pStyle w:val="TableText"/>
              <w:jc w:val="right"/>
            </w:pPr>
            <w:r w:rsidRPr="00525E4C">
              <w:t>1,084,600</w:t>
            </w:r>
          </w:p>
        </w:tc>
      </w:tr>
      <w:tr w:rsidR="0039064C" w:rsidRPr="00B6177D" w14:paraId="6D2577B8" w14:textId="77777777" w:rsidTr="00CA5FCA">
        <w:tc>
          <w:tcPr>
            <w:tcW w:w="605" w:type="pct"/>
            <w:vMerge/>
          </w:tcPr>
          <w:p w14:paraId="7468F309" w14:textId="77777777" w:rsidR="0039064C" w:rsidRPr="00B6177D" w:rsidRDefault="0039064C" w:rsidP="0039064C">
            <w:pPr>
              <w:pStyle w:val="TableText"/>
            </w:pPr>
          </w:p>
        </w:tc>
        <w:tc>
          <w:tcPr>
            <w:tcW w:w="748" w:type="pct"/>
          </w:tcPr>
          <w:p w14:paraId="79408DBD" w14:textId="7AAE77B8" w:rsidR="0039064C" w:rsidRPr="00B6177D" w:rsidRDefault="0039064C" w:rsidP="0039064C">
            <w:pPr>
              <w:pStyle w:val="TableText"/>
              <w:jc w:val="right"/>
            </w:pPr>
            <w:r w:rsidRPr="00863DE2">
              <w:t>1,214,655</w:t>
            </w:r>
          </w:p>
        </w:tc>
        <w:tc>
          <w:tcPr>
            <w:tcW w:w="1248" w:type="pct"/>
          </w:tcPr>
          <w:p w14:paraId="3C8A7409" w14:textId="77777777" w:rsidR="0039064C" w:rsidRPr="00B6177D" w:rsidRDefault="0039064C" w:rsidP="0039064C">
            <w:pPr>
              <w:pStyle w:val="TableText"/>
            </w:pPr>
            <w:r w:rsidRPr="00B6177D">
              <w:t>PEQ importation charge – horses or ruminants or other animal &gt;25 kgs</w:t>
            </w:r>
          </w:p>
        </w:tc>
        <w:tc>
          <w:tcPr>
            <w:tcW w:w="656" w:type="pct"/>
          </w:tcPr>
          <w:p w14:paraId="26925829" w14:textId="77777777" w:rsidR="0039064C" w:rsidRPr="00B6177D" w:rsidRDefault="0039064C" w:rsidP="0039064C">
            <w:pPr>
              <w:pStyle w:val="TableText"/>
            </w:pPr>
            <w:r w:rsidRPr="00B6177D">
              <w:t>Per animal</w:t>
            </w:r>
          </w:p>
        </w:tc>
        <w:tc>
          <w:tcPr>
            <w:tcW w:w="454" w:type="pct"/>
          </w:tcPr>
          <w:p w14:paraId="574CDD08" w14:textId="77777777" w:rsidR="0039064C" w:rsidRPr="00B6177D" w:rsidRDefault="0039064C" w:rsidP="0039064C">
            <w:pPr>
              <w:pStyle w:val="TableText"/>
              <w:jc w:val="right"/>
            </w:pPr>
            <w:r w:rsidRPr="00B6177D">
              <w:t>3,000</w:t>
            </w:r>
          </w:p>
        </w:tc>
        <w:tc>
          <w:tcPr>
            <w:tcW w:w="608" w:type="pct"/>
          </w:tcPr>
          <w:p w14:paraId="3AC86854" w14:textId="17D5B3C6" w:rsidR="0039064C" w:rsidRPr="00B6177D" w:rsidRDefault="0039064C" w:rsidP="0039064C">
            <w:pPr>
              <w:pStyle w:val="TableText"/>
              <w:jc w:val="right"/>
            </w:pPr>
            <w:r w:rsidRPr="00525E4C">
              <w:t>650</w:t>
            </w:r>
          </w:p>
        </w:tc>
        <w:tc>
          <w:tcPr>
            <w:tcW w:w="681" w:type="pct"/>
          </w:tcPr>
          <w:p w14:paraId="355731FD" w14:textId="7C5E6BF2" w:rsidR="0039064C" w:rsidRPr="00B6177D" w:rsidRDefault="0039064C" w:rsidP="0039064C">
            <w:pPr>
              <w:pStyle w:val="TableText"/>
              <w:jc w:val="right"/>
            </w:pPr>
            <w:r w:rsidRPr="00525E4C">
              <w:t>1,950,000</w:t>
            </w:r>
          </w:p>
        </w:tc>
      </w:tr>
      <w:tr w:rsidR="0039064C" w:rsidRPr="00B6177D" w14:paraId="0E58FCDA" w14:textId="77777777" w:rsidTr="00CA5FCA">
        <w:tc>
          <w:tcPr>
            <w:tcW w:w="605" w:type="pct"/>
            <w:vMerge/>
          </w:tcPr>
          <w:p w14:paraId="516ED29E" w14:textId="77777777" w:rsidR="0039064C" w:rsidRPr="00B6177D" w:rsidRDefault="0039064C" w:rsidP="0039064C">
            <w:pPr>
              <w:pStyle w:val="TableText"/>
            </w:pPr>
          </w:p>
        </w:tc>
        <w:tc>
          <w:tcPr>
            <w:tcW w:w="748" w:type="pct"/>
          </w:tcPr>
          <w:p w14:paraId="2392CC25" w14:textId="6920EC58" w:rsidR="0039064C" w:rsidRPr="00B6177D" w:rsidRDefault="0039064C" w:rsidP="0039064C">
            <w:pPr>
              <w:pStyle w:val="TableText"/>
              <w:jc w:val="right"/>
            </w:pPr>
            <w:r w:rsidRPr="00863DE2">
              <w:t>8,482,818</w:t>
            </w:r>
          </w:p>
        </w:tc>
        <w:tc>
          <w:tcPr>
            <w:tcW w:w="1248" w:type="pct"/>
          </w:tcPr>
          <w:p w14:paraId="51AE6BA0" w14:textId="52C443E9" w:rsidR="0039064C" w:rsidRPr="00B6177D" w:rsidRDefault="0039064C" w:rsidP="0039064C">
            <w:pPr>
              <w:pStyle w:val="TableText"/>
            </w:pPr>
            <w:r w:rsidRPr="00B6177D">
              <w:t>PEQ importation charge –</w:t>
            </w:r>
            <w:r>
              <w:t xml:space="preserve"> </w:t>
            </w:r>
            <w:r w:rsidRPr="00B6177D">
              <w:t>cat</w:t>
            </w:r>
            <w:r>
              <w:t xml:space="preserve">, </w:t>
            </w:r>
            <w:proofErr w:type="gramStart"/>
            <w:r>
              <w:t>dog</w:t>
            </w:r>
            <w:proofErr w:type="gramEnd"/>
            <w:r w:rsidRPr="00B6177D">
              <w:t xml:space="preserve"> or other animal ≤25 kgs</w:t>
            </w:r>
          </w:p>
        </w:tc>
        <w:tc>
          <w:tcPr>
            <w:tcW w:w="656" w:type="pct"/>
          </w:tcPr>
          <w:p w14:paraId="2B63BE34" w14:textId="77777777" w:rsidR="0039064C" w:rsidRPr="00B6177D" w:rsidRDefault="0039064C" w:rsidP="0039064C">
            <w:pPr>
              <w:pStyle w:val="TableText"/>
            </w:pPr>
            <w:r w:rsidRPr="00B6177D">
              <w:t>Per animal</w:t>
            </w:r>
          </w:p>
        </w:tc>
        <w:tc>
          <w:tcPr>
            <w:tcW w:w="454" w:type="pct"/>
          </w:tcPr>
          <w:p w14:paraId="2C84AC01" w14:textId="77777777" w:rsidR="0039064C" w:rsidRPr="00B6177D" w:rsidRDefault="0039064C" w:rsidP="0039064C">
            <w:pPr>
              <w:pStyle w:val="TableText"/>
              <w:jc w:val="right"/>
            </w:pPr>
            <w:r w:rsidRPr="00B6177D">
              <w:t>1,200</w:t>
            </w:r>
          </w:p>
        </w:tc>
        <w:tc>
          <w:tcPr>
            <w:tcW w:w="608" w:type="pct"/>
          </w:tcPr>
          <w:p w14:paraId="78C77767" w14:textId="5018030F" w:rsidR="0039064C" w:rsidRPr="00B6177D" w:rsidRDefault="0039064C" w:rsidP="0039064C">
            <w:pPr>
              <w:pStyle w:val="TableText"/>
              <w:jc w:val="right"/>
            </w:pPr>
            <w:r w:rsidRPr="00525E4C">
              <w:t>4,999</w:t>
            </w:r>
          </w:p>
        </w:tc>
        <w:tc>
          <w:tcPr>
            <w:tcW w:w="681" w:type="pct"/>
          </w:tcPr>
          <w:p w14:paraId="173CB0D8" w14:textId="443A3A1B" w:rsidR="0039064C" w:rsidRPr="00B6177D" w:rsidRDefault="0039064C" w:rsidP="0039064C">
            <w:pPr>
              <w:pStyle w:val="TableText"/>
              <w:jc w:val="right"/>
            </w:pPr>
            <w:r w:rsidRPr="00525E4C">
              <w:t>5,998,800</w:t>
            </w:r>
          </w:p>
        </w:tc>
      </w:tr>
      <w:tr w:rsidR="0039064C" w:rsidRPr="00B6177D" w14:paraId="101E235F" w14:textId="77777777" w:rsidTr="00CA5FCA">
        <w:tc>
          <w:tcPr>
            <w:tcW w:w="605" w:type="pct"/>
            <w:vMerge/>
          </w:tcPr>
          <w:p w14:paraId="06E8FB62" w14:textId="77777777" w:rsidR="0039064C" w:rsidRPr="00B6177D" w:rsidRDefault="0039064C" w:rsidP="0039064C">
            <w:pPr>
              <w:pStyle w:val="TableText"/>
            </w:pPr>
          </w:p>
        </w:tc>
        <w:tc>
          <w:tcPr>
            <w:tcW w:w="748" w:type="pct"/>
          </w:tcPr>
          <w:p w14:paraId="33009D51" w14:textId="4236D7E4" w:rsidR="0039064C" w:rsidRPr="00B6177D" w:rsidRDefault="0039064C" w:rsidP="0039064C">
            <w:pPr>
              <w:pStyle w:val="TableText"/>
              <w:jc w:val="right"/>
            </w:pPr>
            <w:r w:rsidRPr="00863DE2">
              <w:t>100,000</w:t>
            </w:r>
          </w:p>
        </w:tc>
        <w:tc>
          <w:tcPr>
            <w:tcW w:w="1248" w:type="pct"/>
          </w:tcPr>
          <w:p w14:paraId="39A0078A" w14:textId="77777777" w:rsidR="0039064C" w:rsidRPr="00B6177D" w:rsidRDefault="0039064C" w:rsidP="0039064C">
            <w:pPr>
              <w:pStyle w:val="TableText"/>
            </w:pPr>
            <w:r w:rsidRPr="00B6177D">
              <w:t>PEQ importation charge – bees</w:t>
            </w:r>
          </w:p>
        </w:tc>
        <w:tc>
          <w:tcPr>
            <w:tcW w:w="656" w:type="pct"/>
          </w:tcPr>
          <w:p w14:paraId="4B4E0E2D" w14:textId="15AD2F8A" w:rsidR="0039064C" w:rsidRPr="00B6177D" w:rsidRDefault="0039064C" w:rsidP="0039064C">
            <w:pPr>
              <w:pStyle w:val="TableText"/>
            </w:pPr>
            <w:r w:rsidRPr="00B6177D">
              <w:t>Per bee consignment</w:t>
            </w:r>
          </w:p>
        </w:tc>
        <w:tc>
          <w:tcPr>
            <w:tcW w:w="454" w:type="pct"/>
          </w:tcPr>
          <w:p w14:paraId="0C82B469" w14:textId="77777777" w:rsidR="0039064C" w:rsidRPr="00B6177D" w:rsidRDefault="0039064C" w:rsidP="0039064C">
            <w:pPr>
              <w:pStyle w:val="TableText"/>
              <w:jc w:val="right"/>
            </w:pPr>
            <w:r w:rsidRPr="00B6177D">
              <w:t>2,500</w:t>
            </w:r>
          </w:p>
        </w:tc>
        <w:tc>
          <w:tcPr>
            <w:tcW w:w="608" w:type="pct"/>
          </w:tcPr>
          <w:p w14:paraId="0D4FCE61" w14:textId="446948A7" w:rsidR="0039064C" w:rsidRPr="00B6177D" w:rsidRDefault="0039064C" w:rsidP="0039064C">
            <w:pPr>
              <w:pStyle w:val="TableText"/>
              <w:jc w:val="right"/>
            </w:pPr>
            <w:r w:rsidRPr="00525E4C">
              <w:t>0</w:t>
            </w:r>
          </w:p>
        </w:tc>
        <w:tc>
          <w:tcPr>
            <w:tcW w:w="681" w:type="pct"/>
          </w:tcPr>
          <w:p w14:paraId="49AD157C" w14:textId="3FD1B673" w:rsidR="0039064C" w:rsidRPr="00B6177D" w:rsidRDefault="0039064C" w:rsidP="0039064C">
            <w:pPr>
              <w:pStyle w:val="TableText"/>
              <w:jc w:val="right"/>
            </w:pPr>
            <w:r w:rsidRPr="00525E4C">
              <w:t>0</w:t>
            </w:r>
          </w:p>
        </w:tc>
      </w:tr>
      <w:tr w:rsidR="0039064C" w:rsidRPr="00B6177D" w14:paraId="7EA5C7E5" w14:textId="77777777" w:rsidTr="00CA5FCA">
        <w:tc>
          <w:tcPr>
            <w:tcW w:w="605" w:type="pct"/>
            <w:vMerge/>
          </w:tcPr>
          <w:p w14:paraId="6F3FA782" w14:textId="77777777" w:rsidR="0039064C" w:rsidRPr="00B6177D" w:rsidRDefault="0039064C" w:rsidP="0039064C">
            <w:pPr>
              <w:pStyle w:val="TableText"/>
            </w:pPr>
          </w:p>
        </w:tc>
        <w:tc>
          <w:tcPr>
            <w:tcW w:w="748" w:type="pct"/>
          </w:tcPr>
          <w:p w14:paraId="780A28AC" w14:textId="59630BDE" w:rsidR="0039064C" w:rsidRPr="00B6177D" w:rsidRDefault="0039064C" w:rsidP="0039064C">
            <w:pPr>
              <w:pStyle w:val="TableText"/>
              <w:jc w:val="right"/>
            </w:pPr>
            <w:r w:rsidRPr="00863DE2">
              <w:t>78,126</w:t>
            </w:r>
          </w:p>
        </w:tc>
        <w:tc>
          <w:tcPr>
            <w:tcW w:w="1248" w:type="pct"/>
          </w:tcPr>
          <w:p w14:paraId="38C757D4" w14:textId="77777777" w:rsidR="0039064C" w:rsidRPr="00B6177D" w:rsidRDefault="0039064C" w:rsidP="0039064C">
            <w:pPr>
              <w:pStyle w:val="TableText"/>
            </w:pPr>
            <w:r w:rsidRPr="00B6177D">
              <w:t>PEQ importation charge – avian (fertile eggs)</w:t>
            </w:r>
          </w:p>
        </w:tc>
        <w:tc>
          <w:tcPr>
            <w:tcW w:w="656" w:type="pct"/>
          </w:tcPr>
          <w:p w14:paraId="528137E8" w14:textId="77777777" w:rsidR="0039064C" w:rsidRPr="00B6177D" w:rsidRDefault="0039064C" w:rsidP="0039064C">
            <w:pPr>
              <w:pStyle w:val="TableText"/>
            </w:pPr>
            <w:r w:rsidRPr="00B6177D">
              <w:t>Per hatching egg consignment</w:t>
            </w:r>
          </w:p>
        </w:tc>
        <w:tc>
          <w:tcPr>
            <w:tcW w:w="454" w:type="pct"/>
          </w:tcPr>
          <w:p w14:paraId="424A9B98" w14:textId="77777777" w:rsidR="0039064C" w:rsidRPr="00B6177D" w:rsidRDefault="0039064C" w:rsidP="0039064C">
            <w:pPr>
              <w:pStyle w:val="TableText"/>
              <w:jc w:val="right"/>
            </w:pPr>
            <w:r w:rsidRPr="00B6177D">
              <w:t>31,304</w:t>
            </w:r>
          </w:p>
        </w:tc>
        <w:tc>
          <w:tcPr>
            <w:tcW w:w="608" w:type="pct"/>
          </w:tcPr>
          <w:p w14:paraId="433FE7AA" w14:textId="26CE33B5" w:rsidR="0039064C" w:rsidRPr="00B6177D" w:rsidRDefault="0039064C" w:rsidP="0039064C">
            <w:pPr>
              <w:pStyle w:val="TableText"/>
              <w:jc w:val="right"/>
            </w:pPr>
            <w:r w:rsidRPr="00525E4C">
              <w:t>9</w:t>
            </w:r>
          </w:p>
        </w:tc>
        <w:tc>
          <w:tcPr>
            <w:tcW w:w="681" w:type="pct"/>
          </w:tcPr>
          <w:p w14:paraId="05A74F9C" w14:textId="4FA27667" w:rsidR="0039064C" w:rsidRPr="00B6177D" w:rsidRDefault="0039064C" w:rsidP="0039064C">
            <w:pPr>
              <w:pStyle w:val="TableText"/>
              <w:jc w:val="right"/>
            </w:pPr>
            <w:r w:rsidRPr="00525E4C">
              <w:t>281,736</w:t>
            </w:r>
          </w:p>
        </w:tc>
      </w:tr>
      <w:tr w:rsidR="0039064C" w:rsidRPr="00B6177D" w14:paraId="419E8599" w14:textId="77777777" w:rsidTr="00CA5FCA">
        <w:tc>
          <w:tcPr>
            <w:tcW w:w="605" w:type="pct"/>
            <w:vMerge/>
          </w:tcPr>
          <w:p w14:paraId="38F28D2F" w14:textId="77777777" w:rsidR="0039064C" w:rsidRPr="00B6177D" w:rsidRDefault="0039064C" w:rsidP="0039064C">
            <w:pPr>
              <w:pStyle w:val="TableText"/>
            </w:pPr>
          </w:p>
        </w:tc>
        <w:tc>
          <w:tcPr>
            <w:tcW w:w="748" w:type="pct"/>
          </w:tcPr>
          <w:p w14:paraId="4C1F1A9E" w14:textId="59870FEE" w:rsidR="0039064C" w:rsidRPr="00B6177D" w:rsidRDefault="0039064C" w:rsidP="0039064C">
            <w:pPr>
              <w:pStyle w:val="TableText"/>
              <w:jc w:val="right"/>
            </w:pPr>
            <w:r w:rsidRPr="00863DE2">
              <w:t>28,048</w:t>
            </w:r>
          </w:p>
        </w:tc>
        <w:tc>
          <w:tcPr>
            <w:tcW w:w="1248" w:type="pct"/>
          </w:tcPr>
          <w:p w14:paraId="604CF15E" w14:textId="77777777" w:rsidR="0039064C" w:rsidRPr="00B6177D" w:rsidRDefault="0039064C" w:rsidP="0039064C">
            <w:pPr>
              <w:pStyle w:val="TableText"/>
            </w:pPr>
            <w:r w:rsidRPr="00B6177D">
              <w:t>PEQ importation charge – avian (live bird)</w:t>
            </w:r>
          </w:p>
        </w:tc>
        <w:tc>
          <w:tcPr>
            <w:tcW w:w="656" w:type="pct"/>
          </w:tcPr>
          <w:p w14:paraId="02D4986A" w14:textId="77777777" w:rsidR="0039064C" w:rsidRPr="00B6177D" w:rsidRDefault="0039064C" w:rsidP="0039064C">
            <w:pPr>
              <w:pStyle w:val="TableText"/>
            </w:pPr>
            <w:r w:rsidRPr="00B6177D">
              <w:t>Per live bird consignment</w:t>
            </w:r>
          </w:p>
        </w:tc>
        <w:tc>
          <w:tcPr>
            <w:tcW w:w="454" w:type="pct"/>
          </w:tcPr>
          <w:p w14:paraId="30E7D840" w14:textId="77777777" w:rsidR="0039064C" w:rsidRPr="00B6177D" w:rsidRDefault="0039064C" w:rsidP="0039064C">
            <w:pPr>
              <w:pStyle w:val="TableText"/>
              <w:jc w:val="right"/>
            </w:pPr>
            <w:r w:rsidRPr="00B6177D">
              <w:t>11,240</w:t>
            </w:r>
          </w:p>
        </w:tc>
        <w:tc>
          <w:tcPr>
            <w:tcW w:w="608" w:type="pct"/>
          </w:tcPr>
          <w:p w14:paraId="495FDC81" w14:textId="295B7B17" w:rsidR="0039064C" w:rsidRPr="00B6177D" w:rsidRDefault="0039064C" w:rsidP="0039064C">
            <w:pPr>
              <w:pStyle w:val="TableText"/>
              <w:jc w:val="right"/>
            </w:pPr>
            <w:r w:rsidRPr="00525E4C">
              <w:t>2</w:t>
            </w:r>
          </w:p>
        </w:tc>
        <w:tc>
          <w:tcPr>
            <w:tcW w:w="681" w:type="pct"/>
          </w:tcPr>
          <w:p w14:paraId="7D9B15C1" w14:textId="358DE2FE" w:rsidR="0039064C" w:rsidRPr="00B6177D" w:rsidRDefault="0039064C" w:rsidP="0039064C">
            <w:pPr>
              <w:pStyle w:val="TableText"/>
              <w:jc w:val="right"/>
            </w:pPr>
            <w:r w:rsidRPr="00525E4C">
              <w:t>22,480</w:t>
            </w:r>
          </w:p>
        </w:tc>
      </w:tr>
      <w:tr w:rsidR="0039064C" w:rsidRPr="00B6177D" w14:paraId="342BAD69" w14:textId="77777777" w:rsidTr="00CA5FCA">
        <w:tc>
          <w:tcPr>
            <w:tcW w:w="605" w:type="pct"/>
            <w:vMerge/>
          </w:tcPr>
          <w:p w14:paraId="79781B6A" w14:textId="77777777" w:rsidR="0039064C" w:rsidRPr="00B6177D" w:rsidRDefault="0039064C" w:rsidP="0039064C">
            <w:pPr>
              <w:pStyle w:val="TableText"/>
            </w:pPr>
          </w:p>
        </w:tc>
        <w:tc>
          <w:tcPr>
            <w:tcW w:w="748" w:type="pct"/>
          </w:tcPr>
          <w:p w14:paraId="0FC0B3BD" w14:textId="6325E2DB" w:rsidR="0039064C" w:rsidRPr="00B6177D" w:rsidRDefault="0039064C" w:rsidP="0039064C">
            <w:pPr>
              <w:pStyle w:val="TableText"/>
              <w:jc w:val="right"/>
            </w:pPr>
            <w:r w:rsidRPr="00863DE2">
              <w:t>409,130</w:t>
            </w:r>
          </w:p>
        </w:tc>
        <w:tc>
          <w:tcPr>
            <w:tcW w:w="1248" w:type="pct"/>
          </w:tcPr>
          <w:p w14:paraId="6EBC0172" w14:textId="77777777" w:rsidR="0039064C" w:rsidRPr="00B6177D" w:rsidRDefault="0039064C" w:rsidP="0039064C">
            <w:pPr>
              <w:pStyle w:val="TableText"/>
            </w:pPr>
            <w:r w:rsidRPr="00B6177D">
              <w:t>PEQ importation charge – plants</w:t>
            </w:r>
          </w:p>
        </w:tc>
        <w:tc>
          <w:tcPr>
            <w:tcW w:w="656" w:type="pct"/>
          </w:tcPr>
          <w:p w14:paraId="3D905D90" w14:textId="77777777" w:rsidR="0039064C" w:rsidRPr="00B6177D" w:rsidRDefault="0039064C" w:rsidP="0039064C">
            <w:pPr>
              <w:pStyle w:val="TableText"/>
            </w:pPr>
            <w:r w:rsidRPr="00B6177D">
              <w:t>Per m</w:t>
            </w:r>
            <w:r w:rsidRPr="00A01FEB">
              <w:rPr>
                <w:vertAlign w:val="superscript"/>
              </w:rPr>
              <w:t>2</w:t>
            </w:r>
          </w:p>
        </w:tc>
        <w:tc>
          <w:tcPr>
            <w:tcW w:w="454" w:type="pct"/>
          </w:tcPr>
          <w:p w14:paraId="66622D8F" w14:textId="77777777" w:rsidR="0039064C" w:rsidRPr="00B6177D" w:rsidRDefault="0039064C" w:rsidP="0039064C">
            <w:pPr>
              <w:pStyle w:val="TableText"/>
              <w:jc w:val="right"/>
            </w:pPr>
            <w:r w:rsidRPr="00B6177D">
              <w:t>110</w:t>
            </w:r>
          </w:p>
        </w:tc>
        <w:tc>
          <w:tcPr>
            <w:tcW w:w="608" w:type="pct"/>
          </w:tcPr>
          <w:p w14:paraId="5F7AB564" w14:textId="76391672" w:rsidR="0039064C" w:rsidRPr="00B6177D" w:rsidRDefault="0039064C" w:rsidP="0039064C">
            <w:pPr>
              <w:pStyle w:val="TableText"/>
              <w:jc w:val="right"/>
            </w:pPr>
            <w:r w:rsidRPr="00525E4C">
              <w:t>8,241</w:t>
            </w:r>
          </w:p>
        </w:tc>
        <w:tc>
          <w:tcPr>
            <w:tcW w:w="681" w:type="pct"/>
          </w:tcPr>
          <w:p w14:paraId="018DB37F" w14:textId="071F0216" w:rsidR="0039064C" w:rsidRPr="00B6177D" w:rsidRDefault="0039064C" w:rsidP="0039064C">
            <w:pPr>
              <w:pStyle w:val="TableText"/>
              <w:jc w:val="right"/>
            </w:pPr>
            <w:r w:rsidRPr="00525E4C">
              <w:t>906,510</w:t>
            </w:r>
          </w:p>
        </w:tc>
      </w:tr>
      <w:tr w:rsidR="0039064C" w:rsidRPr="008B152D" w14:paraId="1A16E6EC" w14:textId="77777777" w:rsidTr="00CA5FCA">
        <w:tc>
          <w:tcPr>
            <w:tcW w:w="605" w:type="pct"/>
            <w:vMerge w:val="restart"/>
          </w:tcPr>
          <w:p w14:paraId="0AA85750" w14:textId="223C5063" w:rsidR="0039064C" w:rsidRPr="008B152D" w:rsidRDefault="0039064C" w:rsidP="0039064C">
            <w:pPr>
              <w:pStyle w:val="TableText"/>
            </w:pPr>
            <w:r w:rsidRPr="008B152D">
              <w:t>Fee for service – assessment, approval, inspection, treatment, and audit</w:t>
            </w:r>
          </w:p>
        </w:tc>
        <w:tc>
          <w:tcPr>
            <w:tcW w:w="748" w:type="pct"/>
          </w:tcPr>
          <w:p w14:paraId="772A3F96" w14:textId="6B6F6040" w:rsidR="0039064C" w:rsidRPr="008B152D" w:rsidRDefault="0039064C" w:rsidP="0039064C">
            <w:pPr>
              <w:pStyle w:val="TableText"/>
              <w:jc w:val="right"/>
            </w:pPr>
            <w:r w:rsidRPr="00A12DE5">
              <w:t>33,011,211</w:t>
            </w:r>
          </w:p>
        </w:tc>
        <w:tc>
          <w:tcPr>
            <w:tcW w:w="1248" w:type="pct"/>
          </w:tcPr>
          <w:p w14:paraId="2AD6436F" w14:textId="77777777" w:rsidR="0039064C" w:rsidRPr="008B152D" w:rsidRDefault="0039064C" w:rsidP="0039064C">
            <w:pPr>
              <w:pStyle w:val="TableText"/>
            </w:pPr>
            <w:r w:rsidRPr="008B152D">
              <w:t>In-office fee</w:t>
            </w:r>
          </w:p>
        </w:tc>
        <w:tc>
          <w:tcPr>
            <w:tcW w:w="656" w:type="pct"/>
          </w:tcPr>
          <w:p w14:paraId="78E5C4C6" w14:textId="77777777" w:rsidR="0039064C" w:rsidRPr="008B152D" w:rsidRDefault="0039064C" w:rsidP="0039064C">
            <w:pPr>
              <w:pStyle w:val="TableText"/>
            </w:pPr>
            <w:r w:rsidRPr="008B152D">
              <w:t>Per 15 minutes</w:t>
            </w:r>
          </w:p>
        </w:tc>
        <w:tc>
          <w:tcPr>
            <w:tcW w:w="454" w:type="pct"/>
          </w:tcPr>
          <w:p w14:paraId="21BADCC3" w14:textId="77777777" w:rsidR="0039064C" w:rsidRPr="008B152D" w:rsidRDefault="0039064C" w:rsidP="0039064C">
            <w:pPr>
              <w:pStyle w:val="TableText"/>
              <w:jc w:val="right"/>
            </w:pPr>
            <w:r w:rsidRPr="008B152D">
              <w:t>30</w:t>
            </w:r>
          </w:p>
        </w:tc>
        <w:tc>
          <w:tcPr>
            <w:tcW w:w="608" w:type="pct"/>
          </w:tcPr>
          <w:p w14:paraId="18B3EFFF" w14:textId="4B3EAF62" w:rsidR="0039064C" w:rsidRPr="008B152D" w:rsidRDefault="0039064C" w:rsidP="0039064C">
            <w:pPr>
              <w:pStyle w:val="TableText"/>
              <w:jc w:val="right"/>
            </w:pPr>
            <w:r w:rsidRPr="00497BC7">
              <w:t>1,051,190</w:t>
            </w:r>
          </w:p>
        </w:tc>
        <w:tc>
          <w:tcPr>
            <w:tcW w:w="681" w:type="pct"/>
          </w:tcPr>
          <w:p w14:paraId="4A0AC43B" w14:textId="3EDB2821" w:rsidR="0039064C" w:rsidRPr="008B152D" w:rsidRDefault="0039064C" w:rsidP="0039064C">
            <w:pPr>
              <w:pStyle w:val="TableText"/>
              <w:jc w:val="right"/>
            </w:pPr>
            <w:r w:rsidRPr="00497BC7">
              <w:t>31,535,700</w:t>
            </w:r>
          </w:p>
        </w:tc>
      </w:tr>
      <w:tr w:rsidR="0039064C" w:rsidRPr="008B152D" w14:paraId="5F823B6E" w14:textId="77777777" w:rsidTr="00CA5FCA">
        <w:tc>
          <w:tcPr>
            <w:tcW w:w="605" w:type="pct"/>
            <w:vMerge/>
          </w:tcPr>
          <w:p w14:paraId="4BCDABE1" w14:textId="77777777" w:rsidR="0039064C" w:rsidRPr="008B152D" w:rsidRDefault="0039064C" w:rsidP="0039064C">
            <w:pPr>
              <w:pStyle w:val="TableText"/>
            </w:pPr>
          </w:p>
        </w:tc>
        <w:tc>
          <w:tcPr>
            <w:tcW w:w="748" w:type="pct"/>
          </w:tcPr>
          <w:p w14:paraId="2C47B214" w14:textId="7C69646D" w:rsidR="0039064C" w:rsidRPr="008B152D" w:rsidRDefault="0039064C" w:rsidP="0039064C">
            <w:pPr>
              <w:pStyle w:val="TableText"/>
              <w:jc w:val="right"/>
            </w:pPr>
            <w:r w:rsidRPr="00A12DE5">
              <w:t>42,626,127</w:t>
            </w:r>
          </w:p>
        </w:tc>
        <w:tc>
          <w:tcPr>
            <w:tcW w:w="1248" w:type="pct"/>
          </w:tcPr>
          <w:p w14:paraId="55876CDA" w14:textId="286CB753" w:rsidR="0039064C" w:rsidRPr="008B152D" w:rsidRDefault="0039064C" w:rsidP="0039064C">
            <w:pPr>
              <w:pStyle w:val="TableText"/>
            </w:pPr>
            <w:r w:rsidRPr="008B152D">
              <w:t>Out-of-office fee</w:t>
            </w:r>
          </w:p>
        </w:tc>
        <w:tc>
          <w:tcPr>
            <w:tcW w:w="656" w:type="pct"/>
          </w:tcPr>
          <w:p w14:paraId="4767BAE4" w14:textId="6DC1B4BB" w:rsidR="0039064C" w:rsidRPr="008B152D" w:rsidRDefault="0039064C" w:rsidP="0039064C">
            <w:pPr>
              <w:pStyle w:val="TableText"/>
            </w:pPr>
            <w:r w:rsidRPr="008B152D">
              <w:t>Per 15 minutes</w:t>
            </w:r>
          </w:p>
        </w:tc>
        <w:tc>
          <w:tcPr>
            <w:tcW w:w="454" w:type="pct"/>
          </w:tcPr>
          <w:p w14:paraId="7179928B" w14:textId="3B3F5202" w:rsidR="0039064C" w:rsidRPr="008B152D" w:rsidRDefault="0039064C" w:rsidP="0039064C">
            <w:pPr>
              <w:pStyle w:val="TableText"/>
              <w:jc w:val="right"/>
            </w:pPr>
            <w:r w:rsidRPr="008B152D">
              <w:t>50</w:t>
            </w:r>
          </w:p>
        </w:tc>
        <w:tc>
          <w:tcPr>
            <w:tcW w:w="608" w:type="pct"/>
          </w:tcPr>
          <w:p w14:paraId="5FF7D6E7" w14:textId="1414D58B" w:rsidR="0039064C" w:rsidRPr="008B152D" w:rsidRDefault="0039064C" w:rsidP="0039064C">
            <w:pPr>
              <w:pStyle w:val="TableText"/>
              <w:jc w:val="right"/>
            </w:pPr>
            <w:r w:rsidRPr="00497BC7">
              <w:t>634,559</w:t>
            </w:r>
          </w:p>
        </w:tc>
        <w:tc>
          <w:tcPr>
            <w:tcW w:w="681" w:type="pct"/>
          </w:tcPr>
          <w:p w14:paraId="41FC5839" w14:textId="7E50F183" w:rsidR="0039064C" w:rsidRPr="008B152D" w:rsidRDefault="0039064C" w:rsidP="0039064C">
            <w:pPr>
              <w:pStyle w:val="TableText"/>
              <w:jc w:val="right"/>
            </w:pPr>
            <w:r w:rsidRPr="00497BC7">
              <w:t>31,727,950</w:t>
            </w:r>
          </w:p>
        </w:tc>
      </w:tr>
      <w:tr w:rsidR="0039064C" w:rsidRPr="008B152D" w14:paraId="379C07E8" w14:textId="77777777" w:rsidTr="00CA5FCA">
        <w:tc>
          <w:tcPr>
            <w:tcW w:w="605" w:type="pct"/>
            <w:vMerge/>
          </w:tcPr>
          <w:p w14:paraId="7BA5BD41" w14:textId="77777777" w:rsidR="0039064C" w:rsidRPr="008B152D" w:rsidRDefault="0039064C" w:rsidP="0039064C">
            <w:pPr>
              <w:pStyle w:val="TableText"/>
            </w:pPr>
          </w:p>
        </w:tc>
        <w:tc>
          <w:tcPr>
            <w:tcW w:w="748" w:type="pct"/>
          </w:tcPr>
          <w:p w14:paraId="205A586E" w14:textId="66F6E6CF" w:rsidR="0039064C" w:rsidRPr="008B152D" w:rsidRDefault="0039064C" w:rsidP="0039064C">
            <w:pPr>
              <w:pStyle w:val="TableText"/>
              <w:jc w:val="right"/>
            </w:pPr>
            <w:r w:rsidRPr="00A12DE5">
              <w:t>4,485,377</w:t>
            </w:r>
          </w:p>
        </w:tc>
        <w:tc>
          <w:tcPr>
            <w:tcW w:w="1248" w:type="pct"/>
          </w:tcPr>
          <w:p w14:paraId="6374A41A" w14:textId="50885915" w:rsidR="0039064C" w:rsidRPr="008B152D" w:rsidRDefault="0039064C" w:rsidP="0039064C">
            <w:pPr>
              <w:spacing w:after="0" w:line="240" w:lineRule="auto"/>
              <w:rPr>
                <w:rFonts w:eastAsia="Times New Roman" w:cs="Calibri"/>
                <w:color w:val="000000"/>
                <w:sz w:val="18"/>
                <w:szCs w:val="18"/>
                <w:lang w:eastAsia="en-AU"/>
              </w:rPr>
            </w:pPr>
            <w:r w:rsidRPr="008B152D">
              <w:rPr>
                <w:rFonts w:cs="Calibri"/>
                <w:color w:val="000000"/>
                <w:sz w:val="18"/>
                <w:szCs w:val="18"/>
              </w:rPr>
              <w:t>Out-of-hours fees</w:t>
            </w:r>
          </w:p>
          <w:p w14:paraId="44FF4A81" w14:textId="352141CA" w:rsidR="0039064C" w:rsidRPr="008B152D" w:rsidRDefault="0039064C" w:rsidP="0039064C">
            <w:pPr>
              <w:pStyle w:val="TableText"/>
            </w:pPr>
          </w:p>
        </w:tc>
        <w:tc>
          <w:tcPr>
            <w:tcW w:w="656" w:type="pct"/>
          </w:tcPr>
          <w:p w14:paraId="10DA08D7" w14:textId="1FE65140" w:rsidR="0039064C" w:rsidRPr="008B152D" w:rsidRDefault="0039064C" w:rsidP="0039064C">
            <w:pPr>
              <w:pStyle w:val="TableText"/>
            </w:pPr>
            <w:r w:rsidRPr="008B152D">
              <w:t>Various</w:t>
            </w:r>
          </w:p>
        </w:tc>
        <w:tc>
          <w:tcPr>
            <w:tcW w:w="454" w:type="pct"/>
          </w:tcPr>
          <w:p w14:paraId="1791C8A5" w14:textId="457E70A4" w:rsidR="0039064C" w:rsidRPr="008B152D" w:rsidRDefault="0039064C" w:rsidP="0039064C">
            <w:pPr>
              <w:pStyle w:val="TableText"/>
              <w:jc w:val="right"/>
            </w:pPr>
            <w:r w:rsidRPr="008B152D">
              <w:t>Various</w:t>
            </w:r>
          </w:p>
        </w:tc>
        <w:tc>
          <w:tcPr>
            <w:tcW w:w="608" w:type="pct"/>
          </w:tcPr>
          <w:p w14:paraId="4ECB1FAF" w14:textId="7CC87B56" w:rsidR="0039064C" w:rsidRPr="008B152D" w:rsidRDefault="0039064C" w:rsidP="0039064C">
            <w:pPr>
              <w:pStyle w:val="TableText"/>
              <w:jc w:val="right"/>
            </w:pPr>
            <w:r w:rsidRPr="008B152D">
              <w:t>70,830</w:t>
            </w:r>
          </w:p>
        </w:tc>
        <w:tc>
          <w:tcPr>
            <w:tcW w:w="681" w:type="pct"/>
          </w:tcPr>
          <w:p w14:paraId="618B49D3" w14:textId="2CFB0795" w:rsidR="0039064C" w:rsidRPr="008B152D" w:rsidRDefault="0039064C" w:rsidP="0039064C">
            <w:pPr>
              <w:pStyle w:val="TableText"/>
              <w:jc w:val="right"/>
            </w:pPr>
            <w:r>
              <w:t>1,728,448</w:t>
            </w:r>
          </w:p>
        </w:tc>
      </w:tr>
      <w:tr w:rsidR="0039064C" w:rsidRPr="00B6177D" w14:paraId="28DEF49C" w14:textId="77777777" w:rsidTr="00CA5FCA">
        <w:tc>
          <w:tcPr>
            <w:tcW w:w="605" w:type="pct"/>
            <w:vMerge w:val="restart"/>
          </w:tcPr>
          <w:p w14:paraId="77E82A77" w14:textId="77777777" w:rsidR="0039064C" w:rsidRPr="00B6177D" w:rsidRDefault="0039064C" w:rsidP="0039064C">
            <w:pPr>
              <w:pStyle w:val="TableText"/>
            </w:pPr>
            <w:r w:rsidRPr="00B6177D">
              <w:t>Fee for service – husbandry</w:t>
            </w:r>
          </w:p>
        </w:tc>
        <w:tc>
          <w:tcPr>
            <w:tcW w:w="748" w:type="pct"/>
          </w:tcPr>
          <w:p w14:paraId="20B2199C" w14:textId="4EB6CE96" w:rsidR="0039064C" w:rsidRPr="00B6177D" w:rsidRDefault="0039064C" w:rsidP="0039064C">
            <w:pPr>
              <w:pStyle w:val="TableText"/>
              <w:jc w:val="right"/>
            </w:pPr>
            <w:r w:rsidRPr="00961745">
              <w:t>334,426</w:t>
            </w:r>
          </w:p>
        </w:tc>
        <w:tc>
          <w:tcPr>
            <w:tcW w:w="1248" w:type="pct"/>
          </w:tcPr>
          <w:p w14:paraId="6B8D2B3E" w14:textId="3447355A" w:rsidR="0039064C" w:rsidRPr="00B6177D" w:rsidRDefault="0039064C" w:rsidP="0039064C">
            <w:pPr>
              <w:pStyle w:val="TableText"/>
            </w:pPr>
            <w:r w:rsidRPr="00B6177D">
              <w:t xml:space="preserve">PEQ husbandry fee – horses or </w:t>
            </w:r>
            <w:r>
              <w:t>other animals</w:t>
            </w:r>
            <w:r w:rsidRPr="00B6177D">
              <w:t xml:space="preserve"> &gt;25 kgs</w:t>
            </w:r>
          </w:p>
        </w:tc>
        <w:tc>
          <w:tcPr>
            <w:tcW w:w="656" w:type="pct"/>
          </w:tcPr>
          <w:p w14:paraId="21C0E4DC" w14:textId="77777777" w:rsidR="0039064C" w:rsidRPr="00B6177D" w:rsidRDefault="0039064C" w:rsidP="0039064C">
            <w:pPr>
              <w:pStyle w:val="TableText"/>
            </w:pPr>
            <w:r w:rsidRPr="00B6177D">
              <w:t>Per animal per day</w:t>
            </w:r>
          </w:p>
        </w:tc>
        <w:tc>
          <w:tcPr>
            <w:tcW w:w="454" w:type="pct"/>
          </w:tcPr>
          <w:p w14:paraId="00187ECD" w14:textId="77777777" w:rsidR="0039064C" w:rsidRPr="00B6177D" w:rsidRDefault="0039064C" w:rsidP="0039064C">
            <w:pPr>
              <w:pStyle w:val="TableText"/>
              <w:jc w:val="right"/>
            </w:pPr>
            <w:r w:rsidRPr="00B6177D">
              <w:t>60</w:t>
            </w:r>
          </w:p>
        </w:tc>
        <w:tc>
          <w:tcPr>
            <w:tcW w:w="608" w:type="pct"/>
          </w:tcPr>
          <w:p w14:paraId="46C53EC3" w14:textId="2AD69387" w:rsidR="0039064C" w:rsidRPr="00B6177D" w:rsidRDefault="0039064C" w:rsidP="0039064C">
            <w:pPr>
              <w:pStyle w:val="TableText"/>
              <w:jc w:val="right"/>
            </w:pPr>
            <w:r w:rsidRPr="00455672">
              <w:t>9,100</w:t>
            </w:r>
          </w:p>
        </w:tc>
        <w:tc>
          <w:tcPr>
            <w:tcW w:w="681" w:type="pct"/>
          </w:tcPr>
          <w:p w14:paraId="180592D7" w14:textId="04E66B5D" w:rsidR="0039064C" w:rsidRPr="00B6177D" w:rsidRDefault="0039064C" w:rsidP="0039064C">
            <w:pPr>
              <w:pStyle w:val="TableText"/>
              <w:jc w:val="right"/>
            </w:pPr>
            <w:r w:rsidRPr="00455672">
              <w:t>546,000</w:t>
            </w:r>
          </w:p>
        </w:tc>
      </w:tr>
      <w:tr w:rsidR="0039064C" w:rsidRPr="00B6177D" w14:paraId="708E5AC3" w14:textId="77777777" w:rsidTr="00CA5FCA">
        <w:tc>
          <w:tcPr>
            <w:tcW w:w="605" w:type="pct"/>
            <w:vMerge/>
          </w:tcPr>
          <w:p w14:paraId="0C5AC87C" w14:textId="77777777" w:rsidR="0039064C" w:rsidRPr="00B6177D" w:rsidRDefault="0039064C" w:rsidP="0039064C">
            <w:pPr>
              <w:pStyle w:val="TableText"/>
            </w:pPr>
          </w:p>
        </w:tc>
        <w:tc>
          <w:tcPr>
            <w:tcW w:w="748" w:type="pct"/>
          </w:tcPr>
          <w:p w14:paraId="11C9FF49" w14:textId="29A90033" w:rsidR="0039064C" w:rsidRPr="00B6177D" w:rsidRDefault="0039064C" w:rsidP="0039064C">
            <w:pPr>
              <w:pStyle w:val="TableText"/>
              <w:jc w:val="right"/>
            </w:pPr>
            <w:r w:rsidRPr="00961745">
              <w:t>2,226,576</w:t>
            </w:r>
          </w:p>
        </w:tc>
        <w:tc>
          <w:tcPr>
            <w:tcW w:w="1248" w:type="pct"/>
          </w:tcPr>
          <w:p w14:paraId="0D535CE1" w14:textId="09EAFB02" w:rsidR="0039064C" w:rsidRPr="00B6177D" w:rsidRDefault="0039064C" w:rsidP="0039064C">
            <w:pPr>
              <w:pStyle w:val="TableText"/>
            </w:pPr>
            <w:r w:rsidRPr="00B6177D">
              <w:t>PEQ husbandry fee – cats or dogs or animal ≤</w:t>
            </w:r>
            <w:r>
              <w:t xml:space="preserve"> </w:t>
            </w:r>
            <w:r w:rsidRPr="00B6177D">
              <w:t>25</w:t>
            </w:r>
            <w:r>
              <w:t xml:space="preserve"> </w:t>
            </w:r>
            <w:r w:rsidRPr="00B6177D">
              <w:t>kgs</w:t>
            </w:r>
          </w:p>
        </w:tc>
        <w:tc>
          <w:tcPr>
            <w:tcW w:w="656" w:type="pct"/>
          </w:tcPr>
          <w:p w14:paraId="521ED08B" w14:textId="77777777" w:rsidR="0039064C" w:rsidRPr="00B6177D" w:rsidRDefault="0039064C" w:rsidP="0039064C">
            <w:pPr>
              <w:pStyle w:val="TableText"/>
            </w:pPr>
            <w:r w:rsidRPr="00B6177D">
              <w:t>Per animal per day</w:t>
            </w:r>
          </w:p>
        </w:tc>
        <w:tc>
          <w:tcPr>
            <w:tcW w:w="454" w:type="pct"/>
          </w:tcPr>
          <w:p w14:paraId="0333562B" w14:textId="77777777" w:rsidR="0039064C" w:rsidRPr="00B6177D" w:rsidRDefault="0039064C" w:rsidP="0039064C">
            <w:pPr>
              <w:pStyle w:val="TableText"/>
              <w:jc w:val="right"/>
            </w:pPr>
            <w:r w:rsidRPr="00B6177D">
              <w:t>29</w:t>
            </w:r>
          </w:p>
        </w:tc>
        <w:tc>
          <w:tcPr>
            <w:tcW w:w="608" w:type="pct"/>
          </w:tcPr>
          <w:p w14:paraId="637D51C9" w14:textId="3439766E" w:rsidR="0039064C" w:rsidRPr="00B6177D" w:rsidRDefault="0039064C" w:rsidP="0039064C">
            <w:pPr>
              <w:pStyle w:val="TableText"/>
              <w:jc w:val="right"/>
            </w:pPr>
            <w:r w:rsidRPr="00455672">
              <w:t>49,990</w:t>
            </w:r>
          </w:p>
        </w:tc>
        <w:tc>
          <w:tcPr>
            <w:tcW w:w="681" w:type="pct"/>
          </w:tcPr>
          <w:p w14:paraId="59B785A1" w14:textId="1B81224F" w:rsidR="0039064C" w:rsidRPr="00B6177D" w:rsidRDefault="0039064C" w:rsidP="0039064C">
            <w:pPr>
              <w:pStyle w:val="TableText"/>
              <w:jc w:val="right"/>
            </w:pPr>
            <w:r w:rsidRPr="00455672">
              <w:t>1,449,710</w:t>
            </w:r>
          </w:p>
        </w:tc>
      </w:tr>
      <w:tr w:rsidR="0039064C" w:rsidRPr="00B6177D" w14:paraId="3E0BEE9B" w14:textId="77777777" w:rsidTr="00CA5FCA">
        <w:tc>
          <w:tcPr>
            <w:tcW w:w="605" w:type="pct"/>
            <w:vMerge/>
          </w:tcPr>
          <w:p w14:paraId="203CCC8C" w14:textId="77777777" w:rsidR="0039064C" w:rsidRPr="00B6177D" w:rsidRDefault="0039064C" w:rsidP="0039064C">
            <w:pPr>
              <w:pStyle w:val="TableText"/>
            </w:pPr>
          </w:p>
        </w:tc>
        <w:tc>
          <w:tcPr>
            <w:tcW w:w="748" w:type="pct"/>
          </w:tcPr>
          <w:p w14:paraId="577FEB4D" w14:textId="76DD8EB9" w:rsidR="0039064C" w:rsidRPr="00B6177D" w:rsidRDefault="0039064C" w:rsidP="0039064C">
            <w:pPr>
              <w:pStyle w:val="TableText"/>
              <w:jc w:val="right"/>
            </w:pPr>
            <w:r w:rsidRPr="00961745">
              <w:t>35,483</w:t>
            </w:r>
          </w:p>
        </w:tc>
        <w:tc>
          <w:tcPr>
            <w:tcW w:w="1248" w:type="pct"/>
          </w:tcPr>
          <w:p w14:paraId="6172DE02" w14:textId="77777777" w:rsidR="0039064C" w:rsidRPr="00B6177D" w:rsidRDefault="0039064C" w:rsidP="0039064C">
            <w:pPr>
              <w:pStyle w:val="TableText"/>
            </w:pPr>
            <w:r w:rsidRPr="00B6177D">
              <w:t>PEQ husbandry fee – avian (fertile eggs)</w:t>
            </w:r>
          </w:p>
        </w:tc>
        <w:tc>
          <w:tcPr>
            <w:tcW w:w="656" w:type="pct"/>
          </w:tcPr>
          <w:p w14:paraId="0EBBE84B" w14:textId="77777777" w:rsidR="0039064C" w:rsidRPr="00B6177D" w:rsidRDefault="0039064C" w:rsidP="0039064C">
            <w:pPr>
              <w:pStyle w:val="TableText"/>
            </w:pPr>
            <w:r w:rsidRPr="00B6177D">
              <w:t>Per egg consignment per day</w:t>
            </w:r>
          </w:p>
        </w:tc>
        <w:tc>
          <w:tcPr>
            <w:tcW w:w="454" w:type="pct"/>
          </w:tcPr>
          <w:p w14:paraId="59CB387F" w14:textId="77777777" w:rsidR="0039064C" w:rsidRPr="00B6177D" w:rsidRDefault="0039064C" w:rsidP="0039064C">
            <w:pPr>
              <w:pStyle w:val="TableText"/>
              <w:jc w:val="right"/>
            </w:pPr>
            <w:r w:rsidRPr="00B6177D">
              <w:t>200</w:t>
            </w:r>
          </w:p>
        </w:tc>
        <w:tc>
          <w:tcPr>
            <w:tcW w:w="608" w:type="pct"/>
          </w:tcPr>
          <w:p w14:paraId="64434344" w14:textId="633DFC5C" w:rsidR="0039064C" w:rsidRPr="00B6177D" w:rsidRDefault="0039064C" w:rsidP="0039064C">
            <w:pPr>
              <w:pStyle w:val="TableText"/>
              <w:jc w:val="right"/>
            </w:pPr>
            <w:r w:rsidRPr="00455672">
              <w:t>783</w:t>
            </w:r>
          </w:p>
        </w:tc>
        <w:tc>
          <w:tcPr>
            <w:tcW w:w="681" w:type="pct"/>
          </w:tcPr>
          <w:p w14:paraId="03786D76" w14:textId="5C073F38" w:rsidR="0039064C" w:rsidRPr="00B6177D" w:rsidRDefault="0039064C" w:rsidP="0039064C">
            <w:pPr>
              <w:pStyle w:val="TableText"/>
              <w:jc w:val="right"/>
            </w:pPr>
            <w:r w:rsidRPr="00455672">
              <w:t>156,600</w:t>
            </w:r>
          </w:p>
        </w:tc>
      </w:tr>
      <w:tr w:rsidR="0039064C" w:rsidRPr="00B6177D" w14:paraId="532C3E5F" w14:textId="77777777" w:rsidTr="00CA5FCA">
        <w:tc>
          <w:tcPr>
            <w:tcW w:w="605" w:type="pct"/>
            <w:vMerge/>
          </w:tcPr>
          <w:p w14:paraId="6ACD86A0" w14:textId="77777777" w:rsidR="0039064C" w:rsidRPr="00B6177D" w:rsidRDefault="0039064C" w:rsidP="0039064C">
            <w:pPr>
              <w:pStyle w:val="TableText"/>
            </w:pPr>
          </w:p>
        </w:tc>
        <w:tc>
          <w:tcPr>
            <w:tcW w:w="748" w:type="pct"/>
          </w:tcPr>
          <w:p w14:paraId="69B28B8D" w14:textId="5AA9F22A" w:rsidR="0039064C" w:rsidRPr="00B6177D" w:rsidRDefault="0039064C" w:rsidP="0039064C">
            <w:pPr>
              <w:pStyle w:val="TableText"/>
              <w:jc w:val="right"/>
            </w:pPr>
            <w:r w:rsidRPr="00961745">
              <w:t>11,088</w:t>
            </w:r>
          </w:p>
        </w:tc>
        <w:tc>
          <w:tcPr>
            <w:tcW w:w="1248" w:type="pct"/>
          </w:tcPr>
          <w:p w14:paraId="01A0A1ED" w14:textId="77777777" w:rsidR="0039064C" w:rsidRPr="00B6177D" w:rsidRDefault="0039064C" w:rsidP="0039064C">
            <w:pPr>
              <w:pStyle w:val="TableText"/>
            </w:pPr>
            <w:r w:rsidRPr="00B6177D">
              <w:t>PEQ husbandry fee – avian (live birds)</w:t>
            </w:r>
          </w:p>
        </w:tc>
        <w:tc>
          <w:tcPr>
            <w:tcW w:w="656" w:type="pct"/>
          </w:tcPr>
          <w:p w14:paraId="0A70C4B0" w14:textId="77777777" w:rsidR="0039064C" w:rsidRPr="00B6177D" w:rsidRDefault="0039064C" w:rsidP="0039064C">
            <w:pPr>
              <w:pStyle w:val="TableText"/>
            </w:pPr>
            <w:r w:rsidRPr="00B6177D">
              <w:t>Per live bird consignment per day</w:t>
            </w:r>
          </w:p>
        </w:tc>
        <w:tc>
          <w:tcPr>
            <w:tcW w:w="454" w:type="pct"/>
          </w:tcPr>
          <w:p w14:paraId="23364146" w14:textId="77777777" w:rsidR="0039064C" w:rsidRPr="00B6177D" w:rsidRDefault="0039064C" w:rsidP="0039064C">
            <w:pPr>
              <w:pStyle w:val="TableText"/>
              <w:jc w:val="right"/>
            </w:pPr>
            <w:r w:rsidRPr="00B6177D">
              <w:t>150</w:t>
            </w:r>
          </w:p>
        </w:tc>
        <w:tc>
          <w:tcPr>
            <w:tcW w:w="608" w:type="pct"/>
          </w:tcPr>
          <w:p w14:paraId="7372D548" w14:textId="37F03A31" w:rsidR="0039064C" w:rsidRPr="00B6177D" w:rsidRDefault="0039064C" w:rsidP="0039064C">
            <w:pPr>
              <w:pStyle w:val="TableText"/>
              <w:jc w:val="right"/>
            </w:pPr>
            <w:r w:rsidRPr="00455672">
              <w:t>70</w:t>
            </w:r>
          </w:p>
        </w:tc>
        <w:tc>
          <w:tcPr>
            <w:tcW w:w="681" w:type="pct"/>
          </w:tcPr>
          <w:p w14:paraId="176D3238" w14:textId="15F53B1A" w:rsidR="0039064C" w:rsidRPr="00B6177D" w:rsidRDefault="0039064C" w:rsidP="0039064C">
            <w:pPr>
              <w:pStyle w:val="TableText"/>
              <w:jc w:val="right"/>
            </w:pPr>
            <w:r w:rsidRPr="00455672">
              <w:t>10,500</w:t>
            </w:r>
          </w:p>
        </w:tc>
      </w:tr>
      <w:tr w:rsidR="0039064C" w:rsidRPr="00B6177D" w14:paraId="03BA0ECC" w14:textId="77777777" w:rsidTr="00CA5FCA">
        <w:tc>
          <w:tcPr>
            <w:tcW w:w="605" w:type="pct"/>
            <w:vMerge/>
          </w:tcPr>
          <w:p w14:paraId="6361ACE8" w14:textId="77777777" w:rsidR="0039064C" w:rsidRPr="00B6177D" w:rsidRDefault="0039064C" w:rsidP="0039064C">
            <w:pPr>
              <w:pStyle w:val="TableText"/>
            </w:pPr>
          </w:p>
        </w:tc>
        <w:tc>
          <w:tcPr>
            <w:tcW w:w="748" w:type="pct"/>
          </w:tcPr>
          <w:p w14:paraId="35333DCA" w14:textId="0147F978" w:rsidR="0039064C" w:rsidRPr="00B6177D" w:rsidRDefault="0039064C" w:rsidP="0039064C">
            <w:pPr>
              <w:pStyle w:val="TableText"/>
              <w:jc w:val="right"/>
            </w:pPr>
            <w:r w:rsidRPr="00961745">
              <w:t>0</w:t>
            </w:r>
          </w:p>
        </w:tc>
        <w:tc>
          <w:tcPr>
            <w:tcW w:w="1248" w:type="pct"/>
          </w:tcPr>
          <w:p w14:paraId="09D62B61" w14:textId="77777777" w:rsidR="0039064C" w:rsidRPr="00B6177D" w:rsidRDefault="0039064C" w:rsidP="0039064C">
            <w:pPr>
              <w:pStyle w:val="TableText"/>
            </w:pPr>
            <w:r w:rsidRPr="00B6177D">
              <w:t>PEQ husbandry fee – bees</w:t>
            </w:r>
          </w:p>
        </w:tc>
        <w:tc>
          <w:tcPr>
            <w:tcW w:w="656" w:type="pct"/>
          </w:tcPr>
          <w:p w14:paraId="784AD62B" w14:textId="77777777" w:rsidR="0039064C" w:rsidRPr="00B6177D" w:rsidRDefault="0039064C" w:rsidP="0039064C">
            <w:pPr>
              <w:pStyle w:val="TableText"/>
            </w:pPr>
            <w:r w:rsidRPr="00B6177D">
              <w:t>Per bee consignment monthly</w:t>
            </w:r>
          </w:p>
        </w:tc>
        <w:tc>
          <w:tcPr>
            <w:tcW w:w="454" w:type="pct"/>
          </w:tcPr>
          <w:p w14:paraId="6A0716B8" w14:textId="77777777" w:rsidR="0039064C" w:rsidRPr="00B6177D" w:rsidRDefault="0039064C" w:rsidP="0039064C">
            <w:pPr>
              <w:pStyle w:val="TableText"/>
              <w:jc w:val="right"/>
            </w:pPr>
            <w:r w:rsidRPr="00B6177D">
              <w:t>280</w:t>
            </w:r>
          </w:p>
        </w:tc>
        <w:tc>
          <w:tcPr>
            <w:tcW w:w="608" w:type="pct"/>
          </w:tcPr>
          <w:p w14:paraId="2CFF8EA6" w14:textId="3657951B" w:rsidR="0039064C" w:rsidRPr="00B6177D" w:rsidRDefault="0039064C" w:rsidP="0039064C">
            <w:pPr>
              <w:pStyle w:val="TableText"/>
              <w:jc w:val="right"/>
            </w:pPr>
            <w:r w:rsidRPr="00455672">
              <w:t>0</w:t>
            </w:r>
          </w:p>
        </w:tc>
        <w:tc>
          <w:tcPr>
            <w:tcW w:w="681" w:type="pct"/>
          </w:tcPr>
          <w:p w14:paraId="63104F2B" w14:textId="58FFF6C3" w:rsidR="0039064C" w:rsidRPr="00B6177D" w:rsidRDefault="0039064C" w:rsidP="0039064C">
            <w:pPr>
              <w:pStyle w:val="TableText"/>
              <w:jc w:val="right"/>
            </w:pPr>
            <w:r w:rsidRPr="00455672">
              <w:t>0</w:t>
            </w:r>
          </w:p>
        </w:tc>
      </w:tr>
      <w:tr w:rsidR="0039064C" w:rsidRPr="00B6177D" w14:paraId="34DBEC6F" w14:textId="77777777" w:rsidTr="00CA5FCA">
        <w:tc>
          <w:tcPr>
            <w:tcW w:w="605" w:type="pct"/>
            <w:vMerge/>
          </w:tcPr>
          <w:p w14:paraId="13D66A59" w14:textId="77777777" w:rsidR="0039064C" w:rsidRPr="00B6177D" w:rsidRDefault="0039064C" w:rsidP="0039064C">
            <w:pPr>
              <w:pStyle w:val="TableText"/>
            </w:pPr>
          </w:p>
        </w:tc>
        <w:tc>
          <w:tcPr>
            <w:tcW w:w="748" w:type="pct"/>
          </w:tcPr>
          <w:p w14:paraId="23BAA1B0" w14:textId="6DBA8164" w:rsidR="0039064C" w:rsidRPr="00B6177D" w:rsidRDefault="0039064C" w:rsidP="0039064C">
            <w:pPr>
              <w:pStyle w:val="TableText"/>
              <w:jc w:val="right"/>
            </w:pPr>
            <w:r w:rsidRPr="00961745">
              <w:t>74,387</w:t>
            </w:r>
          </w:p>
        </w:tc>
        <w:tc>
          <w:tcPr>
            <w:tcW w:w="1248" w:type="pct"/>
          </w:tcPr>
          <w:p w14:paraId="49D9B01C" w14:textId="77777777" w:rsidR="0039064C" w:rsidRPr="00B6177D" w:rsidRDefault="0039064C" w:rsidP="0039064C">
            <w:pPr>
              <w:pStyle w:val="TableText"/>
            </w:pPr>
            <w:r w:rsidRPr="00B6177D">
              <w:t>PEQ husbandry fee – plants</w:t>
            </w:r>
          </w:p>
        </w:tc>
        <w:tc>
          <w:tcPr>
            <w:tcW w:w="656" w:type="pct"/>
          </w:tcPr>
          <w:p w14:paraId="3F45ED7A" w14:textId="77777777" w:rsidR="0039064C" w:rsidRPr="00B6177D" w:rsidRDefault="0039064C" w:rsidP="0039064C">
            <w:pPr>
              <w:pStyle w:val="TableText"/>
            </w:pPr>
            <w:r w:rsidRPr="00B6177D">
              <w:t>Per m</w:t>
            </w:r>
            <w:r w:rsidRPr="00A01FEB">
              <w:rPr>
                <w:vertAlign w:val="superscript"/>
              </w:rPr>
              <w:t>2</w:t>
            </w:r>
            <w:r w:rsidRPr="00B6177D">
              <w:t xml:space="preserve"> monthly</w:t>
            </w:r>
          </w:p>
        </w:tc>
        <w:tc>
          <w:tcPr>
            <w:tcW w:w="454" w:type="pct"/>
          </w:tcPr>
          <w:p w14:paraId="78B429D9" w14:textId="77777777" w:rsidR="0039064C" w:rsidRPr="00B6177D" w:rsidRDefault="0039064C" w:rsidP="0039064C">
            <w:pPr>
              <w:pStyle w:val="TableText"/>
              <w:jc w:val="right"/>
            </w:pPr>
            <w:r w:rsidRPr="00B6177D">
              <w:t>20</w:t>
            </w:r>
          </w:p>
        </w:tc>
        <w:tc>
          <w:tcPr>
            <w:tcW w:w="608" w:type="pct"/>
          </w:tcPr>
          <w:p w14:paraId="32B66371" w14:textId="1D4CA264" w:rsidR="0039064C" w:rsidRPr="00B6177D" w:rsidRDefault="0039064C" w:rsidP="0039064C">
            <w:pPr>
              <w:pStyle w:val="TableText"/>
              <w:jc w:val="right"/>
            </w:pPr>
            <w:r w:rsidRPr="00455672">
              <w:t>8,241</w:t>
            </w:r>
          </w:p>
        </w:tc>
        <w:tc>
          <w:tcPr>
            <w:tcW w:w="681" w:type="pct"/>
          </w:tcPr>
          <w:p w14:paraId="1A11B866" w14:textId="1FFEA1EF" w:rsidR="0039064C" w:rsidRPr="00B6177D" w:rsidRDefault="0039064C" w:rsidP="0039064C">
            <w:pPr>
              <w:pStyle w:val="TableText"/>
              <w:jc w:val="right"/>
            </w:pPr>
            <w:r w:rsidRPr="00455672">
              <w:t>164,820</w:t>
            </w:r>
          </w:p>
        </w:tc>
      </w:tr>
      <w:tr w:rsidR="0039064C" w:rsidRPr="00B6177D" w14:paraId="5EA88776" w14:textId="77777777" w:rsidTr="00CA5FCA">
        <w:tc>
          <w:tcPr>
            <w:tcW w:w="605" w:type="pct"/>
            <w:vMerge/>
          </w:tcPr>
          <w:p w14:paraId="740A2DD2" w14:textId="77777777" w:rsidR="0039064C" w:rsidRPr="00B6177D" w:rsidRDefault="0039064C" w:rsidP="0039064C">
            <w:pPr>
              <w:pStyle w:val="TableText"/>
            </w:pPr>
          </w:p>
        </w:tc>
        <w:tc>
          <w:tcPr>
            <w:tcW w:w="748" w:type="pct"/>
          </w:tcPr>
          <w:p w14:paraId="458CC6C7" w14:textId="32E18DD8" w:rsidR="0039064C" w:rsidRPr="00B6177D" w:rsidRDefault="0039064C" w:rsidP="0039064C">
            <w:pPr>
              <w:pStyle w:val="TableText"/>
              <w:jc w:val="right"/>
            </w:pPr>
            <w:r w:rsidRPr="00961745">
              <w:t>417,869</w:t>
            </w:r>
          </w:p>
        </w:tc>
        <w:tc>
          <w:tcPr>
            <w:tcW w:w="1248" w:type="pct"/>
          </w:tcPr>
          <w:p w14:paraId="44B292F0" w14:textId="77777777" w:rsidR="0039064C" w:rsidRPr="00B6177D" w:rsidRDefault="0039064C" w:rsidP="0039064C">
            <w:pPr>
              <w:pStyle w:val="TableText"/>
            </w:pPr>
            <w:r w:rsidRPr="00B6177D">
              <w:t>Diagnostic testing fee</w:t>
            </w:r>
          </w:p>
        </w:tc>
        <w:tc>
          <w:tcPr>
            <w:tcW w:w="656" w:type="pct"/>
          </w:tcPr>
          <w:p w14:paraId="11BBE871" w14:textId="77777777" w:rsidR="0039064C" w:rsidRPr="00B6177D" w:rsidRDefault="0039064C" w:rsidP="0039064C">
            <w:pPr>
              <w:pStyle w:val="TableText"/>
            </w:pPr>
            <w:r w:rsidRPr="00B6177D">
              <w:t>Per unit</w:t>
            </w:r>
          </w:p>
        </w:tc>
        <w:tc>
          <w:tcPr>
            <w:tcW w:w="454" w:type="pct"/>
          </w:tcPr>
          <w:p w14:paraId="70D0F610" w14:textId="71211B08" w:rsidR="0039064C" w:rsidRPr="00B6177D" w:rsidRDefault="0039064C" w:rsidP="0039064C">
            <w:pPr>
              <w:pStyle w:val="TableText"/>
              <w:jc w:val="right"/>
            </w:pPr>
            <w:r>
              <w:t>3</w:t>
            </w:r>
            <w:r w:rsidRPr="00B6177D">
              <w:t>0</w:t>
            </w:r>
          </w:p>
        </w:tc>
        <w:tc>
          <w:tcPr>
            <w:tcW w:w="608" w:type="pct"/>
          </w:tcPr>
          <w:p w14:paraId="1B7CBACD" w14:textId="683A8559" w:rsidR="0039064C" w:rsidRPr="00B6177D" w:rsidRDefault="0039064C" w:rsidP="0039064C">
            <w:pPr>
              <w:pStyle w:val="TableText"/>
              <w:jc w:val="right"/>
            </w:pPr>
            <w:r w:rsidRPr="00D40424">
              <w:t>26,000</w:t>
            </w:r>
          </w:p>
        </w:tc>
        <w:tc>
          <w:tcPr>
            <w:tcW w:w="681" w:type="pct"/>
          </w:tcPr>
          <w:p w14:paraId="1B170F09" w14:textId="24FB3F87" w:rsidR="0039064C" w:rsidRPr="00B6177D" w:rsidRDefault="0039064C" w:rsidP="0039064C">
            <w:pPr>
              <w:pStyle w:val="TableText"/>
              <w:jc w:val="right"/>
            </w:pPr>
            <w:r w:rsidRPr="002D7B18">
              <w:t>780,000</w:t>
            </w:r>
          </w:p>
        </w:tc>
      </w:tr>
      <w:tr w:rsidR="00260985" w:rsidRPr="00B6177D" w14:paraId="12ED5EF6" w14:textId="77777777" w:rsidTr="00CA5FCA">
        <w:tc>
          <w:tcPr>
            <w:tcW w:w="605" w:type="pct"/>
            <w:tcBorders>
              <w:bottom w:val="single" w:sz="12" w:space="0" w:color="auto"/>
            </w:tcBorders>
          </w:tcPr>
          <w:p w14:paraId="54AAE01A" w14:textId="6D55A309" w:rsidR="009F3898" w:rsidRPr="00056AD4" w:rsidRDefault="009F3898" w:rsidP="009F3898">
            <w:pPr>
              <w:pStyle w:val="TableText"/>
              <w:rPr>
                <w:rStyle w:val="Strong"/>
              </w:rPr>
            </w:pPr>
            <w:r w:rsidRPr="00056AD4">
              <w:rPr>
                <w:rStyle w:val="Strong"/>
              </w:rPr>
              <w:t>Totals</w:t>
            </w:r>
          </w:p>
        </w:tc>
        <w:tc>
          <w:tcPr>
            <w:tcW w:w="748" w:type="pct"/>
            <w:tcBorders>
              <w:bottom w:val="single" w:sz="12" w:space="0" w:color="auto"/>
            </w:tcBorders>
          </w:tcPr>
          <w:p w14:paraId="3A642B46" w14:textId="6BAF0668" w:rsidR="009F3898" w:rsidRPr="00056AD4" w:rsidRDefault="00260985" w:rsidP="009F3898">
            <w:pPr>
              <w:pStyle w:val="TableText"/>
              <w:jc w:val="right"/>
              <w:rPr>
                <w:rStyle w:val="Strong"/>
              </w:rPr>
            </w:pPr>
            <w:r>
              <w:rPr>
                <w:rStyle w:val="Strong"/>
              </w:rPr>
              <w:t>307,351,000</w:t>
            </w:r>
          </w:p>
        </w:tc>
        <w:tc>
          <w:tcPr>
            <w:tcW w:w="1248" w:type="pct"/>
            <w:tcBorders>
              <w:bottom w:val="single" w:sz="12" w:space="0" w:color="auto"/>
            </w:tcBorders>
          </w:tcPr>
          <w:p w14:paraId="2FDCF080" w14:textId="5DFC79BE" w:rsidR="009F3898" w:rsidRPr="00B6177D" w:rsidRDefault="009F3898" w:rsidP="009F3898">
            <w:pPr>
              <w:pStyle w:val="TableText"/>
            </w:pPr>
          </w:p>
        </w:tc>
        <w:tc>
          <w:tcPr>
            <w:tcW w:w="656" w:type="pct"/>
            <w:tcBorders>
              <w:bottom w:val="single" w:sz="12" w:space="0" w:color="auto"/>
            </w:tcBorders>
          </w:tcPr>
          <w:p w14:paraId="4A0330B2" w14:textId="39D7659C" w:rsidR="009F3898" w:rsidRPr="00B6177D" w:rsidRDefault="009F3898" w:rsidP="009F3898">
            <w:pPr>
              <w:pStyle w:val="TableText"/>
            </w:pPr>
          </w:p>
        </w:tc>
        <w:tc>
          <w:tcPr>
            <w:tcW w:w="454" w:type="pct"/>
            <w:tcBorders>
              <w:bottom w:val="single" w:sz="12" w:space="0" w:color="auto"/>
            </w:tcBorders>
          </w:tcPr>
          <w:p w14:paraId="77700077" w14:textId="1761E79E" w:rsidR="009F3898" w:rsidRPr="00B6177D" w:rsidRDefault="009F3898" w:rsidP="009F3898">
            <w:pPr>
              <w:pStyle w:val="TableText"/>
              <w:jc w:val="right"/>
            </w:pPr>
          </w:p>
        </w:tc>
        <w:tc>
          <w:tcPr>
            <w:tcW w:w="608" w:type="pct"/>
            <w:tcBorders>
              <w:bottom w:val="single" w:sz="12" w:space="0" w:color="auto"/>
            </w:tcBorders>
          </w:tcPr>
          <w:p w14:paraId="1ECED356" w14:textId="21FF58FD" w:rsidR="009F3898" w:rsidRPr="00B6177D" w:rsidRDefault="009F3898" w:rsidP="009F3898">
            <w:pPr>
              <w:pStyle w:val="TableText"/>
              <w:jc w:val="right"/>
            </w:pPr>
          </w:p>
        </w:tc>
        <w:tc>
          <w:tcPr>
            <w:tcW w:w="681" w:type="pct"/>
            <w:tcBorders>
              <w:bottom w:val="single" w:sz="12" w:space="0" w:color="auto"/>
            </w:tcBorders>
          </w:tcPr>
          <w:p w14:paraId="7F8E58B0" w14:textId="245099A1" w:rsidR="009F3898" w:rsidRPr="00056AD4" w:rsidRDefault="00FB209A" w:rsidP="009F3898">
            <w:pPr>
              <w:pStyle w:val="TableText"/>
              <w:jc w:val="right"/>
              <w:rPr>
                <w:rStyle w:val="Strong"/>
              </w:rPr>
            </w:pPr>
            <w:r>
              <w:rPr>
                <w:rStyle w:val="Strong"/>
              </w:rPr>
              <w:t>297,710,066</w:t>
            </w:r>
          </w:p>
        </w:tc>
      </w:tr>
    </w:tbl>
    <w:p w14:paraId="6A720C08" w14:textId="19ACE722" w:rsidR="00AA4A78" w:rsidRPr="008B152D" w:rsidRDefault="00056AD4" w:rsidP="00AA4A78">
      <w:pPr>
        <w:pStyle w:val="Heading3"/>
        <w:spacing w:before="120"/>
      </w:pPr>
      <w:bookmarkStart w:id="43" w:name="_Toc119313394"/>
      <w:r w:rsidRPr="008B152D">
        <w:lastRenderedPageBreak/>
        <w:t>Projected cost base for 202</w:t>
      </w:r>
      <w:r w:rsidR="00EE3B48">
        <w:t>2</w:t>
      </w:r>
      <w:r w:rsidRPr="008B152D">
        <w:t>–2</w:t>
      </w:r>
      <w:r w:rsidR="00EE3B48">
        <w:t>3</w:t>
      </w:r>
      <w:bookmarkEnd w:id="43"/>
    </w:p>
    <w:p w14:paraId="0E31F0DE" w14:textId="1316AC44" w:rsidR="00056AD4" w:rsidRPr="008B152D" w:rsidRDefault="00056AD4" w:rsidP="00056AD4">
      <w:r w:rsidRPr="008B152D">
        <w:t>The cost base for the biosecurity regulatory charging arrangement i</w:t>
      </w:r>
      <w:r w:rsidR="00EE3B48">
        <w:t>n 2022</w:t>
      </w:r>
      <w:r w:rsidR="004126CB">
        <w:t>–</w:t>
      </w:r>
      <w:r w:rsidR="00EE3B48">
        <w:t xml:space="preserve">23 is projected to </w:t>
      </w:r>
      <w:r w:rsidR="00C922F1">
        <w:t xml:space="preserve">be </w:t>
      </w:r>
      <w:r w:rsidR="00C922F1" w:rsidRPr="008B152D">
        <w:t>$</w:t>
      </w:r>
      <w:r w:rsidR="00362834" w:rsidRPr="008B152D">
        <w:t>3</w:t>
      </w:r>
      <w:r w:rsidR="00EE3B48">
        <w:t>07.4</w:t>
      </w:r>
      <w:r w:rsidRPr="008B152D">
        <w:t> million. This is made up of:</w:t>
      </w:r>
    </w:p>
    <w:p w14:paraId="2CF238D6" w14:textId="4877523B" w:rsidR="00056AD4" w:rsidRPr="008B152D" w:rsidRDefault="00056AD4" w:rsidP="00056AD4">
      <w:pPr>
        <w:pStyle w:val="ListBullet"/>
      </w:pPr>
      <w:r w:rsidRPr="008B152D">
        <w:t>$</w:t>
      </w:r>
      <w:r w:rsidR="00362834" w:rsidRPr="008B152D">
        <w:t xml:space="preserve"> </w:t>
      </w:r>
      <w:r w:rsidR="00EE3B48" w:rsidRPr="008B152D">
        <w:t>22</w:t>
      </w:r>
      <w:r w:rsidR="00EE3B48">
        <w:t>0</w:t>
      </w:r>
      <w:r w:rsidR="00362834" w:rsidRPr="008B152D">
        <w:t>.</w:t>
      </w:r>
      <w:r w:rsidR="00EE3B48">
        <w:t>6</w:t>
      </w:r>
      <w:r w:rsidR="00362834" w:rsidRPr="008B152D">
        <w:t xml:space="preserve"> </w:t>
      </w:r>
      <w:r w:rsidRPr="008B152D">
        <w:t xml:space="preserve">million in </w:t>
      </w:r>
      <w:r w:rsidR="006A2234" w:rsidRPr="008B152D">
        <w:t>charge</w:t>
      </w:r>
      <w:r w:rsidRPr="008B152D">
        <w:t>-related activities</w:t>
      </w:r>
    </w:p>
    <w:p w14:paraId="08D7CC08" w14:textId="53A0934F" w:rsidR="00056AD4" w:rsidRPr="008B152D" w:rsidRDefault="00056AD4" w:rsidP="00056AD4">
      <w:pPr>
        <w:pStyle w:val="ListBullet"/>
      </w:pPr>
      <w:r w:rsidRPr="008B152D">
        <w:t>$</w:t>
      </w:r>
      <w:r w:rsidR="00362834" w:rsidRPr="008B152D">
        <w:t xml:space="preserve"> 8</w:t>
      </w:r>
      <w:r w:rsidR="0094337D">
        <w:t>6</w:t>
      </w:r>
      <w:r w:rsidR="00362834" w:rsidRPr="008B152D">
        <w:t>.</w:t>
      </w:r>
      <w:r w:rsidR="0094337D">
        <w:t>7</w:t>
      </w:r>
      <w:r w:rsidR="00362834" w:rsidRPr="008B152D">
        <w:t xml:space="preserve"> </w:t>
      </w:r>
      <w:r w:rsidRPr="008B152D">
        <w:t>million in fee-related activities.</w:t>
      </w:r>
    </w:p>
    <w:p w14:paraId="54E6DCCA" w14:textId="00A0EA9B" w:rsidR="00056AD4" w:rsidRPr="008B152D" w:rsidRDefault="00540815" w:rsidP="00056AD4">
      <w:r w:rsidRPr="008B152D">
        <w:fldChar w:fldCharType="begin"/>
      </w:r>
      <w:r w:rsidRPr="008B152D">
        <w:instrText xml:space="preserve"> REF _Ref77251022 \h </w:instrText>
      </w:r>
      <w:r w:rsidR="008B152D">
        <w:instrText xml:space="preserve"> \* MERGEFORMAT </w:instrText>
      </w:r>
      <w:r w:rsidRPr="008B152D">
        <w:fldChar w:fldCharType="separate"/>
      </w:r>
      <w:r w:rsidR="0033587A" w:rsidRPr="0094337D">
        <w:t xml:space="preserve">Table </w:t>
      </w:r>
      <w:r w:rsidR="0033587A">
        <w:rPr>
          <w:noProof/>
        </w:rPr>
        <w:t>3</w:t>
      </w:r>
      <w:r w:rsidRPr="008B152D">
        <w:fldChar w:fldCharType="end"/>
      </w:r>
      <w:r w:rsidR="00056AD4" w:rsidRPr="008B152D">
        <w:t xml:space="preserve"> provides a breakdown of </w:t>
      </w:r>
      <w:r w:rsidR="00FC2FED" w:rsidRPr="008B152D">
        <w:t xml:space="preserve">the </w:t>
      </w:r>
      <w:r w:rsidR="00056AD4" w:rsidRPr="008B152D">
        <w:t xml:space="preserve">modelled cost base of the biosecurity regulatory charging </w:t>
      </w:r>
      <w:r w:rsidR="00550BCA" w:rsidRPr="008B152D">
        <w:t>type by</w:t>
      </w:r>
      <w:r w:rsidR="00056AD4" w:rsidRPr="008B152D">
        <w:t xml:space="preserve"> activity</w:t>
      </w:r>
      <w:r w:rsidR="00550BCA" w:rsidRPr="008B152D">
        <w:t xml:space="preserve">. </w:t>
      </w:r>
      <w:r w:rsidR="00056AD4" w:rsidRPr="008B152D">
        <w:t xml:space="preserve">For a detailed description of cost activities, see </w:t>
      </w:r>
      <w:hyperlink w:anchor="_Appendix_B:_Description" w:history="1">
        <w:r w:rsidR="00550BCA" w:rsidRPr="008B152D">
          <w:rPr>
            <w:rStyle w:val="Hyperlink"/>
          </w:rPr>
          <w:t>Appendix B</w:t>
        </w:r>
      </w:hyperlink>
      <w:r w:rsidR="00056AD4" w:rsidRPr="008B152D">
        <w:t xml:space="preserve">. The methodology for attributing costs to these activities is provided in </w:t>
      </w:r>
      <w:hyperlink w:anchor="_Regulatory_charging_model" w:history="1">
        <w:r w:rsidR="00056AD4" w:rsidRPr="008B152D">
          <w:rPr>
            <w:rStyle w:val="Hyperlink"/>
          </w:rPr>
          <w:t>section 3</w:t>
        </w:r>
      </w:hyperlink>
      <w:r w:rsidR="00056AD4" w:rsidRPr="008B152D">
        <w:t>.</w:t>
      </w:r>
    </w:p>
    <w:p w14:paraId="1953A172" w14:textId="5224F7DD" w:rsidR="00540815" w:rsidRPr="0094337D" w:rsidRDefault="00540815" w:rsidP="00540815">
      <w:pPr>
        <w:pStyle w:val="Caption"/>
      </w:pPr>
      <w:bookmarkStart w:id="44" w:name="_Ref77251022"/>
      <w:bookmarkStart w:id="45" w:name="_Toc113262180"/>
      <w:r w:rsidRPr="0094337D">
        <w:t xml:space="preserve">Table </w:t>
      </w:r>
      <w:r w:rsidR="003C1A72">
        <w:fldChar w:fldCharType="begin"/>
      </w:r>
      <w:r w:rsidR="003C1A72">
        <w:instrText xml:space="preserve"> SEQ Table \* ARABIC </w:instrText>
      </w:r>
      <w:r w:rsidR="003C1A72">
        <w:fldChar w:fldCharType="separate"/>
      </w:r>
      <w:r w:rsidR="0033587A">
        <w:rPr>
          <w:noProof/>
        </w:rPr>
        <w:t>3</w:t>
      </w:r>
      <w:r w:rsidR="003C1A72">
        <w:rPr>
          <w:noProof/>
        </w:rPr>
        <w:fldChar w:fldCharType="end"/>
      </w:r>
      <w:bookmarkEnd w:id="44"/>
      <w:r w:rsidRPr="0094337D">
        <w:t xml:space="preserve"> Cost type breakdown for biosecurity arrangement</w:t>
      </w:r>
      <w:bookmarkEnd w:id="45"/>
    </w:p>
    <w:tbl>
      <w:tblPr>
        <w:tblStyle w:val="TableGrid"/>
        <w:tblW w:w="5079" w:type="pct"/>
        <w:tblBorders>
          <w:left w:val="none" w:sz="0" w:space="0" w:color="auto"/>
          <w:right w:val="none" w:sz="0" w:space="0" w:color="auto"/>
          <w:insideV w:val="none" w:sz="0" w:space="0" w:color="auto"/>
        </w:tblBorders>
        <w:tblLook w:val="04A0" w:firstRow="1" w:lastRow="0" w:firstColumn="1" w:lastColumn="0" w:noHBand="0" w:noVBand="1"/>
      </w:tblPr>
      <w:tblGrid>
        <w:gridCol w:w="1996"/>
        <w:gridCol w:w="2095"/>
        <w:gridCol w:w="2677"/>
        <w:gridCol w:w="2445"/>
      </w:tblGrid>
      <w:tr w:rsidR="00540815" w:rsidRPr="0094337D" w14:paraId="7CB9387B" w14:textId="77777777" w:rsidTr="001849F6">
        <w:trPr>
          <w:cantSplit/>
          <w:tblHeader/>
        </w:trPr>
        <w:tc>
          <w:tcPr>
            <w:tcW w:w="1083" w:type="pct"/>
          </w:tcPr>
          <w:p w14:paraId="42A8895C" w14:textId="77777777" w:rsidR="00540815" w:rsidRPr="0094337D" w:rsidRDefault="00540815" w:rsidP="00540815">
            <w:pPr>
              <w:pStyle w:val="TableHeading"/>
            </w:pPr>
            <w:bookmarkStart w:id="46" w:name="Title_3"/>
            <w:bookmarkEnd w:id="46"/>
            <w:r w:rsidRPr="0094337D">
              <w:t>Charge type</w:t>
            </w:r>
          </w:p>
        </w:tc>
        <w:tc>
          <w:tcPr>
            <w:tcW w:w="1137" w:type="pct"/>
          </w:tcPr>
          <w:p w14:paraId="56AA7273" w14:textId="77777777" w:rsidR="00540815" w:rsidRPr="0094337D" w:rsidRDefault="00540815" w:rsidP="00540815">
            <w:pPr>
              <w:pStyle w:val="TableHeading"/>
            </w:pPr>
            <w:r w:rsidRPr="0094337D">
              <w:t>Activity group</w:t>
            </w:r>
          </w:p>
        </w:tc>
        <w:tc>
          <w:tcPr>
            <w:tcW w:w="1453" w:type="pct"/>
          </w:tcPr>
          <w:p w14:paraId="63F5926C" w14:textId="77777777" w:rsidR="00540815" w:rsidRPr="0094337D" w:rsidRDefault="00540815" w:rsidP="00540815">
            <w:pPr>
              <w:pStyle w:val="TableHeading"/>
            </w:pPr>
            <w:r w:rsidRPr="0094337D">
              <w:t>Activity</w:t>
            </w:r>
          </w:p>
        </w:tc>
        <w:tc>
          <w:tcPr>
            <w:tcW w:w="1327" w:type="pct"/>
          </w:tcPr>
          <w:p w14:paraId="5EFF219C" w14:textId="77777777" w:rsidR="00540815" w:rsidRPr="0094337D" w:rsidRDefault="00540815" w:rsidP="00540815">
            <w:pPr>
              <w:pStyle w:val="TableHeading"/>
              <w:jc w:val="right"/>
            </w:pPr>
            <w:r w:rsidRPr="0094337D">
              <w:t>Expense ($)</w:t>
            </w:r>
          </w:p>
        </w:tc>
      </w:tr>
      <w:tr w:rsidR="00D44029" w:rsidRPr="0094337D" w14:paraId="08204346" w14:textId="77777777" w:rsidTr="001849F6">
        <w:tc>
          <w:tcPr>
            <w:tcW w:w="1083" w:type="pct"/>
            <w:vMerge w:val="restart"/>
          </w:tcPr>
          <w:p w14:paraId="68B8CC94" w14:textId="77777777" w:rsidR="00D44029" w:rsidRPr="0094337D" w:rsidRDefault="00D44029" w:rsidP="00D44029">
            <w:pPr>
              <w:pStyle w:val="TableText"/>
            </w:pPr>
            <w:r w:rsidRPr="0094337D">
              <w:t>Charges</w:t>
            </w:r>
          </w:p>
        </w:tc>
        <w:tc>
          <w:tcPr>
            <w:tcW w:w="1137" w:type="pct"/>
            <w:vMerge w:val="restart"/>
          </w:tcPr>
          <w:p w14:paraId="148D3A63" w14:textId="77777777" w:rsidR="00D44029" w:rsidRPr="0094337D" w:rsidRDefault="00D44029" w:rsidP="00D44029">
            <w:pPr>
              <w:pStyle w:val="TableText"/>
            </w:pPr>
            <w:r w:rsidRPr="0094337D">
              <w:t>Program management and administration</w:t>
            </w:r>
          </w:p>
        </w:tc>
        <w:tc>
          <w:tcPr>
            <w:tcW w:w="1453" w:type="pct"/>
          </w:tcPr>
          <w:p w14:paraId="09059BAB" w14:textId="77777777" w:rsidR="00D44029" w:rsidRPr="0094337D" w:rsidRDefault="00D44029" w:rsidP="00D44029">
            <w:pPr>
              <w:pStyle w:val="TableText"/>
            </w:pPr>
            <w:r w:rsidRPr="0094337D">
              <w:t>Workforce and business administration</w:t>
            </w:r>
          </w:p>
        </w:tc>
        <w:tc>
          <w:tcPr>
            <w:tcW w:w="1327" w:type="pct"/>
          </w:tcPr>
          <w:p w14:paraId="3731AF56" w14:textId="29293A7E" w:rsidR="00D44029" w:rsidRPr="0094337D" w:rsidRDefault="00D44029" w:rsidP="00D44029">
            <w:pPr>
              <w:pStyle w:val="TableText"/>
              <w:jc w:val="right"/>
            </w:pPr>
            <w:r w:rsidRPr="00820C8F">
              <w:t>133,158,909</w:t>
            </w:r>
          </w:p>
        </w:tc>
      </w:tr>
      <w:tr w:rsidR="00D44029" w:rsidRPr="0094337D" w14:paraId="050CD373" w14:textId="77777777" w:rsidTr="001849F6">
        <w:tc>
          <w:tcPr>
            <w:tcW w:w="1083" w:type="pct"/>
            <w:vMerge/>
          </w:tcPr>
          <w:p w14:paraId="58C17D6A" w14:textId="77777777" w:rsidR="00D44029" w:rsidRPr="0094337D" w:rsidRDefault="00D44029" w:rsidP="00D44029">
            <w:pPr>
              <w:pStyle w:val="TableText"/>
            </w:pPr>
          </w:p>
        </w:tc>
        <w:tc>
          <w:tcPr>
            <w:tcW w:w="1137" w:type="pct"/>
            <w:vMerge/>
          </w:tcPr>
          <w:p w14:paraId="11F53310" w14:textId="77777777" w:rsidR="00D44029" w:rsidRPr="0094337D" w:rsidRDefault="00D44029" w:rsidP="00D44029">
            <w:pPr>
              <w:pStyle w:val="TableText"/>
            </w:pPr>
          </w:p>
        </w:tc>
        <w:tc>
          <w:tcPr>
            <w:tcW w:w="1453" w:type="pct"/>
          </w:tcPr>
          <w:p w14:paraId="06B4A157" w14:textId="77777777" w:rsidR="00D44029" w:rsidRPr="0094337D" w:rsidRDefault="00D44029" w:rsidP="00D44029">
            <w:pPr>
              <w:pStyle w:val="TableText"/>
            </w:pPr>
            <w:r w:rsidRPr="0094337D">
              <w:t>Business system administration</w:t>
            </w:r>
          </w:p>
        </w:tc>
        <w:tc>
          <w:tcPr>
            <w:tcW w:w="1327" w:type="pct"/>
          </w:tcPr>
          <w:p w14:paraId="5A9E46BE" w14:textId="2D932BC7" w:rsidR="00D44029" w:rsidRPr="0094337D" w:rsidRDefault="00D44029" w:rsidP="00D44029">
            <w:pPr>
              <w:pStyle w:val="TableText"/>
              <w:jc w:val="right"/>
            </w:pPr>
            <w:r w:rsidRPr="00820C8F">
              <w:t>5,245,655</w:t>
            </w:r>
          </w:p>
        </w:tc>
      </w:tr>
      <w:tr w:rsidR="00D44029" w:rsidRPr="0094337D" w14:paraId="3E139E66" w14:textId="77777777" w:rsidTr="001849F6">
        <w:tc>
          <w:tcPr>
            <w:tcW w:w="1083" w:type="pct"/>
            <w:vMerge/>
          </w:tcPr>
          <w:p w14:paraId="58188FE2" w14:textId="77777777" w:rsidR="00D44029" w:rsidRPr="0094337D" w:rsidRDefault="00D44029" w:rsidP="00D44029">
            <w:pPr>
              <w:pStyle w:val="TableText"/>
            </w:pPr>
          </w:p>
        </w:tc>
        <w:tc>
          <w:tcPr>
            <w:tcW w:w="1137" w:type="pct"/>
            <w:vMerge/>
          </w:tcPr>
          <w:p w14:paraId="4154B847" w14:textId="77777777" w:rsidR="00D44029" w:rsidRPr="0094337D" w:rsidRDefault="00D44029" w:rsidP="00D44029">
            <w:pPr>
              <w:pStyle w:val="TableText"/>
            </w:pPr>
          </w:p>
        </w:tc>
        <w:tc>
          <w:tcPr>
            <w:tcW w:w="1453" w:type="pct"/>
          </w:tcPr>
          <w:p w14:paraId="6A2E5A33" w14:textId="77777777" w:rsidR="00D44029" w:rsidRPr="0094337D" w:rsidRDefault="00D44029" w:rsidP="00D44029">
            <w:pPr>
              <w:pStyle w:val="TableText"/>
            </w:pPr>
            <w:r w:rsidRPr="0094337D">
              <w:t>Stakeholder engagement</w:t>
            </w:r>
          </w:p>
        </w:tc>
        <w:tc>
          <w:tcPr>
            <w:tcW w:w="1327" w:type="pct"/>
          </w:tcPr>
          <w:p w14:paraId="0F4751A3" w14:textId="4EEB3CA0" w:rsidR="00D44029" w:rsidRPr="0094337D" w:rsidRDefault="00D44029" w:rsidP="00D44029">
            <w:pPr>
              <w:pStyle w:val="TableText"/>
              <w:jc w:val="right"/>
            </w:pPr>
            <w:r w:rsidRPr="00820C8F">
              <w:t>10,348,414</w:t>
            </w:r>
          </w:p>
        </w:tc>
      </w:tr>
      <w:tr w:rsidR="00D44029" w:rsidRPr="0094337D" w14:paraId="01E66602" w14:textId="77777777" w:rsidTr="001849F6">
        <w:tc>
          <w:tcPr>
            <w:tcW w:w="1083" w:type="pct"/>
            <w:vMerge/>
          </w:tcPr>
          <w:p w14:paraId="11B09423" w14:textId="77777777" w:rsidR="00D44029" w:rsidRPr="0094337D" w:rsidRDefault="00D44029" w:rsidP="00D44029">
            <w:pPr>
              <w:pStyle w:val="TableText"/>
            </w:pPr>
          </w:p>
        </w:tc>
        <w:tc>
          <w:tcPr>
            <w:tcW w:w="1137" w:type="pct"/>
            <w:vMerge/>
          </w:tcPr>
          <w:p w14:paraId="3E2FB777" w14:textId="77777777" w:rsidR="00D44029" w:rsidRPr="0094337D" w:rsidRDefault="00D44029" w:rsidP="00D44029">
            <w:pPr>
              <w:pStyle w:val="TableText"/>
            </w:pPr>
          </w:p>
        </w:tc>
        <w:tc>
          <w:tcPr>
            <w:tcW w:w="1453" w:type="pct"/>
          </w:tcPr>
          <w:p w14:paraId="479E2546" w14:textId="77777777" w:rsidR="00D44029" w:rsidRPr="0094337D" w:rsidRDefault="00D44029" w:rsidP="00D44029">
            <w:pPr>
              <w:pStyle w:val="TableText"/>
            </w:pPr>
            <w:r w:rsidRPr="0094337D">
              <w:t>Policy and instructional material</w:t>
            </w:r>
          </w:p>
        </w:tc>
        <w:tc>
          <w:tcPr>
            <w:tcW w:w="1327" w:type="pct"/>
          </w:tcPr>
          <w:p w14:paraId="1908CE7E" w14:textId="5405595D" w:rsidR="00D44029" w:rsidRPr="0094337D" w:rsidRDefault="00D44029" w:rsidP="00D44029">
            <w:pPr>
              <w:pStyle w:val="TableText"/>
              <w:jc w:val="right"/>
            </w:pPr>
            <w:r w:rsidRPr="00820C8F">
              <w:t>18,320,403</w:t>
            </w:r>
          </w:p>
        </w:tc>
      </w:tr>
      <w:tr w:rsidR="00D44029" w:rsidRPr="0094337D" w14:paraId="6E6AF03C" w14:textId="77777777" w:rsidTr="001849F6">
        <w:tc>
          <w:tcPr>
            <w:tcW w:w="1083" w:type="pct"/>
            <w:vMerge/>
          </w:tcPr>
          <w:p w14:paraId="7EE410F9" w14:textId="77777777" w:rsidR="00D44029" w:rsidRPr="0094337D" w:rsidRDefault="00D44029" w:rsidP="00D44029">
            <w:pPr>
              <w:pStyle w:val="TableText"/>
            </w:pPr>
          </w:p>
        </w:tc>
        <w:tc>
          <w:tcPr>
            <w:tcW w:w="1137" w:type="pct"/>
            <w:vMerge/>
          </w:tcPr>
          <w:p w14:paraId="0E6C0DC8" w14:textId="77777777" w:rsidR="00D44029" w:rsidRPr="0094337D" w:rsidRDefault="00D44029" w:rsidP="00D44029">
            <w:pPr>
              <w:pStyle w:val="TableText"/>
            </w:pPr>
          </w:p>
        </w:tc>
        <w:tc>
          <w:tcPr>
            <w:tcW w:w="1453" w:type="pct"/>
          </w:tcPr>
          <w:p w14:paraId="62597CA8" w14:textId="77777777" w:rsidR="00D44029" w:rsidRPr="0094337D" w:rsidRDefault="00D44029" w:rsidP="00D44029">
            <w:pPr>
              <w:pStyle w:val="TableText"/>
            </w:pPr>
            <w:r w:rsidRPr="0094337D">
              <w:t>Business improvement</w:t>
            </w:r>
          </w:p>
        </w:tc>
        <w:tc>
          <w:tcPr>
            <w:tcW w:w="1327" w:type="pct"/>
          </w:tcPr>
          <w:p w14:paraId="1E10326B" w14:textId="3FC0303F" w:rsidR="00D44029" w:rsidRPr="0094337D" w:rsidRDefault="00D44029" w:rsidP="00D44029">
            <w:pPr>
              <w:pStyle w:val="TableText"/>
              <w:jc w:val="right"/>
            </w:pPr>
            <w:r w:rsidRPr="00820C8F">
              <w:t>5,971,359</w:t>
            </w:r>
          </w:p>
        </w:tc>
      </w:tr>
      <w:tr w:rsidR="00D44029" w:rsidRPr="0094337D" w14:paraId="1C4DB175" w14:textId="77777777" w:rsidTr="001849F6">
        <w:tc>
          <w:tcPr>
            <w:tcW w:w="1083" w:type="pct"/>
            <w:vMerge/>
          </w:tcPr>
          <w:p w14:paraId="178F24F0" w14:textId="77777777" w:rsidR="00D44029" w:rsidRPr="0094337D" w:rsidRDefault="00D44029" w:rsidP="00D44029">
            <w:pPr>
              <w:pStyle w:val="TableText"/>
            </w:pPr>
          </w:p>
        </w:tc>
        <w:tc>
          <w:tcPr>
            <w:tcW w:w="1137" w:type="pct"/>
            <w:vMerge/>
          </w:tcPr>
          <w:p w14:paraId="6988B778" w14:textId="77777777" w:rsidR="00D44029" w:rsidRPr="0094337D" w:rsidRDefault="00D44029" w:rsidP="00D44029">
            <w:pPr>
              <w:pStyle w:val="TableText"/>
            </w:pPr>
          </w:p>
        </w:tc>
        <w:tc>
          <w:tcPr>
            <w:tcW w:w="1453" w:type="pct"/>
          </w:tcPr>
          <w:p w14:paraId="3CF35DD8" w14:textId="77777777" w:rsidR="00D44029" w:rsidRPr="0094337D" w:rsidRDefault="00D44029" w:rsidP="00D44029">
            <w:pPr>
              <w:pStyle w:val="TableText"/>
              <w:rPr>
                <w:rStyle w:val="Strong"/>
              </w:rPr>
            </w:pPr>
            <w:r w:rsidRPr="0094337D">
              <w:rPr>
                <w:rStyle w:val="Strong"/>
              </w:rPr>
              <w:t>Subtotal</w:t>
            </w:r>
          </w:p>
        </w:tc>
        <w:tc>
          <w:tcPr>
            <w:tcW w:w="1327" w:type="pct"/>
          </w:tcPr>
          <w:p w14:paraId="5F640CD8" w14:textId="00DE56E7" w:rsidR="00D44029" w:rsidRPr="00D44029" w:rsidRDefault="00D44029" w:rsidP="00D44029">
            <w:pPr>
              <w:pStyle w:val="TableText"/>
              <w:jc w:val="right"/>
              <w:rPr>
                <w:rStyle w:val="Strong"/>
                <w:b w:val="0"/>
                <w:bCs w:val="0"/>
              </w:rPr>
            </w:pPr>
            <w:r w:rsidRPr="00D44029">
              <w:rPr>
                <w:b/>
                <w:bCs/>
              </w:rPr>
              <w:t>173,044,740</w:t>
            </w:r>
          </w:p>
        </w:tc>
      </w:tr>
      <w:tr w:rsidR="00D44029" w:rsidRPr="0094337D" w14:paraId="46BAC4AE" w14:textId="77777777" w:rsidTr="001849F6">
        <w:tc>
          <w:tcPr>
            <w:tcW w:w="1083" w:type="pct"/>
            <w:vMerge/>
          </w:tcPr>
          <w:p w14:paraId="6B9D9A10" w14:textId="77777777" w:rsidR="00D44029" w:rsidRPr="0094337D" w:rsidRDefault="00D44029" w:rsidP="00D44029">
            <w:pPr>
              <w:pStyle w:val="TableText"/>
            </w:pPr>
          </w:p>
        </w:tc>
        <w:tc>
          <w:tcPr>
            <w:tcW w:w="1137" w:type="pct"/>
            <w:vMerge w:val="restart"/>
          </w:tcPr>
          <w:p w14:paraId="182C395F" w14:textId="77777777" w:rsidR="00D44029" w:rsidRPr="0094337D" w:rsidRDefault="00D44029" w:rsidP="00D44029">
            <w:pPr>
              <w:pStyle w:val="TableText"/>
            </w:pPr>
            <w:r w:rsidRPr="0094337D">
              <w:t>Assurance</w:t>
            </w:r>
          </w:p>
        </w:tc>
        <w:tc>
          <w:tcPr>
            <w:tcW w:w="1453" w:type="pct"/>
          </w:tcPr>
          <w:p w14:paraId="73A1B82B" w14:textId="77777777" w:rsidR="00D44029" w:rsidRPr="0094337D" w:rsidRDefault="00D44029" w:rsidP="00D44029">
            <w:pPr>
              <w:pStyle w:val="TableText"/>
            </w:pPr>
            <w:r w:rsidRPr="0094337D">
              <w:t>Risk management</w:t>
            </w:r>
          </w:p>
        </w:tc>
        <w:tc>
          <w:tcPr>
            <w:tcW w:w="1327" w:type="pct"/>
          </w:tcPr>
          <w:p w14:paraId="1E232E7A" w14:textId="1209ECAA" w:rsidR="00D44029" w:rsidRPr="0094337D" w:rsidRDefault="00D44029" w:rsidP="00D44029">
            <w:pPr>
              <w:pStyle w:val="TableText"/>
              <w:jc w:val="right"/>
            </w:pPr>
            <w:r w:rsidRPr="00D34583">
              <w:t>21,896,468</w:t>
            </w:r>
          </w:p>
        </w:tc>
      </w:tr>
      <w:tr w:rsidR="00D44029" w:rsidRPr="0094337D" w14:paraId="5C163B5C" w14:textId="77777777" w:rsidTr="001849F6">
        <w:tc>
          <w:tcPr>
            <w:tcW w:w="1083" w:type="pct"/>
            <w:vMerge/>
          </w:tcPr>
          <w:p w14:paraId="06181032" w14:textId="77777777" w:rsidR="00D44029" w:rsidRPr="0094337D" w:rsidRDefault="00D44029" w:rsidP="00D44029">
            <w:pPr>
              <w:pStyle w:val="TableText"/>
            </w:pPr>
          </w:p>
        </w:tc>
        <w:tc>
          <w:tcPr>
            <w:tcW w:w="1137" w:type="pct"/>
            <w:vMerge/>
          </w:tcPr>
          <w:p w14:paraId="6431FE7E" w14:textId="77777777" w:rsidR="00D44029" w:rsidRPr="0094337D" w:rsidRDefault="00D44029" w:rsidP="00D44029">
            <w:pPr>
              <w:pStyle w:val="TableText"/>
            </w:pPr>
          </w:p>
        </w:tc>
        <w:tc>
          <w:tcPr>
            <w:tcW w:w="1453" w:type="pct"/>
          </w:tcPr>
          <w:p w14:paraId="6CFD07AE" w14:textId="77777777" w:rsidR="00D44029" w:rsidRPr="0094337D" w:rsidRDefault="00D44029" w:rsidP="00D44029">
            <w:pPr>
              <w:pStyle w:val="TableText"/>
            </w:pPr>
            <w:r w:rsidRPr="0094337D">
              <w:t>Verification</w:t>
            </w:r>
          </w:p>
        </w:tc>
        <w:tc>
          <w:tcPr>
            <w:tcW w:w="1327" w:type="pct"/>
          </w:tcPr>
          <w:p w14:paraId="421C8B3B" w14:textId="3526C345" w:rsidR="00D44029" w:rsidRPr="0094337D" w:rsidRDefault="00D44029" w:rsidP="00D44029">
            <w:pPr>
              <w:pStyle w:val="TableText"/>
              <w:jc w:val="right"/>
            </w:pPr>
            <w:r w:rsidRPr="00D34583">
              <w:t>16,940,207</w:t>
            </w:r>
          </w:p>
        </w:tc>
      </w:tr>
      <w:tr w:rsidR="00D44029" w:rsidRPr="0094337D" w14:paraId="5A0CBC09" w14:textId="77777777" w:rsidTr="001849F6">
        <w:tc>
          <w:tcPr>
            <w:tcW w:w="1083" w:type="pct"/>
            <w:vMerge/>
          </w:tcPr>
          <w:p w14:paraId="5BF02BF6" w14:textId="77777777" w:rsidR="00D44029" w:rsidRPr="0094337D" w:rsidRDefault="00D44029" w:rsidP="00D44029">
            <w:pPr>
              <w:pStyle w:val="TableText"/>
            </w:pPr>
          </w:p>
        </w:tc>
        <w:tc>
          <w:tcPr>
            <w:tcW w:w="1137" w:type="pct"/>
            <w:vMerge/>
          </w:tcPr>
          <w:p w14:paraId="27D359A8" w14:textId="77777777" w:rsidR="00D44029" w:rsidRPr="0094337D" w:rsidRDefault="00D44029" w:rsidP="00D44029">
            <w:pPr>
              <w:pStyle w:val="TableText"/>
            </w:pPr>
          </w:p>
        </w:tc>
        <w:tc>
          <w:tcPr>
            <w:tcW w:w="1453" w:type="pct"/>
          </w:tcPr>
          <w:p w14:paraId="72233AF9" w14:textId="77777777" w:rsidR="00D44029" w:rsidRPr="0094337D" w:rsidRDefault="00D44029" w:rsidP="00D44029">
            <w:pPr>
              <w:pStyle w:val="TableText"/>
            </w:pPr>
            <w:r w:rsidRPr="0094337D">
              <w:t>Surveillance</w:t>
            </w:r>
          </w:p>
        </w:tc>
        <w:tc>
          <w:tcPr>
            <w:tcW w:w="1327" w:type="pct"/>
          </w:tcPr>
          <w:p w14:paraId="4C9A6475" w14:textId="386A54BE" w:rsidR="00D44029" w:rsidRPr="0094337D" w:rsidRDefault="00D44029" w:rsidP="00D44029">
            <w:pPr>
              <w:pStyle w:val="TableText"/>
              <w:jc w:val="right"/>
            </w:pPr>
            <w:r w:rsidRPr="00D34583">
              <w:t>8,356,281</w:t>
            </w:r>
          </w:p>
        </w:tc>
      </w:tr>
      <w:tr w:rsidR="00D44029" w:rsidRPr="0094337D" w14:paraId="57354170" w14:textId="77777777" w:rsidTr="001849F6">
        <w:tc>
          <w:tcPr>
            <w:tcW w:w="1083" w:type="pct"/>
            <w:vMerge/>
          </w:tcPr>
          <w:p w14:paraId="359695D0" w14:textId="77777777" w:rsidR="00D44029" w:rsidRPr="0094337D" w:rsidRDefault="00D44029" w:rsidP="00D44029">
            <w:pPr>
              <w:pStyle w:val="TableText"/>
            </w:pPr>
          </w:p>
        </w:tc>
        <w:tc>
          <w:tcPr>
            <w:tcW w:w="1137" w:type="pct"/>
            <w:vMerge/>
          </w:tcPr>
          <w:p w14:paraId="6CFE1FA8" w14:textId="77777777" w:rsidR="00D44029" w:rsidRPr="0094337D" w:rsidRDefault="00D44029" w:rsidP="00D44029">
            <w:pPr>
              <w:pStyle w:val="TableText"/>
            </w:pPr>
          </w:p>
        </w:tc>
        <w:tc>
          <w:tcPr>
            <w:tcW w:w="1453" w:type="pct"/>
          </w:tcPr>
          <w:p w14:paraId="6C115ABA" w14:textId="77777777" w:rsidR="00D44029" w:rsidRPr="0094337D" w:rsidRDefault="00D44029" w:rsidP="00D44029">
            <w:pPr>
              <w:pStyle w:val="TableText"/>
              <w:rPr>
                <w:rStyle w:val="Strong"/>
              </w:rPr>
            </w:pPr>
            <w:r w:rsidRPr="0094337D">
              <w:rPr>
                <w:rStyle w:val="Strong"/>
              </w:rPr>
              <w:t>Subtotal</w:t>
            </w:r>
          </w:p>
        </w:tc>
        <w:tc>
          <w:tcPr>
            <w:tcW w:w="1327" w:type="pct"/>
          </w:tcPr>
          <w:p w14:paraId="70D28495" w14:textId="0F8CB41D" w:rsidR="00D44029" w:rsidRPr="00D44029" w:rsidRDefault="00D44029" w:rsidP="00D44029">
            <w:pPr>
              <w:pStyle w:val="TableText"/>
              <w:jc w:val="right"/>
              <w:rPr>
                <w:rStyle w:val="Strong"/>
                <w:b w:val="0"/>
                <w:bCs w:val="0"/>
              </w:rPr>
            </w:pPr>
            <w:r w:rsidRPr="00D44029">
              <w:rPr>
                <w:b/>
                <w:bCs/>
              </w:rPr>
              <w:t>47,192,956</w:t>
            </w:r>
          </w:p>
        </w:tc>
      </w:tr>
      <w:tr w:rsidR="00D44029" w:rsidRPr="0094337D" w14:paraId="7B7523AB" w14:textId="77777777" w:rsidTr="001849F6">
        <w:tc>
          <w:tcPr>
            <w:tcW w:w="1083" w:type="pct"/>
            <w:vMerge/>
          </w:tcPr>
          <w:p w14:paraId="311C4286" w14:textId="77777777" w:rsidR="00D44029" w:rsidRPr="0094337D" w:rsidRDefault="00D44029" w:rsidP="00D44029">
            <w:pPr>
              <w:pStyle w:val="TableText"/>
            </w:pPr>
          </w:p>
        </w:tc>
        <w:tc>
          <w:tcPr>
            <w:tcW w:w="1137" w:type="pct"/>
            <w:vMerge w:val="restart"/>
          </w:tcPr>
          <w:p w14:paraId="2430EA8B" w14:textId="77777777" w:rsidR="00D44029" w:rsidRPr="0094337D" w:rsidRDefault="00D44029" w:rsidP="00D44029">
            <w:pPr>
              <w:pStyle w:val="TableText"/>
            </w:pPr>
            <w:r w:rsidRPr="0094337D">
              <w:t>Incident management</w:t>
            </w:r>
          </w:p>
        </w:tc>
        <w:tc>
          <w:tcPr>
            <w:tcW w:w="1453" w:type="pct"/>
          </w:tcPr>
          <w:p w14:paraId="03A2A480" w14:textId="77777777" w:rsidR="00D44029" w:rsidRPr="0094337D" w:rsidRDefault="00D44029" w:rsidP="00D44029">
            <w:pPr>
              <w:pStyle w:val="TableText"/>
            </w:pPr>
            <w:r w:rsidRPr="0094337D">
              <w:t>Incident management</w:t>
            </w:r>
          </w:p>
        </w:tc>
        <w:tc>
          <w:tcPr>
            <w:tcW w:w="1327" w:type="pct"/>
          </w:tcPr>
          <w:p w14:paraId="118D795A" w14:textId="3A1C9CC5" w:rsidR="00D44029" w:rsidRPr="0094337D" w:rsidRDefault="00D44029" w:rsidP="00D44029">
            <w:pPr>
              <w:pStyle w:val="TableText"/>
              <w:jc w:val="right"/>
            </w:pPr>
            <w:r w:rsidRPr="008B6371">
              <w:t>2,396,570</w:t>
            </w:r>
          </w:p>
        </w:tc>
      </w:tr>
      <w:tr w:rsidR="00D44029" w:rsidRPr="0094337D" w14:paraId="7E9F1503" w14:textId="77777777" w:rsidTr="001849F6">
        <w:tc>
          <w:tcPr>
            <w:tcW w:w="1083" w:type="pct"/>
            <w:vMerge/>
          </w:tcPr>
          <w:p w14:paraId="57E65D3E" w14:textId="77777777" w:rsidR="00D44029" w:rsidRPr="0094337D" w:rsidRDefault="00D44029" w:rsidP="00D44029">
            <w:pPr>
              <w:pStyle w:val="TableText"/>
            </w:pPr>
          </w:p>
        </w:tc>
        <w:tc>
          <w:tcPr>
            <w:tcW w:w="1137" w:type="pct"/>
            <w:vMerge/>
          </w:tcPr>
          <w:p w14:paraId="3B93F2C2" w14:textId="77777777" w:rsidR="00D44029" w:rsidRPr="0094337D" w:rsidRDefault="00D44029" w:rsidP="00D44029">
            <w:pPr>
              <w:pStyle w:val="TableText"/>
            </w:pPr>
          </w:p>
        </w:tc>
        <w:tc>
          <w:tcPr>
            <w:tcW w:w="1453" w:type="pct"/>
          </w:tcPr>
          <w:p w14:paraId="35D4D125" w14:textId="77777777" w:rsidR="00D44029" w:rsidRPr="0094337D" w:rsidRDefault="00D44029" w:rsidP="00D44029">
            <w:pPr>
              <w:pStyle w:val="TableText"/>
            </w:pPr>
            <w:r w:rsidRPr="0094337D">
              <w:t>Investigative support</w:t>
            </w:r>
          </w:p>
        </w:tc>
        <w:tc>
          <w:tcPr>
            <w:tcW w:w="1327" w:type="pct"/>
          </w:tcPr>
          <w:p w14:paraId="40685C05" w14:textId="64018BB2" w:rsidR="00D44029" w:rsidRPr="0094337D" w:rsidRDefault="00D44029" w:rsidP="00D44029">
            <w:pPr>
              <w:pStyle w:val="TableText"/>
              <w:jc w:val="right"/>
            </w:pPr>
            <w:r w:rsidRPr="008B6371">
              <w:t>565,449</w:t>
            </w:r>
          </w:p>
        </w:tc>
      </w:tr>
      <w:tr w:rsidR="00D44029" w:rsidRPr="0094337D" w14:paraId="5C21354D" w14:textId="77777777" w:rsidTr="001849F6">
        <w:tc>
          <w:tcPr>
            <w:tcW w:w="1083" w:type="pct"/>
            <w:vMerge/>
          </w:tcPr>
          <w:p w14:paraId="37F61531" w14:textId="77777777" w:rsidR="00D44029" w:rsidRPr="0094337D" w:rsidRDefault="00D44029" w:rsidP="00D44029">
            <w:pPr>
              <w:pStyle w:val="TableText"/>
            </w:pPr>
          </w:p>
        </w:tc>
        <w:tc>
          <w:tcPr>
            <w:tcW w:w="1137" w:type="pct"/>
            <w:vMerge/>
          </w:tcPr>
          <w:p w14:paraId="7697D170" w14:textId="77777777" w:rsidR="00D44029" w:rsidRPr="0094337D" w:rsidRDefault="00D44029" w:rsidP="00D44029">
            <w:pPr>
              <w:pStyle w:val="TableText"/>
            </w:pPr>
          </w:p>
        </w:tc>
        <w:tc>
          <w:tcPr>
            <w:tcW w:w="1453" w:type="pct"/>
          </w:tcPr>
          <w:p w14:paraId="394AB152" w14:textId="77777777" w:rsidR="00D44029" w:rsidRPr="0094337D" w:rsidRDefault="00D44029" w:rsidP="00D44029">
            <w:pPr>
              <w:pStyle w:val="TableText"/>
            </w:pPr>
            <w:r w:rsidRPr="0094337D">
              <w:t>Corrective action</w:t>
            </w:r>
          </w:p>
        </w:tc>
        <w:tc>
          <w:tcPr>
            <w:tcW w:w="1327" w:type="pct"/>
          </w:tcPr>
          <w:p w14:paraId="0181658B" w14:textId="398D39FA" w:rsidR="00D44029" w:rsidRPr="0094337D" w:rsidRDefault="00D44029" w:rsidP="00D44029">
            <w:pPr>
              <w:pStyle w:val="TableText"/>
              <w:jc w:val="right"/>
            </w:pPr>
            <w:r w:rsidRPr="008B6371">
              <w:t>928,741</w:t>
            </w:r>
          </w:p>
        </w:tc>
      </w:tr>
      <w:tr w:rsidR="00D44029" w:rsidRPr="0094337D" w14:paraId="1EF65C38" w14:textId="77777777" w:rsidTr="001849F6">
        <w:tc>
          <w:tcPr>
            <w:tcW w:w="1083" w:type="pct"/>
            <w:vMerge/>
          </w:tcPr>
          <w:p w14:paraId="0106A079" w14:textId="77777777" w:rsidR="00D44029" w:rsidRPr="0094337D" w:rsidRDefault="00D44029" w:rsidP="00D44029">
            <w:pPr>
              <w:pStyle w:val="TableText"/>
            </w:pPr>
          </w:p>
        </w:tc>
        <w:tc>
          <w:tcPr>
            <w:tcW w:w="1137" w:type="pct"/>
            <w:vMerge/>
          </w:tcPr>
          <w:p w14:paraId="7646E432" w14:textId="77777777" w:rsidR="00D44029" w:rsidRPr="0094337D" w:rsidRDefault="00D44029" w:rsidP="00D44029">
            <w:pPr>
              <w:pStyle w:val="TableText"/>
            </w:pPr>
          </w:p>
        </w:tc>
        <w:tc>
          <w:tcPr>
            <w:tcW w:w="1453" w:type="pct"/>
          </w:tcPr>
          <w:p w14:paraId="18AD52BF" w14:textId="77777777" w:rsidR="00D44029" w:rsidRPr="0094337D" w:rsidRDefault="00D44029" w:rsidP="00D44029">
            <w:pPr>
              <w:pStyle w:val="TableText"/>
              <w:rPr>
                <w:rStyle w:val="Strong"/>
              </w:rPr>
            </w:pPr>
            <w:r w:rsidRPr="0094337D">
              <w:rPr>
                <w:rStyle w:val="Strong"/>
              </w:rPr>
              <w:t>Subtotal</w:t>
            </w:r>
          </w:p>
        </w:tc>
        <w:tc>
          <w:tcPr>
            <w:tcW w:w="1327" w:type="pct"/>
          </w:tcPr>
          <w:p w14:paraId="4C4C1CB6" w14:textId="6D6F3FA2" w:rsidR="00D44029" w:rsidRPr="00D44029" w:rsidRDefault="00D44029" w:rsidP="00D44029">
            <w:pPr>
              <w:pStyle w:val="TableText"/>
              <w:jc w:val="right"/>
              <w:rPr>
                <w:rStyle w:val="Strong"/>
                <w:b w:val="0"/>
                <w:bCs w:val="0"/>
              </w:rPr>
            </w:pPr>
            <w:r w:rsidRPr="00D44029">
              <w:rPr>
                <w:b/>
                <w:bCs/>
              </w:rPr>
              <w:t>3,890,760</w:t>
            </w:r>
          </w:p>
        </w:tc>
      </w:tr>
      <w:tr w:rsidR="00D44029" w:rsidRPr="0094337D" w14:paraId="77E9BD4C" w14:textId="77777777" w:rsidTr="001849F6">
        <w:tc>
          <w:tcPr>
            <w:tcW w:w="1083" w:type="pct"/>
            <w:vMerge/>
          </w:tcPr>
          <w:p w14:paraId="6C3C8B9C" w14:textId="77777777" w:rsidR="00D44029" w:rsidRPr="0094337D" w:rsidRDefault="00D44029" w:rsidP="00D44029">
            <w:pPr>
              <w:pStyle w:val="TableText"/>
            </w:pPr>
          </w:p>
        </w:tc>
        <w:tc>
          <w:tcPr>
            <w:tcW w:w="1137" w:type="pct"/>
            <w:vMerge/>
          </w:tcPr>
          <w:p w14:paraId="69C4D382" w14:textId="77777777" w:rsidR="00D44029" w:rsidRPr="0094337D" w:rsidRDefault="00D44029" w:rsidP="00D44029">
            <w:pPr>
              <w:pStyle w:val="TableText"/>
            </w:pPr>
          </w:p>
        </w:tc>
        <w:tc>
          <w:tcPr>
            <w:tcW w:w="1453" w:type="pct"/>
          </w:tcPr>
          <w:p w14:paraId="3EF31B89" w14:textId="77777777" w:rsidR="00D44029" w:rsidRPr="0094337D" w:rsidRDefault="00D44029" w:rsidP="00D44029">
            <w:pPr>
              <w:pStyle w:val="TableText"/>
              <w:rPr>
                <w:rStyle w:val="Strong"/>
              </w:rPr>
            </w:pPr>
            <w:r w:rsidRPr="0094337D">
              <w:rPr>
                <w:rStyle w:val="Strong"/>
              </w:rPr>
              <w:t>Total charges</w:t>
            </w:r>
          </w:p>
        </w:tc>
        <w:tc>
          <w:tcPr>
            <w:tcW w:w="1327" w:type="pct"/>
          </w:tcPr>
          <w:p w14:paraId="0F743389" w14:textId="0EA330F9" w:rsidR="00D44029" w:rsidRPr="00D44029" w:rsidRDefault="00D44029" w:rsidP="00D44029">
            <w:pPr>
              <w:pStyle w:val="TableText"/>
              <w:jc w:val="right"/>
              <w:rPr>
                <w:rStyle w:val="Strong"/>
                <w:b w:val="0"/>
                <w:bCs w:val="0"/>
              </w:rPr>
            </w:pPr>
            <w:r w:rsidRPr="00D44029">
              <w:rPr>
                <w:b/>
                <w:bCs/>
              </w:rPr>
              <w:t>224,128,456</w:t>
            </w:r>
          </w:p>
        </w:tc>
      </w:tr>
      <w:tr w:rsidR="00D44029" w:rsidRPr="0094337D" w14:paraId="66DFCD81" w14:textId="77777777" w:rsidTr="001849F6">
        <w:tc>
          <w:tcPr>
            <w:tcW w:w="1083" w:type="pct"/>
            <w:vMerge w:val="restart"/>
          </w:tcPr>
          <w:p w14:paraId="5D100518" w14:textId="5D5EE8E0" w:rsidR="00D44029" w:rsidRPr="0094337D" w:rsidRDefault="00D44029" w:rsidP="00D44029">
            <w:pPr>
              <w:pStyle w:val="TableText"/>
            </w:pPr>
            <w:r w:rsidRPr="0094337D">
              <w:t>Fees</w:t>
            </w:r>
          </w:p>
        </w:tc>
        <w:tc>
          <w:tcPr>
            <w:tcW w:w="1137" w:type="pct"/>
            <w:vMerge w:val="restart"/>
          </w:tcPr>
          <w:p w14:paraId="4AA0468E" w14:textId="77777777" w:rsidR="00D44029" w:rsidRPr="0094337D" w:rsidRDefault="00D44029" w:rsidP="00D44029">
            <w:pPr>
              <w:pStyle w:val="TableText"/>
            </w:pPr>
            <w:r w:rsidRPr="0094337D">
              <w:t>Intervention</w:t>
            </w:r>
          </w:p>
        </w:tc>
        <w:tc>
          <w:tcPr>
            <w:tcW w:w="1453" w:type="pct"/>
          </w:tcPr>
          <w:p w14:paraId="01BF9174" w14:textId="77777777" w:rsidR="00D44029" w:rsidRPr="0094337D" w:rsidRDefault="00D44029" w:rsidP="00D44029">
            <w:pPr>
              <w:pStyle w:val="TableText"/>
            </w:pPr>
            <w:r w:rsidRPr="0094337D">
              <w:t>Assessment</w:t>
            </w:r>
          </w:p>
        </w:tc>
        <w:tc>
          <w:tcPr>
            <w:tcW w:w="1327" w:type="pct"/>
          </w:tcPr>
          <w:p w14:paraId="2D3BB6C7" w14:textId="638397DE" w:rsidR="00D44029" w:rsidRPr="0094337D" w:rsidRDefault="00D44029" w:rsidP="00D44029">
            <w:pPr>
              <w:pStyle w:val="TableText"/>
              <w:jc w:val="right"/>
            </w:pPr>
            <w:r w:rsidRPr="006115D7">
              <w:t>22,363,700</w:t>
            </w:r>
          </w:p>
        </w:tc>
      </w:tr>
      <w:tr w:rsidR="00D44029" w:rsidRPr="0094337D" w14:paraId="24F3178E" w14:textId="77777777" w:rsidTr="001849F6">
        <w:tc>
          <w:tcPr>
            <w:tcW w:w="1083" w:type="pct"/>
            <w:vMerge/>
          </w:tcPr>
          <w:p w14:paraId="32DBBD35" w14:textId="77777777" w:rsidR="00D44029" w:rsidRPr="0094337D" w:rsidRDefault="00D44029" w:rsidP="00D44029">
            <w:pPr>
              <w:pStyle w:val="TableText"/>
            </w:pPr>
          </w:p>
        </w:tc>
        <w:tc>
          <w:tcPr>
            <w:tcW w:w="1137" w:type="pct"/>
            <w:vMerge/>
          </w:tcPr>
          <w:p w14:paraId="32F670F2" w14:textId="77777777" w:rsidR="00D44029" w:rsidRPr="0094337D" w:rsidRDefault="00D44029" w:rsidP="00D44029">
            <w:pPr>
              <w:pStyle w:val="TableText"/>
            </w:pPr>
          </w:p>
        </w:tc>
        <w:tc>
          <w:tcPr>
            <w:tcW w:w="1453" w:type="pct"/>
          </w:tcPr>
          <w:p w14:paraId="3357D3D3" w14:textId="77777777" w:rsidR="00D44029" w:rsidRPr="0094337D" w:rsidRDefault="00D44029" w:rsidP="00D44029">
            <w:pPr>
              <w:pStyle w:val="TableText"/>
            </w:pPr>
            <w:r w:rsidRPr="0094337D">
              <w:t>Issue approvals/certification</w:t>
            </w:r>
          </w:p>
        </w:tc>
        <w:tc>
          <w:tcPr>
            <w:tcW w:w="1327" w:type="pct"/>
          </w:tcPr>
          <w:p w14:paraId="4B660C4F" w14:textId="48C4582E" w:rsidR="00D44029" w:rsidRPr="0094337D" w:rsidRDefault="00D44029" w:rsidP="00D44029">
            <w:pPr>
              <w:pStyle w:val="TableText"/>
              <w:jc w:val="right"/>
            </w:pPr>
            <w:r w:rsidRPr="006115D7">
              <w:t>436,632</w:t>
            </w:r>
          </w:p>
        </w:tc>
      </w:tr>
      <w:tr w:rsidR="00D44029" w:rsidRPr="0094337D" w14:paraId="32185403" w14:textId="77777777" w:rsidTr="001849F6">
        <w:tc>
          <w:tcPr>
            <w:tcW w:w="1083" w:type="pct"/>
            <w:vMerge/>
          </w:tcPr>
          <w:p w14:paraId="1CDB68CC" w14:textId="77777777" w:rsidR="00D44029" w:rsidRPr="0094337D" w:rsidRDefault="00D44029" w:rsidP="00D44029">
            <w:pPr>
              <w:pStyle w:val="TableText"/>
            </w:pPr>
          </w:p>
        </w:tc>
        <w:tc>
          <w:tcPr>
            <w:tcW w:w="1137" w:type="pct"/>
            <w:vMerge/>
          </w:tcPr>
          <w:p w14:paraId="28501528" w14:textId="77777777" w:rsidR="00D44029" w:rsidRPr="0094337D" w:rsidRDefault="00D44029" w:rsidP="00D44029">
            <w:pPr>
              <w:pStyle w:val="TableText"/>
            </w:pPr>
          </w:p>
        </w:tc>
        <w:tc>
          <w:tcPr>
            <w:tcW w:w="1453" w:type="pct"/>
          </w:tcPr>
          <w:p w14:paraId="2348581B" w14:textId="77777777" w:rsidR="00D44029" w:rsidRPr="0094337D" w:rsidRDefault="00D44029" w:rsidP="00D44029">
            <w:pPr>
              <w:pStyle w:val="TableText"/>
            </w:pPr>
            <w:r w:rsidRPr="0094337D">
              <w:t>Inspection</w:t>
            </w:r>
          </w:p>
        </w:tc>
        <w:tc>
          <w:tcPr>
            <w:tcW w:w="1327" w:type="pct"/>
          </w:tcPr>
          <w:p w14:paraId="2968BC9B" w14:textId="1FB144BD" w:rsidR="00D44029" w:rsidRPr="0094337D" w:rsidRDefault="00D44029" w:rsidP="00D44029">
            <w:pPr>
              <w:pStyle w:val="TableText"/>
              <w:jc w:val="right"/>
            </w:pPr>
            <w:r w:rsidRPr="006115D7">
              <w:t>50,810,233</w:t>
            </w:r>
          </w:p>
        </w:tc>
      </w:tr>
      <w:tr w:rsidR="00D44029" w:rsidRPr="0094337D" w14:paraId="53A68957" w14:textId="77777777" w:rsidTr="001849F6">
        <w:tc>
          <w:tcPr>
            <w:tcW w:w="1083" w:type="pct"/>
            <w:vMerge/>
          </w:tcPr>
          <w:p w14:paraId="6A5BB86D" w14:textId="77777777" w:rsidR="00D44029" w:rsidRPr="0094337D" w:rsidRDefault="00D44029" w:rsidP="00D44029">
            <w:pPr>
              <w:pStyle w:val="TableText"/>
            </w:pPr>
          </w:p>
        </w:tc>
        <w:tc>
          <w:tcPr>
            <w:tcW w:w="1137" w:type="pct"/>
            <w:vMerge/>
          </w:tcPr>
          <w:p w14:paraId="5BBF166C" w14:textId="77777777" w:rsidR="00D44029" w:rsidRPr="0094337D" w:rsidRDefault="00D44029" w:rsidP="00D44029">
            <w:pPr>
              <w:pStyle w:val="TableText"/>
            </w:pPr>
          </w:p>
        </w:tc>
        <w:tc>
          <w:tcPr>
            <w:tcW w:w="1453" w:type="pct"/>
          </w:tcPr>
          <w:p w14:paraId="4CCC0B7E" w14:textId="77777777" w:rsidR="00D44029" w:rsidRPr="0094337D" w:rsidRDefault="00D44029" w:rsidP="00D44029">
            <w:pPr>
              <w:pStyle w:val="TableText"/>
            </w:pPr>
            <w:r w:rsidRPr="0094337D">
              <w:t>Treatment</w:t>
            </w:r>
          </w:p>
        </w:tc>
        <w:tc>
          <w:tcPr>
            <w:tcW w:w="1327" w:type="pct"/>
          </w:tcPr>
          <w:p w14:paraId="4AE1CDF2" w14:textId="125E676B" w:rsidR="00D44029" w:rsidRPr="0094337D" w:rsidRDefault="00D44029" w:rsidP="00D44029">
            <w:pPr>
              <w:pStyle w:val="TableText"/>
              <w:jc w:val="right"/>
            </w:pPr>
            <w:r w:rsidRPr="006115D7">
              <w:t>1,640,643</w:t>
            </w:r>
          </w:p>
        </w:tc>
      </w:tr>
      <w:tr w:rsidR="00D44029" w:rsidRPr="0094337D" w14:paraId="7DF8796D" w14:textId="77777777" w:rsidTr="001849F6">
        <w:tc>
          <w:tcPr>
            <w:tcW w:w="1083" w:type="pct"/>
            <w:vMerge/>
          </w:tcPr>
          <w:p w14:paraId="36EFB2EF" w14:textId="77777777" w:rsidR="00D44029" w:rsidRPr="0094337D" w:rsidRDefault="00D44029" w:rsidP="00D44029">
            <w:pPr>
              <w:pStyle w:val="TableText"/>
            </w:pPr>
          </w:p>
        </w:tc>
        <w:tc>
          <w:tcPr>
            <w:tcW w:w="1137" w:type="pct"/>
            <w:vMerge/>
          </w:tcPr>
          <w:p w14:paraId="24B05CFB" w14:textId="77777777" w:rsidR="00D44029" w:rsidRPr="0094337D" w:rsidRDefault="00D44029" w:rsidP="00D44029">
            <w:pPr>
              <w:pStyle w:val="TableText"/>
            </w:pPr>
          </w:p>
        </w:tc>
        <w:tc>
          <w:tcPr>
            <w:tcW w:w="1453" w:type="pct"/>
          </w:tcPr>
          <w:p w14:paraId="1CEBE114" w14:textId="47B2C872" w:rsidR="00D44029" w:rsidRPr="0094337D" w:rsidRDefault="00D44029" w:rsidP="00D44029">
            <w:pPr>
              <w:pStyle w:val="TableText"/>
            </w:pPr>
            <w:r>
              <w:t>Audit</w:t>
            </w:r>
          </w:p>
        </w:tc>
        <w:tc>
          <w:tcPr>
            <w:tcW w:w="1327" w:type="pct"/>
          </w:tcPr>
          <w:p w14:paraId="20267237" w14:textId="49C0756D" w:rsidR="00D44029" w:rsidRPr="0094337D" w:rsidRDefault="00D44029" w:rsidP="00D44029">
            <w:pPr>
              <w:pStyle w:val="TableText"/>
              <w:jc w:val="right"/>
            </w:pPr>
            <w:r w:rsidRPr="006115D7">
              <w:t>4,</w:t>
            </w:r>
            <w:r w:rsidR="001765CE">
              <w:t>871</w:t>
            </w:r>
            <w:r w:rsidRPr="006115D7">
              <w:t>,</w:t>
            </w:r>
            <w:r w:rsidR="001765CE">
              <w:t>507</w:t>
            </w:r>
          </w:p>
        </w:tc>
      </w:tr>
      <w:tr w:rsidR="00D44029" w:rsidRPr="0094337D" w14:paraId="645F770B" w14:textId="77777777" w:rsidTr="001849F6">
        <w:tc>
          <w:tcPr>
            <w:tcW w:w="1083" w:type="pct"/>
            <w:vMerge/>
          </w:tcPr>
          <w:p w14:paraId="40573572" w14:textId="77777777" w:rsidR="00D44029" w:rsidRPr="0094337D" w:rsidRDefault="00D44029" w:rsidP="00D44029">
            <w:pPr>
              <w:pStyle w:val="TableText"/>
            </w:pPr>
          </w:p>
        </w:tc>
        <w:tc>
          <w:tcPr>
            <w:tcW w:w="1137" w:type="pct"/>
            <w:vMerge/>
          </w:tcPr>
          <w:p w14:paraId="6CAA3126" w14:textId="77777777" w:rsidR="00D44029" w:rsidRPr="0094337D" w:rsidRDefault="00D44029" w:rsidP="00D44029">
            <w:pPr>
              <w:pStyle w:val="TableText"/>
            </w:pPr>
          </w:p>
        </w:tc>
        <w:tc>
          <w:tcPr>
            <w:tcW w:w="1453" w:type="pct"/>
          </w:tcPr>
          <w:p w14:paraId="582C7DBB" w14:textId="6532C468" w:rsidR="00D44029" w:rsidRPr="0094337D" w:rsidRDefault="00D44029" w:rsidP="00D44029">
            <w:pPr>
              <w:pStyle w:val="TableText"/>
            </w:pPr>
            <w:r w:rsidRPr="0094337D">
              <w:t>Husbandry</w:t>
            </w:r>
          </w:p>
        </w:tc>
        <w:tc>
          <w:tcPr>
            <w:tcW w:w="1327" w:type="pct"/>
          </w:tcPr>
          <w:p w14:paraId="3DE063BF" w14:textId="455F13F6" w:rsidR="00D44029" w:rsidRPr="0094337D" w:rsidRDefault="00D44029" w:rsidP="00D44029">
            <w:pPr>
              <w:pStyle w:val="TableText"/>
              <w:jc w:val="right"/>
            </w:pPr>
            <w:r w:rsidRPr="006115D7">
              <w:t>3,</w:t>
            </w:r>
            <w:r w:rsidR="001765CE">
              <w:t>099,829</w:t>
            </w:r>
          </w:p>
        </w:tc>
      </w:tr>
      <w:tr w:rsidR="0094337D" w:rsidRPr="0094337D" w14:paraId="1DE73B30" w14:textId="77777777" w:rsidTr="001849F6">
        <w:tc>
          <w:tcPr>
            <w:tcW w:w="1083" w:type="pct"/>
            <w:vMerge/>
          </w:tcPr>
          <w:p w14:paraId="3D66C6F9" w14:textId="77777777" w:rsidR="0094337D" w:rsidRPr="0094337D" w:rsidRDefault="0094337D" w:rsidP="0094337D">
            <w:pPr>
              <w:pStyle w:val="TableText"/>
            </w:pPr>
          </w:p>
        </w:tc>
        <w:tc>
          <w:tcPr>
            <w:tcW w:w="1137" w:type="pct"/>
            <w:vMerge/>
          </w:tcPr>
          <w:p w14:paraId="2AEC2077" w14:textId="77777777" w:rsidR="0094337D" w:rsidRPr="0094337D" w:rsidRDefault="0094337D" w:rsidP="0094337D">
            <w:pPr>
              <w:pStyle w:val="TableText"/>
            </w:pPr>
          </w:p>
        </w:tc>
        <w:tc>
          <w:tcPr>
            <w:tcW w:w="1453" w:type="pct"/>
          </w:tcPr>
          <w:p w14:paraId="3FA63F2F" w14:textId="77777777" w:rsidR="0094337D" w:rsidRPr="0094337D" w:rsidRDefault="0094337D" w:rsidP="0094337D">
            <w:pPr>
              <w:pStyle w:val="TableText"/>
              <w:rPr>
                <w:rStyle w:val="Strong"/>
              </w:rPr>
            </w:pPr>
            <w:r w:rsidRPr="0094337D">
              <w:rPr>
                <w:rStyle w:val="Strong"/>
              </w:rPr>
              <w:t>Subtotal</w:t>
            </w:r>
          </w:p>
        </w:tc>
        <w:tc>
          <w:tcPr>
            <w:tcW w:w="1327" w:type="pct"/>
          </w:tcPr>
          <w:p w14:paraId="67D2D2A0" w14:textId="31F76BFA" w:rsidR="0094337D" w:rsidRPr="00C922F1" w:rsidRDefault="00D44029" w:rsidP="0094337D">
            <w:pPr>
              <w:pStyle w:val="TableText"/>
              <w:jc w:val="right"/>
              <w:rPr>
                <w:rStyle w:val="Strong"/>
                <w:b w:val="0"/>
              </w:rPr>
            </w:pPr>
            <w:r>
              <w:rPr>
                <w:b/>
              </w:rPr>
              <w:t>83,222,544</w:t>
            </w:r>
          </w:p>
        </w:tc>
      </w:tr>
      <w:tr w:rsidR="001B56FF" w:rsidRPr="0094337D" w14:paraId="27000430" w14:textId="77777777" w:rsidTr="001849F6">
        <w:tc>
          <w:tcPr>
            <w:tcW w:w="1083" w:type="pct"/>
            <w:vMerge/>
          </w:tcPr>
          <w:p w14:paraId="4AD66BF7" w14:textId="77777777" w:rsidR="001B56FF" w:rsidRPr="0094337D" w:rsidRDefault="001B56FF" w:rsidP="001B56FF">
            <w:pPr>
              <w:pStyle w:val="TableText"/>
            </w:pPr>
          </w:p>
        </w:tc>
        <w:tc>
          <w:tcPr>
            <w:tcW w:w="1137" w:type="pct"/>
            <w:vMerge/>
          </w:tcPr>
          <w:p w14:paraId="1EF8C02B" w14:textId="77777777" w:rsidR="001B56FF" w:rsidRPr="0094337D" w:rsidRDefault="001B56FF" w:rsidP="001B56FF">
            <w:pPr>
              <w:pStyle w:val="TableText"/>
            </w:pPr>
          </w:p>
        </w:tc>
        <w:tc>
          <w:tcPr>
            <w:tcW w:w="1453" w:type="pct"/>
          </w:tcPr>
          <w:p w14:paraId="47F0F881" w14:textId="77777777" w:rsidR="001B56FF" w:rsidRPr="0094337D" w:rsidRDefault="001B56FF" w:rsidP="001B56FF">
            <w:pPr>
              <w:pStyle w:val="TableText"/>
              <w:rPr>
                <w:rStyle w:val="Strong"/>
              </w:rPr>
            </w:pPr>
            <w:r w:rsidRPr="0094337D">
              <w:rPr>
                <w:rStyle w:val="Strong"/>
              </w:rPr>
              <w:t>Total fee for service</w:t>
            </w:r>
          </w:p>
        </w:tc>
        <w:tc>
          <w:tcPr>
            <w:tcW w:w="1327" w:type="pct"/>
          </w:tcPr>
          <w:p w14:paraId="027A4043" w14:textId="13D00033" w:rsidR="001B56FF" w:rsidRPr="0094337D" w:rsidRDefault="001B56FF" w:rsidP="001B56FF">
            <w:pPr>
              <w:pStyle w:val="TableText"/>
              <w:jc w:val="right"/>
              <w:rPr>
                <w:rStyle w:val="Strong"/>
              </w:rPr>
            </w:pPr>
            <w:r w:rsidRPr="0094337D">
              <w:rPr>
                <w:rStyle w:val="Strong"/>
              </w:rPr>
              <w:t>8</w:t>
            </w:r>
            <w:r w:rsidR="00D44029">
              <w:rPr>
                <w:rStyle w:val="Strong"/>
              </w:rPr>
              <w:t>3,222,544</w:t>
            </w:r>
          </w:p>
        </w:tc>
      </w:tr>
      <w:tr w:rsidR="001B56FF" w:rsidRPr="00B6177D" w14:paraId="0A45D0CB" w14:textId="77777777" w:rsidTr="001849F6">
        <w:tc>
          <w:tcPr>
            <w:tcW w:w="1083" w:type="pct"/>
            <w:tcBorders>
              <w:bottom w:val="single" w:sz="12" w:space="0" w:color="auto"/>
            </w:tcBorders>
          </w:tcPr>
          <w:p w14:paraId="46AD619B" w14:textId="77777777" w:rsidR="001B56FF" w:rsidRPr="00C922F1" w:rsidRDefault="001B56FF" w:rsidP="001B56FF">
            <w:pPr>
              <w:pStyle w:val="TableText"/>
              <w:rPr>
                <w:rStyle w:val="Strong"/>
              </w:rPr>
            </w:pPr>
            <w:r w:rsidRPr="0094337D">
              <w:rPr>
                <w:rStyle w:val="Strong"/>
              </w:rPr>
              <w:t>Total cost base</w:t>
            </w:r>
          </w:p>
        </w:tc>
        <w:tc>
          <w:tcPr>
            <w:tcW w:w="1137" w:type="pct"/>
            <w:tcBorders>
              <w:bottom w:val="single" w:sz="12" w:space="0" w:color="auto"/>
            </w:tcBorders>
          </w:tcPr>
          <w:p w14:paraId="048662AF" w14:textId="246C4020" w:rsidR="001B56FF" w:rsidRPr="0094337D" w:rsidRDefault="00C50BC1" w:rsidP="001B56FF">
            <w:pPr>
              <w:pStyle w:val="TableText"/>
              <w:rPr>
                <w:rStyle w:val="Strong"/>
              </w:rPr>
            </w:pPr>
            <w:r>
              <w:rPr>
                <w:rStyle w:val="Strong"/>
              </w:rPr>
              <w:t>–</w:t>
            </w:r>
          </w:p>
        </w:tc>
        <w:tc>
          <w:tcPr>
            <w:tcW w:w="1453" w:type="pct"/>
            <w:tcBorders>
              <w:bottom w:val="single" w:sz="12" w:space="0" w:color="auto"/>
            </w:tcBorders>
          </w:tcPr>
          <w:p w14:paraId="32849237" w14:textId="160AA063" w:rsidR="001B56FF" w:rsidRPr="0094337D" w:rsidRDefault="00C50BC1" w:rsidP="001B56FF">
            <w:pPr>
              <w:pStyle w:val="TableText"/>
              <w:rPr>
                <w:rStyle w:val="Strong"/>
              </w:rPr>
            </w:pPr>
            <w:r>
              <w:rPr>
                <w:rStyle w:val="Strong"/>
              </w:rPr>
              <w:t>–</w:t>
            </w:r>
          </w:p>
        </w:tc>
        <w:tc>
          <w:tcPr>
            <w:tcW w:w="1327" w:type="pct"/>
            <w:tcBorders>
              <w:bottom w:val="single" w:sz="12" w:space="0" w:color="auto"/>
            </w:tcBorders>
          </w:tcPr>
          <w:p w14:paraId="22EA1C21" w14:textId="3F727C35" w:rsidR="001B56FF" w:rsidRPr="008B152D" w:rsidRDefault="001B56FF" w:rsidP="001B56FF">
            <w:pPr>
              <w:pStyle w:val="TableText"/>
              <w:jc w:val="right"/>
              <w:rPr>
                <w:rStyle w:val="Strong"/>
              </w:rPr>
            </w:pPr>
            <w:r w:rsidRPr="0094337D">
              <w:rPr>
                <w:rStyle w:val="Strong"/>
              </w:rPr>
              <w:t>3</w:t>
            </w:r>
            <w:r w:rsidR="0094337D">
              <w:rPr>
                <w:rStyle w:val="Strong"/>
              </w:rPr>
              <w:t>07,351,000</w:t>
            </w:r>
          </w:p>
        </w:tc>
      </w:tr>
    </w:tbl>
    <w:p w14:paraId="0E7FA652" w14:textId="62273E2C" w:rsidR="00056AD4" w:rsidRDefault="00C5328C" w:rsidP="00C5328C">
      <w:pPr>
        <w:pStyle w:val="Heading2"/>
      </w:pPr>
      <w:bookmarkStart w:id="47" w:name="_Toc119313395"/>
      <w:r w:rsidRPr="00C5328C">
        <w:lastRenderedPageBreak/>
        <w:t>Risk assessment</w:t>
      </w:r>
      <w:bookmarkEnd w:id="47"/>
    </w:p>
    <w:p w14:paraId="71928059" w14:textId="0CA8372F" w:rsidR="00C5328C" w:rsidRDefault="002A177F" w:rsidP="00C5328C">
      <w:pPr>
        <w:rPr>
          <w:lang w:eastAsia="ja-JP"/>
        </w:rPr>
      </w:pPr>
      <w:r w:rsidRPr="002A177F">
        <w:rPr>
          <w:lang w:eastAsia="ja-JP"/>
        </w:rPr>
        <w:t>A charging risk assessment (CRA) is required for any regulatory charging policy proposal, such as a CRIS. It helps to identify and analyse regulatory charging risks. The Minister for Finance must agree to a CRIS if the CRA indicates it is high risk. The most recent risk assessment rating for this charging activity is medium</w:t>
      </w:r>
      <w:r>
        <w:rPr>
          <w:lang w:eastAsia="ja-JP"/>
        </w:rPr>
        <w:t>.</w:t>
      </w:r>
    </w:p>
    <w:p w14:paraId="1C52B86A" w14:textId="2C59C23E" w:rsidR="00C5328C" w:rsidRPr="008B152D" w:rsidRDefault="00C5328C" w:rsidP="00C5328C">
      <w:pPr>
        <w:rPr>
          <w:lang w:eastAsia="ja-JP"/>
        </w:rPr>
      </w:pPr>
      <w:r w:rsidRPr="008B152D">
        <w:rPr>
          <w:lang w:eastAsia="ja-JP"/>
        </w:rPr>
        <w:t xml:space="preserve">The CRA for this CRIS identified </w:t>
      </w:r>
      <w:r w:rsidR="004A2FA3" w:rsidRPr="008B152D">
        <w:rPr>
          <w:lang w:eastAsia="ja-JP"/>
        </w:rPr>
        <w:t xml:space="preserve">2 </w:t>
      </w:r>
      <w:r w:rsidRPr="008B152D">
        <w:rPr>
          <w:lang w:eastAsia="ja-JP"/>
        </w:rPr>
        <w:t>implementation categories considered high risk:</w:t>
      </w:r>
    </w:p>
    <w:p w14:paraId="2C798B82" w14:textId="4BF6DA25" w:rsidR="00C5328C" w:rsidRPr="00C50BC1" w:rsidRDefault="00C5328C" w:rsidP="00C50BC1">
      <w:pPr>
        <w:pStyle w:val="ListNumber"/>
        <w:numPr>
          <w:ilvl w:val="0"/>
          <w:numId w:val="35"/>
        </w:numPr>
      </w:pPr>
      <w:r w:rsidRPr="00C50BC1">
        <w:t xml:space="preserve">the </w:t>
      </w:r>
      <w:r w:rsidR="00E91094" w:rsidRPr="00C50BC1">
        <w:t>percentage increase in price payers will experience</w:t>
      </w:r>
    </w:p>
    <w:p w14:paraId="4DE9BB44" w14:textId="4887983D" w:rsidR="00C5328C" w:rsidRPr="00C50BC1" w:rsidRDefault="00C5328C" w:rsidP="00C50BC1">
      <w:pPr>
        <w:pStyle w:val="ListNumber"/>
      </w:pPr>
      <w:r w:rsidRPr="00C50BC1">
        <w:t>stakeholder</w:t>
      </w:r>
      <w:r w:rsidR="00E91094" w:rsidRPr="00C50BC1">
        <w:t xml:space="preserve"> consultation</w:t>
      </w:r>
      <w:r w:rsidR="00DA5DB5">
        <w:t>.</w:t>
      </w:r>
    </w:p>
    <w:p w14:paraId="1AC1ECA8" w14:textId="77777777" w:rsidR="00C5328C" w:rsidRPr="008B152D" w:rsidRDefault="00C5328C" w:rsidP="00C5328C">
      <w:pPr>
        <w:rPr>
          <w:lang w:eastAsia="ja-JP"/>
        </w:rPr>
      </w:pPr>
      <w:r w:rsidRPr="008B152D">
        <w:rPr>
          <w:lang w:eastAsia="ja-JP"/>
        </w:rPr>
        <w:t>The remaining implementation categories are considered low to medium risk:</w:t>
      </w:r>
    </w:p>
    <w:p w14:paraId="1CA0B16A" w14:textId="6975B11E" w:rsidR="00C5328C" w:rsidRPr="008B152D" w:rsidRDefault="00C5328C" w:rsidP="00C5328C">
      <w:pPr>
        <w:pStyle w:val="ListBullet"/>
        <w:rPr>
          <w:lang w:eastAsia="ja-JP"/>
        </w:rPr>
      </w:pPr>
      <w:r w:rsidRPr="008B152D">
        <w:rPr>
          <w:lang w:eastAsia="ja-JP"/>
        </w:rPr>
        <w:t xml:space="preserve">the </w:t>
      </w:r>
      <w:r w:rsidR="00E91094" w:rsidRPr="008B152D">
        <w:rPr>
          <w:lang w:eastAsia="ja-JP"/>
        </w:rPr>
        <w:t xml:space="preserve">expected </w:t>
      </w:r>
      <w:r w:rsidRPr="008B152D">
        <w:rPr>
          <w:lang w:eastAsia="ja-JP"/>
        </w:rPr>
        <w:t xml:space="preserve">percentage change in </w:t>
      </w:r>
      <w:r w:rsidR="00E91094" w:rsidRPr="008B152D">
        <w:rPr>
          <w:lang w:eastAsia="ja-JP"/>
        </w:rPr>
        <w:t xml:space="preserve">total </w:t>
      </w:r>
      <w:r w:rsidRPr="008B152D">
        <w:rPr>
          <w:lang w:eastAsia="ja-JP"/>
        </w:rPr>
        <w:t xml:space="preserve">annual cost recovery revenue </w:t>
      </w:r>
    </w:p>
    <w:p w14:paraId="67FEB216" w14:textId="1FDD10CB" w:rsidR="00E91094" w:rsidRPr="008B152D" w:rsidRDefault="00E91094" w:rsidP="00C5328C">
      <w:pPr>
        <w:pStyle w:val="ListBullet"/>
        <w:rPr>
          <w:lang w:eastAsia="ja-JP"/>
        </w:rPr>
      </w:pPr>
      <w:r w:rsidRPr="008B152D">
        <w:rPr>
          <w:lang w:eastAsia="ja-JP"/>
        </w:rPr>
        <w:t xml:space="preserve">the expected dollar </w:t>
      </w:r>
      <w:proofErr w:type="gramStart"/>
      <w:r w:rsidRPr="008B152D">
        <w:rPr>
          <w:lang w:eastAsia="ja-JP"/>
        </w:rPr>
        <w:t>change</w:t>
      </w:r>
      <w:proofErr w:type="gramEnd"/>
      <w:r w:rsidRPr="008B152D">
        <w:rPr>
          <w:lang w:eastAsia="ja-JP"/>
        </w:rPr>
        <w:t xml:space="preserve"> in total annual revenue</w:t>
      </w:r>
    </w:p>
    <w:p w14:paraId="5BC2F4D1" w14:textId="6AAA6A4A" w:rsidR="00C5328C" w:rsidRPr="008B152D" w:rsidRDefault="00E91094" w:rsidP="00C5328C">
      <w:pPr>
        <w:pStyle w:val="ListBullet"/>
        <w:rPr>
          <w:lang w:eastAsia="ja-JP"/>
        </w:rPr>
      </w:pPr>
      <w:r w:rsidRPr="008B152D">
        <w:rPr>
          <w:lang w:eastAsia="ja-JP"/>
        </w:rPr>
        <w:t>the</w:t>
      </w:r>
      <w:r w:rsidR="00C5328C" w:rsidRPr="008B152D">
        <w:rPr>
          <w:lang w:eastAsia="ja-JP"/>
        </w:rPr>
        <w:t xml:space="preserve"> </w:t>
      </w:r>
      <w:r w:rsidRPr="008B152D">
        <w:rPr>
          <w:lang w:eastAsia="ja-JP"/>
        </w:rPr>
        <w:t xml:space="preserve">regulatory </w:t>
      </w:r>
      <w:r w:rsidR="00C5328C" w:rsidRPr="008B152D">
        <w:rPr>
          <w:lang w:eastAsia="ja-JP"/>
        </w:rPr>
        <w:t>charge</w:t>
      </w:r>
      <w:r w:rsidRPr="008B152D">
        <w:rPr>
          <w:lang w:eastAsia="ja-JP"/>
        </w:rPr>
        <w:t xml:space="preserve"> that is changing</w:t>
      </w:r>
    </w:p>
    <w:p w14:paraId="6136D070" w14:textId="28AE4569" w:rsidR="00C5328C" w:rsidRPr="008B152D" w:rsidRDefault="00C5328C" w:rsidP="00C5328C">
      <w:pPr>
        <w:pStyle w:val="ListBullet"/>
        <w:rPr>
          <w:lang w:eastAsia="ja-JP"/>
        </w:rPr>
      </w:pPr>
      <w:r w:rsidRPr="008B152D">
        <w:rPr>
          <w:lang w:eastAsia="ja-JP"/>
        </w:rPr>
        <w:t xml:space="preserve">the </w:t>
      </w:r>
      <w:r w:rsidR="00E91094" w:rsidRPr="008B152D">
        <w:rPr>
          <w:lang w:eastAsia="ja-JP"/>
        </w:rPr>
        <w:t>complexity of the change to regulatory charging</w:t>
      </w:r>
    </w:p>
    <w:p w14:paraId="0EE742B7" w14:textId="2F054BA5" w:rsidR="00C5328C" w:rsidRPr="008B152D" w:rsidRDefault="00C5328C" w:rsidP="00C5328C">
      <w:pPr>
        <w:pStyle w:val="ListBullet"/>
        <w:rPr>
          <w:lang w:eastAsia="ja-JP"/>
        </w:rPr>
      </w:pPr>
      <w:r w:rsidRPr="008B152D">
        <w:rPr>
          <w:lang w:eastAsia="ja-JP"/>
        </w:rPr>
        <w:t xml:space="preserve">the </w:t>
      </w:r>
      <w:r w:rsidR="00E91094" w:rsidRPr="008B152D">
        <w:rPr>
          <w:lang w:eastAsia="ja-JP"/>
        </w:rPr>
        <w:t xml:space="preserve">change in </w:t>
      </w:r>
      <w:r w:rsidRPr="008B152D">
        <w:rPr>
          <w:lang w:eastAsia="ja-JP"/>
        </w:rPr>
        <w:t>legislative requirements for imposition of the cost recovery charge</w:t>
      </w:r>
    </w:p>
    <w:p w14:paraId="06756CA1" w14:textId="500DCF7E" w:rsidR="00E91094" w:rsidRPr="008B152D" w:rsidRDefault="00E91094" w:rsidP="00C5328C">
      <w:pPr>
        <w:pStyle w:val="ListBullet"/>
        <w:rPr>
          <w:lang w:eastAsia="ja-JP"/>
        </w:rPr>
      </w:pPr>
      <w:r w:rsidRPr="008B152D">
        <w:rPr>
          <w:lang w:eastAsia="ja-JP"/>
        </w:rPr>
        <w:t>the impact on payers</w:t>
      </w:r>
    </w:p>
    <w:p w14:paraId="1ACB3C41" w14:textId="7AC724B1" w:rsidR="00C5328C" w:rsidRPr="008B152D" w:rsidRDefault="00C5328C" w:rsidP="002B20D1">
      <w:pPr>
        <w:pStyle w:val="ListBullet"/>
        <w:rPr>
          <w:lang w:eastAsia="ja-JP"/>
        </w:rPr>
      </w:pPr>
      <w:r w:rsidRPr="008B152D">
        <w:rPr>
          <w:lang w:eastAsia="ja-JP"/>
        </w:rPr>
        <w:t xml:space="preserve">the required level of involvement with other </w:t>
      </w:r>
      <w:r w:rsidR="004A2FA3" w:rsidRPr="008B152D">
        <w:rPr>
          <w:lang w:eastAsia="ja-JP"/>
        </w:rPr>
        <w:t>Australian</w:t>
      </w:r>
      <w:r w:rsidRPr="008B152D">
        <w:rPr>
          <w:lang w:eastAsia="ja-JP"/>
        </w:rPr>
        <w:t xml:space="preserve">, </w:t>
      </w:r>
      <w:r w:rsidR="004A2FA3" w:rsidRPr="008B152D">
        <w:rPr>
          <w:lang w:eastAsia="ja-JP"/>
        </w:rPr>
        <w:t>s</w:t>
      </w:r>
      <w:r w:rsidRPr="008B152D">
        <w:rPr>
          <w:lang w:eastAsia="ja-JP"/>
        </w:rPr>
        <w:t xml:space="preserve">tate, </w:t>
      </w:r>
      <w:proofErr w:type="gramStart"/>
      <w:r w:rsidR="004A2FA3" w:rsidRPr="008B152D">
        <w:rPr>
          <w:lang w:eastAsia="ja-JP"/>
        </w:rPr>
        <w:t>t</w:t>
      </w:r>
      <w:r w:rsidR="008F1CCD" w:rsidRPr="008B152D">
        <w:rPr>
          <w:lang w:eastAsia="ja-JP"/>
        </w:rPr>
        <w:t>erritory</w:t>
      </w:r>
      <w:proofErr w:type="gramEnd"/>
      <w:r w:rsidRPr="008B152D">
        <w:rPr>
          <w:lang w:eastAsia="ja-JP"/>
        </w:rPr>
        <w:t xml:space="preserve"> or local government entities.</w:t>
      </w:r>
    </w:p>
    <w:p w14:paraId="16890AEF" w14:textId="20D8C5E6" w:rsidR="00C5328C" w:rsidRDefault="00C5328C" w:rsidP="00C5328C">
      <w:pPr>
        <w:rPr>
          <w:lang w:eastAsia="ja-JP"/>
        </w:rPr>
      </w:pPr>
      <w:r w:rsidRPr="008B152D">
        <w:rPr>
          <w:lang w:eastAsia="ja-JP"/>
        </w:rPr>
        <w:t xml:space="preserve">In addition to the CRA, we have considered </w:t>
      </w:r>
      <w:proofErr w:type="gramStart"/>
      <w:r w:rsidRPr="008B152D">
        <w:rPr>
          <w:lang w:eastAsia="ja-JP"/>
        </w:rPr>
        <w:t>a number of</w:t>
      </w:r>
      <w:proofErr w:type="gramEnd"/>
      <w:r w:rsidRPr="008B152D">
        <w:rPr>
          <w:lang w:eastAsia="ja-JP"/>
        </w:rPr>
        <w:t xml:space="preserve"> risks associated with cost recovering biosecurity activities and how we will manage these risks, presented in </w:t>
      </w:r>
      <w:r w:rsidR="004A2FA3" w:rsidRPr="008B152D">
        <w:rPr>
          <w:lang w:eastAsia="ja-JP"/>
        </w:rPr>
        <w:fldChar w:fldCharType="begin"/>
      </w:r>
      <w:r w:rsidR="004A2FA3" w:rsidRPr="008B152D">
        <w:rPr>
          <w:lang w:eastAsia="ja-JP"/>
        </w:rPr>
        <w:instrText xml:space="preserve"> REF _Ref77863628 \h </w:instrText>
      </w:r>
      <w:r w:rsidR="00014045" w:rsidRPr="008B152D">
        <w:rPr>
          <w:lang w:eastAsia="ja-JP"/>
        </w:rPr>
        <w:instrText xml:space="preserve"> \* MERGEFORMAT </w:instrText>
      </w:r>
      <w:r w:rsidR="004A2FA3" w:rsidRPr="008B152D">
        <w:rPr>
          <w:lang w:eastAsia="ja-JP"/>
        </w:rPr>
      </w:r>
      <w:r w:rsidR="004A2FA3" w:rsidRPr="008B152D">
        <w:rPr>
          <w:lang w:eastAsia="ja-JP"/>
        </w:rPr>
        <w:fldChar w:fldCharType="separate"/>
      </w:r>
      <w:r w:rsidR="0033587A">
        <w:t xml:space="preserve">Table </w:t>
      </w:r>
      <w:r w:rsidR="0033587A">
        <w:rPr>
          <w:noProof/>
        </w:rPr>
        <w:t>4</w:t>
      </w:r>
      <w:r w:rsidR="004A2FA3" w:rsidRPr="008B152D">
        <w:rPr>
          <w:lang w:eastAsia="ja-JP"/>
        </w:rPr>
        <w:fldChar w:fldCharType="end"/>
      </w:r>
      <w:r w:rsidR="004A2FA3" w:rsidRPr="008B152D">
        <w:rPr>
          <w:lang w:eastAsia="ja-JP"/>
        </w:rPr>
        <w:t>.</w:t>
      </w:r>
    </w:p>
    <w:p w14:paraId="79E9B8B2" w14:textId="74F36755" w:rsidR="008E24B1" w:rsidRDefault="008E24B1" w:rsidP="008E24B1">
      <w:pPr>
        <w:pStyle w:val="Caption"/>
      </w:pPr>
      <w:bookmarkStart w:id="48" w:name="_Ref77863628"/>
      <w:bookmarkStart w:id="49" w:name="_Toc113262181"/>
      <w:r>
        <w:t xml:space="preserve">Table </w:t>
      </w:r>
      <w:r w:rsidR="003C1A72">
        <w:fldChar w:fldCharType="begin"/>
      </w:r>
      <w:r w:rsidR="003C1A72">
        <w:instrText xml:space="preserve"> SEQ Table \* ARABIC </w:instrText>
      </w:r>
      <w:r w:rsidR="003C1A72">
        <w:fldChar w:fldCharType="separate"/>
      </w:r>
      <w:r w:rsidR="0033587A">
        <w:rPr>
          <w:noProof/>
        </w:rPr>
        <w:t>4</w:t>
      </w:r>
      <w:r w:rsidR="003C1A72">
        <w:rPr>
          <w:noProof/>
        </w:rPr>
        <w:fldChar w:fldCharType="end"/>
      </w:r>
      <w:bookmarkEnd w:id="48"/>
      <w:r>
        <w:t xml:space="preserve"> </w:t>
      </w:r>
      <w:r w:rsidRPr="00C242AB">
        <w:t>Risks for biosecurity arrangement</w:t>
      </w:r>
      <w:bookmarkEnd w:id="49"/>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E24B1" w:rsidRPr="002425BC" w14:paraId="2CC7F1B8" w14:textId="77777777" w:rsidTr="00C50BC1">
        <w:trPr>
          <w:cantSplit/>
          <w:tblHeader/>
        </w:trPr>
        <w:tc>
          <w:tcPr>
            <w:tcW w:w="2500" w:type="pct"/>
            <w:tcBorders>
              <w:top w:val="single" w:sz="4" w:space="0" w:color="auto"/>
              <w:bottom w:val="single" w:sz="4" w:space="0" w:color="auto"/>
            </w:tcBorders>
          </w:tcPr>
          <w:p w14:paraId="7F4829F6" w14:textId="77777777" w:rsidR="008E24B1" w:rsidRPr="002425BC" w:rsidRDefault="008E24B1" w:rsidP="002425BC">
            <w:pPr>
              <w:pStyle w:val="TableHeading"/>
            </w:pPr>
            <w:bookmarkStart w:id="50" w:name="Title_4"/>
            <w:bookmarkEnd w:id="50"/>
            <w:r w:rsidRPr="002425BC">
              <w:t>Risk</w:t>
            </w:r>
          </w:p>
        </w:tc>
        <w:tc>
          <w:tcPr>
            <w:tcW w:w="2500" w:type="pct"/>
            <w:tcBorders>
              <w:top w:val="single" w:sz="4" w:space="0" w:color="auto"/>
              <w:bottom w:val="single" w:sz="4" w:space="0" w:color="auto"/>
            </w:tcBorders>
          </w:tcPr>
          <w:p w14:paraId="0E7EAD38" w14:textId="77777777" w:rsidR="008E24B1" w:rsidRPr="002425BC" w:rsidRDefault="008E24B1" w:rsidP="002425BC">
            <w:pPr>
              <w:pStyle w:val="TableHeading"/>
            </w:pPr>
            <w:r w:rsidRPr="002425BC">
              <w:t>Management</w:t>
            </w:r>
          </w:p>
        </w:tc>
      </w:tr>
      <w:tr w:rsidR="008E24B1" w:rsidRPr="006941CE" w14:paraId="66E2C222" w14:textId="77777777" w:rsidTr="00C50BC1">
        <w:tc>
          <w:tcPr>
            <w:tcW w:w="2500" w:type="pct"/>
            <w:tcBorders>
              <w:top w:val="single" w:sz="4" w:space="0" w:color="auto"/>
            </w:tcBorders>
          </w:tcPr>
          <w:p w14:paraId="0D90F86A" w14:textId="3FF04DA6" w:rsidR="008E24B1" w:rsidRPr="006941CE" w:rsidRDefault="008E018B" w:rsidP="002425BC">
            <w:pPr>
              <w:pStyle w:val="TableText"/>
            </w:pPr>
            <w:r>
              <w:t xml:space="preserve">Biosecurity cost recovery </w:t>
            </w:r>
            <w:r w:rsidR="008E24B1" w:rsidRPr="006941CE">
              <w:t>affecting industry competitiveness.</w:t>
            </w:r>
          </w:p>
        </w:tc>
        <w:tc>
          <w:tcPr>
            <w:tcW w:w="2500" w:type="pct"/>
            <w:tcBorders>
              <w:top w:val="single" w:sz="4" w:space="0" w:color="auto"/>
            </w:tcBorders>
          </w:tcPr>
          <w:p w14:paraId="0D96A273" w14:textId="41637E86" w:rsidR="008E24B1" w:rsidRPr="006941CE" w:rsidRDefault="008E24B1" w:rsidP="002425BC">
            <w:pPr>
              <w:pStyle w:val="TableText"/>
            </w:pPr>
            <w:r w:rsidRPr="006941CE">
              <w:t xml:space="preserve">We will continue </w:t>
            </w:r>
            <w:r w:rsidR="008E018B">
              <w:t>to monitor our performance in the delivery of biosecurity activities.</w:t>
            </w:r>
          </w:p>
        </w:tc>
      </w:tr>
      <w:tr w:rsidR="008E24B1" w:rsidRPr="006941CE" w14:paraId="39172E9C" w14:textId="77777777" w:rsidTr="00C50BC1">
        <w:tc>
          <w:tcPr>
            <w:tcW w:w="2500" w:type="pct"/>
          </w:tcPr>
          <w:p w14:paraId="243E8093" w14:textId="77777777" w:rsidR="008E24B1" w:rsidRPr="006941CE" w:rsidRDefault="008E24B1" w:rsidP="002425BC">
            <w:pPr>
              <w:pStyle w:val="TableText"/>
            </w:pPr>
            <w:r w:rsidRPr="006941CE">
              <w:t>The fee and charge structure does not support future regulatory reforms.</w:t>
            </w:r>
          </w:p>
        </w:tc>
        <w:tc>
          <w:tcPr>
            <w:tcW w:w="2500" w:type="pct"/>
          </w:tcPr>
          <w:p w14:paraId="0CD7424D" w14:textId="39BB98AD" w:rsidR="008E24B1" w:rsidRPr="006941CE" w:rsidRDefault="008E24B1" w:rsidP="002425BC">
            <w:pPr>
              <w:pStyle w:val="TableText"/>
            </w:pPr>
            <w:r w:rsidRPr="006941CE">
              <w:t>The CRIS will be reviewed annually</w:t>
            </w:r>
            <w:r w:rsidR="008E018B">
              <w:t xml:space="preserve"> and updated accordingly</w:t>
            </w:r>
            <w:r w:rsidRPr="006941CE">
              <w:t>.</w:t>
            </w:r>
          </w:p>
        </w:tc>
      </w:tr>
      <w:tr w:rsidR="008E24B1" w:rsidRPr="006941CE" w14:paraId="298F30EC" w14:textId="77777777" w:rsidTr="00C50BC1">
        <w:tc>
          <w:tcPr>
            <w:tcW w:w="2500" w:type="pct"/>
          </w:tcPr>
          <w:p w14:paraId="4963D7B6" w14:textId="2B730973" w:rsidR="008E24B1" w:rsidRPr="006941CE" w:rsidRDefault="008E24B1" w:rsidP="002425BC">
            <w:pPr>
              <w:pStyle w:val="TableText"/>
            </w:pPr>
            <w:r w:rsidRPr="006941CE">
              <w:t xml:space="preserve">Changes to </w:t>
            </w:r>
            <w:r w:rsidR="004A2FA3">
              <w:t>g</w:t>
            </w:r>
            <w:r w:rsidRPr="006941CE">
              <w:t>overnment policy and activities.</w:t>
            </w:r>
          </w:p>
        </w:tc>
        <w:tc>
          <w:tcPr>
            <w:tcW w:w="2500" w:type="pct"/>
          </w:tcPr>
          <w:p w14:paraId="16572E12" w14:textId="099CBD2E" w:rsidR="008E24B1" w:rsidRPr="006941CE" w:rsidRDefault="008E24B1" w:rsidP="002425BC">
            <w:pPr>
              <w:pStyle w:val="TableText"/>
            </w:pPr>
            <w:r w:rsidRPr="006941CE">
              <w:t>Regular assessments</w:t>
            </w:r>
            <w:r w:rsidR="008F1CCD">
              <w:t xml:space="preserve"> </w:t>
            </w:r>
            <w:r w:rsidRPr="006941CE">
              <w:t>of the arrangement will inform whether a regulatory charging review is required.</w:t>
            </w:r>
          </w:p>
        </w:tc>
      </w:tr>
      <w:tr w:rsidR="008E24B1" w:rsidRPr="006941CE" w14:paraId="53535040" w14:textId="77777777" w:rsidTr="00C50BC1">
        <w:tc>
          <w:tcPr>
            <w:tcW w:w="2500" w:type="pct"/>
          </w:tcPr>
          <w:p w14:paraId="7554930A" w14:textId="77777777" w:rsidR="008E24B1" w:rsidRPr="006941CE" w:rsidRDefault="008E24B1" w:rsidP="002425BC">
            <w:pPr>
              <w:pStyle w:val="TableText"/>
            </w:pPr>
            <w:r w:rsidRPr="006941CE">
              <w:t>Biosecurity risk level changes—the cost of undertaking biosecurity activities no longer reflects forecast effort.</w:t>
            </w:r>
          </w:p>
        </w:tc>
        <w:tc>
          <w:tcPr>
            <w:tcW w:w="2500" w:type="pct"/>
          </w:tcPr>
          <w:p w14:paraId="4899E782" w14:textId="5D123233" w:rsidR="008E24B1" w:rsidRPr="006941CE" w:rsidRDefault="008E24B1" w:rsidP="002425BC">
            <w:pPr>
              <w:pStyle w:val="TableText"/>
            </w:pPr>
            <w:r w:rsidRPr="006941CE">
              <w:t>Regular assessment of the arrangement will inform whether a regulatory charging review is required.</w:t>
            </w:r>
          </w:p>
        </w:tc>
      </w:tr>
      <w:tr w:rsidR="008E24B1" w:rsidRPr="006941CE" w14:paraId="63416FBA" w14:textId="77777777" w:rsidTr="00C50BC1">
        <w:tc>
          <w:tcPr>
            <w:tcW w:w="2500" w:type="pct"/>
          </w:tcPr>
          <w:p w14:paraId="3E3A81EA" w14:textId="5B8E2AC9" w:rsidR="008E24B1" w:rsidRPr="006941CE" w:rsidRDefault="008E24B1" w:rsidP="002425BC">
            <w:pPr>
              <w:pStyle w:val="TableText"/>
            </w:pPr>
            <w:r w:rsidRPr="006941CE">
              <w:t xml:space="preserve">Under-recovery occurs (for example, </w:t>
            </w:r>
            <w:r w:rsidR="003A30A5">
              <w:t>because</w:t>
            </w:r>
            <w:r w:rsidRPr="006941CE">
              <w:t xml:space="preserve"> of a reduction in the level of import activity).</w:t>
            </w:r>
          </w:p>
        </w:tc>
        <w:tc>
          <w:tcPr>
            <w:tcW w:w="2500" w:type="pct"/>
          </w:tcPr>
          <w:p w14:paraId="6596BF9A" w14:textId="67F1FE88" w:rsidR="008E24B1" w:rsidRPr="006941CE" w:rsidRDefault="008E24B1" w:rsidP="002425BC">
            <w:pPr>
              <w:pStyle w:val="TableText"/>
            </w:pPr>
            <w:r w:rsidRPr="006941CE">
              <w:t xml:space="preserve">We will engage with industry to discuss options </w:t>
            </w:r>
            <w:r w:rsidR="008F1CCD">
              <w:t xml:space="preserve">and </w:t>
            </w:r>
            <w:r w:rsidR="008F1CCD" w:rsidRPr="006941CE">
              <w:t>develop</w:t>
            </w:r>
            <w:r w:rsidR="005A514F">
              <w:t xml:space="preserve"> strategies to manage expenses.</w:t>
            </w:r>
          </w:p>
        </w:tc>
      </w:tr>
      <w:tr w:rsidR="008E24B1" w:rsidRPr="006941CE" w14:paraId="21593B45" w14:textId="77777777" w:rsidTr="00C50BC1">
        <w:tc>
          <w:tcPr>
            <w:tcW w:w="2500" w:type="pct"/>
          </w:tcPr>
          <w:p w14:paraId="60682B47" w14:textId="2F590083" w:rsidR="008E24B1" w:rsidRPr="006941CE" w:rsidRDefault="008E24B1" w:rsidP="002425BC">
            <w:pPr>
              <w:pStyle w:val="TableText"/>
            </w:pPr>
            <w:r w:rsidRPr="006941CE">
              <w:t xml:space="preserve">Over-recovery occurs (for example, </w:t>
            </w:r>
            <w:r w:rsidR="003A30A5">
              <w:t xml:space="preserve">because </w:t>
            </w:r>
            <w:r w:rsidRPr="006941CE">
              <w:t>of a greater than anticipated level of import activity).</w:t>
            </w:r>
          </w:p>
        </w:tc>
        <w:tc>
          <w:tcPr>
            <w:tcW w:w="2500" w:type="pct"/>
          </w:tcPr>
          <w:p w14:paraId="17513489" w14:textId="77777777" w:rsidR="008E24B1" w:rsidRPr="006941CE" w:rsidRDefault="008E24B1" w:rsidP="002425BC">
            <w:pPr>
              <w:pStyle w:val="TableText"/>
            </w:pPr>
            <w:r w:rsidRPr="006941CE">
              <w:t>Subject to approval, over-recoveries may be managed through remittance, or investment initiatives directly benefiting activities within the arrangement. An alternative approach may be agreed with industry within policy guidelines.</w:t>
            </w:r>
          </w:p>
        </w:tc>
      </w:tr>
      <w:tr w:rsidR="008E24B1" w:rsidRPr="006941CE" w14:paraId="23BE3BBE" w14:textId="77777777" w:rsidTr="00C50BC1">
        <w:tc>
          <w:tcPr>
            <w:tcW w:w="2500" w:type="pct"/>
          </w:tcPr>
          <w:p w14:paraId="77439530" w14:textId="77777777" w:rsidR="008E24B1" w:rsidRPr="006941CE" w:rsidRDefault="008E24B1" w:rsidP="002425BC">
            <w:pPr>
              <w:pStyle w:val="TableText"/>
            </w:pPr>
            <w:r w:rsidRPr="006941CE">
              <w:t>Changing events impact actual revenue verses forecast revenue.</w:t>
            </w:r>
          </w:p>
        </w:tc>
        <w:tc>
          <w:tcPr>
            <w:tcW w:w="2500" w:type="pct"/>
          </w:tcPr>
          <w:p w14:paraId="76BF4B72" w14:textId="77777777" w:rsidR="008E24B1" w:rsidRPr="006941CE" w:rsidRDefault="008E24B1" w:rsidP="002425BC">
            <w:pPr>
              <w:pStyle w:val="TableText"/>
            </w:pPr>
            <w:r w:rsidRPr="006941CE">
              <w:t>We will update the CRIS annually to reflect changes in activity and effort and describe any consequential changes in the cost and price.</w:t>
            </w:r>
          </w:p>
        </w:tc>
      </w:tr>
    </w:tbl>
    <w:p w14:paraId="77409BFE" w14:textId="45533F8B" w:rsidR="001926AB" w:rsidRDefault="00A82DE1" w:rsidP="00A82DE1">
      <w:pPr>
        <w:pStyle w:val="Heading2"/>
      </w:pPr>
      <w:bookmarkStart w:id="51" w:name="_Toc119313396"/>
      <w:r w:rsidRPr="00A82DE1">
        <w:lastRenderedPageBreak/>
        <w:t>Stakeholder engagement</w:t>
      </w:r>
      <w:bookmarkEnd w:id="51"/>
    </w:p>
    <w:p w14:paraId="25B981D4" w14:textId="0D3F90EB" w:rsidR="00A82DE1" w:rsidRDefault="00A82DE1" w:rsidP="00A82DE1">
      <w:pPr>
        <w:rPr>
          <w:lang w:eastAsia="ja-JP"/>
        </w:rPr>
      </w:pPr>
      <w:r w:rsidRPr="00A82DE1">
        <w:rPr>
          <w:lang w:eastAsia="ja-JP"/>
        </w:rPr>
        <w:t>Stakeholder engagement plays an important role in the development and management of regulatory charging arrangements. Our stakeholders have unique insights into how our regulatory activities affect their businesses and can help us design efficient regulatory charging frameworks for these activities</w:t>
      </w:r>
    </w:p>
    <w:p w14:paraId="622CBE93" w14:textId="70DF2F48" w:rsidR="00A82DE1" w:rsidRDefault="00A82DE1" w:rsidP="00A82DE1">
      <w:pPr>
        <w:pStyle w:val="Heading3"/>
        <w:rPr>
          <w:lang w:eastAsia="ja-JP"/>
        </w:rPr>
      </w:pPr>
      <w:bookmarkStart w:id="52" w:name="_Toc119313397"/>
      <w:r>
        <w:rPr>
          <w:lang w:eastAsia="ja-JP"/>
        </w:rPr>
        <w:t>Industry engagement</w:t>
      </w:r>
      <w:bookmarkEnd w:id="52"/>
    </w:p>
    <w:p w14:paraId="6997E969" w14:textId="4270B06B" w:rsidR="00A82DE1" w:rsidRDefault="00A82DE1" w:rsidP="00A82DE1">
      <w:pPr>
        <w:rPr>
          <w:lang w:eastAsia="ja-JP"/>
        </w:rPr>
      </w:pPr>
      <w:r>
        <w:rPr>
          <w:lang w:eastAsia="ja-JP"/>
        </w:rPr>
        <w:t xml:space="preserve">We have established </w:t>
      </w:r>
      <w:hyperlink r:id="rId45" w:history="1">
        <w:r w:rsidRPr="00A82DE1">
          <w:rPr>
            <w:rStyle w:val="Hyperlink"/>
            <w:lang w:eastAsia="ja-JP"/>
          </w:rPr>
          <w:t>industry consultative committees</w:t>
        </w:r>
      </w:hyperlink>
      <w:r>
        <w:rPr>
          <w:lang w:eastAsia="ja-JP"/>
        </w:rPr>
        <w:t xml:space="preserve"> to represent industry views in relation to biosecurity and imported food. We consult with these committees on </w:t>
      </w:r>
      <w:proofErr w:type="gramStart"/>
      <w:r>
        <w:rPr>
          <w:lang w:eastAsia="ja-JP"/>
        </w:rPr>
        <w:t>a number of</w:t>
      </w:r>
      <w:proofErr w:type="gramEnd"/>
      <w:r>
        <w:rPr>
          <w:lang w:eastAsia="ja-JP"/>
        </w:rPr>
        <w:t xml:space="preserve"> different activities. The consultative committees include:</w:t>
      </w:r>
    </w:p>
    <w:p w14:paraId="03E26373" w14:textId="5C8037A3" w:rsidR="00A82DE1" w:rsidRPr="00A82DE1" w:rsidRDefault="00A82DE1" w:rsidP="00A82DE1">
      <w:pPr>
        <w:pStyle w:val="ListBullet"/>
      </w:pPr>
      <w:r w:rsidRPr="00A82DE1">
        <w:t>Cargo Consultative Committee</w:t>
      </w:r>
    </w:p>
    <w:p w14:paraId="1F0DE163" w14:textId="7E45CCA8" w:rsidR="00A82DE1" w:rsidRPr="00A82DE1" w:rsidRDefault="00A82DE1" w:rsidP="00A82DE1">
      <w:pPr>
        <w:pStyle w:val="ListBullet"/>
      </w:pPr>
      <w:r w:rsidRPr="00A82DE1">
        <w:t>Biological Consultative Group</w:t>
      </w:r>
    </w:p>
    <w:p w14:paraId="728C45B0" w14:textId="7FEF1870" w:rsidR="00A82DE1" w:rsidRPr="00A82DE1" w:rsidRDefault="00A82DE1" w:rsidP="00A82DE1">
      <w:pPr>
        <w:pStyle w:val="ListBullet"/>
      </w:pPr>
      <w:r w:rsidRPr="00A82DE1">
        <w:t>Imported Food Consultative Committee</w:t>
      </w:r>
    </w:p>
    <w:p w14:paraId="0A5A7005" w14:textId="40C0958A" w:rsidR="00A82DE1" w:rsidRPr="00A82DE1" w:rsidRDefault="00A82DE1" w:rsidP="00A82DE1">
      <w:pPr>
        <w:pStyle w:val="ListBullet"/>
      </w:pPr>
      <w:r w:rsidRPr="00A82DE1">
        <w:t>Horse Industry Consultative Committee</w:t>
      </w:r>
    </w:p>
    <w:p w14:paraId="4A8825B1" w14:textId="1D6CEEFD" w:rsidR="00A82DE1" w:rsidRPr="00A82DE1" w:rsidRDefault="00A82DE1" w:rsidP="00A82DE1">
      <w:pPr>
        <w:pStyle w:val="ListBullet"/>
      </w:pPr>
      <w:r w:rsidRPr="00A82DE1">
        <w:t>Post Entry Plant Consultative Committee</w:t>
      </w:r>
    </w:p>
    <w:p w14:paraId="43DF1C98" w14:textId="45639938" w:rsidR="005A514F" w:rsidRPr="00F44465" w:rsidRDefault="002441E4" w:rsidP="000B2120">
      <w:pPr>
        <w:pStyle w:val="ListBullet"/>
        <w:numPr>
          <w:ilvl w:val="0"/>
          <w:numId w:val="0"/>
        </w:numPr>
        <w:rPr>
          <w:lang w:eastAsia="ja-JP"/>
        </w:rPr>
      </w:pPr>
      <w:r w:rsidRPr="00F44465">
        <w:rPr>
          <w:lang w:eastAsia="ja-JP"/>
        </w:rPr>
        <w:t xml:space="preserve">We also </w:t>
      </w:r>
      <w:r w:rsidR="00E26EEF" w:rsidRPr="00F44465">
        <w:rPr>
          <w:lang w:eastAsia="ja-JP"/>
        </w:rPr>
        <w:t xml:space="preserve">engage with representatives for avian, cat and dog importers, and </w:t>
      </w:r>
      <w:r w:rsidRPr="00F44465">
        <w:rPr>
          <w:lang w:eastAsia="ja-JP"/>
        </w:rPr>
        <w:t xml:space="preserve">with </w:t>
      </w:r>
      <w:r w:rsidR="004A2FA3" w:rsidRPr="00F44465">
        <w:rPr>
          <w:lang w:eastAsia="ja-JP"/>
        </w:rPr>
        <w:t>o</w:t>
      </w:r>
      <w:r w:rsidR="005A514F" w:rsidRPr="00F44465">
        <w:rPr>
          <w:lang w:eastAsia="ja-JP"/>
        </w:rPr>
        <w:t>ther peak bod</w:t>
      </w:r>
      <w:r w:rsidR="00E26EEF" w:rsidRPr="00F44465">
        <w:rPr>
          <w:lang w:eastAsia="ja-JP"/>
        </w:rPr>
        <w:t>ies</w:t>
      </w:r>
      <w:r w:rsidR="005A514F" w:rsidRPr="00F44465">
        <w:rPr>
          <w:lang w:eastAsia="ja-JP"/>
        </w:rPr>
        <w:t xml:space="preserve">, </w:t>
      </w:r>
      <w:proofErr w:type="gramStart"/>
      <w:r w:rsidR="008F1CCD" w:rsidRPr="00F44465">
        <w:rPr>
          <w:lang w:eastAsia="ja-JP"/>
        </w:rPr>
        <w:t>industry</w:t>
      </w:r>
      <w:proofErr w:type="gramEnd"/>
      <w:r w:rsidR="00E26EEF" w:rsidRPr="00F44465">
        <w:rPr>
          <w:lang w:eastAsia="ja-JP"/>
        </w:rPr>
        <w:t xml:space="preserve"> </w:t>
      </w:r>
      <w:r w:rsidR="005A514F" w:rsidRPr="00F44465">
        <w:rPr>
          <w:lang w:eastAsia="ja-JP"/>
        </w:rPr>
        <w:t xml:space="preserve">or </w:t>
      </w:r>
      <w:r w:rsidR="0094337D" w:rsidRPr="00F44465">
        <w:rPr>
          <w:lang w:eastAsia="ja-JP"/>
        </w:rPr>
        <w:t>individuals,</w:t>
      </w:r>
      <w:r w:rsidR="00E26EEF" w:rsidRPr="00F44465">
        <w:rPr>
          <w:lang w:eastAsia="ja-JP"/>
        </w:rPr>
        <w:t xml:space="preserve"> </w:t>
      </w:r>
      <w:r w:rsidR="005A514F" w:rsidRPr="00F44465">
        <w:rPr>
          <w:lang w:eastAsia="ja-JP"/>
        </w:rPr>
        <w:t>as necessary</w:t>
      </w:r>
      <w:r w:rsidR="004A2FA3" w:rsidRPr="00F44465">
        <w:rPr>
          <w:lang w:eastAsia="ja-JP"/>
        </w:rPr>
        <w:t>.</w:t>
      </w:r>
    </w:p>
    <w:p w14:paraId="3733F88D" w14:textId="694A51E3" w:rsidR="00165300" w:rsidRPr="00F44465" w:rsidRDefault="00A71CD3" w:rsidP="00165300">
      <w:pPr>
        <w:rPr>
          <w:lang w:eastAsia="ja-JP"/>
        </w:rPr>
      </w:pPr>
      <w:r w:rsidRPr="00CA261A">
        <w:rPr>
          <w:lang w:eastAsia="ja-JP"/>
        </w:rPr>
        <w:t xml:space="preserve">While the department provided advice about the measure and the intention to recover ongoing costs, the increase to one price point is considered </w:t>
      </w:r>
      <w:r w:rsidR="00E26EEF" w:rsidRPr="00CA261A">
        <w:rPr>
          <w:lang w:eastAsia="ja-JP"/>
        </w:rPr>
        <w:t xml:space="preserve">a minor </w:t>
      </w:r>
      <w:r w:rsidRPr="00CA261A">
        <w:rPr>
          <w:lang w:eastAsia="ja-JP"/>
        </w:rPr>
        <w:t>amendment</w:t>
      </w:r>
      <w:r w:rsidR="00EC6876" w:rsidRPr="00CA261A">
        <w:rPr>
          <w:lang w:eastAsia="ja-JP"/>
        </w:rPr>
        <w:t xml:space="preserve">. Targeted consultation was undertaken with </w:t>
      </w:r>
      <w:r w:rsidR="00165300" w:rsidRPr="00CA261A">
        <w:rPr>
          <w:lang w:eastAsia="ja-JP"/>
        </w:rPr>
        <w:t xml:space="preserve">industry </w:t>
      </w:r>
      <w:r w:rsidR="00EC6876" w:rsidRPr="00CA261A">
        <w:rPr>
          <w:lang w:eastAsia="ja-JP"/>
        </w:rPr>
        <w:t xml:space="preserve">on </w:t>
      </w:r>
      <w:r w:rsidR="0033587A">
        <w:rPr>
          <w:lang w:eastAsia="ja-JP"/>
        </w:rPr>
        <w:t xml:space="preserve">the </w:t>
      </w:r>
      <w:r w:rsidR="00EC6876" w:rsidRPr="00CA261A">
        <w:rPr>
          <w:lang w:eastAsia="ja-JP"/>
        </w:rPr>
        <w:t xml:space="preserve">commencement date of the price increase </w:t>
      </w:r>
      <w:r w:rsidR="00165300" w:rsidRPr="00CA261A">
        <w:rPr>
          <w:lang w:eastAsia="ja-JP"/>
        </w:rPr>
        <w:t>prior to publication of this CRIS.</w:t>
      </w:r>
    </w:p>
    <w:p w14:paraId="5AA735FA" w14:textId="4C6B2240" w:rsidR="00A82DE1" w:rsidRDefault="00165300" w:rsidP="00165300">
      <w:pPr>
        <w:rPr>
          <w:lang w:eastAsia="ja-JP"/>
        </w:rPr>
      </w:pPr>
      <w:r w:rsidRPr="00F44465">
        <w:rPr>
          <w:lang w:eastAsia="ja-JP"/>
        </w:rPr>
        <w:t xml:space="preserve">Extensive consultation will occur as part of the </w:t>
      </w:r>
      <w:r w:rsidR="009450AB" w:rsidRPr="00F44465">
        <w:rPr>
          <w:lang w:eastAsia="ja-JP"/>
        </w:rPr>
        <w:t xml:space="preserve">comprehensive </w:t>
      </w:r>
      <w:r w:rsidRPr="00F44465">
        <w:rPr>
          <w:lang w:eastAsia="ja-JP"/>
        </w:rPr>
        <w:t xml:space="preserve">review of </w:t>
      </w:r>
      <w:r w:rsidR="00A71CD3" w:rsidRPr="00F44465">
        <w:rPr>
          <w:lang w:eastAsia="ja-JP"/>
        </w:rPr>
        <w:t xml:space="preserve">the </w:t>
      </w:r>
      <w:r w:rsidRPr="00F44465">
        <w:rPr>
          <w:lang w:eastAsia="ja-JP"/>
        </w:rPr>
        <w:t xml:space="preserve">regulatory charging arrangements </w:t>
      </w:r>
      <w:r w:rsidR="009450AB" w:rsidRPr="00F44465">
        <w:rPr>
          <w:lang w:eastAsia="ja-JP"/>
        </w:rPr>
        <w:t>anticipated in late 2022</w:t>
      </w:r>
      <w:r w:rsidRPr="00F44465">
        <w:rPr>
          <w:lang w:eastAsia="ja-JP"/>
        </w:rPr>
        <w:t>. Industry will be given opportunity to provide feedback on proposed charging models prior to publishing a</w:t>
      </w:r>
      <w:r w:rsidR="00042B49" w:rsidRPr="00F44465">
        <w:rPr>
          <w:lang w:eastAsia="ja-JP"/>
        </w:rPr>
        <w:t xml:space="preserve">ny </w:t>
      </w:r>
      <w:r w:rsidRPr="00F44465">
        <w:rPr>
          <w:lang w:eastAsia="ja-JP"/>
        </w:rPr>
        <w:t>new CRIS.</w:t>
      </w:r>
    </w:p>
    <w:p w14:paraId="0A316793" w14:textId="618CC7F0" w:rsidR="00A82DE1" w:rsidRDefault="00A82DE1" w:rsidP="00A82DE1">
      <w:pPr>
        <w:pStyle w:val="Heading3"/>
        <w:rPr>
          <w:lang w:eastAsia="ja-JP"/>
        </w:rPr>
      </w:pPr>
      <w:bookmarkStart w:id="53" w:name="_Toc119313398"/>
      <w:r>
        <w:rPr>
          <w:lang w:eastAsia="ja-JP"/>
        </w:rPr>
        <w:t>Ongoing engagement strategy</w:t>
      </w:r>
      <w:bookmarkEnd w:id="53"/>
    </w:p>
    <w:p w14:paraId="245F2C83" w14:textId="6F26B89F" w:rsidR="00A82DE1" w:rsidRDefault="00BA7059" w:rsidP="00A82DE1">
      <w:pPr>
        <w:rPr>
          <w:lang w:eastAsia="ja-JP"/>
        </w:rPr>
      </w:pPr>
      <w:r>
        <w:rPr>
          <w:lang w:eastAsia="ja-JP"/>
        </w:rPr>
        <w:t>Following f</w:t>
      </w:r>
      <w:r w:rsidR="00A82DE1">
        <w:rPr>
          <w:lang w:eastAsia="ja-JP"/>
        </w:rPr>
        <w:t xml:space="preserve">eedback from industry and recommendations of the Australian National Audit Office’s </w:t>
      </w:r>
      <w:hyperlink r:id="rId46" w:history="1">
        <w:r w:rsidR="00A82DE1" w:rsidRPr="00A82DE1">
          <w:rPr>
            <w:rStyle w:val="Hyperlink"/>
            <w:lang w:eastAsia="ja-JP"/>
          </w:rPr>
          <w:t>Application of cost recovery principles</w:t>
        </w:r>
      </w:hyperlink>
      <w:r w:rsidR="00A82DE1">
        <w:rPr>
          <w:lang w:eastAsia="ja-JP"/>
        </w:rPr>
        <w:t xml:space="preserve"> (report no. 38 2018–19) </w:t>
      </w:r>
      <w:r>
        <w:rPr>
          <w:lang w:eastAsia="ja-JP"/>
        </w:rPr>
        <w:t xml:space="preserve">we </w:t>
      </w:r>
      <w:r w:rsidR="00A82DE1">
        <w:rPr>
          <w:lang w:eastAsia="ja-JP"/>
        </w:rPr>
        <w:t>review</w:t>
      </w:r>
      <w:r>
        <w:rPr>
          <w:lang w:eastAsia="ja-JP"/>
        </w:rPr>
        <w:t>ed</w:t>
      </w:r>
      <w:r w:rsidR="00A82DE1">
        <w:rPr>
          <w:lang w:eastAsia="ja-JP"/>
        </w:rPr>
        <w:t xml:space="preserve"> our engagement approach with industry, to better communicate efficiency and effectiveness of our regulatory activity to industry.</w:t>
      </w:r>
    </w:p>
    <w:p w14:paraId="723B5EF6" w14:textId="77777777" w:rsidR="00A82DE1" w:rsidRDefault="00A82DE1" w:rsidP="00A82DE1">
      <w:pPr>
        <w:rPr>
          <w:lang w:eastAsia="ja-JP"/>
        </w:rPr>
      </w:pPr>
      <w:r>
        <w:rPr>
          <w:lang w:eastAsia="ja-JP"/>
        </w:rPr>
        <w:t xml:space="preserve">We currently undertake </w:t>
      </w:r>
      <w:proofErr w:type="gramStart"/>
      <w:r>
        <w:rPr>
          <w:lang w:eastAsia="ja-JP"/>
        </w:rPr>
        <w:t>a number of</w:t>
      </w:r>
      <w:proofErr w:type="gramEnd"/>
      <w:r>
        <w:rPr>
          <w:lang w:eastAsia="ja-JP"/>
        </w:rPr>
        <w:t xml:space="preserve"> activities to engage with our stakeholders, including:</w:t>
      </w:r>
    </w:p>
    <w:p w14:paraId="6AB702DB" w14:textId="091AB18C" w:rsidR="00A82DE1" w:rsidRDefault="00AA50AD" w:rsidP="00A82DE1">
      <w:pPr>
        <w:pStyle w:val="ListBullet"/>
        <w:rPr>
          <w:lang w:eastAsia="ja-JP"/>
        </w:rPr>
      </w:pPr>
      <w:r>
        <w:rPr>
          <w:lang w:eastAsia="ja-JP"/>
        </w:rPr>
        <w:t>e</w:t>
      </w:r>
      <w:r w:rsidR="00A82DE1">
        <w:rPr>
          <w:lang w:eastAsia="ja-JP"/>
        </w:rPr>
        <w:t>ngaging with industry consultative committees through agreed terms of reference</w:t>
      </w:r>
    </w:p>
    <w:p w14:paraId="09F57AFB" w14:textId="60615D30" w:rsidR="00A82DE1" w:rsidRDefault="00AA50AD" w:rsidP="00A82DE1">
      <w:pPr>
        <w:pStyle w:val="ListBullet"/>
        <w:rPr>
          <w:lang w:eastAsia="ja-JP"/>
        </w:rPr>
      </w:pPr>
      <w:r>
        <w:rPr>
          <w:lang w:eastAsia="ja-JP"/>
        </w:rPr>
        <w:t>r</w:t>
      </w:r>
      <w:r w:rsidR="00A82DE1">
        <w:rPr>
          <w:lang w:eastAsia="ja-JP"/>
        </w:rPr>
        <w:t>eporting quarterly on regulatory charging performance, including explanations for material variances between budgeted and actual positions</w:t>
      </w:r>
    </w:p>
    <w:p w14:paraId="297BA67B" w14:textId="0815D91A" w:rsidR="00A82DE1" w:rsidRDefault="00AA50AD" w:rsidP="00A82DE1">
      <w:pPr>
        <w:pStyle w:val="ListBullet"/>
        <w:rPr>
          <w:lang w:eastAsia="ja-JP"/>
        </w:rPr>
      </w:pPr>
      <w:r>
        <w:rPr>
          <w:lang w:eastAsia="ja-JP"/>
        </w:rPr>
        <w:t>a</w:t>
      </w:r>
      <w:r w:rsidR="00A82DE1">
        <w:rPr>
          <w:lang w:eastAsia="ja-JP"/>
        </w:rPr>
        <w:t>t the commencement of every budget cycle, reviewing and updating the CRIS to report on significant changes to revenue or expenditure or to relevant legislation</w:t>
      </w:r>
      <w:r>
        <w:rPr>
          <w:lang w:eastAsia="ja-JP"/>
        </w:rPr>
        <w:t>, including</w:t>
      </w:r>
      <w:r w:rsidR="00A82DE1">
        <w:rPr>
          <w:lang w:eastAsia="ja-JP"/>
        </w:rPr>
        <w:t xml:space="preserve"> any material variances highlighted throughout the year</w:t>
      </w:r>
    </w:p>
    <w:p w14:paraId="07AE9879" w14:textId="08371300" w:rsidR="00A82DE1" w:rsidRDefault="00AA50AD" w:rsidP="00A82DE1">
      <w:pPr>
        <w:pStyle w:val="ListBullet"/>
        <w:rPr>
          <w:lang w:eastAsia="ja-JP"/>
        </w:rPr>
      </w:pPr>
      <w:r>
        <w:rPr>
          <w:lang w:eastAsia="ja-JP"/>
        </w:rPr>
        <w:lastRenderedPageBreak/>
        <w:t>c</w:t>
      </w:r>
      <w:r w:rsidR="00A82DE1">
        <w:rPr>
          <w:lang w:eastAsia="ja-JP"/>
        </w:rPr>
        <w:t>ommunicati</w:t>
      </w:r>
      <w:r>
        <w:rPr>
          <w:lang w:eastAsia="ja-JP"/>
        </w:rPr>
        <w:t>ng</w:t>
      </w:r>
      <w:r w:rsidR="00A82DE1">
        <w:rPr>
          <w:lang w:eastAsia="ja-JP"/>
        </w:rPr>
        <w:t xml:space="preserve"> with industry consultative committees on changes to the CRIS</w:t>
      </w:r>
      <w:r>
        <w:rPr>
          <w:lang w:eastAsia="ja-JP"/>
        </w:rPr>
        <w:t xml:space="preserve"> </w:t>
      </w:r>
      <w:r w:rsidR="00A82DE1">
        <w:rPr>
          <w:lang w:eastAsia="ja-JP"/>
        </w:rPr>
        <w:t>before any revisions or updates are made</w:t>
      </w:r>
    </w:p>
    <w:p w14:paraId="622A6B3E" w14:textId="51E8D60E" w:rsidR="00A82DE1" w:rsidRDefault="00AA50AD" w:rsidP="00417E23">
      <w:pPr>
        <w:pStyle w:val="ListBullet"/>
        <w:rPr>
          <w:lang w:eastAsia="ja-JP"/>
        </w:rPr>
      </w:pPr>
      <w:r>
        <w:rPr>
          <w:lang w:eastAsia="ja-JP"/>
        </w:rPr>
        <w:t>o</w:t>
      </w:r>
      <w:r w:rsidR="00A82DE1">
        <w:rPr>
          <w:lang w:eastAsia="ja-JP"/>
        </w:rPr>
        <w:t>pening the CRIS for public consultation if any key changes result in price adjustments</w:t>
      </w:r>
      <w:r w:rsidR="006F65FC">
        <w:rPr>
          <w:lang w:eastAsia="ja-JP"/>
        </w:rPr>
        <w:t>.</w:t>
      </w:r>
    </w:p>
    <w:p w14:paraId="77A18B98" w14:textId="73D6386C" w:rsidR="00A82DE1" w:rsidRDefault="00A82DE1" w:rsidP="00A82DE1">
      <w:pPr>
        <w:rPr>
          <w:lang w:eastAsia="ja-JP"/>
        </w:rPr>
      </w:pPr>
      <w:r>
        <w:rPr>
          <w:lang w:eastAsia="ja-JP"/>
        </w:rPr>
        <w:t>During the life of this CRIS, we will review these arrangements and where appropriate adjust them to ensure we are efficiently and effectively engaging with affected stakeholders. This will include greater use of th</w:t>
      </w:r>
      <w:r w:rsidR="005A514F">
        <w:rPr>
          <w:lang w:eastAsia="ja-JP"/>
        </w:rPr>
        <w:t>e</w:t>
      </w:r>
      <w:r>
        <w:rPr>
          <w:lang w:eastAsia="ja-JP"/>
        </w:rPr>
        <w:t xml:space="preserve"> CRIS for ongoing engagement through updates to the forecasts and reporting of actual annual results.</w:t>
      </w:r>
    </w:p>
    <w:p w14:paraId="432E366F" w14:textId="73C1E783" w:rsidR="00A82DE1" w:rsidRDefault="00A82DE1" w:rsidP="00A82DE1">
      <w:pPr>
        <w:pStyle w:val="Heading2"/>
      </w:pPr>
      <w:bookmarkStart w:id="54" w:name="_Financial_estimates"/>
      <w:bookmarkStart w:id="55" w:name="_Toc119313399"/>
      <w:bookmarkEnd w:id="54"/>
      <w:r w:rsidRPr="00A82DE1">
        <w:lastRenderedPageBreak/>
        <w:t>Financial estimates</w:t>
      </w:r>
      <w:bookmarkEnd w:id="55"/>
    </w:p>
    <w:p w14:paraId="75DB1915" w14:textId="6DD846EA" w:rsidR="00A82DE1" w:rsidRDefault="00A82DE1" w:rsidP="00A82DE1">
      <w:pPr>
        <w:pStyle w:val="Heading3"/>
        <w:rPr>
          <w:lang w:eastAsia="ja-JP"/>
        </w:rPr>
      </w:pPr>
      <w:bookmarkStart w:id="56" w:name="_Toc119313400"/>
      <w:r w:rsidRPr="008B152D">
        <w:rPr>
          <w:lang w:eastAsia="ja-JP"/>
        </w:rPr>
        <w:t xml:space="preserve">Annual </w:t>
      </w:r>
      <w:r w:rsidR="00AA50AD" w:rsidRPr="008B152D">
        <w:rPr>
          <w:lang w:eastAsia="ja-JP"/>
        </w:rPr>
        <w:t>e</w:t>
      </w:r>
      <w:r w:rsidRPr="008B152D">
        <w:rPr>
          <w:lang w:eastAsia="ja-JP"/>
        </w:rPr>
        <w:t>stimates</w:t>
      </w:r>
      <w:bookmarkEnd w:id="56"/>
    </w:p>
    <w:p w14:paraId="70DB88BE" w14:textId="513A3A2D" w:rsidR="00A82DE1" w:rsidRDefault="00A82DE1" w:rsidP="00A82DE1">
      <w:pPr>
        <w:rPr>
          <w:lang w:eastAsia="ja-JP"/>
        </w:rPr>
      </w:pPr>
      <w:r>
        <w:rPr>
          <w:lang w:eastAsia="ja-JP"/>
        </w:rPr>
        <w:t xml:space="preserve">A summary of the forecast </w:t>
      </w:r>
      <w:r w:rsidR="005A514F">
        <w:rPr>
          <w:lang w:eastAsia="ja-JP"/>
        </w:rPr>
        <w:t xml:space="preserve">annual </w:t>
      </w:r>
      <w:r>
        <w:rPr>
          <w:lang w:eastAsia="ja-JP"/>
        </w:rPr>
        <w:t xml:space="preserve">operating position for the biosecurity regulatory charging arrangement is provided at </w:t>
      </w:r>
      <w:r w:rsidR="00AA50AD">
        <w:rPr>
          <w:lang w:eastAsia="ja-JP"/>
        </w:rPr>
        <w:fldChar w:fldCharType="begin"/>
      </w:r>
      <w:r w:rsidR="00AA50AD">
        <w:rPr>
          <w:lang w:eastAsia="ja-JP"/>
        </w:rPr>
        <w:instrText xml:space="preserve"> REF _Ref77865313 \h </w:instrText>
      </w:r>
      <w:r w:rsidR="00AA50AD">
        <w:rPr>
          <w:lang w:eastAsia="ja-JP"/>
        </w:rPr>
      </w:r>
      <w:r w:rsidR="00AA50AD">
        <w:rPr>
          <w:lang w:eastAsia="ja-JP"/>
        </w:rPr>
        <w:fldChar w:fldCharType="separate"/>
      </w:r>
      <w:r w:rsidR="0033587A" w:rsidRPr="00CA261A">
        <w:t xml:space="preserve">Table </w:t>
      </w:r>
      <w:r w:rsidR="0033587A">
        <w:rPr>
          <w:noProof/>
        </w:rPr>
        <w:t>5</w:t>
      </w:r>
      <w:r w:rsidR="00AA50AD">
        <w:rPr>
          <w:lang w:eastAsia="ja-JP"/>
        </w:rPr>
        <w:fldChar w:fldCharType="end"/>
      </w:r>
      <w:r w:rsidR="00AA50AD">
        <w:rPr>
          <w:lang w:eastAsia="ja-JP"/>
        </w:rPr>
        <w:t>.</w:t>
      </w:r>
    </w:p>
    <w:p w14:paraId="2502E275" w14:textId="31584E0E" w:rsidR="002F3533" w:rsidRPr="00CA261A" w:rsidRDefault="002F3533" w:rsidP="002F3533">
      <w:pPr>
        <w:pStyle w:val="Caption"/>
      </w:pPr>
      <w:bookmarkStart w:id="57" w:name="_Ref77865313"/>
      <w:bookmarkStart w:id="58" w:name="_Toc113262182"/>
      <w:r w:rsidRPr="00CA261A">
        <w:t xml:space="preserve">Table </w:t>
      </w:r>
      <w:r w:rsidR="003C1A72">
        <w:fldChar w:fldCharType="begin"/>
      </w:r>
      <w:r w:rsidR="003C1A72">
        <w:instrText xml:space="preserve"> SEQ Table \* ARABIC </w:instrText>
      </w:r>
      <w:r w:rsidR="003C1A72">
        <w:fldChar w:fldCharType="separate"/>
      </w:r>
      <w:r w:rsidR="0033587A">
        <w:rPr>
          <w:noProof/>
        </w:rPr>
        <w:t>5</w:t>
      </w:r>
      <w:r w:rsidR="003C1A72">
        <w:rPr>
          <w:noProof/>
        </w:rPr>
        <w:fldChar w:fldCharType="end"/>
      </w:r>
      <w:bookmarkEnd w:id="57"/>
      <w:r w:rsidRPr="00CA261A">
        <w:t xml:space="preserve"> </w:t>
      </w:r>
      <w:r w:rsidRPr="00CA261A">
        <w:rPr>
          <w:noProof/>
        </w:rPr>
        <w:t>Financial estimates for biosecurity arrangement</w:t>
      </w:r>
      <w:r w:rsidR="00AA50AD" w:rsidRPr="00CA261A">
        <w:rPr>
          <w:noProof/>
        </w:rPr>
        <w:t>,</w:t>
      </w:r>
      <w:r w:rsidRPr="00CA261A">
        <w:rPr>
          <w:noProof/>
        </w:rPr>
        <w:t xml:space="preserve"> </w:t>
      </w:r>
      <w:r w:rsidR="00E91094" w:rsidRPr="00CA261A">
        <w:rPr>
          <w:noProof/>
        </w:rPr>
        <w:t>2022</w:t>
      </w:r>
      <w:r w:rsidRPr="00CA261A">
        <w:rPr>
          <w:noProof/>
        </w:rPr>
        <w:t>–</w:t>
      </w:r>
      <w:r w:rsidR="00E91094" w:rsidRPr="00CA261A">
        <w:rPr>
          <w:noProof/>
        </w:rPr>
        <w:t xml:space="preserve">23 </w:t>
      </w:r>
      <w:r w:rsidRPr="00CA261A">
        <w:rPr>
          <w:noProof/>
        </w:rPr>
        <w:t xml:space="preserve">to </w:t>
      </w:r>
      <w:r w:rsidR="00E91094" w:rsidRPr="00CA261A">
        <w:rPr>
          <w:noProof/>
        </w:rPr>
        <w:t>2024</w:t>
      </w:r>
      <w:r w:rsidRPr="00CA261A">
        <w:rPr>
          <w:noProof/>
        </w:rPr>
        <w:t>–</w:t>
      </w:r>
      <w:r w:rsidR="00E91094" w:rsidRPr="00CA261A">
        <w:rPr>
          <w:noProof/>
        </w:rPr>
        <w:t>25</w:t>
      </w:r>
      <w:bookmarkEnd w:id="58"/>
    </w:p>
    <w:tbl>
      <w:tblPr>
        <w:tblW w:w="5000" w:type="pct"/>
        <w:tblLayout w:type="fixed"/>
        <w:tblLook w:val="04A0" w:firstRow="1" w:lastRow="0" w:firstColumn="1" w:lastColumn="0" w:noHBand="0" w:noVBand="1"/>
      </w:tblPr>
      <w:tblGrid>
        <w:gridCol w:w="2034"/>
        <w:gridCol w:w="1800"/>
        <w:gridCol w:w="1801"/>
        <w:gridCol w:w="1801"/>
        <w:gridCol w:w="1634"/>
      </w:tblGrid>
      <w:tr w:rsidR="0094337D" w14:paraId="3717935E" w14:textId="58E952C9" w:rsidTr="00CA261A">
        <w:trPr>
          <w:cantSplit/>
          <w:tblHeader/>
        </w:trPr>
        <w:tc>
          <w:tcPr>
            <w:tcW w:w="1121" w:type="pct"/>
            <w:tcBorders>
              <w:top w:val="single" w:sz="4" w:space="0" w:color="auto"/>
              <w:left w:val="nil"/>
              <w:bottom w:val="single" w:sz="4" w:space="0" w:color="auto"/>
              <w:right w:val="nil"/>
            </w:tcBorders>
            <w:shd w:val="clear" w:color="auto" w:fill="auto"/>
            <w:hideMark/>
          </w:tcPr>
          <w:p w14:paraId="311C66AB" w14:textId="77777777" w:rsidR="0094337D" w:rsidRDefault="0094337D" w:rsidP="0094337D">
            <w:pPr>
              <w:pStyle w:val="TableHeading"/>
              <w:rPr>
                <w:lang w:eastAsia="en-AU"/>
              </w:rPr>
            </w:pPr>
            <w:bookmarkStart w:id="59" w:name="Title_5"/>
            <w:bookmarkEnd w:id="59"/>
            <w:r>
              <w:rPr>
                <w:lang w:eastAsia="en-AU"/>
              </w:rPr>
              <w:t>Finance element</w:t>
            </w:r>
          </w:p>
        </w:tc>
        <w:tc>
          <w:tcPr>
            <w:tcW w:w="992" w:type="pct"/>
            <w:tcBorders>
              <w:top w:val="single" w:sz="4" w:space="0" w:color="auto"/>
              <w:left w:val="nil"/>
              <w:bottom w:val="single" w:sz="4" w:space="0" w:color="auto"/>
              <w:right w:val="nil"/>
            </w:tcBorders>
            <w:shd w:val="clear" w:color="auto" w:fill="auto"/>
            <w:hideMark/>
          </w:tcPr>
          <w:p w14:paraId="299B7C20" w14:textId="3E1AE3C2" w:rsidR="0094337D" w:rsidRDefault="0094337D" w:rsidP="0094337D">
            <w:pPr>
              <w:pStyle w:val="TableHeading"/>
              <w:jc w:val="right"/>
              <w:rPr>
                <w:lang w:eastAsia="en-AU"/>
              </w:rPr>
            </w:pPr>
            <w:r>
              <w:t>2022</w:t>
            </w:r>
            <w:r>
              <w:rPr>
                <w:rFonts w:asciiTheme="majorHAnsi" w:hAnsiTheme="majorHAnsi"/>
              </w:rPr>
              <w:t>–</w:t>
            </w:r>
            <w:r>
              <w:t>23($)</w:t>
            </w:r>
          </w:p>
        </w:tc>
        <w:tc>
          <w:tcPr>
            <w:tcW w:w="993" w:type="pct"/>
            <w:tcBorders>
              <w:top w:val="single" w:sz="4" w:space="0" w:color="auto"/>
              <w:left w:val="nil"/>
              <w:bottom w:val="single" w:sz="4" w:space="0" w:color="auto"/>
              <w:right w:val="nil"/>
            </w:tcBorders>
            <w:shd w:val="clear" w:color="auto" w:fill="auto"/>
            <w:hideMark/>
          </w:tcPr>
          <w:p w14:paraId="4CF58E79" w14:textId="28DE90D4" w:rsidR="0094337D" w:rsidRDefault="0094337D" w:rsidP="0094337D">
            <w:pPr>
              <w:pStyle w:val="TableHeading"/>
              <w:jc w:val="right"/>
              <w:rPr>
                <w:lang w:eastAsia="en-AU"/>
              </w:rPr>
            </w:pPr>
            <w:r>
              <w:t>2023</w:t>
            </w:r>
            <w:r>
              <w:rPr>
                <w:rFonts w:asciiTheme="majorHAnsi" w:hAnsiTheme="majorHAnsi"/>
              </w:rPr>
              <w:t>–</w:t>
            </w:r>
            <w:r>
              <w:t>24($)</w:t>
            </w:r>
          </w:p>
        </w:tc>
        <w:tc>
          <w:tcPr>
            <w:tcW w:w="993" w:type="pct"/>
            <w:tcBorders>
              <w:top w:val="single" w:sz="4" w:space="0" w:color="auto"/>
              <w:left w:val="nil"/>
              <w:bottom w:val="single" w:sz="4" w:space="0" w:color="auto"/>
              <w:right w:val="nil"/>
            </w:tcBorders>
            <w:shd w:val="clear" w:color="auto" w:fill="auto"/>
            <w:hideMark/>
          </w:tcPr>
          <w:p w14:paraId="0367904D" w14:textId="6E007A98" w:rsidR="0094337D" w:rsidRDefault="0094337D" w:rsidP="0094337D">
            <w:pPr>
              <w:pStyle w:val="TableHeading"/>
              <w:jc w:val="right"/>
              <w:rPr>
                <w:lang w:eastAsia="en-AU"/>
              </w:rPr>
            </w:pPr>
            <w:r>
              <w:t>2024</w:t>
            </w:r>
            <w:r>
              <w:rPr>
                <w:rFonts w:asciiTheme="majorHAnsi" w:hAnsiTheme="majorHAnsi"/>
              </w:rPr>
              <w:t>–</w:t>
            </w:r>
            <w:r>
              <w:t>25($)</w:t>
            </w:r>
          </w:p>
        </w:tc>
        <w:tc>
          <w:tcPr>
            <w:tcW w:w="902" w:type="pct"/>
            <w:tcBorders>
              <w:top w:val="single" w:sz="4" w:space="0" w:color="auto"/>
              <w:left w:val="nil"/>
              <w:bottom w:val="single" w:sz="4" w:space="0" w:color="auto"/>
              <w:right w:val="nil"/>
            </w:tcBorders>
          </w:tcPr>
          <w:p w14:paraId="0147CD43" w14:textId="2AEAA039" w:rsidR="0094337D" w:rsidRDefault="0094337D" w:rsidP="0094337D">
            <w:pPr>
              <w:pStyle w:val="TableHeading"/>
              <w:jc w:val="right"/>
            </w:pPr>
            <w:r>
              <w:t>2025</w:t>
            </w:r>
            <w:r>
              <w:rPr>
                <w:rFonts w:asciiTheme="majorHAnsi" w:hAnsiTheme="majorHAnsi"/>
              </w:rPr>
              <w:t>–</w:t>
            </w:r>
            <w:r>
              <w:t>26($)</w:t>
            </w:r>
          </w:p>
        </w:tc>
      </w:tr>
      <w:tr w:rsidR="0094337D" w14:paraId="58C30214" w14:textId="18808D2B" w:rsidTr="00CA261A">
        <w:tc>
          <w:tcPr>
            <w:tcW w:w="1121" w:type="pct"/>
            <w:tcBorders>
              <w:top w:val="nil"/>
              <w:left w:val="nil"/>
              <w:bottom w:val="nil"/>
              <w:right w:val="nil"/>
            </w:tcBorders>
            <w:shd w:val="clear" w:color="auto" w:fill="auto"/>
            <w:hideMark/>
          </w:tcPr>
          <w:p w14:paraId="1E7D5C3C" w14:textId="77777777" w:rsidR="0094337D" w:rsidRPr="0094337D" w:rsidRDefault="0094337D" w:rsidP="0094337D">
            <w:pPr>
              <w:pStyle w:val="TableText"/>
              <w:rPr>
                <w:lang w:eastAsia="en-AU"/>
              </w:rPr>
            </w:pPr>
            <w:r w:rsidRPr="0094337D">
              <w:rPr>
                <w:lang w:eastAsia="en-AU"/>
              </w:rPr>
              <w:t>Revenue = X</w:t>
            </w:r>
          </w:p>
        </w:tc>
        <w:tc>
          <w:tcPr>
            <w:tcW w:w="992" w:type="pct"/>
            <w:tcBorders>
              <w:top w:val="nil"/>
              <w:left w:val="nil"/>
              <w:bottom w:val="nil"/>
              <w:right w:val="nil"/>
            </w:tcBorders>
            <w:shd w:val="clear" w:color="auto" w:fill="auto"/>
          </w:tcPr>
          <w:p w14:paraId="4A483087" w14:textId="68B22EDB" w:rsidR="0094337D" w:rsidRPr="0094337D" w:rsidRDefault="0021693D" w:rsidP="0094337D">
            <w:pPr>
              <w:pStyle w:val="TableText"/>
              <w:jc w:val="right"/>
              <w:rPr>
                <w:lang w:eastAsia="en-AU"/>
              </w:rPr>
            </w:pPr>
            <w:r>
              <w:t>297,710,066</w:t>
            </w:r>
          </w:p>
        </w:tc>
        <w:tc>
          <w:tcPr>
            <w:tcW w:w="993" w:type="pct"/>
            <w:tcBorders>
              <w:top w:val="nil"/>
              <w:left w:val="nil"/>
              <w:bottom w:val="nil"/>
              <w:right w:val="nil"/>
            </w:tcBorders>
            <w:shd w:val="clear" w:color="auto" w:fill="auto"/>
          </w:tcPr>
          <w:p w14:paraId="4E7A96DD" w14:textId="1C1499A7" w:rsidR="0094337D" w:rsidRPr="0094337D" w:rsidRDefault="0094337D" w:rsidP="0094337D">
            <w:pPr>
              <w:pStyle w:val="TableText"/>
              <w:jc w:val="right"/>
              <w:rPr>
                <w:lang w:eastAsia="en-AU"/>
              </w:rPr>
            </w:pPr>
            <w:r w:rsidRPr="004F2D77">
              <w:t>307,914,510</w:t>
            </w:r>
          </w:p>
        </w:tc>
        <w:tc>
          <w:tcPr>
            <w:tcW w:w="993" w:type="pct"/>
            <w:tcBorders>
              <w:top w:val="nil"/>
              <w:left w:val="nil"/>
              <w:bottom w:val="nil"/>
              <w:right w:val="nil"/>
            </w:tcBorders>
            <w:shd w:val="clear" w:color="auto" w:fill="auto"/>
          </w:tcPr>
          <w:p w14:paraId="4FFA84BC" w14:textId="5D575A28" w:rsidR="0094337D" w:rsidRPr="0094337D" w:rsidRDefault="0094337D" w:rsidP="0094337D">
            <w:pPr>
              <w:pStyle w:val="TableText"/>
              <w:jc w:val="right"/>
              <w:rPr>
                <w:lang w:eastAsia="en-AU"/>
              </w:rPr>
            </w:pPr>
            <w:r w:rsidRPr="004F2D77">
              <w:t>310,743,655</w:t>
            </w:r>
          </w:p>
        </w:tc>
        <w:tc>
          <w:tcPr>
            <w:tcW w:w="902" w:type="pct"/>
            <w:tcBorders>
              <w:top w:val="nil"/>
              <w:left w:val="nil"/>
              <w:bottom w:val="nil"/>
              <w:right w:val="nil"/>
            </w:tcBorders>
            <w:shd w:val="clear" w:color="auto" w:fill="auto"/>
          </w:tcPr>
          <w:p w14:paraId="4B18ABDF" w14:textId="460516B5" w:rsidR="0094337D" w:rsidRPr="00F03B98" w:rsidRDefault="0094337D" w:rsidP="0094337D">
            <w:pPr>
              <w:pStyle w:val="TableText"/>
              <w:jc w:val="right"/>
            </w:pPr>
            <w:r w:rsidRPr="004F2D77">
              <w:t>298,572,092</w:t>
            </w:r>
          </w:p>
        </w:tc>
      </w:tr>
      <w:tr w:rsidR="0094337D" w14:paraId="1AB6AF3C" w14:textId="202EBAE5" w:rsidTr="00CA261A">
        <w:tc>
          <w:tcPr>
            <w:tcW w:w="1121" w:type="pct"/>
            <w:tcBorders>
              <w:top w:val="nil"/>
              <w:left w:val="nil"/>
              <w:bottom w:val="nil"/>
              <w:right w:val="nil"/>
            </w:tcBorders>
            <w:shd w:val="clear" w:color="auto" w:fill="auto"/>
            <w:hideMark/>
          </w:tcPr>
          <w:p w14:paraId="4C3394AD" w14:textId="77777777" w:rsidR="0094337D" w:rsidRDefault="0094337D" w:rsidP="0094337D">
            <w:pPr>
              <w:pStyle w:val="TableText"/>
              <w:rPr>
                <w:lang w:eastAsia="en-AU"/>
              </w:rPr>
            </w:pPr>
            <w:r>
              <w:rPr>
                <w:lang w:eastAsia="en-AU"/>
              </w:rPr>
              <w:t>Expenses = Y</w:t>
            </w:r>
          </w:p>
        </w:tc>
        <w:tc>
          <w:tcPr>
            <w:tcW w:w="992" w:type="pct"/>
            <w:tcBorders>
              <w:top w:val="nil"/>
              <w:left w:val="nil"/>
              <w:bottom w:val="nil"/>
              <w:right w:val="nil"/>
            </w:tcBorders>
            <w:shd w:val="clear" w:color="auto" w:fill="auto"/>
          </w:tcPr>
          <w:p w14:paraId="71DBA1C3" w14:textId="2CD9CFDB" w:rsidR="0094337D" w:rsidRDefault="0094337D" w:rsidP="0094337D">
            <w:pPr>
              <w:pStyle w:val="TableText"/>
              <w:jc w:val="right"/>
              <w:rPr>
                <w:lang w:eastAsia="en-AU"/>
              </w:rPr>
            </w:pPr>
            <w:r w:rsidRPr="004F2D77">
              <w:t>307,351,000</w:t>
            </w:r>
          </w:p>
        </w:tc>
        <w:tc>
          <w:tcPr>
            <w:tcW w:w="993" w:type="pct"/>
            <w:tcBorders>
              <w:top w:val="nil"/>
              <w:left w:val="nil"/>
              <w:bottom w:val="nil"/>
              <w:right w:val="nil"/>
            </w:tcBorders>
            <w:shd w:val="clear" w:color="auto" w:fill="auto"/>
          </w:tcPr>
          <w:p w14:paraId="11D9ABC8" w14:textId="00CB2991" w:rsidR="0094337D" w:rsidRDefault="0094337D" w:rsidP="0094337D">
            <w:pPr>
              <w:pStyle w:val="TableText"/>
              <w:jc w:val="right"/>
              <w:rPr>
                <w:lang w:eastAsia="en-AU"/>
              </w:rPr>
            </w:pPr>
            <w:r w:rsidRPr="004F2D77">
              <w:t>307,914,510</w:t>
            </w:r>
          </w:p>
        </w:tc>
        <w:tc>
          <w:tcPr>
            <w:tcW w:w="993" w:type="pct"/>
            <w:tcBorders>
              <w:top w:val="nil"/>
              <w:left w:val="nil"/>
              <w:bottom w:val="nil"/>
              <w:right w:val="nil"/>
            </w:tcBorders>
            <w:shd w:val="clear" w:color="auto" w:fill="auto"/>
          </w:tcPr>
          <w:p w14:paraId="669FC789" w14:textId="48EFB6FA" w:rsidR="0094337D" w:rsidRDefault="0094337D" w:rsidP="0094337D">
            <w:pPr>
              <w:pStyle w:val="TableText"/>
              <w:jc w:val="right"/>
              <w:rPr>
                <w:lang w:eastAsia="en-AU"/>
              </w:rPr>
            </w:pPr>
            <w:r w:rsidRPr="004F2D77">
              <w:t>310,743,655</w:t>
            </w:r>
          </w:p>
        </w:tc>
        <w:tc>
          <w:tcPr>
            <w:tcW w:w="902" w:type="pct"/>
            <w:tcBorders>
              <w:top w:val="nil"/>
              <w:left w:val="nil"/>
              <w:bottom w:val="nil"/>
              <w:right w:val="nil"/>
            </w:tcBorders>
          </w:tcPr>
          <w:p w14:paraId="1C1303F6" w14:textId="086D9A37" w:rsidR="0094337D" w:rsidRPr="00C10815" w:rsidRDefault="0094337D" w:rsidP="0094337D">
            <w:pPr>
              <w:pStyle w:val="TableText"/>
              <w:jc w:val="right"/>
            </w:pPr>
            <w:r w:rsidRPr="004F2D77">
              <w:t>298,572,092</w:t>
            </w:r>
          </w:p>
        </w:tc>
      </w:tr>
      <w:tr w:rsidR="0094337D" w14:paraId="133F7728" w14:textId="0247939B" w:rsidTr="00CA261A">
        <w:tc>
          <w:tcPr>
            <w:tcW w:w="1121" w:type="pct"/>
            <w:tcBorders>
              <w:top w:val="single" w:sz="4" w:space="0" w:color="auto"/>
              <w:left w:val="nil"/>
              <w:bottom w:val="nil"/>
              <w:right w:val="nil"/>
            </w:tcBorders>
            <w:shd w:val="clear" w:color="auto" w:fill="auto"/>
            <w:hideMark/>
          </w:tcPr>
          <w:p w14:paraId="6D6D49D1" w14:textId="77777777" w:rsidR="0094337D" w:rsidRDefault="0094337D" w:rsidP="0094337D">
            <w:pPr>
              <w:pStyle w:val="TableText"/>
              <w:rPr>
                <w:lang w:eastAsia="en-AU"/>
              </w:rPr>
            </w:pPr>
            <w:r>
              <w:rPr>
                <w:lang w:eastAsia="en-AU"/>
              </w:rPr>
              <w:t>Balance = X – Y</w:t>
            </w:r>
          </w:p>
        </w:tc>
        <w:tc>
          <w:tcPr>
            <w:tcW w:w="992" w:type="pct"/>
            <w:tcBorders>
              <w:top w:val="single" w:sz="4" w:space="0" w:color="auto"/>
              <w:left w:val="nil"/>
              <w:bottom w:val="nil"/>
              <w:right w:val="nil"/>
            </w:tcBorders>
            <w:shd w:val="clear" w:color="auto" w:fill="auto"/>
          </w:tcPr>
          <w:p w14:paraId="14B5B989" w14:textId="2EB526A0" w:rsidR="0094337D" w:rsidRPr="0079743F" w:rsidRDefault="0021693D" w:rsidP="0094337D">
            <w:pPr>
              <w:pStyle w:val="TableText"/>
              <w:jc w:val="right"/>
              <w:rPr>
                <w:b/>
                <w:bCs/>
                <w:lang w:eastAsia="en-AU"/>
              </w:rPr>
            </w:pPr>
            <w:r>
              <w:rPr>
                <w:b/>
                <w:bCs/>
              </w:rPr>
              <w:t>-9,640,934</w:t>
            </w:r>
          </w:p>
        </w:tc>
        <w:tc>
          <w:tcPr>
            <w:tcW w:w="993" w:type="pct"/>
            <w:tcBorders>
              <w:top w:val="single" w:sz="4" w:space="0" w:color="auto"/>
              <w:left w:val="nil"/>
              <w:bottom w:val="nil"/>
              <w:right w:val="nil"/>
            </w:tcBorders>
            <w:shd w:val="clear" w:color="auto" w:fill="auto"/>
          </w:tcPr>
          <w:p w14:paraId="1A9B71BF" w14:textId="3B35127D" w:rsidR="0094337D" w:rsidRPr="0079743F" w:rsidRDefault="0094337D" w:rsidP="0094337D">
            <w:pPr>
              <w:pStyle w:val="TableText"/>
              <w:jc w:val="right"/>
              <w:rPr>
                <w:b/>
                <w:bCs/>
                <w:lang w:eastAsia="en-AU"/>
              </w:rPr>
            </w:pPr>
            <w:r>
              <w:rPr>
                <w:b/>
                <w:bCs/>
              </w:rPr>
              <w:t>0</w:t>
            </w:r>
            <w:r w:rsidRPr="00E91094">
              <w:rPr>
                <w:b/>
                <w:bCs/>
              </w:rPr>
              <w:t xml:space="preserve"> </w:t>
            </w:r>
          </w:p>
        </w:tc>
        <w:tc>
          <w:tcPr>
            <w:tcW w:w="993" w:type="pct"/>
            <w:tcBorders>
              <w:top w:val="single" w:sz="4" w:space="0" w:color="auto"/>
              <w:left w:val="nil"/>
              <w:bottom w:val="nil"/>
              <w:right w:val="nil"/>
            </w:tcBorders>
            <w:shd w:val="clear" w:color="auto" w:fill="auto"/>
          </w:tcPr>
          <w:p w14:paraId="58676FF9" w14:textId="3F94210F" w:rsidR="0094337D" w:rsidRPr="0079743F" w:rsidRDefault="0094337D" w:rsidP="0094337D">
            <w:pPr>
              <w:pStyle w:val="TableText"/>
              <w:jc w:val="right"/>
              <w:rPr>
                <w:b/>
                <w:bCs/>
                <w:lang w:eastAsia="en-AU"/>
              </w:rPr>
            </w:pPr>
            <w:r>
              <w:rPr>
                <w:b/>
                <w:bCs/>
              </w:rPr>
              <w:t>0</w:t>
            </w:r>
          </w:p>
        </w:tc>
        <w:tc>
          <w:tcPr>
            <w:tcW w:w="902" w:type="pct"/>
            <w:tcBorders>
              <w:top w:val="single" w:sz="4" w:space="0" w:color="auto"/>
              <w:left w:val="nil"/>
              <w:bottom w:val="nil"/>
              <w:right w:val="nil"/>
            </w:tcBorders>
          </w:tcPr>
          <w:p w14:paraId="2D2807CD" w14:textId="196284D3" w:rsidR="0094337D" w:rsidRPr="00E91094" w:rsidRDefault="0094337D" w:rsidP="0094337D">
            <w:pPr>
              <w:pStyle w:val="TableText"/>
              <w:jc w:val="right"/>
              <w:rPr>
                <w:b/>
                <w:bCs/>
              </w:rPr>
            </w:pPr>
            <w:r>
              <w:rPr>
                <w:b/>
                <w:bCs/>
              </w:rPr>
              <w:t>0</w:t>
            </w:r>
          </w:p>
        </w:tc>
      </w:tr>
      <w:tr w:rsidR="0094337D" w14:paraId="2673D0D1" w14:textId="0EC27738" w:rsidTr="00CA261A">
        <w:tc>
          <w:tcPr>
            <w:tcW w:w="1121" w:type="pct"/>
            <w:tcBorders>
              <w:top w:val="single" w:sz="4" w:space="0" w:color="auto"/>
              <w:left w:val="nil"/>
              <w:bottom w:val="nil"/>
              <w:right w:val="nil"/>
            </w:tcBorders>
            <w:shd w:val="clear" w:color="auto" w:fill="auto"/>
            <w:hideMark/>
          </w:tcPr>
          <w:p w14:paraId="3B374BC9" w14:textId="77777777" w:rsidR="0094337D" w:rsidRDefault="0094337D" w:rsidP="0094337D">
            <w:pPr>
              <w:pStyle w:val="TableText"/>
              <w:rPr>
                <w:lang w:eastAsia="en-AU"/>
              </w:rPr>
            </w:pPr>
            <w:r>
              <w:rPr>
                <w:lang w:eastAsia="en-AU"/>
              </w:rPr>
              <w:t>Estimated opening cost recovery reserve balance</w:t>
            </w:r>
          </w:p>
        </w:tc>
        <w:tc>
          <w:tcPr>
            <w:tcW w:w="992" w:type="pct"/>
            <w:tcBorders>
              <w:top w:val="single" w:sz="4" w:space="0" w:color="auto"/>
              <w:left w:val="nil"/>
              <w:bottom w:val="nil"/>
              <w:right w:val="nil"/>
            </w:tcBorders>
            <w:shd w:val="clear" w:color="auto" w:fill="auto"/>
            <w:vAlign w:val="center"/>
          </w:tcPr>
          <w:p w14:paraId="5363255A" w14:textId="30C51517" w:rsidR="0094337D" w:rsidRPr="008B152D" w:rsidRDefault="0094337D" w:rsidP="0094337D">
            <w:pPr>
              <w:pStyle w:val="TableText"/>
              <w:jc w:val="right"/>
              <w:rPr>
                <w:rStyle w:val="Strong"/>
              </w:rPr>
            </w:pPr>
            <w:r>
              <w:rPr>
                <w:rFonts w:cs="Calibri"/>
                <w:b/>
                <w:bCs/>
                <w:color w:val="000000"/>
                <w:szCs w:val="18"/>
              </w:rPr>
              <w:t>14,940,769</w:t>
            </w:r>
          </w:p>
        </w:tc>
        <w:tc>
          <w:tcPr>
            <w:tcW w:w="993" w:type="pct"/>
            <w:tcBorders>
              <w:top w:val="single" w:sz="4" w:space="0" w:color="auto"/>
              <w:left w:val="nil"/>
              <w:bottom w:val="nil"/>
              <w:right w:val="nil"/>
            </w:tcBorders>
            <w:shd w:val="clear" w:color="auto" w:fill="auto"/>
            <w:vAlign w:val="center"/>
          </w:tcPr>
          <w:p w14:paraId="1D9CC48A" w14:textId="125B8BCC" w:rsidR="0094337D" w:rsidRPr="008B152D" w:rsidRDefault="00883F40" w:rsidP="0094337D">
            <w:pPr>
              <w:pStyle w:val="TableText"/>
              <w:jc w:val="right"/>
              <w:rPr>
                <w:rStyle w:val="Strong"/>
              </w:rPr>
            </w:pPr>
            <w:r w:rsidRPr="00883F40">
              <w:rPr>
                <w:rFonts w:cs="Calibri"/>
                <w:b/>
                <w:bCs/>
                <w:color w:val="000000"/>
                <w:szCs w:val="18"/>
              </w:rPr>
              <w:t>5,299,835</w:t>
            </w:r>
          </w:p>
        </w:tc>
        <w:tc>
          <w:tcPr>
            <w:tcW w:w="993" w:type="pct"/>
            <w:tcBorders>
              <w:top w:val="single" w:sz="4" w:space="0" w:color="auto"/>
              <w:left w:val="nil"/>
              <w:bottom w:val="nil"/>
              <w:right w:val="nil"/>
            </w:tcBorders>
            <w:shd w:val="clear" w:color="auto" w:fill="auto"/>
            <w:vAlign w:val="center"/>
          </w:tcPr>
          <w:p w14:paraId="222CA99E" w14:textId="0E3D2008" w:rsidR="0094337D" w:rsidRPr="008B152D" w:rsidRDefault="00883F40" w:rsidP="0094337D">
            <w:pPr>
              <w:pStyle w:val="TableText"/>
              <w:jc w:val="right"/>
              <w:rPr>
                <w:rStyle w:val="Strong"/>
              </w:rPr>
            </w:pPr>
            <w:r w:rsidRPr="00883F40">
              <w:rPr>
                <w:rFonts w:cs="Calibri"/>
                <w:b/>
                <w:bCs/>
                <w:color w:val="000000"/>
                <w:szCs w:val="18"/>
              </w:rPr>
              <w:t>5,299,835</w:t>
            </w:r>
          </w:p>
        </w:tc>
        <w:tc>
          <w:tcPr>
            <w:tcW w:w="902" w:type="pct"/>
            <w:tcBorders>
              <w:top w:val="single" w:sz="4" w:space="0" w:color="auto"/>
              <w:left w:val="nil"/>
              <w:bottom w:val="nil"/>
              <w:right w:val="nil"/>
            </w:tcBorders>
            <w:vAlign w:val="center"/>
          </w:tcPr>
          <w:p w14:paraId="415199B4" w14:textId="48C980EA" w:rsidR="0094337D" w:rsidRDefault="00883F40" w:rsidP="0094337D">
            <w:pPr>
              <w:pStyle w:val="TableText"/>
              <w:jc w:val="right"/>
              <w:rPr>
                <w:rStyle w:val="Strong"/>
              </w:rPr>
            </w:pPr>
            <w:r w:rsidRPr="00883F40">
              <w:rPr>
                <w:rFonts w:cs="Calibri"/>
                <w:b/>
                <w:bCs/>
                <w:color w:val="000000"/>
                <w:szCs w:val="18"/>
              </w:rPr>
              <w:t>5,299,835</w:t>
            </w:r>
          </w:p>
        </w:tc>
      </w:tr>
      <w:tr w:rsidR="00CA261A" w14:paraId="18D6C0F1" w14:textId="03ECBDEC" w:rsidTr="00CA261A">
        <w:tc>
          <w:tcPr>
            <w:tcW w:w="1121" w:type="pct"/>
            <w:tcBorders>
              <w:top w:val="single" w:sz="4" w:space="0" w:color="auto"/>
              <w:left w:val="nil"/>
              <w:bottom w:val="single" w:sz="4" w:space="0" w:color="auto"/>
              <w:right w:val="nil"/>
            </w:tcBorders>
            <w:shd w:val="clear" w:color="auto" w:fill="auto"/>
            <w:hideMark/>
          </w:tcPr>
          <w:p w14:paraId="7D1D08A9" w14:textId="77777777" w:rsidR="00CA261A" w:rsidRDefault="00CA261A" w:rsidP="00CA261A">
            <w:pPr>
              <w:pStyle w:val="TableText"/>
              <w:rPr>
                <w:lang w:eastAsia="en-AU"/>
              </w:rPr>
            </w:pPr>
            <w:r>
              <w:rPr>
                <w:lang w:eastAsia="en-AU"/>
              </w:rPr>
              <w:t>Estimated closing cost recovery reserve balance</w:t>
            </w:r>
          </w:p>
        </w:tc>
        <w:tc>
          <w:tcPr>
            <w:tcW w:w="992" w:type="pct"/>
            <w:tcBorders>
              <w:top w:val="single" w:sz="4" w:space="0" w:color="auto"/>
              <w:left w:val="nil"/>
              <w:bottom w:val="single" w:sz="4" w:space="0" w:color="auto"/>
              <w:right w:val="nil"/>
            </w:tcBorders>
            <w:shd w:val="clear" w:color="auto" w:fill="auto"/>
            <w:vAlign w:val="center"/>
          </w:tcPr>
          <w:p w14:paraId="5DE243E0" w14:textId="4DDD8AE7" w:rsidR="00CA261A" w:rsidRPr="0079743F" w:rsidRDefault="00CA261A" w:rsidP="00CA261A">
            <w:pPr>
              <w:pStyle w:val="TableText"/>
              <w:jc w:val="right"/>
              <w:rPr>
                <w:b/>
                <w:bCs/>
              </w:rPr>
            </w:pPr>
            <w:r>
              <w:rPr>
                <w:rFonts w:cs="Calibri"/>
                <w:b/>
                <w:bCs/>
                <w:color w:val="000000"/>
                <w:szCs w:val="18"/>
              </w:rPr>
              <w:t>5,299,835</w:t>
            </w:r>
          </w:p>
        </w:tc>
        <w:tc>
          <w:tcPr>
            <w:tcW w:w="993" w:type="pct"/>
            <w:tcBorders>
              <w:top w:val="single" w:sz="4" w:space="0" w:color="auto"/>
              <w:left w:val="nil"/>
              <w:bottom w:val="single" w:sz="4" w:space="0" w:color="auto"/>
              <w:right w:val="nil"/>
            </w:tcBorders>
            <w:shd w:val="clear" w:color="auto" w:fill="auto"/>
            <w:vAlign w:val="center"/>
          </w:tcPr>
          <w:p w14:paraId="4C52D000" w14:textId="5725314E" w:rsidR="00CA261A" w:rsidRPr="00883F40" w:rsidRDefault="00CA261A" w:rsidP="00CA261A">
            <w:pPr>
              <w:pStyle w:val="TableText"/>
              <w:jc w:val="right"/>
              <w:rPr>
                <w:rFonts w:cs="Calibri"/>
                <w:b/>
                <w:bCs/>
                <w:color w:val="000000"/>
                <w:szCs w:val="18"/>
              </w:rPr>
            </w:pPr>
            <w:r w:rsidRPr="00883F40">
              <w:rPr>
                <w:rFonts w:cs="Calibri"/>
                <w:b/>
                <w:bCs/>
                <w:color w:val="000000"/>
                <w:szCs w:val="18"/>
              </w:rPr>
              <w:t>5,299,835</w:t>
            </w:r>
          </w:p>
        </w:tc>
        <w:tc>
          <w:tcPr>
            <w:tcW w:w="993" w:type="pct"/>
            <w:tcBorders>
              <w:top w:val="single" w:sz="4" w:space="0" w:color="auto"/>
              <w:left w:val="nil"/>
              <w:bottom w:val="single" w:sz="4" w:space="0" w:color="auto"/>
              <w:right w:val="nil"/>
            </w:tcBorders>
            <w:shd w:val="clear" w:color="auto" w:fill="auto"/>
            <w:vAlign w:val="center"/>
          </w:tcPr>
          <w:p w14:paraId="200271DC" w14:textId="0BD97CFC" w:rsidR="00CA261A" w:rsidRPr="0079743F" w:rsidRDefault="00CA261A" w:rsidP="00CA261A">
            <w:pPr>
              <w:pStyle w:val="TableText"/>
              <w:jc w:val="right"/>
              <w:rPr>
                <w:b/>
                <w:bCs/>
              </w:rPr>
            </w:pPr>
            <w:r w:rsidRPr="00883F40">
              <w:rPr>
                <w:rFonts w:cs="Calibri"/>
                <w:b/>
                <w:bCs/>
                <w:color w:val="000000"/>
                <w:szCs w:val="18"/>
              </w:rPr>
              <w:t>5,299,835</w:t>
            </w:r>
          </w:p>
        </w:tc>
        <w:tc>
          <w:tcPr>
            <w:tcW w:w="902" w:type="pct"/>
            <w:tcBorders>
              <w:top w:val="single" w:sz="4" w:space="0" w:color="auto"/>
              <w:left w:val="nil"/>
              <w:bottom w:val="single" w:sz="4" w:space="0" w:color="auto"/>
              <w:right w:val="nil"/>
            </w:tcBorders>
            <w:vAlign w:val="center"/>
          </w:tcPr>
          <w:p w14:paraId="0CCC14CE" w14:textId="5AE59FAA" w:rsidR="00CA261A" w:rsidRDefault="00CA261A" w:rsidP="00CA261A">
            <w:pPr>
              <w:pStyle w:val="TableText"/>
              <w:jc w:val="right"/>
              <w:rPr>
                <w:b/>
                <w:bCs/>
              </w:rPr>
            </w:pPr>
            <w:r w:rsidRPr="00883F40">
              <w:rPr>
                <w:rFonts w:cs="Calibri"/>
                <w:b/>
                <w:bCs/>
                <w:color w:val="000000"/>
                <w:szCs w:val="18"/>
              </w:rPr>
              <w:t>5,299,835</w:t>
            </w:r>
          </w:p>
        </w:tc>
      </w:tr>
    </w:tbl>
    <w:p w14:paraId="59141240" w14:textId="333D89BD" w:rsidR="00200670" w:rsidRDefault="00C74592" w:rsidP="00417E23">
      <w:pPr>
        <w:spacing w:before="240"/>
      </w:pPr>
      <w:r w:rsidRPr="00F44465">
        <w:t xml:space="preserve">These forecasts were </w:t>
      </w:r>
      <w:r w:rsidR="0041099C" w:rsidRPr="00F44465">
        <w:t>compiled</w:t>
      </w:r>
      <w:r w:rsidRPr="00F44465">
        <w:t xml:space="preserve"> </w:t>
      </w:r>
      <w:r w:rsidR="00785793" w:rsidRPr="00F44465">
        <w:t xml:space="preserve">based on the current cost base for the arrangement plus the </w:t>
      </w:r>
      <w:r w:rsidR="0041099C" w:rsidRPr="00F44465">
        <w:t>2021</w:t>
      </w:r>
      <w:r w:rsidR="009477D8" w:rsidRPr="00F44465">
        <w:t>–</w:t>
      </w:r>
      <w:r w:rsidR="007F7AD5" w:rsidRPr="00F44465">
        <w:t>22</w:t>
      </w:r>
      <w:r w:rsidR="0041099C" w:rsidRPr="00F44465">
        <w:t xml:space="preserve"> </w:t>
      </w:r>
      <w:r w:rsidR="007F7AD5" w:rsidRPr="00F44465">
        <w:t>B</w:t>
      </w:r>
      <w:r w:rsidR="00785793" w:rsidRPr="00F44465">
        <w:t>udget measure to manage the biosecurity risk posed by hitchhiker pests arriving in imported cargo</w:t>
      </w:r>
      <w:r w:rsidRPr="00F44465">
        <w:t xml:space="preserve">. </w:t>
      </w:r>
      <w:r w:rsidR="00417E23" w:rsidRPr="00F44465">
        <w:t xml:space="preserve">The </w:t>
      </w:r>
      <w:r w:rsidR="002A3681" w:rsidRPr="00F44465">
        <w:t xml:space="preserve">2022–23 </w:t>
      </w:r>
      <w:r w:rsidR="00417E23" w:rsidRPr="00F44465">
        <w:t>estimates do not include a revised cost base but reflect increased import activity and the associated effort by the department to manage risk.</w:t>
      </w:r>
      <w:r w:rsidR="0094337D" w:rsidRPr="00F44465">
        <w:t xml:space="preserve"> </w:t>
      </w:r>
      <w:r w:rsidR="00BA7059" w:rsidRPr="00F44465">
        <w:t>Forecasts will be continually r</w:t>
      </w:r>
      <w:r w:rsidR="00417E23" w:rsidRPr="00F44465">
        <w:t>evised which may adjust forward projections.</w:t>
      </w:r>
    </w:p>
    <w:p w14:paraId="156D1E9F" w14:textId="50AC10A7" w:rsidR="00417E23" w:rsidRDefault="00417E23" w:rsidP="00417E23">
      <w:r>
        <w:t xml:space="preserve">The cost recovery reserve balance is held in the Biosecurity, Imported Food and Export Certification Special Account. </w:t>
      </w:r>
      <w:r w:rsidR="006F65FC">
        <w:t>As noted in section 3.4</w:t>
      </w:r>
      <w:r w:rsidR="00DA5DB5">
        <w:t>,</w:t>
      </w:r>
      <w:r w:rsidR="006F65FC">
        <w:t xml:space="preserve"> the cost recovery reserve balance is used to balance and lessen the impact of varying demand on the ongoing delivery of regulatory activities. </w:t>
      </w:r>
      <w:r>
        <w:t>The special account replaces the former AQIS special account and was established to:</w:t>
      </w:r>
    </w:p>
    <w:p w14:paraId="163C842B" w14:textId="3C8CF4E4" w:rsidR="00417E23" w:rsidRDefault="00417E23" w:rsidP="00115D06">
      <w:pPr>
        <w:pStyle w:val="ListBullet"/>
      </w:pPr>
      <w:r>
        <w:t xml:space="preserve">provide biosecurity, </w:t>
      </w:r>
      <w:proofErr w:type="gramStart"/>
      <w:r>
        <w:t>inspection</w:t>
      </w:r>
      <w:proofErr w:type="gramEnd"/>
      <w:r>
        <w:t xml:space="preserve"> and certification services for:</w:t>
      </w:r>
    </w:p>
    <w:p w14:paraId="2AA72743" w14:textId="3DC5B47F" w:rsidR="00417E23" w:rsidRDefault="00417E23" w:rsidP="00417E23">
      <w:pPr>
        <w:pStyle w:val="ListNumber2"/>
      </w:pPr>
      <w:r>
        <w:t>passengers, cargo, mail, animals, plants, and animal or plant products arriving in Australia</w:t>
      </w:r>
    </w:p>
    <w:p w14:paraId="6999ED4F" w14:textId="64AA51AA" w:rsidR="00417E23" w:rsidRDefault="00417E23" w:rsidP="00417E23">
      <w:pPr>
        <w:pStyle w:val="ListNumber2"/>
      </w:pPr>
      <w:r>
        <w:t>agricultural products and food exported from Australia</w:t>
      </w:r>
    </w:p>
    <w:p w14:paraId="5131E3D6" w14:textId="7874756F" w:rsidR="00417E23" w:rsidRDefault="00417E23" w:rsidP="00115D06">
      <w:pPr>
        <w:pStyle w:val="ListBullet"/>
      </w:pPr>
      <w:r>
        <w:t xml:space="preserve">repay to an </w:t>
      </w:r>
      <w:proofErr w:type="gramStart"/>
      <w:r>
        <w:t>original payer amounts</w:t>
      </w:r>
      <w:proofErr w:type="gramEnd"/>
      <w:r>
        <w:t xml:space="preserve"> credited to the special account, or any of its predecessors, after any necessary payments made for the purposes mentioned in paragraph</w:t>
      </w:r>
      <w:r w:rsidR="009477D8">
        <w:t> </w:t>
      </w:r>
      <w:r>
        <w:t>(a)</w:t>
      </w:r>
      <w:r w:rsidR="003056B9">
        <w:t>.</w:t>
      </w:r>
    </w:p>
    <w:p w14:paraId="01FE776A" w14:textId="07C5233D" w:rsidR="00417E23" w:rsidRDefault="00417E23" w:rsidP="00115D06">
      <w:pPr>
        <w:pStyle w:val="ListBullet"/>
      </w:pPr>
      <w:r>
        <w:t>carry out activities that are incidental to a purpose mentioned in paragraph (a) including, but not limited to:</w:t>
      </w:r>
    </w:p>
    <w:p w14:paraId="1A37DBDA" w14:textId="1B28987E" w:rsidR="00417E23" w:rsidRDefault="00417E23" w:rsidP="003056B9">
      <w:pPr>
        <w:pStyle w:val="ListNumber2"/>
      </w:pPr>
      <w:r>
        <w:t>the administration of the special account</w:t>
      </w:r>
    </w:p>
    <w:p w14:paraId="6BF9F277" w14:textId="7AE0BFBC" w:rsidR="00417E23" w:rsidRDefault="00417E23" w:rsidP="003056B9">
      <w:pPr>
        <w:pStyle w:val="ListNumber2"/>
      </w:pPr>
      <w:r>
        <w:t>dealing with direct and indirect costs.</w:t>
      </w:r>
    </w:p>
    <w:p w14:paraId="10C51AF8" w14:textId="1BA3DDFB" w:rsidR="00BE7A3F" w:rsidRDefault="00BE7A3F" w:rsidP="00BE7A3F">
      <w:pPr>
        <w:pStyle w:val="Heading2"/>
      </w:pPr>
      <w:bookmarkStart w:id="60" w:name="_Toc119313401"/>
      <w:r w:rsidRPr="00BE7A3F">
        <w:lastRenderedPageBreak/>
        <w:t>Financial and non-financial performance</w:t>
      </w:r>
      <w:bookmarkEnd w:id="60"/>
    </w:p>
    <w:p w14:paraId="78879982" w14:textId="5EADBB49" w:rsidR="00BE7A3F" w:rsidRDefault="00BE7A3F" w:rsidP="00BE7A3F">
      <w:pPr>
        <w:rPr>
          <w:lang w:eastAsia="ja-JP"/>
        </w:rPr>
      </w:pPr>
      <w:r w:rsidRPr="00BE7A3F">
        <w:rPr>
          <w:lang w:eastAsia="ja-JP"/>
        </w:rPr>
        <w:t>This section presents information on the financial and non-financial performance of the biosecurity regulatory charging arrangements. This is intended to provide stakeholders with an overview of our performance in recovering forecast costs and meeting regulatory objectives.</w:t>
      </w:r>
    </w:p>
    <w:p w14:paraId="62A0D02E" w14:textId="5CF79D5A" w:rsidR="00BE7A3F" w:rsidRDefault="00BE7A3F" w:rsidP="00902A6A">
      <w:pPr>
        <w:pStyle w:val="Heading3"/>
        <w:rPr>
          <w:lang w:eastAsia="ja-JP"/>
        </w:rPr>
      </w:pPr>
      <w:bookmarkStart w:id="61" w:name="_Toc119313402"/>
      <w:r>
        <w:rPr>
          <w:lang w:eastAsia="ja-JP"/>
        </w:rPr>
        <w:t>Financial performance</w:t>
      </w:r>
      <w:bookmarkEnd w:id="61"/>
    </w:p>
    <w:p w14:paraId="49F6B6A9" w14:textId="584F5423" w:rsidR="00BE7A3F" w:rsidRDefault="00BE7A3F" w:rsidP="00BE7A3F">
      <w:pPr>
        <w:rPr>
          <w:lang w:eastAsia="ja-JP"/>
        </w:rPr>
      </w:pPr>
      <w:r>
        <w:rPr>
          <w:lang w:eastAsia="ja-JP"/>
        </w:rPr>
        <w:t xml:space="preserve">We continue to consult with key industry stakeholders on financial performance indicators to assist in evaluating the performance of our regulatory charging arrangements. </w:t>
      </w:r>
      <w:r w:rsidR="00043DC4">
        <w:rPr>
          <w:lang w:eastAsia="ja-JP"/>
        </w:rPr>
        <w:fldChar w:fldCharType="begin"/>
      </w:r>
      <w:r w:rsidR="00043DC4">
        <w:rPr>
          <w:lang w:eastAsia="ja-JP"/>
        </w:rPr>
        <w:instrText xml:space="preserve"> REF _Ref77865568 \h </w:instrText>
      </w:r>
      <w:r w:rsidR="00043DC4">
        <w:rPr>
          <w:lang w:eastAsia="ja-JP"/>
        </w:rPr>
      </w:r>
      <w:r w:rsidR="00043DC4">
        <w:rPr>
          <w:lang w:eastAsia="ja-JP"/>
        </w:rPr>
        <w:fldChar w:fldCharType="separate"/>
      </w:r>
      <w:r w:rsidR="0033587A">
        <w:t xml:space="preserve">Table </w:t>
      </w:r>
      <w:r w:rsidR="0033587A">
        <w:rPr>
          <w:noProof/>
        </w:rPr>
        <w:t>6</w:t>
      </w:r>
      <w:r w:rsidR="00043DC4">
        <w:rPr>
          <w:lang w:eastAsia="ja-JP"/>
        </w:rPr>
        <w:fldChar w:fldCharType="end"/>
      </w:r>
      <w:r w:rsidR="00043DC4">
        <w:rPr>
          <w:lang w:eastAsia="ja-JP"/>
        </w:rPr>
        <w:t xml:space="preserve"> </w:t>
      </w:r>
      <w:r>
        <w:rPr>
          <w:lang w:eastAsia="ja-JP"/>
        </w:rPr>
        <w:t xml:space="preserve">includes financial performance of the biosecurity arrangement </w:t>
      </w:r>
      <w:r w:rsidR="00E26EEF">
        <w:rPr>
          <w:lang w:eastAsia="ja-JP"/>
        </w:rPr>
        <w:t>since the 201</w:t>
      </w:r>
      <w:r w:rsidR="00957274">
        <w:rPr>
          <w:lang w:eastAsia="ja-JP"/>
        </w:rPr>
        <w:t>8</w:t>
      </w:r>
      <w:r w:rsidR="009477D8">
        <w:rPr>
          <w:lang w:eastAsia="ja-JP"/>
        </w:rPr>
        <w:t>–</w:t>
      </w:r>
      <w:r w:rsidR="00E26EEF">
        <w:rPr>
          <w:lang w:eastAsia="ja-JP"/>
        </w:rPr>
        <w:t>1</w:t>
      </w:r>
      <w:r w:rsidR="00957274">
        <w:rPr>
          <w:lang w:eastAsia="ja-JP"/>
        </w:rPr>
        <w:t>9</w:t>
      </w:r>
      <w:r>
        <w:rPr>
          <w:lang w:eastAsia="ja-JP"/>
        </w:rPr>
        <w:t xml:space="preserve"> </w:t>
      </w:r>
      <w:r w:rsidR="00B066A2">
        <w:rPr>
          <w:lang w:eastAsia="ja-JP"/>
        </w:rPr>
        <w:t xml:space="preserve">financial </w:t>
      </w:r>
      <w:r>
        <w:rPr>
          <w:lang w:eastAsia="ja-JP"/>
        </w:rPr>
        <w:t>year.</w:t>
      </w:r>
    </w:p>
    <w:p w14:paraId="5AEFB636" w14:textId="275AFBC7" w:rsidR="00B24117" w:rsidRDefault="00B24117" w:rsidP="00B24117">
      <w:pPr>
        <w:pStyle w:val="Caption"/>
      </w:pPr>
      <w:bookmarkStart w:id="62" w:name="_Ref77865568"/>
      <w:bookmarkStart w:id="63" w:name="_Toc113262183"/>
      <w:r>
        <w:t xml:space="preserve">Table </w:t>
      </w:r>
      <w:r w:rsidR="003C1A72">
        <w:fldChar w:fldCharType="begin"/>
      </w:r>
      <w:r w:rsidR="003C1A72">
        <w:instrText xml:space="preserve"> SEQ Table \* ARABIC </w:instrText>
      </w:r>
      <w:r w:rsidR="003C1A72">
        <w:fldChar w:fldCharType="separate"/>
      </w:r>
      <w:r w:rsidR="0033587A">
        <w:rPr>
          <w:noProof/>
        </w:rPr>
        <w:t>6</w:t>
      </w:r>
      <w:r w:rsidR="003C1A72">
        <w:rPr>
          <w:noProof/>
        </w:rPr>
        <w:fldChar w:fldCharType="end"/>
      </w:r>
      <w:bookmarkEnd w:id="62"/>
      <w:r>
        <w:t xml:space="preserve"> </w:t>
      </w:r>
      <w:r w:rsidRPr="00AB7A6C">
        <w:t>Financial performance for biosecurity arrangement</w:t>
      </w:r>
      <w:r w:rsidR="00043DC4">
        <w:t>,</w:t>
      </w:r>
      <w:r w:rsidRPr="00AB7A6C">
        <w:t xml:space="preserve"> 201</w:t>
      </w:r>
      <w:r w:rsidR="00D44029">
        <w:t>8</w:t>
      </w:r>
      <w:r w:rsidRPr="00AB7A6C">
        <w:t>–1</w:t>
      </w:r>
      <w:r w:rsidR="00D44029">
        <w:t>9</w:t>
      </w:r>
      <w:r w:rsidRPr="00AB7A6C">
        <w:t xml:space="preserve"> to 202</w:t>
      </w:r>
      <w:r w:rsidR="005711AC">
        <w:t>1</w:t>
      </w:r>
      <w:r w:rsidR="009477D8">
        <w:t>–</w:t>
      </w:r>
      <w:r w:rsidR="00DC627A">
        <w:t>2</w:t>
      </w:r>
      <w:r w:rsidR="005711AC">
        <w:t>2</w:t>
      </w:r>
      <w:bookmarkEnd w:id="63"/>
    </w:p>
    <w:tbl>
      <w:tblPr>
        <w:tblW w:w="5000" w:type="pct"/>
        <w:tblLayout w:type="fixed"/>
        <w:tblLook w:val="04A0" w:firstRow="1" w:lastRow="0" w:firstColumn="1" w:lastColumn="0" w:noHBand="0" w:noVBand="1"/>
      </w:tblPr>
      <w:tblGrid>
        <w:gridCol w:w="1764"/>
        <w:gridCol w:w="1825"/>
        <w:gridCol w:w="1829"/>
        <w:gridCol w:w="1825"/>
        <w:gridCol w:w="1827"/>
      </w:tblGrid>
      <w:tr w:rsidR="00D44029" w:rsidRPr="00BA7059" w14:paraId="6954DDC3" w14:textId="117638E4" w:rsidTr="00115D06">
        <w:trPr>
          <w:cantSplit/>
          <w:tblHeader/>
        </w:trPr>
        <w:tc>
          <w:tcPr>
            <w:tcW w:w="972" w:type="pct"/>
            <w:tcBorders>
              <w:top w:val="single" w:sz="8" w:space="0" w:color="auto"/>
              <w:left w:val="nil"/>
              <w:bottom w:val="single" w:sz="8" w:space="0" w:color="auto"/>
              <w:right w:val="nil"/>
            </w:tcBorders>
            <w:shd w:val="clear" w:color="auto" w:fill="auto"/>
            <w:hideMark/>
          </w:tcPr>
          <w:p w14:paraId="2E8E3A34" w14:textId="77777777" w:rsidR="00D44029" w:rsidRPr="0094337D" w:rsidRDefault="00D44029" w:rsidP="00DC627A">
            <w:pPr>
              <w:keepNext/>
              <w:spacing w:before="60" w:after="60" w:line="240" w:lineRule="auto"/>
              <w:rPr>
                <w:b/>
                <w:sz w:val="18"/>
                <w:lang w:eastAsia="en-AU"/>
              </w:rPr>
            </w:pPr>
            <w:bookmarkStart w:id="64" w:name="Title_6"/>
            <w:bookmarkEnd w:id="64"/>
            <w:r w:rsidRPr="0094337D">
              <w:rPr>
                <w:b/>
                <w:sz w:val="18"/>
                <w:lang w:eastAsia="en-AU"/>
              </w:rPr>
              <w:t>Finance element</w:t>
            </w:r>
          </w:p>
        </w:tc>
        <w:tc>
          <w:tcPr>
            <w:tcW w:w="1006" w:type="pct"/>
            <w:tcBorders>
              <w:top w:val="single" w:sz="8" w:space="0" w:color="auto"/>
              <w:left w:val="nil"/>
              <w:bottom w:val="single" w:sz="8" w:space="0" w:color="auto"/>
              <w:right w:val="nil"/>
            </w:tcBorders>
            <w:shd w:val="clear" w:color="auto" w:fill="auto"/>
            <w:hideMark/>
          </w:tcPr>
          <w:p w14:paraId="1A595F40" w14:textId="25669DB8" w:rsidR="00D44029" w:rsidRPr="0094337D" w:rsidRDefault="00D44029" w:rsidP="00DC627A">
            <w:pPr>
              <w:keepNext/>
              <w:spacing w:before="60" w:after="60" w:line="240" w:lineRule="auto"/>
              <w:jc w:val="right"/>
              <w:rPr>
                <w:b/>
                <w:sz w:val="18"/>
                <w:lang w:eastAsia="en-AU"/>
              </w:rPr>
            </w:pPr>
            <w:r>
              <w:rPr>
                <w:b/>
                <w:sz w:val="18"/>
                <w:lang w:eastAsia="en-AU"/>
              </w:rPr>
              <w:t>2018–19</w:t>
            </w:r>
            <w:r w:rsidRPr="0094337D">
              <w:rPr>
                <w:b/>
                <w:sz w:val="18"/>
                <w:lang w:eastAsia="en-AU"/>
              </w:rPr>
              <w:t xml:space="preserve"> ($)</w:t>
            </w:r>
          </w:p>
        </w:tc>
        <w:tc>
          <w:tcPr>
            <w:tcW w:w="1008" w:type="pct"/>
            <w:tcBorders>
              <w:top w:val="single" w:sz="8" w:space="0" w:color="auto"/>
              <w:left w:val="nil"/>
              <w:bottom w:val="single" w:sz="8" w:space="0" w:color="auto"/>
              <w:right w:val="nil"/>
            </w:tcBorders>
            <w:shd w:val="clear" w:color="auto" w:fill="auto"/>
            <w:hideMark/>
          </w:tcPr>
          <w:p w14:paraId="71A7E52D" w14:textId="241DB1B1" w:rsidR="00D44029" w:rsidRPr="005711AC" w:rsidRDefault="00D44029" w:rsidP="00DC627A">
            <w:pPr>
              <w:keepNext/>
              <w:spacing w:before="60" w:after="60" w:line="240" w:lineRule="auto"/>
              <w:jc w:val="right"/>
              <w:rPr>
                <w:b/>
                <w:sz w:val="18"/>
                <w:szCs w:val="18"/>
                <w:lang w:eastAsia="en-AU"/>
              </w:rPr>
            </w:pPr>
            <w:r w:rsidRPr="005711AC">
              <w:rPr>
                <w:b/>
                <w:sz w:val="18"/>
                <w:szCs w:val="18"/>
                <w:lang w:eastAsia="en-AU"/>
              </w:rPr>
              <w:t>2019</w:t>
            </w:r>
            <w:r>
              <w:rPr>
                <w:b/>
                <w:sz w:val="18"/>
                <w:szCs w:val="18"/>
                <w:lang w:eastAsia="en-AU"/>
              </w:rPr>
              <w:t>–</w:t>
            </w:r>
            <w:r w:rsidRPr="005711AC">
              <w:rPr>
                <w:b/>
                <w:sz w:val="18"/>
                <w:szCs w:val="18"/>
                <w:lang w:eastAsia="en-AU"/>
              </w:rPr>
              <w:t>20 ($)</w:t>
            </w:r>
          </w:p>
        </w:tc>
        <w:tc>
          <w:tcPr>
            <w:tcW w:w="1006" w:type="pct"/>
            <w:tcBorders>
              <w:top w:val="single" w:sz="8" w:space="0" w:color="auto"/>
              <w:left w:val="nil"/>
              <w:bottom w:val="single" w:sz="8" w:space="0" w:color="auto"/>
              <w:right w:val="nil"/>
            </w:tcBorders>
          </w:tcPr>
          <w:p w14:paraId="510FE1C3" w14:textId="1D040B7F" w:rsidR="00D44029" w:rsidRPr="005711AC" w:rsidRDefault="00D44029" w:rsidP="00DC627A">
            <w:pPr>
              <w:keepNext/>
              <w:spacing w:before="60" w:after="60" w:line="240" w:lineRule="auto"/>
              <w:jc w:val="right"/>
              <w:rPr>
                <w:b/>
                <w:sz w:val="18"/>
                <w:szCs w:val="18"/>
                <w:lang w:eastAsia="en-AU"/>
              </w:rPr>
            </w:pPr>
            <w:r w:rsidRPr="005711AC">
              <w:rPr>
                <w:b/>
                <w:sz w:val="18"/>
                <w:szCs w:val="18"/>
                <w:lang w:eastAsia="en-AU"/>
              </w:rPr>
              <w:t>2020</w:t>
            </w:r>
            <w:r>
              <w:rPr>
                <w:b/>
                <w:sz w:val="18"/>
                <w:szCs w:val="18"/>
                <w:lang w:eastAsia="en-AU"/>
              </w:rPr>
              <w:t>–</w:t>
            </w:r>
            <w:r w:rsidRPr="005711AC">
              <w:rPr>
                <w:b/>
                <w:sz w:val="18"/>
                <w:szCs w:val="18"/>
                <w:lang w:eastAsia="en-AU"/>
              </w:rPr>
              <w:t>21 ($)</w:t>
            </w:r>
          </w:p>
        </w:tc>
        <w:tc>
          <w:tcPr>
            <w:tcW w:w="1007" w:type="pct"/>
            <w:tcBorders>
              <w:top w:val="single" w:sz="8" w:space="0" w:color="auto"/>
              <w:left w:val="nil"/>
              <w:bottom w:val="single" w:sz="8" w:space="0" w:color="auto"/>
              <w:right w:val="nil"/>
            </w:tcBorders>
          </w:tcPr>
          <w:p w14:paraId="7F714BF4" w14:textId="3C68EE5D" w:rsidR="00D44029" w:rsidRPr="005711AC" w:rsidRDefault="00D44029" w:rsidP="00DC627A">
            <w:pPr>
              <w:keepNext/>
              <w:spacing w:before="60" w:after="60" w:line="240" w:lineRule="auto"/>
              <w:jc w:val="right"/>
              <w:rPr>
                <w:b/>
                <w:sz w:val="18"/>
                <w:szCs w:val="18"/>
                <w:lang w:eastAsia="en-AU"/>
              </w:rPr>
            </w:pPr>
            <w:r w:rsidRPr="005711AC">
              <w:rPr>
                <w:b/>
                <w:sz w:val="18"/>
                <w:szCs w:val="18"/>
                <w:lang w:eastAsia="en-AU"/>
              </w:rPr>
              <w:t>2021–22 ($)</w:t>
            </w:r>
          </w:p>
        </w:tc>
      </w:tr>
      <w:tr w:rsidR="00D44029" w:rsidRPr="00BA7059" w14:paraId="086C0DCC" w14:textId="387BDAA2" w:rsidTr="00115D06">
        <w:trPr>
          <w:cantSplit/>
          <w:tblHeader/>
        </w:trPr>
        <w:tc>
          <w:tcPr>
            <w:tcW w:w="972" w:type="pct"/>
            <w:tcBorders>
              <w:top w:val="nil"/>
              <w:left w:val="nil"/>
              <w:bottom w:val="nil"/>
              <w:right w:val="nil"/>
            </w:tcBorders>
            <w:shd w:val="clear" w:color="auto" w:fill="auto"/>
            <w:hideMark/>
          </w:tcPr>
          <w:p w14:paraId="77CC7F91" w14:textId="77777777" w:rsidR="00D44029" w:rsidRPr="0094337D" w:rsidRDefault="00D44029" w:rsidP="005711AC">
            <w:pPr>
              <w:spacing w:before="60" w:after="60" w:line="240" w:lineRule="auto"/>
              <w:rPr>
                <w:sz w:val="18"/>
                <w:lang w:eastAsia="en-AU"/>
              </w:rPr>
            </w:pPr>
            <w:r w:rsidRPr="0094337D">
              <w:rPr>
                <w:sz w:val="18"/>
                <w:lang w:eastAsia="en-AU"/>
              </w:rPr>
              <w:t>Revenue = X</w:t>
            </w:r>
          </w:p>
        </w:tc>
        <w:tc>
          <w:tcPr>
            <w:tcW w:w="1006" w:type="pct"/>
            <w:tcBorders>
              <w:top w:val="nil"/>
              <w:left w:val="nil"/>
              <w:bottom w:val="nil"/>
              <w:right w:val="nil"/>
            </w:tcBorders>
            <w:shd w:val="clear" w:color="auto" w:fill="auto"/>
            <w:vAlign w:val="center"/>
            <w:hideMark/>
          </w:tcPr>
          <w:p w14:paraId="3901E712" w14:textId="6430C16B" w:rsidR="00D44029" w:rsidRPr="0094337D" w:rsidRDefault="00D44029" w:rsidP="005711AC">
            <w:pPr>
              <w:spacing w:before="60" w:after="60" w:line="240" w:lineRule="auto"/>
              <w:jc w:val="right"/>
              <w:rPr>
                <w:sz w:val="18"/>
                <w:lang w:eastAsia="en-AU"/>
              </w:rPr>
            </w:pPr>
            <w:r>
              <w:rPr>
                <w:rFonts w:cs="Calibri"/>
                <w:color w:val="000000"/>
                <w:sz w:val="18"/>
                <w:szCs w:val="18"/>
              </w:rPr>
              <w:t>266,331,604</w:t>
            </w:r>
          </w:p>
        </w:tc>
        <w:tc>
          <w:tcPr>
            <w:tcW w:w="1008" w:type="pct"/>
            <w:tcBorders>
              <w:top w:val="nil"/>
              <w:left w:val="nil"/>
              <w:bottom w:val="nil"/>
              <w:right w:val="nil"/>
            </w:tcBorders>
            <w:shd w:val="clear" w:color="auto" w:fill="auto"/>
            <w:hideMark/>
          </w:tcPr>
          <w:p w14:paraId="190A6D44" w14:textId="3D79113E" w:rsidR="00D44029" w:rsidRPr="005711AC" w:rsidRDefault="00D44029" w:rsidP="005711AC">
            <w:pPr>
              <w:spacing w:before="60" w:after="60" w:line="240" w:lineRule="auto"/>
              <w:jc w:val="right"/>
              <w:rPr>
                <w:sz w:val="18"/>
                <w:szCs w:val="18"/>
                <w:lang w:eastAsia="en-AU"/>
              </w:rPr>
            </w:pPr>
            <w:r w:rsidRPr="00F03B98">
              <w:rPr>
                <w:sz w:val="18"/>
                <w:szCs w:val="18"/>
              </w:rPr>
              <w:t>253,441,682</w:t>
            </w:r>
          </w:p>
        </w:tc>
        <w:tc>
          <w:tcPr>
            <w:tcW w:w="1006" w:type="pct"/>
            <w:tcBorders>
              <w:top w:val="nil"/>
              <w:left w:val="nil"/>
              <w:bottom w:val="nil"/>
              <w:right w:val="nil"/>
            </w:tcBorders>
            <w:shd w:val="clear" w:color="auto" w:fill="auto"/>
          </w:tcPr>
          <w:p w14:paraId="400E875F" w14:textId="68975C86" w:rsidR="00D44029" w:rsidRPr="005711AC" w:rsidRDefault="00D44029" w:rsidP="005711AC">
            <w:pPr>
              <w:spacing w:before="60" w:after="60" w:line="240" w:lineRule="auto"/>
              <w:jc w:val="right"/>
              <w:rPr>
                <w:sz w:val="18"/>
                <w:szCs w:val="18"/>
                <w:lang w:eastAsia="en-AU"/>
              </w:rPr>
            </w:pPr>
            <w:r w:rsidRPr="00F03B98">
              <w:rPr>
                <w:sz w:val="18"/>
                <w:szCs w:val="18"/>
              </w:rPr>
              <w:t>285,801,849</w:t>
            </w:r>
          </w:p>
        </w:tc>
        <w:tc>
          <w:tcPr>
            <w:tcW w:w="1007" w:type="pct"/>
            <w:tcBorders>
              <w:top w:val="nil"/>
              <w:left w:val="nil"/>
              <w:bottom w:val="nil"/>
              <w:right w:val="nil"/>
            </w:tcBorders>
            <w:shd w:val="clear" w:color="auto" w:fill="auto"/>
          </w:tcPr>
          <w:p w14:paraId="027F5099" w14:textId="11C57B31" w:rsidR="00D44029" w:rsidRPr="005711AC" w:rsidRDefault="00D44029" w:rsidP="005711AC">
            <w:pPr>
              <w:spacing w:before="60" w:after="60" w:line="240" w:lineRule="auto"/>
              <w:jc w:val="right"/>
              <w:rPr>
                <w:sz w:val="18"/>
                <w:szCs w:val="18"/>
                <w:lang w:eastAsia="en-AU"/>
              </w:rPr>
            </w:pPr>
            <w:r w:rsidRPr="00F03B98">
              <w:rPr>
                <w:sz w:val="18"/>
                <w:szCs w:val="18"/>
              </w:rPr>
              <w:t>288,729,586</w:t>
            </w:r>
          </w:p>
        </w:tc>
      </w:tr>
      <w:tr w:rsidR="00D44029" w:rsidRPr="00BA7059" w14:paraId="7C6AB30F" w14:textId="6943A597" w:rsidTr="00115D06">
        <w:trPr>
          <w:cantSplit/>
          <w:tblHeader/>
        </w:trPr>
        <w:tc>
          <w:tcPr>
            <w:tcW w:w="972" w:type="pct"/>
            <w:tcBorders>
              <w:top w:val="nil"/>
              <w:left w:val="nil"/>
              <w:bottom w:val="nil"/>
              <w:right w:val="nil"/>
            </w:tcBorders>
            <w:shd w:val="clear" w:color="auto" w:fill="auto"/>
            <w:hideMark/>
          </w:tcPr>
          <w:p w14:paraId="345A0D1F" w14:textId="77777777" w:rsidR="00D44029" w:rsidRPr="0094337D" w:rsidRDefault="00D44029" w:rsidP="005711AC">
            <w:pPr>
              <w:spacing w:before="60" w:after="60" w:line="240" w:lineRule="auto"/>
              <w:rPr>
                <w:sz w:val="18"/>
                <w:lang w:eastAsia="en-AU"/>
              </w:rPr>
            </w:pPr>
            <w:r w:rsidRPr="0094337D">
              <w:rPr>
                <w:sz w:val="18"/>
                <w:lang w:eastAsia="en-AU"/>
              </w:rPr>
              <w:t>Expenses = Y</w:t>
            </w:r>
          </w:p>
        </w:tc>
        <w:tc>
          <w:tcPr>
            <w:tcW w:w="1006" w:type="pct"/>
            <w:tcBorders>
              <w:top w:val="nil"/>
              <w:left w:val="nil"/>
              <w:bottom w:val="nil"/>
              <w:right w:val="nil"/>
            </w:tcBorders>
            <w:shd w:val="clear" w:color="auto" w:fill="auto"/>
            <w:vAlign w:val="center"/>
            <w:hideMark/>
          </w:tcPr>
          <w:p w14:paraId="084B2BF2" w14:textId="6FC428A0" w:rsidR="00D44029" w:rsidRPr="0094337D" w:rsidRDefault="00D44029" w:rsidP="005711AC">
            <w:pPr>
              <w:spacing w:before="60" w:after="60" w:line="240" w:lineRule="auto"/>
              <w:jc w:val="right"/>
              <w:rPr>
                <w:sz w:val="18"/>
                <w:lang w:eastAsia="en-AU"/>
              </w:rPr>
            </w:pPr>
            <w:r w:rsidRPr="0094337D">
              <w:rPr>
                <w:rFonts w:cs="Calibri"/>
                <w:color w:val="000000"/>
                <w:sz w:val="18"/>
                <w:szCs w:val="18"/>
              </w:rPr>
              <w:t>2</w:t>
            </w:r>
            <w:r>
              <w:rPr>
                <w:rFonts w:cs="Calibri"/>
                <w:color w:val="000000"/>
                <w:sz w:val="18"/>
                <w:szCs w:val="18"/>
              </w:rPr>
              <w:t>52,843,610</w:t>
            </w:r>
          </w:p>
        </w:tc>
        <w:tc>
          <w:tcPr>
            <w:tcW w:w="1008" w:type="pct"/>
            <w:tcBorders>
              <w:top w:val="nil"/>
              <w:left w:val="nil"/>
              <w:bottom w:val="nil"/>
              <w:right w:val="nil"/>
            </w:tcBorders>
            <w:shd w:val="clear" w:color="auto" w:fill="auto"/>
            <w:hideMark/>
          </w:tcPr>
          <w:p w14:paraId="46E1969D" w14:textId="5357809A" w:rsidR="00D44029" w:rsidRPr="005711AC" w:rsidRDefault="00D44029" w:rsidP="005711AC">
            <w:pPr>
              <w:spacing w:before="60" w:after="60" w:line="240" w:lineRule="auto"/>
              <w:jc w:val="right"/>
              <w:rPr>
                <w:sz w:val="18"/>
                <w:szCs w:val="18"/>
                <w:lang w:eastAsia="en-AU"/>
              </w:rPr>
            </w:pPr>
            <w:r w:rsidRPr="00F03B98">
              <w:rPr>
                <w:sz w:val="18"/>
                <w:szCs w:val="18"/>
              </w:rPr>
              <w:t>264,268,224</w:t>
            </w:r>
          </w:p>
        </w:tc>
        <w:tc>
          <w:tcPr>
            <w:tcW w:w="1006" w:type="pct"/>
            <w:tcBorders>
              <w:top w:val="nil"/>
              <w:left w:val="nil"/>
              <w:bottom w:val="nil"/>
              <w:right w:val="nil"/>
            </w:tcBorders>
            <w:shd w:val="clear" w:color="auto" w:fill="auto"/>
          </w:tcPr>
          <w:p w14:paraId="575BEB9C" w14:textId="5EED8529" w:rsidR="00D44029" w:rsidRPr="005711AC" w:rsidRDefault="00D44029" w:rsidP="005711AC">
            <w:pPr>
              <w:spacing w:before="60" w:after="60" w:line="240" w:lineRule="auto"/>
              <w:jc w:val="right"/>
              <w:rPr>
                <w:sz w:val="18"/>
                <w:szCs w:val="18"/>
                <w:lang w:eastAsia="en-AU"/>
              </w:rPr>
            </w:pPr>
            <w:r w:rsidRPr="00F03B98">
              <w:rPr>
                <w:sz w:val="18"/>
                <w:szCs w:val="18"/>
              </w:rPr>
              <w:t>276,214,706</w:t>
            </w:r>
          </w:p>
        </w:tc>
        <w:tc>
          <w:tcPr>
            <w:tcW w:w="1007" w:type="pct"/>
            <w:tcBorders>
              <w:top w:val="nil"/>
              <w:left w:val="nil"/>
              <w:bottom w:val="nil"/>
              <w:right w:val="nil"/>
            </w:tcBorders>
            <w:shd w:val="clear" w:color="auto" w:fill="auto"/>
          </w:tcPr>
          <w:p w14:paraId="633491E9" w14:textId="591A6157" w:rsidR="00D44029" w:rsidRPr="005711AC" w:rsidRDefault="00D44029" w:rsidP="005711AC">
            <w:pPr>
              <w:spacing w:before="60" w:after="60" w:line="240" w:lineRule="auto"/>
              <w:jc w:val="right"/>
              <w:rPr>
                <w:sz w:val="18"/>
                <w:szCs w:val="18"/>
                <w:lang w:eastAsia="en-AU"/>
              </w:rPr>
            </w:pPr>
            <w:r w:rsidRPr="00F03B98">
              <w:rPr>
                <w:sz w:val="18"/>
                <w:szCs w:val="18"/>
              </w:rPr>
              <w:t>308,868,350</w:t>
            </w:r>
          </w:p>
        </w:tc>
      </w:tr>
      <w:tr w:rsidR="00D44029" w:rsidRPr="00BA7059" w14:paraId="74D5CBD5" w14:textId="72CE7261" w:rsidTr="00115D06">
        <w:trPr>
          <w:cantSplit/>
          <w:tblHeader/>
        </w:trPr>
        <w:tc>
          <w:tcPr>
            <w:tcW w:w="972" w:type="pct"/>
            <w:tcBorders>
              <w:top w:val="single" w:sz="8" w:space="0" w:color="auto"/>
              <w:left w:val="nil"/>
              <w:bottom w:val="nil"/>
              <w:right w:val="nil"/>
            </w:tcBorders>
            <w:shd w:val="clear" w:color="auto" w:fill="auto"/>
            <w:hideMark/>
          </w:tcPr>
          <w:p w14:paraId="24643C2A" w14:textId="77777777" w:rsidR="00D44029" w:rsidRPr="0094337D" w:rsidRDefault="00D44029" w:rsidP="005711AC">
            <w:pPr>
              <w:spacing w:before="60" w:after="60" w:line="240" w:lineRule="auto"/>
              <w:rPr>
                <w:sz w:val="18"/>
                <w:lang w:eastAsia="en-AU"/>
              </w:rPr>
            </w:pPr>
            <w:r w:rsidRPr="0094337D">
              <w:rPr>
                <w:sz w:val="18"/>
                <w:lang w:eastAsia="en-AU"/>
              </w:rPr>
              <w:t>Balance = X – Y</w:t>
            </w:r>
          </w:p>
        </w:tc>
        <w:tc>
          <w:tcPr>
            <w:tcW w:w="1006" w:type="pct"/>
            <w:tcBorders>
              <w:top w:val="single" w:sz="8" w:space="0" w:color="auto"/>
              <w:left w:val="nil"/>
              <w:bottom w:val="nil"/>
              <w:right w:val="nil"/>
            </w:tcBorders>
            <w:shd w:val="clear" w:color="auto" w:fill="auto"/>
            <w:vAlign w:val="center"/>
            <w:hideMark/>
          </w:tcPr>
          <w:p w14:paraId="1384A25E" w14:textId="1C4227CB" w:rsidR="00D44029" w:rsidRPr="0094337D" w:rsidRDefault="00D44029" w:rsidP="005711AC">
            <w:pPr>
              <w:spacing w:before="60" w:after="60" w:line="240" w:lineRule="auto"/>
              <w:jc w:val="right"/>
              <w:rPr>
                <w:sz w:val="18"/>
                <w:lang w:eastAsia="en-AU"/>
              </w:rPr>
            </w:pPr>
            <w:r w:rsidRPr="0094337D">
              <w:rPr>
                <w:rFonts w:cs="Calibri"/>
                <w:color w:val="000000"/>
                <w:sz w:val="18"/>
                <w:szCs w:val="18"/>
              </w:rPr>
              <w:t>1</w:t>
            </w:r>
            <w:r>
              <w:rPr>
                <w:rFonts w:cs="Calibri"/>
                <w:color w:val="000000"/>
                <w:sz w:val="18"/>
                <w:szCs w:val="18"/>
              </w:rPr>
              <w:t>3,487,994</w:t>
            </w:r>
          </w:p>
        </w:tc>
        <w:tc>
          <w:tcPr>
            <w:tcW w:w="1008" w:type="pct"/>
            <w:tcBorders>
              <w:top w:val="single" w:sz="8" w:space="0" w:color="auto"/>
              <w:left w:val="nil"/>
              <w:bottom w:val="nil"/>
              <w:right w:val="nil"/>
            </w:tcBorders>
            <w:shd w:val="clear" w:color="auto" w:fill="auto"/>
            <w:hideMark/>
          </w:tcPr>
          <w:p w14:paraId="6255B694" w14:textId="30FD49EC" w:rsidR="00D44029" w:rsidRPr="005711AC" w:rsidRDefault="00D44029" w:rsidP="005711AC">
            <w:pPr>
              <w:spacing w:before="60" w:after="60" w:line="240" w:lineRule="auto"/>
              <w:jc w:val="right"/>
              <w:rPr>
                <w:sz w:val="18"/>
                <w:szCs w:val="18"/>
                <w:lang w:eastAsia="en-AU"/>
              </w:rPr>
            </w:pPr>
            <w:r w:rsidRPr="00F03B98">
              <w:rPr>
                <w:sz w:val="18"/>
                <w:szCs w:val="18"/>
              </w:rPr>
              <w:t>-10,826,542</w:t>
            </w:r>
          </w:p>
        </w:tc>
        <w:tc>
          <w:tcPr>
            <w:tcW w:w="1006" w:type="pct"/>
            <w:tcBorders>
              <w:top w:val="single" w:sz="8" w:space="0" w:color="auto"/>
              <w:left w:val="nil"/>
              <w:bottom w:val="nil"/>
              <w:right w:val="nil"/>
            </w:tcBorders>
            <w:shd w:val="clear" w:color="auto" w:fill="auto"/>
          </w:tcPr>
          <w:p w14:paraId="0D4A4215" w14:textId="0009BEE7" w:rsidR="00D44029" w:rsidRPr="005711AC" w:rsidRDefault="00D44029" w:rsidP="005711AC">
            <w:pPr>
              <w:spacing w:before="60" w:after="60" w:line="240" w:lineRule="auto"/>
              <w:jc w:val="right"/>
              <w:rPr>
                <w:sz w:val="18"/>
                <w:szCs w:val="18"/>
                <w:lang w:eastAsia="en-AU"/>
              </w:rPr>
            </w:pPr>
            <w:r w:rsidRPr="00F03B98">
              <w:rPr>
                <w:sz w:val="18"/>
                <w:szCs w:val="18"/>
              </w:rPr>
              <w:t>9,587,143</w:t>
            </w:r>
          </w:p>
        </w:tc>
        <w:tc>
          <w:tcPr>
            <w:tcW w:w="1007" w:type="pct"/>
            <w:tcBorders>
              <w:top w:val="single" w:sz="8" w:space="0" w:color="auto"/>
              <w:left w:val="nil"/>
              <w:bottom w:val="nil"/>
              <w:right w:val="nil"/>
            </w:tcBorders>
            <w:shd w:val="clear" w:color="auto" w:fill="auto"/>
          </w:tcPr>
          <w:p w14:paraId="7506F22A" w14:textId="10ED4111" w:rsidR="00D44029" w:rsidRPr="005711AC" w:rsidRDefault="00D44029" w:rsidP="005711AC">
            <w:pPr>
              <w:spacing w:before="60" w:after="60" w:line="240" w:lineRule="auto"/>
              <w:jc w:val="right"/>
              <w:rPr>
                <w:sz w:val="18"/>
                <w:szCs w:val="18"/>
                <w:lang w:eastAsia="en-AU"/>
              </w:rPr>
            </w:pPr>
            <w:r w:rsidRPr="00F03B98">
              <w:rPr>
                <w:sz w:val="18"/>
                <w:szCs w:val="18"/>
              </w:rPr>
              <w:t>-20,138,764</w:t>
            </w:r>
          </w:p>
        </w:tc>
      </w:tr>
      <w:tr w:rsidR="00D44029" w:rsidRPr="00BA7059" w14:paraId="49FEA0C1" w14:textId="3923DE26" w:rsidTr="00115D06">
        <w:trPr>
          <w:cantSplit/>
          <w:tblHeader/>
        </w:trPr>
        <w:tc>
          <w:tcPr>
            <w:tcW w:w="972" w:type="pct"/>
            <w:tcBorders>
              <w:top w:val="single" w:sz="8" w:space="0" w:color="auto"/>
              <w:left w:val="nil"/>
              <w:bottom w:val="single" w:sz="8" w:space="0" w:color="auto"/>
              <w:right w:val="nil"/>
            </w:tcBorders>
            <w:shd w:val="clear" w:color="auto" w:fill="auto"/>
            <w:hideMark/>
          </w:tcPr>
          <w:p w14:paraId="4D10D4D5" w14:textId="77777777" w:rsidR="00D44029" w:rsidRPr="0094337D" w:rsidRDefault="00D44029" w:rsidP="005711AC">
            <w:pPr>
              <w:spacing w:before="60" w:after="60" w:line="240" w:lineRule="auto"/>
              <w:rPr>
                <w:b/>
                <w:bCs/>
                <w:sz w:val="18"/>
              </w:rPr>
            </w:pPr>
            <w:r w:rsidRPr="0094337D">
              <w:rPr>
                <w:b/>
                <w:bCs/>
                <w:sz w:val="18"/>
              </w:rPr>
              <w:t>Cost recovery reserve balance</w:t>
            </w:r>
          </w:p>
        </w:tc>
        <w:tc>
          <w:tcPr>
            <w:tcW w:w="1006" w:type="pct"/>
            <w:tcBorders>
              <w:top w:val="single" w:sz="8" w:space="0" w:color="auto"/>
              <w:left w:val="nil"/>
              <w:bottom w:val="single" w:sz="8" w:space="0" w:color="auto"/>
              <w:right w:val="nil"/>
            </w:tcBorders>
            <w:shd w:val="clear" w:color="auto" w:fill="auto"/>
            <w:vAlign w:val="center"/>
            <w:hideMark/>
          </w:tcPr>
          <w:p w14:paraId="47984BBC" w14:textId="2917866A" w:rsidR="00D44029" w:rsidRPr="0094337D" w:rsidRDefault="00D44029" w:rsidP="005711AC">
            <w:pPr>
              <w:spacing w:before="60" w:after="60" w:line="240" w:lineRule="auto"/>
              <w:jc w:val="right"/>
              <w:rPr>
                <w:b/>
                <w:bCs/>
                <w:sz w:val="18"/>
              </w:rPr>
            </w:pPr>
            <w:r>
              <w:rPr>
                <w:rFonts w:cs="Calibri"/>
                <w:b/>
                <w:bCs/>
                <w:color w:val="000000"/>
                <w:sz w:val="18"/>
                <w:szCs w:val="18"/>
              </w:rPr>
              <w:t>36,318,932</w:t>
            </w:r>
          </w:p>
        </w:tc>
        <w:tc>
          <w:tcPr>
            <w:tcW w:w="1008" w:type="pct"/>
            <w:tcBorders>
              <w:top w:val="single" w:sz="8" w:space="0" w:color="auto"/>
              <w:left w:val="nil"/>
              <w:bottom w:val="single" w:sz="8" w:space="0" w:color="auto"/>
              <w:right w:val="nil"/>
            </w:tcBorders>
            <w:shd w:val="clear" w:color="auto" w:fill="auto"/>
            <w:vAlign w:val="center"/>
            <w:hideMark/>
          </w:tcPr>
          <w:p w14:paraId="389E39E6" w14:textId="068C5CB7" w:rsidR="00D44029" w:rsidRPr="00F03B98" w:rsidRDefault="00D44029" w:rsidP="005711AC">
            <w:pPr>
              <w:spacing w:before="60" w:after="60" w:line="240" w:lineRule="auto"/>
              <w:jc w:val="right"/>
              <w:rPr>
                <w:rFonts w:cs="Calibri"/>
                <w:b/>
                <w:bCs/>
                <w:color w:val="000000"/>
                <w:sz w:val="18"/>
                <w:szCs w:val="18"/>
              </w:rPr>
            </w:pPr>
            <w:r w:rsidRPr="00F03B98">
              <w:rPr>
                <w:rFonts w:cs="Calibri"/>
                <w:b/>
                <w:bCs/>
                <w:color w:val="000000"/>
                <w:sz w:val="18"/>
                <w:szCs w:val="18"/>
              </w:rPr>
              <w:t>25,492,390</w:t>
            </w:r>
          </w:p>
        </w:tc>
        <w:tc>
          <w:tcPr>
            <w:tcW w:w="1006" w:type="pct"/>
            <w:tcBorders>
              <w:top w:val="single" w:sz="8" w:space="0" w:color="auto"/>
              <w:left w:val="nil"/>
              <w:bottom w:val="single" w:sz="8" w:space="0" w:color="auto"/>
              <w:right w:val="nil"/>
            </w:tcBorders>
            <w:shd w:val="clear" w:color="auto" w:fill="auto"/>
            <w:vAlign w:val="center"/>
          </w:tcPr>
          <w:p w14:paraId="291FF4CA" w14:textId="51CD818A" w:rsidR="00D44029" w:rsidRPr="00F03B98" w:rsidRDefault="00D44029" w:rsidP="005711AC">
            <w:pPr>
              <w:spacing w:before="60" w:after="60" w:line="240" w:lineRule="auto"/>
              <w:jc w:val="right"/>
              <w:rPr>
                <w:rFonts w:cs="Calibri"/>
                <w:b/>
                <w:bCs/>
                <w:color w:val="000000"/>
                <w:sz w:val="18"/>
                <w:szCs w:val="18"/>
              </w:rPr>
            </w:pPr>
            <w:r w:rsidRPr="00F03B98">
              <w:rPr>
                <w:rFonts w:cs="Calibri"/>
                <w:b/>
                <w:bCs/>
                <w:color w:val="000000"/>
                <w:sz w:val="18"/>
                <w:szCs w:val="18"/>
              </w:rPr>
              <w:t>35,079,533</w:t>
            </w:r>
          </w:p>
        </w:tc>
        <w:tc>
          <w:tcPr>
            <w:tcW w:w="1007" w:type="pct"/>
            <w:tcBorders>
              <w:top w:val="single" w:sz="8" w:space="0" w:color="auto"/>
              <w:left w:val="nil"/>
              <w:bottom w:val="single" w:sz="8" w:space="0" w:color="auto"/>
              <w:right w:val="nil"/>
            </w:tcBorders>
            <w:shd w:val="clear" w:color="auto" w:fill="auto"/>
            <w:vAlign w:val="center"/>
          </w:tcPr>
          <w:p w14:paraId="300E38D7" w14:textId="53EF79A7" w:rsidR="00D44029" w:rsidRPr="00F03B98" w:rsidRDefault="00D44029" w:rsidP="005711AC">
            <w:pPr>
              <w:spacing w:before="60" w:after="60" w:line="240" w:lineRule="auto"/>
              <w:jc w:val="right"/>
              <w:rPr>
                <w:rFonts w:cs="Calibri"/>
                <w:b/>
                <w:bCs/>
                <w:color w:val="000000"/>
                <w:sz w:val="18"/>
                <w:szCs w:val="18"/>
              </w:rPr>
            </w:pPr>
            <w:r w:rsidRPr="00F03B98">
              <w:rPr>
                <w:rFonts w:cs="Calibri"/>
                <w:b/>
                <w:bCs/>
                <w:color w:val="000000"/>
                <w:sz w:val="18"/>
                <w:szCs w:val="18"/>
              </w:rPr>
              <w:t>14,940,769</w:t>
            </w:r>
          </w:p>
        </w:tc>
      </w:tr>
    </w:tbl>
    <w:p w14:paraId="43570F9E" w14:textId="56BE55DB" w:rsidR="000E7FDA" w:rsidRPr="009D3D6B" w:rsidRDefault="000E7FDA" w:rsidP="000E7FDA">
      <w:pPr>
        <w:pStyle w:val="FigureTableNoteSource"/>
      </w:pPr>
      <w:r w:rsidRPr="00F44465">
        <w:t xml:space="preserve">Note: </w:t>
      </w:r>
      <w:r w:rsidR="009450AB" w:rsidRPr="00F44465">
        <w:t>The results for 2019–20 reflect the initial impacts of COVID-19 with closed borders and global uncertainty. At the same time, costs increased against static revenue prices leading to a reduction in the balance of the cost recovery reserve.  This improved in 2020–21 as imports increased in lieu of consumers taking overseas and domestic holidays. The 2021-22 result reflects costs for the first year of funding to manage the risks from hitchhikers arriving through cargo pathways and a reduction in revenue due to COVID-19 impacts on fee-for-service activities.</w:t>
      </w:r>
    </w:p>
    <w:p w14:paraId="0BDF6766" w14:textId="54E7A775" w:rsidR="009064CB" w:rsidRDefault="00D53425" w:rsidP="00D53425">
      <w:pPr>
        <w:pStyle w:val="Heading3"/>
      </w:pPr>
      <w:bookmarkStart w:id="65" w:name="_Toc119313403"/>
      <w:r w:rsidRPr="00D53425">
        <w:t>Non-financial performance</w:t>
      </w:r>
      <w:bookmarkEnd w:id="65"/>
    </w:p>
    <w:p w14:paraId="7BFE9ED4" w14:textId="7B816897" w:rsidR="00D53425" w:rsidRDefault="00D53425" w:rsidP="00D53425">
      <w:r>
        <w:t xml:space="preserve">Performance </w:t>
      </w:r>
      <w:r w:rsidR="00214BD8">
        <w:t xml:space="preserve">criteria and measures </w:t>
      </w:r>
      <w:r>
        <w:t>will be updated over the life of the CRIS.</w:t>
      </w:r>
    </w:p>
    <w:p w14:paraId="56102146" w14:textId="3ADCF95E" w:rsidR="00D53425" w:rsidRDefault="00043DC4" w:rsidP="00D53425">
      <w:r>
        <w:fldChar w:fldCharType="begin"/>
      </w:r>
      <w:r>
        <w:instrText xml:space="preserve"> REF _Ref77865649 \h </w:instrText>
      </w:r>
      <w:r>
        <w:fldChar w:fldCharType="separate"/>
      </w:r>
      <w:r w:rsidR="0033587A">
        <w:t xml:space="preserve">Table </w:t>
      </w:r>
      <w:r w:rsidR="0033587A">
        <w:rPr>
          <w:noProof/>
        </w:rPr>
        <w:t>7</w:t>
      </w:r>
      <w:r>
        <w:fldChar w:fldCharType="end"/>
      </w:r>
      <w:r w:rsidR="00D53425">
        <w:t xml:space="preserve"> provides non-financial performance indicators for the biosecurity regulatory charging arrangement, consistent with the </w:t>
      </w:r>
      <w:hyperlink r:id="rId47" w:history="1">
        <w:r w:rsidR="000E7FDA">
          <w:rPr>
            <w:rStyle w:val="Hyperlink"/>
          </w:rPr>
          <w:t>Commonwealth</w:t>
        </w:r>
        <w:r w:rsidR="000E7FDA" w:rsidRPr="00DA5D6D">
          <w:rPr>
            <w:rStyle w:val="Hyperlink"/>
          </w:rPr>
          <w:t xml:space="preserve"> Performance Framework</w:t>
        </w:r>
      </w:hyperlink>
      <w:r w:rsidR="000E7FDA">
        <w:t xml:space="preserve">. Additional </w:t>
      </w:r>
      <w:r w:rsidR="00D53425">
        <w:t>non-performance measures are included in the Annual Report and Corporate Plan.</w:t>
      </w:r>
    </w:p>
    <w:p w14:paraId="78161ED9" w14:textId="739F27F4" w:rsidR="00D53425" w:rsidRDefault="00B963DD" w:rsidP="00B963DD">
      <w:pPr>
        <w:pStyle w:val="Caption"/>
      </w:pPr>
      <w:bookmarkStart w:id="66" w:name="_Ref77865649"/>
      <w:bookmarkStart w:id="67" w:name="_Toc113262184"/>
      <w:r>
        <w:t xml:space="preserve">Table </w:t>
      </w:r>
      <w:r w:rsidR="003C1A72">
        <w:fldChar w:fldCharType="begin"/>
      </w:r>
      <w:r w:rsidR="003C1A72">
        <w:instrText xml:space="preserve"> SEQ Table \* ARABIC </w:instrText>
      </w:r>
      <w:r w:rsidR="003C1A72">
        <w:fldChar w:fldCharType="separate"/>
      </w:r>
      <w:r w:rsidR="0033587A">
        <w:rPr>
          <w:noProof/>
        </w:rPr>
        <w:t>7</w:t>
      </w:r>
      <w:r w:rsidR="003C1A72">
        <w:rPr>
          <w:noProof/>
        </w:rPr>
        <w:fldChar w:fldCharType="end"/>
      </w:r>
      <w:bookmarkEnd w:id="66"/>
      <w:r>
        <w:t xml:space="preserve"> </w:t>
      </w:r>
      <w:proofErr w:type="gramStart"/>
      <w:r w:rsidRPr="007327F1">
        <w:t>Non-financial</w:t>
      </w:r>
      <w:proofErr w:type="gramEnd"/>
      <w:r w:rsidRPr="007327F1">
        <w:t xml:space="preserve"> performance measures for biosecurity arrangement</w:t>
      </w:r>
      <w:r w:rsidR="00043DC4">
        <w:t>,</w:t>
      </w:r>
      <w:r w:rsidRPr="007327F1">
        <w:t xml:space="preserve"> </w:t>
      </w:r>
      <w:r w:rsidR="00E91094">
        <w:t>2020</w:t>
      </w:r>
      <w:r w:rsidR="009477D8">
        <w:t>–</w:t>
      </w:r>
      <w:r w:rsidR="00E91094">
        <w:t>21</w:t>
      </w:r>
      <w:bookmarkEnd w:id="67"/>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2"/>
      </w:tblGrid>
      <w:tr w:rsidR="00D53425" w:rsidRPr="000B2120" w14:paraId="430874C5" w14:textId="77777777" w:rsidTr="00115D06">
        <w:trPr>
          <w:cantSplit/>
          <w:tblHeader/>
        </w:trPr>
        <w:tc>
          <w:tcPr>
            <w:tcW w:w="1667" w:type="pct"/>
            <w:tcBorders>
              <w:top w:val="single" w:sz="4" w:space="0" w:color="auto"/>
              <w:bottom w:val="single" w:sz="4" w:space="0" w:color="auto"/>
            </w:tcBorders>
          </w:tcPr>
          <w:p w14:paraId="11052E34" w14:textId="480B0CCE" w:rsidR="00D53425" w:rsidRPr="000B2120" w:rsidRDefault="00D53425" w:rsidP="00D53425">
            <w:pPr>
              <w:pStyle w:val="TableHeading"/>
            </w:pPr>
            <w:bookmarkStart w:id="68" w:name="Title_7"/>
            <w:bookmarkEnd w:id="68"/>
            <w:r w:rsidRPr="000B2120">
              <w:t xml:space="preserve">Performance </w:t>
            </w:r>
            <w:r w:rsidR="000E7FDA" w:rsidRPr="000B2120">
              <w:t>criteria</w:t>
            </w:r>
          </w:p>
        </w:tc>
        <w:tc>
          <w:tcPr>
            <w:tcW w:w="1667" w:type="pct"/>
            <w:tcBorders>
              <w:top w:val="single" w:sz="4" w:space="0" w:color="auto"/>
              <w:bottom w:val="single" w:sz="4" w:space="0" w:color="auto"/>
            </w:tcBorders>
          </w:tcPr>
          <w:p w14:paraId="0ECA2ED3" w14:textId="77777777" w:rsidR="00D53425" w:rsidRPr="000B2120" w:rsidRDefault="00D53425" w:rsidP="00D53425">
            <w:pPr>
              <w:pStyle w:val="TableHeading"/>
            </w:pPr>
            <w:r w:rsidRPr="000B2120">
              <w:t>Performance measure</w:t>
            </w:r>
          </w:p>
        </w:tc>
        <w:tc>
          <w:tcPr>
            <w:tcW w:w="1666" w:type="pct"/>
            <w:tcBorders>
              <w:top w:val="single" w:sz="4" w:space="0" w:color="auto"/>
              <w:bottom w:val="single" w:sz="4" w:space="0" w:color="auto"/>
            </w:tcBorders>
          </w:tcPr>
          <w:p w14:paraId="7D731563" w14:textId="236E07B2" w:rsidR="00D53425" w:rsidRPr="000B2120" w:rsidRDefault="00D53425" w:rsidP="00D53425">
            <w:pPr>
              <w:pStyle w:val="TableHeading"/>
            </w:pPr>
            <w:r w:rsidRPr="000B2120">
              <w:t>20</w:t>
            </w:r>
            <w:r w:rsidR="00214BD8" w:rsidRPr="000B2120">
              <w:t>20</w:t>
            </w:r>
            <w:r w:rsidRPr="000B2120">
              <w:t>–2</w:t>
            </w:r>
            <w:r w:rsidR="00214BD8" w:rsidRPr="000B2120">
              <w:t>1</w:t>
            </w:r>
            <w:r w:rsidRPr="000B2120">
              <w:t xml:space="preserve"> performance</w:t>
            </w:r>
          </w:p>
        </w:tc>
      </w:tr>
      <w:tr w:rsidR="00D53425" w:rsidRPr="000B2120" w14:paraId="74414A32" w14:textId="77777777" w:rsidTr="00115D06">
        <w:trPr>
          <w:tblHeader/>
        </w:trPr>
        <w:tc>
          <w:tcPr>
            <w:tcW w:w="1667" w:type="pct"/>
            <w:tcBorders>
              <w:top w:val="single" w:sz="4" w:space="0" w:color="auto"/>
            </w:tcBorders>
          </w:tcPr>
          <w:p w14:paraId="36748282" w14:textId="4F29F63B" w:rsidR="00D53425" w:rsidRPr="000B2120" w:rsidRDefault="000E7FDA" w:rsidP="00D53425">
            <w:pPr>
              <w:pStyle w:val="TableText"/>
            </w:pPr>
            <w:r w:rsidRPr="000B2120">
              <w:t xml:space="preserve">The national biosecurity system </w:t>
            </w:r>
            <w:r w:rsidR="00214BD8" w:rsidRPr="000B2120">
              <w:t>meets the agreed national goals and objectives of the Intergovernmental Agreement on Biosecurity</w:t>
            </w:r>
          </w:p>
        </w:tc>
        <w:tc>
          <w:tcPr>
            <w:tcW w:w="1667" w:type="pct"/>
            <w:tcBorders>
              <w:top w:val="single" w:sz="4" w:space="0" w:color="auto"/>
            </w:tcBorders>
          </w:tcPr>
          <w:p w14:paraId="2EBF8002" w14:textId="54E8F7F5" w:rsidR="00D53425" w:rsidRPr="000B2120" w:rsidRDefault="00214BD8" w:rsidP="00D53425">
            <w:pPr>
              <w:pStyle w:val="TableText"/>
            </w:pPr>
            <w:r w:rsidRPr="000B2120">
              <w:t>Performance measures are developed to assess the effectiveness of the national biosecurity system</w:t>
            </w:r>
          </w:p>
        </w:tc>
        <w:tc>
          <w:tcPr>
            <w:tcW w:w="1666" w:type="pct"/>
            <w:tcBorders>
              <w:top w:val="single" w:sz="4" w:space="0" w:color="auto"/>
            </w:tcBorders>
          </w:tcPr>
          <w:p w14:paraId="039E8AD9" w14:textId="77777777" w:rsidR="00D53425" w:rsidRPr="000B2120" w:rsidRDefault="00D53425" w:rsidP="00D53425">
            <w:pPr>
              <w:pStyle w:val="TableText"/>
            </w:pPr>
            <w:r w:rsidRPr="000B2120">
              <w:t>Partially achieved</w:t>
            </w:r>
          </w:p>
        </w:tc>
      </w:tr>
      <w:tr w:rsidR="00D53425" w:rsidRPr="000B2120" w14:paraId="0B965BC1" w14:textId="77777777" w:rsidTr="00115D06">
        <w:trPr>
          <w:tblHeader/>
        </w:trPr>
        <w:tc>
          <w:tcPr>
            <w:tcW w:w="1667" w:type="pct"/>
          </w:tcPr>
          <w:p w14:paraId="07C8562E" w14:textId="416FC37C" w:rsidR="00D53425" w:rsidRPr="000B2120" w:rsidRDefault="00214BD8" w:rsidP="00D53425">
            <w:pPr>
              <w:pStyle w:val="TableText"/>
            </w:pPr>
            <w:r w:rsidRPr="000B2120">
              <w:t>R</w:t>
            </w:r>
            <w:r w:rsidR="00D53425" w:rsidRPr="000B2120">
              <w:t>egulat</w:t>
            </w:r>
            <w:r w:rsidRPr="000B2120">
              <w:t xml:space="preserve">ion, </w:t>
            </w:r>
            <w:proofErr w:type="gramStart"/>
            <w:r w:rsidRPr="000B2120">
              <w:t>partnerships</w:t>
            </w:r>
            <w:proofErr w:type="gramEnd"/>
            <w:r w:rsidRPr="000B2120">
              <w:t xml:space="preserve"> and </w:t>
            </w:r>
            <w:r w:rsidR="00D53425" w:rsidRPr="000B2120">
              <w:t>s</w:t>
            </w:r>
            <w:r w:rsidRPr="000B2120">
              <w:t>ervice delivery manage biosecurity risk</w:t>
            </w:r>
            <w:r w:rsidR="00D53425" w:rsidRPr="000B2120">
              <w:t xml:space="preserve"> </w:t>
            </w:r>
          </w:p>
        </w:tc>
        <w:tc>
          <w:tcPr>
            <w:tcW w:w="1667" w:type="pct"/>
          </w:tcPr>
          <w:p w14:paraId="512DBFB9" w14:textId="77AB559E" w:rsidR="00D53425" w:rsidRPr="000B2120" w:rsidRDefault="00214BD8" w:rsidP="00D53425">
            <w:pPr>
              <w:pStyle w:val="TableText"/>
            </w:pPr>
            <w:r w:rsidRPr="000B2120">
              <w:t>Rates of compliance with regulations administered by the department are maintained or improved</w:t>
            </w:r>
          </w:p>
          <w:p w14:paraId="2B9ED97C" w14:textId="6A045D4E" w:rsidR="00214BD8" w:rsidRPr="000B2120" w:rsidRDefault="00214BD8" w:rsidP="00D53425">
            <w:pPr>
              <w:pStyle w:val="TableText"/>
            </w:pPr>
            <w:r w:rsidRPr="000B2120">
              <w:t>Agreed regulatory performance timeframes are met</w:t>
            </w:r>
          </w:p>
        </w:tc>
        <w:tc>
          <w:tcPr>
            <w:tcW w:w="1666" w:type="pct"/>
          </w:tcPr>
          <w:p w14:paraId="080A3B6C" w14:textId="77777777" w:rsidR="00D53425" w:rsidRPr="000B2120" w:rsidRDefault="00D53425" w:rsidP="00D53425">
            <w:pPr>
              <w:pStyle w:val="TableText"/>
            </w:pPr>
            <w:r w:rsidRPr="000B2120">
              <w:t>Partially achieved</w:t>
            </w:r>
          </w:p>
        </w:tc>
      </w:tr>
    </w:tbl>
    <w:p w14:paraId="3A4EFBA1" w14:textId="3548FC96" w:rsidR="00D53425" w:rsidRDefault="00043DC4" w:rsidP="007278E7">
      <w:pPr>
        <w:pStyle w:val="FigureTableNoteSource"/>
      </w:pPr>
      <w:r w:rsidRPr="000B2120">
        <w:t xml:space="preserve">Note: </w:t>
      </w:r>
      <w:r w:rsidR="007278E7" w:rsidRPr="000B2120">
        <w:t xml:space="preserve">For performance measures, see the </w:t>
      </w:r>
      <w:hyperlink r:id="rId48" w:history="1">
        <w:r w:rsidR="007278E7" w:rsidRPr="000B2120">
          <w:rPr>
            <w:rStyle w:val="Hyperlink"/>
          </w:rPr>
          <w:t>D</w:t>
        </w:r>
        <w:r w:rsidR="000E7FDA" w:rsidRPr="000B2120">
          <w:rPr>
            <w:rStyle w:val="Hyperlink"/>
          </w:rPr>
          <w:t xml:space="preserve">AWE </w:t>
        </w:r>
        <w:r w:rsidR="007278E7" w:rsidRPr="000B2120">
          <w:rPr>
            <w:rStyle w:val="Hyperlink"/>
          </w:rPr>
          <w:t>Annual Report 20</w:t>
        </w:r>
        <w:r w:rsidR="00214BD8" w:rsidRPr="000B2120">
          <w:rPr>
            <w:rStyle w:val="Hyperlink"/>
          </w:rPr>
          <w:t>20</w:t>
        </w:r>
        <w:r w:rsidR="007278E7" w:rsidRPr="000B2120">
          <w:rPr>
            <w:rStyle w:val="Hyperlink"/>
          </w:rPr>
          <w:t>–2</w:t>
        </w:r>
        <w:r w:rsidR="00214BD8" w:rsidRPr="000B2120">
          <w:rPr>
            <w:rStyle w:val="Hyperlink"/>
          </w:rPr>
          <w:t>1</w:t>
        </w:r>
      </w:hyperlink>
      <w:r w:rsidR="007278E7" w:rsidRPr="000B2120">
        <w:t>, p</w:t>
      </w:r>
      <w:r w:rsidR="00D24697" w:rsidRPr="000B2120">
        <w:t xml:space="preserve">age </w:t>
      </w:r>
      <w:r w:rsidR="00214BD8" w:rsidRPr="000B2120">
        <w:t xml:space="preserve">62 </w:t>
      </w:r>
      <w:r w:rsidR="007278E7" w:rsidRPr="000B2120">
        <w:t xml:space="preserve">and the </w:t>
      </w:r>
      <w:hyperlink r:id="rId49" w:history="1">
        <w:r w:rsidR="000E7FDA" w:rsidRPr="000B2120">
          <w:rPr>
            <w:rStyle w:val="Hyperlink"/>
          </w:rPr>
          <w:t>DAWE C</w:t>
        </w:r>
        <w:r w:rsidR="007278E7" w:rsidRPr="000B2120">
          <w:rPr>
            <w:rStyle w:val="Hyperlink"/>
          </w:rPr>
          <w:t>orporate Plan 20</w:t>
        </w:r>
        <w:r w:rsidR="000E7FDA" w:rsidRPr="000B2120">
          <w:rPr>
            <w:rStyle w:val="Hyperlink"/>
          </w:rPr>
          <w:t>20</w:t>
        </w:r>
        <w:r w:rsidR="009477D8">
          <w:rPr>
            <w:rStyle w:val="Hyperlink"/>
          </w:rPr>
          <w:t>–</w:t>
        </w:r>
        <w:r w:rsidR="007278E7" w:rsidRPr="000B2120">
          <w:rPr>
            <w:rStyle w:val="Hyperlink"/>
          </w:rPr>
          <w:t>2</w:t>
        </w:r>
        <w:r w:rsidR="000E7FDA" w:rsidRPr="000B2120">
          <w:rPr>
            <w:rStyle w:val="Hyperlink"/>
          </w:rPr>
          <w:t>1</w:t>
        </w:r>
      </w:hyperlink>
      <w:r w:rsidR="007278E7" w:rsidRPr="000B2120">
        <w:t>, p</w:t>
      </w:r>
      <w:r w:rsidR="00D24697" w:rsidRPr="000B2120">
        <w:t xml:space="preserve">age </w:t>
      </w:r>
      <w:r w:rsidR="000E7FDA" w:rsidRPr="000B2120">
        <w:t>39</w:t>
      </w:r>
      <w:r w:rsidR="007278E7" w:rsidRPr="000B2120">
        <w:t>.</w:t>
      </w:r>
    </w:p>
    <w:p w14:paraId="0F0959E0" w14:textId="136936A6" w:rsidR="003A54FF" w:rsidRDefault="003A54FF" w:rsidP="003A54FF">
      <w:r>
        <w:lastRenderedPageBreak/>
        <w:t xml:space="preserve">In 2018–19 we commenced work on a regulatory practice framework to strengthen our regulatory capability and culture. In 2019–20 we made progress on initiatives aimed at maturing departmental regulatory practice. This included developing a </w:t>
      </w:r>
      <w:hyperlink r:id="rId50" w:history="1">
        <w:r w:rsidRPr="00BC5479">
          <w:rPr>
            <w:rStyle w:val="Hyperlink"/>
          </w:rPr>
          <w:t>regulatory</w:t>
        </w:r>
        <w:r w:rsidR="009477D8">
          <w:rPr>
            <w:rStyle w:val="Hyperlink"/>
          </w:rPr>
          <w:t> </w:t>
        </w:r>
        <w:r w:rsidRPr="00BC5479">
          <w:rPr>
            <w:rStyle w:val="Hyperlink"/>
          </w:rPr>
          <w:t>practice</w:t>
        </w:r>
        <w:r w:rsidR="009477D8">
          <w:rPr>
            <w:rStyle w:val="Hyperlink"/>
          </w:rPr>
          <w:t> </w:t>
        </w:r>
        <w:r w:rsidRPr="00BC5479">
          <w:rPr>
            <w:rStyle w:val="Hyperlink"/>
          </w:rPr>
          <w:t>statement</w:t>
        </w:r>
      </w:hyperlink>
      <w:r>
        <w:t xml:space="preserve"> (RPS), which was implemented </w:t>
      </w:r>
      <w:r w:rsidR="00AA112E">
        <w:t xml:space="preserve">from </w:t>
      </w:r>
      <w:r>
        <w:t>June 2021.</w:t>
      </w:r>
    </w:p>
    <w:p w14:paraId="3ECAC04D" w14:textId="036B4E51" w:rsidR="00AF672F" w:rsidRDefault="00AF672F" w:rsidP="00AF672F">
      <w:r>
        <w:t>In 2019–20 we met or exceeded our targets</w:t>
      </w:r>
      <w:r w:rsidR="00C53979">
        <w:t xml:space="preserve"> for imports </w:t>
      </w:r>
      <w:r>
        <w:t>across</w:t>
      </w:r>
      <w:r w:rsidR="00C53979">
        <w:t xml:space="preserve"> 6 of </w:t>
      </w:r>
      <w:r w:rsidR="00FF24C2">
        <w:t>10 service</w:t>
      </w:r>
      <w:r>
        <w:t xml:space="preserve"> standards:</w:t>
      </w:r>
    </w:p>
    <w:p w14:paraId="03401A3A" w14:textId="1A440066" w:rsidR="00AF672F" w:rsidRDefault="00AF672F" w:rsidP="00AF672F">
      <w:pPr>
        <w:pStyle w:val="ListBullet"/>
      </w:pPr>
      <w:r>
        <w:t>Client contact services – 3 of 3 met</w:t>
      </w:r>
    </w:p>
    <w:p w14:paraId="4D3AC4CA" w14:textId="1828AEB2" w:rsidR="00AF672F" w:rsidRDefault="00AF672F" w:rsidP="00AF672F">
      <w:pPr>
        <w:pStyle w:val="ListBullet"/>
      </w:pPr>
      <w:r>
        <w:t>Import services – 3 of 7 met and 2 partially met.</w:t>
      </w:r>
    </w:p>
    <w:p w14:paraId="2B210494" w14:textId="77777777" w:rsidR="00AF672F" w:rsidRDefault="00AF672F" w:rsidP="00AF672F">
      <w:r>
        <w:t>The COVID-19 pandemic affected our ability to achieve stated performance standards across a range of services, as we changed our operations to meet pandemic requirements and ensure the health and safety of our people.</w:t>
      </w:r>
    </w:p>
    <w:p w14:paraId="17C73576" w14:textId="745B3800" w:rsidR="00AF672F" w:rsidRDefault="00AF672F" w:rsidP="00AF672F">
      <w:r>
        <w:t xml:space="preserve">Detailed information on the </w:t>
      </w:r>
      <w:r w:rsidR="00043DC4">
        <w:t>d</w:t>
      </w:r>
      <w:r>
        <w:t xml:space="preserve">epartment’s </w:t>
      </w:r>
      <w:r w:rsidR="00214BD8">
        <w:t xml:space="preserve">biosecurity </w:t>
      </w:r>
      <w:r>
        <w:t xml:space="preserve">performance measures and results can be found in the </w:t>
      </w:r>
      <w:hyperlink r:id="rId51" w:history="1">
        <w:r w:rsidR="00214BD8" w:rsidRPr="008328F8">
          <w:rPr>
            <w:rStyle w:val="Hyperlink"/>
          </w:rPr>
          <w:t>DAWE Annual Report 2020–21</w:t>
        </w:r>
      </w:hyperlink>
      <w:r w:rsidRPr="008328F8">
        <w:t xml:space="preserve"> from page </w:t>
      </w:r>
      <w:r w:rsidR="00214BD8" w:rsidRPr="008328F8">
        <w:t>62</w:t>
      </w:r>
      <w:r w:rsidRPr="008328F8">
        <w:t>.</w:t>
      </w:r>
    </w:p>
    <w:p w14:paraId="6A804D56" w14:textId="38475FB2" w:rsidR="005711AC" w:rsidRPr="00AF672F" w:rsidRDefault="005711AC" w:rsidP="00AF672F">
      <w:r w:rsidRPr="009477D8">
        <w:t>At the time of drafting this CRIS, the Annual report for 2021</w:t>
      </w:r>
      <w:r w:rsidR="009477D8" w:rsidRPr="009477D8">
        <w:t>–</w:t>
      </w:r>
      <w:r w:rsidRPr="009477D8">
        <w:t>22 had not been published.</w:t>
      </w:r>
    </w:p>
    <w:p w14:paraId="365528FD" w14:textId="78656601" w:rsidR="007278E7" w:rsidRDefault="00AF672F" w:rsidP="00AF672F">
      <w:pPr>
        <w:pStyle w:val="Heading2"/>
      </w:pPr>
      <w:bookmarkStart w:id="69" w:name="_Key_dates_and"/>
      <w:bookmarkStart w:id="70" w:name="_Toc119313404"/>
      <w:bookmarkEnd w:id="69"/>
      <w:r w:rsidRPr="00AF672F">
        <w:lastRenderedPageBreak/>
        <w:t xml:space="preserve">Key </w:t>
      </w:r>
      <w:r w:rsidR="00DE2D09">
        <w:t xml:space="preserve">forward </w:t>
      </w:r>
      <w:r w:rsidRPr="00AF672F">
        <w:t>dates and events</w:t>
      </w:r>
      <w:bookmarkEnd w:id="70"/>
    </w:p>
    <w:p w14:paraId="2923290A" w14:textId="66E05FF4" w:rsidR="00E52BC3" w:rsidRDefault="00AF672F" w:rsidP="00AF672F">
      <w:pPr>
        <w:rPr>
          <w:lang w:eastAsia="ja-JP"/>
        </w:rPr>
      </w:pPr>
      <w:r w:rsidRPr="00AF672F">
        <w:rPr>
          <w:lang w:eastAsia="ja-JP"/>
        </w:rPr>
        <w:t xml:space="preserve">We undertake regular reviews of our financial performance and conduct regular stakeholder engagement activities throughout the CRIS cycle. Key forward dates for the biosecurity regulatory charging arrangement are documented in </w:t>
      </w:r>
      <w:r w:rsidR="00043DC4">
        <w:rPr>
          <w:lang w:eastAsia="ja-JP"/>
        </w:rPr>
        <w:fldChar w:fldCharType="begin"/>
      </w:r>
      <w:r w:rsidR="00043DC4">
        <w:rPr>
          <w:lang w:eastAsia="ja-JP"/>
        </w:rPr>
        <w:instrText xml:space="preserve"> REF _Ref77865730 \h </w:instrText>
      </w:r>
      <w:r w:rsidR="00043DC4">
        <w:rPr>
          <w:lang w:eastAsia="ja-JP"/>
        </w:rPr>
      </w:r>
      <w:r w:rsidR="00043DC4">
        <w:rPr>
          <w:lang w:eastAsia="ja-JP"/>
        </w:rPr>
        <w:fldChar w:fldCharType="separate"/>
      </w:r>
      <w:r w:rsidR="0033587A">
        <w:t xml:space="preserve">Table </w:t>
      </w:r>
      <w:r w:rsidR="0033587A">
        <w:rPr>
          <w:noProof/>
        </w:rPr>
        <w:t>8</w:t>
      </w:r>
      <w:r w:rsidR="00043DC4">
        <w:rPr>
          <w:lang w:eastAsia="ja-JP"/>
        </w:rPr>
        <w:fldChar w:fldCharType="end"/>
      </w:r>
      <w:r w:rsidR="00043DC4">
        <w:rPr>
          <w:lang w:eastAsia="ja-JP"/>
        </w:rPr>
        <w:t>.</w:t>
      </w:r>
    </w:p>
    <w:p w14:paraId="2C8FD41A" w14:textId="2F9D22F2" w:rsidR="00AF672F" w:rsidRDefault="008D3ACB" w:rsidP="00AF672F">
      <w:pPr>
        <w:rPr>
          <w:lang w:eastAsia="ja-JP"/>
        </w:rPr>
      </w:pPr>
      <w:r w:rsidRPr="008D3ACB">
        <w:rPr>
          <w:lang w:eastAsia="ja-JP"/>
        </w:rPr>
        <w:t xml:space="preserve">The dates in </w:t>
      </w:r>
      <w:r w:rsidR="00E52BC3">
        <w:rPr>
          <w:lang w:eastAsia="ja-JP"/>
        </w:rPr>
        <w:fldChar w:fldCharType="begin"/>
      </w:r>
      <w:r w:rsidR="00E52BC3">
        <w:rPr>
          <w:lang w:eastAsia="ja-JP"/>
        </w:rPr>
        <w:instrText xml:space="preserve"> REF _Ref77865730 \h </w:instrText>
      </w:r>
      <w:r w:rsidR="00E52BC3">
        <w:rPr>
          <w:lang w:eastAsia="ja-JP"/>
        </w:rPr>
      </w:r>
      <w:r w:rsidR="00E52BC3">
        <w:rPr>
          <w:lang w:eastAsia="ja-JP"/>
        </w:rPr>
        <w:fldChar w:fldCharType="separate"/>
      </w:r>
      <w:r w:rsidR="0033587A">
        <w:t xml:space="preserve">Table </w:t>
      </w:r>
      <w:r w:rsidR="0033587A">
        <w:rPr>
          <w:noProof/>
        </w:rPr>
        <w:t>8</w:t>
      </w:r>
      <w:r w:rsidR="00E52BC3">
        <w:rPr>
          <w:lang w:eastAsia="ja-JP"/>
        </w:rPr>
        <w:fldChar w:fldCharType="end"/>
      </w:r>
      <w:r w:rsidRPr="008D3ACB">
        <w:rPr>
          <w:lang w:eastAsia="ja-JP"/>
        </w:rPr>
        <w:t xml:space="preserve"> are indicative and may change as the broader work to deliver Agriculture</w:t>
      </w:r>
      <w:r w:rsidR="009477D8">
        <w:rPr>
          <w:lang w:eastAsia="ja-JP"/>
        </w:rPr>
        <w:t> </w:t>
      </w:r>
      <w:r w:rsidRPr="008D3ACB">
        <w:rPr>
          <w:lang w:eastAsia="ja-JP"/>
        </w:rPr>
        <w:t>2030 is progressed.</w:t>
      </w:r>
    </w:p>
    <w:p w14:paraId="51B3BC2A" w14:textId="770D9EF3" w:rsidR="00AF672F" w:rsidRDefault="00B963DD" w:rsidP="00B963DD">
      <w:pPr>
        <w:pStyle w:val="Caption"/>
        <w:rPr>
          <w:lang w:eastAsia="ja-JP"/>
        </w:rPr>
      </w:pPr>
      <w:bookmarkStart w:id="71" w:name="_Ref77865730"/>
      <w:bookmarkStart w:id="72" w:name="_Toc113262185"/>
      <w:bookmarkStart w:id="73" w:name="_Hlk97812573"/>
      <w:r>
        <w:t xml:space="preserve">Table </w:t>
      </w:r>
      <w:r w:rsidR="003C1A72">
        <w:fldChar w:fldCharType="begin"/>
      </w:r>
      <w:r w:rsidR="003C1A72">
        <w:instrText xml:space="preserve"> SEQ Table \* ARABIC </w:instrText>
      </w:r>
      <w:r w:rsidR="003C1A72">
        <w:fldChar w:fldCharType="separate"/>
      </w:r>
      <w:r w:rsidR="0033587A">
        <w:rPr>
          <w:noProof/>
        </w:rPr>
        <w:t>8</w:t>
      </w:r>
      <w:r w:rsidR="003C1A72">
        <w:rPr>
          <w:noProof/>
        </w:rPr>
        <w:fldChar w:fldCharType="end"/>
      </w:r>
      <w:bookmarkEnd w:id="71"/>
      <w:r>
        <w:t xml:space="preserve"> </w:t>
      </w:r>
      <w:r w:rsidRPr="00435BDE">
        <w:t>Key forward dates and events</w:t>
      </w:r>
      <w:bookmarkEnd w:id="72"/>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266"/>
      </w:tblGrid>
      <w:tr w:rsidR="002E6363" w:rsidRPr="00BA1570" w14:paraId="3D743C30" w14:textId="77777777" w:rsidTr="00115D06">
        <w:trPr>
          <w:cantSplit/>
          <w:tblHeader/>
        </w:trPr>
        <w:tc>
          <w:tcPr>
            <w:tcW w:w="3751" w:type="pct"/>
            <w:tcBorders>
              <w:top w:val="single" w:sz="4" w:space="0" w:color="auto"/>
              <w:bottom w:val="single" w:sz="4" w:space="0" w:color="auto"/>
            </w:tcBorders>
          </w:tcPr>
          <w:p w14:paraId="0B370643" w14:textId="77777777" w:rsidR="002E6363" w:rsidRPr="00F44465" w:rsidRDefault="002E6363" w:rsidP="002B20D1">
            <w:pPr>
              <w:pStyle w:val="TableHeading"/>
            </w:pPr>
            <w:bookmarkStart w:id="74" w:name="Title_8"/>
            <w:bookmarkEnd w:id="74"/>
            <w:r w:rsidRPr="00F44465">
              <w:t>Key forward events schedule</w:t>
            </w:r>
          </w:p>
        </w:tc>
        <w:tc>
          <w:tcPr>
            <w:tcW w:w="1249" w:type="pct"/>
            <w:tcBorders>
              <w:top w:val="single" w:sz="4" w:space="0" w:color="auto"/>
              <w:bottom w:val="single" w:sz="4" w:space="0" w:color="auto"/>
            </w:tcBorders>
          </w:tcPr>
          <w:p w14:paraId="58F80211" w14:textId="77777777" w:rsidR="002E6363" w:rsidRPr="00F44465" w:rsidRDefault="002E6363" w:rsidP="002B20D1">
            <w:pPr>
              <w:pStyle w:val="TableHeading"/>
            </w:pPr>
            <w:r w:rsidRPr="00F44465">
              <w:t>Next scheduled update</w:t>
            </w:r>
          </w:p>
        </w:tc>
      </w:tr>
      <w:tr w:rsidR="004F3BB7" w:rsidRPr="00BA1570" w14:paraId="62EB0209" w14:textId="77777777" w:rsidTr="00115D06">
        <w:tc>
          <w:tcPr>
            <w:tcW w:w="3751" w:type="pct"/>
          </w:tcPr>
          <w:p w14:paraId="3D72F2F0" w14:textId="4F7931B7" w:rsidR="004F3BB7" w:rsidRPr="00F44465" w:rsidRDefault="004F3BB7" w:rsidP="004F3BB7">
            <w:pPr>
              <w:pStyle w:val="TableText"/>
            </w:pPr>
            <w:bookmarkStart w:id="75" w:name="_Hlk77329544"/>
            <w:r w:rsidRPr="00F44465">
              <w:t>Commence consultation with Industry</w:t>
            </w:r>
            <w:r w:rsidR="009450AB" w:rsidRPr="00F44465">
              <w:t xml:space="preserve"> on comprehensive review</w:t>
            </w:r>
            <w:r w:rsidRPr="00F44465">
              <w:t xml:space="preserve"> </w:t>
            </w:r>
          </w:p>
        </w:tc>
        <w:tc>
          <w:tcPr>
            <w:tcW w:w="1249" w:type="pct"/>
            <w:shd w:val="clear" w:color="auto" w:fill="auto"/>
          </w:tcPr>
          <w:p w14:paraId="7DDEAEF6" w14:textId="14D2A8C3" w:rsidR="004F3BB7" w:rsidRPr="00F44465" w:rsidRDefault="009450AB" w:rsidP="004F3BB7">
            <w:pPr>
              <w:pStyle w:val="TableText"/>
            </w:pPr>
            <w:r w:rsidRPr="00F44465">
              <w:t xml:space="preserve">Late </w:t>
            </w:r>
            <w:r w:rsidR="00EE401B" w:rsidRPr="00F44465">
              <w:t>202</w:t>
            </w:r>
            <w:r w:rsidR="00FD26DB" w:rsidRPr="00F44465">
              <w:t>2</w:t>
            </w:r>
          </w:p>
        </w:tc>
      </w:tr>
      <w:tr w:rsidR="004F3BB7" w:rsidRPr="00BA1570" w14:paraId="4FE9C7E5" w14:textId="77777777" w:rsidTr="00115D06">
        <w:tc>
          <w:tcPr>
            <w:tcW w:w="3751" w:type="pct"/>
          </w:tcPr>
          <w:p w14:paraId="6CB9F80C" w14:textId="77777777" w:rsidR="004F3BB7" w:rsidRPr="00F44465" w:rsidRDefault="004F3BB7" w:rsidP="004F3BB7">
            <w:pPr>
              <w:pStyle w:val="TableText"/>
            </w:pPr>
            <w:r w:rsidRPr="00F44465">
              <w:t>Updated fees and charges implemented</w:t>
            </w:r>
          </w:p>
        </w:tc>
        <w:tc>
          <w:tcPr>
            <w:tcW w:w="1249" w:type="pct"/>
            <w:shd w:val="clear" w:color="auto" w:fill="auto"/>
          </w:tcPr>
          <w:p w14:paraId="356DC9F7" w14:textId="2BA38C0D" w:rsidR="004F3BB7" w:rsidRPr="00F44465" w:rsidRDefault="000A08B1" w:rsidP="004F3BB7">
            <w:pPr>
              <w:pStyle w:val="TableText"/>
            </w:pPr>
            <w:r>
              <w:t>2023</w:t>
            </w:r>
          </w:p>
        </w:tc>
      </w:tr>
      <w:tr w:rsidR="004F3BB7" w:rsidRPr="00BA1570" w14:paraId="66BF9184" w14:textId="77777777" w:rsidTr="00115D06">
        <w:tc>
          <w:tcPr>
            <w:tcW w:w="3751" w:type="pct"/>
          </w:tcPr>
          <w:p w14:paraId="0C038689" w14:textId="77777777" w:rsidR="004F3BB7" w:rsidRPr="00F44465" w:rsidRDefault="004F3BB7" w:rsidP="004F3BB7">
            <w:pPr>
              <w:pStyle w:val="TableText"/>
            </w:pPr>
            <w:r w:rsidRPr="00F44465">
              <w:t>Portfolio charging review to be undertaken</w:t>
            </w:r>
          </w:p>
        </w:tc>
        <w:tc>
          <w:tcPr>
            <w:tcW w:w="1249" w:type="pct"/>
            <w:shd w:val="clear" w:color="auto" w:fill="auto"/>
          </w:tcPr>
          <w:p w14:paraId="7E4CE379" w14:textId="4C45BB9D" w:rsidR="004F3BB7" w:rsidRPr="00F44465" w:rsidRDefault="004F3BB7" w:rsidP="004F3BB7">
            <w:pPr>
              <w:pStyle w:val="TableText"/>
            </w:pPr>
            <w:r w:rsidRPr="00F44465">
              <w:t>202</w:t>
            </w:r>
            <w:r w:rsidR="00C46527" w:rsidRPr="00F44465">
              <w:t>4</w:t>
            </w:r>
          </w:p>
        </w:tc>
      </w:tr>
      <w:tr w:rsidR="004F3BB7" w:rsidRPr="00BA1570" w14:paraId="5D690066" w14:textId="77777777" w:rsidTr="00115D06">
        <w:tc>
          <w:tcPr>
            <w:tcW w:w="3751" w:type="pct"/>
          </w:tcPr>
          <w:p w14:paraId="0A3658BD" w14:textId="77777777" w:rsidR="004F3BB7" w:rsidRPr="00F44465" w:rsidRDefault="004F3BB7" w:rsidP="004F3BB7">
            <w:pPr>
              <w:pStyle w:val="TableText"/>
            </w:pPr>
            <w:r w:rsidRPr="00F44465">
              <w:t>Updated fees and charges implemented</w:t>
            </w:r>
          </w:p>
        </w:tc>
        <w:tc>
          <w:tcPr>
            <w:tcW w:w="1249" w:type="pct"/>
            <w:shd w:val="clear" w:color="auto" w:fill="auto"/>
          </w:tcPr>
          <w:p w14:paraId="61F70ADF" w14:textId="77BD8E95" w:rsidR="004F3BB7" w:rsidRPr="00F44465" w:rsidRDefault="004F3BB7" w:rsidP="004F3BB7">
            <w:pPr>
              <w:pStyle w:val="TableText"/>
            </w:pPr>
            <w:r w:rsidRPr="00F44465">
              <w:t>2023</w:t>
            </w:r>
            <w:r w:rsidR="009477D8" w:rsidRPr="00F44465">
              <w:t>–</w:t>
            </w:r>
            <w:r w:rsidR="003D556F" w:rsidRPr="00F44465">
              <w:t>24</w:t>
            </w:r>
          </w:p>
        </w:tc>
      </w:tr>
      <w:tr w:rsidR="004F3BB7" w14:paraId="23FE0060" w14:textId="77777777" w:rsidTr="00115D06">
        <w:tc>
          <w:tcPr>
            <w:tcW w:w="3751" w:type="pct"/>
          </w:tcPr>
          <w:p w14:paraId="24595D82" w14:textId="29CC82F1" w:rsidR="004F3BB7" w:rsidRPr="00F44465" w:rsidRDefault="004F3BB7" w:rsidP="004F3BB7">
            <w:pPr>
              <w:pStyle w:val="TableText"/>
            </w:pPr>
            <w:r w:rsidRPr="00F44465">
              <w:t xml:space="preserve">Portfolio charging review outcomes to be brought forward in Budget </w:t>
            </w:r>
            <w:r w:rsidR="008F5607" w:rsidRPr="00F44465">
              <w:t>2026</w:t>
            </w:r>
            <w:r w:rsidRPr="00F44465">
              <w:rPr>
                <w:lang w:eastAsia="ja-JP"/>
              </w:rPr>
              <w:t>–</w:t>
            </w:r>
            <w:r w:rsidR="008F5607" w:rsidRPr="00F44465">
              <w:t>27</w:t>
            </w:r>
          </w:p>
        </w:tc>
        <w:tc>
          <w:tcPr>
            <w:tcW w:w="1249" w:type="pct"/>
            <w:shd w:val="clear" w:color="auto" w:fill="auto"/>
          </w:tcPr>
          <w:p w14:paraId="1364FB01" w14:textId="25C816A4" w:rsidR="004F3BB7" w:rsidRPr="00F44465" w:rsidRDefault="008F5607" w:rsidP="004F3BB7">
            <w:pPr>
              <w:pStyle w:val="TableText"/>
            </w:pPr>
            <w:r w:rsidRPr="00F44465">
              <w:t>2025</w:t>
            </w:r>
          </w:p>
        </w:tc>
      </w:tr>
    </w:tbl>
    <w:p w14:paraId="125E53D2" w14:textId="14CA9730" w:rsidR="005E2A40" w:rsidRDefault="005E2A40" w:rsidP="005E2A40">
      <w:pPr>
        <w:pStyle w:val="Heading2"/>
      </w:pPr>
      <w:bookmarkStart w:id="76" w:name="_Toc119313405"/>
      <w:bookmarkEnd w:id="73"/>
      <w:bookmarkEnd w:id="75"/>
      <w:r w:rsidRPr="005E2A40">
        <w:lastRenderedPageBreak/>
        <w:t>CRIS approval and change register</w:t>
      </w:r>
      <w:bookmarkEnd w:id="76"/>
    </w:p>
    <w:p w14:paraId="3B16C861" w14:textId="2BB31FD7" w:rsidR="005E2A40" w:rsidRDefault="005E2A40" w:rsidP="005E2A40">
      <w:pPr>
        <w:rPr>
          <w:lang w:eastAsia="ja-JP"/>
        </w:rPr>
      </w:pPr>
      <w:r w:rsidRPr="005E2A40">
        <w:rPr>
          <w:lang w:eastAsia="ja-JP"/>
        </w:rPr>
        <w:t xml:space="preserve">The intent of the department is to update this CRIS when necessary or prudent to do so, and in conjunction with the key dates and events in </w:t>
      </w:r>
      <w:hyperlink w:anchor="_Key_dates_and" w:history="1">
        <w:r w:rsidR="00043DC4" w:rsidRPr="00043DC4">
          <w:rPr>
            <w:rStyle w:val="Hyperlink"/>
            <w:lang w:eastAsia="ja-JP"/>
          </w:rPr>
          <w:t>s</w:t>
        </w:r>
        <w:r w:rsidRPr="00043DC4">
          <w:rPr>
            <w:rStyle w:val="Hyperlink"/>
            <w:lang w:eastAsia="ja-JP"/>
          </w:rPr>
          <w:t>ection 8</w:t>
        </w:r>
      </w:hyperlink>
      <w:r w:rsidRPr="005E2A40">
        <w:rPr>
          <w:lang w:eastAsia="ja-JP"/>
        </w:rPr>
        <w:t xml:space="preserve">. At a minimum, the CRIS will be reviewed annually as recommended by the Australian Government Charging Framework. The change register in </w:t>
      </w:r>
      <w:r w:rsidR="00043DC4">
        <w:rPr>
          <w:lang w:eastAsia="ja-JP"/>
        </w:rPr>
        <w:fldChar w:fldCharType="begin"/>
      </w:r>
      <w:r w:rsidR="00043DC4">
        <w:rPr>
          <w:lang w:eastAsia="ja-JP"/>
        </w:rPr>
        <w:instrText xml:space="preserve"> REF _Ref77865840 \h </w:instrText>
      </w:r>
      <w:r w:rsidR="00043DC4">
        <w:rPr>
          <w:lang w:eastAsia="ja-JP"/>
        </w:rPr>
      </w:r>
      <w:r w:rsidR="00043DC4">
        <w:rPr>
          <w:lang w:eastAsia="ja-JP"/>
        </w:rPr>
        <w:fldChar w:fldCharType="separate"/>
      </w:r>
      <w:r w:rsidR="0033587A">
        <w:t xml:space="preserve">Table </w:t>
      </w:r>
      <w:r w:rsidR="0033587A">
        <w:rPr>
          <w:noProof/>
        </w:rPr>
        <w:t>9</w:t>
      </w:r>
      <w:r w:rsidR="00043DC4">
        <w:rPr>
          <w:lang w:eastAsia="ja-JP"/>
        </w:rPr>
        <w:fldChar w:fldCharType="end"/>
      </w:r>
      <w:r w:rsidRPr="005E2A40">
        <w:rPr>
          <w:lang w:eastAsia="ja-JP"/>
        </w:rPr>
        <w:t xml:space="preserve"> provides a record of updates to this CRIS.</w:t>
      </w:r>
    </w:p>
    <w:p w14:paraId="08ED796A" w14:textId="3BC8CDC9" w:rsidR="005E2A40" w:rsidRPr="005E2A40" w:rsidRDefault="00B963DD" w:rsidP="00B963DD">
      <w:pPr>
        <w:pStyle w:val="Caption"/>
      </w:pPr>
      <w:bookmarkStart w:id="77" w:name="_Ref77865840"/>
      <w:bookmarkStart w:id="78" w:name="_Toc113262186"/>
      <w:r>
        <w:t xml:space="preserve">Table </w:t>
      </w:r>
      <w:r w:rsidR="003C1A72">
        <w:fldChar w:fldCharType="begin"/>
      </w:r>
      <w:r w:rsidR="003C1A72">
        <w:instrText xml:space="preserve"> SEQ Table \* ARABIC </w:instrText>
      </w:r>
      <w:r w:rsidR="003C1A72">
        <w:fldChar w:fldCharType="separate"/>
      </w:r>
      <w:r w:rsidR="0033587A">
        <w:rPr>
          <w:noProof/>
        </w:rPr>
        <w:t>9</w:t>
      </w:r>
      <w:r w:rsidR="003C1A72">
        <w:rPr>
          <w:noProof/>
        </w:rPr>
        <w:fldChar w:fldCharType="end"/>
      </w:r>
      <w:bookmarkEnd w:id="77"/>
      <w:r w:rsidRPr="005E2A40">
        <w:t xml:space="preserve"> Change register</w:t>
      </w:r>
      <w:bookmarkEnd w:id="78"/>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6"/>
        <w:gridCol w:w="2402"/>
        <w:gridCol w:w="2119"/>
        <w:gridCol w:w="2529"/>
        <w:gridCol w:w="44"/>
      </w:tblGrid>
      <w:tr w:rsidR="005E2A40" w:rsidRPr="00EB0062" w14:paraId="28CD2AAE" w14:textId="77777777" w:rsidTr="00115D06">
        <w:trPr>
          <w:cantSplit/>
          <w:tblHeader/>
        </w:trPr>
        <w:tc>
          <w:tcPr>
            <w:tcW w:w="1090" w:type="pct"/>
            <w:tcBorders>
              <w:top w:val="single" w:sz="4" w:space="0" w:color="auto"/>
              <w:bottom w:val="single" w:sz="4" w:space="0" w:color="auto"/>
            </w:tcBorders>
          </w:tcPr>
          <w:p w14:paraId="19578FB5" w14:textId="77777777" w:rsidR="005E2A40" w:rsidRPr="00F947C5" w:rsidRDefault="005E2A40" w:rsidP="002B20D1">
            <w:pPr>
              <w:pStyle w:val="TableHeading"/>
            </w:pPr>
            <w:bookmarkStart w:id="79" w:name="Title_9"/>
            <w:bookmarkEnd w:id="79"/>
            <w:r w:rsidRPr="00F947C5">
              <w:t>Date of CRIS change</w:t>
            </w:r>
          </w:p>
        </w:tc>
        <w:tc>
          <w:tcPr>
            <w:tcW w:w="1324" w:type="pct"/>
            <w:tcBorders>
              <w:top w:val="single" w:sz="4" w:space="0" w:color="auto"/>
              <w:bottom w:val="single" w:sz="4" w:space="0" w:color="auto"/>
            </w:tcBorders>
          </w:tcPr>
          <w:p w14:paraId="4F30CF12" w14:textId="77777777" w:rsidR="005E2A40" w:rsidRPr="00F947C5" w:rsidRDefault="005E2A40" w:rsidP="002B20D1">
            <w:pPr>
              <w:pStyle w:val="TableHeading"/>
            </w:pPr>
            <w:r w:rsidRPr="00F947C5">
              <w:t>CRIS change</w:t>
            </w:r>
          </w:p>
        </w:tc>
        <w:tc>
          <w:tcPr>
            <w:tcW w:w="1168" w:type="pct"/>
            <w:tcBorders>
              <w:top w:val="single" w:sz="4" w:space="0" w:color="auto"/>
              <w:bottom w:val="single" w:sz="4" w:space="0" w:color="auto"/>
            </w:tcBorders>
          </w:tcPr>
          <w:p w14:paraId="1E84C7D9" w14:textId="77777777" w:rsidR="005E2A40" w:rsidRPr="00F947C5" w:rsidRDefault="005E2A40" w:rsidP="002B20D1">
            <w:pPr>
              <w:pStyle w:val="TableHeading"/>
            </w:pPr>
            <w:r w:rsidRPr="00F947C5">
              <w:t>Approver</w:t>
            </w:r>
          </w:p>
        </w:tc>
        <w:tc>
          <w:tcPr>
            <w:tcW w:w="1418" w:type="pct"/>
            <w:gridSpan w:val="2"/>
            <w:tcBorders>
              <w:top w:val="single" w:sz="4" w:space="0" w:color="auto"/>
              <w:bottom w:val="single" w:sz="4" w:space="0" w:color="auto"/>
            </w:tcBorders>
          </w:tcPr>
          <w:p w14:paraId="66F38F4B" w14:textId="77777777" w:rsidR="005E2A40" w:rsidRPr="00F947C5" w:rsidRDefault="005E2A40" w:rsidP="002B20D1">
            <w:pPr>
              <w:pStyle w:val="TableHeading"/>
            </w:pPr>
            <w:r w:rsidRPr="00F947C5">
              <w:t>Basis for change</w:t>
            </w:r>
          </w:p>
        </w:tc>
      </w:tr>
      <w:tr w:rsidR="005E2A40" w:rsidRPr="00EB0062" w14:paraId="2D4E23AD" w14:textId="77777777" w:rsidTr="00115D06">
        <w:tc>
          <w:tcPr>
            <w:tcW w:w="1090" w:type="pct"/>
            <w:tcBorders>
              <w:top w:val="single" w:sz="4" w:space="0" w:color="auto"/>
              <w:bottom w:val="single" w:sz="4" w:space="0" w:color="auto"/>
            </w:tcBorders>
          </w:tcPr>
          <w:p w14:paraId="61EB2768" w14:textId="77777777" w:rsidR="005E2A40" w:rsidRPr="00F947C5" w:rsidRDefault="005E2A40" w:rsidP="002B20D1">
            <w:pPr>
              <w:pStyle w:val="TableText"/>
            </w:pPr>
            <w:r w:rsidRPr="00F947C5">
              <w:t>December 2015</w:t>
            </w:r>
          </w:p>
        </w:tc>
        <w:tc>
          <w:tcPr>
            <w:tcW w:w="1324" w:type="pct"/>
            <w:tcBorders>
              <w:top w:val="single" w:sz="4" w:space="0" w:color="auto"/>
              <w:bottom w:val="single" w:sz="4" w:space="0" w:color="auto"/>
            </w:tcBorders>
          </w:tcPr>
          <w:p w14:paraId="1553A497" w14:textId="77777777" w:rsidR="005E2A40" w:rsidRPr="00F947C5" w:rsidRDefault="005E2A40" w:rsidP="002B20D1">
            <w:pPr>
              <w:pStyle w:val="TableText"/>
            </w:pPr>
            <w:r w:rsidRPr="00F947C5">
              <w:t>Certification of the CRIS</w:t>
            </w:r>
          </w:p>
        </w:tc>
        <w:tc>
          <w:tcPr>
            <w:tcW w:w="1168" w:type="pct"/>
            <w:tcBorders>
              <w:top w:val="single" w:sz="4" w:space="0" w:color="auto"/>
              <w:bottom w:val="single" w:sz="4" w:space="0" w:color="auto"/>
            </w:tcBorders>
          </w:tcPr>
          <w:p w14:paraId="44DDE63C" w14:textId="77777777" w:rsidR="005E2A40" w:rsidRPr="00F947C5" w:rsidRDefault="005E2A40" w:rsidP="002B20D1">
            <w:pPr>
              <w:pStyle w:val="TableText"/>
            </w:pPr>
            <w:r w:rsidRPr="00F947C5">
              <w:t>Secretary, DAWR</w:t>
            </w:r>
          </w:p>
        </w:tc>
        <w:tc>
          <w:tcPr>
            <w:tcW w:w="1418" w:type="pct"/>
            <w:gridSpan w:val="2"/>
            <w:tcBorders>
              <w:top w:val="single" w:sz="4" w:space="0" w:color="auto"/>
              <w:bottom w:val="single" w:sz="4" w:space="0" w:color="auto"/>
            </w:tcBorders>
          </w:tcPr>
          <w:p w14:paraId="0FD65A2D" w14:textId="77777777" w:rsidR="005E2A40" w:rsidRPr="00F947C5" w:rsidRDefault="005E2A40" w:rsidP="002B20D1">
            <w:pPr>
              <w:pStyle w:val="TableText"/>
            </w:pPr>
            <w:r w:rsidRPr="00F947C5">
              <w:t>Changes in costs of resources and assumptions</w:t>
            </w:r>
          </w:p>
        </w:tc>
      </w:tr>
      <w:tr w:rsidR="005E2A40" w:rsidRPr="00EB0062" w14:paraId="0C9F8D89" w14:textId="77777777" w:rsidTr="00115D06">
        <w:tc>
          <w:tcPr>
            <w:tcW w:w="1090" w:type="pct"/>
            <w:tcBorders>
              <w:top w:val="single" w:sz="4" w:space="0" w:color="auto"/>
              <w:bottom w:val="single" w:sz="4" w:space="0" w:color="auto"/>
            </w:tcBorders>
          </w:tcPr>
          <w:p w14:paraId="29BB6796" w14:textId="77777777" w:rsidR="005E2A40" w:rsidRPr="00F947C5" w:rsidRDefault="005E2A40" w:rsidP="002B20D1">
            <w:pPr>
              <w:pStyle w:val="TableText"/>
            </w:pPr>
            <w:r w:rsidRPr="00F947C5">
              <w:t>December 2015</w:t>
            </w:r>
          </w:p>
        </w:tc>
        <w:tc>
          <w:tcPr>
            <w:tcW w:w="1324" w:type="pct"/>
            <w:tcBorders>
              <w:top w:val="single" w:sz="4" w:space="0" w:color="auto"/>
              <w:bottom w:val="single" w:sz="4" w:space="0" w:color="auto"/>
            </w:tcBorders>
          </w:tcPr>
          <w:p w14:paraId="1581A0C3" w14:textId="77777777" w:rsidR="005E2A40" w:rsidRPr="00F947C5" w:rsidRDefault="005E2A40" w:rsidP="002B20D1">
            <w:pPr>
              <w:pStyle w:val="TableText"/>
            </w:pPr>
            <w:r w:rsidRPr="00F947C5">
              <w:t>Agreement to the CRIS</w:t>
            </w:r>
          </w:p>
        </w:tc>
        <w:tc>
          <w:tcPr>
            <w:tcW w:w="1168" w:type="pct"/>
            <w:tcBorders>
              <w:top w:val="single" w:sz="4" w:space="0" w:color="auto"/>
              <w:bottom w:val="single" w:sz="4" w:space="0" w:color="auto"/>
            </w:tcBorders>
          </w:tcPr>
          <w:p w14:paraId="29012651" w14:textId="77777777" w:rsidR="005E2A40" w:rsidRPr="00F947C5" w:rsidRDefault="005E2A40" w:rsidP="002B20D1">
            <w:pPr>
              <w:pStyle w:val="TableText"/>
            </w:pPr>
            <w:r w:rsidRPr="00F947C5">
              <w:t xml:space="preserve">Minister for </w:t>
            </w:r>
            <w:r>
              <w:t>Agriculture and Water Resources</w:t>
            </w:r>
          </w:p>
        </w:tc>
        <w:tc>
          <w:tcPr>
            <w:tcW w:w="1418" w:type="pct"/>
            <w:gridSpan w:val="2"/>
            <w:tcBorders>
              <w:top w:val="single" w:sz="4" w:space="0" w:color="auto"/>
              <w:bottom w:val="single" w:sz="4" w:space="0" w:color="auto"/>
            </w:tcBorders>
          </w:tcPr>
          <w:p w14:paraId="2C27C439" w14:textId="77777777" w:rsidR="005E2A40" w:rsidRPr="00F947C5" w:rsidRDefault="005E2A40" w:rsidP="002B20D1">
            <w:pPr>
              <w:pStyle w:val="TableText"/>
            </w:pPr>
            <w:r w:rsidRPr="00F947C5">
              <w:t>High risk rating for the regulatory charging activities</w:t>
            </w:r>
          </w:p>
        </w:tc>
      </w:tr>
      <w:tr w:rsidR="005E2A40" w:rsidRPr="00EB0062" w14:paraId="6992935D" w14:textId="77777777" w:rsidTr="00115D06">
        <w:tc>
          <w:tcPr>
            <w:tcW w:w="1090" w:type="pct"/>
            <w:tcBorders>
              <w:top w:val="single" w:sz="4" w:space="0" w:color="auto"/>
              <w:bottom w:val="single" w:sz="4" w:space="0" w:color="auto"/>
            </w:tcBorders>
          </w:tcPr>
          <w:p w14:paraId="6005778A" w14:textId="77777777" w:rsidR="005E2A40" w:rsidRPr="00F947C5" w:rsidRDefault="005E2A40" w:rsidP="002B20D1">
            <w:pPr>
              <w:pStyle w:val="TableText"/>
            </w:pPr>
            <w:r w:rsidRPr="00F947C5">
              <w:t>December 2015</w:t>
            </w:r>
          </w:p>
        </w:tc>
        <w:tc>
          <w:tcPr>
            <w:tcW w:w="1324" w:type="pct"/>
            <w:tcBorders>
              <w:top w:val="single" w:sz="4" w:space="0" w:color="auto"/>
              <w:bottom w:val="single" w:sz="4" w:space="0" w:color="auto"/>
            </w:tcBorders>
          </w:tcPr>
          <w:p w14:paraId="4CC7E0DE" w14:textId="77777777" w:rsidR="005E2A40" w:rsidRPr="00F947C5" w:rsidRDefault="005E2A40" w:rsidP="002B20D1">
            <w:pPr>
              <w:pStyle w:val="TableText"/>
            </w:pPr>
            <w:r w:rsidRPr="00F947C5">
              <w:t>Approval for the CRIS release</w:t>
            </w:r>
          </w:p>
        </w:tc>
        <w:tc>
          <w:tcPr>
            <w:tcW w:w="1168" w:type="pct"/>
            <w:tcBorders>
              <w:top w:val="single" w:sz="4" w:space="0" w:color="auto"/>
              <w:bottom w:val="single" w:sz="4" w:space="0" w:color="auto"/>
            </w:tcBorders>
          </w:tcPr>
          <w:p w14:paraId="2B0A8888" w14:textId="77777777" w:rsidR="005E2A40" w:rsidRPr="00F947C5" w:rsidRDefault="005E2A40" w:rsidP="002B20D1">
            <w:pPr>
              <w:pStyle w:val="TableText"/>
            </w:pPr>
            <w:r w:rsidRPr="00F947C5">
              <w:t xml:space="preserve">Minister for </w:t>
            </w:r>
            <w:r>
              <w:t>Finance</w:t>
            </w:r>
          </w:p>
        </w:tc>
        <w:tc>
          <w:tcPr>
            <w:tcW w:w="1418" w:type="pct"/>
            <w:gridSpan w:val="2"/>
            <w:tcBorders>
              <w:top w:val="single" w:sz="4" w:space="0" w:color="auto"/>
              <w:bottom w:val="single" w:sz="4" w:space="0" w:color="auto"/>
            </w:tcBorders>
          </w:tcPr>
          <w:p w14:paraId="4E2481C0" w14:textId="77777777" w:rsidR="005E2A40" w:rsidRPr="00F947C5" w:rsidRDefault="005E2A40" w:rsidP="002B20D1">
            <w:pPr>
              <w:pStyle w:val="TableText"/>
            </w:pPr>
            <w:r w:rsidRPr="00F947C5">
              <w:t>Changes in costs of resources and assumptions</w:t>
            </w:r>
          </w:p>
        </w:tc>
      </w:tr>
      <w:tr w:rsidR="005E2A40" w:rsidRPr="00EB0062" w14:paraId="2C89A45B" w14:textId="77777777" w:rsidTr="00115D06">
        <w:tc>
          <w:tcPr>
            <w:tcW w:w="1090" w:type="pct"/>
            <w:tcBorders>
              <w:top w:val="single" w:sz="4" w:space="0" w:color="auto"/>
              <w:bottom w:val="single" w:sz="4" w:space="0" w:color="auto"/>
            </w:tcBorders>
          </w:tcPr>
          <w:p w14:paraId="372C5737" w14:textId="77777777" w:rsidR="005E2A40" w:rsidRPr="00F947C5" w:rsidRDefault="005E2A40" w:rsidP="002B20D1">
            <w:pPr>
              <w:pStyle w:val="TableText"/>
            </w:pPr>
            <w:r w:rsidRPr="00F947C5">
              <w:t>December 2019</w:t>
            </w:r>
          </w:p>
        </w:tc>
        <w:tc>
          <w:tcPr>
            <w:tcW w:w="1324" w:type="pct"/>
            <w:tcBorders>
              <w:top w:val="single" w:sz="4" w:space="0" w:color="auto"/>
              <w:bottom w:val="single" w:sz="4" w:space="0" w:color="auto"/>
            </w:tcBorders>
          </w:tcPr>
          <w:p w14:paraId="3B1A9932" w14:textId="77777777" w:rsidR="005E2A40" w:rsidRPr="00F947C5" w:rsidRDefault="005E2A40" w:rsidP="002B20D1">
            <w:pPr>
              <w:pStyle w:val="TableText"/>
            </w:pPr>
            <w:r w:rsidRPr="00F947C5">
              <w:t>Certification of the CRIS</w:t>
            </w:r>
          </w:p>
        </w:tc>
        <w:tc>
          <w:tcPr>
            <w:tcW w:w="1168" w:type="pct"/>
            <w:tcBorders>
              <w:top w:val="single" w:sz="4" w:space="0" w:color="auto"/>
              <w:bottom w:val="single" w:sz="4" w:space="0" w:color="auto"/>
            </w:tcBorders>
          </w:tcPr>
          <w:p w14:paraId="0673E032" w14:textId="77777777" w:rsidR="005E2A40" w:rsidRPr="00F947C5" w:rsidRDefault="005E2A40" w:rsidP="002B20D1">
            <w:pPr>
              <w:pStyle w:val="TableText"/>
            </w:pPr>
            <w:r w:rsidRPr="00F947C5">
              <w:t>Secretary, DAWR</w:t>
            </w:r>
          </w:p>
        </w:tc>
        <w:tc>
          <w:tcPr>
            <w:tcW w:w="1418" w:type="pct"/>
            <w:gridSpan w:val="2"/>
            <w:tcBorders>
              <w:top w:val="single" w:sz="4" w:space="0" w:color="auto"/>
              <w:bottom w:val="single" w:sz="4" w:space="0" w:color="auto"/>
            </w:tcBorders>
          </w:tcPr>
          <w:p w14:paraId="266C8727" w14:textId="77777777" w:rsidR="005E2A40" w:rsidRPr="00F947C5" w:rsidRDefault="005E2A40" w:rsidP="002B20D1">
            <w:pPr>
              <w:pStyle w:val="TableText"/>
            </w:pPr>
            <w:r w:rsidRPr="00F947C5">
              <w:t>New regulatory charging activity</w:t>
            </w:r>
          </w:p>
        </w:tc>
      </w:tr>
      <w:tr w:rsidR="005E2A40" w:rsidRPr="00EB0062" w14:paraId="2D9D6BCA" w14:textId="77777777" w:rsidTr="00115D06">
        <w:tc>
          <w:tcPr>
            <w:tcW w:w="1090" w:type="pct"/>
            <w:tcBorders>
              <w:top w:val="single" w:sz="4" w:space="0" w:color="auto"/>
              <w:bottom w:val="single" w:sz="4" w:space="0" w:color="auto"/>
            </w:tcBorders>
          </w:tcPr>
          <w:p w14:paraId="377311F3" w14:textId="77777777" w:rsidR="005E2A40" w:rsidRPr="00F947C5" w:rsidRDefault="005E2A40" w:rsidP="002B20D1">
            <w:pPr>
              <w:pStyle w:val="TableText"/>
            </w:pPr>
            <w:r w:rsidRPr="00F947C5">
              <w:t>December 2019</w:t>
            </w:r>
          </w:p>
        </w:tc>
        <w:tc>
          <w:tcPr>
            <w:tcW w:w="1324" w:type="pct"/>
            <w:tcBorders>
              <w:top w:val="single" w:sz="4" w:space="0" w:color="auto"/>
              <w:bottom w:val="single" w:sz="4" w:space="0" w:color="auto"/>
            </w:tcBorders>
          </w:tcPr>
          <w:p w14:paraId="5484576A" w14:textId="77777777" w:rsidR="005E2A40" w:rsidRPr="00F947C5" w:rsidRDefault="005E2A40" w:rsidP="002B20D1">
            <w:pPr>
              <w:pStyle w:val="TableText"/>
            </w:pPr>
            <w:r w:rsidRPr="00F947C5">
              <w:t>Agreement to the CRIS</w:t>
            </w:r>
          </w:p>
        </w:tc>
        <w:tc>
          <w:tcPr>
            <w:tcW w:w="1168" w:type="pct"/>
            <w:tcBorders>
              <w:top w:val="single" w:sz="4" w:space="0" w:color="auto"/>
              <w:bottom w:val="single" w:sz="4" w:space="0" w:color="auto"/>
            </w:tcBorders>
          </w:tcPr>
          <w:p w14:paraId="741A69ED" w14:textId="77777777" w:rsidR="005E2A40" w:rsidRPr="00F947C5" w:rsidRDefault="005E2A40" w:rsidP="002B20D1">
            <w:pPr>
              <w:pStyle w:val="TableText"/>
            </w:pPr>
            <w:r w:rsidRPr="00F947C5">
              <w:t xml:space="preserve">Minister for Agriculture, </w:t>
            </w:r>
            <w:proofErr w:type="gramStart"/>
            <w:r w:rsidRPr="00F947C5">
              <w:t>Drought</w:t>
            </w:r>
            <w:proofErr w:type="gramEnd"/>
            <w:r w:rsidRPr="00F947C5">
              <w:t xml:space="preserve"> and Emergency Management</w:t>
            </w:r>
          </w:p>
        </w:tc>
        <w:tc>
          <w:tcPr>
            <w:tcW w:w="1418" w:type="pct"/>
            <w:gridSpan w:val="2"/>
            <w:tcBorders>
              <w:top w:val="single" w:sz="4" w:space="0" w:color="auto"/>
              <w:bottom w:val="single" w:sz="4" w:space="0" w:color="auto"/>
            </w:tcBorders>
          </w:tcPr>
          <w:p w14:paraId="345EA2EF" w14:textId="77777777" w:rsidR="005E2A40" w:rsidRPr="00F947C5" w:rsidRDefault="005E2A40" w:rsidP="002B20D1">
            <w:pPr>
              <w:pStyle w:val="TableText"/>
            </w:pPr>
            <w:r w:rsidRPr="00F947C5">
              <w:t>High risk rating for the regulatory charging activities</w:t>
            </w:r>
          </w:p>
        </w:tc>
      </w:tr>
      <w:tr w:rsidR="005E2A40" w:rsidRPr="00EB0062" w14:paraId="3689D973" w14:textId="77777777" w:rsidTr="00115D06">
        <w:tc>
          <w:tcPr>
            <w:tcW w:w="1090" w:type="pct"/>
            <w:tcBorders>
              <w:top w:val="single" w:sz="4" w:space="0" w:color="auto"/>
              <w:bottom w:val="single" w:sz="4" w:space="0" w:color="auto"/>
            </w:tcBorders>
          </w:tcPr>
          <w:p w14:paraId="0B3CEA5F" w14:textId="77777777" w:rsidR="005E2A40" w:rsidRPr="00F947C5" w:rsidRDefault="005E2A40" w:rsidP="002B20D1">
            <w:pPr>
              <w:pStyle w:val="TableText"/>
            </w:pPr>
            <w:r w:rsidRPr="00F947C5">
              <w:t>December 2019</w:t>
            </w:r>
          </w:p>
        </w:tc>
        <w:tc>
          <w:tcPr>
            <w:tcW w:w="1324" w:type="pct"/>
            <w:tcBorders>
              <w:top w:val="single" w:sz="4" w:space="0" w:color="auto"/>
              <w:bottom w:val="single" w:sz="4" w:space="0" w:color="auto"/>
            </w:tcBorders>
          </w:tcPr>
          <w:p w14:paraId="3AF7E4A7" w14:textId="77777777" w:rsidR="005E2A40" w:rsidRPr="00F947C5" w:rsidRDefault="005E2A40" w:rsidP="002B20D1">
            <w:pPr>
              <w:pStyle w:val="TableText"/>
            </w:pPr>
            <w:r w:rsidRPr="00F947C5">
              <w:t>Approval for the CRIS release</w:t>
            </w:r>
          </w:p>
        </w:tc>
        <w:tc>
          <w:tcPr>
            <w:tcW w:w="1168" w:type="pct"/>
            <w:tcBorders>
              <w:top w:val="single" w:sz="4" w:space="0" w:color="auto"/>
              <w:bottom w:val="single" w:sz="4" w:space="0" w:color="auto"/>
            </w:tcBorders>
          </w:tcPr>
          <w:p w14:paraId="530B9F9A" w14:textId="77777777" w:rsidR="005E2A40" w:rsidRPr="00F947C5" w:rsidRDefault="005E2A40" w:rsidP="002B20D1">
            <w:pPr>
              <w:pStyle w:val="TableText"/>
            </w:pPr>
            <w:r w:rsidRPr="00F947C5">
              <w:t xml:space="preserve">Minister for </w:t>
            </w:r>
            <w:r>
              <w:t>Finance</w:t>
            </w:r>
          </w:p>
        </w:tc>
        <w:tc>
          <w:tcPr>
            <w:tcW w:w="1418" w:type="pct"/>
            <w:gridSpan w:val="2"/>
            <w:tcBorders>
              <w:top w:val="single" w:sz="4" w:space="0" w:color="auto"/>
              <w:bottom w:val="single" w:sz="4" w:space="0" w:color="auto"/>
            </w:tcBorders>
          </w:tcPr>
          <w:p w14:paraId="7FF6B4FA" w14:textId="77777777" w:rsidR="005E2A40" w:rsidRPr="00F947C5" w:rsidRDefault="005E2A40" w:rsidP="002B20D1">
            <w:pPr>
              <w:pStyle w:val="TableText"/>
            </w:pPr>
            <w:r w:rsidRPr="00F947C5">
              <w:t>New regulatory charging activity</w:t>
            </w:r>
          </w:p>
        </w:tc>
      </w:tr>
      <w:tr w:rsidR="005E2A40" w:rsidRPr="00EB0062" w14:paraId="18C65344" w14:textId="77777777" w:rsidTr="00115D06">
        <w:tc>
          <w:tcPr>
            <w:tcW w:w="1090" w:type="pct"/>
            <w:tcBorders>
              <w:top w:val="single" w:sz="4" w:space="0" w:color="auto"/>
              <w:bottom w:val="single" w:sz="4" w:space="0" w:color="auto"/>
            </w:tcBorders>
          </w:tcPr>
          <w:p w14:paraId="6167E9B7" w14:textId="70889332" w:rsidR="005E2A40" w:rsidRPr="00F947C5" w:rsidRDefault="004F3BB7" w:rsidP="002B20D1">
            <w:pPr>
              <w:pStyle w:val="TableText"/>
            </w:pPr>
            <w:r>
              <w:t>February</w:t>
            </w:r>
            <w:r w:rsidR="00AA112E">
              <w:t xml:space="preserve"> </w:t>
            </w:r>
            <w:r w:rsidR="005E2A40" w:rsidRPr="00F947C5">
              <w:t>202</w:t>
            </w:r>
            <w:r>
              <w:t>2</w:t>
            </w:r>
          </w:p>
        </w:tc>
        <w:tc>
          <w:tcPr>
            <w:tcW w:w="1324" w:type="pct"/>
            <w:tcBorders>
              <w:top w:val="single" w:sz="4" w:space="0" w:color="auto"/>
              <w:bottom w:val="single" w:sz="4" w:space="0" w:color="auto"/>
            </w:tcBorders>
          </w:tcPr>
          <w:p w14:paraId="6A7E029F" w14:textId="77777777" w:rsidR="005E2A40" w:rsidRPr="00F947C5" w:rsidRDefault="005E2A40" w:rsidP="002B20D1">
            <w:pPr>
              <w:pStyle w:val="TableText"/>
            </w:pPr>
            <w:r w:rsidRPr="00F947C5">
              <w:t>Certification of the CRIS</w:t>
            </w:r>
          </w:p>
        </w:tc>
        <w:tc>
          <w:tcPr>
            <w:tcW w:w="1168" w:type="pct"/>
            <w:tcBorders>
              <w:top w:val="single" w:sz="4" w:space="0" w:color="auto"/>
              <w:bottom w:val="single" w:sz="4" w:space="0" w:color="auto"/>
            </w:tcBorders>
          </w:tcPr>
          <w:p w14:paraId="7F37723D" w14:textId="77777777" w:rsidR="005E2A40" w:rsidRPr="00F947C5" w:rsidRDefault="005E2A40" w:rsidP="002B20D1">
            <w:pPr>
              <w:pStyle w:val="TableText"/>
            </w:pPr>
            <w:r w:rsidRPr="00F947C5">
              <w:t>Secretary, DAWE</w:t>
            </w:r>
          </w:p>
        </w:tc>
        <w:tc>
          <w:tcPr>
            <w:tcW w:w="1418" w:type="pct"/>
            <w:gridSpan w:val="2"/>
            <w:tcBorders>
              <w:top w:val="single" w:sz="4" w:space="0" w:color="auto"/>
              <w:bottom w:val="single" w:sz="4" w:space="0" w:color="auto"/>
            </w:tcBorders>
          </w:tcPr>
          <w:p w14:paraId="0D267E42" w14:textId="77777777" w:rsidR="005E2A40" w:rsidRPr="00F947C5" w:rsidRDefault="005E2A40" w:rsidP="002B20D1">
            <w:pPr>
              <w:pStyle w:val="TableText"/>
            </w:pPr>
            <w:r w:rsidRPr="00F947C5">
              <w:t>Update for financial and non-financial reporting</w:t>
            </w:r>
          </w:p>
        </w:tc>
      </w:tr>
      <w:tr w:rsidR="005E2A40" w:rsidRPr="00EB0062" w14:paraId="7C261E1E" w14:textId="77777777" w:rsidTr="00115D06">
        <w:tc>
          <w:tcPr>
            <w:tcW w:w="1090" w:type="pct"/>
            <w:tcBorders>
              <w:top w:val="single" w:sz="4" w:space="0" w:color="auto"/>
              <w:bottom w:val="single" w:sz="4" w:space="0" w:color="auto"/>
            </w:tcBorders>
          </w:tcPr>
          <w:p w14:paraId="0B750E68" w14:textId="60B44CB2" w:rsidR="005E2A40" w:rsidRPr="007B5A94" w:rsidRDefault="00AC280C" w:rsidP="002B20D1">
            <w:pPr>
              <w:pStyle w:val="TableText"/>
            </w:pPr>
            <w:r w:rsidRPr="007B5A94">
              <w:t xml:space="preserve">March </w:t>
            </w:r>
            <w:r w:rsidR="005E2A40" w:rsidRPr="007B5A94">
              <w:t>202</w:t>
            </w:r>
            <w:r w:rsidR="004F3BB7" w:rsidRPr="007B5A94">
              <w:t>2</w:t>
            </w:r>
          </w:p>
        </w:tc>
        <w:tc>
          <w:tcPr>
            <w:tcW w:w="1324" w:type="pct"/>
            <w:tcBorders>
              <w:top w:val="single" w:sz="4" w:space="0" w:color="auto"/>
              <w:bottom w:val="single" w:sz="4" w:space="0" w:color="auto"/>
            </w:tcBorders>
          </w:tcPr>
          <w:p w14:paraId="24B64FD3" w14:textId="0491DD25" w:rsidR="005E2A40" w:rsidRPr="007B5A94" w:rsidRDefault="00AC280C" w:rsidP="002B20D1">
            <w:pPr>
              <w:pStyle w:val="TableText"/>
            </w:pPr>
            <w:r w:rsidRPr="007B5A94">
              <w:t>Approval for the CRIS release</w:t>
            </w:r>
          </w:p>
        </w:tc>
        <w:tc>
          <w:tcPr>
            <w:tcW w:w="1168" w:type="pct"/>
            <w:tcBorders>
              <w:top w:val="single" w:sz="4" w:space="0" w:color="auto"/>
              <w:bottom w:val="single" w:sz="4" w:space="0" w:color="auto"/>
            </w:tcBorders>
          </w:tcPr>
          <w:p w14:paraId="0121134B" w14:textId="2DB196B8" w:rsidR="005E2A40" w:rsidRPr="007B5A94" w:rsidRDefault="005E2A40" w:rsidP="002B20D1">
            <w:pPr>
              <w:pStyle w:val="TableText"/>
            </w:pPr>
            <w:r w:rsidRPr="007B5A94">
              <w:t>Minister for Agriculture</w:t>
            </w:r>
            <w:r w:rsidR="0096361E" w:rsidRPr="007B5A94">
              <w:t xml:space="preserve"> and </w:t>
            </w:r>
            <w:r w:rsidRPr="007B5A94">
              <w:t>Northern Australia</w:t>
            </w:r>
          </w:p>
        </w:tc>
        <w:tc>
          <w:tcPr>
            <w:tcW w:w="1418" w:type="pct"/>
            <w:gridSpan w:val="2"/>
            <w:tcBorders>
              <w:top w:val="single" w:sz="4" w:space="0" w:color="auto"/>
              <w:bottom w:val="single" w:sz="4" w:space="0" w:color="auto"/>
            </w:tcBorders>
          </w:tcPr>
          <w:p w14:paraId="6CEDDC37" w14:textId="77777777" w:rsidR="005E2A40" w:rsidRPr="007B5A94" w:rsidRDefault="005E2A40" w:rsidP="002B20D1">
            <w:pPr>
              <w:pStyle w:val="TableText"/>
            </w:pPr>
            <w:r w:rsidRPr="007B5A94">
              <w:t>Medium risk rating for the regulatory charging activities</w:t>
            </w:r>
          </w:p>
        </w:tc>
      </w:tr>
      <w:tr w:rsidR="00157211" w:rsidRPr="00EB0062" w14:paraId="16EBF8D4" w14:textId="77777777" w:rsidTr="00115D06">
        <w:trPr>
          <w:gridAfter w:val="1"/>
          <w:wAfter w:w="24" w:type="pct"/>
        </w:trPr>
        <w:tc>
          <w:tcPr>
            <w:tcW w:w="1090" w:type="pct"/>
            <w:tcBorders>
              <w:top w:val="single" w:sz="4" w:space="0" w:color="auto"/>
              <w:bottom w:val="single" w:sz="4" w:space="0" w:color="auto"/>
            </w:tcBorders>
          </w:tcPr>
          <w:p w14:paraId="4B1E9EDD" w14:textId="20F37330" w:rsidR="00157211" w:rsidRPr="00F44465" w:rsidRDefault="002C143F" w:rsidP="00157211">
            <w:pPr>
              <w:pStyle w:val="TableText"/>
            </w:pPr>
            <w:r>
              <w:t xml:space="preserve">November </w:t>
            </w:r>
            <w:r w:rsidR="00157211" w:rsidRPr="00F44465">
              <w:t>2022</w:t>
            </w:r>
          </w:p>
        </w:tc>
        <w:tc>
          <w:tcPr>
            <w:tcW w:w="1324" w:type="pct"/>
            <w:tcBorders>
              <w:top w:val="single" w:sz="4" w:space="0" w:color="auto"/>
              <w:bottom w:val="single" w:sz="4" w:space="0" w:color="auto"/>
            </w:tcBorders>
          </w:tcPr>
          <w:p w14:paraId="70C154D5" w14:textId="525E5C7B" w:rsidR="00157211" w:rsidRPr="008D3ACB" w:rsidRDefault="00157211" w:rsidP="00157211">
            <w:pPr>
              <w:pStyle w:val="TableText"/>
            </w:pPr>
            <w:r w:rsidRPr="007B5A94">
              <w:t>Certification of the CRIS</w:t>
            </w:r>
          </w:p>
        </w:tc>
        <w:tc>
          <w:tcPr>
            <w:tcW w:w="1168" w:type="pct"/>
            <w:tcBorders>
              <w:top w:val="single" w:sz="4" w:space="0" w:color="auto"/>
              <w:bottom w:val="single" w:sz="4" w:space="0" w:color="auto"/>
            </w:tcBorders>
          </w:tcPr>
          <w:p w14:paraId="43E05355" w14:textId="7FFDDFBD" w:rsidR="00157211" w:rsidRPr="008D3ACB" w:rsidRDefault="007E7515" w:rsidP="00157211">
            <w:pPr>
              <w:pStyle w:val="TableText"/>
            </w:pPr>
            <w:r>
              <w:t xml:space="preserve">A/g </w:t>
            </w:r>
            <w:r w:rsidR="00157211" w:rsidRPr="007B5A94">
              <w:t xml:space="preserve">Secretary, </w:t>
            </w:r>
            <w:r w:rsidR="00EE401B" w:rsidRPr="007B5A94">
              <w:t>DA</w:t>
            </w:r>
            <w:r w:rsidR="00EE401B">
              <w:t>FF</w:t>
            </w:r>
          </w:p>
        </w:tc>
        <w:tc>
          <w:tcPr>
            <w:tcW w:w="1394" w:type="pct"/>
            <w:tcBorders>
              <w:top w:val="single" w:sz="4" w:space="0" w:color="auto"/>
              <w:bottom w:val="single" w:sz="4" w:space="0" w:color="auto"/>
            </w:tcBorders>
          </w:tcPr>
          <w:p w14:paraId="0FE9C9B6" w14:textId="165B1C0B" w:rsidR="00157211" w:rsidRPr="008D3ACB" w:rsidRDefault="00157211" w:rsidP="00157211">
            <w:pPr>
              <w:pStyle w:val="TableText"/>
            </w:pPr>
            <w:r w:rsidRPr="007B5A94">
              <w:t xml:space="preserve">Increased to regulatory charge </w:t>
            </w:r>
            <w:r w:rsidR="00C07DDE">
              <w:t>for Hitchhiker measure</w:t>
            </w:r>
          </w:p>
        </w:tc>
      </w:tr>
      <w:tr w:rsidR="00157211" w:rsidRPr="00EB0062" w14:paraId="3613D637" w14:textId="77777777" w:rsidTr="00115D06">
        <w:trPr>
          <w:gridAfter w:val="1"/>
          <w:wAfter w:w="24" w:type="pct"/>
        </w:trPr>
        <w:tc>
          <w:tcPr>
            <w:tcW w:w="1090" w:type="pct"/>
            <w:tcBorders>
              <w:top w:val="single" w:sz="4" w:space="0" w:color="auto"/>
              <w:bottom w:val="single" w:sz="4" w:space="0" w:color="auto"/>
            </w:tcBorders>
          </w:tcPr>
          <w:p w14:paraId="03F877B1" w14:textId="02512D11" w:rsidR="00157211" w:rsidRPr="00F44465" w:rsidRDefault="005D6D70" w:rsidP="00157211">
            <w:pPr>
              <w:pStyle w:val="TableText"/>
            </w:pPr>
            <w:r>
              <w:t xml:space="preserve">November </w:t>
            </w:r>
            <w:r w:rsidR="00BA1570" w:rsidRPr="00F44465">
              <w:t>2022</w:t>
            </w:r>
            <w:r w:rsidR="00157211" w:rsidRPr="00F44465">
              <w:t xml:space="preserve"> </w:t>
            </w:r>
          </w:p>
        </w:tc>
        <w:tc>
          <w:tcPr>
            <w:tcW w:w="1324" w:type="pct"/>
            <w:tcBorders>
              <w:top w:val="single" w:sz="4" w:space="0" w:color="auto"/>
              <w:bottom w:val="single" w:sz="4" w:space="0" w:color="auto"/>
            </w:tcBorders>
          </w:tcPr>
          <w:p w14:paraId="6E1472D3" w14:textId="46AC96C4" w:rsidR="00157211" w:rsidRPr="008D3ACB" w:rsidRDefault="00157211" w:rsidP="00157211">
            <w:pPr>
              <w:pStyle w:val="TableText"/>
            </w:pPr>
            <w:r w:rsidRPr="008D3ACB">
              <w:t xml:space="preserve">Approval for </w:t>
            </w:r>
            <w:r w:rsidR="00C07DDE">
              <w:t xml:space="preserve">the </w:t>
            </w:r>
            <w:r w:rsidRPr="008D3ACB">
              <w:t>CRIS release</w:t>
            </w:r>
          </w:p>
        </w:tc>
        <w:tc>
          <w:tcPr>
            <w:tcW w:w="1168" w:type="pct"/>
            <w:tcBorders>
              <w:top w:val="single" w:sz="4" w:space="0" w:color="auto"/>
              <w:bottom w:val="single" w:sz="4" w:space="0" w:color="auto"/>
            </w:tcBorders>
          </w:tcPr>
          <w:p w14:paraId="21860B54" w14:textId="3B11AE42" w:rsidR="00157211" w:rsidRPr="008D3ACB" w:rsidRDefault="00EE401B" w:rsidP="00157211">
            <w:pPr>
              <w:pStyle w:val="TableText"/>
            </w:pPr>
            <w:r w:rsidRPr="00EE401B">
              <w:t>Minister for Agriculture, Fisheries and Forestry</w:t>
            </w:r>
          </w:p>
        </w:tc>
        <w:tc>
          <w:tcPr>
            <w:tcW w:w="1394" w:type="pct"/>
            <w:tcBorders>
              <w:top w:val="single" w:sz="4" w:space="0" w:color="auto"/>
              <w:bottom w:val="single" w:sz="4" w:space="0" w:color="auto"/>
            </w:tcBorders>
          </w:tcPr>
          <w:p w14:paraId="2E6D66F7" w14:textId="032F77B3" w:rsidR="00157211" w:rsidRPr="008D3ACB" w:rsidRDefault="00157211" w:rsidP="00157211">
            <w:pPr>
              <w:pStyle w:val="TableText"/>
            </w:pPr>
            <w:r w:rsidRPr="008D3ACB">
              <w:t>Medium risk rating for the regulatory charging activities</w:t>
            </w:r>
          </w:p>
        </w:tc>
      </w:tr>
    </w:tbl>
    <w:p w14:paraId="0C5A2A4A" w14:textId="05F4FCA1" w:rsidR="003C6D62" w:rsidRDefault="00D83313" w:rsidP="003C6D62">
      <w:pPr>
        <w:pStyle w:val="Heading2"/>
        <w:numPr>
          <w:ilvl w:val="0"/>
          <w:numId w:val="0"/>
        </w:numPr>
      </w:pPr>
      <w:bookmarkStart w:id="80" w:name="_Appendix_A:_Description"/>
      <w:bookmarkStart w:id="81" w:name="_Appendix_A:_Summary"/>
      <w:bookmarkStart w:id="82" w:name="_Toc119313406"/>
      <w:bookmarkEnd w:id="80"/>
      <w:bookmarkEnd w:id="81"/>
      <w:r>
        <w:lastRenderedPageBreak/>
        <w:t xml:space="preserve">Appendix </w:t>
      </w:r>
      <w:r w:rsidR="009450AB">
        <w:t>A: Summary</w:t>
      </w:r>
      <w:r>
        <w:t xml:space="preserve"> tables of </w:t>
      </w:r>
      <w:r w:rsidR="00E0084C">
        <w:t xml:space="preserve">volumes and </w:t>
      </w:r>
      <w:r w:rsidR="00256D92">
        <w:t xml:space="preserve">regulatory </w:t>
      </w:r>
      <w:r>
        <w:t>activities</w:t>
      </w:r>
      <w:bookmarkEnd w:id="82"/>
    </w:p>
    <w:p w14:paraId="2940BA68" w14:textId="1447D009" w:rsidR="00A50766" w:rsidRPr="00A50766" w:rsidRDefault="00A50766" w:rsidP="00A50766">
      <w:pPr>
        <w:pStyle w:val="Caption"/>
      </w:pPr>
      <w:r>
        <w:t>Table A</w:t>
      </w:r>
      <w:r w:rsidR="003C1A72">
        <w:fldChar w:fldCharType="begin"/>
      </w:r>
      <w:r w:rsidR="003C1A72">
        <w:instrText xml:space="preserve"> SEQ Table_A \* ARABIC </w:instrText>
      </w:r>
      <w:r w:rsidR="003C1A72">
        <w:fldChar w:fldCharType="separate"/>
      </w:r>
      <w:r w:rsidR="0033587A">
        <w:rPr>
          <w:noProof/>
        </w:rPr>
        <w:t>1</w:t>
      </w:r>
      <w:r w:rsidR="003C1A72">
        <w:rPr>
          <w:noProof/>
        </w:rPr>
        <w:fldChar w:fldCharType="end"/>
      </w:r>
      <w:r>
        <w:t xml:space="preserve"> Vessels and </w:t>
      </w:r>
      <w:r w:rsidR="00324DDA">
        <w:t>a</w:t>
      </w:r>
      <w:r>
        <w:t>ircraft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7"/>
        <w:gridCol w:w="2682"/>
        <w:gridCol w:w="2229"/>
        <w:gridCol w:w="3122"/>
      </w:tblGrid>
      <w:tr w:rsidR="003C6D62" w14:paraId="2AB90B4F" w14:textId="77777777" w:rsidTr="00115D06">
        <w:trPr>
          <w:cantSplit/>
          <w:tblHeader/>
        </w:trPr>
        <w:tc>
          <w:tcPr>
            <w:tcW w:w="571" w:type="pct"/>
            <w:tcBorders>
              <w:top w:val="single" w:sz="4" w:space="0" w:color="auto"/>
              <w:bottom w:val="single" w:sz="4" w:space="0" w:color="auto"/>
            </w:tcBorders>
          </w:tcPr>
          <w:p w14:paraId="130108AF" w14:textId="75094E0A" w:rsidR="003C6D62" w:rsidRDefault="003C6D62" w:rsidP="002B20D1">
            <w:pPr>
              <w:pStyle w:val="TableHeading"/>
            </w:pPr>
            <w:bookmarkStart w:id="83" w:name="Title_A1"/>
            <w:bookmarkEnd w:id="83"/>
            <w:r>
              <w:t>Year</w:t>
            </w:r>
          </w:p>
        </w:tc>
        <w:tc>
          <w:tcPr>
            <w:tcW w:w="1478" w:type="pct"/>
            <w:tcBorders>
              <w:top w:val="single" w:sz="4" w:space="0" w:color="auto"/>
              <w:bottom w:val="single" w:sz="4" w:space="0" w:color="auto"/>
            </w:tcBorders>
          </w:tcPr>
          <w:p w14:paraId="29B6EC21" w14:textId="6AC7FFE8" w:rsidR="003C6D62" w:rsidRPr="00D53744" w:rsidRDefault="003C6D62" w:rsidP="002B20D1">
            <w:pPr>
              <w:pStyle w:val="TableHeading"/>
            </w:pPr>
            <w:r>
              <w:t>Total number of international voyages</w:t>
            </w:r>
          </w:p>
        </w:tc>
        <w:tc>
          <w:tcPr>
            <w:tcW w:w="1229" w:type="pct"/>
            <w:tcBorders>
              <w:top w:val="single" w:sz="4" w:space="0" w:color="auto"/>
              <w:bottom w:val="single" w:sz="4" w:space="0" w:color="auto"/>
            </w:tcBorders>
          </w:tcPr>
          <w:p w14:paraId="698D7D8F" w14:textId="77777777" w:rsidR="003C6D62" w:rsidRDefault="003C6D62" w:rsidP="002B20D1">
            <w:pPr>
              <w:pStyle w:val="TableHeading"/>
            </w:pPr>
            <w:r>
              <w:t>Number of voyage inspections</w:t>
            </w:r>
          </w:p>
        </w:tc>
        <w:tc>
          <w:tcPr>
            <w:tcW w:w="1721" w:type="pct"/>
            <w:tcBorders>
              <w:top w:val="single" w:sz="4" w:space="0" w:color="auto"/>
              <w:bottom w:val="single" w:sz="4" w:space="0" w:color="auto"/>
            </w:tcBorders>
          </w:tcPr>
          <w:p w14:paraId="7416D367" w14:textId="77777777" w:rsidR="003C6D62" w:rsidRDefault="003C6D62" w:rsidP="002B20D1">
            <w:pPr>
              <w:pStyle w:val="TableHeading"/>
            </w:pPr>
            <w:r>
              <w:t>Total number of international aircraft arrivals</w:t>
            </w:r>
          </w:p>
        </w:tc>
      </w:tr>
      <w:tr w:rsidR="003C6D62" w14:paraId="62161346" w14:textId="77777777" w:rsidTr="00115D06">
        <w:tc>
          <w:tcPr>
            <w:tcW w:w="571" w:type="pct"/>
            <w:tcBorders>
              <w:top w:val="single" w:sz="4" w:space="0" w:color="auto"/>
            </w:tcBorders>
          </w:tcPr>
          <w:p w14:paraId="17F396F7" w14:textId="339220D8" w:rsidR="003C6D62" w:rsidRDefault="003C6D62" w:rsidP="002B20D1">
            <w:pPr>
              <w:pStyle w:val="TableText"/>
            </w:pPr>
            <w:r>
              <w:t>2018</w:t>
            </w:r>
            <w:r w:rsidR="00E52BC3">
              <w:t>–</w:t>
            </w:r>
            <w:r>
              <w:t>19</w:t>
            </w:r>
          </w:p>
        </w:tc>
        <w:tc>
          <w:tcPr>
            <w:tcW w:w="1478" w:type="pct"/>
            <w:tcBorders>
              <w:top w:val="single" w:sz="4" w:space="0" w:color="auto"/>
            </w:tcBorders>
          </w:tcPr>
          <w:p w14:paraId="76F33D38" w14:textId="77777777" w:rsidR="003C6D62" w:rsidRPr="00CE1576" w:rsidRDefault="003C6D62" w:rsidP="00A50766">
            <w:pPr>
              <w:pStyle w:val="TableText"/>
              <w:jc w:val="right"/>
            </w:pPr>
            <w:r w:rsidRPr="00CE1576">
              <w:t>19,0</w:t>
            </w:r>
            <w:r>
              <w:t>77</w:t>
            </w:r>
          </w:p>
        </w:tc>
        <w:tc>
          <w:tcPr>
            <w:tcW w:w="1229" w:type="pct"/>
            <w:tcBorders>
              <w:top w:val="single" w:sz="4" w:space="0" w:color="auto"/>
            </w:tcBorders>
          </w:tcPr>
          <w:p w14:paraId="6C809616" w14:textId="77777777" w:rsidR="003C6D62" w:rsidRPr="00DF6448" w:rsidRDefault="003C6D62" w:rsidP="00A50766">
            <w:pPr>
              <w:pStyle w:val="TableText"/>
              <w:jc w:val="right"/>
            </w:pPr>
            <w:r>
              <w:t>18,933</w:t>
            </w:r>
          </w:p>
        </w:tc>
        <w:tc>
          <w:tcPr>
            <w:tcW w:w="1721" w:type="pct"/>
            <w:tcBorders>
              <w:top w:val="single" w:sz="4" w:space="0" w:color="auto"/>
            </w:tcBorders>
          </w:tcPr>
          <w:p w14:paraId="1C0AB6DE" w14:textId="77777777" w:rsidR="003C6D62" w:rsidRPr="00DF6448" w:rsidRDefault="003C6D62" w:rsidP="00A50766">
            <w:pPr>
              <w:pStyle w:val="TableText"/>
              <w:jc w:val="right"/>
            </w:pPr>
            <w:r w:rsidRPr="00DF6448">
              <w:t>100,078</w:t>
            </w:r>
          </w:p>
        </w:tc>
      </w:tr>
      <w:tr w:rsidR="003C6D62" w14:paraId="4EA5C1ED" w14:textId="77777777" w:rsidTr="001D4C63">
        <w:tc>
          <w:tcPr>
            <w:tcW w:w="571" w:type="pct"/>
          </w:tcPr>
          <w:p w14:paraId="03EE6037" w14:textId="5491AC81" w:rsidR="003C6D62" w:rsidRDefault="003C6D62" w:rsidP="002B20D1">
            <w:pPr>
              <w:pStyle w:val="TableText"/>
            </w:pPr>
            <w:r>
              <w:t>2019</w:t>
            </w:r>
            <w:r w:rsidR="00E52BC3">
              <w:t>–</w:t>
            </w:r>
            <w:r>
              <w:t>20</w:t>
            </w:r>
          </w:p>
        </w:tc>
        <w:tc>
          <w:tcPr>
            <w:tcW w:w="1478" w:type="pct"/>
          </w:tcPr>
          <w:p w14:paraId="6AEDD427" w14:textId="77777777" w:rsidR="003C6D62" w:rsidRPr="00CE1576" w:rsidRDefault="003C6D62" w:rsidP="00A50766">
            <w:pPr>
              <w:pStyle w:val="TableText"/>
              <w:jc w:val="right"/>
            </w:pPr>
            <w:r w:rsidRPr="00CE1576">
              <w:t>18,8</w:t>
            </w:r>
            <w:r>
              <w:t>59</w:t>
            </w:r>
          </w:p>
        </w:tc>
        <w:tc>
          <w:tcPr>
            <w:tcW w:w="1229" w:type="pct"/>
          </w:tcPr>
          <w:p w14:paraId="40F0C285" w14:textId="77777777" w:rsidR="003C6D62" w:rsidRPr="00DF6448" w:rsidRDefault="003C6D62" w:rsidP="00A50766">
            <w:pPr>
              <w:pStyle w:val="TableText"/>
              <w:jc w:val="right"/>
            </w:pPr>
            <w:r>
              <w:t>18,553</w:t>
            </w:r>
          </w:p>
        </w:tc>
        <w:tc>
          <w:tcPr>
            <w:tcW w:w="1721" w:type="pct"/>
          </w:tcPr>
          <w:p w14:paraId="6F6346F3" w14:textId="77777777" w:rsidR="003C6D62" w:rsidRPr="00DF6448" w:rsidRDefault="003C6D62" w:rsidP="00A50766">
            <w:pPr>
              <w:pStyle w:val="TableText"/>
              <w:jc w:val="right"/>
            </w:pPr>
            <w:r w:rsidRPr="00DF6448">
              <w:t>75,830</w:t>
            </w:r>
          </w:p>
        </w:tc>
      </w:tr>
      <w:tr w:rsidR="003C6D62" w14:paraId="437EB6C6" w14:textId="77777777" w:rsidTr="001D4C63">
        <w:tc>
          <w:tcPr>
            <w:tcW w:w="571" w:type="pct"/>
          </w:tcPr>
          <w:p w14:paraId="480D7F6F" w14:textId="242C6AFA" w:rsidR="003C6D62" w:rsidRDefault="003C6D62" w:rsidP="00324DDA">
            <w:pPr>
              <w:pStyle w:val="TableText"/>
              <w:spacing w:after="120"/>
            </w:pPr>
            <w:r>
              <w:t>2020</w:t>
            </w:r>
            <w:r w:rsidR="00E52BC3">
              <w:t>–</w:t>
            </w:r>
            <w:r>
              <w:t>21</w:t>
            </w:r>
          </w:p>
        </w:tc>
        <w:tc>
          <w:tcPr>
            <w:tcW w:w="1478" w:type="pct"/>
          </w:tcPr>
          <w:p w14:paraId="48DE9319" w14:textId="77777777" w:rsidR="003C6D62" w:rsidRPr="00CE1576" w:rsidRDefault="003C6D62" w:rsidP="00A50766">
            <w:pPr>
              <w:pStyle w:val="TableText"/>
              <w:jc w:val="right"/>
            </w:pPr>
            <w:r w:rsidRPr="00CE1576">
              <w:t>17,84</w:t>
            </w:r>
            <w:r>
              <w:t>4</w:t>
            </w:r>
          </w:p>
        </w:tc>
        <w:tc>
          <w:tcPr>
            <w:tcW w:w="1229" w:type="pct"/>
          </w:tcPr>
          <w:p w14:paraId="1DBE14C1" w14:textId="77777777" w:rsidR="003C6D62" w:rsidRPr="00DF6448" w:rsidRDefault="003C6D62" w:rsidP="00A50766">
            <w:pPr>
              <w:pStyle w:val="TableText"/>
              <w:jc w:val="right"/>
            </w:pPr>
            <w:r>
              <w:t>15,108</w:t>
            </w:r>
          </w:p>
        </w:tc>
        <w:tc>
          <w:tcPr>
            <w:tcW w:w="1721" w:type="pct"/>
          </w:tcPr>
          <w:p w14:paraId="202EEE75" w14:textId="77777777" w:rsidR="003C6D62" w:rsidRPr="00DF6448" w:rsidRDefault="003C6D62" w:rsidP="00A50766">
            <w:pPr>
              <w:pStyle w:val="TableText"/>
              <w:jc w:val="right"/>
            </w:pPr>
            <w:r w:rsidRPr="00DF6448">
              <w:t>16,206</w:t>
            </w:r>
          </w:p>
        </w:tc>
      </w:tr>
    </w:tbl>
    <w:p w14:paraId="209412F4" w14:textId="413BBA7C" w:rsidR="003C6D62" w:rsidRPr="005F46B0" w:rsidRDefault="00324DDA" w:rsidP="00324DDA">
      <w:pPr>
        <w:pStyle w:val="Caption"/>
        <w:spacing w:before="120"/>
      </w:pPr>
      <w:bookmarkStart w:id="84" w:name="_Hlk83117758"/>
      <w:r>
        <w:t>Table A</w:t>
      </w:r>
      <w:fldSimple w:instr=" SEQ Table_A \* ARABIC ">
        <w:r w:rsidR="0033587A">
          <w:rPr>
            <w:noProof/>
          </w:rPr>
          <w:t>2</w:t>
        </w:r>
      </w:fldSimple>
      <w:r>
        <w:t xml:space="preserve"> Travellers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7"/>
        <w:gridCol w:w="2682"/>
        <w:gridCol w:w="2378"/>
        <w:gridCol w:w="2973"/>
      </w:tblGrid>
      <w:tr w:rsidR="003C6D62" w14:paraId="774D4E71" w14:textId="77777777" w:rsidTr="00115D06">
        <w:trPr>
          <w:cantSplit/>
          <w:tblHeader/>
        </w:trPr>
        <w:tc>
          <w:tcPr>
            <w:tcW w:w="571" w:type="pct"/>
            <w:tcBorders>
              <w:top w:val="single" w:sz="4" w:space="0" w:color="auto"/>
              <w:bottom w:val="single" w:sz="4" w:space="0" w:color="auto"/>
            </w:tcBorders>
          </w:tcPr>
          <w:p w14:paraId="6BA7DA8D" w14:textId="27820E1E" w:rsidR="003C6D62" w:rsidRDefault="003C6D62" w:rsidP="002B20D1">
            <w:pPr>
              <w:pStyle w:val="TableHeading"/>
            </w:pPr>
            <w:bookmarkStart w:id="85" w:name="Title_A2"/>
            <w:bookmarkEnd w:id="85"/>
            <w:r>
              <w:t>Year</w:t>
            </w:r>
          </w:p>
        </w:tc>
        <w:tc>
          <w:tcPr>
            <w:tcW w:w="1478" w:type="pct"/>
            <w:tcBorders>
              <w:top w:val="single" w:sz="4" w:space="0" w:color="auto"/>
              <w:bottom w:val="single" w:sz="4" w:space="0" w:color="auto"/>
            </w:tcBorders>
          </w:tcPr>
          <w:p w14:paraId="2178511B" w14:textId="77777777" w:rsidR="003C6D62" w:rsidRPr="00D53744" w:rsidRDefault="003C6D62" w:rsidP="002B20D1">
            <w:pPr>
              <w:pStyle w:val="TableHeading"/>
            </w:pPr>
            <w:r>
              <w:t>Total international traveller arrivals</w:t>
            </w:r>
          </w:p>
        </w:tc>
        <w:tc>
          <w:tcPr>
            <w:tcW w:w="1311" w:type="pct"/>
            <w:tcBorders>
              <w:top w:val="single" w:sz="4" w:space="0" w:color="auto"/>
              <w:bottom w:val="single" w:sz="4" w:space="0" w:color="auto"/>
            </w:tcBorders>
          </w:tcPr>
          <w:p w14:paraId="1FCC3248" w14:textId="77777777" w:rsidR="003C6D62" w:rsidRDefault="003C6D62" w:rsidP="002B20D1">
            <w:pPr>
              <w:pStyle w:val="TableHeading"/>
            </w:pPr>
            <w:r>
              <w:t>Number of travellers profiled/self- declared</w:t>
            </w:r>
          </w:p>
        </w:tc>
        <w:tc>
          <w:tcPr>
            <w:tcW w:w="1639" w:type="pct"/>
            <w:tcBorders>
              <w:top w:val="single" w:sz="4" w:space="0" w:color="auto"/>
              <w:bottom w:val="single" w:sz="4" w:space="0" w:color="auto"/>
            </w:tcBorders>
          </w:tcPr>
          <w:p w14:paraId="77B1B3D8" w14:textId="77777777" w:rsidR="003C6D62" w:rsidRDefault="003C6D62" w:rsidP="002B20D1">
            <w:pPr>
              <w:pStyle w:val="TableHeading"/>
            </w:pPr>
            <w:r>
              <w:t>Number of Travellers inspected</w:t>
            </w:r>
          </w:p>
        </w:tc>
      </w:tr>
      <w:tr w:rsidR="003C6D62" w14:paraId="39F3F1B5" w14:textId="77777777" w:rsidTr="00115D06">
        <w:tc>
          <w:tcPr>
            <w:tcW w:w="571" w:type="pct"/>
            <w:tcBorders>
              <w:top w:val="single" w:sz="4" w:space="0" w:color="auto"/>
            </w:tcBorders>
          </w:tcPr>
          <w:p w14:paraId="6BC73152" w14:textId="6CD37C21" w:rsidR="003C6D62" w:rsidRPr="00A51D41" w:rsidRDefault="003C6D62" w:rsidP="002B20D1">
            <w:pPr>
              <w:pStyle w:val="TableText"/>
            </w:pPr>
            <w:r w:rsidRPr="00A51D41">
              <w:t>2018</w:t>
            </w:r>
            <w:r w:rsidR="00E52BC3">
              <w:t>–</w:t>
            </w:r>
            <w:r w:rsidRPr="00A51D41">
              <w:t>19</w:t>
            </w:r>
          </w:p>
        </w:tc>
        <w:tc>
          <w:tcPr>
            <w:tcW w:w="1478" w:type="pct"/>
            <w:tcBorders>
              <w:top w:val="single" w:sz="4" w:space="0" w:color="auto"/>
            </w:tcBorders>
          </w:tcPr>
          <w:p w14:paraId="53BC02C3" w14:textId="77777777" w:rsidR="003C6D62" w:rsidRPr="00A51D41" w:rsidRDefault="003C6D62" w:rsidP="00A50766">
            <w:pPr>
              <w:pStyle w:val="TableText"/>
              <w:jc w:val="right"/>
            </w:pPr>
            <w:r w:rsidRPr="00507AEF">
              <w:t>22,500,873</w:t>
            </w:r>
          </w:p>
        </w:tc>
        <w:tc>
          <w:tcPr>
            <w:tcW w:w="1311" w:type="pct"/>
            <w:tcBorders>
              <w:top w:val="single" w:sz="4" w:space="0" w:color="auto"/>
            </w:tcBorders>
          </w:tcPr>
          <w:p w14:paraId="6EC2C2F0" w14:textId="77777777" w:rsidR="003C6D62" w:rsidRPr="00A51D41" w:rsidRDefault="003C6D62" w:rsidP="00A50766">
            <w:pPr>
              <w:pStyle w:val="TableText"/>
              <w:jc w:val="right"/>
            </w:pPr>
            <w:r>
              <w:t>7,550,255</w:t>
            </w:r>
          </w:p>
        </w:tc>
        <w:tc>
          <w:tcPr>
            <w:tcW w:w="1639" w:type="pct"/>
            <w:tcBorders>
              <w:top w:val="single" w:sz="4" w:space="0" w:color="auto"/>
            </w:tcBorders>
          </w:tcPr>
          <w:p w14:paraId="40BD51B2" w14:textId="77777777" w:rsidR="003C6D62" w:rsidRPr="00A51D41" w:rsidRDefault="003C6D62" w:rsidP="00A50766">
            <w:pPr>
              <w:pStyle w:val="TableText"/>
              <w:jc w:val="right"/>
            </w:pPr>
            <w:r w:rsidRPr="00A977F8">
              <w:t>1,499,115</w:t>
            </w:r>
          </w:p>
        </w:tc>
      </w:tr>
      <w:tr w:rsidR="003C6D62" w14:paraId="241ED9C1" w14:textId="77777777" w:rsidTr="00115D06">
        <w:tc>
          <w:tcPr>
            <w:tcW w:w="571" w:type="pct"/>
          </w:tcPr>
          <w:p w14:paraId="5E8C70A3" w14:textId="4F42526A" w:rsidR="003C6D62" w:rsidRPr="00A51D41" w:rsidRDefault="003C6D62" w:rsidP="002B20D1">
            <w:pPr>
              <w:pStyle w:val="TableText"/>
            </w:pPr>
            <w:r w:rsidRPr="00A51D41">
              <w:t>2019</w:t>
            </w:r>
            <w:r w:rsidR="00E52BC3">
              <w:t>–</w:t>
            </w:r>
            <w:r w:rsidRPr="00A51D41">
              <w:t>20</w:t>
            </w:r>
          </w:p>
        </w:tc>
        <w:tc>
          <w:tcPr>
            <w:tcW w:w="1478" w:type="pct"/>
          </w:tcPr>
          <w:p w14:paraId="4CCA0CC8" w14:textId="77777777" w:rsidR="003C6D62" w:rsidRPr="00A51D41" w:rsidRDefault="003C6D62" w:rsidP="00A50766">
            <w:pPr>
              <w:pStyle w:val="TableText"/>
              <w:jc w:val="right"/>
            </w:pPr>
            <w:r w:rsidRPr="00633C1F">
              <w:t>16,658,574</w:t>
            </w:r>
          </w:p>
        </w:tc>
        <w:tc>
          <w:tcPr>
            <w:tcW w:w="1311" w:type="pct"/>
          </w:tcPr>
          <w:p w14:paraId="7E594040" w14:textId="77777777" w:rsidR="003C6D62" w:rsidRPr="00A51D41" w:rsidRDefault="003C6D62" w:rsidP="00A50766">
            <w:pPr>
              <w:pStyle w:val="TableText"/>
              <w:jc w:val="right"/>
            </w:pPr>
            <w:r>
              <w:t>5,686,919</w:t>
            </w:r>
          </w:p>
        </w:tc>
        <w:tc>
          <w:tcPr>
            <w:tcW w:w="1639" w:type="pct"/>
          </w:tcPr>
          <w:p w14:paraId="4102D129" w14:textId="77777777" w:rsidR="003C6D62" w:rsidRPr="00A51D41" w:rsidRDefault="003C6D62" w:rsidP="00A50766">
            <w:pPr>
              <w:pStyle w:val="TableText"/>
              <w:jc w:val="right"/>
            </w:pPr>
            <w:r w:rsidRPr="00A977F8">
              <w:t>1,167,735</w:t>
            </w:r>
          </w:p>
        </w:tc>
      </w:tr>
      <w:tr w:rsidR="003C6D62" w14:paraId="19038882" w14:textId="77777777" w:rsidTr="00115D06">
        <w:tc>
          <w:tcPr>
            <w:tcW w:w="571" w:type="pct"/>
          </w:tcPr>
          <w:p w14:paraId="4E947C02" w14:textId="65D41ECE" w:rsidR="003C6D62" w:rsidRPr="00A51D41" w:rsidRDefault="003C6D62" w:rsidP="002B20D1">
            <w:pPr>
              <w:pStyle w:val="TableText"/>
            </w:pPr>
            <w:r w:rsidRPr="00A51D41">
              <w:t>2020</w:t>
            </w:r>
            <w:r w:rsidR="00E52BC3">
              <w:t>–</w:t>
            </w:r>
            <w:r>
              <w:t>21</w:t>
            </w:r>
          </w:p>
        </w:tc>
        <w:tc>
          <w:tcPr>
            <w:tcW w:w="1478" w:type="pct"/>
          </w:tcPr>
          <w:p w14:paraId="316629BA" w14:textId="6D677182" w:rsidR="003C6D62" w:rsidRPr="00A51D41" w:rsidRDefault="003C6D62" w:rsidP="00A50766">
            <w:pPr>
              <w:pStyle w:val="TableText"/>
              <w:jc w:val="right"/>
            </w:pPr>
            <w:r w:rsidRPr="00633C1F">
              <w:t>746,547</w:t>
            </w:r>
          </w:p>
        </w:tc>
        <w:tc>
          <w:tcPr>
            <w:tcW w:w="1311" w:type="pct"/>
          </w:tcPr>
          <w:p w14:paraId="375B859C" w14:textId="49D506FB" w:rsidR="003C6D62" w:rsidRPr="00A51D41" w:rsidRDefault="003C6D62" w:rsidP="00A50766">
            <w:pPr>
              <w:pStyle w:val="TableText"/>
              <w:jc w:val="right"/>
            </w:pPr>
            <w:r>
              <w:t>315,227</w:t>
            </w:r>
          </w:p>
        </w:tc>
        <w:tc>
          <w:tcPr>
            <w:tcW w:w="1639" w:type="pct"/>
          </w:tcPr>
          <w:p w14:paraId="4D217E9F" w14:textId="54F186F6" w:rsidR="003C6D62" w:rsidRPr="00A51D41" w:rsidRDefault="003C6D62" w:rsidP="00A50766">
            <w:pPr>
              <w:pStyle w:val="TableText"/>
              <w:jc w:val="right"/>
            </w:pPr>
            <w:r w:rsidRPr="00A977F8">
              <w:t>76,048</w:t>
            </w:r>
          </w:p>
        </w:tc>
      </w:tr>
    </w:tbl>
    <w:bookmarkEnd w:id="84"/>
    <w:p w14:paraId="3798A889" w14:textId="3A341E54" w:rsidR="003C6D62" w:rsidRPr="005F46B0" w:rsidRDefault="00324DDA" w:rsidP="00324DDA">
      <w:pPr>
        <w:pStyle w:val="Caption"/>
        <w:spacing w:before="120"/>
      </w:pPr>
      <w:r>
        <w:t>Table A</w:t>
      </w:r>
      <w:fldSimple w:instr=" SEQ Table_A \* ARABIC ">
        <w:r w:rsidR="0033587A">
          <w:rPr>
            <w:noProof/>
          </w:rPr>
          <w:t>3</w:t>
        </w:r>
      </w:fldSimple>
      <w:r>
        <w:t xml:space="preserve"> International mail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9"/>
        <w:gridCol w:w="2677"/>
        <w:gridCol w:w="2677"/>
        <w:gridCol w:w="2677"/>
      </w:tblGrid>
      <w:tr w:rsidR="003C6D62" w14:paraId="43FC4745" w14:textId="77777777" w:rsidTr="00115D06">
        <w:trPr>
          <w:cantSplit/>
          <w:tblHeader/>
        </w:trPr>
        <w:tc>
          <w:tcPr>
            <w:tcW w:w="572" w:type="pct"/>
            <w:tcBorders>
              <w:top w:val="single" w:sz="4" w:space="0" w:color="auto"/>
              <w:bottom w:val="single" w:sz="4" w:space="0" w:color="auto"/>
            </w:tcBorders>
          </w:tcPr>
          <w:p w14:paraId="76866A48" w14:textId="1B6383DC" w:rsidR="003C6D62" w:rsidRDefault="003C6D62" w:rsidP="002B20D1">
            <w:pPr>
              <w:pStyle w:val="TableHeading"/>
            </w:pPr>
            <w:bookmarkStart w:id="86" w:name="Title_A3"/>
            <w:bookmarkEnd w:id="86"/>
            <w:r>
              <w:t>Year</w:t>
            </w:r>
          </w:p>
        </w:tc>
        <w:tc>
          <w:tcPr>
            <w:tcW w:w="1476" w:type="pct"/>
            <w:tcBorders>
              <w:top w:val="single" w:sz="4" w:space="0" w:color="auto"/>
              <w:bottom w:val="single" w:sz="4" w:space="0" w:color="auto"/>
            </w:tcBorders>
          </w:tcPr>
          <w:p w14:paraId="1DA8362F" w14:textId="77777777" w:rsidR="003C6D62" w:rsidRDefault="003C6D62" w:rsidP="002B20D1">
            <w:pPr>
              <w:pStyle w:val="TableHeading"/>
            </w:pPr>
            <w:r w:rsidRPr="00702132">
              <w:t>Total international mail articles</w:t>
            </w:r>
          </w:p>
        </w:tc>
        <w:tc>
          <w:tcPr>
            <w:tcW w:w="1476" w:type="pct"/>
            <w:tcBorders>
              <w:top w:val="single" w:sz="4" w:space="0" w:color="auto"/>
              <w:bottom w:val="single" w:sz="4" w:space="0" w:color="auto"/>
            </w:tcBorders>
          </w:tcPr>
          <w:p w14:paraId="59335D73" w14:textId="77777777" w:rsidR="003C6D62" w:rsidRPr="00DF6448" w:rsidDel="00507AEF" w:rsidRDefault="003C6D62" w:rsidP="002B20D1">
            <w:pPr>
              <w:pStyle w:val="TableHeading"/>
            </w:pPr>
            <w:r w:rsidRPr="008012C7">
              <w:t>Number of mail articles screened</w:t>
            </w:r>
          </w:p>
        </w:tc>
        <w:tc>
          <w:tcPr>
            <w:tcW w:w="1476" w:type="pct"/>
            <w:tcBorders>
              <w:top w:val="single" w:sz="4" w:space="0" w:color="auto"/>
              <w:bottom w:val="single" w:sz="4" w:space="0" w:color="auto"/>
            </w:tcBorders>
          </w:tcPr>
          <w:p w14:paraId="2294DD58" w14:textId="77777777" w:rsidR="003C6D62" w:rsidRPr="008012C7" w:rsidRDefault="003C6D62" w:rsidP="002B20D1">
            <w:pPr>
              <w:pStyle w:val="TableHeading"/>
            </w:pPr>
            <w:r w:rsidRPr="0003582D">
              <w:t>Number of mail articles inspected</w:t>
            </w:r>
          </w:p>
        </w:tc>
      </w:tr>
      <w:tr w:rsidR="003C6D62" w14:paraId="64F822CA" w14:textId="77777777" w:rsidTr="00115D06">
        <w:tc>
          <w:tcPr>
            <w:tcW w:w="572" w:type="pct"/>
            <w:tcBorders>
              <w:top w:val="single" w:sz="4" w:space="0" w:color="auto"/>
            </w:tcBorders>
          </w:tcPr>
          <w:p w14:paraId="4046F4CA" w14:textId="08134D37" w:rsidR="003C6D62" w:rsidRPr="00A51D41" w:rsidRDefault="003C6D62" w:rsidP="002B20D1">
            <w:pPr>
              <w:pStyle w:val="TableText"/>
            </w:pPr>
            <w:r w:rsidRPr="00A51D41">
              <w:t>2018</w:t>
            </w:r>
            <w:r w:rsidR="00E52BC3">
              <w:t>–</w:t>
            </w:r>
            <w:r w:rsidRPr="00A51D41">
              <w:t>19</w:t>
            </w:r>
          </w:p>
        </w:tc>
        <w:tc>
          <w:tcPr>
            <w:tcW w:w="1476" w:type="pct"/>
            <w:tcBorders>
              <w:top w:val="single" w:sz="4" w:space="0" w:color="auto"/>
            </w:tcBorders>
          </w:tcPr>
          <w:p w14:paraId="7D29B13C" w14:textId="77777777" w:rsidR="003C6D62" w:rsidRPr="00A51D41" w:rsidRDefault="003C6D62" w:rsidP="00A50766">
            <w:pPr>
              <w:pStyle w:val="TableText"/>
              <w:jc w:val="right"/>
            </w:pPr>
            <w:r w:rsidRPr="00702132">
              <w:t>118,492,616</w:t>
            </w:r>
          </w:p>
        </w:tc>
        <w:tc>
          <w:tcPr>
            <w:tcW w:w="1476" w:type="pct"/>
            <w:tcBorders>
              <w:top w:val="single" w:sz="4" w:space="0" w:color="auto"/>
            </w:tcBorders>
          </w:tcPr>
          <w:p w14:paraId="4381526B" w14:textId="77777777" w:rsidR="003C6D62" w:rsidRPr="00A51D41" w:rsidDel="00507AEF" w:rsidRDefault="003C6D62" w:rsidP="00A50766">
            <w:pPr>
              <w:pStyle w:val="TableText"/>
              <w:jc w:val="right"/>
            </w:pPr>
            <w:r w:rsidRPr="008012C7">
              <w:t>21,852,210</w:t>
            </w:r>
          </w:p>
        </w:tc>
        <w:tc>
          <w:tcPr>
            <w:tcW w:w="1476" w:type="pct"/>
            <w:tcBorders>
              <w:top w:val="single" w:sz="4" w:space="0" w:color="auto"/>
            </w:tcBorders>
          </w:tcPr>
          <w:p w14:paraId="5343A405" w14:textId="77777777" w:rsidR="003C6D62" w:rsidRPr="008012C7" w:rsidRDefault="003C6D62" w:rsidP="00A50766">
            <w:pPr>
              <w:pStyle w:val="TableText"/>
              <w:jc w:val="right"/>
            </w:pPr>
            <w:r w:rsidRPr="0003582D">
              <w:t>150,751</w:t>
            </w:r>
          </w:p>
        </w:tc>
      </w:tr>
      <w:tr w:rsidR="003C6D62" w14:paraId="46E9B41A" w14:textId="77777777" w:rsidTr="00115D06">
        <w:tc>
          <w:tcPr>
            <w:tcW w:w="572" w:type="pct"/>
          </w:tcPr>
          <w:p w14:paraId="1E5B8A75" w14:textId="38D2C7AD" w:rsidR="003C6D62" w:rsidRPr="00A51D41" w:rsidRDefault="003C6D62" w:rsidP="002B20D1">
            <w:pPr>
              <w:pStyle w:val="TableText"/>
            </w:pPr>
            <w:r w:rsidRPr="00A51D41">
              <w:t>2019</w:t>
            </w:r>
            <w:r w:rsidR="00E52BC3">
              <w:t>–</w:t>
            </w:r>
            <w:r w:rsidRPr="00A51D41">
              <w:t>20</w:t>
            </w:r>
          </w:p>
        </w:tc>
        <w:tc>
          <w:tcPr>
            <w:tcW w:w="1476" w:type="pct"/>
          </w:tcPr>
          <w:p w14:paraId="38DB73A2" w14:textId="77777777" w:rsidR="003C6D62" w:rsidRPr="00A51D41" w:rsidRDefault="003C6D62" w:rsidP="00A50766">
            <w:pPr>
              <w:pStyle w:val="TableText"/>
              <w:jc w:val="right"/>
            </w:pPr>
            <w:r w:rsidRPr="00702132">
              <w:t>95,831,751</w:t>
            </w:r>
          </w:p>
        </w:tc>
        <w:tc>
          <w:tcPr>
            <w:tcW w:w="1476" w:type="pct"/>
          </w:tcPr>
          <w:p w14:paraId="55EFF27B" w14:textId="77777777" w:rsidR="003C6D62" w:rsidRPr="00A51D41" w:rsidDel="00507AEF" w:rsidRDefault="003C6D62" w:rsidP="00A50766">
            <w:pPr>
              <w:pStyle w:val="TableText"/>
              <w:jc w:val="right"/>
            </w:pPr>
            <w:r w:rsidRPr="008012C7">
              <w:t>20,848,677</w:t>
            </w:r>
          </w:p>
        </w:tc>
        <w:tc>
          <w:tcPr>
            <w:tcW w:w="1476" w:type="pct"/>
          </w:tcPr>
          <w:p w14:paraId="71363059" w14:textId="77777777" w:rsidR="003C6D62" w:rsidRPr="008012C7" w:rsidRDefault="003C6D62" w:rsidP="00A50766">
            <w:pPr>
              <w:pStyle w:val="TableText"/>
              <w:jc w:val="right"/>
            </w:pPr>
            <w:r w:rsidRPr="0003582D">
              <w:t>159,462</w:t>
            </w:r>
          </w:p>
        </w:tc>
      </w:tr>
      <w:tr w:rsidR="003C6D62" w14:paraId="6012CA17" w14:textId="77777777" w:rsidTr="00115D06">
        <w:tc>
          <w:tcPr>
            <w:tcW w:w="572" w:type="pct"/>
          </w:tcPr>
          <w:p w14:paraId="0EAF2755" w14:textId="7D273F9F" w:rsidR="003C6D62" w:rsidRPr="00A51D41" w:rsidRDefault="003C6D62" w:rsidP="002B20D1">
            <w:pPr>
              <w:pStyle w:val="TableText"/>
            </w:pPr>
            <w:r w:rsidRPr="00A51D41">
              <w:t>2020</w:t>
            </w:r>
            <w:r w:rsidR="00E52BC3">
              <w:t>–</w:t>
            </w:r>
            <w:r>
              <w:t>21</w:t>
            </w:r>
          </w:p>
        </w:tc>
        <w:tc>
          <w:tcPr>
            <w:tcW w:w="1476" w:type="pct"/>
          </w:tcPr>
          <w:p w14:paraId="7084B235" w14:textId="77777777" w:rsidR="003C6D62" w:rsidRPr="00A51D41" w:rsidRDefault="003C6D62" w:rsidP="00A50766">
            <w:pPr>
              <w:pStyle w:val="TableText"/>
              <w:jc w:val="right"/>
            </w:pPr>
            <w:r w:rsidRPr="00702132">
              <w:t>72,119,602</w:t>
            </w:r>
          </w:p>
        </w:tc>
        <w:tc>
          <w:tcPr>
            <w:tcW w:w="1476" w:type="pct"/>
          </w:tcPr>
          <w:p w14:paraId="2DB57C4A" w14:textId="77777777" w:rsidR="003C6D62" w:rsidRPr="00A51D41" w:rsidDel="00507AEF" w:rsidRDefault="003C6D62" w:rsidP="00A50766">
            <w:pPr>
              <w:pStyle w:val="TableText"/>
              <w:jc w:val="right"/>
            </w:pPr>
            <w:r w:rsidRPr="008012C7">
              <w:t>31,751,786</w:t>
            </w:r>
          </w:p>
        </w:tc>
        <w:tc>
          <w:tcPr>
            <w:tcW w:w="1476" w:type="pct"/>
          </w:tcPr>
          <w:p w14:paraId="266DDF0D" w14:textId="77777777" w:rsidR="003C6D62" w:rsidRPr="008012C7" w:rsidRDefault="003C6D62" w:rsidP="00A50766">
            <w:pPr>
              <w:pStyle w:val="TableText"/>
              <w:jc w:val="right"/>
            </w:pPr>
            <w:r w:rsidRPr="0003582D">
              <w:t>182,178</w:t>
            </w:r>
          </w:p>
        </w:tc>
      </w:tr>
    </w:tbl>
    <w:p w14:paraId="6232A2EB" w14:textId="45492229" w:rsidR="003C6D62" w:rsidRDefault="00324DDA" w:rsidP="00324DDA">
      <w:pPr>
        <w:pStyle w:val="Caption"/>
        <w:spacing w:before="120"/>
      </w:pPr>
      <w:r>
        <w:t>Table A</w:t>
      </w:r>
      <w:fldSimple w:instr=" SEQ Table_A \* ARABIC ">
        <w:r w:rsidR="0033587A">
          <w:rPr>
            <w:noProof/>
          </w:rPr>
          <w:t>4</w:t>
        </w:r>
      </w:fldSimple>
      <w:r>
        <w:t xml:space="preserve"> Cargo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9"/>
        <w:gridCol w:w="1785"/>
        <w:gridCol w:w="1636"/>
        <w:gridCol w:w="1636"/>
        <w:gridCol w:w="1487"/>
        <w:gridCol w:w="1487"/>
      </w:tblGrid>
      <w:tr w:rsidR="003C6D62" w14:paraId="335A2F90" w14:textId="77777777" w:rsidTr="00115D06">
        <w:trPr>
          <w:cantSplit/>
          <w:tblHeader/>
        </w:trPr>
        <w:tc>
          <w:tcPr>
            <w:tcW w:w="572" w:type="pct"/>
            <w:tcBorders>
              <w:top w:val="single" w:sz="4" w:space="0" w:color="auto"/>
              <w:bottom w:val="single" w:sz="4" w:space="0" w:color="auto"/>
            </w:tcBorders>
          </w:tcPr>
          <w:p w14:paraId="4BA0EA9C" w14:textId="7B437131" w:rsidR="003C6D62" w:rsidRDefault="003C6D62" w:rsidP="002B20D1">
            <w:pPr>
              <w:pStyle w:val="TableHeading"/>
            </w:pPr>
            <w:bookmarkStart w:id="87" w:name="Title_A4"/>
            <w:bookmarkEnd w:id="87"/>
            <w:r>
              <w:t>Year</w:t>
            </w:r>
          </w:p>
        </w:tc>
        <w:tc>
          <w:tcPr>
            <w:tcW w:w="984" w:type="pct"/>
            <w:tcBorders>
              <w:top w:val="single" w:sz="4" w:space="0" w:color="auto"/>
              <w:bottom w:val="single" w:sz="4" w:space="0" w:color="auto"/>
            </w:tcBorders>
          </w:tcPr>
          <w:p w14:paraId="77554952" w14:textId="77777777" w:rsidR="003C6D62" w:rsidRPr="00D53744" w:rsidRDefault="003C6D62" w:rsidP="002B20D1">
            <w:pPr>
              <w:pStyle w:val="TableHeading"/>
            </w:pPr>
            <w:r w:rsidRPr="007E49FA">
              <w:t xml:space="preserve">Total international cargo </w:t>
            </w:r>
            <w:proofErr w:type="gramStart"/>
            <w:r w:rsidRPr="007E49FA">
              <w:t>import</w:t>
            </w:r>
            <w:proofErr w:type="gramEnd"/>
            <w:r w:rsidRPr="007E49FA">
              <w:t xml:space="preserve"> declarations*</w:t>
            </w:r>
          </w:p>
        </w:tc>
        <w:tc>
          <w:tcPr>
            <w:tcW w:w="902" w:type="pct"/>
            <w:tcBorders>
              <w:top w:val="single" w:sz="4" w:space="0" w:color="auto"/>
              <w:bottom w:val="single" w:sz="4" w:space="0" w:color="auto"/>
            </w:tcBorders>
          </w:tcPr>
          <w:p w14:paraId="1DEAC926" w14:textId="77777777" w:rsidR="003C6D62" w:rsidRDefault="003C6D62" w:rsidP="002B20D1">
            <w:pPr>
              <w:pStyle w:val="TableHeading"/>
            </w:pPr>
            <w:r w:rsidRPr="00554D68">
              <w:t>Number of cargo imports assessed</w:t>
            </w:r>
          </w:p>
        </w:tc>
        <w:tc>
          <w:tcPr>
            <w:tcW w:w="902" w:type="pct"/>
            <w:tcBorders>
              <w:top w:val="single" w:sz="4" w:space="0" w:color="auto"/>
              <w:bottom w:val="single" w:sz="4" w:space="0" w:color="auto"/>
            </w:tcBorders>
          </w:tcPr>
          <w:p w14:paraId="5333821B" w14:textId="0A68798F" w:rsidR="003C6D62" w:rsidRDefault="003C6D62" w:rsidP="002B20D1">
            <w:pPr>
              <w:pStyle w:val="TableHeading"/>
            </w:pPr>
            <w:r w:rsidRPr="00866974">
              <w:t xml:space="preserve">Number of </w:t>
            </w:r>
            <w:proofErr w:type="gramStart"/>
            <w:r w:rsidRPr="00866974">
              <w:t>cargo</w:t>
            </w:r>
            <w:proofErr w:type="gramEnd"/>
            <w:r w:rsidRPr="00866974">
              <w:t xml:space="preserve"> import</w:t>
            </w:r>
            <w:r w:rsidR="00EE401B" w:rsidRPr="00866974">
              <w:t xml:space="preserve"> inspections</w:t>
            </w:r>
          </w:p>
        </w:tc>
        <w:tc>
          <w:tcPr>
            <w:tcW w:w="820" w:type="pct"/>
            <w:tcBorders>
              <w:top w:val="single" w:sz="4" w:space="0" w:color="auto"/>
              <w:bottom w:val="single" w:sz="4" w:space="0" w:color="auto"/>
            </w:tcBorders>
          </w:tcPr>
          <w:p w14:paraId="7A1334B3" w14:textId="77777777" w:rsidR="003C6D62" w:rsidRDefault="003C6D62" w:rsidP="002B20D1">
            <w:pPr>
              <w:pStyle w:val="TableHeading"/>
            </w:pPr>
            <w:r w:rsidRPr="00F064DB">
              <w:t xml:space="preserve">Total high value cargo </w:t>
            </w:r>
            <w:proofErr w:type="gramStart"/>
            <w:r w:rsidRPr="00F064DB">
              <w:t>import</w:t>
            </w:r>
            <w:proofErr w:type="gramEnd"/>
            <w:r w:rsidRPr="00F064DB">
              <w:t xml:space="preserve"> declarations</w:t>
            </w:r>
          </w:p>
        </w:tc>
        <w:tc>
          <w:tcPr>
            <w:tcW w:w="820" w:type="pct"/>
            <w:tcBorders>
              <w:top w:val="single" w:sz="4" w:space="0" w:color="auto"/>
              <w:bottom w:val="single" w:sz="4" w:space="0" w:color="auto"/>
            </w:tcBorders>
          </w:tcPr>
          <w:p w14:paraId="4DD9B0A3" w14:textId="77777777" w:rsidR="003C6D62" w:rsidRDefault="003C6D62" w:rsidP="002B20D1">
            <w:pPr>
              <w:pStyle w:val="TableHeading"/>
            </w:pPr>
            <w:r w:rsidRPr="009939D6">
              <w:t xml:space="preserve">Total low value cargo </w:t>
            </w:r>
            <w:proofErr w:type="gramStart"/>
            <w:r w:rsidRPr="009939D6">
              <w:t>import</w:t>
            </w:r>
            <w:proofErr w:type="gramEnd"/>
            <w:r w:rsidRPr="009939D6">
              <w:t xml:space="preserve"> declarations</w:t>
            </w:r>
          </w:p>
        </w:tc>
      </w:tr>
      <w:tr w:rsidR="00EE401B" w14:paraId="5A3A36FC" w14:textId="77777777" w:rsidTr="00115D06">
        <w:tc>
          <w:tcPr>
            <w:tcW w:w="572" w:type="pct"/>
            <w:tcBorders>
              <w:top w:val="single" w:sz="4" w:space="0" w:color="auto"/>
            </w:tcBorders>
          </w:tcPr>
          <w:p w14:paraId="25DF72B1" w14:textId="7CBFF27D" w:rsidR="00EE401B" w:rsidRDefault="00EE401B" w:rsidP="00EE401B">
            <w:pPr>
              <w:pStyle w:val="TableText"/>
            </w:pPr>
            <w:r>
              <w:t>2018</w:t>
            </w:r>
            <w:r w:rsidR="00E52BC3">
              <w:t>–</w:t>
            </w:r>
            <w:r>
              <w:t>19</w:t>
            </w:r>
          </w:p>
        </w:tc>
        <w:tc>
          <w:tcPr>
            <w:tcW w:w="984" w:type="pct"/>
            <w:tcBorders>
              <w:top w:val="single" w:sz="4" w:space="0" w:color="auto"/>
            </w:tcBorders>
          </w:tcPr>
          <w:p w14:paraId="083FBFCE" w14:textId="77777777" w:rsidR="00EE401B" w:rsidRPr="00CE1576" w:rsidRDefault="00EE401B" w:rsidP="00A50766">
            <w:pPr>
              <w:pStyle w:val="TableText"/>
              <w:jc w:val="right"/>
            </w:pPr>
            <w:r w:rsidRPr="007E49FA">
              <w:t>53,740,949</w:t>
            </w:r>
          </w:p>
        </w:tc>
        <w:tc>
          <w:tcPr>
            <w:tcW w:w="902" w:type="pct"/>
            <w:tcBorders>
              <w:top w:val="single" w:sz="4" w:space="0" w:color="auto"/>
            </w:tcBorders>
          </w:tcPr>
          <w:p w14:paraId="10ADEA9A" w14:textId="77777777" w:rsidR="00EE401B" w:rsidRPr="00DF6448" w:rsidRDefault="00EE401B" w:rsidP="00A50766">
            <w:pPr>
              <w:pStyle w:val="TableText"/>
              <w:jc w:val="right"/>
            </w:pPr>
            <w:r w:rsidRPr="00554D68">
              <w:t>863,910</w:t>
            </w:r>
          </w:p>
        </w:tc>
        <w:tc>
          <w:tcPr>
            <w:tcW w:w="902" w:type="pct"/>
            <w:tcBorders>
              <w:top w:val="single" w:sz="4" w:space="0" w:color="auto"/>
            </w:tcBorders>
          </w:tcPr>
          <w:p w14:paraId="7B0DC23A" w14:textId="45FC0980" w:rsidR="00EE401B" w:rsidRPr="00DF6448" w:rsidRDefault="00EE401B" w:rsidP="00A50766">
            <w:pPr>
              <w:pStyle w:val="TableText"/>
              <w:jc w:val="right"/>
            </w:pPr>
            <w:r w:rsidRPr="00866974">
              <w:t>269,328</w:t>
            </w:r>
          </w:p>
        </w:tc>
        <w:tc>
          <w:tcPr>
            <w:tcW w:w="820" w:type="pct"/>
            <w:tcBorders>
              <w:top w:val="single" w:sz="4" w:space="0" w:color="auto"/>
            </w:tcBorders>
          </w:tcPr>
          <w:p w14:paraId="59E11252" w14:textId="77777777" w:rsidR="00EE401B" w:rsidRPr="000F73E8" w:rsidRDefault="00EE401B" w:rsidP="00A50766">
            <w:pPr>
              <w:pStyle w:val="TableText"/>
              <w:jc w:val="right"/>
            </w:pPr>
            <w:r w:rsidRPr="00F064DB">
              <w:t>4,279,208</w:t>
            </w:r>
          </w:p>
        </w:tc>
        <w:tc>
          <w:tcPr>
            <w:tcW w:w="820" w:type="pct"/>
            <w:tcBorders>
              <w:top w:val="single" w:sz="4" w:space="0" w:color="auto"/>
            </w:tcBorders>
          </w:tcPr>
          <w:p w14:paraId="2A88B952" w14:textId="77777777" w:rsidR="00EE401B" w:rsidRPr="000F73E8" w:rsidRDefault="00EE401B" w:rsidP="00A50766">
            <w:pPr>
              <w:pStyle w:val="TableText"/>
              <w:jc w:val="right"/>
            </w:pPr>
            <w:r w:rsidRPr="009939D6">
              <w:t>49,461,741</w:t>
            </w:r>
          </w:p>
        </w:tc>
      </w:tr>
      <w:tr w:rsidR="00EE401B" w14:paraId="11A1AAED" w14:textId="77777777" w:rsidTr="00115D06">
        <w:tc>
          <w:tcPr>
            <w:tcW w:w="572" w:type="pct"/>
          </w:tcPr>
          <w:p w14:paraId="065C443B" w14:textId="20AE5DD7" w:rsidR="00EE401B" w:rsidRDefault="00EE401B" w:rsidP="00EE401B">
            <w:pPr>
              <w:pStyle w:val="TableText"/>
            </w:pPr>
            <w:r>
              <w:t>2019</w:t>
            </w:r>
            <w:r w:rsidR="00E52BC3">
              <w:t>–</w:t>
            </w:r>
            <w:r>
              <w:t>20</w:t>
            </w:r>
          </w:p>
        </w:tc>
        <w:tc>
          <w:tcPr>
            <w:tcW w:w="984" w:type="pct"/>
          </w:tcPr>
          <w:p w14:paraId="1CB24761" w14:textId="77777777" w:rsidR="00EE401B" w:rsidRPr="00CE1576" w:rsidRDefault="00EE401B" w:rsidP="00A50766">
            <w:pPr>
              <w:pStyle w:val="TableText"/>
              <w:jc w:val="right"/>
            </w:pPr>
            <w:r w:rsidRPr="007E49FA">
              <w:t>58,856,338</w:t>
            </w:r>
          </w:p>
        </w:tc>
        <w:tc>
          <w:tcPr>
            <w:tcW w:w="902" w:type="pct"/>
          </w:tcPr>
          <w:p w14:paraId="7E6913B3" w14:textId="77777777" w:rsidR="00EE401B" w:rsidRPr="00DF6448" w:rsidRDefault="00EE401B" w:rsidP="00A50766">
            <w:pPr>
              <w:pStyle w:val="TableText"/>
              <w:jc w:val="right"/>
            </w:pPr>
            <w:r w:rsidRPr="00554D68">
              <w:t>663,402</w:t>
            </w:r>
          </w:p>
        </w:tc>
        <w:tc>
          <w:tcPr>
            <w:tcW w:w="902" w:type="pct"/>
          </w:tcPr>
          <w:p w14:paraId="2025B476" w14:textId="710542FF" w:rsidR="00EE401B" w:rsidRPr="00DF6448" w:rsidRDefault="00EE401B" w:rsidP="00A50766">
            <w:pPr>
              <w:pStyle w:val="TableText"/>
              <w:jc w:val="right"/>
            </w:pPr>
            <w:r w:rsidRPr="00866974">
              <w:t>242,061</w:t>
            </w:r>
          </w:p>
        </w:tc>
        <w:tc>
          <w:tcPr>
            <w:tcW w:w="820" w:type="pct"/>
          </w:tcPr>
          <w:p w14:paraId="6188E536" w14:textId="77777777" w:rsidR="00EE401B" w:rsidRPr="000F73E8" w:rsidRDefault="00EE401B" w:rsidP="00A50766">
            <w:pPr>
              <w:pStyle w:val="TableText"/>
              <w:jc w:val="right"/>
            </w:pPr>
            <w:r w:rsidRPr="00F064DB">
              <w:t>4,243,067</w:t>
            </w:r>
          </w:p>
        </w:tc>
        <w:tc>
          <w:tcPr>
            <w:tcW w:w="820" w:type="pct"/>
          </w:tcPr>
          <w:p w14:paraId="5BCE3A5B" w14:textId="77777777" w:rsidR="00EE401B" w:rsidRPr="000F73E8" w:rsidRDefault="00EE401B" w:rsidP="00A50766">
            <w:pPr>
              <w:pStyle w:val="TableText"/>
              <w:jc w:val="right"/>
            </w:pPr>
            <w:r w:rsidRPr="009939D6">
              <w:t>54,613,271</w:t>
            </w:r>
          </w:p>
        </w:tc>
      </w:tr>
      <w:tr w:rsidR="00EE401B" w14:paraId="0DB4AFC4" w14:textId="77777777" w:rsidTr="00115D06">
        <w:tc>
          <w:tcPr>
            <w:tcW w:w="572" w:type="pct"/>
          </w:tcPr>
          <w:p w14:paraId="0226EEDD" w14:textId="242BB3D4" w:rsidR="00EE401B" w:rsidRDefault="00EE401B" w:rsidP="00EE401B">
            <w:pPr>
              <w:pStyle w:val="TableText"/>
            </w:pPr>
            <w:r>
              <w:t>2020</w:t>
            </w:r>
            <w:r w:rsidR="00E52BC3">
              <w:t>–</w:t>
            </w:r>
            <w:r>
              <w:t>21</w:t>
            </w:r>
          </w:p>
        </w:tc>
        <w:tc>
          <w:tcPr>
            <w:tcW w:w="984" w:type="pct"/>
          </w:tcPr>
          <w:p w14:paraId="2AA64092" w14:textId="77777777" w:rsidR="00EE401B" w:rsidRPr="00CE1576" w:rsidRDefault="00EE401B" w:rsidP="00A50766">
            <w:pPr>
              <w:pStyle w:val="TableText"/>
              <w:jc w:val="right"/>
            </w:pPr>
            <w:r w:rsidRPr="007E49FA">
              <w:t>77,199,249</w:t>
            </w:r>
          </w:p>
        </w:tc>
        <w:tc>
          <w:tcPr>
            <w:tcW w:w="902" w:type="pct"/>
          </w:tcPr>
          <w:p w14:paraId="4707E1EE" w14:textId="77777777" w:rsidR="00EE401B" w:rsidRPr="00DF6448" w:rsidRDefault="00EE401B" w:rsidP="00A50766">
            <w:pPr>
              <w:pStyle w:val="TableText"/>
              <w:jc w:val="right"/>
            </w:pPr>
            <w:r w:rsidRPr="00554D68">
              <w:t>790,857</w:t>
            </w:r>
          </w:p>
        </w:tc>
        <w:tc>
          <w:tcPr>
            <w:tcW w:w="902" w:type="pct"/>
          </w:tcPr>
          <w:p w14:paraId="14733D7B" w14:textId="71E8261F" w:rsidR="00EE401B" w:rsidRPr="00DF6448" w:rsidRDefault="00EE401B" w:rsidP="00A50766">
            <w:pPr>
              <w:pStyle w:val="TableText"/>
              <w:jc w:val="right"/>
            </w:pPr>
            <w:r w:rsidRPr="00EE401B">
              <w:t>329,709</w:t>
            </w:r>
          </w:p>
        </w:tc>
        <w:tc>
          <w:tcPr>
            <w:tcW w:w="820" w:type="pct"/>
          </w:tcPr>
          <w:p w14:paraId="240A5F3E" w14:textId="77777777" w:rsidR="00EE401B" w:rsidRPr="000F73E8" w:rsidRDefault="00EE401B" w:rsidP="00A50766">
            <w:pPr>
              <w:pStyle w:val="TableText"/>
              <w:jc w:val="right"/>
            </w:pPr>
            <w:r w:rsidRPr="00F064DB">
              <w:t>4,508,546</w:t>
            </w:r>
          </w:p>
        </w:tc>
        <w:tc>
          <w:tcPr>
            <w:tcW w:w="820" w:type="pct"/>
          </w:tcPr>
          <w:p w14:paraId="3CF492E8" w14:textId="77777777" w:rsidR="00EE401B" w:rsidRPr="000F73E8" w:rsidRDefault="00EE401B" w:rsidP="00A50766">
            <w:pPr>
              <w:pStyle w:val="TableText"/>
              <w:jc w:val="right"/>
            </w:pPr>
            <w:r w:rsidRPr="009939D6">
              <w:t>72,690,703</w:t>
            </w:r>
          </w:p>
        </w:tc>
      </w:tr>
    </w:tbl>
    <w:p w14:paraId="67C7B1BD" w14:textId="77777777" w:rsidR="003C6D62" w:rsidRDefault="003C6D62" w:rsidP="00BD6580">
      <w:pPr>
        <w:pStyle w:val="FigureTableNoteSource"/>
      </w:pPr>
      <w:r>
        <w:t xml:space="preserve">Note: All </w:t>
      </w:r>
      <w:r w:rsidRPr="00BD6580">
        <w:t>cargo</w:t>
      </w:r>
      <w:r>
        <w:t xml:space="preserve"> import declarations are profiled for biosecurity concerns. Declarations that match a profile are referred to the department for action.</w:t>
      </w:r>
    </w:p>
    <w:p w14:paraId="72FAA10F" w14:textId="7383EABC" w:rsidR="003C6D62" w:rsidRDefault="000D79BF" w:rsidP="000D79BF">
      <w:pPr>
        <w:pStyle w:val="Caption"/>
      </w:pPr>
      <w:r>
        <w:t>Table A</w:t>
      </w:r>
      <w:fldSimple w:instr=" SEQ Table_A \* ARABIC ">
        <w:r w:rsidR="0033587A">
          <w:rPr>
            <w:noProof/>
          </w:rPr>
          <w:t>5</w:t>
        </w:r>
      </w:fldSimple>
      <w:r>
        <w:t xml:space="preserve"> Import permit applications and animals processed in PEQ</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7"/>
        <w:gridCol w:w="3719"/>
        <w:gridCol w:w="4314"/>
      </w:tblGrid>
      <w:tr w:rsidR="003C6D62" w14:paraId="3DFD06CF" w14:textId="77777777" w:rsidTr="00115D06">
        <w:trPr>
          <w:cantSplit/>
          <w:tblHeader/>
        </w:trPr>
        <w:tc>
          <w:tcPr>
            <w:tcW w:w="572" w:type="pct"/>
            <w:tcBorders>
              <w:top w:val="single" w:sz="4" w:space="0" w:color="auto"/>
              <w:bottom w:val="single" w:sz="4" w:space="0" w:color="auto"/>
            </w:tcBorders>
          </w:tcPr>
          <w:p w14:paraId="1401B0E4" w14:textId="04394530" w:rsidR="003C6D62" w:rsidRDefault="003C6D62" w:rsidP="002B20D1">
            <w:pPr>
              <w:pStyle w:val="TableHeading"/>
            </w:pPr>
            <w:bookmarkStart w:id="88" w:name="Title_A5"/>
            <w:bookmarkEnd w:id="88"/>
            <w:r>
              <w:t>Year</w:t>
            </w:r>
          </w:p>
        </w:tc>
        <w:tc>
          <w:tcPr>
            <w:tcW w:w="2050" w:type="pct"/>
            <w:tcBorders>
              <w:top w:val="single" w:sz="4" w:space="0" w:color="auto"/>
              <w:bottom w:val="single" w:sz="4" w:space="0" w:color="auto"/>
            </w:tcBorders>
          </w:tcPr>
          <w:p w14:paraId="1FEBD8CC" w14:textId="77777777" w:rsidR="003C6D62" w:rsidRPr="00D53744" w:rsidRDefault="003C6D62" w:rsidP="002B20D1">
            <w:pPr>
              <w:pStyle w:val="TableHeading"/>
            </w:pPr>
            <w:r w:rsidRPr="00C66F59">
              <w:t>Total volume of permit applications submitted and paid to DAWE</w:t>
            </w:r>
          </w:p>
        </w:tc>
        <w:tc>
          <w:tcPr>
            <w:tcW w:w="2379" w:type="pct"/>
            <w:tcBorders>
              <w:top w:val="single" w:sz="4" w:space="0" w:color="auto"/>
              <w:bottom w:val="single" w:sz="4" w:space="0" w:color="auto"/>
            </w:tcBorders>
          </w:tcPr>
          <w:p w14:paraId="35E8C5E7" w14:textId="77777777" w:rsidR="003C6D62" w:rsidRDefault="003C6D62" w:rsidP="002B20D1">
            <w:pPr>
              <w:pStyle w:val="TableHeading"/>
            </w:pPr>
            <w:r>
              <w:t>Number of animals (Cats, dogs &amp; horses) processed at the PEQ</w:t>
            </w:r>
          </w:p>
        </w:tc>
      </w:tr>
      <w:tr w:rsidR="003C6D62" w14:paraId="0758A3A4" w14:textId="77777777" w:rsidTr="00115D06">
        <w:tc>
          <w:tcPr>
            <w:tcW w:w="572" w:type="pct"/>
            <w:tcBorders>
              <w:top w:val="single" w:sz="4" w:space="0" w:color="auto"/>
            </w:tcBorders>
          </w:tcPr>
          <w:p w14:paraId="2EFB0F83" w14:textId="2E058E38" w:rsidR="003C6D62" w:rsidRDefault="003C6D62" w:rsidP="002B20D1">
            <w:pPr>
              <w:pStyle w:val="TableText"/>
            </w:pPr>
            <w:r>
              <w:t>2018</w:t>
            </w:r>
            <w:r w:rsidR="00E52BC3">
              <w:t>–</w:t>
            </w:r>
            <w:r>
              <w:t>19</w:t>
            </w:r>
          </w:p>
        </w:tc>
        <w:tc>
          <w:tcPr>
            <w:tcW w:w="2050" w:type="pct"/>
            <w:tcBorders>
              <w:top w:val="single" w:sz="4" w:space="0" w:color="auto"/>
            </w:tcBorders>
          </w:tcPr>
          <w:p w14:paraId="708EE609" w14:textId="77777777" w:rsidR="003C6D62" w:rsidRPr="005D71D8" w:rsidRDefault="003C6D62" w:rsidP="00A50766">
            <w:pPr>
              <w:pStyle w:val="TableText"/>
              <w:jc w:val="right"/>
              <w:rPr>
                <w:highlight w:val="yellow"/>
              </w:rPr>
            </w:pPr>
            <w:r w:rsidRPr="001362B4">
              <w:t>16,825</w:t>
            </w:r>
          </w:p>
        </w:tc>
        <w:tc>
          <w:tcPr>
            <w:tcW w:w="2379" w:type="pct"/>
            <w:tcBorders>
              <w:top w:val="single" w:sz="4" w:space="0" w:color="auto"/>
            </w:tcBorders>
          </w:tcPr>
          <w:p w14:paraId="351BD21E" w14:textId="77777777" w:rsidR="003C6D62" w:rsidRPr="005D71D8" w:rsidRDefault="003C6D62" w:rsidP="00A50766">
            <w:pPr>
              <w:pStyle w:val="TableText"/>
              <w:jc w:val="right"/>
              <w:rPr>
                <w:highlight w:val="yellow"/>
              </w:rPr>
            </w:pPr>
            <w:r w:rsidRPr="00C214B3">
              <w:t>6762</w:t>
            </w:r>
          </w:p>
        </w:tc>
      </w:tr>
      <w:tr w:rsidR="003C6D62" w14:paraId="06D82E4D" w14:textId="77777777" w:rsidTr="00115D06">
        <w:tc>
          <w:tcPr>
            <w:tcW w:w="572" w:type="pct"/>
          </w:tcPr>
          <w:p w14:paraId="6E8A7CC7" w14:textId="79804B74" w:rsidR="003C6D62" w:rsidRDefault="003C6D62" w:rsidP="002B20D1">
            <w:pPr>
              <w:pStyle w:val="TableText"/>
            </w:pPr>
            <w:r>
              <w:t>2019</w:t>
            </w:r>
            <w:r w:rsidR="00E52BC3">
              <w:t>–</w:t>
            </w:r>
            <w:r>
              <w:t>20</w:t>
            </w:r>
          </w:p>
        </w:tc>
        <w:tc>
          <w:tcPr>
            <w:tcW w:w="2050" w:type="pct"/>
          </w:tcPr>
          <w:p w14:paraId="51E1D2F5" w14:textId="77777777" w:rsidR="003C6D62" w:rsidRPr="005D71D8" w:rsidRDefault="003C6D62" w:rsidP="00A50766">
            <w:pPr>
              <w:pStyle w:val="TableText"/>
              <w:jc w:val="right"/>
              <w:rPr>
                <w:highlight w:val="yellow"/>
              </w:rPr>
            </w:pPr>
            <w:r w:rsidRPr="001362B4">
              <w:t>17,476</w:t>
            </w:r>
          </w:p>
        </w:tc>
        <w:tc>
          <w:tcPr>
            <w:tcW w:w="2379" w:type="pct"/>
          </w:tcPr>
          <w:p w14:paraId="5F66D3CC" w14:textId="77777777" w:rsidR="003C6D62" w:rsidRPr="005D71D8" w:rsidRDefault="003C6D62" w:rsidP="00A50766">
            <w:pPr>
              <w:pStyle w:val="TableText"/>
              <w:jc w:val="right"/>
              <w:rPr>
                <w:highlight w:val="yellow"/>
              </w:rPr>
            </w:pPr>
            <w:r w:rsidRPr="00C214B3">
              <w:t>5647</w:t>
            </w:r>
          </w:p>
        </w:tc>
      </w:tr>
      <w:tr w:rsidR="003C6D62" w14:paraId="398E9DC5" w14:textId="77777777" w:rsidTr="00115D06">
        <w:tc>
          <w:tcPr>
            <w:tcW w:w="572" w:type="pct"/>
          </w:tcPr>
          <w:p w14:paraId="2E74F6BF" w14:textId="7B350A8D" w:rsidR="003C6D62" w:rsidRDefault="003C6D62" w:rsidP="002B20D1">
            <w:pPr>
              <w:pStyle w:val="TableText"/>
            </w:pPr>
            <w:r>
              <w:t>2020</w:t>
            </w:r>
            <w:r w:rsidR="00E52BC3">
              <w:t>–</w:t>
            </w:r>
            <w:r>
              <w:t>21</w:t>
            </w:r>
          </w:p>
        </w:tc>
        <w:tc>
          <w:tcPr>
            <w:tcW w:w="2050" w:type="pct"/>
          </w:tcPr>
          <w:p w14:paraId="582ACEC2" w14:textId="77777777" w:rsidR="003C6D62" w:rsidRPr="00CE1576" w:rsidRDefault="003C6D62" w:rsidP="00A50766">
            <w:pPr>
              <w:pStyle w:val="TableText"/>
              <w:jc w:val="right"/>
            </w:pPr>
            <w:r w:rsidRPr="001362B4">
              <w:t>15,140</w:t>
            </w:r>
          </w:p>
        </w:tc>
        <w:tc>
          <w:tcPr>
            <w:tcW w:w="2379" w:type="pct"/>
          </w:tcPr>
          <w:p w14:paraId="7D4ACC5A" w14:textId="77777777" w:rsidR="003C6D62" w:rsidRPr="00D25055" w:rsidRDefault="003C6D62" w:rsidP="00A50766">
            <w:pPr>
              <w:pStyle w:val="TableText"/>
              <w:jc w:val="right"/>
              <w:rPr>
                <w:rFonts w:ascii="Calibri" w:hAnsi="Calibri" w:cs="Calibri"/>
                <w:color w:val="000000"/>
                <w:lang w:eastAsia="en-AU"/>
              </w:rPr>
            </w:pPr>
            <w:r w:rsidRPr="00C214B3">
              <w:t>4936</w:t>
            </w:r>
          </w:p>
        </w:tc>
      </w:tr>
    </w:tbl>
    <w:p w14:paraId="5D5E5F1B" w14:textId="61DD2466" w:rsidR="005E2A40" w:rsidRDefault="00852B78" w:rsidP="00043DC4">
      <w:pPr>
        <w:pStyle w:val="Heading2"/>
        <w:numPr>
          <w:ilvl w:val="0"/>
          <w:numId w:val="0"/>
        </w:numPr>
      </w:pPr>
      <w:bookmarkStart w:id="89" w:name="_Appendix_B:_Description"/>
      <w:bookmarkStart w:id="90" w:name="_Toc119313407"/>
      <w:bookmarkEnd w:id="89"/>
      <w:r>
        <w:lastRenderedPageBreak/>
        <w:t xml:space="preserve">Appendix </w:t>
      </w:r>
      <w:r w:rsidR="009450AB">
        <w:t>B: Description</w:t>
      </w:r>
      <w:r>
        <w:t xml:space="preserve"> of cost model activities</w:t>
      </w:r>
      <w:bookmarkEnd w:id="90"/>
    </w:p>
    <w:p w14:paraId="035C7707" w14:textId="51419B3E" w:rsidR="00852B78" w:rsidRDefault="00852B78" w:rsidP="00852B78">
      <w:pPr>
        <w:rPr>
          <w:lang w:eastAsia="ja-JP"/>
        </w:rPr>
      </w:pPr>
      <w:r w:rsidRPr="00852B78">
        <w:rPr>
          <w:lang w:eastAsia="ja-JP"/>
        </w:rPr>
        <w:t>This section provides details of the cost model activities undertaken in our regulatory charging arrangements.</w:t>
      </w:r>
    </w:p>
    <w:p w14:paraId="5CED7B01" w14:textId="41A33541" w:rsidR="00852B78" w:rsidRDefault="00852B78" w:rsidP="00852B78">
      <w:pPr>
        <w:pStyle w:val="Heading3"/>
        <w:numPr>
          <w:ilvl w:val="0"/>
          <w:numId w:val="0"/>
        </w:numPr>
        <w:ind w:left="964" w:hanging="964"/>
        <w:rPr>
          <w:lang w:eastAsia="ja-JP"/>
        </w:rPr>
      </w:pPr>
      <w:bookmarkStart w:id="91" w:name="_Toc119313408"/>
      <w:r w:rsidRPr="00852B78">
        <w:rPr>
          <w:lang w:eastAsia="ja-JP"/>
        </w:rPr>
        <w:t>Program management and administration activities (</w:t>
      </w:r>
      <w:r w:rsidR="00043DC4">
        <w:rPr>
          <w:lang w:eastAsia="ja-JP"/>
        </w:rPr>
        <w:t>c</w:t>
      </w:r>
      <w:r w:rsidRPr="00852B78">
        <w:rPr>
          <w:lang w:eastAsia="ja-JP"/>
        </w:rPr>
        <w:t>harge)</w:t>
      </w:r>
      <w:bookmarkEnd w:id="91"/>
    </w:p>
    <w:p w14:paraId="5E4B5851" w14:textId="29F1362D" w:rsidR="00852B78" w:rsidRDefault="00852B78" w:rsidP="00BD6580">
      <w:pPr>
        <w:pStyle w:val="Heading4"/>
        <w:numPr>
          <w:ilvl w:val="0"/>
          <w:numId w:val="0"/>
        </w:numPr>
        <w:spacing w:before="120"/>
        <w:ind w:left="964" w:hanging="964"/>
        <w:rPr>
          <w:lang w:eastAsia="ja-JP"/>
        </w:rPr>
      </w:pPr>
      <w:r w:rsidRPr="00852B78">
        <w:rPr>
          <w:lang w:eastAsia="ja-JP"/>
        </w:rPr>
        <w:t>Workforce and business management</w:t>
      </w:r>
    </w:p>
    <w:p w14:paraId="4793A5DC" w14:textId="03D8E9FE" w:rsidR="0035076E" w:rsidRDefault="0035076E" w:rsidP="00BD6580">
      <w:pPr>
        <w:spacing w:before="120" w:after="120"/>
        <w:rPr>
          <w:lang w:eastAsia="ja-JP"/>
        </w:rPr>
      </w:pPr>
      <w:r>
        <w:rPr>
          <w:lang w:eastAsia="ja-JP"/>
        </w:rPr>
        <w:t xml:space="preserve">This activity comprises </w:t>
      </w:r>
      <w:r w:rsidR="00043DC4">
        <w:rPr>
          <w:lang w:eastAsia="ja-JP"/>
        </w:rPr>
        <w:t xml:space="preserve">4 </w:t>
      </w:r>
      <w:r>
        <w:rPr>
          <w:lang w:eastAsia="ja-JP"/>
        </w:rPr>
        <w:t>categories:</w:t>
      </w:r>
    </w:p>
    <w:p w14:paraId="064EC251" w14:textId="3C77A5D6" w:rsidR="0035076E" w:rsidRDefault="0035076E" w:rsidP="0035076E">
      <w:pPr>
        <w:pStyle w:val="ListBullet"/>
        <w:rPr>
          <w:lang w:eastAsia="ja-JP"/>
        </w:rPr>
      </w:pPr>
      <w:r>
        <w:rPr>
          <w:lang w:eastAsia="ja-JP"/>
        </w:rPr>
        <w:t xml:space="preserve">Workforce management activities include staff supervision, allocating workforce resources, managing employee performance, leave, training and other conditions, managing Work, Health and Safety requirements, </w:t>
      </w:r>
      <w:proofErr w:type="gramStart"/>
      <w:r>
        <w:rPr>
          <w:lang w:eastAsia="ja-JP"/>
        </w:rPr>
        <w:t>recruitment</w:t>
      </w:r>
      <w:proofErr w:type="gramEnd"/>
      <w:r>
        <w:rPr>
          <w:lang w:eastAsia="ja-JP"/>
        </w:rPr>
        <w:t xml:space="preserve"> and termination.</w:t>
      </w:r>
    </w:p>
    <w:p w14:paraId="1681454A" w14:textId="0D3AE746" w:rsidR="0035076E" w:rsidRDefault="0035076E" w:rsidP="0035076E">
      <w:pPr>
        <w:pStyle w:val="ListBullet"/>
        <w:rPr>
          <w:lang w:eastAsia="ja-JP"/>
        </w:rPr>
      </w:pPr>
      <w:r>
        <w:rPr>
          <w:lang w:eastAsia="ja-JP"/>
        </w:rPr>
        <w:t>Business management activities include business planning and continuity, requesting legal advice, procurement and contracts, program and project administration, assurance, design and management, management of fixtures, facilities, equipment, supplies and logistics.</w:t>
      </w:r>
    </w:p>
    <w:p w14:paraId="784BF3A2" w14:textId="1B7DF0DB" w:rsidR="0035076E" w:rsidRDefault="0035076E" w:rsidP="0035076E">
      <w:pPr>
        <w:pStyle w:val="ListBullet"/>
        <w:rPr>
          <w:lang w:eastAsia="ja-JP"/>
        </w:rPr>
      </w:pPr>
      <w:r>
        <w:rPr>
          <w:lang w:eastAsia="ja-JP"/>
        </w:rPr>
        <w:t>Financial management activities include billing and accounting, budgeting, charges and payments, collections and receivables, debt management, financial accounts, reporting and policy development.</w:t>
      </w:r>
    </w:p>
    <w:p w14:paraId="25B81A2A" w14:textId="054F0929" w:rsidR="0035076E" w:rsidRDefault="0035076E" w:rsidP="0035076E">
      <w:pPr>
        <w:pStyle w:val="ListBullet"/>
        <w:rPr>
          <w:lang w:eastAsia="ja-JP"/>
        </w:rPr>
      </w:pPr>
      <w:r>
        <w:rPr>
          <w:lang w:eastAsia="ja-JP"/>
        </w:rPr>
        <w:t>Information management activities include data management, information and records management, and information sharing and collaboration.</w:t>
      </w:r>
    </w:p>
    <w:p w14:paraId="441F1F65" w14:textId="001CA908" w:rsidR="0035076E" w:rsidRDefault="0035076E" w:rsidP="0035076E">
      <w:pPr>
        <w:pStyle w:val="Heading4"/>
        <w:numPr>
          <w:ilvl w:val="0"/>
          <w:numId w:val="0"/>
        </w:numPr>
        <w:ind w:left="964" w:hanging="964"/>
        <w:rPr>
          <w:lang w:eastAsia="ja-JP"/>
        </w:rPr>
      </w:pPr>
      <w:r w:rsidRPr="0035076E">
        <w:rPr>
          <w:lang w:eastAsia="ja-JP"/>
        </w:rPr>
        <w:t>Business systems administration</w:t>
      </w:r>
    </w:p>
    <w:p w14:paraId="668D4A7B" w14:textId="0D491E9E" w:rsidR="0035076E" w:rsidRDefault="0035076E" w:rsidP="0035076E">
      <w:pPr>
        <w:rPr>
          <w:lang w:eastAsia="ja-JP"/>
        </w:rPr>
      </w:pPr>
      <w:r w:rsidRPr="0035076E">
        <w:rPr>
          <w:lang w:eastAsia="ja-JP"/>
        </w:rPr>
        <w:t xml:space="preserve">Includes developing, acquiring, testing, </w:t>
      </w:r>
      <w:proofErr w:type="gramStart"/>
      <w:r w:rsidRPr="0035076E">
        <w:rPr>
          <w:lang w:eastAsia="ja-JP"/>
        </w:rPr>
        <w:t>implementing</w:t>
      </w:r>
      <w:proofErr w:type="gramEnd"/>
      <w:r w:rsidRPr="0035076E">
        <w:rPr>
          <w:lang w:eastAsia="ja-JP"/>
        </w:rPr>
        <w:t xml:space="preserve"> and supporting applications and business systems. It encompasses technical support and maintenance of all business systems including information and communication technology.</w:t>
      </w:r>
    </w:p>
    <w:p w14:paraId="277FC790" w14:textId="77777777" w:rsidR="0035076E" w:rsidRDefault="0035076E" w:rsidP="0035076E">
      <w:pPr>
        <w:pStyle w:val="Heading4"/>
        <w:numPr>
          <w:ilvl w:val="0"/>
          <w:numId w:val="0"/>
        </w:numPr>
        <w:ind w:left="964" w:hanging="964"/>
        <w:rPr>
          <w:lang w:eastAsia="ja-JP"/>
        </w:rPr>
      </w:pPr>
      <w:r>
        <w:rPr>
          <w:lang w:eastAsia="ja-JP"/>
        </w:rPr>
        <w:t>Stakeholder engagement</w:t>
      </w:r>
    </w:p>
    <w:p w14:paraId="6C179CE7" w14:textId="77777777" w:rsidR="0035076E" w:rsidRDefault="0035076E" w:rsidP="0035076E">
      <w:pPr>
        <w:rPr>
          <w:lang w:eastAsia="ja-JP"/>
        </w:rPr>
      </w:pPr>
      <w:r>
        <w:rPr>
          <w:lang w:eastAsia="ja-JP"/>
        </w:rPr>
        <w:t>Involves proactive engagement with any person, business, or organisation including any associated travel. This includes, engaging with peak industry bodies, secretariat support and attendance at industry consultative committee meetings, consultation on new standards and requirements, publishing website content and other information.</w:t>
      </w:r>
    </w:p>
    <w:p w14:paraId="60EB2F98" w14:textId="77777777" w:rsidR="0035076E" w:rsidRDefault="0035076E" w:rsidP="0035076E">
      <w:pPr>
        <w:pStyle w:val="Heading4"/>
        <w:numPr>
          <w:ilvl w:val="0"/>
          <w:numId w:val="0"/>
        </w:numPr>
        <w:ind w:left="964" w:hanging="964"/>
        <w:rPr>
          <w:lang w:eastAsia="ja-JP"/>
        </w:rPr>
      </w:pPr>
      <w:r>
        <w:rPr>
          <w:lang w:eastAsia="ja-JP"/>
        </w:rPr>
        <w:t>Policy and instructional material</w:t>
      </w:r>
    </w:p>
    <w:p w14:paraId="398DC6CA" w14:textId="12E0BC11" w:rsidR="0035076E" w:rsidRDefault="0035076E" w:rsidP="0035076E">
      <w:pPr>
        <w:rPr>
          <w:lang w:eastAsia="ja-JP"/>
        </w:rPr>
      </w:pPr>
      <w:r>
        <w:rPr>
          <w:lang w:eastAsia="ja-JP"/>
        </w:rPr>
        <w:t xml:space="preserve">Includes </w:t>
      </w:r>
      <w:bookmarkStart w:id="92" w:name="_Hlk78193042"/>
      <w:r>
        <w:rPr>
          <w:lang w:eastAsia="ja-JP"/>
        </w:rPr>
        <w:t xml:space="preserve">developing, </w:t>
      </w:r>
      <w:proofErr w:type="gramStart"/>
      <w:r>
        <w:rPr>
          <w:lang w:eastAsia="ja-JP"/>
        </w:rPr>
        <w:t>maintaining</w:t>
      </w:r>
      <w:proofErr w:type="gramEnd"/>
      <w:r>
        <w:rPr>
          <w:lang w:eastAsia="ja-JP"/>
        </w:rPr>
        <w:t xml:space="preserve"> and communicating our policy and instructional material</w:t>
      </w:r>
      <w:bookmarkEnd w:id="92"/>
      <w:r>
        <w:rPr>
          <w:lang w:eastAsia="ja-JP"/>
        </w:rPr>
        <w:t xml:space="preserve">, such as operational and corporate policies, scientific advice, guidelines and work instructions, and associated training development and delivery. Examples include developing or revising policy, processes and </w:t>
      </w:r>
      <w:r w:rsidR="001962A1">
        <w:rPr>
          <w:lang w:eastAsia="ja-JP"/>
        </w:rPr>
        <w:t xml:space="preserve">developing new </w:t>
      </w:r>
      <w:r>
        <w:rPr>
          <w:lang w:eastAsia="ja-JP"/>
        </w:rPr>
        <w:t>instructional material.</w:t>
      </w:r>
    </w:p>
    <w:p w14:paraId="0F1014CB" w14:textId="77777777" w:rsidR="0035076E" w:rsidRDefault="0035076E" w:rsidP="0035076E">
      <w:pPr>
        <w:pStyle w:val="Heading4"/>
        <w:numPr>
          <w:ilvl w:val="0"/>
          <w:numId w:val="0"/>
        </w:numPr>
        <w:ind w:left="964" w:hanging="964"/>
        <w:rPr>
          <w:lang w:eastAsia="ja-JP"/>
        </w:rPr>
      </w:pPr>
      <w:r>
        <w:rPr>
          <w:lang w:eastAsia="ja-JP"/>
        </w:rPr>
        <w:t>Business improvement</w:t>
      </w:r>
    </w:p>
    <w:p w14:paraId="49285988" w14:textId="7F80CA95" w:rsidR="0035076E" w:rsidRDefault="0035076E" w:rsidP="0035076E">
      <w:pPr>
        <w:rPr>
          <w:lang w:eastAsia="ja-JP"/>
        </w:rPr>
      </w:pPr>
      <w:r>
        <w:rPr>
          <w:lang w:eastAsia="ja-JP"/>
        </w:rPr>
        <w:t>Includes assessment, monitoring and development of initiatives to improve performance. Examples include adjustments to improve program and service delivery, business performance reports against key performance indicators and similar activities.</w:t>
      </w:r>
    </w:p>
    <w:p w14:paraId="1644D61E" w14:textId="3395689A" w:rsidR="0035076E" w:rsidRDefault="0035076E" w:rsidP="0035076E">
      <w:pPr>
        <w:pStyle w:val="Heading3"/>
        <w:numPr>
          <w:ilvl w:val="0"/>
          <w:numId w:val="0"/>
        </w:numPr>
        <w:ind w:left="964" w:hanging="964"/>
        <w:rPr>
          <w:lang w:eastAsia="ja-JP"/>
        </w:rPr>
      </w:pPr>
      <w:bookmarkStart w:id="93" w:name="_Toc119313409"/>
      <w:r>
        <w:rPr>
          <w:lang w:eastAsia="ja-JP"/>
        </w:rPr>
        <w:lastRenderedPageBreak/>
        <w:t>Assurance activities (</w:t>
      </w:r>
      <w:r w:rsidR="00043DC4">
        <w:rPr>
          <w:lang w:eastAsia="ja-JP"/>
        </w:rPr>
        <w:t>c</w:t>
      </w:r>
      <w:r>
        <w:rPr>
          <w:lang w:eastAsia="ja-JP"/>
        </w:rPr>
        <w:t>harge)</w:t>
      </w:r>
      <w:bookmarkEnd w:id="93"/>
    </w:p>
    <w:p w14:paraId="69D70534" w14:textId="77777777" w:rsidR="0035076E" w:rsidRDefault="0035076E" w:rsidP="0035076E">
      <w:pPr>
        <w:pStyle w:val="Heading4"/>
        <w:numPr>
          <w:ilvl w:val="0"/>
          <w:numId w:val="0"/>
        </w:numPr>
        <w:ind w:left="964" w:hanging="964"/>
        <w:rPr>
          <w:lang w:eastAsia="ja-JP"/>
        </w:rPr>
      </w:pPr>
      <w:r>
        <w:rPr>
          <w:lang w:eastAsia="ja-JP"/>
        </w:rPr>
        <w:t>Risk management</w:t>
      </w:r>
    </w:p>
    <w:p w14:paraId="78EF8097" w14:textId="77777777" w:rsidR="0035076E" w:rsidRDefault="0035076E" w:rsidP="0035076E">
      <w:pPr>
        <w:rPr>
          <w:lang w:eastAsia="ja-JP"/>
        </w:rPr>
      </w:pPr>
      <w:r>
        <w:rPr>
          <w:lang w:eastAsia="ja-JP"/>
        </w:rPr>
        <w:t xml:space="preserve">Involves assessing and managing the risks posed to Australia’s biosecurity and imported food systems. This includes communicating results of risk analysis, modelling and forecasting to operational areas and the collection, receipt and use of data, </w:t>
      </w:r>
      <w:proofErr w:type="gramStart"/>
      <w:r>
        <w:rPr>
          <w:lang w:eastAsia="ja-JP"/>
        </w:rPr>
        <w:t>information</w:t>
      </w:r>
      <w:proofErr w:type="gramEnd"/>
      <w:r>
        <w:rPr>
          <w:lang w:eastAsia="ja-JP"/>
        </w:rPr>
        <w:t xml:space="preserve"> and intelligence to meet our compliance objectives. This work also includes any associated travel and client assistance work, such as assessment of risks associated with cargo, vessels, plants, animals, food, biological and genetic material.</w:t>
      </w:r>
    </w:p>
    <w:p w14:paraId="172525DB" w14:textId="77777777" w:rsidR="0035076E" w:rsidRDefault="0035076E" w:rsidP="0035076E">
      <w:pPr>
        <w:pStyle w:val="Heading4"/>
        <w:numPr>
          <w:ilvl w:val="0"/>
          <w:numId w:val="0"/>
        </w:numPr>
        <w:ind w:left="964" w:hanging="964"/>
        <w:rPr>
          <w:lang w:eastAsia="ja-JP"/>
        </w:rPr>
      </w:pPr>
      <w:r>
        <w:rPr>
          <w:lang w:eastAsia="ja-JP"/>
        </w:rPr>
        <w:t>Verification</w:t>
      </w:r>
    </w:p>
    <w:p w14:paraId="072A05EC" w14:textId="77777777" w:rsidR="0035076E" w:rsidRDefault="0035076E" w:rsidP="0035076E">
      <w:pPr>
        <w:rPr>
          <w:lang w:eastAsia="ja-JP"/>
        </w:rPr>
      </w:pPr>
      <w:r>
        <w:rPr>
          <w:lang w:eastAsia="ja-JP"/>
        </w:rPr>
        <w:t>Includes activities that provide our executive and stakeholders with confidence that our systems and processes are operating in accordance with their intended design and associated documentation and managing the identified risk. For example, internal quality assurance systems and verification activities to ensure officers are following procedures, processes or instructional material and are making appropriate decisions.</w:t>
      </w:r>
    </w:p>
    <w:p w14:paraId="7231ED86" w14:textId="77777777" w:rsidR="0035076E" w:rsidRDefault="0035076E" w:rsidP="0035076E">
      <w:pPr>
        <w:pStyle w:val="Heading4"/>
        <w:numPr>
          <w:ilvl w:val="0"/>
          <w:numId w:val="0"/>
        </w:numPr>
        <w:ind w:left="964" w:hanging="964"/>
        <w:rPr>
          <w:lang w:eastAsia="ja-JP"/>
        </w:rPr>
      </w:pPr>
      <w:r>
        <w:rPr>
          <w:lang w:eastAsia="ja-JP"/>
        </w:rPr>
        <w:t>Surveillance</w:t>
      </w:r>
    </w:p>
    <w:p w14:paraId="00720FC4" w14:textId="77777777" w:rsidR="0035076E" w:rsidRDefault="0035076E" w:rsidP="0035076E">
      <w:pPr>
        <w:rPr>
          <w:lang w:eastAsia="ja-JP"/>
        </w:rPr>
      </w:pPr>
      <w:r>
        <w:rPr>
          <w:lang w:eastAsia="ja-JP"/>
        </w:rPr>
        <w:t>Includes formal and informal monitoring to detect changes in Australia’s pest or disease status, or the presence of food safety concerns which may affect imports and onshore production. Surveillance differs from an inspection as it is not conducted for a specific client.</w:t>
      </w:r>
    </w:p>
    <w:p w14:paraId="32D37CD7" w14:textId="77777777" w:rsidR="0035076E" w:rsidRDefault="0035076E" w:rsidP="0035076E">
      <w:pPr>
        <w:rPr>
          <w:lang w:eastAsia="ja-JP"/>
        </w:rPr>
      </w:pPr>
      <w:r>
        <w:rPr>
          <w:lang w:eastAsia="ja-JP"/>
        </w:rPr>
        <w:t xml:space="preserve">It includes all pre and post work, </w:t>
      </w:r>
      <w:proofErr w:type="gramStart"/>
      <w:r>
        <w:rPr>
          <w:lang w:eastAsia="ja-JP"/>
        </w:rPr>
        <w:t>travel</w:t>
      </w:r>
      <w:proofErr w:type="gramEnd"/>
      <w:r>
        <w:rPr>
          <w:lang w:eastAsia="ja-JP"/>
        </w:rPr>
        <w:t xml:space="preserve"> and client assistance in relation to surveillance. Examples include deploying detector dogs, wharf surveillance, vector monitoring at proclaimed ports, new car surveillance, break bulk surveillance, monitoring the entry of exotic pests, weeds and disease across passenger and cargo pathways, monitoring of animal welfare issues and monitoring for microbiological or chemical hazards in food.</w:t>
      </w:r>
    </w:p>
    <w:p w14:paraId="76690524" w14:textId="394E68F1" w:rsidR="0035076E" w:rsidRDefault="0035076E" w:rsidP="0035076E">
      <w:pPr>
        <w:pStyle w:val="Heading3"/>
        <w:numPr>
          <w:ilvl w:val="0"/>
          <w:numId w:val="0"/>
        </w:numPr>
        <w:ind w:left="964" w:hanging="964"/>
        <w:rPr>
          <w:lang w:eastAsia="ja-JP"/>
        </w:rPr>
      </w:pPr>
      <w:bookmarkStart w:id="94" w:name="_Toc119313410"/>
      <w:r>
        <w:rPr>
          <w:lang w:eastAsia="ja-JP"/>
        </w:rPr>
        <w:t>Incident management activities (</w:t>
      </w:r>
      <w:r w:rsidR="00043DC4">
        <w:rPr>
          <w:lang w:eastAsia="ja-JP"/>
        </w:rPr>
        <w:t>c</w:t>
      </w:r>
      <w:r>
        <w:rPr>
          <w:lang w:eastAsia="ja-JP"/>
        </w:rPr>
        <w:t>harge)</w:t>
      </w:r>
      <w:bookmarkEnd w:id="94"/>
    </w:p>
    <w:p w14:paraId="35F734E5" w14:textId="77777777" w:rsidR="0035076E" w:rsidRDefault="0035076E" w:rsidP="0035076E">
      <w:pPr>
        <w:pStyle w:val="Heading4"/>
        <w:numPr>
          <w:ilvl w:val="0"/>
          <w:numId w:val="0"/>
        </w:numPr>
        <w:ind w:left="964" w:hanging="964"/>
        <w:rPr>
          <w:lang w:eastAsia="ja-JP"/>
        </w:rPr>
      </w:pPr>
      <w:r>
        <w:rPr>
          <w:lang w:eastAsia="ja-JP"/>
        </w:rPr>
        <w:t>Incident management</w:t>
      </w:r>
    </w:p>
    <w:p w14:paraId="67B50C55" w14:textId="7425EB05" w:rsidR="0035076E" w:rsidRDefault="0035076E" w:rsidP="0035076E">
      <w:pPr>
        <w:rPr>
          <w:lang w:eastAsia="ja-JP"/>
        </w:rPr>
      </w:pPr>
      <w:r>
        <w:rPr>
          <w:lang w:eastAsia="ja-JP"/>
        </w:rPr>
        <w:t xml:space="preserve">Includes the coordination and management of any incident including post-border detections and biosecurity and imported food incidents. This includes all associated pre and post work, </w:t>
      </w:r>
      <w:proofErr w:type="gramStart"/>
      <w:r>
        <w:rPr>
          <w:lang w:eastAsia="ja-JP"/>
        </w:rPr>
        <w:t>travel</w:t>
      </w:r>
      <w:proofErr w:type="gramEnd"/>
      <w:r>
        <w:rPr>
          <w:lang w:eastAsia="ja-JP"/>
        </w:rPr>
        <w:t xml:space="preserve"> and client assistance in relation to an incident. It excludes cost-sharing for emergency responses under the formal national disease and pest response arrangements.</w:t>
      </w:r>
    </w:p>
    <w:p w14:paraId="27A6FC3C" w14:textId="7AF2CF92" w:rsidR="0035076E" w:rsidRDefault="0035076E" w:rsidP="0035076E">
      <w:pPr>
        <w:pStyle w:val="Heading4"/>
        <w:numPr>
          <w:ilvl w:val="0"/>
          <w:numId w:val="0"/>
        </w:numPr>
        <w:ind w:left="964" w:hanging="964"/>
        <w:rPr>
          <w:lang w:eastAsia="ja-JP"/>
        </w:rPr>
      </w:pPr>
      <w:r>
        <w:rPr>
          <w:lang w:eastAsia="ja-JP"/>
        </w:rPr>
        <w:t xml:space="preserve">Investigation </w:t>
      </w:r>
      <w:r w:rsidR="00043DC4">
        <w:rPr>
          <w:lang w:eastAsia="ja-JP"/>
        </w:rPr>
        <w:t>s</w:t>
      </w:r>
      <w:r>
        <w:rPr>
          <w:lang w:eastAsia="ja-JP"/>
        </w:rPr>
        <w:t>upport</w:t>
      </w:r>
    </w:p>
    <w:p w14:paraId="4C275E17" w14:textId="7404B879" w:rsidR="0035076E" w:rsidRDefault="0035076E" w:rsidP="0035076E">
      <w:pPr>
        <w:rPr>
          <w:lang w:eastAsia="ja-JP"/>
        </w:rPr>
      </w:pPr>
      <w:r>
        <w:rPr>
          <w:lang w:eastAsia="ja-JP"/>
        </w:rPr>
        <w:t>Involves providing support for enforcement activities relating to an alleged breach of portfolio legislation,</w:t>
      </w:r>
      <w:r w:rsidR="00BD6580">
        <w:rPr>
          <w:lang w:eastAsia="ja-JP"/>
        </w:rPr>
        <w:t xml:space="preserve"> </w:t>
      </w:r>
      <w:r>
        <w:rPr>
          <w:lang w:eastAsia="ja-JP"/>
        </w:rPr>
        <w:t>including any related client assistance and travel. It does not include the work of the enforcement officers. Examples of investigation support include data extraction and analysis to support an investigation.</w:t>
      </w:r>
    </w:p>
    <w:p w14:paraId="1D517F76" w14:textId="77777777" w:rsidR="0035076E" w:rsidRDefault="0035076E" w:rsidP="0035076E">
      <w:pPr>
        <w:pStyle w:val="Heading4"/>
        <w:numPr>
          <w:ilvl w:val="0"/>
          <w:numId w:val="0"/>
        </w:numPr>
        <w:ind w:left="964" w:hanging="964"/>
        <w:rPr>
          <w:lang w:eastAsia="ja-JP"/>
        </w:rPr>
      </w:pPr>
      <w:r>
        <w:rPr>
          <w:lang w:eastAsia="ja-JP"/>
        </w:rPr>
        <w:t>Corrective action</w:t>
      </w:r>
    </w:p>
    <w:p w14:paraId="5A9382F2" w14:textId="214403CA" w:rsidR="0035076E" w:rsidRDefault="0035076E" w:rsidP="0035076E">
      <w:pPr>
        <w:rPr>
          <w:lang w:eastAsia="ja-JP"/>
        </w:rPr>
      </w:pPr>
      <w:r>
        <w:rPr>
          <w:lang w:eastAsia="ja-JP"/>
        </w:rPr>
        <w:t xml:space="preserve">Includes actions taken in response to non-compliance </w:t>
      </w:r>
      <w:r w:rsidR="00561788">
        <w:rPr>
          <w:lang w:eastAsia="ja-JP"/>
        </w:rPr>
        <w:t xml:space="preserve">with </w:t>
      </w:r>
      <w:r>
        <w:rPr>
          <w:lang w:eastAsia="ja-JP"/>
        </w:rPr>
        <w:t>or contravention of legislation or procedures that are managed without a formal investigation by an Enforcement officer. Corrective action activities include advice and support to operational staff and clients on the management of non-compliance and the development of options to effectively manage the risk.</w:t>
      </w:r>
    </w:p>
    <w:p w14:paraId="681356C7" w14:textId="50121477" w:rsidR="0035076E" w:rsidRDefault="0035076E" w:rsidP="0035076E">
      <w:pPr>
        <w:pStyle w:val="Heading3"/>
        <w:numPr>
          <w:ilvl w:val="0"/>
          <w:numId w:val="0"/>
        </w:numPr>
        <w:ind w:left="964" w:hanging="964"/>
        <w:rPr>
          <w:lang w:eastAsia="ja-JP"/>
        </w:rPr>
      </w:pPr>
      <w:bookmarkStart w:id="95" w:name="_Toc119313411"/>
      <w:r>
        <w:rPr>
          <w:lang w:eastAsia="ja-JP"/>
        </w:rPr>
        <w:lastRenderedPageBreak/>
        <w:t>Intervention activities (</w:t>
      </w:r>
      <w:r w:rsidR="00043DC4">
        <w:rPr>
          <w:lang w:eastAsia="ja-JP"/>
        </w:rPr>
        <w:t>f</w:t>
      </w:r>
      <w:r>
        <w:rPr>
          <w:lang w:eastAsia="ja-JP"/>
        </w:rPr>
        <w:t>ee)</w:t>
      </w:r>
      <w:bookmarkEnd w:id="95"/>
    </w:p>
    <w:p w14:paraId="48F4FA77" w14:textId="77777777" w:rsidR="0035076E" w:rsidRDefault="0035076E" w:rsidP="0035076E">
      <w:pPr>
        <w:pStyle w:val="Heading4"/>
        <w:numPr>
          <w:ilvl w:val="0"/>
          <w:numId w:val="0"/>
        </w:numPr>
        <w:ind w:left="964" w:hanging="964"/>
        <w:rPr>
          <w:lang w:eastAsia="ja-JP"/>
        </w:rPr>
      </w:pPr>
      <w:r>
        <w:rPr>
          <w:lang w:eastAsia="ja-JP"/>
        </w:rPr>
        <w:t>Assessment</w:t>
      </w:r>
    </w:p>
    <w:p w14:paraId="79398FD4" w14:textId="77777777" w:rsidR="0035076E" w:rsidRDefault="0035076E" w:rsidP="0035076E">
      <w:pPr>
        <w:rPr>
          <w:lang w:eastAsia="ja-JP"/>
        </w:rPr>
      </w:pPr>
      <w:r>
        <w:rPr>
          <w:lang w:eastAsia="ja-JP"/>
        </w:rPr>
        <w:t>Involves assessing information to determine if it meets the department’s requirements. This includes the assessment of import-related documentation for cargo, vessels, plants, animals, food, biological and genetic material, including administration of applications.</w:t>
      </w:r>
    </w:p>
    <w:p w14:paraId="304FA7BC" w14:textId="77777777" w:rsidR="0035076E" w:rsidRPr="0035076E" w:rsidRDefault="0035076E" w:rsidP="0035076E">
      <w:pPr>
        <w:pStyle w:val="Heading4"/>
        <w:numPr>
          <w:ilvl w:val="0"/>
          <w:numId w:val="0"/>
        </w:numPr>
        <w:ind w:left="964" w:hanging="964"/>
      </w:pPr>
      <w:r w:rsidRPr="0035076E">
        <w:t>Issue approvals and certification</w:t>
      </w:r>
    </w:p>
    <w:p w14:paraId="7AE2AA8A" w14:textId="77777777" w:rsidR="0035076E" w:rsidRDefault="0035076E" w:rsidP="0035076E">
      <w:pPr>
        <w:rPr>
          <w:lang w:eastAsia="ja-JP"/>
        </w:rPr>
      </w:pPr>
      <w:r>
        <w:rPr>
          <w:lang w:eastAsia="ja-JP"/>
        </w:rPr>
        <w:t>Includes issuing of a decision in relation to an assessment for cargo, vessels, plants, animals, food, biological and genetic material. This includes the work from the end of the assessment period to the completion of the decision-notification process.</w:t>
      </w:r>
    </w:p>
    <w:p w14:paraId="64B568C4" w14:textId="77777777" w:rsidR="0035076E" w:rsidRDefault="0035076E" w:rsidP="0035076E">
      <w:pPr>
        <w:pStyle w:val="Heading4"/>
        <w:numPr>
          <w:ilvl w:val="0"/>
          <w:numId w:val="0"/>
        </w:numPr>
        <w:ind w:left="964" w:hanging="964"/>
        <w:rPr>
          <w:lang w:eastAsia="ja-JP"/>
        </w:rPr>
      </w:pPr>
      <w:r>
        <w:rPr>
          <w:lang w:eastAsia="ja-JP"/>
        </w:rPr>
        <w:t>Inspection</w:t>
      </w:r>
    </w:p>
    <w:p w14:paraId="1E811221" w14:textId="77777777" w:rsidR="0035076E" w:rsidRDefault="0035076E" w:rsidP="0035076E">
      <w:pPr>
        <w:rPr>
          <w:lang w:eastAsia="ja-JP"/>
        </w:rPr>
      </w:pPr>
      <w:r>
        <w:rPr>
          <w:lang w:eastAsia="ja-JP"/>
        </w:rPr>
        <w:t>Includes the physical examination and supervision of a physical examination, of cargo, vessels, plants, animals, food, biological and genetic material, to determine compliance with biosecurity and food safety requirements. Inspections also include activities related to post-quarantine detections of biosecurity-risk goods.</w:t>
      </w:r>
    </w:p>
    <w:p w14:paraId="58A1372E" w14:textId="77777777" w:rsidR="0035076E" w:rsidRDefault="0035076E" w:rsidP="0035076E">
      <w:pPr>
        <w:pStyle w:val="Heading4"/>
        <w:numPr>
          <w:ilvl w:val="0"/>
          <w:numId w:val="0"/>
        </w:numPr>
        <w:ind w:left="964" w:hanging="964"/>
        <w:rPr>
          <w:lang w:eastAsia="ja-JP"/>
        </w:rPr>
      </w:pPr>
      <w:r>
        <w:rPr>
          <w:lang w:eastAsia="ja-JP"/>
        </w:rPr>
        <w:t>Treatments</w:t>
      </w:r>
    </w:p>
    <w:p w14:paraId="3BCECC95" w14:textId="77777777" w:rsidR="0035076E" w:rsidRDefault="0035076E" w:rsidP="0035076E">
      <w:pPr>
        <w:rPr>
          <w:lang w:eastAsia="ja-JP"/>
        </w:rPr>
      </w:pPr>
      <w:r>
        <w:rPr>
          <w:lang w:eastAsia="ja-JP"/>
        </w:rPr>
        <w:t xml:space="preserve">Includes the physical treatment of cargo, vessels, plants, animals, food, biological and genetic material, other </w:t>
      </w:r>
      <w:proofErr w:type="gramStart"/>
      <w:r>
        <w:rPr>
          <w:lang w:eastAsia="ja-JP"/>
        </w:rPr>
        <w:t>conveyances</w:t>
      </w:r>
      <w:proofErr w:type="gramEnd"/>
      <w:r>
        <w:rPr>
          <w:lang w:eastAsia="ja-JP"/>
        </w:rPr>
        <w:t xml:space="preserve"> or premises, to prevent an adverse biosecurity outcome from occurring.</w:t>
      </w:r>
    </w:p>
    <w:p w14:paraId="078B470D" w14:textId="77777777" w:rsidR="0035076E" w:rsidRDefault="0035076E" w:rsidP="0035076E">
      <w:pPr>
        <w:pStyle w:val="Heading4"/>
        <w:numPr>
          <w:ilvl w:val="0"/>
          <w:numId w:val="0"/>
        </w:numPr>
        <w:ind w:left="964" w:hanging="964"/>
        <w:rPr>
          <w:lang w:eastAsia="ja-JP"/>
        </w:rPr>
      </w:pPr>
      <w:r>
        <w:rPr>
          <w:lang w:eastAsia="ja-JP"/>
        </w:rPr>
        <w:t>Husbandry</w:t>
      </w:r>
    </w:p>
    <w:p w14:paraId="053165D0" w14:textId="77777777" w:rsidR="0035076E" w:rsidRDefault="0035076E" w:rsidP="0035076E">
      <w:pPr>
        <w:rPr>
          <w:lang w:eastAsia="ja-JP"/>
        </w:rPr>
      </w:pPr>
      <w:r>
        <w:rPr>
          <w:lang w:eastAsia="ja-JP"/>
        </w:rPr>
        <w:t xml:space="preserve">Includes activities relating to the care of plants and animals that we are responsible for, including transport of plants and animals, housing, daily monitoring, feeding, cleaning of facilities, administering of medication, </w:t>
      </w:r>
      <w:proofErr w:type="gramStart"/>
      <w:r>
        <w:rPr>
          <w:lang w:eastAsia="ja-JP"/>
        </w:rPr>
        <w:t>bookings</w:t>
      </w:r>
      <w:proofErr w:type="gramEnd"/>
      <w:r>
        <w:rPr>
          <w:lang w:eastAsia="ja-JP"/>
        </w:rPr>
        <w:t xml:space="preserve"> and client assistance.</w:t>
      </w:r>
    </w:p>
    <w:p w14:paraId="531B96DB" w14:textId="77777777" w:rsidR="0035076E" w:rsidRDefault="0035076E" w:rsidP="0035076E">
      <w:pPr>
        <w:pStyle w:val="Heading4"/>
        <w:numPr>
          <w:ilvl w:val="0"/>
          <w:numId w:val="0"/>
        </w:numPr>
        <w:ind w:left="964" w:hanging="964"/>
        <w:rPr>
          <w:lang w:eastAsia="ja-JP"/>
        </w:rPr>
      </w:pPr>
      <w:r>
        <w:rPr>
          <w:lang w:eastAsia="ja-JP"/>
        </w:rPr>
        <w:t>Audit</w:t>
      </w:r>
    </w:p>
    <w:p w14:paraId="0AE8AA59" w14:textId="56539B14" w:rsidR="0035076E" w:rsidRPr="0035076E" w:rsidRDefault="0035076E" w:rsidP="0035076E">
      <w:pPr>
        <w:rPr>
          <w:lang w:eastAsia="ja-JP"/>
        </w:rPr>
      </w:pPr>
      <w:r>
        <w:rPr>
          <w:lang w:eastAsia="ja-JP"/>
        </w:rPr>
        <w:t>Includes the systematic and functionally independent examination of industry systems and processes to determine whether activities and related results comply with legislative or documented requirements. This includes desktop audits,</w:t>
      </w:r>
      <w:r w:rsidR="00117ED7">
        <w:rPr>
          <w:lang w:eastAsia="ja-JP"/>
        </w:rPr>
        <w:t xml:space="preserve"> remote audits,</w:t>
      </w:r>
      <w:r>
        <w:rPr>
          <w:lang w:eastAsia="ja-JP"/>
        </w:rPr>
        <w:t xml:space="preserve"> site audits (including</w:t>
      </w:r>
      <w:r w:rsidR="00BD6580">
        <w:rPr>
          <w:lang w:eastAsia="ja-JP"/>
        </w:rPr>
        <w:t> </w:t>
      </w:r>
      <w:r>
        <w:rPr>
          <w:lang w:eastAsia="ja-JP"/>
        </w:rPr>
        <w:t>travel), reviews of standard operating procedures for new and existing approved arrangement sites, overseas manufacturing facilities and pre-export quarantine facilities and their procedures.</w:t>
      </w:r>
    </w:p>
    <w:sectPr w:rsidR="0035076E" w:rsidRPr="0035076E" w:rsidSect="00F5611D">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19631" w14:textId="77777777" w:rsidR="00676264" w:rsidRDefault="00676264">
      <w:r>
        <w:separator/>
      </w:r>
    </w:p>
    <w:p w14:paraId="367BB257" w14:textId="77777777" w:rsidR="00676264" w:rsidRDefault="00676264"/>
    <w:p w14:paraId="42757398" w14:textId="77777777" w:rsidR="00676264" w:rsidRDefault="00676264"/>
    <w:p w14:paraId="2EE06CB4" w14:textId="77777777" w:rsidR="00676264" w:rsidRDefault="00676264"/>
  </w:endnote>
  <w:endnote w:type="continuationSeparator" w:id="0">
    <w:p w14:paraId="7417F8DF" w14:textId="77777777" w:rsidR="00676264" w:rsidRDefault="00676264">
      <w:r>
        <w:continuationSeparator/>
      </w:r>
    </w:p>
    <w:p w14:paraId="56B3688A" w14:textId="77777777" w:rsidR="00676264" w:rsidRDefault="00676264"/>
    <w:p w14:paraId="3BBE54C5" w14:textId="77777777" w:rsidR="00676264" w:rsidRDefault="00676264"/>
    <w:p w14:paraId="0FC6CCDB" w14:textId="77777777" w:rsidR="00676264" w:rsidRDefault="00676264"/>
  </w:endnote>
  <w:endnote w:type="continuationNotice" w:id="1">
    <w:p w14:paraId="18AE6071" w14:textId="77777777" w:rsidR="00676264" w:rsidRDefault="00676264">
      <w:pPr>
        <w:pStyle w:val="Footer"/>
      </w:pPr>
    </w:p>
    <w:p w14:paraId="74B69F99" w14:textId="77777777" w:rsidR="00676264" w:rsidRDefault="00676264"/>
    <w:p w14:paraId="1D15948A" w14:textId="77777777" w:rsidR="00676264" w:rsidRDefault="00676264"/>
    <w:p w14:paraId="5FF03198" w14:textId="77777777" w:rsidR="00676264" w:rsidRDefault="00676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861D" w14:textId="74A280F7" w:rsidR="002B20D1" w:rsidRDefault="002B20D1">
    <w:pPr>
      <w:pStyle w:val="Footer"/>
    </w:pPr>
    <w:r>
      <w:t xml:space="preserve">Department of Agriculture, </w:t>
    </w:r>
    <w:r w:rsidR="00822E35">
      <w:t>Fisheries and Forestry</w:t>
    </w:r>
  </w:p>
  <w:p w14:paraId="64C0D9DA" w14:textId="0302695D" w:rsidR="002B20D1" w:rsidRDefault="002B20D1">
    <w:pPr>
      <w:pStyle w:val="Footer"/>
    </w:pPr>
    <w:r>
      <w:fldChar w:fldCharType="begin"/>
    </w:r>
    <w:r>
      <w:instrText xml:space="preserve"> PAGE   \* MERGEFORMAT </w:instrText>
    </w:r>
    <w:r>
      <w:fldChar w:fldCharType="separate"/>
    </w:r>
    <w:r w:rsidR="00F56F2A">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B199D" w14:textId="77777777" w:rsidR="00676264" w:rsidRDefault="00676264">
      <w:r>
        <w:separator/>
      </w:r>
    </w:p>
    <w:p w14:paraId="7952750C" w14:textId="77777777" w:rsidR="00676264" w:rsidRDefault="00676264"/>
    <w:p w14:paraId="6B614578" w14:textId="77777777" w:rsidR="00676264" w:rsidRDefault="00676264"/>
    <w:p w14:paraId="0DB2ED08" w14:textId="77777777" w:rsidR="00676264" w:rsidRDefault="00676264"/>
  </w:footnote>
  <w:footnote w:type="continuationSeparator" w:id="0">
    <w:p w14:paraId="2B73B347" w14:textId="77777777" w:rsidR="00676264" w:rsidRDefault="00676264">
      <w:r>
        <w:continuationSeparator/>
      </w:r>
    </w:p>
    <w:p w14:paraId="10B16F81" w14:textId="77777777" w:rsidR="00676264" w:rsidRDefault="00676264"/>
    <w:p w14:paraId="020F70FF" w14:textId="77777777" w:rsidR="00676264" w:rsidRDefault="00676264"/>
    <w:p w14:paraId="256EA4E7" w14:textId="77777777" w:rsidR="00676264" w:rsidRDefault="00676264"/>
  </w:footnote>
  <w:footnote w:type="continuationNotice" w:id="1">
    <w:p w14:paraId="75B19DE6" w14:textId="77777777" w:rsidR="00676264" w:rsidRDefault="00676264">
      <w:pPr>
        <w:pStyle w:val="Footer"/>
      </w:pPr>
    </w:p>
    <w:p w14:paraId="3A037BAA" w14:textId="77777777" w:rsidR="00676264" w:rsidRDefault="00676264"/>
    <w:p w14:paraId="32ABED05" w14:textId="77777777" w:rsidR="00676264" w:rsidRDefault="00676264"/>
    <w:p w14:paraId="08B09E81" w14:textId="77777777" w:rsidR="00676264" w:rsidRDefault="006762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1EE7" w14:textId="5190E39A" w:rsidR="002B20D1" w:rsidRDefault="002B20D1">
    <w:pPr>
      <w:pStyle w:val="Header"/>
      <w:rPr>
        <w:b/>
        <w:bCs/>
        <w:color w:val="FF0000"/>
      </w:rPr>
    </w:pPr>
    <w:r w:rsidRPr="00075AA9">
      <w:t xml:space="preserve">Cost recovery implementation statement: biosecurity </w:t>
    </w:r>
    <w:r w:rsidR="00E57598">
      <w:t xml:space="preserve">(hitchhiker) </w:t>
    </w:r>
    <w:r w:rsidRPr="00075AA9">
      <w:t>202</w:t>
    </w:r>
    <w:r w:rsidR="00E57598">
      <w:t>2</w:t>
    </w:r>
    <w:r w:rsidR="009477D8">
      <w:t>–</w:t>
    </w:r>
    <w:r w:rsidR="00E57598">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9BC3" w14:textId="2BBDBA5D" w:rsidR="002B20D1" w:rsidRDefault="00822E35">
    <w:pPr>
      <w:pStyle w:val="Header"/>
      <w:jc w:val="left"/>
    </w:pPr>
    <w:r>
      <w:rPr>
        <w:noProof/>
        <w:lang w:eastAsia="en-AU"/>
      </w:rPr>
      <w:drawing>
        <wp:inline distT="0" distB="0" distL="0" distR="0" wp14:anchorId="7EB7D88E" wp14:editId="6DFBB047">
          <wp:extent cx="2542599" cy="738943"/>
          <wp:effectExtent l="0" t="0" r="0" b="4445"/>
          <wp:docPr id="3" name="Picture 3"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971A59DE"/>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30B4CC5"/>
    <w:multiLevelType w:val="hybridMultilevel"/>
    <w:tmpl w:val="C2EC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A0241B28"/>
    <w:numStyleLink w:val="List1"/>
  </w:abstractNum>
  <w:num w:numId="1" w16cid:durableId="961613884">
    <w:abstractNumId w:val="6"/>
  </w:num>
  <w:num w:numId="2" w16cid:durableId="1730298364">
    <w:abstractNumId w:val="17"/>
  </w:num>
  <w:num w:numId="3" w16cid:durableId="639963435">
    <w:abstractNumId w:val="18"/>
  </w:num>
  <w:num w:numId="4" w16cid:durableId="1127242259">
    <w:abstractNumId w:val="10"/>
  </w:num>
  <w:num w:numId="5" w16cid:durableId="970329253">
    <w:abstractNumId w:val="23"/>
  </w:num>
  <w:num w:numId="6" w16cid:durableId="648898487">
    <w:abstractNumId w:val="24"/>
  </w:num>
  <w:num w:numId="7" w16cid:durableId="860511622">
    <w:abstractNumId w:val="7"/>
  </w:num>
  <w:num w:numId="8" w16cid:durableId="991757944">
    <w:abstractNumId w:val="13"/>
  </w:num>
  <w:num w:numId="9" w16cid:durableId="143932049">
    <w:abstractNumId w:val="15"/>
  </w:num>
  <w:num w:numId="10" w16cid:durableId="1956865562">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9730170">
    <w:abstractNumId w:val="5"/>
  </w:num>
  <w:num w:numId="12" w16cid:durableId="37750015">
    <w:abstractNumId w:val="4"/>
  </w:num>
  <w:num w:numId="13" w16cid:durableId="1268004237">
    <w:abstractNumId w:val="3"/>
  </w:num>
  <w:num w:numId="14" w16cid:durableId="1057166086">
    <w:abstractNumId w:val="2"/>
  </w:num>
  <w:num w:numId="15" w16cid:durableId="202596565">
    <w:abstractNumId w:val="11"/>
  </w:num>
  <w:num w:numId="16" w16cid:durableId="1587610774">
    <w:abstractNumId w:val="21"/>
  </w:num>
  <w:num w:numId="17" w16cid:durableId="5379337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7178799">
    <w:abstractNumId w:val="25"/>
  </w:num>
  <w:num w:numId="19" w16cid:durableId="1862666981">
    <w:abstractNumId w:val="1"/>
  </w:num>
  <w:num w:numId="20" w16cid:durableId="1307664443">
    <w:abstractNumId w:val="0"/>
  </w:num>
  <w:num w:numId="21" w16cid:durableId="1442649607">
    <w:abstractNumId w:val="14"/>
  </w:num>
  <w:num w:numId="22" w16cid:durableId="267127485">
    <w:abstractNumId w:val="19"/>
  </w:num>
  <w:num w:numId="23" w16cid:durableId="76831160">
    <w:abstractNumId w:val="26"/>
  </w:num>
  <w:num w:numId="24" w16cid:durableId="1998923421">
    <w:abstractNumId w:val="12"/>
  </w:num>
  <w:num w:numId="25" w16cid:durableId="1838225213">
    <w:abstractNumId w:val="16"/>
  </w:num>
  <w:num w:numId="26" w16cid:durableId="2204105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9770337">
    <w:abstractNumId w:val="27"/>
  </w:num>
  <w:num w:numId="28" w16cid:durableId="1044327691">
    <w:abstractNumId w:val="20"/>
  </w:num>
  <w:num w:numId="29" w16cid:durableId="1175539724">
    <w:abstractNumId w:val="22"/>
  </w:num>
  <w:num w:numId="30" w16cid:durableId="973873583">
    <w:abstractNumId w:val="8"/>
  </w:num>
  <w:num w:numId="31" w16cid:durableId="4476262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050445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82686176">
    <w:abstractNumId w:val="12"/>
    <w:lvlOverride w:ilvl="0">
      <w:startOverride w:val="1"/>
    </w:lvlOverride>
  </w:num>
  <w:num w:numId="34" w16cid:durableId="814571602">
    <w:abstractNumId w:val="9"/>
  </w:num>
  <w:num w:numId="35" w16cid:durableId="8569671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3B9"/>
    <w:rsid w:val="00004F92"/>
    <w:rsid w:val="0001354B"/>
    <w:rsid w:val="00014045"/>
    <w:rsid w:val="00015786"/>
    <w:rsid w:val="0001680C"/>
    <w:rsid w:val="000230F1"/>
    <w:rsid w:val="0002360E"/>
    <w:rsid w:val="000253DB"/>
    <w:rsid w:val="00042B49"/>
    <w:rsid w:val="00043DC4"/>
    <w:rsid w:val="00044C48"/>
    <w:rsid w:val="00056AD4"/>
    <w:rsid w:val="00062AED"/>
    <w:rsid w:val="00063450"/>
    <w:rsid w:val="00075AA9"/>
    <w:rsid w:val="000815BD"/>
    <w:rsid w:val="00082DBF"/>
    <w:rsid w:val="00096438"/>
    <w:rsid w:val="00097FA8"/>
    <w:rsid w:val="000A08B1"/>
    <w:rsid w:val="000A7AAF"/>
    <w:rsid w:val="000B128E"/>
    <w:rsid w:val="000B2120"/>
    <w:rsid w:val="000B6404"/>
    <w:rsid w:val="000C2A90"/>
    <w:rsid w:val="000D65A8"/>
    <w:rsid w:val="000D79BF"/>
    <w:rsid w:val="000E1D47"/>
    <w:rsid w:val="000E5412"/>
    <w:rsid w:val="000E7FDA"/>
    <w:rsid w:val="000F0623"/>
    <w:rsid w:val="00115D06"/>
    <w:rsid w:val="00117ED7"/>
    <w:rsid w:val="00130058"/>
    <w:rsid w:val="00145A5F"/>
    <w:rsid w:val="00145D3A"/>
    <w:rsid w:val="00152DFA"/>
    <w:rsid w:val="00155500"/>
    <w:rsid w:val="00157211"/>
    <w:rsid w:val="00165300"/>
    <w:rsid w:val="001730AB"/>
    <w:rsid w:val="001765CE"/>
    <w:rsid w:val="0017699C"/>
    <w:rsid w:val="0018100E"/>
    <w:rsid w:val="00182D83"/>
    <w:rsid w:val="001849F6"/>
    <w:rsid w:val="001926AB"/>
    <w:rsid w:val="001962A1"/>
    <w:rsid w:val="001A1886"/>
    <w:rsid w:val="001A61F9"/>
    <w:rsid w:val="001A7B83"/>
    <w:rsid w:val="001B56FF"/>
    <w:rsid w:val="001D2A24"/>
    <w:rsid w:val="001D4C63"/>
    <w:rsid w:val="001D7BB6"/>
    <w:rsid w:val="001D7C78"/>
    <w:rsid w:val="001E370E"/>
    <w:rsid w:val="001F0D0A"/>
    <w:rsid w:val="001F6DBC"/>
    <w:rsid w:val="001F7DDC"/>
    <w:rsid w:val="00200670"/>
    <w:rsid w:val="00214BD8"/>
    <w:rsid w:val="0021693D"/>
    <w:rsid w:val="00222137"/>
    <w:rsid w:val="002241C3"/>
    <w:rsid w:val="002425BC"/>
    <w:rsid w:val="002441E4"/>
    <w:rsid w:val="00246FCE"/>
    <w:rsid w:val="00254E5A"/>
    <w:rsid w:val="00256D92"/>
    <w:rsid w:val="00260985"/>
    <w:rsid w:val="00260F65"/>
    <w:rsid w:val="00261B58"/>
    <w:rsid w:val="0026309F"/>
    <w:rsid w:val="00272192"/>
    <w:rsid w:val="002725DF"/>
    <w:rsid w:val="00273942"/>
    <w:rsid w:val="00281BB6"/>
    <w:rsid w:val="00284D14"/>
    <w:rsid w:val="00286307"/>
    <w:rsid w:val="00290CC8"/>
    <w:rsid w:val="002A177F"/>
    <w:rsid w:val="002A3681"/>
    <w:rsid w:val="002A4104"/>
    <w:rsid w:val="002A7AA9"/>
    <w:rsid w:val="002B20D1"/>
    <w:rsid w:val="002B32A7"/>
    <w:rsid w:val="002B49EB"/>
    <w:rsid w:val="002B5EF0"/>
    <w:rsid w:val="002C143F"/>
    <w:rsid w:val="002C3C00"/>
    <w:rsid w:val="002D5398"/>
    <w:rsid w:val="002D59BC"/>
    <w:rsid w:val="002E6363"/>
    <w:rsid w:val="002F2374"/>
    <w:rsid w:val="002F3533"/>
    <w:rsid w:val="003024BD"/>
    <w:rsid w:val="003056B9"/>
    <w:rsid w:val="00305A2E"/>
    <w:rsid w:val="00306C0D"/>
    <w:rsid w:val="00321A10"/>
    <w:rsid w:val="00324C0E"/>
    <w:rsid w:val="00324DDA"/>
    <w:rsid w:val="003345EC"/>
    <w:rsid w:val="00334A43"/>
    <w:rsid w:val="0033587A"/>
    <w:rsid w:val="00337715"/>
    <w:rsid w:val="00340706"/>
    <w:rsid w:val="0035076E"/>
    <w:rsid w:val="00355193"/>
    <w:rsid w:val="003562FE"/>
    <w:rsid w:val="003623A3"/>
    <w:rsid w:val="00362834"/>
    <w:rsid w:val="0037136A"/>
    <w:rsid w:val="003724DD"/>
    <w:rsid w:val="0037372D"/>
    <w:rsid w:val="0037601D"/>
    <w:rsid w:val="00384EA7"/>
    <w:rsid w:val="003879AF"/>
    <w:rsid w:val="0039064C"/>
    <w:rsid w:val="0039161D"/>
    <w:rsid w:val="00396822"/>
    <w:rsid w:val="00397248"/>
    <w:rsid w:val="003A1F01"/>
    <w:rsid w:val="003A30A5"/>
    <w:rsid w:val="003A509B"/>
    <w:rsid w:val="003A54FF"/>
    <w:rsid w:val="003B4D6D"/>
    <w:rsid w:val="003C1A72"/>
    <w:rsid w:val="003C2FE5"/>
    <w:rsid w:val="003C6D62"/>
    <w:rsid w:val="003D397E"/>
    <w:rsid w:val="003D3DFF"/>
    <w:rsid w:val="003D556F"/>
    <w:rsid w:val="003D74A7"/>
    <w:rsid w:val="003E0E22"/>
    <w:rsid w:val="003E289C"/>
    <w:rsid w:val="003E36B6"/>
    <w:rsid w:val="003E582E"/>
    <w:rsid w:val="003E5FDF"/>
    <w:rsid w:val="003E71FD"/>
    <w:rsid w:val="00402DAC"/>
    <w:rsid w:val="00403D98"/>
    <w:rsid w:val="0041099C"/>
    <w:rsid w:val="00410B27"/>
    <w:rsid w:val="004119A5"/>
    <w:rsid w:val="004126CB"/>
    <w:rsid w:val="00416411"/>
    <w:rsid w:val="00417E23"/>
    <w:rsid w:val="00421894"/>
    <w:rsid w:val="00425B8A"/>
    <w:rsid w:val="00426807"/>
    <w:rsid w:val="00427BBF"/>
    <w:rsid w:val="00430743"/>
    <w:rsid w:val="0043674A"/>
    <w:rsid w:val="00443D5B"/>
    <w:rsid w:val="00446964"/>
    <w:rsid w:val="004526BF"/>
    <w:rsid w:val="00460EB5"/>
    <w:rsid w:val="004832BC"/>
    <w:rsid w:val="00490DA2"/>
    <w:rsid w:val="00491E5F"/>
    <w:rsid w:val="00495B6C"/>
    <w:rsid w:val="004A2FA3"/>
    <w:rsid w:val="004B1D54"/>
    <w:rsid w:val="004E2A9E"/>
    <w:rsid w:val="004F3BB7"/>
    <w:rsid w:val="004F709D"/>
    <w:rsid w:val="005012FA"/>
    <w:rsid w:val="00501A0B"/>
    <w:rsid w:val="005043EB"/>
    <w:rsid w:val="005046EF"/>
    <w:rsid w:val="00510312"/>
    <w:rsid w:val="00510C83"/>
    <w:rsid w:val="0051230B"/>
    <w:rsid w:val="00522582"/>
    <w:rsid w:val="00522C9E"/>
    <w:rsid w:val="00524504"/>
    <w:rsid w:val="0052731F"/>
    <w:rsid w:val="00533984"/>
    <w:rsid w:val="00540815"/>
    <w:rsid w:val="00550BCA"/>
    <w:rsid w:val="00552B84"/>
    <w:rsid w:val="005543D9"/>
    <w:rsid w:val="00561788"/>
    <w:rsid w:val="00565E5F"/>
    <w:rsid w:val="005711AC"/>
    <w:rsid w:val="0057321C"/>
    <w:rsid w:val="00574097"/>
    <w:rsid w:val="0059017A"/>
    <w:rsid w:val="00593A72"/>
    <w:rsid w:val="0059705C"/>
    <w:rsid w:val="005A514F"/>
    <w:rsid w:val="005B122A"/>
    <w:rsid w:val="005B50A8"/>
    <w:rsid w:val="005C1942"/>
    <w:rsid w:val="005D6D70"/>
    <w:rsid w:val="005E05D4"/>
    <w:rsid w:val="005E25BD"/>
    <w:rsid w:val="005E2A40"/>
    <w:rsid w:val="005E4A5F"/>
    <w:rsid w:val="005E6219"/>
    <w:rsid w:val="005F46B0"/>
    <w:rsid w:val="00605381"/>
    <w:rsid w:val="006138D1"/>
    <w:rsid w:val="006237AB"/>
    <w:rsid w:val="00625FC2"/>
    <w:rsid w:val="006271FB"/>
    <w:rsid w:val="00634146"/>
    <w:rsid w:val="00635857"/>
    <w:rsid w:val="00655A86"/>
    <w:rsid w:val="00674B09"/>
    <w:rsid w:val="00676264"/>
    <w:rsid w:val="00683E64"/>
    <w:rsid w:val="0068549A"/>
    <w:rsid w:val="006900E5"/>
    <w:rsid w:val="006941CE"/>
    <w:rsid w:val="006A2234"/>
    <w:rsid w:val="006A3D0F"/>
    <w:rsid w:val="006A5038"/>
    <w:rsid w:val="006C16FF"/>
    <w:rsid w:val="006C5145"/>
    <w:rsid w:val="006C69E7"/>
    <w:rsid w:val="006D16FF"/>
    <w:rsid w:val="006D5A55"/>
    <w:rsid w:val="006E0AB5"/>
    <w:rsid w:val="006F1618"/>
    <w:rsid w:val="006F2021"/>
    <w:rsid w:val="006F61E7"/>
    <w:rsid w:val="006F65FC"/>
    <w:rsid w:val="007053C2"/>
    <w:rsid w:val="007170B6"/>
    <w:rsid w:val="00720435"/>
    <w:rsid w:val="00721502"/>
    <w:rsid w:val="00722323"/>
    <w:rsid w:val="0072257B"/>
    <w:rsid w:val="00722AF4"/>
    <w:rsid w:val="007278E7"/>
    <w:rsid w:val="00727E6F"/>
    <w:rsid w:val="00732886"/>
    <w:rsid w:val="00741283"/>
    <w:rsid w:val="00750409"/>
    <w:rsid w:val="00756F57"/>
    <w:rsid w:val="007572DD"/>
    <w:rsid w:val="00757E5A"/>
    <w:rsid w:val="007646BC"/>
    <w:rsid w:val="00764D6A"/>
    <w:rsid w:val="007659A4"/>
    <w:rsid w:val="00767BDD"/>
    <w:rsid w:val="00771740"/>
    <w:rsid w:val="00771774"/>
    <w:rsid w:val="00773056"/>
    <w:rsid w:val="007755D0"/>
    <w:rsid w:val="007836BE"/>
    <w:rsid w:val="00783CD8"/>
    <w:rsid w:val="00785793"/>
    <w:rsid w:val="00785C62"/>
    <w:rsid w:val="00787326"/>
    <w:rsid w:val="00790A4C"/>
    <w:rsid w:val="00792147"/>
    <w:rsid w:val="0079743F"/>
    <w:rsid w:val="007A18BA"/>
    <w:rsid w:val="007B13E1"/>
    <w:rsid w:val="007B24CC"/>
    <w:rsid w:val="007B5A94"/>
    <w:rsid w:val="007B6089"/>
    <w:rsid w:val="007B7F3A"/>
    <w:rsid w:val="007C1695"/>
    <w:rsid w:val="007C358A"/>
    <w:rsid w:val="007C36BC"/>
    <w:rsid w:val="007E7515"/>
    <w:rsid w:val="007F7AD5"/>
    <w:rsid w:val="0080035A"/>
    <w:rsid w:val="00801771"/>
    <w:rsid w:val="00802F22"/>
    <w:rsid w:val="008061C7"/>
    <w:rsid w:val="008069F4"/>
    <w:rsid w:val="00807763"/>
    <w:rsid w:val="00807E3C"/>
    <w:rsid w:val="00810BEB"/>
    <w:rsid w:val="00815335"/>
    <w:rsid w:val="00822E35"/>
    <w:rsid w:val="00827465"/>
    <w:rsid w:val="00830762"/>
    <w:rsid w:val="008328F8"/>
    <w:rsid w:val="008378B3"/>
    <w:rsid w:val="008447B2"/>
    <w:rsid w:val="00850BAA"/>
    <w:rsid w:val="00852B78"/>
    <w:rsid w:val="00865197"/>
    <w:rsid w:val="00870EDD"/>
    <w:rsid w:val="00876241"/>
    <w:rsid w:val="00883F40"/>
    <w:rsid w:val="00894B14"/>
    <w:rsid w:val="008A5371"/>
    <w:rsid w:val="008B152D"/>
    <w:rsid w:val="008B7543"/>
    <w:rsid w:val="008C6D26"/>
    <w:rsid w:val="008D3ACB"/>
    <w:rsid w:val="008D4AE4"/>
    <w:rsid w:val="008D619B"/>
    <w:rsid w:val="008E018B"/>
    <w:rsid w:val="008E24B1"/>
    <w:rsid w:val="008E7997"/>
    <w:rsid w:val="008F1CCD"/>
    <w:rsid w:val="008F5607"/>
    <w:rsid w:val="00902A6A"/>
    <w:rsid w:val="009064CB"/>
    <w:rsid w:val="00911A09"/>
    <w:rsid w:val="0091309C"/>
    <w:rsid w:val="00936C09"/>
    <w:rsid w:val="0094337D"/>
    <w:rsid w:val="009450AB"/>
    <w:rsid w:val="0094725E"/>
    <w:rsid w:val="009477D8"/>
    <w:rsid w:val="00955AEB"/>
    <w:rsid w:val="00957274"/>
    <w:rsid w:val="0096361E"/>
    <w:rsid w:val="00975F77"/>
    <w:rsid w:val="0097761C"/>
    <w:rsid w:val="00982356"/>
    <w:rsid w:val="0098425B"/>
    <w:rsid w:val="00993939"/>
    <w:rsid w:val="009A0FC5"/>
    <w:rsid w:val="009A51D7"/>
    <w:rsid w:val="009D0ABD"/>
    <w:rsid w:val="009D5007"/>
    <w:rsid w:val="009E1EEE"/>
    <w:rsid w:val="009E4ED1"/>
    <w:rsid w:val="009E6C1F"/>
    <w:rsid w:val="009E6CF0"/>
    <w:rsid w:val="009E6DD5"/>
    <w:rsid w:val="009F3898"/>
    <w:rsid w:val="00A00B4B"/>
    <w:rsid w:val="00A01FEB"/>
    <w:rsid w:val="00A113BA"/>
    <w:rsid w:val="00A12B1D"/>
    <w:rsid w:val="00A24C8C"/>
    <w:rsid w:val="00A265F3"/>
    <w:rsid w:val="00A26677"/>
    <w:rsid w:val="00A27A7B"/>
    <w:rsid w:val="00A4020C"/>
    <w:rsid w:val="00A4763B"/>
    <w:rsid w:val="00A50766"/>
    <w:rsid w:val="00A50829"/>
    <w:rsid w:val="00A52718"/>
    <w:rsid w:val="00A623C4"/>
    <w:rsid w:val="00A70E25"/>
    <w:rsid w:val="00A71CD3"/>
    <w:rsid w:val="00A7614E"/>
    <w:rsid w:val="00A82DE1"/>
    <w:rsid w:val="00A91FDD"/>
    <w:rsid w:val="00A960E5"/>
    <w:rsid w:val="00A97383"/>
    <w:rsid w:val="00A977E9"/>
    <w:rsid w:val="00AA112E"/>
    <w:rsid w:val="00AA4A78"/>
    <w:rsid w:val="00AA50AD"/>
    <w:rsid w:val="00AB5AFF"/>
    <w:rsid w:val="00AB7D02"/>
    <w:rsid w:val="00AC280C"/>
    <w:rsid w:val="00AC35F5"/>
    <w:rsid w:val="00AC7440"/>
    <w:rsid w:val="00AE4237"/>
    <w:rsid w:val="00AF3EF1"/>
    <w:rsid w:val="00AF672F"/>
    <w:rsid w:val="00B03A39"/>
    <w:rsid w:val="00B04D55"/>
    <w:rsid w:val="00B066A2"/>
    <w:rsid w:val="00B24117"/>
    <w:rsid w:val="00B25139"/>
    <w:rsid w:val="00B30597"/>
    <w:rsid w:val="00B338B1"/>
    <w:rsid w:val="00B3687B"/>
    <w:rsid w:val="00B436C8"/>
    <w:rsid w:val="00B50935"/>
    <w:rsid w:val="00B5099E"/>
    <w:rsid w:val="00B5740E"/>
    <w:rsid w:val="00B6177D"/>
    <w:rsid w:val="00B63B37"/>
    <w:rsid w:val="00B7183E"/>
    <w:rsid w:val="00B74C96"/>
    <w:rsid w:val="00B861B4"/>
    <w:rsid w:val="00B963DD"/>
    <w:rsid w:val="00B97E61"/>
    <w:rsid w:val="00BA1570"/>
    <w:rsid w:val="00BA3B08"/>
    <w:rsid w:val="00BA3E53"/>
    <w:rsid w:val="00BA7059"/>
    <w:rsid w:val="00BB7EE8"/>
    <w:rsid w:val="00BC1616"/>
    <w:rsid w:val="00BC2261"/>
    <w:rsid w:val="00BC6DAE"/>
    <w:rsid w:val="00BD6580"/>
    <w:rsid w:val="00BD721E"/>
    <w:rsid w:val="00BE561A"/>
    <w:rsid w:val="00BE7A3F"/>
    <w:rsid w:val="00BF11DA"/>
    <w:rsid w:val="00BF2A0B"/>
    <w:rsid w:val="00C003C5"/>
    <w:rsid w:val="00C0133D"/>
    <w:rsid w:val="00C02519"/>
    <w:rsid w:val="00C07DDE"/>
    <w:rsid w:val="00C12ACE"/>
    <w:rsid w:val="00C17F75"/>
    <w:rsid w:val="00C2013D"/>
    <w:rsid w:val="00C2077E"/>
    <w:rsid w:val="00C33358"/>
    <w:rsid w:val="00C416EC"/>
    <w:rsid w:val="00C46527"/>
    <w:rsid w:val="00C47D0E"/>
    <w:rsid w:val="00C50BC1"/>
    <w:rsid w:val="00C5328C"/>
    <w:rsid w:val="00C53979"/>
    <w:rsid w:val="00C61FB5"/>
    <w:rsid w:val="00C74592"/>
    <w:rsid w:val="00C7776C"/>
    <w:rsid w:val="00C81D9C"/>
    <w:rsid w:val="00C82ED8"/>
    <w:rsid w:val="00C84D14"/>
    <w:rsid w:val="00C85C62"/>
    <w:rsid w:val="00C922F1"/>
    <w:rsid w:val="00CA0E35"/>
    <w:rsid w:val="00CA261A"/>
    <w:rsid w:val="00CA5FCA"/>
    <w:rsid w:val="00CB3B3D"/>
    <w:rsid w:val="00CB707F"/>
    <w:rsid w:val="00CB7DF4"/>
    <w:rsid w:val="00CC5E37"/>
    <w:rsid w:val="00CD610A"/>
    <w:rsid w:val="00CD6C8B"/>
    <w:rsid w:val="00CE48EC"/>
    <w:rsid w:val="00CE6E03"/>
    <w:rsid w:val="00CF432E"/>
    <w:rsid w:val="00CF46CF"/>
    <w:rsid w:val="00CF6D91"/>
    <w:rsid w:val="00CF7163"/>
    <w:rsid w:val="00D042DD"/>
    <w:rsid w:val="00D052B1"/>
    <w:rsid w:val="00D063B3"/>
    <w:rsid w:val="00D12164"/>
    <w:rsid w:val="00D121CE"/>
    <w:rsid w:val="00D173B9"/>
    <w:rsid w:val="00D24697"/>
    <w:rsid w:val="00D25B54"/>
    <w:rsid w:val="00D32A73"/>
    <w:rsid w:val="00D34343"/>
    <w:rsid w:val="00D34BF8"/>
    <w:rsid w:val="00D44029"/>
    <w:rsid w:val="00D46711"/>
    <w:rsid w:val="00D47121"/>
    <w:rsid w:val="00D53425"/>
    <w:rsid w:val="00D6626A"/>
    <w:rsid w:val="00D67F19"/>
    <w:rsid w:val="00D800A2"/>
    <w:rsid w:val="00D82F3D"/>
    <w:rsid w:val="00D83313"/>
    <w:rsid w:val="00D8413E"/>
    <w:rsid w:val="00D900EC"/>
    <w:rsid w:val="00D91276"/>
    <w:rsid w:val="00DA49F3"/>
    <w:rsid w:val="00DA5DB5"/>
    <w:rsid w:val="00DB032B"/>
    <w:rsid w:val="00DB78DE"/>
    <w:rsid w:val="00DC627A"/>
    <w:rsid w:val="00DC7BB6"/>
    <w:rsid w:val="00DD1AF9"/>
    <w:rsid w:val="00DE2D09"/>
    <w:rsid w:val="00DE7491"/>
    <w:rsid w:val="00DF4F56"/>
    <w:rsid w:val="00E0084C"/>
    <w:rsid w:val="00E04178"/>
    <w:rsid w:val="00E105A3"/>
    <w:rsid w:val="00E1408F"/>
    <w:rsid w:val="00E14F99"/>
    <w:rsid w:val="00E20810"/>
    <w:rsid w:val="00E22AE1"/>
    <w:rsid w:val="00E25190"/>
    <w:rsid w:val="00E26EEF"/>
    <w:rsid w:val="00E2715E"/>
    <w:rsid w:val="00E4462A"/>
    <w:rsid w:val="00E44FA5"/>
    <w:rsid w:val="00E52BC3"/>
    <w:rsid w:val="00E57598"/>
    <w:rsid w:val="00E70A2F"/>
    <w:rsid w:val="00E70CDC"/>
    <w:rsid w:val="00E8443C"/>
    <w:rsid w:val="00E87598"/>
    <w:rsid w:val="00E91094"/>
    <w:rsid w:val="00E91D72"/>
    <w:rsid w:val="00E93704"/>
    <w:rsid w:val="00EA0123"/>
    <w:rsid w:val="00EA3FAB"/>
    <w:rsid w:val="00EB1FC1"/>
    <w:rsid w:val="00EB5E52"/>
    <w:rsid w:val="00EC3100"/>
    <w:rsid w:val="00EC6876"/>
    <w:rsid w:val="00ED43F1"/>
    <w:rsid w:val="00EE3B48"/>
    <w:rsid w:val="00EE401B"/>
    <w:rsid w:val="00EE56C7"/>
    <w:rsid w:val="00EF55CC"/>
    <w:rsid w:val="00EF64D2"/>
    <w:rsid w:val="00F00A34"/>
    <w:rsid w:val="00F0342D"/>
    <w:rsid w:val="00F03B98"/>
    <w:rsid w:val="00F04729"/>
    <w:rsid w:val="00F131BF"/>
    <w:rsid w:val="00F23961"/>
    <w:rsid w:val="00F3091B"/>
    <w:rsid w:val="00F355D8"/>
    <w:rsid w:val="00F41A73"/>
    <w:rsid w:val="00F44465"/>
    <w:rsid w:val="00F5611D"/>
    <w:rsid w:val="00F56F2A"/>
    <w:rsid w:val="00F66A8C"/>
    <w:rsid w:val="00F75BD4"/>
    <w:rsid w:val="00F91028"/>
    <w:rsid w:val="00F91C6C"/>
    <w:rsid w:val="00F96892"/>
    <w:rsid w:val="00FA2743"/>
    <w:rsid w:val="00FA7B51"/>
    <w:rsid w:val="00FB209A"/>
    <w:rsid w:val="00FB30D9"/>
    <w:rsid w:val="00FC019C"/>
    <w:rsid w:val="00FC1759"/>
    <w:rsid w:val="00FC2FED"/>
    <w:rsid w:val="00FD1242"/>
    <w:rsid w:val="00FD26DB"/>
    <w:rsid w:val="00FD4105"/>
    <w:rsid w:val="00FE274C"/>
    <w:rsid w:val="00FE5EDE"/>
    <w:rsid w:val="00FF0415"/>
    <w:rsid w:val="00FF24C2"/>
    <w:rsid w:val="00FF36C8"/>
    <w:rsid w:val="00FF396F"/>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EE1EF"/>
  <w15:docId w15:val="{95E51A40-74A2-484B-9E92-128EACC3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customStyle="1" w:styleId="UnresolvedMention1">
    <w:name w:val="Unresolved Mention1"/>
    <w:basedOn w:val="DefaultParagraphFont"/>
    <w:uiPriority w:val="99"/>
    <w:semiHidden/>
    <w:unhideWhenUsed/>
    <w:rsid w:val="000B128E"/>
    <w:rPr>
      <w:color w:val="605E5C"/>
      <w:shd w:val="clear" w:color="auto" w:fill="E1DFDD"/>
    </w:rPr>
  </w:style>
  <w:style w:type="paragraph" w:styleId="Revision">
    <w:name w:val="Revision"/>
    <w:hidden/>
    <w:uiPriority w:val="99"/>
    <w:semiHidden/>
    <w:rsid w:val="00A01FEB"/>
    <w:rPr>
      <w:rFonts w:eastAsiaTheme="minorHAnsi" w:cstheme="minorBidi"/>
      <w:sz w:val="22"/>
      <w:szCs w:val="22"/>
      <w:lang w:eastAsia="en-US"/>
    </w:rPr>
  </w:style>
  <w:style w:type="paragraph" w:styleId="ListParagraph">
    <w:name w:val="List Paragraph"/>
    <w:basedOn w:val="Normal"/>
    <w:uiPriority w:val="99"/>
    <w:qFormat/>
    <w:rsid w:val="00AF3EF1"/>
    <w:pPr>
      <w:ind w:left="720"/>
      <w:contextualSpacing/>
    </w:pPr>
  </w:style>
  <w:style w:type="character" w:styleId="UnresolvedMention">
    <w:name w:val="Unresolved Mention"/>
    <w:basedOn w:val="DefaultParagraphFont"/>
    <w:uiPriority w:val="99"/>
    <w:semiHidden/>
    <w:unhideWhenUsed/>
    <w:rsid w:val="00EC3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3895">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879029">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254481">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15649239">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747963">
      <w:bodyDiv w:val="1"/>
      <w:marLeft w:val="0"/>
      <w:marRight w:val="0"/>
      <w:marTop w:val="0"/>
      <w:marBottom w:val="0"/>
      <w:divBdr>
        <w:top w:val="none" w:sz="0" w:space="0" w:color="auto"/>
        <w:left w:val="none" w:sz="0" w:space="0" w:color="auto"/>
        <w:bottom w:val="none" w:sz="0" w:space="0" w:color="auto"/>
        <w:right w:val="none" w:sz="0" w:space="0" w:color="auto"/>
      </w:divBdr>
    </w:div>
    <w:div w:id="149718709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2105084">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42607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786447">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610239">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271182">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agriculture.gov.au/" TargetMode="External"/><Relationship Id="rId26" Type="http://schemas.openxmlformats.org/officeDocument/2006/relationships/hyperlink" Target="https://www.legislation.gov.au/Details/C2021C00355" TargetMode="External"/><Relationship Id="rId39" Type="http://schemas.openxmlformats.org/officeDocument/2006/relationships/hyperlink" Target="https://www.legislation.gov.au/Details/F2016C00616" TargetMode="External"/><Relationship Id="rId21" Type="http://schemas.openxmlformats.org/officeDocument/2006/relationships/header" Target="header2.xml"/><Relationship Id="rId34" Type="http://schemas.openxmlformats.org/officeDocument/2006/relationships/hyperlink" Target="https://www.legislation.gov.au/Details/C2016C00821" TargetMode="External"/><Relationship Id="rId42" Type="http://schemas.openxmlformats.org/officeDocument/2006/relationships/image" Target="media/image4.png"/><Relationship Id="rId47" Type="http://schemas.openxmlformats.org/officeDocument/2006/relationships/hyperlink" Target="https://www.finance.gov.au/government/managing-commonwealth-resources/planning-and-reporting/commonwealth-performance-framework" TargetMode="External"/><Relationship Id="rId50" Type="http://schemas.openxmlformats.org/officeDocument/2006/relationships/hyperlink" Target="https://www.awe.gov.au/about/commitment/regulator-practice"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legislation.gov.au/Details/F2019L01006" TargetMode="External"/><Relationship Id="rId11" Type="http://schemas.openxmlformats.org/officeDocument/2006/relationships/footnotes" Target="footnotes.xml"/><Relationship Id="rId24" Type="http://schemas.openxmlformats.org/officeDocument/2006/relationships/hyperlink" Target="https://www.finance.gov.au/government/managing-commonwealth-resources/managing-money-property/managing-money/australian-government-charging-framework" TargetMode="External"/><Relationship Id="rId32" Type="http://schemas.openxmlformats.org/officeDocument/2006/relationships/hyperlink" Target="https://www.legislation.gov.au/Details/C2016C00676" TargetMode="External"/><Relationship Id="rId37" Type="http://schemas.openxmlformats.org/officeDocument/2006/relationships/hyperlink" Target="https://www.legislation.gov.au/Details/F2020C00042" TargetMode="External"/><Relationship Id="rId40" Type="http://schemas.openxmlformats.org/officeDocument/2006/relationships/hyperlink" Target="https://www.legislation.gov.au/Details/F2016C00624" TargetMode="External"/><Relationship Id="rId45" Type="http://schemas.openxmlformats.org/officeDocument/2006/relationships/hyperlink" Target="https://www.agriculture.gov.au/biosecurity/partnerships/consultative-committees"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s://www.legislation.gov.au/Details/C2016C00674" TargetMode="External"/><Relationship Id="rId44" Type="http://schemas.openxmlformats.org/officeDocument/2006/relationships/image" Target="cid:image002.png@01D5A4BB.9ADCD120"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reativecommons.org/licenses/by/4.0/legalcode" TargetMode="External"/><Relationship Id="rId22" Type="http://schemas.openxmlformats.org/officeDocument/2006/relationships/hyperlink" Target="https://www.awe.gov.au/about/fees/biosecurity-cris" TargetMode="External"/><Relationship Id="rId27" Type="http://schemas.openxmlformats.org/officeDocument/2006/relationships/hyperlink" Target="https://www.legislation.gov.au/Details/C2021C00157" TargetMode="External"/><Relationship Id="rId30" Type="http://schemas.openxmlformats.org/officeDocument/2006/relationships/hyperlink" Target="https://www.legislation.gov.au/Details/C2016C00675" TargetMode="External"/><Relationship Id="rId35" Type="http://schemas.openxmlformats.org/officeDocument/2006/relationships/hyperlink" Target="https://www.legislation.gov.au/Details/C2016C00823" TargetMode="External"/><Relationship Id="rId43" Type="http://schemas.openxmlformats.org/officeDocument/2006/relationships/image" Target="media/image5.png"/><Relationship Id="rId48" Type="http://schemas.openxmlformats.org/officeDocument/2006/relationships/hyperlink" Target="https://www.awe.gov.au/about/reporting/annual-report" TargetMode="External"/><Relationship Id="rId8" Type="http://schemas.openxmlformats.org/officeDocument/2006/relationships/styles" Target="styles.xml"/><Relationship Id="rId51" Type="http://schemas.openxmlformats.org/officeDocument/2006/relationships/hyperlink" Target="https://www.awe.gov.au/about/reporting/annual-report"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awe.gov.au/about/fees/biosecurity-cris" TargetMode="External"/><Relationship Id="rId25" Type="http://schemas.openxmlformats.org/officeDocument/2006/relationships/hyperlink" Target="https://www.agriculture.gov.au/biosecurity/commonwealth-biosecurity-2030" TargetMode="External"/><Relationship Id="rId33" Type="http://schemas.openxmlformats.org/officeDocument/2006/relationships/hyperlink" Target="https://www.legislation.gov.au/Details/C2016C00819" TargetMode="External"/><Relationship Id="rId38" Type="http://schemas.openxmlformats.org/officeDocument/2006/relationships/hyperlink" Target="https://www.legislation.gov.au/Details/F2020C00043" TargetMode="External"/><Relationship Id="rId46" Type="http://schemas.openxmlformats.org/officeDocument/2006/relationships/hyperlink" Target="https://www.anao.gov.au/work/performance-audit/application-cost-recovery-principles" TargetMode="External"/><Relationship Id="rId20" Type="http://schemas.openxmlformats.org/officeDocument/2006/relationships/footer" Target="footer1.xml"/><Relationship Id="rId41" Type="http://schemas.openxmlformats.org/officeDocument/2006/relationships/hyperlink" Target="https://www.agriculture.gov.au/about/reporting/budget"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copyright@agricuture.gov.au" TargetMode="External"/><Relationship Id="rId23" Type="http://schemas.openxmlformats.org/officeDocument/2006/relationships/hyperlink" Target="https://www.awe.gov.au/about/fees/biosecurity-cris" TargetMode="External"/><Relationship Id="rId28" Type="http://schemas.openxmlformats.org/officeDocument/2006/relationships/hyperlink" Target="https://www.legislation.gov.au/Details/F2021C00745" TargetMode="External"/><Relationship Id="rId36" Type="http://schemas.openxmlformats.org/officeDocument/2006/relationships/hyperlink" Target="https://www.legislation.gov.au/Details/C2016C00817" TargetMode="External"/><Relationship Id="rId49" Type="http://schemas.openxmlformats.org/officeDocument/2006/relationships/hyperlink" Target="https://www.awe.gov.au/about/reporting/corporate-pla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Charging Policy</TermName>
          <TermId xmlns="http://schemas.microsoft.com/office/infopath/2007/PartnerControls">cbcf5b89-4aab-4c5d-ba02-041c19cdb5b1</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02f6872b-e235-47cf-a3f9-9faa89578f3b">FIN33521-1535503129-4698</_dlc_DocId>
    <_dlc_DocIdUrl xmlns="02f6872b-e235-47cf-a3f9-9faa89578f3b">
      <Url>https://f1.prdmgd.finance.gov.au/sites/50033521/_layouts/15/DocIdRedir.aspx?ID=FIN33521-1535503129-4698</Url>
      <Description>FIN33521-1535503129-4698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55A18BC903EA564FBC3C234BE06CB23D" ma:contentTypeVersion="97" ma:contentTypeDescription="Create a new document." ma:contentTypeScope="" ma:versionID="f7ac2f7c9fc20e89a37464c243ca89bf">
  <xsd:schema xmlns:xsd="http://www.w3.org/2001/XMLSchema" xmlns:xs="http://www.w3.org/2001/XMLSchema" xmlns:p="http://schemas.microsoft.com/office/2006/metadata/properties" xmlns:ns1="http://schemas.microsoft.com/sharepoint/v3" xmlns:ns2="82ff9d9b-d3fc-4aad-bc42-9949ee83b815" xmlns:ns3="02f6872b-e235-47cf-a3f9-9faa89578f3b" targetNamespace="http://schemas.microsoft.com/office/2006/metadata/properties" ma:root="true" ma:fieldsID="a76168a9f5651b1824e5482d33a3f259" ns1:_="" ns2:_="" ns3:_="">
    <xsd:import namespace="http://schemas.microsoft.com/sharepoint/v3"/>
    <xsd:import namespace="82ff9d9b-d3fc-4aad-bc42-9949ee83b815"/>
    <xsd:import namespace="02f6872b-e235-47cf-a3f9-9faa89578f3b"/>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dc46e9a-8bbf-4988-9c0d-68f5cba64a60}" ma:internalName="TaxCatchAll" ma:showField="CatchAllData" ma:web="02f6872b-e235-47cf-a3f9-9faa89578f3b">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dc46e9a-8bbf-4988-9c0d-68f5cba64a60}" ma:internalName="TaxCatchAllLabel" ma:readOnly="true" ma:showField="CatchAllDataLabel" ma:web="02f6872b-e235-47cf-a3f9-9faa89578f3b">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f6872b-e235-47cf-a3f9-9faa89578f3b"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D4792D59-5A8F-4C4A-9653-F35ED62842F5}">
  <ds:schemaRefs>
    <ds:schemaRef ds:uri="Microsoft.SharePoint.Taxonomy.ContentTypeSync"/>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purl.org/dc/elements/1.1/"/>
    <ds:schemaRef ds:uri="http://schemas.microsoft.com/office/2006/documentManagement/types"/>
    <ds:schemaRef ds:uri="82ff9d9b-d3fc-4aad-bc42-9949ee83b815"/>
    <ds:schemaRef ds:uri="02f6872b-e235-47cf-a3f9-9faa89578f3b"/>
    <ds:schemaRef ds:uri="http://schemas.microsoft.com/office/infopath/2007/PartnerControls"/>
    <ds:schemaRef ds:uri="http://schemas.microsoft.com/sharepoint/v3"/>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5C609DFF-A1A0-4812-A414-50EEEBBE8A13}">
  <ds:schemaRefs>
    <ds:schemaRef ds:uri="http://schemas.microsoft.com/sharepoint/events"/>
  </ds:schemaRefs>
</ds:datastoreItem>
</file>

<file path=customXml/itemProps5.xml><?xml version="1.0" encoding="utf-8"?>
<ds:datastoreItem xmlns:ds="http://schemas.openxmlformats.org/officeDocument/2006/customXml" ds:itemID="{893E4BC4-2F36-4819-B3EE-BFC3139CA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02f6872b-e235-47cf-a3f9-9faa89578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167CFD-5D57-439F-A7A5-6C5FDD99E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29</Pages>
  <Words>8695</Words>
  <Characters>49566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Cost recovery implementation statement: biosecurity (hitchhiker) 2022_23</vt:lpstr>
    </vt:vector>
  </TitlesOfParts>
  <Company/>
  <LinksUpToDate>false</LinksUpToDate>
  <CharactersWithSpaces>58145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 biosecurity (hitchhiker) 2022_23</dc:title>
  <dc:creator>Department of Agriculture, Fisheries and Forestry</dc:creator>
  <cp:lastModifiedBy>Nov, Amanda</cp:lastModifiedBy>
  <cp:revision>16</cp:revision>
  <cp:lastPrinted>2022-11-13T23:07:00Z</cp:lastPrinted>
  <dcterms:created xsi:type="dcterms:W3CDTF">2022-11-10T03:06:00Z</dcterms:created>
  <dcterms:modified xsi:type="dcterms:W3CDTF">2022-12-21T00:34:00Z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0x010100B321FEA60C5BA343A52BC94EC00ABC9E070055A18BC903EA564FBC3C234BE06CB23D</vt:lpwstr>
  </property>
  <property fmtid="{D5CDD505-2E9C-101B-9397-08002B2CF9AE}" pid="3" name="TaxKeyword">
    <vt:lpwstr/>
  </property>
  <property fmtid="{D5CDD505-2E9C-101B-9397-08002B2CF9AE}" pid="4" name="AbtEntity">
    <vt:lpwstr>1;#Department of Finance|fd660e8f-8f31-49bd-92a3-d31d4da31afe</vt:lpwstr>
  </property>
  <property fmtid="{D5CDD505-2E9C-101B-9397-08002B2CF9AE}" pid="5" name="OrgUnit">
    <vt:lpwstr>2;#Charging Policy|cbcf5b89-4aab-4c5d-ba02-041c19cdb5b1</vt:lpwstr>
  </property>
  <property fmtid="{D5CDD505-2E9C-101B-9397-08002B2CF9AE}" pid="6" name="InitiatingEntity">
    <vt:lpwstr>1;#Department of Finance|fd660e8f-8f31-49bd-92a3-d31d4da31afe</vt:lpwstr>
  </property>
  <property fmtid="{D5CDD505-2E9C-101B-9397-08002B2CF9AE}" pid="7" name="Function and Activity">
    <vt:lpwstr/>
  </property>
  <property fmtid="{D5CDD505-2E9C-101B-9397-08002B2CF9AE}" pid="8" name="_dlc_DocIdItemGuid">
    <vt:lpwstr>3c19051d-37c4-4544-82ed-6e1b03a95efb</vt:lpwstr>
  </property>
</Properties>
</file>