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4B6C" w14:textId="5D11B625" w:rsidR="000E455C" w:rsidRDefault="00CE6E16" w:rsidP="0013173D">
      <w:pPr>
        <w:pStyle w:val="Date"/>
        <w:spacing w:before="1440"/>
      </w:pPr>
      <w:r>
        <w:t xml:space="preserve">May </w:t>
      </w:r>
      <w:r w:rsidR="00B82095">
        <w:t>20</w:t>
      </w:r>
      <w:r w:rsidR="0044304D">
        <w:t>2</w:t>
      </w:r>
      <w:r w:rsidR="00143A7B">
        <w:t>4</w:t>
      </w:r>
    </w:p>
    <w:p w14:paraId="5BF0A64B" w14:textId="28FC3450" w:rsidR="00B82095" w:rsidRPr="00220618" w:rsidRDefault="00CE6E16" w:rsidP="007B4C63">
      <w:pPr>
        <w:pStyle w:val="Heading1"/>
      </w:pPr>
      <w:r>
        <w:t>Australian Government Aquaculture Statement 2024</w:t>
      </w:r>
      <w:r w:rsidR="00754CA3">
        <w:t xml:space="preserve"> </w:t>
      </w:r>
    </w:p>
    <w:p w14:paraId="414E2366" w14:textId="735D4507" w:rsidR="00CE6E16" w:rsidRDefault="00CE6E16" w:rsidP="00CE6E16">
      <w:pPr>
        <w:pStyle w:val="Heading2"/>
      </w:pPr>
      <w:r>
        <w:t>Supporting sustainable aquaculture growth</w:t>
      </w:r>
    </w:p>
    <w:p w14:paraId="6223C383" w14:textId="518CCAE4" w:rsidR="00CE6E16" w:rsidRDefault="00CE6E16" w:rsidP="00CE6E16">
      <w:pPr>
        <w:pStyle w:val="Heading3"/>
        <w:spacing w:after="120" w:line="276" w:lineRule="auto"/>
      </w:pPr>
      <w:r>
        <w:t>Supporting a national approach</w:t>
      </w:r>
    </w:p>
    <w:p w14:paraId="0D1C369E" w14:textId="6A3EAC41" w:rsidR="00CE6E16" w:rsidRDefault="00CE6E16" w:rsidP="00CE6E16">
      <w:pPr>
        <w:rPr>
          <w:lang w:eastAsia="ja-JP"/>
        </w:rPr>
      </w:pPr>
      <w:r w:rsidRPr="00CE6E16">
        <w:rPr>
          <w:lang w:eastAsia="ja-JP"/>
        </w:rPr>
        <w:t>Working in cooperation with state and territory government</w:t>
      </w:r>
      <w:r w:rsidR="00CB7C8B">
        <w:rPr>
          <w:lang w:eastAsia="ja-JP"/>
        </w:rPr>
        <w:t>s</w:t>
      </w:r>
      <w:r w:rsidRPr="00CE6E16">
        <w:rPr>
          <w:lang w:eastAsia="ja-JP"/>
        </w:rPr>
        <w:t xml:space="preserve"> and industry to implement the key actions under the National Fisheries Plan 2022-2030.</w:t>
      </w:r>
      <w:r>
        <w:rPr>
          <w:lang w:eastAsia="ja-JP"/>
        </w:rPr>
        <w:t xml:space="preserve"> </w:t>
      </w:r>
    </w:p>
    <w:p w14:paraId="3E7A0C47" w14:textId="111FD432" w:rsidR="00CE6E16" w:rsidRDefault="00CE6E16" w:rsidP="00CE6E16">
      <w:pPr>
        <w:rPr>
          <w:lang w:eastAsia="ja-JP"/>
        </w:rPr>
      </w:pPr>
      <w:r w:rsidRPr="00CE6E16">
        <w:rPr>
          <w:lang w:eastAsia="ja-JP"/>
        </w:rPr>
        <w:t>Reviewing the National Aquaculture Strategy 2017 including consideration of recognition of First Nations peoples and their communities, climate change mitigation and adaptation, and identifying new risks and opportunities.</w:t>
      </w:r>
    </w:p>
    <w:p w14:paraId="0DA222CB" w14:textId="36EC5FA3" w:rsidR="00CE6E16" w:rsidRDefault="00CE6E16" w:rsidP="0018186B">
      <w:pPr>
        <w:pStyle w:val="Heading3"/>
        <w:spacing w:after="120" w:line="276" w:lineRule="auto"/>
        <w:rPr>
          <w:lang w:eastAsia="ja-JP"/>
        </w:rPr>
      </w:pPr>
      <w:r>
        <w:rPr>
          <w:lang w:eastAsia="ja-JP"/>
        </w:rPr>
        <w:t>Biosecurity</w:t>
      </w:r>
    </w:p>
    <w:p w14:paraId="55A2DF2A" w14:textId="77777777" w:rsidR="00CE6E16" w:rsidRPr="00CE6E16" w:rsidRDefault="00CE6E16" w:rsidP="0018186B">
      <w:pPr>
        <w:rPr>
          <w:lang w:eastAsia="ja-JP"/>
        </w:rPr>
      </w:pPr>
      <w:r w:rsidRPr="00CE6E16">
        <w:rPr>
          <w:lang w:eastAsia="ja-JP"/>
        </w:rPr>
        <w:t>Working with our aquaculture sector to protect it from diseases by leading collaborative implementation of Australia’s National Strategic Plan for Aquatic Animal Health (AQUAPLAN).</w:t>
      </w:r>
    </w:p>
    <w:p w14:paraId="64583462" w14:textId="77777777" w:rsidR="00CE6E16" w:rsidRPr="00CE6E16" w:rsidRDefault="00CE6E16" w:rsidP="0018186B">
      <w:pPr>
        <w:rPr>
          <w:lang w:eastAsia="ja-JP"/>
        </w:rPr>
      </w:pPr>
      <w:r w:rsidRPr="00CE6E16">
        <w:rPr>
          <w:lang w:eastAsia="ja-JP"/>
        </w:rPr>
        <w:t>Protecting our aquaculture sector from introduced marine pests through collaborative implementation of the National Strategic Plan for Marine Pest Biosecurity (</w:t>
      </w:r>
      <w:proofErr w:type="spellStart"/>
      <w:r w:rsidRPr="00CE6E16">
        <w:rPr>
          <w:lang w:eastAsia="ja-JP"/>
        </w:rPr>
        <w:t>MarinePestPlan</w:t>
      </w:r>
      <w:proofErr w:type="spellEnd"/>
      <w:r w:rsidRPr="00CE6E16">
        <w:rPr>
          <w:lang w:eastAsia="ja-JP"/>
        </w:rPr>
        <w:t>)</w:t>
      </w:r>
    </w:p>
    <w:p w14:paraId="26DE838C" w14:textId="77777777" w:rsidR="00CE6E16" w:rsidRPr="00CE6E16" w:rsidRDefault="00CE6E16" w:rsidP="0018186B">
      <w:pPr>
        <w:rPr>
          <w:lang w:eastAsia="ja-JP"/>
        </w:rPr>
      </w:pPr>
      <w:r w:rsidRPr="00CE6E16">
        <w:rPr>
          <w:lang w:eastAsia="ja-JP"/>
        </w:rPr>
        <w:t>Identifying and assessing biosecurity risks for aquatic animals and their products through import risk analyses. Developing, implementing, and monitoring effective biosecurity measures to manage aquatic animal biosecurity risks and marine pests, to a level which achieves Australia’s appropriate level of protection (ALOP).</w:t>
      </w:r>
    </w:p>
    <w:p w14:paraId="7F6514B7" w14:textId="41695392" w:rsidR="00CE6E16" w:rsidRPr="00CE6E16" w:rsidRDefault="00CE6E16" w:rsidP="0018186B">
      <w:pPr>
        <w:rPr>
          <w:lang w:eastAsia="ja-JP"/>
        </w:rPr>
      </w:pPr>
      <w:r w:rsidRPr="00CE6E16">
        <w:rPr>
          <w:lang w:eastAsia="ja-JP"/>
        </w:rPr>
        <w:t>Provide capacity building opportunities for our trading partners to support their ability to meet our import biosecurity measures.</w:t>
      </w:r>
    </w:p>
    <w:p w14:paraId="248F9F17" w14:textId="32E97A25" w:rsidR="00CE6E16" w:rsidRDefault="00CE6E16" w:rsidP="0018186B">
      <w:pPr>
        <w:pStyle w:val="Heading3"/>
        <w:spacing w:after="120" w:line="276" w:lineRule="auto"/>
        <w:rPr>
          <w:lang w:eastAsia="ja-JP"/>
        </w:rPr>
      </w:pPr>
      <w:r>
        <w:rPr>
          <w:lang w:eastAsia="ja-JP"/>
        </w:rPr>
        <w:t>Supporting industry leadership</w:t>
      </w:r>
    </w:p>
    <w:p w14:paraId="20C07F28" w14:textId="77777777" w:rsidR="00CE6E16" w:rsidRPr="00CE6E16" w:rsidRDefault="00CE6E16" w:rsidP="0018186B">
      <w:pPr>
        <w:rPr>
          <w:lang w:eastAsia="ja-JP"/>
        </w:rPr>
      </w:pPr>
      <w:r w:rsidRPr="00CE6E16">
        <w:rPr>
          <w:lang w:eastAsia="ja-JP"/>
        </w:rPr>
        <w:t xml:space="preserve">Supporting Seafood Industry Australia and the Blue Economy Cooperative Research Centre on the Futures of Seafood. The Futures of Seafood will support industry growth, improve </w:t>
      </w:r>
      <w:proofErr w:type="gramStart"/>
      <w:r w:rsidRPr="00CE6E16">
        <w:rPr>
          <w:lang w:eastAsia="ja-JP"/>
        </w:rPr>
        <w:t>sustainability</w:t>
      </w:r>
      <w:proofErr w:type="gramEnd"/>
      <w:r w:rsidRPr="00CE6E16">
        <w:rPr>
          <w:lang w:eastAsia="ja-JP"/>
        </w:rPr>
        <w:t xml:space="preserve"> and identify emerging issues impacting the fisheries and aquaculture sectors.</w:t>
      </w:r>
    </w:p>
    <w:p w14:paraId="0A01B883" w14:textId="13DAE066" w:rsidR="00CE6E16" w:rsidRPr="00CE6E16" w:rsidRDefault="00CE6E16" w:rsidP="0018186B">
      <w:pPr>
        <w:rPr>
          <w:lang w:eastAsia="ja-JP"/>
        </w:rPr>
      </w:pPr>
      <w:r w:rsidRPr="00CE6E16">
        <w:rPr>
          <w:lang w:eastAsia="ja-JP"/>
        </w:rPr>
        <w:t>Supporting Seafood Industry Australia’s national mental health program ‘Stay Afloat’.</w:t>
      </w:r>
    </w:p>
    <w:p w14:paraId="08A25B97" w14:textId="53669EAD" w:rsidR="00CE6E16" w:rsidRDefault="00CE6E16" w:rsidP="00CE6E16">
      <w:pPr>
        <w:pStyle w:val="Heading3"/>
        <w:spacing w:after="120" w:line="276" w:lineRule="auto"/>
        <w:rPr>
          <w:lang w:eastAsia="ja-JP"/>
        </w:rPr>
      </w:pPr>
      <w:r>
        <w:rPr>
          <w:lang w:eastAsia="ja-JP"/>
        </w:rPr>
        <w:t>Climate change</w:t>
      </w:r>
    </w:p>
    <w:p w14:paraId="66D2F3A6" w14:textId="77777777" w:rsidR="00CE6E16" w:rsidRPr="00CE6E16" w:rsidRDefault="00CE6E16" w:rsidP="00CE6E16">
      <w:pPr>
        <w:rPr>
          <w:lang w:eastAsia="ja-JP"/>
        </w:rPr>
      </w:pPr>
      <w:r w:rsidRPr="00CE6E16">
        <w:rPr>
          <w:lang w:eastAsia="ja-JP"/>
        </w:rPr>
        <w:t xml:space="preserve">Supporting investment in the Australian seaweed industry and scale up the production of seaweed as a livestock feed supplement to reduce methane emissions through the Developing Australia’s Seaweed Farming Grant Program. </w:t>
      </w:r>
    </w:p>
    <w:p w14:paraId="5B601C05" w14:textId="41B8D135" w:rsidR="00CE6E16" w:rsidRPr="00CE6E16" w:rsidRDefault="00CE6E16" w:rsidP="00CE6E16">
      <w:pPr>
        <w:rPr>
          <w:lang w:eastAsia="ja-JP"/>
        </w:rPr>
      </w:pPr>
      <w:r w:rsidRPr="00CE6E16">
        <w:rPr>
          <w:lang w:eastAsia="ja-JP"/>
        </w:rPr>
        <w:t>Supported the ‘Alternate energy solutions for aquaculture: A Seafood Industry Australia and Blue Economy Cooperative Research Centre Collaboration project’</w:t>
      </w:r>
      <w:r w:rsidR="00CB7C8B">
        <w:rPr>
          <w:lang w:eastAsia="ja-JP"/>
        </w:rPr>
        <w:t>,</w:t>
      </w:r>
      <w:r w:rsidRPr="00CE6E16">
        <w:rPr>
          <w:lang w:eastAsia="ja-JP"/>
        </w:rPr>
        <w:t xml:space="preserve"> which will provide a wholistic decarbonisation platform as the aquaculture industry builds its climate resilience.</w:t>
      </w:r>
    </w:p>
    <w:p w14:paraId="369DE11A" w14:textId="77777777" w:rsidR="00CE6E16" w:rsidRDefault="00CE6E16" w:rsidP="00E87842">
      <w:pPr>
        <w:tabs>
          <w:tab w:val="left" w:pos="6135"/>
        </w:tabs>
      </w:pPr>
    </w:p>
    <w:p w14:paraId="397459A3" w14:textId="32AB0023" w:rsidR="00CE6E16" w:rsidRDefault="0018186B" w:rsidP="0018186B">
      <w:pPr>
        <w:pStyle w:val="Heading3"/>
        <w:spacing w:after="120" w:line="276" w:lineRule="auto"/>
      </w:pPr>
      <w:r>
        <w:t>Trade and markets</w:t>
      </w:r>
    </w:p>
    <w:p w14:paraId="04C87DB9" w14:textId="77777777" w:rsidR="0018186B" w:rsidRPr="0018186B" w:rsidRDefault="0018186B" w:rsidP="0018186B">
      <w:r w:rsidRPr="0018186B">
        <w:t xml:space="preserve">Working with the seafood and hospitality sectors to implement mandatory country of origin labelling to support the Australian seafood industry. </w:t>
      </w:r>
    </w:p>
    <w:p w14:paraId="1A8BE293" w14:textId="77777777" w:rsidR="0018186B" w:rsidRPr="0018186B" w:rsidRDefault="0018186B" w:rsidP="0018186B">
      <w:r w:rsidRPr="0018186B">
        <w:t xml:space="preserve">Considering a framework to address the imports of seafood subject to illegal, </w:t>
      </w:r>
      <w:proofErr w:type="gramStart"/>
      <w:r w:rsidRPr="0018186B">
        <w:t>unregulated</w:t>
      </w:r>
      <w:proofErr w:type="gramEnd"/>
      <w:r w:rsidRPr="0018186B">
        <w:t xml:space="preserve"> and unreported fishing practices. </w:t>
      </w:r>
    </w:p>
    <w:p w14:paraId="037FD602" w14:textId="51E6A1F6" w:rsidR="0018186B" w:rsidRPr="0018186B" w:rsidRDefault="0018186B" w:rsidP="0018186B">
      <w:r w:rsidRPr="0018186B">
        <w:t xml:space="preserve">Supporting </w:t>
      </w:r>
      <w:r w:rsidR="002E5AD8">
        <w:t xml:space="preserve">the </w:t>
      </w:r>
      <w:proofErr w:type="spellStart"/>
      <w:r w:rsidRPr="0018186B">
        <w:t>SafeFish</w:t>
      </w:r>
      <w:proofErr w:type="spellEnd"/>
      <w:r w:rsidRPr="0018186B">
        <w:t xml:space="preserve"> program to address food safety for Australian Aquaculture. </w:t>
      </w:r>
    </w:p>
    <w:p w14:paraId="23466246" w14:textId="5A41AB78" w:rsidR="0018186B" w:rsidRPr="0018186B" w:rsidRDefault="0018186B" w:rsidP="0018186B">
      <w:r w:rsidRPr="0018186B">
        <w:t>Member of the Network of Aquaculture Centres Asia Pacific, an intergovernmental organisation that promotes rural development through sustainable aquaculture and aquatic resource management.</w:t>
      </w:r>
    </w:p>
    <w:p w14:paraId="66EDF0E1" w14:textId="3C30F1FC" w:rsidR="00CE6E16" w:rsidRDefault="0018186B" w:rsidP="0018186B">
      <w:pPr>
        <w:pStyle w:val="Heading3"/>
        <w:spacing w:after="120" w:line="276" w:lineRule="auto"/>
      </w:pPr>
      <w:r>
        <w:t>Careers</w:t>
      </w:r>
    </w:p>
    <w:p w14:paraId="2A394BAF" w14:textId="77777777" w:rsidR="0018186B" w:rsidRPr="0018186B" w:rsidRDefault="0018186B" w:rsidP="0018186B">
      <w:r w:rsidRPr="0018186B">
        <w:t xml:space="preserve">Funding the development of the Seafood Careers website, a public-private co-operation between Seafood Industry Australia and the Fisheries Research and Development Cooperation. </w:t>
      </w:r>
    </w:p>
    <w:p w14:paraId="3060E995" w14:textId="7E75CF9D" w:rsidR="0018186B" w:rsidRDefault="0018186B" w:rsidP="0018186B">
      <w:r>
        <w:t>T</w:t>
      </w:r>
      <w:r w:rsidRPr="0018186B">
        <w:t>he Northern Australia Infrastructure Facility (NAIF) is dedicated to delivering economic and social growth in northern Australia. To support the development of aquaculture, NAIF has provided loans for the construction and expansion of a Barramundi nursery in the Northern Territory.</w:t>
      </w:r>
    </w:p>
    <w:p w14:paraId="55426090" w14:textId="06087EA8" w:rsidR="0018186B" w:rsidRDefault="0018186B" w:rsidP="0018186B">
      <w:pPr>
        <w:pStyle w:val="Heading3"/>
        <w:spacing w:after="120" w:line="276" w:lineRule="auto"/>
      </w:pPr>
      <w:r>
        <w:t>New opportunities</w:t>
      </w:r>
    </w:p>
    <w:p w14:paraId="192A2E0B" w14:textId="0C0AD5FC" w:rsidR="0018186B" w:rsidRDefault="0018186B" w:rsidP="0018186B">
      <w:r w:rsidRPr="0018186B">
        <w:t>Working with the Tasmanian Government and Blue Economy Cooperative Research Centre to undertake a research trial of aquaculture in the Commonwealth waters of Bass Strait adjacent to Tasmania, examining the environmental, economic, and operational feasibility of offshore aquaculture at the identified research site.</w:t>
      </w:r>
    </w:p>
    <w:p w14:paraId="5AAA419F" w14:textId="09BBE179" w:rsidR="0018186B" w:rsidRDefault="0018186B" w:rsidP="0018186B">
      <w:pPr>
        <w:pStyle w:val="Heading3"/>
        <w:spacing w:after="120" w:line="276" w:lineRule="auto"/>
      </w:pPr>
      <w:r>
        <w:t>Integrated oceans</w:t>
      </w:r>
    </w:p>
    <w:p w14:paraId="42F9ADB3" w14:textId="3E4EBBAE" w:rsidR="0018186B" w:rsidRDefault="0018186B" w:rsidP="0018186B">
      <w:r w:rsidRPr="0018186B">
        <w:t>Developing a national Sustainable Ocean Plan, which intends to protect our marine environment and support our growing ocean economy.</w:t>
      </w:r>
    </w:p>
    <w:p w14:paraId="7F121558" w14:textId="7153769A" w:rsidR="0018186B" w:rsidRDefault="0018186B" w:rsidP="0018186B">
      <w:pPr>
        <w:pStyle w:val="Heading3"/>
        <w:spacing w:after="120" w:line="276" w:lineRule="auto"/>
      </w:pPr>
      <w:r>
        <w:t>Environment</w:t>
      </w:r>
    </w:p>
    <w:p w14:paraId="72C8E4A0" w14:textId="255ECDF3" w:rsidR="0018186B" w:rsidRPr="0018186B" w:rsidRDefault="0018186B" w:rsidP="0018186B">
      <w:r w:rsidRPr="0018186B">
        <w:t>Protecting Australia’s unique environment under the Environmental Protection and Biodiversity Conservation Act 1999 (EPBC Act)</w:t>
      </w:r>
      <w:r>
        <w:t>.</w:t>
      </w:r>
    </w:p>
    <w:p w14:paraId="4EF59C99" w14:textId="77777777" w:rsidR="000A5BA0" w:rsidRDefault="000A5BA0" w:rsidP="000A5BA0">
      <w:pPr>
        <w:pStyle w:val="Normalsmall"/>
      </w:pPr>
      <w:r>
        <w:rPr>
          <w:rStyle w:val="Strong"/>
        </w:rPr>
        <w:t>Acknowledgement of Country</w:t>
      </w:r>
    </w:p>
    <w:p w14:paraId="3F856BC7"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7C849518" w14:textId="77777777" w:rsidR="00E9781D" w:rsidRDefault="00E9781D" w:rsidP="00E9781D">
      <w:pPr>
        <w:pStyle w:val="Normalsmall"/>
        <w:spacing w:before="360"/>
      </w:pPr>
      <w:r>
        <w:t>© Commonwealth of Australia 202</w:t>
      </w:r>
      <w:r w:rsidR="00143A7B">
        <w:t>4</w:t>
      </w:r>
    </w:p>
    <w:p w14:paraId="0558B7D4"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3790E81A" w14:textId="77777777" w:rsidR="00E9781D" w:rsidRDefault="00E9781D" w:rsidP="00E9781D">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D250E1A"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w:t>
      </w:r>
      <w:r>
        <w:lastRenderedPageBreak/>
        <w:t xml:space="preserve">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5B656B" w:rsidSect="00210FA2">
      <w:headerReference w:type="even" r:id="rId12"/>
      <w:headerReference w:type="default" r:id="rId13"/>
      <w:footerReference w:type="even" r:id="rId14"/>
      <w:footerReference w:type="default" r:id="rId15"/>
      <w:headerReference w:type="first" r:id="rId16"/>
      <w:footerReference w:type="first" r:id="rId17"/>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FC4B" w14:textId="77777777" w:rsidR="00855FB1" w:rsidRDefault="00855FB1">
      <w:r>
        <w:separator/>
      </w:r>
    </w:p>
    <w:p w14:paraId="49A1B957" w14:textId="77777777" w:rsidR="00855FB1" w:rsidRDefault="00855FB1"/>
    <w:p w14:paraId="5C500E41" w14:textId="77777777" w:rsidR="00855FB1" w:rsidRDefault="00855FB1"/>
  </w:endnote>
  <w:endnote w:type="continuationSeparator" w:id="0">
    <w:p w14:paraId="5469A740" w14:textId="77777777" w:rsidR="00855FB1" w:rsidRDefault="00855FB1">
      <w:r>
        <w:continuationSeparator/>
      </w:r>
    </w:p>
    <w:p w14:paraId="74422A3F" w14:textId="77777777" w:rsidR="00855FB1" w:rsidRDefault="00855FB1"/>
    <w:p w14:paraId="295BB796" w14:textId="77777777" w:rsidR="00855FB1" w:rsidRDefault="00855FB1"/>
  </w:endnote>
  <w:endnote w:type="continuationNotice" w:id="1">
    <w:p w14:paraId="6BB8D63E" w14:textId="77777777" w:rsidR="00855FB1" w:rsidRDefault="00855FB1">
      <w:pPr>
        <w:pStyle w:val="Footer"/>
      </w:pPr>
    </w:p>
    <w:p w14:paraId="2CFFE91C" w14:textId="77777777" w:rsidR="00855FB1" w:rsidRDefault="00855FB1"/>
    <w:p w14:paraId="709E8FE4" w14:textId="77777777" w:rsidR="00855FB1" w:rsidRDefault="00855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135C"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2A15B31B" wp14:editId="1D84CCF5">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B94A1"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15B31B"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FB94A1"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1DFA" w14:textId="77777777" w:rsidR="00863E83" w:rsidRDefault="00F637B6" w:rsidP="00863E83">
    <w:pPr>
      <w:pStyle w:val="Footer"/>
    </w:pPr>
    <w:r>
      <w:rPr>
        <w:noProof/>
      </w:rPr>
      <mc:AlternateContent>
        <mc:Choice Requires="wps">
          <w:drawing>
            <wp:anchor distT="0" distB="0" distL="0" distR="0" simplePos="0" relativeHeight="251665408" behindDoc="0" locked="0" layoutInCell="1" allowOverlap="1" wp14:anchorId="0AB784AF" wp14:editId="3D69F176">
              <wp:simplePos x="635" y="635"/>
              <wp:positionH relativeFrom="page">
                <wp:align>center</wp:align>
              </wp:positionH>
              <wp:positionV relativeFrom="page">
                <wp:align>bottom</wp:align>
              </wp:positionV>
              <wp:extent cx="443865" cy="443865"/>
              <wp:effectExtent l="0" t="0" r="635" b="0"/>
              <wp:wrapNone/>
              <wp:docPr id="11526825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7DC24"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B784AF"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FC7DC24"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p>
  <w:p w14:paraId="6611B312" w14:textId="77777777" w:rsidR="000542B4" w:rsidRDefault="0000410F"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BDA4"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2BE010B9"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A9A5" w14:textId="77777777" w:rsidR="00855FB1" w:rsidRDefault="00855FB1">
      <w:r>
        <w:separator/>
      </w:r>
    </w:p>
    <w:p w14:paraId="5D2CFDCD" w14:textId="77777777" w:rsidR="00855FB1" w:rsidRDefault="00855FB1"/>
    <w:p w14:paraId="221179AA" w14:textId="77777777" w:rsidR="00855FB1" w:rsidRDefault="00855FB1"/>
  </w:footnote>
  <w:footnote w:type="continuationSeparator" w:id="0">
    <w:p w14:paraId="143B5518" w14:textId="77777777" w:rsidR="00855FB1" w:rsidRDefault="00855FB1">
      <w:r>
        <w:continuationSeparator/>
      </w:r>
    </w:p>
    <w:p w14:paraId="433C3FB4" w14:textId="77777777" w:rsidR="00855FB1" w:rsidRDefault="00855FB1"/>
    <w:p w14:paraId="7964A8E4" w14:textId="77777777" w:rsidR="00855FB1" w:rsidRDefault="00855FB1"/>
  </w:footnote>
  <w:footnote w:type="continuationNotice" w:id="1">
    <w:p w14:paraId="70808FA8" w14:textId="77777777" w:rsidR="00855FB1" w:rsidRDefault="00855FB1">
      <w:pPr>
        <w:pStyle w:val="Footer"/>
      </w:pPr>
    </w:p>
    <w:p w14:paraId="0F141EAA" w14:textId="77777777" w:rsidR="00855FB1" w:rsidRDefault="00855FB1"/>
    <w:p w14:paraId="11E91256" w14:textId="77777777" w:rsidR="00855FB1" w:rsidRDefault="00855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8457"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469A7448" wp14:editId="2E6BB903">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06543"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9A7448"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106543"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DDB6" w14:textId="7B03BDE7" w:rsidR="000542B4" w:rsidRDefault="00F637B6">
    <w:pPr>
      <w:pStyle w:val="Header"/>
    </w:pPr>
    <w:r>
      <w:rPr>
        <w:noProof/>
      </w:rPr>
      <mc:AlternateContent>
        <mc:Choice Requires="wps">
          <w:drawing>
            <wp:anchor distT="0" distB="0" distL="0" distR="0" simplePos="0" relativeHeight="251662336" behindDoc="0" locked="0" layoutInCell="1" allowOverlap="1" wp14:anchorId="75A56D2C" wp14:editId="665A1CF4">
              <wp:simplePos x="635" y="635"/>
              <wp:positionH relativeFrom="page">
                <wp:align>center</wp:align>
              </wp:positionH>
              <wp:positionV relativeFrom="page">
                <wp:align>top</wp:align>
              </wp:positionV>
              <wp:extent cx="443865" cy="443865"/>
              <wp:effectExtent l="0" t="0" r="635" b="14605"/>
              <wp:wrapNone/>
              <wp:docPr id="7653820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F8168D"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A56D2C"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CF8168D"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r w:rsidR="0018186B">
      <w:t>National Aquaculture Statement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31E1"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24610513" wp14:editId="390C6F2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8"/>
  </w:num>
  <w:num w:numId="10" w16cid:durableId="1262253482">
    <w:abstractNumId w:val="8"/>
  </w:num>
  <w:num w:numId="11" w16cid:durableId="1504468562">
    <w:abstractNumId w:val="8"/>
  </w:num>
  <w:num w:numId="12" w16cid:durableId="12963281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16"/>
    <w:rsid w:val="0000059E"/>
    <w:rsid w:val="0000066F"/>
    <w:rsid w:val="00001B53"/>
    <w:rsid w:val="0000410F"/>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3A7B"/>
    <w:rsid w:val="00144601"/>
    <w:rsid w:val="0018186B"/>
    <w:rsid w:val="00190D7E"/>
    <w:rsid w:val="001929D2"/>
    <w:rsid w:val="001A6968"/>
    <w:rsid w:val="001D0EF3"/>
    <w:rsid w:val="00201BFB"/>
    <w:rsid w:val="00203DE1"/>
    <w:rsid w:val="00210FA2"/>
    <w:rsid w:val="00220618"/>
    <w:rsid w:val="00237A69"/>
    <w:rsid w:val="00275B58"/>
    <w:rsid w:val="00284B53"/>
    <w:rsid w:val="002B1FAF"/>
    <w:rsid w:val="002B3781"/>
    <w:rsid w:val="002E3FD4"/>
    <w:rsid w:val="002E5AD8"/>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77888"/>
    <w:rsid w:val="00495068"/>
    <w:rsid w:val="004C2DA2"/>
    <w:rsid w:val="004D0888"/>
    <w:rsid w:val="004E6316"/>
    <w:rsid w:val="005019C1"/>
    <w:rsid w:val="005070C8"/>
    <w:rsid w:val="00514CEE"/>
    <w:rsid w:val="00515287"/>
    <w:rsid w:val="005157CF"/>
    <w:rsid w:val="00531B5A"/>
    <w:rsid w:val="00553E9D"/>
    <w:rsid w:val="0055447F"/>
    <w:rsid w:val="00567DFC"/>
    <w:rsid w:val="00577F29"/>
    <w:rsid w:val="005A48A6"/>
    <w:rsid w:val="005B613F"/>
    <w:rsid w:val="005B656B"/>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6FE8"/>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55FB1"/>
    <w:rsid w:val="00863E83"/>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C226B2"/>
    <w:rsid w:val="00C6128D"/>
    <w:rsid w:val="00C73278"/>
    <w:rsid w:val="00C765C8"/>
    <w:rsid w:val="00C82029"/>
    <w:rsid w:val="00C9283A"/>
    <w:rsid w:val="00C95039"/>
    <w:rsid w:val="00CA4615"/>
    <w:rsid w:val="00CA7C6F"/>
    <w:rsid w:val="00CB7C8B"/>
    <w:rsid w:val="00CD3A6F"/>
    <w:rsid w:val="00CD6263"/>
    <w:rsid w:val="00CE6E16"/>
    <w:rsid w:val="00CE7F36"/>
    <w:rsid w:val="00CF7D08"/>
    <w:rsid w:val="00D04A3C"/>
    <w:rsid w:val="00D06C32"/>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637B6"/>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E0906"/>
  <w15:docId w15:val="{D4A5C91A-535D-4E8B-9BC4-7704951D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615E5-E183-4640-94F8-43195DB2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purl.org/dc/terms/"/>
    <ds:schemaRef ds:uri="http://schemas.microsoft.com/office/2006/documentManagement/types"/>
    <ds:schemaRef ds:uri="c527c9b7-9ec8-4c5f-a515-89657b782942"/>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0</TotalTime>
  <Pages>3</Pages>
  <Words>778</Words>
  <Characters>4439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Australian Government Aquaculture Statement 2024 </vt:lpstr>
    </vt:vector>
  </TitlesOfParts>
  <Company/>
  <LinksUpToDate>false</LinksUpToDate>
  <CharactersWithSpaces>5207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Aquaculture Statement 2024 </dc:title>
  <dc:creator>Department of Agriculture, Fisheries and Forestry</dc:creator>
  <cp:lastModifiedBy>Larkins, Bernadette</cp:lastModifiedBy>
  <cp:revision>2</cp:revision>
  <cp:lastPrinted>2022-10-26T05:30:00Z</cp:lastPrinted>
  <dcterms:created xsi:type="dcterms:W3CDTF">2024-06-12T00:07:00Z</dcterms:created>
  <dcterms:modified xsi:type="dcterms:W3CDTF">2024-06-12T00:07:00Z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ies>
</file>