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006F4" w14:textId="77777777" w:rsidR="00174DD3" w:rsidRPr="00B60572" w:rsidRDefault="00174DD3"/>
    <w:p w14:paraId="29679FD3" w14:textId="77777777" w:rsidR="00174DD3" w:rsidRPr="00B60572" w:rsidRDefault="00174DD3" w:rsidP="00EA4789">
      <w:pPr>
        <w:jc w:val="center"/>
      </w:pPr>
      <w:r w:rsidRPr="00B60572">
        <w:rPr>
          <w:noProof/>
        </w:rPr>
        <w:drawing>
          <wp:inline distT="0" distB="0" distL="0" distR="0" wp14:anchorId="6C34F00B" wp14:editId="45E9D6DF">
            <wp:extent cx="2466975" cy="13716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tretch>
                      <a:fillRect/>
                    </a:stretch>
                  </pic:blipFill>
                  <pic:spPr bwMode="auto">
                    <a:xfrm>
                      <a:off x="0" y="0"/>
                      <a:ext cx="2466975" cy="1371600"/>
                    </a:xfrm>
                    <a:prstGeom prst="rect">
                      <a:avLst/>
                    </a:prstGeom>
                    <a:noFill/>
                    <a:ln w="9525">
                      <a:noFill/>
                      <a:miter lim="800000"/>
                      <a:headEnd/>
                      <a:tailEnd/>
                    </a:ln>
                  </pic:spPr>
                </pic:pic>
              </a:graphicData>
            </a:graphic>
          </wp:inline>
        </w:drawing>
      </w:r>
    </w:p>
    <w:p w14:paraId="076B2BAF" w14:textId="77777777" w:rsidR="00174DD3" w:rsidRPr="00B60572" w:rsidRDefault="00174DD3"/>
    <w:p w14:paraId="35779DBC" w14:textId="77777777" w:rsidR="00174DD3" w:rsidRPr="00B60572" w:rsidRDefault="00174DD3"/>
    <w:p w14:paraId="48EB01E0" w14:textId="77777777" w:rsidR="00174DD3" w:rsidRPr="00B60572" w:rsidRDefault="00174DD3"/>
    <w:p w14:paraId="7AB3BA46" w14:textId="77777777" w:rsidR="00174DD3" w:rsidRPr="002E04CD" w:rsidRDefault="00174DD3" w:rsidP="00F91E81">
      <w:pPr>
        <w:pStyle w:val="Title"/>
      </w:pPr>
      <w:r w:rsidRPr="002E04CD">
        <w:t xml:space="preserve">Australian </w:t>
      </w:r>
      <w:r w:rsidRPr="00F91E81">
        <w:t>Government</w:t>
      </w:r>
      <w:r w:rsidRPr="002E04CD">
        <w:t xml:space="preserve"> response to the </w:t>
      </w:r>
      <w:r w:rsidRPr="002E04CD">
        <w:br/>
      </w:r>
      <w:r w:rsidR="00CB7741" w:rsidRPr="002E04CD">
        <w:rPr>
          <w:bCs/>
        </w:rPr>
        <w:t xml:space="preserve">Senate </w:t>
      </w:r>
      <w:r w:rsidRPr="002E04CD">
        <w:rPr>
          <w:bCs/>
        </w:rPr>
        <w:t>Se</w:t>
      </w:r>
      <w:r w:rsidR="00174DB0" w:rsidRPr="002E04CD">
        <w:rPr>
          <w:bCs/>
        </w:rPr>
        <w:t>lect</w:t>
      </w:r>
      <w:r w:rsidRPr="002E04CD">
        <w:rPr>
          <w:bCs/>
        </w:rPr>
        <w:t xml:space="preserve"> Committee </w:t>
      </w:r>
      <w:r w:rsidR="00174DB0" w:rsidRPr="002E04CD">
        <w:rPr>
          <w:bCs/>
        </w:rPr>
        <w:t>on the</w:t>
      </w:r>
      <w:r w:rsidR="009A56D5">
        <w:rPr>
          <w:bCs/>
        </w:rPr>
        <w:br/>
      </w:r>
      <w:r w:rsidR="00174DB0" w:rsidRPr="002E04CD">
        <w:t xml:space="preserve">Murray-Darling Basin Plan </w:t>
      </w:r>
      <w:r w:rsidRPr="002E04CD">
        <w:t>report</w:t>
      </w:r>
      <w:proofErr w:type="gramStart"/>
      <w:r w:rsidRPr="002E04CD">
        <w:t>:</w:t>
      </w:r>
      <w:proofErr w:type="gramEnd"/>
      <w:r w:rsidR="009A56D5">
        <w:br/>
      </w:r>
      <w:r w:rsidR="00174DB0" w:rsidRPr="002E04CD">
        <w:t>Refreshing the</w:t>
      </w:r>
      <w:r w:rsidRPr="002E04CD">
        <w:t xml:space="preserve"> Plan</w:t>
      </w:r>
    </w:p>
    <w:p w14:paraId="5BFE0FB5" w14:textId="77777777" w:rsidR="00174DD3" w:rsidRPr="00A16BF5" w:rsidRDefault="00174DD3"/>
    <w:p w14:paraId="3CAD6B65" w14:textId="77777777" w:rsidR="00174DD3" w:rsidRPr="00A16BF5" w:rsidRDefault="00174DD3"/>
    <w:p w14:paraId="74336EA0" w14:textId="77777777" w:rsidR="004D2DD7" w:rsidRDefault="004D2DD7"/>
    <w:p w14:paraId="7427D80C" w14:textId="77777777" w:rsidR="004D2DD7" w:rsidRDefault="004D2DD7"/>
    <w:p w14:paraId="3798422A" w14:textId="77777777" w:rsidR="004D2DD7" w:rsidRDefault="004D2DD7"/>
    <w:p w14:paraId="672F1E32" w14:textId="77777777" w:rsidR="004D2DD7" w:rsidRDefault="004D2DD7"/>
    <w:p w14:paraId="15A6554F" w14:textId="77777777" w:rsidR="004D2DD7" w:rsidRDefault="004D2DD7"/>
    <w:p w14:paraId="292375D1" w14:textId="77777777" w:rsidR="004D2DD7" w:rsidRDefault="004D2DD7" w:rsidP="004D2DD7"/>
    <w:p w14:paraId="1C2C69F8" w14:textId="1C857249" w:rsidR="00174DD3" w:rsidRDefault="00B41302" w:rsidP="004D2DD7">
      <w:pPr>
        <w:jc w:val="right"/>
        <w:sectPr w:rsidR="00174DD3" w:rsidSect="008F0FB2">
          <w:headerReference w:type="even" r:id="rId12"/>
          <w:footerReference w:type="default" r:id="rId13"/>
          <w:pgSz w:w="11906" w:h="16838" w:code="9"/>
          <w:pgMar w:top="1021" w:right="1276" w:bottom="1134" w:left="1418" w:header="567" w:footer="567" w:gutter="0"/>
          <w:pgNumType w:start="1"/>
          <w:cols w:space="708"/>
          <w:docGrid w:linePitch="360"/>
        </w:sectPr>
      </w:pPr>
      <w:r>
        <w:t>February</w:t>
      </w:r>
      <w:r w:rsidR="00174DD3" w:rsidRPr="00B608C5">
        <w:t xml:space="preserve"> 201</w:t>
      </w:r>
      <w:r w:rsidR="005F377A">
        <w:t>7</w:t>
      </w:r>
    </w:p>
    <w:p w14:paraId="6EEA1752" w14:textId="77777777" w:rsidR="00F61B83" w:rsidRDefault="005A168E" w:rsidP="002E04CD">
      <w:pPr>
        <w:pStyle w:val="Heading2"/>
      </w:pPr>
      <w:r w:rsidRPr="00174DD3">
        <w:t>Introduction</w:t>
      </w:r>
    </w:p>
    <w:p w14:paraId="258DA8E4" w14:textId="77777777" w:rsidR="005A168E" w:rsidRPr="00021C10" w:rsidRDefault="00F61B83">
      <w:r w:rsidRPr="00021C10">
        <w:t>Th</w:t>
      </w:r>
      <w:r w:rsidR="005A168E" w:rsidRPr="00021C10">
        <w:t>e Senate Select Committee inquiry</w:t>
      </w:r>
      <w:r w:rsidRPr="00021C10">
        <w:t xml:space="preserve"> on the Murray–Darling Basin Plan </w:t>
      </w:r>
      <w:r w:rsidR="005A168E" w:rsidRPr="00021C10">
        <w:t xml:space="preserve">presented its final report on 17 March 2016. The majority </w:t>
      </w:r>
      <w:r w:rsidRPr="00021C10">
        <w:t xml:space="preserve">report </w:t>
      </w:r>
      <w:r w:rsidR="005A168E" w:rsidRPr="00021C10">
        <w:t xml:space="preserve">made 31 recommendations </w:t>
      </w:r>
      <w:r w:rsidRPr="00021C10">
        <w:t>addressing issues that are of great importance to farmers and communities throughout the Murray–Darling Basin</w:t>
      </w:r>
      <w:r w:rsidR="005A168E" w:rsidRPr="000E12B5">
        <w:t xml:space="preserve"> and other stakeholders</w:t>
      </w:r>
      <w:r w:rsidRPr="00021C10">
        <w:t xml:space="preserve">. </w:t>
      </w:r>
      <w:r w:rsidR="005A168E" w:rsidRPr="00021C10">
        <w:t xml:space="preserve">The Committee received almost 400 submissions to this inquiry. </w:t>
      </w:r>
    </w:p>
    <w:p w14:paraId="4694EF4C" w14:textId="77777777" w:rsidR="005A168E" w:rsidRDefault="005A168E">
      <w:r w:rsidRPr="00070786">
        <w:t xml:space="preserve">Minority reports </w:t>
      </w:r>
      <w:r w:rsidR="00E53E57" w:rsidRPr="00070786">
        <w:t xml:space="preserve">from </w:t>
      </w:r>
      <w:r w:rsidR="00C672C6" w:rsidRPr="00070786">
        <w:t xml:space="preserve">the Australian </w:t>
      </w:r>
      <w:proofErr w:type="spellStart"/>
      <w:r w:rsidR="00C672C6" w:rsidRPr="00070786">
        <w:t>Labor</w:t>
      </w:r>
      <w:proofErr w:type="spellEnd"/>
      <w:r w:rsidR="00C672C6" w:rsidRPr="00070786">
        <w:t xml:space="preserve"> Party, the Australian Greens, </w:t>
      </w:r>
      <w:r w:rsidR="00E53E57" w:rsidRPr="00070786">
        <w:t xml:space="preserve">and </w:t>
      </w:r>
      <w:r w:rsidR="00C672C6" w:rsidRPr="00070786">
        <w:t>Senator Nick </w:t>
      </w:r>
      <w:r w:rsidR="0081360A">
        <w:t>X</w:t>
      </w:r>
      <w:r w:rsidR="00C672C6" w:rsidRPr="00070786">
        <w:t>en</w:t>
      </w:r>
      <w:r w:rsidR="0081360A">
        <w:t>o</w:t>
      </w:r>
      <w:r w:rsidR="00C672C6" w:rsidRPr="00070786">
        <w:t xml:space="preserve">phon support the </w:t>
      </w:r>
      <w:r w:rsidR="00B65189" w:rsidRPr="00070786">
        <w:t>Murray</w:t>
      </w:r>
      <w:r w:rsidR="00B24F3B">
        <w:t>–</w:t>
      </w:r>
      <w:r w:rsidR="00B65189" w:rsidRPr="00070786">
        <w:t xml:space="preserve">Darling </w:t>
      </w:r>
      <w:r w:rsidR="00C672C6" w:rsidRPr="00070786">
        <w:t>Basin Plan and associated water reform</w:t>
      </w:r>
      <w:r w:rsidR="00E53E57" w:rsidRPr="00070786">
        <w:t>.</w:t>
      </w:r>
      <w:r w:rsidR="00840BA9" w:rsidRPr="00070786">
        <w:t xml:space="preserve"> </w:t>
      </w:r>
      <w:r w:rsidR="00B65189" w:rsidRPr="00070786">
        <w:t xml:space="preserve">The report by the </w:t>
      </w:r>
      <w:r w:rsidR="004E69BE" w:rsidRPr="00070786">
        <w:t>former </w:t>
      </w:r>
      <w:r w:rsidRPr="00070786">
        <w:t>Sen</w:t>
      </w:r>
      <w:r w:rsidR="006C0FC9" w:rsidRPr="00070786">
        <w:t>ator</w:t>
      </w:r>
      <w:r w:rsidR="00E53E57" w:rsidRPr="00070786">
        <w:t> </w:t>
      </w:r>
      <w:r w:rsidR="004E69BE" w:rsidRPr="00070786">
        <w:t>John</w:t>
      </w:r>
      <w:r w:rsidR="00E53E57" w:rsidRPr="00070786">
        <w:t> </w:t>
      </w:r>
      <w:r w:rsidR="006C0FC9" w:rsidRPr="00070786">
        <w:t xml:space="preserve">Madigan </w:t>
      </w:r>
      <w:r w:rsidR="00B65189" w:rsidRPr="00070786">
        <w:t>includes 1</w:t>
      </w:r>
      <w:r w:rsidR="006C0FC9" w:rsidRPr="00070786">
        <w:t>9</w:t>
      </w:r>
      <w:r w:rsidR="00B65189" w:rsidRPr="00070786">
        <w:t> </w:t>
      </w:r>
      <w:r w:rsidRPr="00070786">
        <w:t>recommendations.</w:t>
      </w:r>
    </w:p>
    <w:p w14:paraId="5AAD007D" w14:textId="77777777" w:rsidR="006C0FC9" w:rsidRDefault="006C0FC9">
      <w:r w:rsidRPr="00174DD3">
        <w:t>There are a number of recommendations made in the Committee’s final report which focus on state issues, such as the operation of state desalination plants, water entitlement purchases by state governments and management of water storages. All such issues are for the relevant state government to consider in the first instance.</w:t>
      </w:r>
    </w:p>
    <w:p w14:paraId="39F898FF" w14:textId="77777777" w:rsidR="005E51F1" w:rsidRPr="00174DD3" w:rsidRDefault="005E51F1" w:rsidP="005E51F1">
      <w:r w:rsidRPr="00174DD3">
        <w:t>The Australian Government recognises the importance of the issues raised in the report and provides the following responses to the recommendations.</w:t>
      </w:r>
    </w:p>
    <w:p w14:paraId="11124375" w14:textId="77777777" w:rsidR="00872BE5" w:rsidRDefault="00872BE5" w:rsidP="00872BE5">
      <w:pPr>
        <w:pStyle w:val="Heading2"/>
      </w:pPr>
      <w:r>
        <w:t>The Australian Government’s approach to implementing the Basin Plan</w:t>
      </w:r>
    </w:p>
    <w:p w14:paraId="04B2AAA9" w14:textId="77777777" w:rsidR="00872BE5" w:rsidRDefault="00872BE5" w:rsidP="00872BE5">
      <w:r>
        <w:t>The Australian Government is determined to implement the Basin Plan in a way that ensures the economic and social wellbeing of Basin communities, while delivering on the environmental objectives of the Plan.</w:t>
      </w:r>
    </w:p>
    <w:p w14:paraId="5549CFFD" w14:textId="77777777" w:rsidR="0081360A" w:rsidRDefault="00872BE5" w:rsidP="00872BE5">
      <w:r>
        <w:t xml:space="preserve">In the north, the </w:t>
      </w:r>
      <w:r w:rsidR="00B111BA">
        <w:t>N</w:t>
      </w:r>
      <w:r>
        <w:t xml:space="preserve">orthern Basin </w:t>
      </w:r>
      <w:r w:rsidR="00B111BA">
        <w:t>R</w:t>
      </w:r>
      <w:r>
        <w:t>eview</w:t>
      </w:r>
      <w:r w:rsidR="00B111BA">
        <w:t xml:space="preserve"> </w:t>
      </w:r>
      <w:r>
        <w:t>has provided an opportunity to closely examine the impacts of water recovery on Basin communities and explore the most effective way to deliver environmental outcomes. The highly variable nature of the less</w:t>
      </w:r>
      <w:r w:rsidR="00373FE4">
        <w:noBreakHyphen/>
      </w:r>
      <w:r>
        <w:t xml:space="preserve">regulated northern Basin presents unique challenges and opportunities in water resource management. </w:t>
      </w:r>
    </w:p>
    <w:p w14:paraId="0BBCF867" w14:textId="27FE4CD6" w:rsidR="00872BE5" w:rsidRDefault="00872BE5" w:rsidP="00872BE5">
      <w:r>
        <w:t xml:space="preserve">The </w:t>
      </w:r>
      <w:r w:rsidR="00B111BA">
        <w:t>N</w:t>
      </w:r>
      <w:r>
        <w:t xml:space="preserve">orthern Basin </w:t>
      </w:r>
      <w:r w:rsidR="00B111BA">
        <w:t>R</w:t>
      </w:r>
      <w:r>
        <w:t xml:space="preserve">eview was </w:t>
      </w:r>
      <w:r w:rsidR="00B860CC">
        <w:t xml:space="preserve">enabled under </w:t>
      </w:r>
      <w:r>
        <w:t>the Basin Plan because at the time it was written</w:t>
      </w:r>
      <w:r w:rsidR="008F0FB2">
        <w:t>,</w:t>
      </w:r>
      <w:r>
        <w:t xml:space="preserve"> less was known about the northern Basin than the more developed southern connected system.</w:t>
      </w:r>
      <w:r w:rsidR="00B111BA">
        <w:t xml:space="preserve"> </w:t>
      </w:r>
      <w:r>
        <w:t xml:space="preserve">The data generated as part of the </w:t>
      </w:r>
      <w:r w:rsidR="00E4695E">
        <w:t>N</w:t>
      </w:r>
      <w:r>
        <w:t xml:space="preserve">orthern Basin </w:t>
      </w:r>
      <w:r w:rsidR="00E4695E">
        <w:t>R</w:t>
      </w:r>
      <w:r>
        <w:t xml:space="preserve">eview and the subsequent recommendations </w:t>
      </w:r>
      <w:r w:rsidR="00B860CC">
        <w:t>made</w:t>
      </w:r>
      <w:r>
        <w:t xml:space="preserve"> by the Murray-Darling Basin Authority will </w:t>
      </w:r>
      <w:r w:rsidR="0028134A">
        <w:t>lead to amendments to</w:t>
      </w:r>
      <w:r w:rsidR="00DD12C7">
        <w:t xml:space="preserve"> the Basin Plan</w:t>
      </w:r>
      <w:r w:rsidR="0028134A">
        <w:t xml:space="preserve">, and </w:t>
      </w:r>
      <w:r>
        <w:t xml:space="preserve">guide </w:t>
      </w:r>
      <w:r w:rsidR="00DD12C7">
        <w:t>its</w:t>
      </w:r>
      <w:r>
        <w:t xml:space="preserve"> implementation. </w:t>
      </w:r>
      <w:r w:rsidR="00DD12C7">
        <w:t>On 22 </w:t>
      </w:r>
      <w:r w:rsidR="003939F3">
        <w:t>November 2016 t</w:t>
      </w:r>
      <w:r w:rsidR="004A648D">
        <w:t xml:space="preserve">he Northern Basin </w:t>
      </w:r>
      <w:r w:rsidR="00FA0A9D">
        <w:t>Review</w:t>
      </w:r>
      <w:r w:rsidR="004A648D">
        <w:t xml:space="preserve"> </w:t>
      </w:r>
      <w:r w:rsidR="003939F3">
        <w:t>was released together with</w:t>
      </w:r>
      <w:r w:rsidR="004A648D">
        <w:t xml:space="preserve"> </w:t>
      </w:r>
      <w:r w:rsidR="00DD12C7">
        <w:t xml:space="preserve">proposed </w:t>
      </w:r>
      <w:r w:rsidR="00B111BA">
        <w:t>Basin Plan amendment</w:t>
      </w:r>
      <w:r w:rsidR="00E4695E">
        <w:t xml:space="preserve">s, including those </w:t>
      </w:r>
      <w:r w:rsidR="00DD12C7">
        <w:t>arising from t</w:t>
      </w:r>
      <w:r w:rsidR="003939F3">
        <w:t xml:space="preserve">he Northern Basin Review.  Public </w:t>
      </w:r>
      <w:r w:rsidR="00FA0A9D">
        <w:t>consultation</w:t>
      </w:r>
      <w:r w:rsidR="003939F3">
        <w:t xml:space="preserve"> on the</w:t>
      </w:r>
      <w:r w:rsidR="00DD12C7">
        <w:t xml:space="preserve"> proposed </w:t>
      </w:r>
      <w:r w:rsidR="003939F3">
        <w:t>Basin Plan amendments will occur between November 2016 and February</w:t>
      </w:r>
      <w:r w:rsidR="005B25D3">
        <w:t> </w:t>
      </w:r>
      <w:r w:rsidR="003939F3">
        <w:t>2017.</w:t>
      </w:r>
      <w:r w:rsidR="0028134A">
        <w:t xml:space="preserve"> </w:t>
      </w:r>
      <w:r>
        <w:t>The Government is grateful to the many stakeholders who have engaged in the review.</w:t>
      </w:r>
    </w:p>
    <w:p w14:paraId="6B923293" w14:textId="77777777" w:rsidR="00872BE5" w:rsidRDefault="00872BE5" w:rsidP="00872BE5">
      <w:r>
        <w:t>The Sustainable Diversion Limit (SDL) Adjustment Mechanism provides an opportunity to optimise the economic, social and environmental outcomes in the southern Basin. Supply measures provide the opportunity to deliver environmentally equivalent outcomes without requiring as much water to be recovered from consumptive purposes. Thirty-seven supply measures were agreed to by the Murray</w:t>
      </w:r>
      <w:r w:rsidR="00B24F3B">
        <w:t>–</w:t>
      </w:r>
      <w:r>
        <w:t>Darling Basin Ministerial Council on 22 April 2016. A previous independent stocktake showed that supply measures have the potential to provide an offset of around 508 gigalitres in the southern Basin.</w:t>
      </w:r>
    </w:p>
    <w:p w14:paraId="62AB2337" w14:textId="4E3B41AB" w:rsidR="00872BE5" w:rsidRDefault="00D57106" w:rsidP="00872BE5">
      <w:r>
        <w:t>Following a</w:t>
      </w:r>
      <w:r w:rsidR="00DD12C7">
        <w:t xml:space="preserve"> request by t</w:t>
      </w:r>
      <w:r w:rsidR="00872BE5">
        <w:t>he</w:t>
      </w:r>
      <w:r w:rsidR="002A16F3">
        <w:t xml:space="preserve"> </w:t>
      </w:r>
      <w:r w:rsidR="00872BE5">
        <w:t xml:space="preserve">Ministerial Council the </w:t>
      </w:r>
      <w:r w:rsidR="004A648D">
        <w:t>Basin Plan was</w:t>
      </w:r>
      <w:r w:rsidR="00872BE5">
        <w:t xml:space="preserve"> amend</w:t>
      </w:r>
      <w:r w:rsidR="004A648D">
        <w:t>ed</w:t>
      </w:r>
      <w:r w:rsidR="00872BE5">
        <w:t xml:space="preserve"> to provide for a second </w:t>
      </w:r>
      <w:r w:rsidR="00262FE8">
        <w:t xml:space="preserve">notification of measures to the </w:t>
      </w:r>
      <w:r w:rsidR="00872BE5">
        <w:t xml:space="preserve">SDL adjustment </w:t>
      </w:r>
      <w:r w:rsidR="00262FE8">
        <w:t>mechanism</w:t>
      </w:r>
      <w:r w:rsidR="00872BE5">
        <w:t xml:space="preserve"> by 30 June 2017. This additional step will allow for a second tranche of supply measure projects to be </w:t>
      </w:r>
      <w:r w:rsidR="00872BE5" w:rsidRPr="00DD12C7">
        <w:t>considered. Basin state ministers also reiterated their request for Basin state government officials to consider opportunities for a wider range of complementary projects, such as carp control, to provide triple bottom line benefits under the Basin Plan.</w:t>
      </w:r>
    </w:p>
    <w:p w14:paraId="5A72F1E2" w14:textId="77777777" w:rsidR="00872BE5" w:rsidRDefault="00872BE5" w:rsidP="00872BE5">
      <w:r>
        <w:t xml:space="preserve">The Ministerial Council also agreed to the types of projects that may be considered as efficiency measures under the SDL Adjustment Mechanism. In accordance with the Basin Plan, any efficiency measure projects must have positive or neutral social and economic outcomes. </w:t>
      </w:r>
    </w:p>
    <w:p w14:paraId="06B66371" w14:textId="77777777" w:rsidR="00872BE5" w:rsidRPr="00D50B96" w:rsidRDefault="00872BE5" w:rsidP="00872BE5">
      <w:r>
        <w:t>A list of all agreed SDL adjustment projects is available on the Authority’s website.</w:t>
      </w:r>
    </w:p>
    <w:p w14:paraId="1E118E97" w14:textId="77777777" w:rsidR="00F61B83" w:rsidRPr="00F91E81" w:rsidRDefault="006E0811" w:rsidP="00F91E81">
      <w:pPr>
        <w:pStyle w:val="Heading4"/>
      </w:pPr>
      <w:r w:rsidRPr="00F91E81">
        <w:t>Committee majority</w:t>
      </w:r>
      <w:r w:rsidR="00B96D14" w:rsidRPr="00F91E81">
        <w:t xml:space="preserve"> recommendations</w:t>
      </w:r>
    </w:p>
    <w:p w14:paraId="2297F499" w14:textId="77777777" w:rsidR="00B96D14" w:rsidRPr="00174DD3" w:rsidRDefault="00B96D14" w:rsidP="00031D52">
      <w:pPr>
        <w:pStyle w:val="ListParagraph"/>
        <w:spacing w:before="480"/>
      </w:pPr>
      <w:r w:rsidRPr="00174DD3">
        <w:t>The committee recommends that no further reductions in water entitlements occur until the Northern Basin review, and any subsequent assessments, have been completed. The committee recommends that the review should also consider alternative means of wa</w:t>
      </w:r>
      <w:bookmarkStart w:id="0" w:name="_GoBack"/>
      <w:bookmarkEnd w:id="0"/>
      <w:r w:rsidRPr="00174DD3">
        <w:t xml:space="preserve">ter recovery, particularly in the Condamine-Balonne catchment, in order to minimise the economic and social impact of the Plan in the Northern Basin. This would include consideration of the following options: </w:t>
      </w:r>
    </w:p>
    <w:p w14:paraId="3A8F5ED5" w14:textId="77777777" w:rsidR="00B96D14" w:rsidRPr="00174DD3" w:rsidRDefault="00B96D14" w:rsidP="00031D52">
      <w:pPr>
        <w:pStyle w:val="ListParagraph"/>
        <w:numPr>
          <w:ilvl w:val="0"/>
          <w:numId w:val="30"/>
        </w:numPr>
        <w:spacing w:after="120"/>
        <w:ind w:left="1077" w:hanging="357"/>
      </w:pPr>
      <w:r w:rsidRPr="00174DD3">
        <w:t xml:space="preserve">recovery of water upstream of Beardmore Dam; </w:t>
      </w:r>
    </w:p>
    <w:p w14:paraId="2935F5A2" w14:textId="77777777" w:rsidR="00B96D14" w:rsidRPr="00174DD3" w:rsidRDefault="00B96D14" w:rsidP="00031D52">
      <w:pPr>
        <w:pStyle w:val="ListParagraph"/>
        <w:numPr>
          <w:ilvl w:val="0"/>
          <w:numId w:val="30"/>
        </w:numPr>
        <w:spacing w:after="120"/>
        <w:ind w:left="1077" w:hanging="357"/>
      </w:pPr>
      <w:r w:rsidRPr="00174DD3">
        <w:t xml:space="preserve">use of private storages to more efficiently store environmental water and reduce evapotranspiration (the sum of evaporation and plant transpiration) losses; </w:t>
      </w:r>
    </w:p>
    <w:p w14:paraId="161D230B" w14:textId="77777777" w:rsidR="00B96D14" w:rsidRPr="00174DD3" w:rsidRDefault="00B96D14" w:rsidP="00031D52">
      <w:pPr>
        <w:pStyle w:val="ListParagraph"/>
        <w:numPr>
          <w:ilvl w:val="0"/>
          <w:numId w:val="30"/>
        </w:numPr>
        <w:spacing w:after="120"/>
        <w:ind w:left="1077" w:hanging="357"/>
      </w:pPr>
      <w:r w:rsidRPr="00174DD3">
        <w:t xml:space="preserve">implementation of environmental works and measures to more efficiently delivery environmental water to key environmental assets; and </w:t>
      </w:r>
    </w:p>
    <w:p w14:paraId="76D612A4" w14:textId="77777777" w:rsidR="00B96D14" w:rsidRPr="00174DD3" w:rsidRDefault="00B96D14" w:rsidP="000E12B5">
      <w:pPr>
        <w:pStyle w:val="ListParagraph"/>
        <w:numPr>
          <w:ilvl w:val="0"/>
          <w:numId w:val="30"/>
        </w:numPr>
      </w:pPr>
      <w:proofErr w:type="gramStart"/>
      <w:r w:rsidRPr="00174DD3">
        <w:t>temporary</w:t>
      </w:r>
      <w:proofErr w:type="gramEnd"/>
      <w:r w:rsidRPr="00174DD3">
        <w:t xml:space="preserve"> trade of water to make best use of Commonwealth water assets when environmental needs have been met. </w:t>
      </w:r>
    </w:p>
    <w:p w14:paraId="0D961FE2" w14:textId="53241183" w:rsidR="006E0811" w:rsidRPr="00174DD3" w:rsidRDefault="00B35EB5">
      <w:r w:rsidRPr="00174DD3">
        <w:t>Agreed</w:t>
      </w:r>
      <w:r w:rsidR="00174DB0">
        <w:t>.</w:t>
      </w:r>
    </w:p>
    <w:p w14:paraId="5351CFC8" w14:textId="77777777" w:rsidR="00713A7A" w:rsidRDefault="00713A7A" w:rsidP="00713A7A">
      <w:r>
        <w:t xml:space="preserve">The Murray–Darling Basin Authority has completed </w:t>
      </w:r>
      <w:r w:rsidR="008B4956">
        <w:t xml:space="preserve">its review of </w:t>
      </w:r>
      <w:r w:rsidRPr="00273F99">
        <w:t xml:space="preserve">the northern </w:t>
      </w:r>
      <w:r w:rsidR="00FA0A9D" w:rsidRPr="00273F99">
        <w:t>Basin</w:t>
      </w:r>
      <w:r w:rsidR="00FA0A9D">
        <w:t>. The</w:t>
      </w:r>
      <w:r>
        <w:t xml:space="preserve"> focus of the review was to improve the evidence base from which decisions about water recovery settings could be confidently made using a triple-bottom line approach — weighing up social, economic and environmental considera</w:t>
      </w:r>
      <w:r>
        <w:lastRenderedPageBreak/>
        <w:t xml:space="preserve">tions. As a part of the review, the Authority has consulted with various stakeholder groups in the north to seek their views on the implementation of the Basin Plan. </w:t>
      </w:r>
    </w:p>
    <w:p w14:paraId="049D0BB8" w14:textId="77777777" w:rsidR="00713A7A" w:rsidRDefault="00713A7A" w:rsidP="00713A7A">
      <w:r>
        <w:t>The Authority also considered a range of actions in addition to water recovery that could be implemented to reduce</w:t>
      </w:r>
      <w:r w:rsidRPr="00580FC6">
        <w:t xml:space="preserve"> the </w:t>
      </w:r>
      <w:r w:rsidR="007816BF">
        <w:t>adverse</w:t>
      </w:r>
      <w:r w:rsidR="00AA20BB">
        <w:t xml:space="preserve"> </w:t>
      </w:r>
      <w:r w:rsidRPr="00580FC6">
        <w:t>social and economic imp</w:t>
      </w:r>
      <w:r w:rsidR="00AA20BB">
        <w:t>acts</w:t>
      </w:r>
      <w:r w:rsidRPr="00580FC6">
        <w:t xml:space="preserve"> of the Basin Plan while also providing opportunities for improved water management to enhance the use of environmental water.</w:t>
      </w:r>
    </w:p>
    <w:p w14:paraId="17D74014" w14:textId="56C5EA81" w:rsidR="00713A7A" w:rsidRDefault="00713A7A" w:rsidP="00713A7A">
      <w:r>
        <w:t>A</w:t>
      </w:r>
      <w:r w:rsidRPr="00273F99">
        <w:t>s a result of its review</w:t>
      </w:r>
      <w:r>
        <w:t>,</w:t>
      </w:r>
      <w:r w:rsidRPr="00273F99">
        <w:t xml:space="preserve"> </w:t>
      </w:r>
      <w:r>
        <w:t xml:space="preserve">the </w:t>
      </w:r>
      <w:r w:rsidR="003B0C72">
        <w:t>Autho</w:t>
      </w:r>
      <w:r w:rsidR="00612EAB">
        <w:t>ri</w:t>
      </w:r>
      <w:r w:rsidR="003B0C72">
        <w:t xml:space="preserve">ty </w:t>
      </w:r>
      <w:r>
        <w:t>has proposed</w:t>
      </w:r>
      <w:r w:rsidRPr="00EF7E8A">
        <w:t xml:space="preserve"> </w:t>
      </w:r>
      <w:r>
        <w:t xml:space="preserve">that the </w:t>
      </w:r>
      <w:r w:rsidRPr="00273F99">
        <w:t>overall water recovery target in the northern Basin reduce from 390</w:t>
      </w:r>
      <w:r w:rsidR="002A16F3">
        <w:t xml:space="preserve"> gigalitres</w:t>
      </w:r>
      <w:r w:rsidRPr="00273F99">
        <w:t xml:space="preserve"> on average to 320</w:t>
      </w:r>
      <w:r w:rsidR="002A16F3">
        <w:t xml:space="preserve"> </w:t>
      </w:r>
      <w:proofErr w:type="spellStart"/>
      <w:r w:rsidR="002A16F3">
        <w:t>gigaligtres</w:t>
      </w:r>
      <w:proofErr w:type="spellEnd"/>
      <w:r w:rsidRPr="00273F99">
        <w:t xml:space="preserve"> </w:t>
      </w:r>
      <w:r>
        <w:t>provided</w:t>
      </w:r>
      <w:r w:rsidRPr="00273F99">
        <w:t xml:space="preserve"> there are commitments from </w:t>
      </w:r>
      <w:r w:rsidR="003B0C72">
        <w:t xml:space="preserve">Basin state </w:t>
      </w:r>
      <w:r w:rsidRPr="00273F99">
        <w:t>governments to implement a range of measures to improve water management.</w:t>
      </w:r>
    </w:p>
    <w:p w14:paraId="37C1F584" w14:textId="77777777" w:rsidR="00840489" w:rsidRDefault="002337DD">
      <w:r w:rsidRPr="002337DD">
        <w:t xml:space="preserve">Through the Department of Agriculture and Water Resources, the Australian Government has established the Northern Basin Programmes Taskforce to investigate how to achieve the remaining water recovery in the northern Basin in ways that minimise the impact on communities. Drawing from key industry and community stakeholder input, the taskforce will provide advice on ways that avoid further water purchase and deliver social and economic benefits to communities. The Taskforce may also make recommendations to assist progress of toolkit measures.  </w:t>
      </w:r>
    </w:p>
    <w:p w14:paraId="26F48FE9" w14:textId="3F20BAD5" w:rsidR="00C22C07" w:rsidRPr="00C22C07" w:rsidRDefault="00C22C07" w:rsidP="00C22C07">
      <w:r w:rsidRPr="00C22C07">
        <w:t xml:space="preserve">The Taskforce may also make recommendations to assist progress of toolkit measures, including temporary trade of </w:t>
      </w:r>
      <w:r>
        <w:t xml:space="preserve">environmental </w:t>
      </w:r>
      <w:r w:rsidRPr="00C22C07">
        <w:t xml:space="preserve">water.  Temporary trade </w:t>
      </w:r>
      <w:r w:rsidR="0006382C">
        <w:t xml:space="preserve">of water </w:t>
      </w:r>
      <w:r w:rsidRPr="00C22C07">
        <w:t>from one location to another provides protection for water holders to ensure the water reaches its destination.  As a toolkit measure</w:t>
      </w:r>
      <w:r w:rsidR="004A66B8">
        <w:t>,</w:t>
      </w:r>
      <w:r w:rsidRPr="00C22C07">
        <w:t xml:space="preserve"> temporary trade is important to ensure environmental water can be delivered at appropriate times to key environmental assets</w:t>
      </w:r>
      <w:r>
        <w:t>, and w</w:t>
      </w:r>
      <w:r w:rsidRPr="00C22C07">
        <w:t>ill help to meet environmental targets under the proposed 320</w:t>
      </w:r>
      <w:r w:rsidR="004F1450">
        <w:t> gigalitre</w:t>
      </w:r>
      <w:r w:rsidRPr="00C22C07">
        <w:t xml:space="preserve"> water recovery target. </w:t>
      </w:r>
    </w:p>
    <w:p w14:paraId="0F41B803" w14:textId="77777777" w:rsidR="00577627" w:rsidRDefault="00577627">
      <w:r w:rsidRPr="00577627">
        <w:t>Under the Healthy Headwaters Water Use Efficiency Program, entitlement holders above Beardmore Dam became eligible to participate in this on-farm infrastructure program</w:t>
      </w:r>
      <w:r>
        <w:t>me</w:t>
      </w:r>
      <w:r w:rsidRPr="00577627">
        <w:t xml:space="preserve"> from January 2016.</w:t>
      </w:r>
    </w:p>
    <w:p w14:paraId="1C18E272" w14:textId="61D671ED" w:rsidR="000E09FA" w:rsidRDefault="0081360A" w:rsidP="00AA514F">
      <w:r>
        <w:lastRenderedPageBreak/>
        <w:t>T</w:t>
      </w:r>
      <w:r w:rsidR="00AA514F">
        <w:t>he</w:t>
      </w:r>
      <w:r w:rsidR="000D781D">
        <w:t xml:space="preserve"> </w:t>
      </w:r>
      <w:r w:rsidR="00CF6041">
        <w:t>Government</w:t>
      </w:r>
      <w:r w:rsidR="00AA514F">
        <w:t xml:space="preserve"> will consult with </w:t>
      </w:r>
      <w:r w:rsidR="008B4956">
        <w:t xml:space="preserve">Basin </w:t>
      </w:r>
      <w:r w:rsidR="00AA514F">
        <w:t>state</w:t>
      </w:r>
      <w:r w:rsidR="008B4956">
        <w:t xml:space="preserve"> governments</w:t>
      </w:r>
      <w:r w:rsidR="00AA514F">
        <w:t xml:space="preserve"> on its water recovery strategy and ensure that any recoveries are strategic and minimise risk of over-recovery.</w:t>
      </w:r>
    </w:p>
    <w:p w14:paraId="01B3E285" w14:textId="77777777" w:rsidR="005A168E" w:rsidRPr="00174DB0" w:rsidRDefault="005A168E" w:rsidP="00031D52">
      <w:pPr>
        <w:pStyle w:val="ListParagraph"/>
        <w:spacing w:before="480"/>
      </w:pPr>
      <w:r w:rsidRPr="00174DB0">
        <w:t xml:space="preserve">The committee recommends that the Murray-Darling Basin Authority, as part of its ongoing social and economic work, undertake and publish a thorough assessment of the estimated and actual social and economic impacts of the implementation of the Plan, including of pursuing the remaining water recovery for the Condamine-Balonne catchment and other similarly distressed areas. </w:t>
      </w:r>
    </w:p>
    <w:p w14:paraId="6D05B725" w14:textId="77777777" w:rsidR="006E0811" w:rsidRPr="00174DD3" w:rsidRDefault="00B35EB5">
      <w:r w:rsidRPr="00174DD3">
        <w:t>Agreed</w:t>
      </w:r>
      <w:r w:rsidR="00174DB0">
        <w:t>.</w:t>
      </w:r>
    </w:p>
    <w:p w14:paraId="0F4FF471" w14:textId="38D15352" w:rsidR="00743ACA" w:rsidRDefault="00743ACA">
      <w:r w:rsidRPr="00174DD3">
        <w:t xml:space="preserve">The </w:t>
      </w:r>
      <w:r w:rsidRPr="00174DD3">
        <w:rPr>
          <w:i/>
        </w:rPr>
        <w:t>Water Act 2007</w:t>
      </w:r>
      <w:r w:rsidRPr="00174DD3">
        <w:t xml:space="preserve"> and Basin Plan require </w:t>
      </w:r>
      <w:r>
        <w:t>regular periodic</w:t>
      </w:r>
      <w:r w:rsidRPr="00174DD3">
        <w:t xml:space="preserve"> reporting of soci</w:t>
      </w:r>
      <w:r>
        <w:t xml:space="preserve">al and </w:t>
      </w:r>
      <w:r w:rsidRPr="00174DD3">
        <w:t>economic impacts. The first of these reports will be completed in 2017, with a second report due in 2020 and subsequent reports every 5 years thereafter.</w:t>
      </w:r>
    </w:p>
    <w:p w14:paraId="0961501F" w14:textId="517641B6" w:rsidR="00713A7A" w:rsidRDefault="00F83616">
      <w:r w:rsidRPr="00174DD3">
        <w:t>The M</w:t>
      </w:r>
      <w:r w:rsidR="00C84C24">
        <w:t>urray</w:t>
      </w:r>
      <w:r w:rsidR="00B24F3B">
        <w:t>–</w:t>
      </w:r>
      <w:r w:rsidR="00C84C24">
        <w:t>Darling Basin Authority</w:t>
      </w:r>
      <w:r w:rsidRPr="00174DD3">
        <w:t xml:space="preserve"> </w:t>
      </w:r>
      <w:r w:rsidR="00AA514F">
        <w:t xml:space="preserve">is </w:t>
      </w:r>
      <w:r w:rsidRPr="00174DD3">
        <w:t>collect</w:t>
      </w:r>
      <w:r w:rsidR="00AA514F">
        <w:t>ing</w:t>
      </w:r>
      <w:r w:rsidRPr="00174DD3">
        <w:t xml:space="preserve"> social a</w:t>
      </w:r>
      <w:r w:rsidR="009D16FD" w:rsidRPr="00174DD3">
        <w:t>nd economic data to inform its r</w:t>
      </w:r>
      <w:r w:rsidRPr="00174DD3">
        <w:t>ole in evaluating and reviewing the Bas</w:t>
      </w:r>
      <w:r w:rsidR="007B5196" w:rsidRPr="00174DD3">
        <w:t xml:space="preserve">in Plan, including through the </w:t>
      </w:r>
      <w:r w:rsidR="00FB2687">
        <w:t>Northern Basin Review</w:t>
      </w:r>
      <w:r w:rsidRPr="00174DD3">
        <w:t xml:space="preserve">. Reporting of this work occurs in a number of ways including through Basin Plan annual reports and in the </w:t>
      </w:r>
      <w:r w:rsidR="00877976">
        <w:t>reports</w:t>
      </w:r>
      <w:r w:rsidR="00A53100">
        <w:t xml:space="preserve"> prepared for</w:t>
      </w:r>
      <w:r w:rsidRPr="00174DD3">
        <w:t xml:space="preserve"> the </w:t>
      </w:r>
      <w:r w:rsidR="007816BF">
        <w:t>N</w:t>
      </w:r>
      <w:r w:rsidR="007816BF" w:rsidRPr="00174DD3">
        <w:t xml:space="preserve">orthern </w:t>
      </w:r>
      <w:r w:rsidR="00CE52A9">
        <w:t xml:space="preserve">Basin </w:t>
      </w:r>
      <w:r w:rsidR="007816BF">
        <w:t>R</w:t>
      </w:r>
      <w:r w:rsidRPr="00174DD3">
        <w:t>eview</w:t>
      </w:r>
      <w:r w:rsidR="00D045E0">
        <w:t>.</w:t>
      </w:r>
      <w:r w:rsidRPr="00174DD3">
        <w:t xml:space="preserve"> </w:t>
      </w:r>
      <w:r w:rsidR="00713A7A">
        <w:t xml:space="preserve">The social and economic assessment conducted as part of the Northern Basin </w:t>
      </w:r>
      <w:r w:rsidR="000727BC">
        <w:t>R</w:t>
      </w:r>
      <w:r w:rsidR="00713A7A">
        <w:t>eview is available on the Authority’s website.</w:t>
      </w:r>
    </w:p>
    <w:p w14:paraId="754B6A28" w14:textId="77777777" w:rsidR="005A168E" w:rsidRPr="00174DD3" w:rsidRDefault="005A168E" w:rsidP="00031D52">
      <w:pPr>
        <w:pStyle w:val="ListParagraph"/>
        <w:spacing w:before="480"/>
      </w:pPr>
      <w:r w:rsidRPr="00174DD3">
        <w:t xml:space="preserve">The committee recommends that the MDBA address the existing over-recovery in the Macquarie Valley and other ‘terminal’ systems such as the Gwydir Valley, with a view to limiting recovery to amounts which address valley-specific environmental needs. </w:t>
      </w:r>
    </w:p>
    <w:p w14:paraId="693489DF" w14:textId="40C3C38D" w:rsidR="006E0811" w:rsidRPr="00E66419" w:rsidRDefault="006E0811">
      <w:r w:rsidRPr="00E66419">
        <w:t>Agreed</w:t>
      </w:r>
      <w:r w:rsidR="00174DB0" w:rsidRPr="00E66419">
        <w:t>.</w:t>
      </w:r>
      <w:r w:rsidR="006C3267">
        <w:t xml:space="preserve"> </w:t>
      </w:r>
    </w:p>
    <w:p w14:paraId="1F9A2E45" w14:textId="5271C95C" w:rsidR="00713A7A" w:rsidRDefault="00713A7A" w:rsidP="00713A7A">
      <w:r w:rsidRPr="00E66419">
        <w:lastRenderedPageBreak/>
        <w:t>The Basin Plan identifies only the Lachlan and Wimmera-Mallee as terminal systems</w:t>
      </w:r>
      <w:r>
        <w:t>.</w:t>
      </w:r>
      <w:r w:rsidRPr="00375A31">
        <w:t xml:space="preserve"> </w:t>
      </w:r>
      <w:r w:rsidRPr="00883182">
        <w:t xml:space="preserve">The northern Basin is </w:t>
      </w:r>
      <w:r w:rsidR="003D2B5B">
        <w:t xml:space="preserve">regarded as </w:t>
      </w:r>
      <w:r w:rsidRPr="00883182">
        <w:t>a connected system.</w:t>
      </w:r>
      <w:r>
        <w:t xml:space="preserve"> Both</w:t>
      </w:r>
      <w:r w:rsidRPr="00883182">
        <w:t xml:space="preserve"> the Macquarie and Gwydir valleys connect into the Barwon−Darling River above certain flows.</w:t>
      </w:r>
      <w:r w:rsidRPr="00E66419">
        <w:t xml:space="preserve"> </w:t>
      </w:r>
    </w:p>
    <w:p w14:paraId="78EDC303" w14:textId="77777777" w:rsidR="00713A7A" w:rsidRDefault="00713A7A" w:rsidP="00713A7A">
      <w:r w:rsidRPr="00E66419">
        <w:t xml:space="preserve">The final recovery amounts required in these rivers will not be settled until the </w:t>
      </w:r>
      <w:r>
        <w:t>process to amend the Basin Plan is completed.</w:t>
      </w:r>
      <w:r w:rsidR="00FA0A9D">
        <w:t xml:space="preserve">  Public consultation on the current </w:t>
      </w:r>
      <w:r w:rsidR="00AF7FA2">
        <w:t xml:space="preserve">proposed </w:t>
      </w:r>
      <w:r w:rsidR="00FA0A9D">
        <w:t xml:space="preserve">Basin Plan amendments, which includes amendments related to the Northern Basin Review recommendations, </w:t>
      </w:r>
      <w:r w:rsidR="00262FE8">
        <w:t>is taking place</w:t>
      </w:r>
      <w:r w:rsidR="00FA0A9D">
        <w:t xml:space="preserve"> between November 2016 and February 2017.</w:t>
      </w:r>
    </w:p>
    <w:p w14:paraId="545F41E6" w14:textId="40FB276B" w:rsidR="00713A7A" w:rsidRDefault="00713A7A" w:rsidP="00713A7A">
      <w:r w:rsidRPr="00D270FA">
        <w:t>The proposed</w:t>
      </w:r>
      <w:r>
        <w:t xml:space="preserve"> new</w:t>
      </w:r>
      <w:r w:rsidRPr="00D270FA">
        <w:t xml:space="preserve"> local recovery volume in the Macquarie is 55 </w:t>
      </w:r>
      <w:r w:rsidR="002A16F3">
        <w:t>gigalitres, which is a 10 gigalitres</w:t>
      </w:r>
      <w:r w:rsidRPr="00D270FA">
        <w:t xml:space="preserve"> reduction from Basin Plan settings. The results </w:t>
      </w:r>
      <w:r>
        <w:t xml:space="preserve">of the northern Basin review </w:t>
      </w:r>
      <w:r w:rsidRPr="00D270FA">
        <w:t xml:space="preserve">show that local environmental needs in the Macquarie </w:t>
      </w:r>
      <w:r w:rsidR="000727BC">
        <w:t>can be</w:t>
      </w:r>
      <w:r w:rsidRPr="00D270FA">
        <w:t xml:space="preserve"> met with this lower volume</w:t>
      </w:r>
      <w:r>
        <w:t>.</w:t>
      </w:r>
    </w:p>
    <w:p w14:paraId="656FFF7A" w14:textId="6E8BDD7B" w:rsidR="00713A7A" w:rsidRDefault="00713A7A" w:rsidP="00713A7A">
      <w:r>
        <w:t>The proposed local recovery target for the Gwydir Valley is the same as the current Basin Plan settings. The modelling scenario used as the basis for the proposed amendment assumed that the Gwydir would not need to contribute to the shared reduction amount. T</w:t>
      </w:r>
      <w:r w:rsidRPr="00E66419">
        <w:t xml:space="preserve">he opportunity exists for </w:t>
      </w:r>
      <w:r>
        <w:t xml:space="preserve">the New South Wales and Queensland </w:t>
      </w:r>
      <w:r w:rsidRPr="00E66419">
        <w:t xml:space="preserve">governments to request changes to </w:t>
      </w:r>
      <w:r>
        <w:t>the way in which the shared reduction</w:t>
      </w:r>
      <w:r w:rsidRPr="00E66419">
        <w:t xml:space="preserve"> </w:t>
      </w:r>
      <w:r>
        <w:t xml:space="preserve">is distributed between catchments, which may </w:t>
      </w:r>
      <w:r w:rsidR="002A16F3">
        <w:t>minimise the risk of over</w:t>
      </w:r>
      <w:r w:rsidR="002A16F3">
        <w:noBreakHyphen/>
      </w:r>
      <w:r w:rsidRPr="00E66419">
        <w:t>recovery in any catchment.</w:t>
      </w:r>
    </w:p>
    <w:p w14:paraId="14A8CCE1" w14:textId="77777777" w:rsidR="005A168E" w:rsidRPr="00174DD3" w:rsidRDefault="005A168E" w:rsidP="00755A05">
      <w:pPr>
        <w:pStyle w:val="ListParagraph"/>
        <w:spacing w:before="480"/>
        <w:ind w:left="426" w:hanging="426"/>
      </w:pPr>
      <w:r w:rsidRPr="00174DD3">
        <w:t>The committee recommends that federal and state governments examine options for securing Broken Hill's water supply as recommended by the Broken Hill City Council, including raising the trigger point for releases, and improving infrastructure</w:t>
      </w:r>
      <w:r w:rsidR="00D3049B" w:rsidRPr="00174DD3">
        <w:t xml:space="preserve"> </w:t>
      </w:r>
      <w:r w:rsidRPr="00174DD3">
        <w:t xml:space="preserve">storage at Menindee Lakes. </w:t>
      </w:r>
    </w:p>
    <w:p w14:paraId="2AC89A3F" w14:textId="77777777" w:rsidR="009963BC" w:rsidRPr="00174DD3" w:rsidRDefault="00AA514F">
      <w:r>
        <w:t>Agreed</w:t>
      </w:r>
      <w:r w:rsidR="00174DB0">
        <w:t>.</w:t>
      </w:r>
    </w:p>
    <w:p w14:paraId="6CD239CD" w14:textId="77777777" w:rsidR="006D7714" w:rsidRPr="00174DD3" w:rsidRDefault="003B3871">
      <w:r w:rsidRPr="00174DD3">
        <w:t xml:space="preserve">Broken Hill’s water supply is the responsibility of the </w:t>
      </w:r>
      <w:r w:rsidR="00CE0D92" w:rsidRPr="00174DD3">
        <w:t>N</w:t>
      </w:r>
      <w:r w:rsidR="00C10F53">
        <w:t xml:space="preserve">ew </w:t>
      </w:r>
      <w:r w:rsidR="00CE0D92" w:rsidRPr="00174DD3">
        <w:t>S</w:t>
      </w:r>
      <w:r w:rsidR="00C10F53">
        <w:t xml:space="preserve">outh </w:t>
      </w:r>
      <w:r w:rsidR="00CE0D92" w:rsidRPr="00174DD3">
        <w:t>W</w:t>
      </w:r>
      <w:r w:rsidR="00C10F53">
        <w:t>ales</w:t>
      </w:r>
      <w:r w:rsidRPr="00174DD3">
        <w:t xml:space="preserve"> Government.</w:t>
      </w:r>
      <w:r w:rsidR="0022645C" w:rsidRPr="00174DD3">
        <w:rPr>
          <w:color w:val="1F497D"/>
        </w:rPr>
        <w:t xml:space="preserve"> </w:t>
      </w:r>
      <w:r w:rsidR="00C10F53">
        <w:t>On 16 </w:t>
      </w:r>
      <w:r w:rsidR="0022645C" w:rsidRPr="00174DD3">
        <w:t>June 2016, the N</w:t>
      </w:r>
      <w:r w:rsidR="00C10F53">
        <w:t xml:space="preserve">ew </w:t>
      </w:r>
      <w:r w:rsidR="0022645C" w:rsidRPr="00174DD3">
        <w:t>S</w:t>
      </w:r>
      <w:r w:rsidR="00C10F53">
        <w:t xml:space="preserve">outh </w:t>
      </w:r>
      <w:r w:rsidR="0022645C" w:rsidRPr="00174DD3">
        <w:t>W</w:t>
      </w:r>
      <w:r w:rsidR="00C10F53">
        <w:t>ales</w:t>
      </w:r>
      <w:r w:rsidR="0022645C" w:rsidRPr="00174DD3">
        <w:t xml:space="preserve"> Government announced that it </w:t>
      </w:r>
      <w:r w:rsidR="0022645C" w:rsidRPr="00174DD3">
        <w:lastRenderedPageBreak/>
        <w:t>would fund the construction of a pipeline from the River Murray to secure water supply to Broken Hill.</w:t>
      </w:r>
    </w:p>
    <w:p w14:paraId="58006249" w14:textId="77777777" w:rsidR="00683AFE" w:rsidRDefault="00AA514F">
      <w:r>
        <w:t>T</w:t>
      </w:r>
      <w:r w:rsidR="006D7714" w:rsidRPr="00174DD3">
        <w:t>he Australian Government is committed to improving the management of the Menindee Lakes in partnership with the N</w:t>
      </w:r>
      <w:r w:rsidR="00C10F53">
        <w:t xml:space="preserve">ew </w:t>
      </w:r>
      <w:r w:rsidR="006D7714" w:rsidRPr="00174DD3">
        <w:t>S</w:t>
      </w:r>
      <w:r w:rsidR="00C10F53">
        <w:t xml:space="preserve">outh </w:t>
      </w:r>
      <w:r w:rsidR="006D7714" w:rsidRPr="00174DD3">
        <w:t>W</w:t>
      </w:r>
      <w:r w:rsidR="00C10F53">
        <w:t>ales</w:t>
      </w:r>
      <w:r w:rsidR="006D7714" w:rsidRPr="00174DD3">
        <w:t xml:space="preserve"> Government</w:t>
      </w:r>
      <w:r>
        <w:t>.</w:t>
      </w:r>
      <w:r w:rsidR="006D7714" w:rsidRPr="00174DD3">
        <w:t xml:space="preserve"> </w:t>
      </w:r>
    </w:p>
    <w:p w14:paraId="21C76B41" w14:textId="77777777" w:rsidR="006D7714" w:rsidRPr="00174DD3" w:rsidRDefault="006D7714">
      <w:r w:rsidRPr="00174DD3">
        <w:t xml:space="preserve">The rules for the operation of the Menindee Lakes, including the trigger points, are an important element of the operation of the River Murray system. Any rule changes require the agreement of all relevant Basin jurisdictions. </w:t>
      </w:r>
    </w:p>
    <w:p w14:paraId="7A6A6331" w14:textId="77777777" w:rsidR="00755A05" w:rsidRPr="00174DD3" w:rsidRDefault="00755A05" w:rsidP="00755A05">
      <w:pPr>
        <w:pStyle w:val="ListParagraph"/>
        <w:spacing w:before="480"/>
        <w:ind w:left="426" w:hanging="426"/>
      </w:pPr>
      <w:r w:rsidRPr="00174DD3">
        <w:t xml:space="preserve">The committee recommends that </w:t>
      </w:r>
      <w:r>
        <w:t>an environmental watering plan be developed for the Menindee Lakes, provided that Adelaide’s water supply and that of South Australian irrigators and landholders dependent on the Murray, is secure</w:t>
      </w:r>
      <w:r w:rsidRPr="00174DD3">
        <w:t xml:space="preserve">. </w:t>
      </w:r>
    </w:p>
    <w:p w14:paraId="5E6C530C" w14:textId="77777777" w:rsidR="009963BC" w:rsidRDefault="000E12B5" w:rsidP="00794C2A">
      <w:r>
        <w:t>Agreed</w:t>
      </w:r>
      <w:r w:rsidR="00174DB0">
        <w:t>.</w:t>
      </w:r>
    </w:p>
    <w:p w14:paraId="7CBAE420" w14:textId="77777777" w:rsidR="00D26383" w:rsidRPr="00794C2A" w:rsidRDefault="000F1883">
      <w:pPr>
        <w:rPr>
          <w:highlight w:val="yellow"/>
        </w:rPr>
      </w:pPr>
      <w:r>
        <w:t>T</w:t>
      </w:r>
      <w:r w:rsidR="00755A05">
        <w:t>he</w:t>
      </w:r>
      <w:r>
        <w:t>re is an existing agreement between the</w:t>
      </w:r>
      <w:r w:rsidR="00755A05">
        <w:t xml:space="preserve"> Australian</w:t>
      </w:r>
      <w:r w:rsidR="007A7673">
        <w:t xml:space="preserve"> </w:t>
      </w:r>
      <w:r>
        <w:t>and</w:t>
      </w:r>
      <w:r w:rsidR="00755A05">
        <w:t xml:space="preserve"> N</w:t>
      </w:r>
      <w:r w:rsidR="004079F3">
        <w:t xml:space="preserve">ew </w:t>
      </w:r>
      <w:r w:rsidR="00755A05">
        <w:t>S</w:t>
      </w:r>
      <w:r w:rsidR="004079F3">
        <w:t xml:space="preserve">outh </w:t>
      </w:r>
      <w:r w:rsidR="00755A05">
        <w:t>W</w:t>
      </w:r>
      <w:r w:rsidR="004079F3">
        <w:t>ales</w:t>
      </w:r>
      <w:r w:rsidR="00755A05">
        <w:t xml:space="preserve"> Government</w:t>
      </w:r>
      <w:r>
        <w:t>s, which provides funding</w:t>
      </w:r>
      <w:r w:rsidR="00755A05">
        <w:t xml:space="preserve"> to investigate infrastructure and operational changes at the Menindee Lakes which could help reduce significant evaporation losses without adversely impacting third parties including downstream users and the environment. As part of this work, the New South Wales Government is investigating the environmental watering requirements for the </w:t>
      </w:r>
      <w:r w:rsidR="00AA514F">
        <w:t>Menindee L</w:t>
      </w:r>
      <w:r w:rsidR="00755A05">
        <w:t>akes to ensure that the environmental values are maintained under potential changed operational arrangements being investigated for the system.</w:t>
      </w:r>
    </w:p>
    <w:p w14:paraId="28CE87A1" w14:textId="77777777" w:rsidR="005A168E" w:rsidRPr="00174DD3" w:rsidRDefault="005A168E" w:rsidP="00794C2A">
      <w:pPr>
        <w:pStyle w:val="ListParagraph"/>
      </w:pPr>
      <w:r w:rsidRPr="00174DD3">
        <w:t xml:space="preserve">The committee recommends the Commonwealth assume liability for damage to private property from environmental watering events, including to both landholders and third parties, except to parties who have given prior consent to such flooding. </w:t>
      </w:r>
    </w:p>
    <w:p w14:paraId="1635E376" w14:textId="77777777" w:rsidR="006E0811" w:rsidRPr="00174DD3" w:rsidRDefault="006E0811">
      <w:r w:rsidRPr="00174DD3">
        <w:t>Not agreed</w:t>
      </w:r>
      <w:r w:rsidR="00174DB0">
        <w:t>.</w:t>
      </w:r>
    </w:p>
    <w:p w14:paraId="2C63F3A5" w14:textId="77777777" w:rsidR="006F0D9A" w:rsidRDefault="006F0D9A">
      <w:r w:rsidRPr="00174DD3">
        <w:lastRenderedPageBreak/>
        <w:t xml:space="preserve">Legal responsibility for any adverse impacts </w:t>
      </w:r>
      <w:r w:rsidR="00AA514F">
        <w:t xml:space="preserve">due to the release of water from storages </w:t>
      </w:r>
      <w:r w:rsidR="005B1ACC">
        <w:t xml:space="preserve">is </w:t>
      </w:r>
      <w:r w:rsidRPr="00174DD3">
        <w:t xml:space="preserve">with the </w:t>
      </w:r>
      <w:r w:rsidR="00DE0670" w:rsidRPr="00174DD3">
        <w:t xml:space="preserve">relevant </w:t>
      </w:r>
      <w:r w:rsidRPr="00174DD3">
        <w:t xml:space="preserve">authority that manages </w:t>
      </w:r>
      <w:r w:rsidR="00AA514F">
        <w:t>the</w:t>
      </w:r>
      <w:r w:rsidRPr="00174DD3">
        <w:t xml:space="preserve"> storage. Operators are bound to act </w:t>
      </w:r>
      <w:r w:rsidR="00DE0670" w:rsidRPr="00174DD3">
        <w:t xml:space="preserve">at all times </w:t>
      </w:r>
      <w:r w:rsidRPr="00174DD3">
        <w:t xml:space="preserve">in accordance with the relevant operating procedures </w:t>
      </w:r>
      <w:r w:rsidR="000E12B5">
        <w:t>in fulfilling</w:t>
      </w:r>
      <w:r w:rsidR="000E12B5" w:rsidRPr="00174DD3">
        <w:t xml:space="preserve"> </w:t>
      </w:r>
      <w:r w:rsidRPr="00174DD3">
        <w:t xml:space="preserve">orders placed for </w:t>
      </w:r>
      <w:r w:rsidR="00DE0670" w:rsidRPr="00174DD3">
        <w:t xml:space="preserve">consumptive or </w:t>
      </w:r>
      <w:r w:rsidRPr="00174DD3">
        <w:t>environmental</w:t>
      </w:r>
      <w:r w:rsidR="000E12B5">
        <w:t xml:space="preserve"> water</w:t>
      </w:r>
      <w:r w:rsidRPr="00174DD3">
        <w:t xml:space="preserve">. </w:t>
      </w:r>
    </w:p>
    <w:p w14:paraId="1186C940" w14:textId="77777777" w:rsidR="002D4512" w:rsidRPr="00174DD3" w:rsidRDefault="002D4512">
      <w:r w:rsidRPr="00174DD3">
        <w:t xml:space="preserve">River operators will not deliver environmental flows </w:t>
      </w:r>
      <w:r w:rsidR="00DE0670" w:rsidRPr="00174DD3">
        <w:t xml:space="preserve">at levels </w:t>
      </w:r>
      <w:r w:rsidRPr="00174DD3">
        <w:t xml:space="preserve">above </w:t>
      </w:r>
      <w:r w:rsidR="00DE0670" w:rsidRPr="00174DD3">
        <w:t xml:space="preserve">the </w:t>
      </w:r>
      <w:r w:rsidRPr="00174DD3">
        <w:t>operational limits that apply to all water deliveries, including irrigation orders.</w:t>
      </w:r>
    </w:p>
    <w:p w14:paraId="7AE35A96" w14:textId="77777777" w:rsidR="005A168E" w:rsidRPr="00174DD3" w:rsidRDefault="005A168E" w:rsidP="00794C2A">
      <w:pPr>
        <w:pStyle w:val="ListParagraph"/>
        <w:spacing w:before="480"/>
      </w:pPr>
      <w:r w:rsidRPr="00174DD3">
        <w:t xml:space="preserve">The committee recommends that the MDBA and state governments address the issue of third party impacts from environmental watering events during the development of constraints proposals, and clearly communicate with landholders who are likely to be affected </w:t>
      </w:r>
      <w:r w:rsidR="000E12B5">
        <w:t>b</w:t>
      </w:r>
      <w:r w:rsidRPr="00174DD3">
        <w:t xml:space="preserve">y such events. </w:t>
      </w:r>
    </w:p>
    <w:p w14:paraId="7F17317D" w14:textId="77777777" w:rsidR="00263373" w:rsidRPr="00174DD3" w:rsidRDefault="00263373">
      <w:r w:rsidRPr="00174DD3">
        <w:t>Agreed</w:t>
      </w:r>
      <w:r w:rsidR="00174DB0">
        <w:t>.</w:t>
      </w:r>
    </w:p>
    <w:p w14:paraId="37D27223" w14:textId="77777777" w:rsidR="00930F16" w:rsidRPr="00174DD3" w:rsidRDefault="00930F16">
      <w:pPr>
        <w:rPr>
          <w:bCs/>
        </w:rPr>
      </w:pPr>
      <w:r w:rsidRPr="00174DD3">
        <w:t xml:space="preserve">The development of constraints proposals is the responsibility of </w:t>
      </w:r>
      <w:r w:rsidR="00955A52">
        <w:t>B</w:t>
      </w:r>
      <w:r w:rsidR="00880C9F">
        <w:t>asin s</w:t>
      </w:r>
      <w:r w:rsidRPr="00174DD3">
        <w:t xml:space="preserve">tate governments as set out in the </w:t>
      </w:r>
      <w:r w:rsidRPr="00174DD3">
        <w:rPr>
          <w:i/>
        </w:rPr>
        <w:t>Intergovernmental Agreement on Implementing Water Reform in the Murray</w:t>
      </w:r>
      <w:r w:rsidR="007A7673">
        <w:rPr>
          <w:i/>
        </w:rPr>
        <w:noBreakHyphen/>
      </w:r>
      <w:r w:rsidRPr="00174DD3">
        <w:rPr>
          <w:i/>
        </w:rPr>
        <w:t>Darling Basin</w:t>
      </w:r>
      <w:r w:rsidRPr="00174DD3">
        <w:t xml:space="preserve">. </w:t>
      </w:r>
      <w:r w:rsidRPr="00174DD3">
        <w:rPr>
          <w:bCs/>
        </w:rPr>
        <w:t>The M</w:t>
      </w:r>
      <w:r w:rsidR="00743057">
        <w:rPr>
          <w:bCs/>
        </w:rPr>
        <w:t>urray</w:t>
      </w:r>
      <w:r w:rsidR="00B24F3B">
        <w:rPr>
          <w:bCs/>
        </w:rPr>
        <w:t>–</w:t>
      </w:r>
      <w:r w:rsidR="00743057">
        <w:rPr>
          <w:bCs/>
        </w:rPr>
        <w:t>Darling Basin Authority</w:t>
      </w:r>
      <w:r w:rsidRPr="00174DD3">
        <w:rPr>
          <w:bCs/>
        </w:rPr>
        <w:t>’s 2013 Constraints Management Strategy, developed under the Basin Plan to assist states in the development of constraint proposals, stated that projects need to:</w:t>
      </w:r>
    </w:p>
    <w:p w14:paraId="1F716795" w14:textId="77777777" w:rsidR="00930F16" w:rsidRPr="00794C2A" w:rsidRDefault="00930F16" w:rsidP="00794C2A">
      <w:pPr>
        <w:pStyle w:val="ListParagraph"/>
        <w:numPr>
          <w:ilvl w:val="0"/>
          <w:numId w:val="28"/>
        </w:numPr>
        <w:spacing w:after="120"/>
        <w:ind w:left="567" w:hanging="357"/>
        <w:rPr>
          <w:b w:val="0"/>
        </w:rPr>
      </w:pPr>
      <w:r w:rsidRPr="00794C2A">
        <w:rPr>
          <w:b w:val="0"/>
        </w:rPr>
        <w:t>recognise and respect the property rights of landholders and water entitlements holders;</w:t>
      </w:r>
    </w:p>
    <w:p w14:paraId="5C9F81D0" w14:textId="77777777" w:rsidR="00930F16" w:rsidRPr="00794C2A" w:rsidRDefault="00930F16" w:rsidP="00794C2A">
      <w:pPr>
        <w:pStyle w:val="ListParagraph"/>
        <w:numPr>
          <w:ilvl w:val="0"/>
          <w:numId w:val="28"/>
        </w:numPr>
        <w:spacing w:after="120"/>
        <w:ind w:left="567" w:hanging="357"/>
        <w:rPr>
          <w:b w:val="0"/>
        </w:rPr>
      </w:pPr>
      <w:r w:rsidRPr="00794C2A">
        <w:rPr>
          <w:b w:val="0"/>
        </w:rPr>
        <w:t>not create any new risks on the reliability of entitlements;</w:t>
      </w:r>
    </w:p>
    <w:p w14:paraId="6E43FBBA" w14:textId="77777777" w:rsidR="00930F16" w:rsidRPr="00794C2A" w:rsidRDefault="00930F16" w:rsidP="00794C2A">
      <w:pPr>
        <w:pStyle w:val="ListParagraph"/>
        <w:numPr>
          <w:ilvl w:val="0"/>
          <w:numId w:val="28"/>
        </w:numPr>
        <w:spacing w:after="120"/>
        <w:ind w:left="567" w:hanging="357"/>
        <w:rPr>
          <w:b w:val="0"/>
        </w:rPr>
      </w:pPr>
      <w:r w:rsidRPr="00794C2A">
        <w:rPr>
          <w:b w:val="0"/>
        </w:rPr>
        <w:t>be identified in consultation with affected parties to determine if impacts can be appropriately addressed and mitigated to enable changes to proceed;</w:t>
      </w:r>
    </w:p>
    <w:p w14:paraId="411CEF61" w14:textId="77777777" w:rsidR="00930F16" w:rsidRPr="00794C2A" w:rsidRDefault="00930F16" w:rsidP="00794C2A">
      <w:pPr>
        <w:pStyle w:val="ListParagraph"/>
        <w:numPr>
          <w:ilvl w:val="0"/>
          <w:numId w:val="28"/>
        </w:numPr>
        <w:spacing w:after="120"/>
        <w:ind w:left="567" w:hanging="357"/>
        <w:rPr>
          <w:b w:val="0"/>
        </w:rPr>
      </w:pPr>
      <w:r w:rsidRPr="00794C2A">
        <w:rPr>
          <w:b w:val="0"/>
        </w:rPr>
        <w:t>identify and aim to achieve net positive impacts for the community;</w:t>
      </w:r>
    </w:p>
    <w:p w14:paraId="0E1829CB" w14:textId="77777777" w:rsidR="00930F16" w:rsidRPr="00794C2A" w:rsidRDefault="00930F16" w:rsidP="00794C2A">
      <w:pPr>
        <w:pStyle w:val="ListParagraph"/>
        <w:numPr>
          <w:ilvl w:val="0"/>
          <w:numId w:val="28"/>
        </w:numPr>
        <w:spacing w:after="120"/>
        <w:ind w:left="567" w:hanging="357"/>
        <w:rPr>
          <w:b w:val="0"/>
        </w:rPr>
      </w:pPr>
      <w:r w:rsidRPr="00794C2A">
        <w:rPr>
          <w:b w:val="0"/>
        </w:rPr>
        <w:t>be worked through in a fair and transparent/equitable way; and</w:t>
      </w:r>
    </w:p>
    <w:p w14:paraId="50080425" w14:textId="77777777" w:rsidR="00930F16" w:rsidRPr="00794C2A" w:rsidRDefault="00930F16" w:rsidP="00794C2A">
      <w:pPr>
        <w:pStyle w:val="ListParagraph"/>
        <w:numPr>
          <w:ilvl w:val="0"/>
          <w:numId w:val="28"/>
        </w:numPr>
        <w:spacing w:after="120"/>
        <w:ind w:left="567" w:hanging="357"/>
        <w:rPr>
          <w:b w:val="0"/>
        </w:rPr>
      </w:pPr>
      <w:proofErr w:type="gramStart"/>
      <w:r w:rsidRPr="00794C2A">
        <w:rPr>
          <w:b w:val="0"/>
        </w:rPr>
        <w:t>work</w:t>
      </w:r>
      <w:proofErr w:type="gramEnd"/>
      <w:r w:rsidRPr="00794C2A">
        <w:rPr>
          <w:b w:val="0"/>
        </w:rPr>
        <w:t xml:space="preserve"> within the boundaries defined by the </w:t>
      </w:r>
      <w:r w:rsidRPr="00794C2A">
        <w:rPr>
          <w:b w:val="0"/>
          <w:i/>
        </w:rPr>
        <w:t>Water Act</w:t>
      </w:r>
      <w:r w:rsidR="004F3825" w:rsidRPr="00794C2A">
        <w:rPr>
          <w:b w:val="0"/>
          <w:i/>
        </w:rPr>
        <w:t xml:space="preserve"> 2007</w:t>
      </w:r>
      <w:r w:rsidRPr="00794C2A">
        <w:rPr>
          <w:b w:val="0"/>
        </w:rPr>
        <w:t>, the Basin Plan and relevant state water access and planning systems.</w:t>
      </w:r>
    </w:p>
    <w:p w14:paraId="5E93F082" w14:textId="77777777" w:rsidR="00283CBC" w:rsidRPr="00174DD3" w:rsidRDefault="00283CBC" w:rsidP="00283CBC">
      <w:pPr>
        <w:spacing w:after="120"/>
      </w:pPr>
    </w:p>
    <w:p w14:paraId="6C7E88BC" w14:textId="77777777" w:rsidR="00930F16" w:rsidRPr="00174DD3" w:rsidRDefault="00930F16">
      <w:pPr>
        <w:rPr>
          <w:color w:val="000000"/>
        </w:rPr>
      </w:pPr>
      <w:r w:rsidRPr="00174DD3">
        <w:rPr>
          <w:bCs/>
        </w:rPr>
        <w:t>S</w:t>
      </w:r>
      <w:r w:rsidRPr="00174DD3">
        <w:rPr>
          <w:color w:val="000000"/>
        </w:rPr>
        <w:t>tate government agencies in Victoria, N</w:t>
      </w:r>
      <w:r w:rsidR="004079F3">
        <w:rPr>
          <w:color w:val="000000"/>
        </w:rPr>
        <w:t xml:space="preserve">ew </w:t>
      </w:r>
      <w:r w:rsidRPr="00174DD3">
        <w:rPr>
          <w:color w:val="000000"/>
        </w:rPr>
        <w:t>S</w:t>
      </w:r>
      <w:r w:rsidR="004079F3">
        <w:rPr>
          <w:color w:val="000000"/>
        </w:rPr>
        <w:t xml:space="preserve">outh </w:t>
      </w:r>
      <w:r w:rsidRPr="00174DD3">
        <w:rPr>
          <w:color w:val="000000"/>
        </w:rPr>
        <w:t>W</w:t>
      </w:r>
      <w:r w:rsidR="004079F3">
        <w:rPr>
          <w:color w:val="000000"/>
        </w:rPr>
        <w:t>ales</w:t>
      </w:r>
      <w:r w:rsidRPr="00174DD3">
        <w:rPr>
          <w:color w:val="000000"/>
        </w:rPr>
        <w:t xml:space="preserve"> and South Australia will be responsible for the ongoing consultation with potentially affected landholders and communities on their proposals to deliver higher</w:t>
      </w:r>
      <w:r w:rsidRPr="00174DD3">
        <w:t xml:space="preserve"> flows while managing any potential impacts.</w:t>
      </w:r>
    </w:p>
    <w:p w14:paraId="4D508883" w14:textId="77777777" w:rsidR="005A168E" w:rsidRPr="00174DD3" w:rsidRDefault="005A168E" w:rsidP="00794C2A">
      <w:pPr>
        <w:pStyle w:val="ListParagraph"/>
        <w:spacing w:before="480"/>
      </w:pPr>
      <w:r w:rsidRPr="00174DD3">
        <w:t xml:space="preserve">The committee recommends that the MDBA review its communication methods, particularly with regard to projects still in development such constraints proposals, and improve its ability to incorporate the views of communities and landholders into decisions and reports. </w:t>
      </w:r>
    </w:p>
    <w:p w14:paraId="2591D8F1" w14:textId="77777777" w:rsidR="00E64DDB" w:rsidRDefault="00F82BB7">
      <w:r w:rsidRPr="00174DD3">
        <w:t>Agreed</w:t>
      </w:r>
      <w:r w:rsidR="00283F96">
        <w:t>.</w:t>
      </w:r>
    </w:p>
    <w:p w14:paraId="673C56BD" w14:textId="77777777" w:rsidR="00EA6A47" w:rsidRDefault="00103458">
      <w:r>
        <w:t>The M</w:t>
      </w:r>
      <w:r w:rsidR="00743057">
        <w:t>urr</w:t>
      </w:r>
      <w:r w:rsidR="00EA6A47">
        <w:t>a</w:t>
      </w:r>
      <w:r w:rsidR="00743057">
        <w:t>y</w:t>
      </w:r>
      <w:r w:rsidR="00B24F3B">
        <w:t>–</w:t>
      </w:r>
      <w:r w:rsidR="00743057">
        <w:t>Darling Basin Authority</w:t>
      </w:r>
      <w:r>
        <w:t xml:space="preserve"> has its communications methods under continuous review.</w:t>
      </w:r>
    </w:p>
    <w:p w14:paraId="10D86B8D" w14:textId="77777777" w:rsidR="005A168E" w:rsidRPr="00174DD3" w:rsidRDefault="005A168E" w:rsidP="00794C2A">
      <w:pPr>
        <w:pStyle w:val="ListParagraph"/>
        <w:spacing w:before="480"/>
      </w:pPr>
      <w:r w:rsidRPr="00174DD3">
        <w:t xml:space="preserve">The committee recommends the federal government work with the Victorian government to ensure adequate accountability and scrutiny of the Goulburn Murray Water Connections Project, by initiating a judicial inquiry into the operation of the Goulburn Murray Water Connections Project. Further, given the use of Commonwealth funds on the project, the committee recommends the Australian National Audit Office should consider an audit of the project. </w:t>
      </w:r>
    </w:p>
    <w:p w14:paraId="59A2C05C" w14:textId="77777777" w:rsidR="005860BA" w:rsidRPr="00174DD3" w:rsidRDefault="00D26383">
      <w:r>
        <w:t>No</w:t>
      </w:r>
      <w:r w:rsidR="00B2218E">
        <w:t>t</w:t>
      </w:r>
      <w:r>
        <w:t xml:space="preserve"> </w:t>
      </w:r>
      <w:r w:rsidR="004079F3">
        <w:t>a</w:t>
      </w:r>
      <w:r w:rsidR="000A0377" w:rsidRPr="00174DD3">
        <w:t>greed</w:t>
      </w:r>
      <w:r w:rsidR="00AF342A">
        <w:t>.</w:t>
      </w:r>
    </w:p>
    <w:p w14:paraId="53BA75D8" w14:textId="77777777" w:rsidR="005860BA" w:rsidRDefault="00715CBB">
      <w:r w:rsidRPr="00174DD3">
        <w:t>The Australian and Victorian governments jointly commissioned an independent review of the G</w:t>
      </w:r>
      <w:r w:rsidR="004079F3">
        <w:t>oulburn-</w:t>
      </w:r>
      <w:r w:rsidRPr="00174DD3">
        <w:t>M</w:t>
      </w:r>
      <w:r w:rsidR="004079F3">
        <w:t xml:space="preserve">urray </w:t>
      </w:r>
      <w:r w:rsidRPr="00174DD3">
        <w:t>W</w:t>
      </w:r>
      <w:r w:rsidR="004079F3">
        <w:t>ater</w:t>
      </w:r>
      <w:r w:rsidRPr="00174DD3">
        <w:t xml:space="preserve"> Connections Project Stage 2 </w:t>
      </w:r>
      <w:r w:rsidR="00116530" w:rsidRPr="00174DD3">
        <w:t xml:space="preserve">which </w:t>
      </w:r>
      <w:r w:rsidRPr="00174DD3">
        <w:t>identified concerns about the ability of the project to deliver the agreed outcomes on time and within budget.</w:t>
      </w:r>
      <w:r w:rsidR="005B1ACC">
        <w:t xml:space="preserve"> </w:t>
      </w:r>
      <w:r w:rsidR="00116530" w:rsidRPr="00174DD3">
        <w:t>In response to the review</w:t>
      </w:r>
      <w:r w:rsidR="00D26383">
        <w:t>,</w:t>
      </w:r>
      <w:r w:rsidR="00116530" w:rsidRPr="00174DD3">
        <w:t xml:space="preserve"> the </w:t>
      </w:r>
      <w:r w:rsidR="005860BA" w:rsidRPr="00174DD3">
        <w:t>Victorian Government</w:t>
      </w:r>
      <w:r w:rsidR="00D26383">
        <w:t xml:space="preserve"> - </w:t>
      </w:r>
      <w:r w:rsidR="005860BA" w:rsidRPr="00174DD3">
        <w:t>which is responsible for delivering the project</w:t>
      </w:r>
      <w:r w:rsidR="00D26383">
        <w:t xml:space="preserve"> </w:t>
      </w:r>
      <w:r w:rsidR="00F37992">
        <w:t>-</w:t>
      </w:r>
      <w:r w:rsidR="00D26383">
        <w:t xml:space="preserve"> is resetting </w:t>
      </w:r>
      <w:r w:rsidR="005860BA" w:rsidRPr="00174DD3">
        <w:t>the project</w:t>
      </w:r>
      <w:r w:rsidR="00116530" w:rsidRPr="00174DD3">
        <w:t xml:space="preserve"> using the </w:t>
      </w:r>
      <w:r w:rsidR="00116530" w:rsidRPr="00174DD3">
        <w:lastRenderedPageBreak/>
        <w:t>remaining funding</w:t>
      </w:r>
      <w:r w:rsidR="00D26383">
        <w:t>.</w:t>
      </w:r>
      <w:r w:rsidR="000F1883">
        <w:t xml:space="preserve"> </w:t>
      </w:r>
      <w:r w:rsidR="000F1883" w:rsidRPr="000F1883">
        <w:t>The reset announc</w:t>
      </w:r>
      <w:r w:rsidR="000F1883">
        <w:t xml:space="preserve">ed by the Hon. Lisa Neville on </w:t>
      </w:r>
      <w:r w:rsidR="000F1883" w:rsidRPr="000F1883">
        <w:t>7</w:t>
      </w:r>
      <w:r w:rsidR="000F1883">
        <w:t> </w:t>
      </w:r>
      <w:r w:rsidR="000F1883" w:rsidRPr="000F1883">
        <w:t>September 2016 was agreed with the Australian Government.</w:t>
      </w:r>
    </w:p>
    <w:p w14:paraId="3347B2F1" w14:textId="77777777" w:rsidR="00715CBB" w:rsidRDefault="00715CBB">
      <w:r w:rsidRPr="00174DD3">
        <w:t xml:space="preserve">The </w:t>
      </w:r>
      <w:r w:rsidR="004079F3">
        <w:t>Auditor-</w:t>
      </w:r>
      <w:r w:rsidR="00F37992">
        <w:t>General</w:t>
      </w:r>
      <w:r w:rsidR="00777031">
        <w:t>, Mr Grant Hehir</w:t>
      </w:r>
      <w:r w:rsidRPr="00174DD3">
        <w:t xml:space="preserve"> has advised the </w:t>
      </w:r>
      <w:r w:rsidR="008F0FB2">
        <w:t>Inquiry C</w:t>
      </w:r>
      <w:r w:rsidRPr="00174DD3">
        <w:t>ommittee that on the basis of the number of previous investigations and reviews undertaken, and the commitment</w:t>
      </w:r>
      <w:r w:rsidR="006D2181">
        <w:t>s</w:t>
      </w:r>
      <w:r w:rsidRPr="00174DD3">
        <w:t xml:space="preserve"> of the Australian and Victorian Governments, </w:t>
      </w:r>
      <w:r w:rsidR="00777031">
        <w:t>he</w:t>
      </w:r>
      <w:r w:rsidR="00216193" w:rsidRPr="00174DD3">
        <w:t xml:space="preserve"> does</w:t>
      </w:r>
      <w:r w:rsidRPr="00174DD3">
        <w:t xml:space="preserve"> not intend to commence an audit of the project at this time.</w:t>
      </w:r>
    </w:p>
    <w:p w14:paraId="60A8885D" w14:textId="77777777" w:rsidR="005A168E" w:rsidRPr="00174DD3" w:rsidRDefault="005A168E" w:rsidP="00794C2A">
      <w:pPr>
        <w:pStyle w:val="ListParagraph"/>
        <w:spacing w:before="480"/>
      </w:pPr>
      <w:r w:rsidRPr="00174DD3">
        <w:t>The committee recommends the government evaluate the effect on irrigators and the environment of the SA government purchasing irrigation water on the water market while declining to use its desalination plant. The committee also recommends the government undertake a study of the cost of upgrading pipeline delivery of water to irrigators and livestock owners on both sides of the lower lakes.</w:t>
      </w:r>
    </w:p>
    <w:p w14:paraId="3C843632" w14:textId="77777777" w:rsidR="00E64DDB" w:rsidRDefault="00E64DDB">
      <w:r w:rsidRPr="00174DD3">
        <w:t>Agreed</w:t>
      </w:r>
      <w:r w:rsidR="002804A4" w:rsidRPr="00174DD3">
        <w:t xml:space="preserve"> in part</w:t>
      </w:r>
      <w:r w:rsidR="00AF342A">
        <w:t>.</w:t>
      </w:r>
    </w:p>
    <w:p w14:paraId="371FF0E9" w14:textId="77777777" w:rsidR="00350AE9" w:rsidRPr="00794C2A" w:rsidRDefault="00350AE9" w:rsidP="00970275">
      <w:pPr>
        <w:rPr>
          <w:b/>
        </w:rPr>
      </w:pPr>
      <w:r w:rsidRPr="00174DD3">
        <w:t xml:space="preserve">The </w:t>
      </w:r>
      <w:r w:rsidR="000F1883">
        <w:t>Australian Government’s</w:t>
      </w:r>
      <w:r w:rsidRPr="00174DD3">
        <w:t xml:space="preserve"> </w:t>
      </w:r>
      <w:r w:rsidR="00BC575D" w:rsidRPr="00174DD3">
        <w:t xml:space="preserve">financial </w:t>
      </w:r>
      <w:r w:rsidRPr="00174DD3">
        <w:t xml:space="preserve">contribution </w:t>
      </w:r>
      <w:r w:rsidR="00BC575D" w:rsidRPr="00174DD3">
        <w:t>to the Adelaide desalination plant was</w:t>
      </w:r>
      <w:r w:rsidRPr="00174DD3">
        <w:t xml:space="preserve"> subject to South Australia reducing its reliance on the River Murray as detailed in the </w:t>
      </w:r>
      <w:r w:rsidRPr="00174DD3">
        <w:rPr>
          <w:i/>
        </w:rPr>
        <w:t>Implementation Plan for Augmentation of the Adelaide Desalination Plant</w:t>
      </w:r>
      <w:r w:rsidRPr="00174DD3">
        <w:t xml:space="preserve">. </w:t>
      </w:r>
    </w:p>
    <w:p w14:paraId="5F69DED4" w14:textId="77777777" w:rsidR="00350AE9" w:rsidRPr="00174DD3" w:rsidRDefault="00350AE9">
      <w:r w:rsidRPr="00174DD3">
        <w:t xml:space="preserve">South Australia has provided annual reports on Environmental Water Allocations, use and outcomes in line with the requirements in Schedule 1 of the Implementation Plan. </w:t>
      </w:r>
    </w:p>
    <w:p w14:paraId="7B965017" w14:textId="77777777" w:rsidR="006C5084" w:rsidRDefault="00A406EF" w:rsidP="000E09FA">
      <w:r w:rsidRPr="00174DD3">
        <w:t>SA Water trade is subject to the Basin Plan water trading rules, and their own State water trading rules. These rules are consistent for all water market participants.</w:t>
      </w:r>
    </w:p>
    <w:p w14:paraId="508B83D5" w14:textId="2BF766AD" w:rsidR="000F0A21" w:rsidRDefault="00982C52" w:rsidP="00976532">
      <w:pPr>
        <w:spacing w:after="120"/>
      </w:pPr>
      <w:r>
        <w:t xml:space="preserve">Under the Sustainable Rural Water Use </w:t>
      </w:r>
      <w:r w:rsidR="00553C33">
        <w:t xml:space="preserve">and </w:t>
      </w:r>
      <w:r>
        <w:t>I</w:t>
      </w:r>
      <w:r w:rsidR="00553C33">
        <w:t>nfrastructure</w:t>
      </w:r>
      <w:r>
        <w:t xml:space="preserve"> Program, t</w:t>
      </w:r>
      <w:r w:rsidR="0055767C">
        <w:t xml:space="preserve">he Government provided </w:t>
      </w:r>
      <w:r w:rsidR="00FA6C80">
        <w:t>$</w:t>
      </w:r>
      <w:r w:rsidR="000F0A21">
        <w:t xml:space="preserve">116.9 </w:t>
      </w:r>
      <w:r w:rsidR="0018648E">
        <w:t xml:space="preserve">million </w:t>
      </w:r>
      <w:r w:rsidR="000F0A21">
        <w:t xml:space="preserve">to South Australia to fund a suite of projects under </w:t>
      </w:r>
      <w:r w:rsidR="000F0A21">
        <w:lastRenderedPageBreak/>
        <w:t xml:space="preserve">South Australia’s </w:t>
      </w:r>
      <w:r w:rsidR="000F0A21" w:rsidRPr="004B61DE">
        <w:rPr>
          <w:i/>
        </w:rPr>
        <w:t xml:space="preserve">Lower Lakes Integrated </w:t>
      </w:r>
      <w:r w:rsidR="004B61DE">
        <w:rPr>
          <w:i/>
        </w:rPr>
        <w:t>P</w:t>
      </w:r>
      <w:r w:rsidR="000F0A21" w:rsidRPr="004B61DE">
        <w:rPr>
          <w:i/>
        </w:rPr>
        <w:t>ipeline Project</w:t>
      </w:r>
      <w:r w:rsidR="000F0A21">
        <w:t>.  Three components funded</w:t>
      </w:r>
      <w:r w:rsidR="004B61DE">
        <w:t xml:space="preserve"> were</w:t>
      </w:r>
      <w:r w:rsidR="000F0A21">
        <w:t>:</w:t>
      </w:r>
    </w:p>
    <w:p w14:paraId="134D576D" w14:textId="77777777" w:rsidR="00D30523" w:rsidRPr="004B61DE" w:rsidRDefault="00841B57" w:rsidP="004B61DE">
      <w:pPr>
        <w:pStyle w:val="ListParagraph"/>
        <w:numPr>
          <w:ilvl w:val="0"/>
          <w:numId w:val="28"/>
        </w:numPr>
        <w:spacing w:after="120"/>
        <w:ind w:left="567" w:hanging="357"/>
        <w:rPr>
          <w:b w:val="0"/>
        </w:rPr>
      </w:pPr>
      <w:r w:rsidRPr="004B61DE">
        <w:rPr>
          <w:b w:val="0"/>
        </w:rPr>
        <w:t>Irrigation Water Component</w:t>
      </w:r>
      <w:r w:rsidR="00D30523" w:rsidRPr="004B61DE">
        <w:rPr>
          <w:b w:val="0"/>
        </w:rPr>
        <w:t xml:space="preserve"> -</w:t>
      </w:r>
      <w:r w:rsidRPr="004B61DE">
        <w:rPr>
          <w:b w:val="0"/>
        </w:rPr>
        <w:t xml:space="preserve"> </w:t>
      </w:r>
      <w:r w:rsidR="00FA6C80" w:rsidRPr="004B61DE">
        <w:rPr>
          <w:b w:val="0"/>
        </w:rPr>
        <w:t xml:space="preserve">to </w:t>
      </w:r>
      <w:r w:rsidRPr="004B61DE">
        <w:rPr>
          <w:b w:val="0"/>
        </w:rPr>
        <w:t>supply</w:t>
      </w:r>
      <w:r w:rsidR="00F33549" w:rsidRPr="004B61DE">
        <w:rPr>
          <w:b w:val="0"/>
        </w:rPr>
        <w:t xml:space="preserve"> irrigation water from the River Murray at Jervois to the Langhorne Creek and Currency Creek districts.</w:t>
      </w:r>
    </w:p>
    <w:p w14:paraId="191FAA4C" w14:textId="77777777" w:rsidR="00D30523" w:rsidRPr="004B61DE" w:rsidRDefault="00841B57" w:rsidP="004B61DE">
      <w:pPr>
        <w:pStyle w:val="ListParagraph"/>
        <w:numPr>
          <w:ilvl w:val="0"/>
          <w:numId w:val="28"/>
        </w:numPr>
        <w:spacing w:after="120"/>
        <w:ind w:left="567" w:hanging="357"/>
        <w:rPr>
          <w:b w:val="0"/>
        </w:rPr>
      </w:pPr>
      <w:r w:rsidRPr="004B61DE">
        <w:rPr>
          <w:b w:val="0"/>
        </w:rPr>
        <w:t>Potable</w:t>
      </w:r>
      <w:r w:rsidR="00736BE2" w:rsidRPr="004B61DE">
        <w:rPr>
          <w:b w:val="0"/>
        </w:rPr>
        <w:t xml:space="preserve"> W</w:t>
      </w:r>
      <w:r w:rsidRPr="004B61DE">
        <w:rPr>
          <w:b w:val="0"/>
        </w:rPr>
        <w:t xml:space="preserve">ater </w:t>
      </w:r>
      <w:r w:rsidR="00736BE2" w:rsidRPr="004B61DE">
        <w:rPr>
          <w:b w:val="0"/>
        </w:rPr>
        <w:t>Component</w:t>
      </w:r>
      <w:r w:rsidR="00D30523" w:rsidRPr="004B61DE">
        <w:rPr>
          <w:b w:val="0"/>
        </w:rPr>
        <w:t xml:space="preserve"> - t</w:t>
      </w:r>
      <w:r w:rsidR="00736BE2" w:rsidRPr="004B61DE">
        <w:rPr>
          <w:b w:val="0"/>
        </w:rPr>
        <w:t xml:space="preserve">o supply </w:t>
      </w:r>
      <w:r w:rsidRPr="004B61DE">
        <w:rPr>
          <w:b w:val="0"/>
        </w:rPr>
        <w:t xml:space="preserve">stock and domestic water to Narrung and </w:t>
      </w:r>
      <w:proofErr w:type="spellStart"/>
      <w:r w:rsidRPr="004B61DE">
        <w:rPr>
          <w:b w:val="0"/>
        </w:rPr>
        <w:t>Poltallock</w:t>
      </w:r>
      <w:proofErr w:type="spellEnd"/>
      <w:r w:rsidRPr="004B61DE">
        <w:rPr>
          <w:b w:val="0"/>
        </w:rPr>
        <w:t xml:space="preserve"> Peninsulas adjacent to Lake Albert and the Langhorne Creek District</w:t>
      </w:r>
      <w:r w:rsidR="00D30523" w:rsidRPr="004B61DE">
        <w:rPr>
          <w:b w:val="0"/>
        </w:rPr>
        <w:t>; and</w:t>
      </w:r>
    </w:p>
    <w:p w14:paraId="6ED4D3D6" w14:textId="65AC4695" w:rsidR="000519A6" w:rsidRPr="000519A6" w:rsidRDefault="00D30523" w:rsidP="000519A6">
      <w:pPr>
        <w:pStyle w:val="ListParagraph"/>
        <w:numPr>
          <w:ilvl w:val="0"/>
          <w:numId w:val="28"/>
        </w:numPr>
        <w:spacing w:after="120"/>
        <w:ind w:left="567" w:hanging="357"/>
      </w:pPr>
      <w:r w:rsidRPr="004B61DE">
        <w:rPr>
          <w:b w:val="0"/>
        </w:rPr>
        <w:t>Point Sturt and Hindmarsh Island Potable Water Pipelines component – to supply potable water for stock and domestic purposes to communities on Sturt Peninsula and Hindmarsh Island.</w:t>
      </w:r>
    </w:p>
    <w:p w14:paraId="75CFBBB7" w14:textId="7246B06D" w:rsidR="008F0FB2" w:rsidRDefault="000519A6" w:rsidP="000519A6">
      <w:pPr>
        <w:spacing w:after="120"/>
      </w:pPr>
      <w:r w:rsidRPr="000519A6">
        <w:t>Any further investment in upgrading pipelines for irrigators and livestock owners at the Lower Lakes is a matter for the South Australian Government.</w:t>
      </w:r>
      <w:r>
        <w:t xml:space="preserve">  </w:t>
      </w:r>
    </w:p>
    <w:p w14:paraId="3D6148CD" w14:textId="77777777" w:rsidR="005A168E" w:rsidRPr="00174DD3" w:rsidRDefault="005A168E" w:rsidP="00794C2A">
      <w:pPr>
        <w:pStyle w:val="ListParagraph"/>
        <w:spacing w:before="480"/>
      </w:pPr>
      <w:r w:rsidRPr="00174DD3">
        <w:t xml:space="preserve">The committee recommends that Bird Island be removed by the South Australian Government and MDBA to improve water flow through the Murray mouth. </w:t>
      </w:r>
    </w:p>
    <w:p w14:paraId="5832BAE9" w14:textId="77777777" w:rsidR="00E64DDB" w:rsidRPr="00174DD3" w:rsidRDefault="004A6893">
      <w:r w:rsidRPr="00174DD3">
        <w:t>Not agreed</w:t>
      </w:r>
      <w:r w:rsidR="00AF342A">
        <w:t>.</w:t>
      </w:r>
    </w:p>
    <w:p w14:paraId="2D395FB4" w14:textId="7501BC2C" w:rsidR="004A6893" w:rsidRDefault="004A6893">
      <w:r w:rsidRPr="00174DD3">
        <w:t>A combination of barrage flows and dredging is achieving the minimum connectivity targets required to allow sufficient tidal exchange between the ocean and the Coorong. This program</w:t>
      </w:r>
      <w:r w:rsidR="00D934AE">
        <w:t>me</w:t>
      </w:r>
      <w:r w:rsidRPr="00174DD3">
        <w:t xml:space="preserve"> is managed under arrangements agreed by all Basin governments.</w:t>
      </w:r>
    </w:p>
    <w:p w14:paraId="0D1934D1" w14:textId="4D33B11F" w:rsidR="000D781D" w:rsidRDefault="000F1883">
      <w:r>
        <w:t xml:space="preserve">The wet winter in the eastern states has produced large, unregulated flows down the river system. Recent wet conditions have significantly increased the volumes </w:t>
      </w:r>
      <w:r w:rsidR="00D84F8E">
        <w:t xml:space="preserve">of </w:t>
      </w:r>
      <w:r>
        <w:t>water flowing over the barrages. These flows serve a number of important functions, such as improving water quality by flushing salt from the system and alleviating the need for dredging.</w:t>
      </w:r>
      <w:r w:rsidR="000D781D">
        <w:t xml:space="preserve">  </w:t>
      </w:r>
    </w:p>
    <w:p w14:paraId="1B0BE0CA" w14:textId="77777777" w:rsidR="00AF7FA2" w:rsidRDefault="004A6893" w:rsidP="00871F50">
      <w:r w:rsidRPr="00174DD3">
        <w:lastRenderedPageBreak/>
        <w:t xml:space="preserve">Removing Bird Island and other additional accumulated sand will not only require a </w:t>
      </w:r>
      <w:r w:rsidR="006C5084">
        <w:t xml:space="preserve">major </w:t>
      </w:r>
      <w:r w:rsidRPr="00174DD3">
        <w:t>one</w:t>
      </w:r>
      <w:r w:rsidR="006C5084">
        <w:noBreakHyphen/>
        <w:t>o</w:t>
      </w:r>
      <w:r w:rsidRPr="00174DD3">
        <w:t>ff expense but would also incur additional dredging effort and cost into the future, as increasing connectivity increases the rate of sand deposition.</w:t>
      </w:r>
    </w:p>
    <w:p w14:paraId="31BB54F7" w14:textId="77777777" w:rsidR="005A168E" w:rsidRPr="00174DD3" w:rsidRDefault="005A168E" w:rsidP="00794C2A">
      <w:pPr>
        <w:pStyle w:val="ListParagraph"/>
        <w:spacing w:before="480"/>
      </w:pPr>
      <w:r w:rsidRPr="00174DD3">
        <w:t xml:space="preserve">The committee recommends the MDBA calculate the economic value of fresh water evaporated from the lower lakes. </w:t>
      </w:r>
    </w:p>
    <w:p w14:paraId="7AB74851" w14:textId="77777777" w:rsidR="00405028" w:rsidRDefault="00231C43" w:rsidP="00794C2A">
      <w:r>
        <w:t>Not a</w:t>
      </w:r>
      <w:r w:rsidR="006C5084">
        <w:t>greed.</w:t>
      </w:r>
    </w:p>
    <w:p w14:paraId="645E3B4B" w14:textId="77777777" w:rsidR="006C5084" w:rsidRPr="00174DD3" w:rsidRDefault="006C5084" w:rsidP="00794C2A">
      <w:r>
        <w:t xml:space="preserve">Such an analysis would imply an objective of drying the </w:t>
      </w:r>
      <w:r w:rsidR="0068458C">
        <w:t>L</w:t>
      </w:r>
      <w:r>
        <w:t>ower Lakes, which is not the Government’s intention.</w:t>
      </w:r>
    </w:p>
    <w:p w14:paraId="0E158D6E" w14:textId="77777777" w:rsidR="00405028" w:rsidRPr="00174DD3" w:rsidRDefault="00405028" w:rsidP="00794C2A">
      <w:pPr>
        <w:pStyle w:val="ListParagraph"/>
        <w:spacing w:before="480"/>
      </w:pPr>
      <w:r w:rsidRPr="00174DD3">
        <w:t xml:space="preserve">The committee recommends the government undertake a detailed study to inform whether a reassessment of the Coorong's </w:t>
      </w:r>
      <w:proofErr w:type="spellStart"/>
      <w:r w:rsidRPr="00174DD3">
        <w:t>Ramsar</w:t>
      </w:r>
      <w:proofErr w:type="spellEnd"/>
      <w:r w:rsidRPr="00174DD3">
        <w:t xml:space="preserve"> listing from a fresh water system to an estuarine system is more appropriate. </w:t>
      </w:r>
    </w:p>
    <w:p w14:paraId="6BDF7EFD" w14:textId="77777777" w:rsidR="00E64DDB" w:rsidRPr="00174DD3" w:rsidRDefault="00784AD8">
      <w:r w:rsidRPr="00174DD3">
        <w:t>Not agreed</w:t>
      </w:r>
      <w:r w:rsidR="000452EA">
        <w:t>.</w:t>
      </w:r>
    </w:p>
    <w:p w14:paraId="78179B6E" w14:textId="77777777" w:rsidR="0044777D" w:rsidRPr="00174DD3" w:rsidRDefault="0044777D">
      <w:r w:rsidRPr="00174DD3">
        <w:t xml:space="preserve">The Coorong, Lakes Alexandrina and Albert Wetland </w:t>
      </w:r>
      <w:proofErr w:type="spellStart"/>
      <w:r w:rsidRPr="00174DD3">
        <w:t>Ramsar</w:t>
      </w:r>
      <w:proofErr w:type="spellEnd"/>
      <w:r w:rsidRPr="00174DD3">
        <w:t xml:space="preserve"> site comprises twenty-three wetland types, including estuarine waters, coastal brackish/saline lagoons, permanent freshwater lakes, permanent freshwater marshes, and seasonally flooded agricultural land. As such, it is not listed primarily as a freshwater system, but as a complex of freshwater, estuarine and saline wetlands.</w:t>
      </w:r>
    </w:p>
    <w:p w14:paraId="3CB2BDFA" w14:textId="77777777" w:rsidR="006D0851" w:rsidRPr="00174DD3" w:rsidRDefault="00895474">
      <w:r>
        <w:t xml:space="preserve">The </w:t>
      </w:r>
      <w:r w:rsidR="006D0851" w:rsidRPr="00174DD3">
        <w:t>South Australia</w:t>
      </w:r>
      <w:r>
        <w:t>n Government</w:t>
      </w:r>
      <w:r w:rsidR="006D0851" w:rsidRPr="00174DD3">
        <w:t xml:space="preserve"> is about to update the </w:t>
      </w:r>
      <w:proofErr w:type="spellStart"/>
      <w:r w:rsidR="006D0851" w:rsidRPr="00174DD3">
        <w:t>Ramsar</w:t>
      </w:r>
      <w:proofErr w:type="spellEnd"/>
      <w:r w:rsidR="006D0851" w:rsidRPr="00174DD3">
        <w:t xml:space="preserve"> Management Plan</w:t>
      </w:r>
      <w:r w:rsidR="00F74F02">
        <w:t xml:space="preserve"> that is</w:t>
      </w:r>
      <w:r w:rsidR="00DC1DCA" w:rsidRPr="00174DD3">
        <w:t xml:space="preserve"> anticipated to</w:t>
      </w:r>
      <w:r w:rsidR="006D0851" w:rsidRPr="00174DD3">
        <w:t xml:space="preserve"> include variable water levels actions, and management triggers for salinity and ecological connectivity</w:t>
      </w:r>
      <w:r w:rsidR="00F74F02">
        <w:t>,</w:t>
      </w:r>
      <w:r w:rsidR="006D0851" w:rsidRPr="00174DD3">
        <w:t xml:space="preserve"> including Murray Mouth openness.</w:t>
      </w:r>
    </w:p>
    <w:p w14:paraId="302EF2C4" w14:textId="77777777" w:rsidR="005A168E" w:rsidRPr="00174DD3" w:rsidRDefault="005A168E" w:rsidP="00794C2A">
      <w:pPr>
        <w:pStyle w:val="ListParagraph"/>
        <w:spacing w:before="480"/>
      </w:pPr>
      <w:r w:rsidRPr="00174DD3">
        <w:t xml:space="preserve">The committee recommends the government undertake cost-benefit analyses of the following options for adapting the management of the Lower Lakes and Coorong, and their social, economic and environmental impacts throughout the basin: </w:t>
      </w:r>
    </w:p>
    <w:p w14:paraId="142425F8" w14:textId="77777777" w:rsidR="005A168E" w:rsidRPr="000452EA" w:rsidRDefault="005A168E" w:rsidP="00794C2A">
      <w:pPr>
        <w:pStyle w:val="ListParagraph"/>
        <w:numPr>
          <w:ilvl w:val="0"/>
          <w:numId w:val="36"/>
        </w:numPr>
        <w:spacing w:after="120"/>
      </w:pPr>
      <w:r w:rsidRPr="000452EA">
        <w:lastRenderedPageBreak/>
        <w:t xml:space="preserve">removing all of the barrages; </w:t>
      </w:r>
    </w:p>
    <w:p w14:paraId="49D149A0" w14:textId="77777777" w:rsidR="005A168E" w:rsidRPr="000452EA" w:rsidRDefault="005A168E" w:rsidP="00794C2A">
      <w:pPr>
        <w:pStyle w:val="ListParagraph"/>
        <w:numPr>
          <w:ilvl w:val="0"/>
          <w:numId w:val="36"/>
        </w:numPr>
        <w:spacing w:after="120"/>
      </w:pPr>
      <w:r w:rsidRPr="000452EA">
        <w:t xml:space="preserve">removing some of the barrages; </w:t>
      </w:r>
    </w:p>
    <w:p w14:paraId="7D02513E" w14:textId="77777777" w:rsidR="005A168E" w:rsidRPr="000452EA" w:rsidRDefault="005A168E" w:rsidP="00794C2A">
      <w:pPr>
        <w:pStyle w:val="ListParagraph"/>
        <w:numPr>
          <w:ilvl w:val="0"/>
          <w:numId w:val="36"/>
        </w:numPr>
        <w:spacing w:after="120"/>
      </w:pPr>
      <w:r w:rsidRPr="000452EA">
        <w:t xml:space="preserve">modifying some of the barrages (such as </w:t>
      </w:r>
      <w:proofErr w:type="spellStart"/>
      <w:r w:rsidRPr="000452EA">
        <w:t>Tauwitcherie</w:t>
      </w:r>
      <w:proofErr w:type="spellEnd"/>
      <w:r w:rsidRPr="000452EA">
        <w:t xml:space="preserve"> and </w:t>
      </w:r>
      <w:proofErr w:type="spellStart"/>
      <w:r w:rsidRPr="000452EA">
        <w:t>Mundoo</w:t>
      </w:r>
      <w:proofErr w:type="spellEnd"/>
      <w:r w:rsidRPr="000452EA">
        <w:t xml:space="preserve">); </w:t>
      </w:r>
    </w:p>
    <w:p w14:paraId="5CF3BAB9" w14:textId="77777777" w:rsidR="005A168E" w:rsidRPr="000452EA" w:rsidRDefault="005A168E" w:rsidP="00794C2A">
      <w:pPr>
        <w:pStyle w:val="ListParagraph"/>
        <w:numPr>
          <w:ilvl w:val="0"/>
          <w:numId w:val="36"/>
        </w:numPr>
        <w:spacing w:after="120"/>
      </w:pPr>
      <w:r w:rsidRPr="000452EA">
        <w:t xml:space="preserve">allowing the ingress of salt water into the Lower Lakes during periods of low flow; and </w:t>
      </w:r>
    </w:p>
    <w:p w14:paraId="0D4F2726" w14:textId="77777777" w:rsidR="0054614F" w:rsidRPr="000452EA" w:rsidRDefault="005A168E">
      <w:pPr>
        <w:pStyle w:val="ListParagraph"/>
        <w:numPr>
          <w:ilvl w:val="0"/>
          <w:numId w:val="36"/>
        </w:numPr>
      </w:pPr>
      <w:proofErr w:type="gramStart"/>
      <w:r w:rsidRPr="000452EA">
        <w:t>investigating</w:t>
      </w:r>
      <w:proofErr w:type="gramEnd"/>
      <w:r w:rsidRPr="000452EA">
        <w:t xml:space="preserve"> the construction of an additional lock at a location above Lake Alexandrina, such as near Wellington, SA, either in concert with the above options or as a single change. </w:t>
      </w:r>
      <w:r w:rsidR="00282396" w:rsidRPr="00207714">
        <w:rPr>
          <w:highlight w:val="yellow"/>
        </w:rPr>
        <w:t xml:space="preserve"> </w:t>
      </w:r>
    </w:p>
    <w:p w14:paraId="309D8B69" w14:textId="77777777" w:rsidR="005A168E" w:rsidRPr="000452EA" w:rsidRDefault="005A168E" w:rsidP="00794C2A">
      <w:pPr>
        <w:pStyle w:val="ListParagraph"/>
        <w:numPr>
          <w:ilvl w:val="0"/>
          <w:numId w:val="0"/>
        </w:numPr>
        <w:ind w:left="397"/>
      </w:pPr>
      <w:r w:rsidRPr="000452EA">
        <w:t xml:space="preserve">Should such analysis indicate that one or more of these leads to more positive social, economic and environmental outcomes than the current basin plan, the committee recommends the Plan be amended accordingly. </w:t>
      </w:r>
    </w:p>
    <w:p w14:paraId="26FA143C" w14:textId="77777777" w:rsidR="00F61B83" w:rsidRPr="00174DD3" w:rsidRDefault="0054614F" w:rsidP="00794C2A">
      <w:r>
        <w:t>Agreed in principle.</w:t>
      </w:r>
    </w:p>
    <w:p w14:paraId="62E71A83" w14:textId="77777777" w:rsidR="00F61B83" w:rsidRDefault="00F61B83">
      <w:r w:rsidRPr="00174DD3">
        <w:t>The Australian Government</w:t>
      </w:r>
      <w:r w:rsidR="0054614F">
        <w:t xml:space="preserve"> has already funded the preparation of the </w:t>
      </w:r>
      <w:r w:rsidR="00D76894">
        <w:t>‘</w:t>
      </w:r>
      <w:r w:rsidR="00360023" w:rsidRPr="00425E74">
        <w:t>Coorong, Lower Lakes and Murray Mouth Recovery Project</w:t>
      </w:r>
      <w:r w:rsidR="00470D21">
        <w:t>’</w:t>
      </w:r>
      <w:r w:rsidR="0054614F">
        <w:rPr>
          <w:i/>
        </w:rPr>
        <w:t>.</w:t>
      </w:r>
      <w:r w:rsidR="00804A93">
        <w:t xml:space="preserve"> </w:t>
      </w:r>
      <w:r w:rsidR="00470D21">
        <w:t>From this project</w:t>
      </w:r>
      <w:r w:rsidR="0054614F">
        <w:t xml:space="preserve"> </w:t>
      </w:r>
      <w:r w:rsidR="00470D21">
        <w:t>‘</w:t>
      </w:r>
      <w:r w:rsidR="00B16DD1" w:rsidRPr="00B16DD1">
        <w:t>A long-term plan for the Coorong, Lower Lakes and Murray Mouth</w:t>
      </w:r>
      <w:r w:rsidR="00470D21">
        <w:t xml:space="preserve">’ was </w:t>
      </w:r>
      <w:r w:rsidR="00804A93">
        <w:t>developed t</w:t>
      </w:r>
      <w:r w:rsidR="00470D21">
        <w:t>o</w:t>
      </w:r>
      <w:r w:rsidR="00804A93">
        <w:t xml:space="preserve"> </w:t>
      </w:r>
      <w:r w:rsidR="0054614F">
        <w:t xml:space="preserve">address the problems facing the </w:t>
      </w:r>
      <w:r w:rsidR="00360023">
        <w:t>L</w:t>
      </w:r>
      <w:r w:rsidR="0054614F">
        <w:t>ower Lakes and Co</w:t>
      </w:r>
      <w:r w:rsidR="00F23A72">
        <w:t>o</w:t>
      </w:r>
      <w:r w:rsidR="0054614F">
        <w:t>rong</w:t>
      </w:r>
      <w:r w:rsidR="00F23A72">
        <w:t xml:space="preserve"> </w:t>
      </w:r>
      <w:r w:rsidR="0054614F">
        <w:t>by</w:t>
      </w:r>
      <w:r w:rsidR="00587C9A" w:rsidRPr="00174DD3">
        <w:t>:</w:t>
      </w:r>
    </w:p>
    <w:p w14:paraId="56F0EFD3" w14:textId="77777777" w:rsidR="00282396" w:rsidRPr="00794C2A" w:rsidRDefault="00282396" w:rsidP="00794C2A">
      <w:pPr>
        <w:pStyle w:val="ListParagraph"/>
        <w:numPr>
          <w:ilvl w:val="0"/>
          <w:numId w:val="28"/>
        </w:numPr>
        <w:spacing w:after="120"/>
        <w:ind w:left="567" w:hanging="357"/>
        <w:rPr>
          <w:b w:val="0"/>
        </w:rPr>
      </w:pPr>
      <w:r w:rsidRPr="00794C2A">
        <w:rPr>
          <w:b w:val="0"/>
        </w:rPr>
        <w:t>restor</w:t>
      </w:r>
      <w:r w:rsidR="0054614F" w:rsidRPr="00794C2A">
        <w:rPr>
          <w:b w:val="0"/>
        </w:rPr>
        <w:t>ing</w:t>
      </w:r>
      <w:r w:rsidRPr="00794C2A">
        <w:rPr>
          <w:b w:val="0"/>
        </w:rPr>
        <w:t xml:space="preserve"> Coorong lagoons, lake and lakeshore habitat through revegetation, translocation of </w:t>
      </w:r>
      <w:proofErr w:type="spellStart"/>
      <w:r w:rsidRPr="00794C2A">
        <w:rPr>
          <w:b w:val="0"/>
        </w:rPr>
        <w:t>Ruppia</w:t>
      </w:r>
      <w:proofErr w:type="spellEnd"/>
      <w:r w:rsidRPr="00794C2A">
        <w:rPr>
          <w:b w:val="0"/>
        </w:rPr>
        <w:t>, management of pests and pr</w:t>
      </w:r>
      <w:r w:rsidR="001134EC" w:rsidRPr="00794C2A">
        <w:rPr>
          <w:b w:val="0"/>
        </w:rPr>
        <w:t>otective fencing</w:t>
      </w:r>
      <w:r w:rsidR="0054614F" w:rsidRPr="00794C2A">
        <w:rPr>
          <w:b w:val="0"/>
        </w:rPr>
        <w:t>;</w:t>
      </w:r>
    </w:p>
    <w:p w14:paraId="742D627E" w14:textId="77777777" w:rsidR="00282396" w:rsidRPr="00794C2A" w:rsidRDefault="00925B7E" w:rsidP="00794C2A">
      <w:pPr>
        <w:pStyle w:val="ListParagraph"/>
        <w:numPr>
          <w:ilvl w:val="0"/>
          <w:numId w:val="28"/>
        </w:numPr>
        <w:spacing w:after="120"/>
        <w:ind w:left="567" w:hanging="357"/>
        <w:rPr>
          <w:b w:val="0"/>
        </w:rPr>
      </w:pPr>
      <w:r w:rsidRPr="00794C2A">
        <w:rPr>
          <w:b w:val="0"/>
        </w:rPr>
        <w:t>m</w:t>
      </w:r>
      <w:r w:rsidR="00282396" w:rsidRPr="00794C2A">
        <w:rPr>
          <w:b w:val="0"/>
        </w:rPr>
        <w:t>anag</w:t>
      </w:r>
      <w:r w:rsidR="0054614F" w:rsidRPr="00794C2A">
        <w:rPr>
          <w:b w:val="0"/>
        </w:rPr>
        <w:t>ing</w:t>
      </w:r>
      <w:r w:rsidR="00282396" w:rsidRPr="00794C2A">
        <w:rPr>
          <w:b w:val="0"/>
        </w:rPr>
        <w:t xml:space="preserve"> the barrages to provide greater variability in lake levels, including managing the lakes to lower levels</w:t>
      </w:r>
      <w:r w:rsidR="0054614F" w:rsidRPr="00794C2A">
        <w:rPr>
          <w:b w:val="0"/>
        </w:rPr>
        <w:t>;</w:t>
      </w:r>
    </w:p>
    <w:p w14:paraId="0C286ABF" w14:textId="77777777" w:rsidR="00282396" w:rsidRPr="00794C2A" w:rsidRDefault="00282396" w:rsidP="00794C2A">
      <w:pPr>
        <w:pStyle w:val="ListParagraph"/>
        <w:numPr>
          <w:ilvl w:val="0"/>
          <w:numId w:val="28"/>
        </w:numPr>
        <w:spacing w:after="120"/>
        <w:ind w:left="567" w:hanging="357"/>
        <w:rPr>
          <w:b w:val="0"/>
        </w:rPr>
      </w:pPr>
      <w:r w:rsidRPr="00794C2A">
        <w:rPr>
          <w:b w:val="0"/>
        </w:rPr>
        <w:t>reduc</w:t>
      </w:r>
      <w:r w:rsidR="0054614F" w:rsidRPr="00794C2A">
        <w:rPr>
          <w:b w:val="0"/>
        </w:rPr>
        <w:t>ing</w:t>
      </w:r>
      <w:r w:rsidRPr="00794C2A">
        <w:rPr>
          <w:b w:val="0"/>
        </w:rPr>
        <w:t xml:space="preserve"> salinity levels in the Coorong lagoons through the south east</w:t>
      </w:r>
      <w:r w:rsidR="001134EC" w:rsidRPr="00794C2A">
        <w:rPr>
          <w:b w:val="0"/>
        </w:rPr>
        <w:t xml:space="preserve"> flows restoration</w:t>
      </w:r>
      <w:r w:rsidR="0054614F" w:rsidRPr="00794C2A">
        <w:rPr>
          <w:b w:val="0"/>
        </w:rPr>
        <w:t>;</w:t>
      </w:r>
      <w:r w:rsidR="00360023">
        <w:rPr>
          <w:b w:val="0"/>
        </w:rPr>
        <w:t xml:space="preserve"> and</w:t>
      </w:r>
    </w:p>
    <w:p w14:paraId="0593D551" w14:textId="77777777" w:rsidR="00470D21" w:rsidRDefault="00587C9A" w:rsidP="00794C2A">
      <w:pPr>
        <w:pStyle w:val="ListParagraph"/>
        <w:numPr>
          <w:ilvl w:val="0"/>
          <w:numId w:val="28"/>
        </w:numPr>
        <w:spacing w:after="120"/>
        <w:ind w:left="567" w:hanging="357"/>
        <w:rPr>
          <w:b w:val="0"/>
        </w:rPr>
      </w:pPr>
      <w:r w:rsidRPr="00794C2A">
        <w:rPr>
          <w:b w:val="0"/>
        </w:rPr>
        <w:t>support</w:t>
      </w:r>
      <w:r w:rsidR="0054614F" w:rsidRPr="00794C2A">
        <w:rPr>
          <w:b w:val="0"/>
        </w:rPr>
        <w:t>ing</w:t>
      </w:r>
      <w:r w:rsidRPr="00794C2A">
        <w:rPr>
          <w:b w:val="0"/>
        </w:rPr>
        <w:t xml:space="preserve"> </w:t>
      </w:r>
      <w:r w:rsidR="00546874" w:rsidRPr="00794C2A">
        <w:rPr>
          <w:b w:val="0"/>
        </w:rPr>
        <w:t xml:space="preserve">the </w:t>
      </w:r>
      <w:r w:rsidR="00282396" w:rsidRPr="00794C2A">
        <w:rPr>
          <w:b w:val="0"/>
        </w:rPr>
        <w:t>reintroduc</w:t>
      </w:r>
      <w:r w:rsidR="00546874" w:rsidRPr="00794C2A">
        <w:rPr>
          <w:b w:val="0"/>
        </w:rPr>
        <w:t xml:space="preserve">tion </w:t>
      </w:r>
      <w:r w:rsidRPr="00794C2A">
        <w:rPr>
          <w:b w:val="0"/>
        </w:rPr>
        <w:t xml:space="preserve">and recovery </w:t>
      </w:r>
      <w:r w:rsidR="00546874" w:rsidRPr="00794C2A">
        <w:rPr>
          <w:b w:val="0"/>
        </w:rPr>
        <w:t>of</w:t>
      </w:r>
      <w:r w:rsidR="00282396" w:rsidRPr="00794C2A">
        <w:rPr>
          <w:b w:val="0"/>
        </w:rPr>
        <w:t xml:space="preserve"> native fish</w:t>
      </w:r>
      <w:r w:rsidRPr="00794C2A">
        <w:rPr>
          <w:b w:val="0"/>
        </w:rPr>
        <w:t xml:space="preserve"> in the lakes</w:t>
      </w:r>
      <w:r w:rsidR="00470D21">
        <w:rPr>
          <w:b w:val="0"/>
        </w:rPr>
        <w:t>,</w:t>
      </w:r>
      <w:r w:rsidR="00282396" w:rsidRPr="00794C2A">
        <w:rPr>
          <w:b w:val="0"/>
        </w:rPr>
        <w:t xml:space="preserve"> and</w:t>
      </w:r>
    </w:p>
    <w:p w14:paraId="136B332F" w14:textId="77777777" w:rsidR="00282396" w:rsidRPr="00794C2A" w:rsidRDefault="00282396" w:rsidP="00794C2A">
      <w:pPr>
        <w:pStyle w:val="ListParagraph"/>
        <w:numPr>
          <w:ilvl w:val="0"/>
          <w:numId w:val="28"/>
        </w:numPr>
        <w:spacing w:after="120"/>
        <w:ind w:left="567" w:hanging="357"/>
        <w:rPr>
          <w:b w:val="0"/>
        </w:rPr>
      </w:pPr>
      <w:proofErr w:type="gramStart"/>
      <w:r w:rsidRPr="00794C2A">
        <w:rPr>
          <w:b w:val="0"/>
        </w:rPr>
        <w:lastRenderedPageBreak/>
        <w:t>construct</w:t>
      </w:r>
      <w:r w:rsidR="00546874" w:rsidRPr="00794C2A">
        <w:rPr>
          <w:b w:val="0"/>
        </w:rPr>
        <w:t>i</w:t>
      </w:r>
      <w:r w:rsidR="00470D21">
        <w:rPr>
          <w:b w:val="0"/>
        </w:rPr>
        <w:t>ng</w:t>
      </w:r>
      <w:proofErr w:type="gramEnd"/>
      <w:r w:rsidRPr="00794C2A">
        <w:rPr>
          <w:b w:val="0"/>
        </w:rPr>
        <w:t xml:space="preserve"> </w:t>
      </w:r>
      <w:proofErr w:type="spellStart"/>
      <w:r w:rsidRPr="00794C2A">
        <w:rPr>
          <w:b w:val="0"/>
        </w:rPr>
        <w:t>fishways</w:t>
      </w:r>
      <w:proofErr w:type="spellEnd"/>
      <w:r w:rsidR="00587C9A" w:rsidRPr="00794C2A">
        <w:rPr>
          <w:b w:val="0"/>
        </w:rPr>
        <w:t xml:space="preserve"> to</w:t>
      </w:r>
      <w:r w:rsidRPr="00794C2A">
        <w:rPr>
          <w:b w:val="0"/>
        </w:rPr>
        <w:t xml:space="preserve"> allow</w:t>
      </w:r>
      <w:r w:rsidR="00587C9A" w:rsidRPr="00794C2A">
        <w:rPr>
          <w:b w:val="0"/>
        </w:rPr>
        <w:t xml:space="preserve"> some</w:t>
      </w:r>
      <w:r w:rsidRPr="00794C2A">
        <w:rPr>
          <w:b w:val="0"/>
        </w:rPr>
        <w:t xml:space="preserve"> fish </w:t>
      </w:r>
      <w:r w:rsidR="00587C9A" w:rsidRPr="00794C2A">
        <w:rPr>
          <w:b w:val="0"/>
        </w:rPr>
        <w:t xml:space="preserve">species </w:t>
      </w:r>
      <w:r w:rsidRPr="00794C2A">
        <w:rPr>
          <w:b w:val="0"/>
        </w:rPr>
        <w:t>to move more freely between the lakes</w:t>
      </w:r>
      <w:r w:rsidR="00587C9A" w:rsidRPr="00794C2A">
        <w:rPr>
          <w:b w:val="0"/>
        </w:rPr>
        <w:t>,</w:t>
      </w:r>
      <w:r w:rsidRPr="00794C2A">
        <w:rPr>
          <w:b w:val="0"/>
        </w:rPr>
        <w:t xml:space="preserve"> the Murray Mouth Est</w:t>
      </w:r>
      <w:r w:rsidR="001134EC" w:rsidRPr="00794C2A">
        <w:rPr>
          <w:b w:val="0"/>
        </w:rPr>
        <w:t>uary</w:t>
      </w:r>
      <w:r w:rsidR="00587C9A" w:rsidRPr="00794C2A">
        <w:rPr>
          <w:b w:val="0"/>
        </w:rPr>
        <w:t xml:space="preserve"> and the sea in order to complete their life cycles.</w:t>
      </w:r>
    </w:p>
    <w:p w14:paraId="129752BE" w14:textId="77777777" w:rsidR="00925B7E" w:rsidRPr="00174DD3" w:rsidRDefault="00925B7E" w:rsidP="00794C2A">
      <w:pPr>
        <w:spacing w:after="0"/>
      </w:pPr>
    </w:p>
    <w:p w14:paraId="524DED22" w14:textId="77777777" w:rsidR="00093A45" w:rsidRDefault="00093A45" w:rsidP="000E12B5">
      <w:r w:rsidRPr="008F7D5E">
        <w:t xml:space="preserve">The </w:t>
      </w:r>
      <w:r w:rsidR="008F7D5E" w:rsidRPr="008F7D5E">
        <w:t xml:space="preserve">negative effects of sea water introduction identified in the </w:t>
      </w:r>
      <w:r w:rsidRPr="008F7D5E">
        <w:t xml:space="preserve">Long-Term Plan </w:t>
      </w:r>
      <w:r w:rsidR="008F7D5E" w:rsidRPr="008F7D5E">
        <w:t>include</w:t>
      </w:r>
      <w:r w:rsidRPr="008F7D5E">
        <w:t xml:space="preserve"> acidity mobilisation, release of metal contaminants, </w:t>
      </w:r>
      <w:proofErr w:type="spellStart"/>
      <w:r w:rsidRPr="008F7D5E">
        <w:t>hypersalinity</w:t>
      </w:r>
      <w:proofErr w:type="spellEnd"/>
      <w:r w:rsidRPr="008F7D5E">
        <w:t xml:space="preserve">, eutrophication and impacts on freshwater ecological functions. </w:t>
      </w:r>
    </w:p>
    <w:p w14:paraId="128F0E57" w14:textId="77777777" w:rsidR="00546874" w:rsidRDefault="00F23A72">
      <w:r>
        <w:t>T</w:t>
      </w:r>
      <w:r w:rsidR="00546874" w:rsidRPr="00174DD3">
        <w:t xml:space="preserve">he </w:t>
      </w:r>
      <w:r w:rsidR="00955A52">
        <w:t xml:space="preserve">Basin </w:t>
      </w:r>
      <w:r w:rsidR="00880C9F">
        <w:t>s</w:t>
      </w:r>
      <w:r w:rsidR="00955A52">
        <w:t>tate governments</w:t>
      </w:r>
      <w:r w:rsidR="00546874" w:rsidRPr="00174DD3">
        <w:t xml:space="preserve"> ha</w:t>
      </w:r>
      <w:r w:rsidR="00955A52">
        <w:t>ve</w:t>
      </w:r>
      <w:r w:rsidR="00546874" w:rsidRPr="00174DD3">
        <w:t xml:space="preserve"> also </w:t>
      </w:r>
      <w:r w:rsidR="00955A52">
        <w:t xml:space="preserve">jointly </w:t>
      </w:r>
      <w:r w:rsidR="00546874" w:rsidRPr="00174DD3">
        <w:t xml:space="preserve">funded work by SA Water to upgrade or automate the barrages to enable management which is more responsive to local conditions. </w:t>
      </w:r>
    </w:p>
    <w:p w14:paraId="1525E30B" w14:textId="77777777" w:rsidR="005A168E" w:rsidRPr="00174DD3" w:rsidRDefault="005A168E" w:rsidP="00794C2A">
      <w:pPr>
        <w:pStyle w:val="ListParagraph"/>
        <w:spacing w:before="480"/>
      </w:pPr>
      <w:r w:rsidRPr="00174DD3">
        <w:t>The committee recommends the government commission an independent feasibility and hydrology study into a connector between Lake Albert and the Coorong to assess the environmental and economic costs and benefits of the connector, and compare this to the current practice of lake cycling.</w:t>
      </w:r>
    </w:p>
    <w:p w14:paraId="6983E2C1" w14:textId="456CADE1" w:rsidR="00F74F02" w:rsidRDefault="005F17B5">
      <w:r>
        <w:t>Not</w:t>
      </w:r>
      <w:r w:rsidR="00F74F02">
        <w:t>ed.</w:t>
      </w:r>
    </w:p>
    <w:p w14:paraId="039EE414" w14:textId="77777777" w:rsidR="001212B0" w:rsidRPr="00174DD3" w:rsidRDefault="00360023">
      <w:r>
        <w:t>T</w:t>
      </w:r>
      <w:r w:rsidR="00E65E14">
        <w:t xml:space="preserve">his work has already </w:t>
      </w:r>
      <w:r w:rsidR="00A907B2">
        <w:t>occurred.</w:t>
      </w:r>
    </w:p>
    <w:p w14:paraId="01A07E34" w14:textId="0F511F66" w:rsidR="00AF7FA2" w:rsidRDefault="001212B0" w:rsidP="000519A6">
      <w:r w:rsidRPr="00174DD3">
        <w:t>Th</w:t>
      </w:r>
      <w:r w:rsidR="00DA5C6B" w:rsidRPr="00174DD3">
        <w:t xml:space="preserve">e feasibility, costs and benefits of a connector between </w:t>
      </w:r>
      <w:r w:rsidR="004A1629" w:rsidRPr="00174DD3">
        <w:t>L</w:t>
      </w:r>
      <w:r w:rsidR="00DA5C6B" w:rsidRPr="00174DD3">
        <w:t>ake Albert and the Coorong was examined as one of six options in the Lake Albert Scoping Study</w:t>
      </w:r>
      <w:r w:rsidR="00256F04">
        <w:t xml:space="preserve"> undertaken in 2013-14</w:t>
      </w:r>
      <w:r w:rsidR="008E3DD3" w:rsidRPr="00174DD3">
        <w:t xml:space="preserve"> by the South Australian </w:t>
      </w:r>
      <w:r w:rsidR="00863EF1">
        <w:t>G</w:t>
      </w:r>
      <w:r w:rsidR="008E3DD3" w:rsidRPr="00174DD3">
        <w:t>overnment</w:t>
      </w:r>
      <w:r w:rsidR="00DA5C6B" w:rsidRPr="00174DD3">
        <w:t xml:space="preserve">. </w:t>
      </w:r>
      <w:r w:rsidR="007F551E" w:rsidRPr="00174DD3">
        <w:t>The outcomes achievable by a Coorong Connector were directly comparable to Lakes Level Cycling (variable lake levels)</w:t>
      </w:r>
      <w:r w:rsidR="00F74F02">
        <w:t>.</w:t>
      </w:r>
      <w:r w:rsidR="000B2714">
        <w:t xml:space="preserve"> </w:t>
      </w:r>
      <w:r w:rsidR="00256F04">
        <w:t xml:space="preserve">The study was </w:t>
      </w:r>
      <w:r w:rsidR="0019616E">
        <w:t xml:space="preserve">jointly </w:t>
      </w:r>
      <w:r w:rsidR="00256F04">
        <w:t xml:space="preserve">funded by the Australian </w:t>
      </w:r>
      <w:r w:rsidR="00603F98">
        <w:t>and South Australian g</w:t>
      </w:r>
      <w:r w:rsidR="00256F04">
        <w:t>overnment</w:t>
      </w:r>
      <w:r w:rsidR="00603F98">
        <w:t>s</w:t>
      </w:r>
      <w:r w:rsidR="00256F04">
        <w:t xml:space="preserve"> under the Coorong</w:t>
      </w:r>
      <w:r w:rsidR="00863EF1">
        <w:t xml:space="preserve">, Lower Lakes and Murray Mouth </w:t>
      </w:r>
      <w:r w:rsidR="00256F04">
        <w:t>Recovery Project.</w:t>
      </w:r>
    </w:p>
    <w:p w14:paraId="05164771" w14:textId="77777777" w:rsidR="005A168E" w:rsidRPr="00174DD3" w:rsidRDefault="005A168E" w:rsidP="009519A0">
      <w:pPr>
        <w:pStyle w:val="ListParagraph"/>
        <w:spacing w:before="480"/>
      </w:pPr>
      <w:r w:rsidRPr="00174DD3">
        <w:lastRenderedPageBreak/>
        <w:t xml:space="preserve">The committee recommends the government direct the Productivity Commission to investigate the value of foregone production and food processing due to reduced irrigation water under the Plan. </w:t>
      </w:r>
    </w:p>
    <w:p w14:paraId="42BF7685" w14:textId="77777777" w:rsidR="001551C3" w:rsidRPr="00174DD3" w:rsidRDefault="001551C3">
      <w:proofErr w:type="gramStart"/>
      <w:r w:rsidRPr="00174DD3">
        <w:t>and</w:t>
      </w:r>
      <w:proofErr w:type="gramEnd"/>
    </w:p>
    <w:p w14:paraId="4632A1B1" w14:textId="77777777" w:rsidR="001551C3" w:rsidRPr="00174DD3" w:rsidRDefault="001551C3" w:rsidP="009519A0">
      <w:pPr>
        <w:pStyle w:val="ListParagraph"/>
        <w:numPr>
          <w:ilvl w:val="0"/>
          <w:numId w:val="107"/>
        </w:numPr>
        <w:spacing w:before="480"/>
      </w:pPr>
      <w:r w:rsidRPr="00174DD3">
        <w:t xml:space="preserve">The committee recommends that the Commonwealth Government request the Productivity Commission to undertake a full cost-benefit analysis of the Murray Darling Basin Plan. </w:t>
      </w:r>
    </w:p>
    <w:p w14:paraId="1F71E7EF" w14:textId="77777777" w:rsidR="001212B0" w:rsidRPr="00174DD3" w:rsidRDefault="00CA5BA5">
      <w:r w:rsidRPr="00174DD3">
        <w:t>Agreed in p</w:t>
      </w:r>
      <w:r w:rsidR="00926A83">
        <w:t>rinciple</w:t>
      </w:r>
      <w:r w:rsidR="000B2714">
        <w:t>.</w:t>
      </w:r>
    </w:p>
    <w:p w14:paraId="6FDB6D20" w14:textId="77777777" w:rsidR="00E65E14" w:rsidRDefault="00E65E14" w:rsidP="00E65E14">
      <w:r w:rsidRPr="00174DD3">
        <w:rPr>
          <w:rFonts w:eastAsia="Times New Roman"/>
        </w:rPr>
        <w:t>T</w:t>
      </w:r>
      <w:r w:rsidRPr="00174DD3">
        <w:t xml:space="preserve">he </w:t>
      </w:r>
      <w:r w:rsidRPr="007F4D3F">
        <w:rPr>
          <w:i/>
        </w:rPr>
        <w:t>Water Amendment (Review Implementation and Other Measures) Act 201</w:t>
      </w:r>
      <w:r w:rsidR="007F4D3F">
        <w:rPr>
          <w:i/>
        </w:rPr>
        <w:t>6</w:t>
      </w:r>
      <w:r w:rsidRPr="00174DD3">
        <w:t xml:space="preserve"> require</w:t>
      </w:r>
      <w:r>
        <w:t>s</w:t>
      </w:r>
      <w:r w:rsidRPr="00174DD3">
        <w:t xml:space="preserve"> regular reporting of soci</w:t>
      </w:r>
      <w:r w:rsidR="008D77D5">
        <w:t xml:space="preserve">al and </w:t>
      </w:r>
      <w:r w:rsidRPr="00174DD3">
        <w:t xml:space="preserve">economic impacts of the Plan. The first report is due in 2017. </w:t>
      </w:r>
    </w:p>
    <w:p w14:paraId="4FF65265" w14:textId="0DE21414" w:rsidR="00E65E14" w:rsidRDefault="00E65E14" w:rsidP="0014028B">
      <w:pPr>
        <w:pStyle w:val="ListBullet"/>
      </w:pPr>
      <w:r w:rsidRPr="00174DD3">
        <w:t xml:space="preserve">The </w:t>
      </w:r>
      <w:r w:rsidRPr="00174DD3">
        <w:rPr>
          <w:i/>
        </w:rPr>
        <w:t>Water Act 2007</w:t>
      </w:r>
      <w:r w:rsidRPr="00174DD3">
        <w:t xml:space="preserve"> also requires a five yearly audit of the effectiveness of the implementation of the Basin Plan. The Productivity Commission will be undertaking the </w:t>
      </w:r>
      <w:r>
        <w:t>first of these audits in</w:t>
      </w:r>
      <w:r w:rsidR="002A16F3">
        <w:t> </w:t>
      </w:r>
      <w:r>
        <w:t>2018.</w:t>
      </w:r>
    </w:p>
    <w:p w14:paraId="37C3CA94" w14:textId="0CBDF80D" w:rsidR="00E65E14" w:rsidRDefault="00E65E14" w:rsidP="00E65E14">
      <w:r w:rsidRPr="00174DD3">
        <w:t>In the interim, the M</w:t>
      </w:r>
      <w:r w:rsidR="00743057">
        <w:t>urray</w:t>
      </w:r>
      <w:r w:rsidR="00DD1995">
        <w:t>–</w:t>
      </w:r>
      <w:r w:rsidR="00743057">
        <w:t>Darling Basin Authority</w:t>
      </w:r>
      <w:r w:rsidRPr="00174DD3">
        <w:t xml:space="preserve"> continues to collect social and economic data to monitor and evaluate the effects of the Basin Plan. The </w:t>
      </w:r>
      <w:r w:rsidR="007A7673">
        <w:t xml:space="preserve">Authority’s </w:t>
      </w:r>
      <w:r w:rsidRPr="00174DD3">
        <w:t xml:space="preserve">most recent Basin Plan annual report was released in January 2016 and is available </w:t>
      </w:r>
      <w:r w:rsidR="008D77D5">
        <w:t>on the Authority’s website</w:t>
      </w:r>
      <w:r w:rsidRPr="00174DD3">
        <w:t>.</w:t>
      </w:r>
      <w:r w:rsidR="008D77D5">
        <w:t xml:space="preserve">  The 2016 annual report </w:t>
      </w:r>
      <w:r w:rsidR="00D96720">
        <w:t>is expected to</w:t>
      </w:r>
      <w:r w:rsidR="00D84F8E">
        <w:t xml:space="preserve"> be released in early</w:t>
      </w:r>
      <w:r w:rsidR="00DF35AB">
        <w:t xml:space="preserve"> 2017.</w:t>
      </w:r>
    </w:p>
    <w:p w14:paraId="6D3F5A18" w14:textId="25A574FF" w:rsidR="004A66B8" w:rsidRDefault="00BD1341" w:rsidP="0014028B">
      <w:pPr>
        <w:pStyle w:val="ListBullet"/>
      </w:pPr>
      <w:r w:rsidRPr="00174DD3">
        <w:t xml:space="preserve">There have been a number of </w:t>
      </w:r>
      <w:r>
        <w:t xml:space="preserve">other </w:t>
      </w:r>
      <w:r w:rsidRPr="00174DD3">
        <w:t xml:space="preserve">socio-economic studies undertaken to understand the costs and benefits of the Basin Plan by a range of organisations, researchers and consultants. These are available on the </w:t>
      </w:r>
      <w:r w:rsidR="00743057">
        <w:t>Authority</w:t>
      </w:r>
      <w:r w:rsidR="007A7673">
        <w:t>’s</w:t>
      </w:r>
      <w:r w:rsidRPr="00174DD3">
        <w:t xml:space="preserve"> website. For example, the Australian Bureau of Agricultural and Resource Economics and Sciences undertook modelling of the potential impacts of water recovery under the Basin Plan in 2010, including possible changes in the gross value of irrigated agriculture.</w:t>
      </w:r>
    </w:p>
    <w:p w14:paraId="5786177A" w14:textId="77777777" w:rsidR="004A66B8" w:rsidRDefault="004A66B8">
      <w:pPr>
        <w:spacing w:after="0" w:line="240" w:lineRule="auto"/>
        <w:rPr>
          <w:szCs w:val="24"/>
        </w:rPr>
      </w:pPr>
      <w:r>
        <w:lastRenderedPageBreak/>
        <w:br w:type="page"/>
      </w:r>
    </w:p>
    <w:p w14:paraId="32702BC1" w14:textId="77777777" w:rsidR="005A168E" w:rsidRPr="00174DD3" w:rsidRDefault="005A168E" w:rsidP="009519A0">
      <w:pPr>
        <w:pStyle w:val="ListParagraph"/>
        <w:numPr>
          <w:ilvl w:val="0"/>
          <w:numId w:val="108"/>
        </w:numPr>
        <w:spacing w:before="480"/>
      </w:pPr>
      <w:r w:rsidRPr="00174DD3">
        <w:lastRenderedPageBreak/>
        <w:t xml:space="preserve">The committee recommends that the government assess the operation of the Snowy Mountains Hydro-electric Scheme to determine the priority of irrigation and energy production. </w:t>
      </w:r>
    </w:p>
    <w:p w14:paraId="144B4749" w14:textId="0BD5F089" w:rsidR="001212B0" w:rsidRPr="00174DD3" w:rsidRDefault="001212B0" w:rsidP="0031603F">
      <w:pPr>
        <w:tabs>
          <w:tab w:val="center" w:pos="4677"/>
        </w:tabs>
      </w:pPr>
      <w:proofErr w:type="gramStart"/>
      <w:r w:rsidRPr="00174DD3">
        <w:t>and</w:t>
      </w:r>
      <w:proofErr w:type="gramEnd"/>
      <w:r w:rsidR="0031603F">
        <w:tab/>
      </w:r>
    </w:p>
    <w:p w14:paraId="26FA6987" w14:textId="77777777" w:rsidR="001212B0" w:rsidRPr="00174DD3" w:rsidRDefault="001212B0" w:rsidP="009519A0">
      <w:pPr>
        <w:pStyle w:val="ListParagraph"/>
        <w:spacing w:before="480"/>
      </w:pPr>
      <w:r w:rsidRPr="00174DD3">
        <w:t>The committee recommends the operation of the scheme be assessed, and adjusted as required, to give more effect to social, economic and environmental considerations of local and downstream communities.</w:t>
      </w:r>
    </w:p>
    <w:p w14:paraId="6FAF27BF" w14:textId="77777777" w:rsidR="001212B0" w:rsidRPr="00174DD3" w:rsidRDefault="001212B0">
      <w:r w:rsidRPr="00174DD3">
        <w:t>Agreed in p</w:t>
      </w:r>
      <w:r w:rsidR="00ED1BF7">
        <w:t>rinciple</w:t>
      </w:r>
      <w:r w:rsidR="00644F93">
        <w:t>.</w:t>
      </w:r>
    </w:p>
    <w:p w14:paraId="2D94C412" w14:textId="77777777" w:rsidR="001C26C7" w:rsidRPr="00174DD3" w:rsidRDefault="001C26C7">
      <w:r w:rsidRPr="00174DD3">
        <w:t xml:space="preserve">The Snowy Water Licence is scheduled for a statutory review in 2017. The review will consider the obligations placed on Snowy Hydro under the Licence. </w:t>
      </w:r>
      <w:r w:rsidR="00F74F02">
        <w:t>G</w:t>
      </w:r>
      <w:r w:rsidRPr="00174DD3">
        <w:t>overnments will have the opportunity at this time to consider the balance between water and energy production priorities.</w:t>
      </w:r>
    </w:p>
    <w:p w14:paraId="3F32BFC7" w14:textId="77777777" w:rsidR="00935FC3" w:rsidRPr="009519A0" w:rsidRDefault="00926A83" w:rsidP="00955A52">
      <w:pPr>
        <w:ind w:left="426" w:hanging="426"/>
        <w:rPr>
          <w:b/>
        </w:rPr>
      </w:pPr>
      <w:r w:rsidRPr="009519A0">
        <w:rPr>
          <w:b/>
        </w:rPr>
        <w:t>20</w:t>
      </w:r>
      <w:r>
        <w:rPr>
          <w:b/>
        </w:rPr>
        <w:t>.</w:t>
      </w:r>
      <w:r w:rsidRPr="009519A0">
        <w:rPr>
          <w:b/>
        </w:rPr>
        <w:tab/>
      </w:r>
      <w:r w:rsidR="00935FC3" w:rsidRPr="009519A0">
        <w:rPr>
          <w:b/>
        </w:rPr>
        <w:t xml:space="preserve">The committee recommends that state governments make every effort to promote SDL Adjustment Mechanism projects in their jurisdiction to achieve the 650GL target. </w:t>
      </w:r>
    </w:p>
    <w:p w14:paraId="18F41BF3" w14:textId="77777777" w:rsidR="004F3825" w:rsidRPr="00174DD3" w:rsidRDefault="00F74F02" w:rsidP="009519A0">
      <w:r>
        <w:t>Agreed</w:t>
      </w:r>
      <w:r w:rsidR="00644F93">
        <w:t>.</w:t>
      </w:r>
    </w:p>
    <w:p w14:paraId="67E0E6E8" w14:textId="77777777" w:rsidR="00930F16" w:rsidRDefault="00930F16">
      <w:r w:rsidRPr="00174DD3">
        <w:t>On 22 April 2016 the Murray–Darling Basin Ministerial Council agreed to a package of supply, efficiency and constraint measures</w:t>
      </w:r>
      <w:r w:rsidR="00F74F02">
        <w:t xml:space="preserve"> which have since been formally</w:t>
      </w:r>
      <w:r w:rsidRPr="00174DD3">
        <w:rPr>
          <w:bCs/>
        </w:rPr>
        <w:t xml:space="preserve"> notified </w:t>
      </w:r>
      <w:r w:rsidR="00F74F02">
        <w:rPr>
          <w:bCs/>
        </w:rPr>
        <w:t xml:space="preserve">to </w:t>
      </w:r>
      <w:r w:rsidRPr="00174DD3">
        <w:rPr>
          <w:bCs/>
        </w:rPr>
        <w:t>the M</w:t>
      </w:r>
      <w:r w:rsidR="00743057">
        <w:rPr>
          <w:bCs/>
        </w:rPr>
        <w:t>urray</w:t>
      </w:r>
      <w:r w:rsidR="00D96720">
        <w:rPr>
          <w:bCs/>
        </w:rPr>
        <w:noBreakHyphen/>
      </w:r>
      <w:r w:rsidR="00F81DE1">
        <w:rPr>
          <w:bCs/>
        </w:rPr>
        <w:t>D</w:t>
      </w:r>
      <w:r w:rsidR="00743057">
        <w:rPr>
          <w:bCs/>
        </w:rPr>
        <w:t>arling Basin Authority</w:t>
      </w:r>
      <w:r w:rsidRPr="00174DD3">
        <w:rPr>
          <w:bCs/>
        </w:rPr>
        <w:t xml:space="preserve"> </w:t>
      </w:r>
      <w:r w:rsidR="00F74F02">
        <w:rPr>
          <w:bCs/>
        </w:rPr>
        <w:t>to allow</w:t>
      </w:r>
      <w:r w:rsidRPr="00174DD3">
        <w:rPr>
          <w:bCs/>
        </w:rPr>
        <w:t xml:space="preserve"> for the formal operation of the SDL adjustment mechanism.</w:t>
      </w:r>
      <w:r w:rsidRPr="00174DD3">
        <w:t xml:space="preserve"> The volume of adjustment from the package of supply measures will be determined through the assessment of the projects </w:t>
      </w:r>
      <w:r w:rsidR="00F74F02">
        <w:t>through the</w:t>
      </w:r>
      <w:r w:rsidRPr="00174DD3">
        <w:t xml:space="preserve"> assessment framework set out in the Basin Plan. The final SDL adjustment outcome will not be known until </w:t>
      </w:r>
      <w:r w:rsidR="007A7673">
        <w:t xml:space="preserve">the </w:t>
      </w:r>
      <w:r w:rsidR="00743057">
        <w:t>Authority</w:t>
      </w:r>
      <w:r w:rsidRPr="00174DD3">
        <w:t xml:space="preserve"> has modelled the </w:t>
      </w:r>
      <w:r w:rsidR="00F74F02">
        <w:t>full</w:t>
      </w:r>
      <w:r w:rsidRPr="00174DD3">
        <w:t xml:space="preserve"> package of proposals. </w:t>
      </w:r>
    </w:p>
    <w:p w14:paraId="3A0743E0" w14:textId="60FC5383" w:rsidR="004A66B8" w:rsidRDefault="00922ACE">
      <w:r w:rsidRPr="00922ACE">
        <w:lastRenderedPageBreak/>
        <w:t xml:space="preserve">As requested by the </w:t>
      </w:r>
      <w:r w:rsidR="00ED178E">
        <w:t xml:space="preserve">Murray-Darling Basin </w:t>
      </w:r>
      <w:r w:rsidRPr="00922ACE">
        <w:t xml:space="preserve">Ministerial Council, the </w:t>
      </w:r>
      <w:r w:rsidR="00CF6041">
        <w:t>Australian Government</w:t>
      </w:r>
      <w:r w:rsidRPr="00922ACE">
        <w:t xml:space="preserve"> </w:t>
      </w:r>
      <w:r w:rsidR="00DF35AB">
        <w:t xml:space="preserve">passed amendments to the Basin Plan (through the </w:t>
      </w:r>
      <w:r w:rsidR="00DF35AB">
        <w:rPr>
          <w:i/>
        </w:rPr>
        <w:t>Water Legislation Amendment (Sustainable Diversion Li</w:t>
      </w:r>
      <w:r w:rsidR="00D96720">
        <w:rPr>
          <w:i/>
        </w:rPr>
        <w:t>m</w:t>
      </w:r>
      <w:r w:rsidR="00DF35AB">
        <w:rPr>
          <w:i/>
        </w:rPr>
        <w:t>it Adjustment) Act 2016)</w:t>
      </w:r>
      <w:r w:rsidR="00DF35AB">
        <w:t xml:space="preserve"> in November 2016</w:t>
      </w:r>
      <w:r w:rsidR="00D53C07">
        <w:t xml:space="preserve"> </w:t>
      </w:r>
      <w:r w:rsidRPr="00922ACE">
        <w:t>to provide for a seco</w:t>
      </w:r>
      <w:r w:rsidR="008F0FB2">
        <w:t>nd notification step by 30 June </w:t>
      </w:r>
      <w:r w:rsidRPr="00922ACE">
        <w:t xml:space="preserve">2017. This will provide </w:t>
      </w:r>
      <w:r w:rsidR="00ED178E">
        <w:t xml:space="preserve">Basin </w:t>
      </w:r>
      <w:r w:rsidR="00880C9F">
        <w:t>state governments</w:t>
      </w:r>
      <w:r w:rsidRPr="00922ACE">
        <w:t xml:space="preserve"> with an opportunity to develop and refine projects that can further improve the outcomes of the Basin Plan while ensuring the continued success of irrigation in the Basin through sound investment in infrastructure whether on or off farm.</w:t>
      </w:r>
    </w:p>
    <w:p w14:paraId="4B1CA893" w14:textId="77777777" w:rsidR="004A66B8" w:rsidRDefault="004A66B8">
      <w:pPr>
        <w:spacing w:after="0" w:line="240" w:lineRule="auto"/>
      </w:pPr>
      <w:r>
        <w:br w:type="page"/>
      </w:r>
    </w:p>
    <w:p w14:paraId="43C3A9F0" w14:textId="77777777" w:rsidR="005A168E" w:rsidRPr="00174DD3" w:rsidRDefault="005A168E" w:rsidP="009519A0">
      <w:pPr>
        <w:pStyle w:val="ListParagraph"/>
        <w:numPr>
          <w:ilvl w:val="0"/>
          <w:numId w:val="113"/>
        </w:numPr>
        <w:spacing w:before="480"/>
      </w:pPr>
      <w:r w:rsidRPr="00174DD3">
        <w:lastRenderedPageBreak/>
        <w:t xml:space="preserve">The committee recommends that no further buybacks of water occur and that action to recover the additional 450GL of water through efficiency measures is delayed until the SDL Adjustment Mechanism target is met and the socio-economic impacts of water recovery to date are known. </w:t>
      </w:r>
    </w:p>
    <w:p w14:paraId="445B338E" w14:textId="77777777" w:rsidR="00D3535F" w:rsidRPr="00174DD3" w:rsidRDefault="003D2997">
      <w:r>
        <w:t>Agreed in part.</w:t>
      </w:r>
    </w:p>
    <w:p w14:paraId="79D5A07B" w14:textId="2E6755C5" w:rsidR="003D2B5B" w:rsidRPr="00280C52" w:rsidRDefault="003D2B5B">
      <w:r>
        <w:t>The Australian Government is committed to implementing the Basin Plan in full and on time</w:t>
      </w:r>
      <w:r w:rsidR="00280C52">
        <w:t xml:space="preserve">. </w:t>
      </w:r>
      <w:r w:rsidR="00280C52" w:rsidRPr="00BB4F57">
        <w:t xml:space="preserve">The Government is also committed to adhering to the </w:t>
      </w:r>
      <w:r w:rsidR="00280C52" w:rsidRPr="00BB4F57">
        <w:rPr>
          <w:i/>
        </w:rPr>
        <w:t>Intergovernmental Agreement on Implementing Water Reform in the Murray Darling Basin</w:t>
      </w:r>
      <w:r w:rsidR="00280C52" w:rsidRPr="00BB4F57">
        <w:t xml:space="preserve"> and implementing the Basin Plan in ways that deliver environmental outcomes while ensuring the social and economic wellbeing of Basin communities.</w:t>
      </w:r>
    </w:p>
    <w:p w14:paraId="137A7CFB" w14:textId="4D523BFC" w:rsidR="00500539" w:rsidRDefault="00500539">
      <w:r w:rsidRPr="00174DD3">
        <w:t xml:space="preserve">The Government’s approach to water recovery </w:t>
      </w:r>
      <w:r w:rsidR="00873497">
        <w:t xml:space="preserve">in recent years </w:t>
      </w:r>
      <w:r w:rsidRPr="00174DD3">
        <w:t>has been to prioritise investment in productivity-enhancing water infrastructure and to cap s</w:t>
      </w:r>
      <w:r w:rsidR="000C5AF9">
        <w:t>urface water purchases at 1,500 </w:t>
      </w:r>
      <w:r w:rsidR="00873497">
        <w:t>gigalitres</w:t>
      </w:r>
      <w:r w:rsidRPr="00174DD3">
        <w:t>.</w:t>
      </w:r>
    </w:p>
    <w:p w14:paraId="5D196B0B" w14:textId="7FBCE2E1" w:rsidR="00500539" w:rsidRDefault="00500539" w:rsidP="00693CC1">
      <w:pPr>
        <w:tabs>
          <w:tab w:val="left" w:pos="9072"/>
        </w:tabs>
      </w:pPr>
      <w:r w:rsidRPr="00174DD3">
        <w:t xml:space="preserve">The Government will review its water recovery strategy, including the need for any future purchase requirements, following the </w:t>
      </w:r>
      <w:r w:rsidR="004F37E5">
        <w:t>work undertaken by</w:t>
      </w:r>
      <w:r w:rsidRPr="00174DD3">
        <w:t xml:space="preserve"> the </w:t>
      </w:r>
      <w:r w:rsidR="00920C2C">
        <w:t>N</w:t>
      </w:r>
      <w:r w:rsidR="00FB2687">
        <w:t xml:space="preserve">orthern Basin </w:t>
      </w:r>
      <w:r w:rsidR="00920C2C">
        <w:t>Programmes T</w:t>
      </w:r>
      <w:r w:rsidR="004F37E5">
        <w:t xml:space="preserve">askforce </w:t>
      </w:r>
      <w:r w:rsidR="00ED178E">
        <w:t>and the operation of SDL a</w:t>
      </w:r>
      <w:r w:rsidRPr="00174DD3">
        <w:t xml:space="preserve">djustment </w:t>
      </w:r>
      <w:r w:rsidR="00ED178E">
        <w:t>m</w:t>
      </w:r>
      <w:r w:rsidRPr="00174DD3">
        <w:t>echanism.</w:t>
      </w:r>
    </w:p>
    <w:p w14:paraId="332C783D" w14:textId="1D1CADBA" w:rsidR="0006034D" w:rsidRDefault="006F187A">
      <w:r>
        <w:t xml:space="preserve">The </w:t>
      </w:r>
      <w:r w:rsidR="00034BF5">
        <w:t>G</w:t>
      </w:r>
      <w:r>
        <w:t xml:space="preserve">overnment is working with the States to </w:t>
      </w:r>
      <w:r w:rsidR="00280C52">
        <w:t>investigate</w:t>
      </w:r>
      <w:r w:rsidR="004F1450">
        <w:t xml:space="preserve"> </w:t>
      </w:r>
      <w:r>
        <w:t>efficiency measures program</w:t>
      </w:r>
      <w:r w:rsidR="00D934AE">
        <w:t>me</w:t>
      </w:r>
      <w:r>
        <w:t>s that meet Basin Plan requirements. Th</w:t>
      </w:r>
      <w:r w:rsidR="000A56CF">
        <w:t>e first programme, a revised on-f</w:t>
      </w:r>
      <w:r>
        <w:t>arm irrigation efficiency program</w:t>
      </w:r>
      <w:r w:rsidR="00280C52">
        <w:t>me</w:t>
      </w:r>
      <w:r>
        <w:t xml:space="preserve">, is being piloted in South Australia. </w:t>
      </w:r>
      <w:r w:rsidR="0006034D" w:rsidRPr="000519A6">
        <w:t>Efficienc</w:t>
      </w:r>
      <w:r w:rsidR="000A56CF" w:rsidRPr="000519A6">
        <w:t>y</w:t>
      </w:r>
      <w:r w:rsidR="0006034D" w:rsidRPr="000519A6">
        <w:t xml:space="preserve"> measures programmes will only roll-out where w</w:t>
      </w:r>
      <w:r w:rsidR="000A56CF" w:rsidRPr="000519A6">
        <w:t>ater</w:t>
      </w:r>
      <w:r w:rsidR="0006034D" w:rsidRPr="000519A6">
        <w:t xml:space="preserve"> users can realise benefits fro</w:t>
      </w:r>
      <w:r w:rsidR="000A56CF" w:rsidRPr="000519A6">
        <w:t xml:space="preserve">m </w:t>
      </w:r>
      <w:r w:rsidR="0006034D" w:rsidRPr="000519A6">
        <w:t>partic</w:t>
      </w:r>
      <w:r w:rsidR="00C2229B" w:rsidRPr="000519A6">
        <w:t>i</w:t>
      </w:r>
      <w:r w:rsidR="0006034D" w:rsidRPr="000519A6">
        <w:t>pating and where there are neutral or ben</w:t>
      </w:r>
      <w:r w:rsidR="000A56CF" w:rsidRPr="000519A6">
        <w:t>e</w:t>
      </w:r>
      <w:r w:rsidR="0006034D" w:rsidRPr="000519A6">
        <w:t>ficial socio-economic outcomes</w:t>
      </w:r>
      <w:r w:rsidR="000A56CF" w:rsidRPr="000519A6">
        <w:t>.</w:t>
      </w:r>
    </w:p>
    <w:p w14:paraId="4C0D7D92" w14:textId="0C5AE653" w:rsidR="003D2997" w:rsidRDefault="00E22223">
      <w:r w:rsidRPr="00973A13">
        <w:t xml:space="preserve">Under the </w:t>
      </w:r>
      <w:r w:rsidRPr="006F187A">
        <w:t xml:space="preserve">Principles for </w:t>
      </w:r>
      <w:r w:rsidR="00973A13" w:rsidRPr="006F187A">
        <w:t xml:space="preserve">the </w:t>
      </w:r>
      <w:r w:rsidRPr="006F187A">
        <w:t>new</w:t>
      </w:r>
      <w:r w:rsidRPr="00973A13">
        <w:rPr>
          <w:i/>
        </w:rPr>
        <w:t xml:space="preserve"> </w:t>
      </w:r>
      <w:r w:rsidR="004515FE" w:rsidRPr="004515FE">
        <w:t xml:space="preserve">proposed </w:t>
      </w:r>
      <w:r w:rsidRPr="00973A13">
        <w:rPr>
          <w:i/>
        </w:rPr>
        <w:t>IGA Schedule for implementing the SDL adjustment mechanism</w:t>
      </w:r>
      <w:r w:rsidRPr="00973A13">
        <w:t>, the Murray</w:t>
      </w:r>
      <w:r w:rsidR="00C44E39" w:rsidRPr="00973A13">
        <w:t>–</w:t>
      </w:r>
      <w:r w:rsidRPr="00973A13">
        <w:t xml:space="preserve">Darling Basin Ministerial Council agreed on 22 April 2016 that the </w:t>
      </w:r>
      <w:r w:rsidR="000F1883" w:rsidRPr="00973A13">
        <w:t>Gover</w:t>
      </w:r>
      <w:r w:rsidR="00CF6041" w:rsidRPr="00973A13">
        <w:t>n</w:t>
      </w:r>
      <w:r w:rsidR="000F1883" w:rsidRPr="00973A13">
        <w:t>ment</w:t>
      </w:r>
      <w:r w:rsidRPr="00973A13">
        <w:t xml:space="preserve"> would ensure that any efficiency measures program</w:t>
      </w:r>
      <w:r w:rsidR="00280C52">
        <w:t>me</w:t>
      </w:r>
      <w:r w:rsidRPr="00973A13">
        <w:t xml:space="preserve"> would complement </w:t>
      </w:r>
      <w:r w:rsidR="002F442F" w:rsidRPr="00973A13">
        <w:t>gap</w:t>
      </w:r>
      <w:r w:rsidR="0067551B" w:rsidRPr="00973A13">
        <w:noBreakHyphen/>
      </w:r>
      <w:r w:rsidR="002F442F" w:rsidRPr="00973A13">
        <w:t xml:space="preserve">bridging efforts. </w:t>
      </w:r>
      <w:r w:rsidR="002F442F" w:rsidRPr="00973A13" w:rsidDel="00973A13">
        <w:t xml:space="preserve">Therefore, the </w:t>
      </w:r>
      <w:r w:rsidR="00813220" w:rsidRPr="00973A13" w:rsidDel="00973A13">
        <w:t>Government</w:t>
      </w:r>
      <w:r w:rsidR="002F442F" w:rsidRPr="00973A13" w:rsidDel="00973A13">
        <w:t xml:space="preserve"> </w:t>
      </w:r>
      <w:r w:rsidR="002F442F" w:rsidRPr="00973A13" w:rsidDel="00973A13">
        <w:lastRenderedPageBreak/>
        <w:t>will not run efficiency measure program</w:t>
      </w:r>
      <w:r w:rsidR="00D934AE">
        <w:t>me</w:t>
      </w:r>
      <w:r w:rsidR="002F442F" w:rsidRPr="00973A13" w:rsidDel="00973A13">
        <w:t xml:space="preserve">s in </w:t>
      </w:r>
      <w:r w:rsidR="00847E98" w:rsidRPr="00973A13" w:rsidDel="00973A13">
        <w:t>ways that could conflict with gap-bridging efforts.</w:t>
      </w:r>
      <w:r w:rsidR="00847E98" w:rsidRPr="00FF3C51" w:rsidDel="00973A13">
        <w:t xml:space="preserve"> </w:t>
      </w:r>
    </w:p>
    <w:p w14:paraId="10927A85" w14:textId="43BE0860" w:rsidR="004A66B8" w:rsidRDefault="002F442F">
      <w:r w:rsidRPr="003D2B5B">
        <w:t>The Basin Plan requires that any efficiency measure program</w:t>
      </w:r>
      <w:r w:rsidR="00D934AE">
        <w:t>me</w:t>
      </w:r>
      <w:r w:rsidRPr="003D2B5B">
        <w:t>s have neutral or positive socio</w:t>
      </w:r>
      <w:r w:rsidR="006F187A" w:rsidRPr="003D2B5B">
        <w:noBreakHyphen/>
      </w:r>
      <w:r w:rsidRPr="003D2B5B">
        <w:t>economic outcomes.</w:t>
      </w:r>
      <w:r>
        <w:t xml:space="preserve"> </w:t>
      </w:r>
      <w:r w:rsidR="00E60AC1" w:rsidRPr="00C14D1D">
        <w:t>Open tender b</w:t>
      </w:r>
      <w:r w:rsidRPr="00C14D1D">
        <w:t>uybacks are not permitted as part of the efficiency measures program</w:t>
      </w:r>
      <w:r w:rsidR="00D934AE">
        <w:t>me</w:t>
      </w:r>
      <w:r w:rsidRPr="00C14D1D">
        <w:t>.</w:t>
      </w:r>
    </w:p>
    <w:p w14:paraId="6C5428C2" w14:textId="77777777" w:rsidR="004A66B8" w:rsidRDefault="004A66B8">
      <w:pPr>
        <w:spacing w:after="0" w:line="240" w:lineRule="auto"/>
      </w:pPr>
      <w:r>
        <w:br w:type="page"/>
      </w:r>
    </w:p>
    <w:p w14:paraId="5E73077F" w14:textId="77777777" w:rsidR="005A168E" w:rsidRPr="00174DD3" w:rsidRDefault="005A168E" w:rsidP="009519A0">
      <w:pPr>
        <w:pStyle w:val="ListParagraph"/>
        <w:spacing w:before="480"/>
      </w:pPr>
      <w:r w:rsidRPr="00174DD3">
        <w:lastRenderedPageBreak/>
        <w:t>The committee recommends that the government investigate the costs and benefits of a real-time national water trading register, and whether private platforms provide or can complement such arrangements.</w:t>
      </w:r>
    </w:p>
    <w:p w14:paraId="7DF38267" w14:textId="77777777" w:rsidR="001268B7" w:rsidRPr="00174DD3" w:rsidRDefault="001268B7">
      <w:r w:rsidRPr="00174DD3">
        <w:t>Agreed</w:t>
      </w:r>
      <w:r w:rsidR="00BA28C6" w:rsidRPr="00174DD3">
        <w:t xml:space="preserve"> in </w:t>
      </w:r>
      <w:r w:rsidR="00536DF7" w:rsidRPr="00174DD3">
        <w:t>part</w:t>
      </w:r>
      <w:r w:rsidR="00C13A8F">
        <w:t>.</w:t>
      </w:r>
    </w:p>
    <w:p w14:paraId="01DE9F82" w14:textId="77777777" w:rsidR="001268B7" w:rsidRPr="00174DD3" w:rsidRDefault="00BA28C6">
      <w:r w:rsidRPr="00174DD3">
        <w:t>The former National Water Markets System</w:t>
      </w:r>
      <w:r w:rsidR="00A90A7D">
        <w:t xml:space="preserve"> Project</w:t>
      </w:r>
      <w:r w:rsidRPr="00174DD3">
        <w:t xml:space="preserve"> was a </w:t>
      </w:r>
      <w:r w:rsidR="00A90A7D">
        <w:t>co-operative</w:t>
      </w:r>
      <w:r w:rsidRPr="00174DD3">
        <w:t xml:space="preserve"> Australian and state government initiative. A number of challenges were encountered in developing and seeking to provide a common platform across all states</w:t>
      </w:r>
      <w:r w:rsidR="004A5966" w:rsidRPr="00174DD3">
        <w:t xml:space="preserve"> and the initiative was terminated in</w:t>
      </w:r>
      <w:r w:rsidR="00ED178E">
        <w:t> </w:t>
      </w:r>
      <w:r w:rsidR="004A5966" w:rsidRPr="00174DD3">
        <w:t>2014.</w:t>
      </w:r>
      <w:r w:rsidR="00A90A7D" w:rsidRPr="00174DD3" w:rsidDel="00A90A7D">
        <w:t xml:space="preserve"> </w:t>
      </w:r>
    </w:p>
    <w:p w14:paraId="5499FBE4" w14:textId="77777777" w:rsidR="00BA28C6" w:rsidRDefault="00BA28C6">
      <w:r w:rsidRPr="00174DD3">
        <w:t xml:space="preserve">The </w:t>
      </w:r>
      <w:r w:rsidR="00ED178E">
        <w:t>Australian Government</w:t>
      </w:r>
      <w:r w:rsidRPr="00174DD3">
        <w:t xml:space="preserve"> continues to monitor developments in technology as well as activity in markets with a view to future developments in trading platforms and the provision of information to markets.</w:t>
      </w:r>
    </w:p>
    <w:p w14:paraId="3261467A" w14:textId="1642B2FB" w:rsidR="00105CD3" w:rsidRDefault="00105CD3">
      <w:r>
        <w:t>The Business Research and Innovation Initiative was launched on 17 August 2016 by the Government. The focus is to help drive innovation within Australia’s small and medium businesses whilst addressing Government service delivery challenges.</w:t>
      </w:r>
    </w:p>
    <w:p w14:paraId="58D98F55" w14:textId="77777777" w:rsidR="00AF7FA2" w:rsidRDefault="00105CD3">
      <w:r>
        <w:t xml:space="preserve">One of the five challenges launched is for proposals using emerging digital platforms to improve the ease of access to water markets, increase market participation, improve community confidence in Australia’s water markets and also better assist in sustainable management of water resources. </w:t>
      </w:r>
    </w:p>
    <w:p w14:paraId="2490A22C" w14:textId="77777777" w:rsidR="005A168E" w:rsidRPr="00174DD3" w:rsidRDefault="005A168E" w:rsidP="009519A0">
      <w:pPr>
        <w:pStyle w:val="ListParagraph"/>
        <w:spacing w:before="480"/>
      </w:pPr>
      <w:r w:rsidRPr="00174DD3">
        <w:t xml:space="preserve">The committee recommends that the government coordinate with the basin state governments to undertake a comprehensive assessment of carryover rules and regulations and investigate the potential for amendment of the rules. </w:t>
      </w:r>
    </w:p>
    <w:p w14:paraId="5BAA3E1C" w14:textId="77777777" w:rsidR="00DB2C57" w:rsidRPr="00174DD3" w:rsidRDefault="00DB2C57">
      <w:r w:rsidRPr="00174DD3">
        <w:t>Agreed in p</w:t>
      </w:r>
      <w:r w:rsidR="00576DF3">
        <w:t>rinciple</w:t>
      </w:r>
      <w:r w:rsidR="00C13A8F">
        <w:t>.</w:t>
      </w:r>
    </w:p>
    <w:p w14:paraId="2D1DA6FE" w14:textId="70418C1D" w:rsidR="00925B7E" w:rsidRDefault="003951C5">
      <w:r w:rsidRPr="00174DD3">
        <w:lastRenderedPageBreak/>
        <w:t>C</w:t>
      </w:r>
      <w:r w:rsidR="00925B7E" w:rsidRPr="00174DD3">
        <w:t xml:space="preserve">arryover rules </w:t>
      </w:r>
      <w:r w:rsidRPr="00174DD3">
        <w:t xml:space="preserve">will be </w:t>
      </w:r>
      <w:r w:rsidR="00BC5A81" w:rsidRPr="00174DD3">
        <w:t>reviewed by</w:t>
      </w:r>
      <w:r w:rsidR="00C84C24">
        <w:t xml:space="preserve"> the</w:t>
      </w:r>
      <w:r w:rsidR="00BC5A81" w:rsidRPr="00174DD3">
        <w:t xml:space="preserve"> </w:t>
      </w:r>
      <w:r w:rsidR="00ED178E">
        <w:t>B</w:t>
      </w:r>
      <w:r w:rsidR="00BC5A81" w:rsidRPr="00174DD3">
        <w:t xml:space="preserve">asin </w:t>
      </w:r>
      <w:r w:rsidR="00ED178E">
        <w:t>s</w:t>
      </w:r>
      <w:r w:rsidR="00BC5A81" w:rsidRPr="00174DD3">
        <w:t>tate</w:t>
      </w:r>
      <w:r w:rsidR="00880C9F">
        <w:t xml:space="preserve"> governments</w:t>
      </w:r>
      <w:r w:rsidRPr="00174DD3">
        <w:t xml:space="preserve"> as part of the process of developing </w:t>
      </w:r>
      <w:r w:rsidR="00BC5A81" w:rsidRPr="00174DD3">
        <w:t xml:space="preserve">water resource plans for accreditation under the Basin Plan. </w:t>
      </w:r>
      <w:r w:rsidR="00955A52">
        <w:t xml:space="preserve">Any carryover rules developed by the Basin </w:t>
      </w:r>
      <w:r w:rsidR="00880C9F">
        <w:t>s</w:t>
      </w:r>
      <w:r w:rsidR="00955A52">
        <w:t>tate</w:t>
      </w:r>
      <w:r w:rsidR="00880C9F">
        <w:t xml:space="preserve"> governments</w:t>
      </w:r>
      <w:r w:rsidR="00955A52">
        <w:t xml:space="preserve"> are to be included in water resource plans, where relevant under section 10.12(1</w:t>
      </w:r>
      <w:proofErr w:type="gramStart"/>
      <w:r w:rsidR="00955A52">
        <w:t>)(</w:t>
      </w:r>
      <w:proofErr w:type="gramEnd"/>
      <w:r w:rsidR="00955A52">
        <w:t>b) of the Basin Plan.</w:t>
      </w:r>
    </w:p>
    <w:p w14:paraId="659C2A8C" w14:textId="77777777" w:rsidR="005A168E" w:rsidRPr="00174DD3" w:rsidRDefault="005A168E" w:rsidP="009519A0">
      <w:pPr>
        <w:pStyle w:val="ListParagraph"/>
        <w:spacing w:before="480"/>
      </w:pPr>
      <w:r w:rsidRPr="00174DD3">
        <w:t xml:space="preserve">The committee recommends the government assess, objectively value and publish data on the various uses of water in the Murray-Darling Basin. </w:t>
      </w:r>
    </w:p>
    <w:p w14:paraId="3319399E" w14:textId="77777777" w:rsidR="00520AF1" w:rsidRPr="00174DD3" w:rsidRDefault="00536DF7">
      <w:r w:rsidRPr="00174DD3">
        <w:t>Agreed</w:t>
      </w:r>
      <w:r w:rsidR="004853B0">
        <w:t>.</w:t>
      </w:r>
    </w:p>
    <w:p w14:paraId="69C4266E" w14:textId="12181AE6" w:rsidR="00D116BB" w:rsidRDefault="00520AF1">
      <w:r w:rsidRPr="00174DD3">
        <w:t xml:space="preserve">Data are published </w:t>
      </w:r>
      <w:r w:rsidR="00AD6C05" w:rsidRPr="00174DD3">
        <w:t xml:space="preserve">regularly </w:t>
      </w:r>
      <w:r w:rsidRPr="00174DD3">
        <w:t xml:space="preserve">by </w:t>
      </w:r>
      <w:r w:rsidR="008F0FB2">
        <w:t xml:space="preserve">the </w:t>
      </w:r>
      <w:r w:rsidR="00AD6C05" w:rsidRPr="00174DD3">
        <w:t>A</w:t>
      </w:r>
      <w:r w:rsidR="008F0FB2">
        <w:t xml:space="preserve">ustralian </w:t>
      </w:r>
      <w:r w:rsidR="00AD6C05" w:rsidRPr="00174DD3">
        <w:t>B</w:t>
      </w:r>
      <w:r w:rsidR="008F0FB2">
        <w:t xml:space="preserve">ureau of </w:t>
      </w:r>
      <w:r w:rsidR="00AD6C05" w:rsidRPr="00174DD3">
        <w:t>A</w:t>
      </w:r>
      <w:r w:rsidR="008F0FB2">
        <w:t xml:space="preserve">gricultural </w:t>
      </w:r>
      <w:r w:rsidR="002D6F67">
        <w:t xml:space="preserve">and </w:t>
      </w:r>
      <w:r w:rsidR="00AD6C05" w:rsidRPr="00174DD3">
        <w:t>R</w:t>
      </w:r>
      <w:r w:rsidR="008F0FB2">
        <w:t>es</w:t>
      </w:r>
      <w:r w:rsidR="002D6F67">
        <w:t xml:space="preserve">ource </w:t>
      </w:r>
      <w:r w:rsidR="00AD6C05" w:rsidRPr="00174DD3">
        <w:t>E</w:t>
      </w:r>
      <w:r w:rsidR="008F0FB2">
        <w:t xml:space="preserve">conomics and </w:t>
      </w:r>
      <w:r w:rsidR="00AD6C05" w:rsidRPr="00174DD3">
        <w:t>S</w:t>
      </w:r>
      <w:r w:rsidR="008F0FB2">
        <w:t>cience</w:t>
      </w:r>
      <w:r w:rsidR="00AD6C05" w:rsidRPr="00174DD3">
        <w:t xml:space="preserve"> and </w:t>
      </w:r>
      <w:r w:rsidRPr="00174DD3">
        <w:t>the Australian Bureau of Statistics on the value of irrigated agricultural production in the Murray</w:t>
      </w:r>
      <w:r w:rsidR="00EC0F0F">
        <w:t>–</w:t>
      </w:r>
      <w:r w:rsidRPr="00174DD3">
        <w:t>Darling Basin.</w:t>
      </w:r>
      <w:r w:rsidR="001268B7" w:rsidRPr="00174DD3">
        <w:t xml:space="preserve"> </w:t>
      </w:r>
      <w:r w:rsidR="00374998" w:rsidRPr="00174DD3">
        <w:t>T</w:t>
      </w:r>
      <w:r w:rsidR="00AD6C05" w:rsidRPr="00174DD3">
        <w:t>he Bureau of Meteorology publish</w:t>
      </w:r>
      <w:r w:rsidR="00185160">
        <w:t>es</w:t>
      </w:r>
      <w:r w:rsidR="00AD6C05" w:rsidRPr="00174DD3">
        <w:t xml:space="preserve"> the National Water Account, which </w:t>
      </w:r>
      <w:r w:rsidR="00374998" w:rsidRPr="00174DD3">
        <w:t>provides information about water stores and flows, water rights and water use. It also reports on the volumes of water traded, extracted and managed</w:t>
      </w:r>
      <w:r w:rsidR="00F74F02">
        <w:t>.</w:t>
      </w:r>
      <w:r w:rsidR="00374998" w:rsidRPr="00174DD3">
        <w:t xml:space="preserve"> </w:t>
      </w:r>
    </w:p>
    <w:p w14:paraId="25034778" w14:textId="77777777" w:rsidR="007F551E" w:rsidRDefault="00F74F02">
      <w:r>
        <w:t>T</w:t>
      </w:r>
      <w:r w:rsidR="007F551E" w:rsidRPr="00174DD3">
        <w:t>he M</w:t>
      </w:r>
      <w:r w:rsidR="00743057">
        <w:t>urray</w:t>
      </w:r>
      <w:r w:rsidR="00EC0F0F">
        <w:t>–</w:t>
      </w:r>
      <w:r w:rsidR="00743057">
        <w:t>Darling Basin Authority</w:t>
      </w:r>
      <w:r w:rsidR="007F551E" w:rsidRPr="00174DD3">
        <w:t xml:space="preserve"> and </w:t>
      </w:r>
      <w:r w:rsidR="00C14D1D">
        <w:t>Basin s</w:t>
      </w:r>
      <w:r w:rsidR="007F551E" w:rsidRPr="00174DD3">
        <w:t xml:space="preserve">tate </w:t>
      </w:r>
      <w:r w:rsidR="00470D21">
        <w:t xml:space="preserve">governments </w:t>
      </w:r>
      <w:r>
        <w:t xml:space="preserve">also </w:t>
      </w:r>
      <w:r w:rsidR="007F551E" w:rsidRPr="00174DD3">
        <w:t>provide comprehensive reports on water take (surface and groundwater) on an a</w:t>
      </w:r>
      <w:r w:rsidR="00ED178E">
        <w:t>nnual basis.</w:t>
      </w:r>
    </w:p>
    <w:p w14:paraId="09D98397" w14:textId="77777777" w:rsidR="00752797" w:rsidRDefault="00752797">
      <w:r w:rsidRPr="00174DD3">
        <w:t xml:space="preserve">Further information on data </w:t>
      </w:r>
      <w:r w:rsidR="00F416DF" w:rsidRPr="00174DD3">
        <w:t xml:space="preserve">on the use of environmental water </w:t>
      </w:r>
      <w:r w:rsidRPr="00174DD3">
        <w:t xml:space="preserve">is provided in response to </w:t>
      </w:r>
      <w:r w:rsidR="00ED178E">
        <w:t xml:space="preserve">majority report </w:t>
      </w:r>
      <w:r w:rsidRPr="00174DD3">
        <w:t>recommendation 26 below.</w:t>
      </w:r>
    </w:p>
    <w:p w14:paraId="7899E5C9" w14:textId="77777777" w:rsidR="005A168E" w:rsidRPr="00174DD3" w:rsidRDefault="005A168E" w:rsidP="009519A0">
      <w:pPr>
        <w:pStyle w:val="ListParagraph"/>
        <w:spacing w:before="480"/>
      </w:pPr>
      <w:r w:rsidRPr="00174DD3">
        <w:t xml:space="preserve">The committee recommends that the government amend the </w:t>
      </w:r>
      <w:r w:rsidRPr="00174DD3">
        <w:rPr>
          <w:i/>
        </w:rPr>
        <w:t>Water Act 2007</w:t>
      </w:r>
      <w:r w:rsidRPr="00174DD3">
        <w:t xml:space="preserve"> to make clear the equal standing of economic, social and environmental needs and outcomes. </w:t>
      </w:r>
    </w:p>
    <w:p w14:paraId="4311371F" w14:textId="77777777" w:rsidR="00BA38E1" w:rsidRPr="00174DD3" w:rsidRDefault="00BA38E1">
      <w:r w:rsidRPr="00174DD3">
        <w:t>Not agreed</w:t>
      </w:r>
      <w:r w:rsidR="00F74F02">
        <w:t>.</w:t>
      </w:r>
    </w:p>
    <w:p w14:paraId="067C77B5" w14:textId="0912E83D" w:rsidR="00520AF1" w:rsidRDefault="00BA38E1">
      <w:r w:rsidRPr="00174DD3">
        <w:lastRenderedPageBreak/>
        <w:t xml:space="preserve">In 2014, as required under Section 253 of the </w:t>
      </w:r>
      <w:r w:rsidRPr="00174DD3">
        <w:rPr>
          <w:i/>
        </w:rPr>
        <w:t>Water Act</w:t>
      </w:r>
      <w:r w:rsidR="0029153B" w:rsidRPr="00174DD3">
        <w:rPr>
          <w:i/>
        </w:rPr>
        <w:t xml:space="preserve"> 2007</w:t>
      </w:r>
      <w:r w:rsidRPr="00174DD3">
        <w:t xml:space="preserve">, a review </w:t>
      </w:r>
      <w:r w:rsidR="00F74F02">
        <w:t xml:space="preserve">of the Act </w:t>
      </w:r>
      <w:r w:rsidRPr="00174DD3">
        <w:t>was carried out by an independent Panel of experts - Mr Eamonn</w:t>
      </w:r>
      <w:r w:rsidR="002D6F67">
        <w:t xml:space="preserve"> Moran PSM QC (chair), Mr Peter </w:t>
      </w:r>
      <w:r w:rsidRPr="00174DD3">
        <w:t xml:space="preserve">Anderson, Dr Steve Morton, and Mr Gavin McMahon. </w:t>
      </w:r>
    </w:p>
    <w:p w14:paraId="70090D41" w14:textId="77777777" w:rsidR="00BA38E1" w:rsidRDefault="00BA38E1">
      <w:r w:rsidRPr="00174DD3">
        <w:t>The Panel found that “the Act’s framework does provide for the achievement of economic, social and environmental outcomes”. It also emphasised the continuing challenge of balancing these outcomes in implementing the Basin Plan.</w:t>
      </w:r>
    </w:p>
    <w:p w14:paraId="264E60CA" w14:textId="77777777" w:rsidR="00520AF1" w:rsidRPr="00174DD3" w:rsidRDefault="00520AF1">
      <w:r w:rsidRPr="00174DD3">
        <w:t>The Basin Plan also specifies that a key objective is to optimise social, economic and environmental outcomes arising from the use of Basin water resources.</w:t>
      </w:r>
    </w:p>
    <w:p w14:paraId="27E3E7B2" w14:textId="77777777" w:rsidR="005A168E" w:rsidRPr="00174DD3" w:rsidRDefault="005A168E" w:rsidP="009519A0">
      <w:pPr>
        <w:pStyle w:val="ListParagraph"/>
        <w:spacing w:before="480"/>
      </w:pPr>
      <w:r w:rsidRPr="00174DD3">
        <w:t xml:space="preserve">The committee recommends that the MDBA, Commonwealth Environment Water Holder and basin states conduct greater monitoring, objective evaluation and communication of environmental watering activities, and that the MDBA collate and publicly report this information. </w:t>
      </w:r>
    </w:p>
    <w:p w14:paraId="6D3C67FC" w14:textId="77777777" w:rsidR="00EE1FAE" w:rsidRPr="00174DD3" w:rsidRDefault="00752797">
      <w:r w:rsidRPr="00174DD3">
        <w:t>Agreed</w:t>
      </w:r>
      <w:r w:rsidR="004853B0">
        <w:t>.</w:t>
      </w:r>
    </w:p>
    <w:p w14:paraId="416E23F6" w14:textId="77777777" w:rsidR="001A2D4D" w:rsidRPr="00174DD3" w:rsidRDefault="00752797">
      <w:r w:rsidRPr="00174DD3">
        <w:t xml:space="preserve">The Basin Plan sets out the reporting obligations and principles for undertaking environmental monitoring and evaluation for state and </w:t>
      </w:r>
      <w:r w:rsidR="00CF6041">
        <w:t>Australian Government</w:t>
      </w:r>
      <w:r w:rsidR="00CF6041" w:rsidRPr="00174DD3">
        <w:t xml:space="preserve"> </w:t>
      </w:r>
      <w:r w:rsidRPr="00174DD3">
        <w:t>agencies</w:t>
      </w:r>
      <w:r w:rsidR="00F74F02">
        <w:t>, broadly as follows</w:t>
      </w:r>
      <w:r w:rsidRPr="00174DD3">
        <w:t>:</w:t>
      </w:r>
    </w:p>
    <w:p w14:paraId="3966601F" w14:textId="77777777" w:rsidR="00752797" w:rsidRPr="00935FC3" w:rsidRDefault="00752797" w:rsidP="00935FC3">
      <w:pPr>
        <w:pStyle w:val="ListParagraph"/>
        <w:numPr>
          <w:ilvl w:val="0"/>
          <w:numId w:val="28"/>
        </w:numPr>
        <w:spacing w:after="120"/>
        <w:ind w:left="567" w:hanging="357"/>
        <w:rPr>
          <w:b w:val="0"/>
        </w:rPr>
      </w:pPr>
      <w:r w:rsidRPr="00935FC3">
        <w:rPr>
          <w:b w:val="0"/>
        </w:rPr>
        <w:t>Murray</w:t>
      </w:r>
      <w:r w:rsidR="00EC0F0F">
        <w:rPr>
          <w:b w:val="0"/>
        </w:rPr>
        <w:t>–</w:t>
      </w:r>
      <w:r w:rsidRPr="00935FC3">
        <w:rPr>
          <w:b w:val="0"/>
        </w:rPr>
        <w:t xml:space="preserve">Darling Basin Authority </w:t>
      </w:r>
      <w:r w:rsidR="00F416DF" w:rsidRPr="00935FC3">
        <w:rPr>
          <w:b w:val="0"/>
        </w:rPr>
        <w:t>monitors and reports</w:t>
      </w:r>
      <w:r w:rsidRPr="00935FC3">
        <w:rPr>
          <w:b w:val="0"/>
        </w:rPr>
        <w:t xml:space="preserve"> on the changes in environmental health at a Basin-scale (including the achievement of the Basin Plan’s objective and the Basin-wide Environmental </w:t>
      </w:r>
      <w:r w:rsidR="00F878CC" w:rsidRPr="00935FC3">
        <w:rPr>
          <w:b w:val="0"/>
        </w:rPr>
        <w:t>Watering Strategy targeted outcomes)</w:t>
      </w:r>
    </w:p>
    <w:p w14:paraId="2782513E" w14:textId="77777777" w:rsidR="00F878CC" w:rsidRPr="00935FC3" w:rsidRDefault="00C14D1D" w:rsidP="00935FC3">
      <w:pPr>
        <w:pStyle w:val="ListParagraph"/>
        <w:numPr>
          <w:ilvl w:val="0"/>
          <w:numId w:val="28"/>
        </w:numPr>
        <w:spacing w:after="120"/>
        <w:ind w:left="567" w:hanging="357"/>
        <w:rPr>
          <w:b w:val="0"/>
        </w:rPr>
      </w:pPr>
      <w:r>
        <w:rPr>
          <w:b w:val="0"/>
        </w:rPr>
        <w:t xml:space="preserve">Basin </w:t>
      </w:r>
      <w:r w:rsidR="00880C9F">
        <w:rPr>
          <w:b w:val="0"/>
        </w:rPr>
        <w:t>s</w:t>
      </w:r>
      <w:r>
        <w:rPr>
          <w:b w:val="0"/>
        </w:rPr>
        <w:t>tate governments</w:t>
      </w:r>
      <w:r w:rsidR="00F878CC" w:rsidRPr="00935FC3">
        <w:rPr>
          <w:b w:val="0"/>
        </w:rPr>
        <w:t xml:space="preserve"> report on the changes in environmental health over time at a wetland and catchment scale </w:t>
      </w:r>
    </w:p>
    <w:p w14:paraId="4D73720B" w14:textId="77777777" w:rsidR="00F878CC" w:rsidRPr="00935FC3" w:rsidRDefault="00F878CC" w:rsidP="00935FC3">
      <w:pPr>
        <w:pStyle w:val="ListParagraph"/>
        <w:numPr>
          <w:ilvl w:val="0"/>
          <w:numId w:val="28"/>
        </w:numPr>
        <w:spacing w:after="120"/>
        <w:ind w:left="567" w:hanging="357"/>
        <w:rPr>
          <w:b w:val="0"/>
        </w:rPr>
      </w:pPr>
      <w:r w:rsidRPr="00935FC3">
        <w:rPr>
          <w:b w:val="0"/>
        </w:rPr>
        <w:t>Commonwealth Environmental Water Holder monitor</w:t>
      </w:r>
      <w:r w:rsidR="00F416DF" w:rsidRPr="00935FC3">
        <w:rPr>
          <w:b w:val="0"/>
        </w:rPr>
        <w:t>s</w:t>
      </w:r>
      <w:r w:rsidRPr="00935FC3">
        <w:rPr>
          <w:b w:val="0"/>
        </w:rPr>
        <w:t xml:space="preserve"> and report</w:t>
      </w:r>
      <w:r w:rsidR="00F416DF" w:rsidRPr="00935FC3">
        <w:rPr>
          <w:b w:val="0"/>
        </w:rPr>
        <w:t>s</w:t>
      </w:r>
      <w:r w:rsidRPr="00935FC3">
        <w:rPr>
          <w:b w:val="0"/>
        </w:rPr>
        <w:t xml:space="preserve"> on the outcomes from Commonwealth environmental watering (including the contribution to the Basin Plan’s environmental objectives). </w:t>
      </w:r>
    </w:p>
    <w:p w14:paraId="60EAE483" w14:textId="77777777" w:rsidR="00935FC3" w:rsidRDefault="00935FC3" w:rsidP="00935FC3">
      <w:pPr>
        <w:spacing w:after="120"/>
      </w:pPr>
    </w:p>
    <w:p w14:paraId="2E4D7199" w14:textId="77777777" w:rsidR="00490762" w:rsidRDefault="000979DE" w:rsidP="009519A0">
      <w:r>
        <w:lastRenderedPageBreak/>
        <w:t xml:space="preserve">All environmental water holders </w:t>
      </w:r>
      <w:r w:rsidR="00F878CC" w:rsidRPr="00174DD3">
        <w:t xml:space="preserve">report annually to the </w:t>
      </w:r>
      <w:r w:rsidR="00743057">
        <w:t>Authority</w:t>
      </w:r>
      <w:r w:rsidR="00F878CC" w:rsidRPr="00174DD3">
        <w:t xml:space="preserve"> on the use, purposes and results of environmental water use, including with regard to: the volume, timing and location of water delivery; the Basin annual environmental watering priorities, water quality and salinity targets; and, how local communities have been engaged. This information is collated by the </w:t>
      </w:r>
      <w:r w:rsidR="004C7B5B">
        <w:t>Authority</w:t>
      </w:r>
      <w:r w:rsidR="00F878CC" w:rsidRPr="00174DD3">
        <w:t xml:space="preserve"> and informs its own evaluation and reporting processes, including the Basin Plan Annual Report.</w:t>
      </w:r>
      <w:r>
        <w:t xml:space="preserve"> </w:t>
      </w:r>
    </w:p>
    <w:p w14:paraId="6C0BC5A8" w14:textId="77777777" w:rsidR="00AF7FA2" w:rsidRDefault="00F878CC" w:rsidP="00152A7A">
      <w:r w:rsidRPr="00174DD3">
        <w:t xml:space="preserve">The Commonwealth Environmental Water Holder has a </w:t>
      </w:r>
      <w:r w:rsidR="0075155D">
        <w:t>comprehensive</w:t>
      </w:r>
      <w:r w:rsidR="0075155D" w:rsidRPr="00174DD3">
        <w:t xml:space="preserve"> </w:t>
      </w:r>
      <w:r w:rsidRPr="00174DD3">
        <w:t>monitoring, evaluation, reporting and improvement programme including operational monitoring for all Commonwealth environmental watering actions, and intervention monitoring that aims to understand the environmental response to watering actions. All C</w:t>
      </w:r>
      <w:r w:rsidR="00CC7F12">
        <w:t xml:space="preserve">ommonwealth </w:t>
      </w:r>
      <w:r w:rsidRPr="00174DD3">
        <w:t>E</w:t>
      </w:r>
      <w:r w:rsidR="00CC7F12">
        <w:t xml:space="preserve">nvironmental </w:t>
      </w:r>
      <w:r w:rsidRPr="00174DD3">
        <w:t>W</w:t>
      </w:r>
      <w:r w:rsidR="00CC7F12">
        <w:t xml:space="preserve">ater </w:t>
      </w:r>
      <w:r w:rsidRPr="00174DD3">
        <w:t>O</w:t>
      </w:r>
      <w:r w:rsidR="00CC7F12">
        <w:t>ffice</w:t>
      </w:r>
      <w:r w:rsidRPr="00174DD3">
        <w:t xml:space="preserve"> monitoring and evaluation design documentation, reports and results are made available on th</w:t>
      </w:r>
      <w:r w:rsidR="006E5CD8">
        <w:t xml:space="preserve">e </w:t>
      </w:r>
      <w:r w:rsidR="0058264F" w:rsidRPr="00174DD3">
        <w:t>C</w:t>
      </w:r>
      <w:r w:rsidR="0058264F">
        <w:t xml:space="preserve">ommonwealth </w:t>
      </w:r>
      <w:r w:rsidR="0058264F" w:rsidRPr="00174DD3">
        <w:t>E</w:t>
      </w:r>
      <w:r w:rsidR="0058264F">
        <w:t xml:space="preserve">nvironmental </w:t>
      </w:r>
      <w:r w:rsidR="0058264F" w:rsidRPr="00174DD3">
        <w:t>W</w:t>
      </w:r>
      <w:r w:rsidR="0058264F">
        <w:t xml:space="preserve">ater </w:t>
      </w:r>
      <w:r w:rsidR="0058264F" w:rsidRPr="00174DD3">
        <w:t>O</w:t>
      </w:r>
      <w:r w:rsidR="0058264F">
        <w:t>ffice</w:t>
      </w:r>
      <w:r w:rsidR="0058264F" w:rsidRPr="00174DD3">
        <w:t xml:space="preserve"> </w:t>
      </w:r>
      <w:r w:rsidR="006E5CD8">
        <w:t>website and by distribution</w:t>
      </w:r>
      <w:r w:rsidRPr="00174DD3">
        <w:t xml:space="preserve"> through local stakeholders. </w:t>
      </w:r>
    </w:p>
    <w:p w14:paraId="4BA9E9A3" w14:textId="77777777" w:rsidR="005A168E" w:rsidRPr="00174DD3" w:rsidRDefault="005A168E" w:rsidP="000E3769">
      <w:pPr>
        <w:pStyle w:val="ListParagraph"/>
        <w:spacing w:before="480"/>
      </w:pPr>
      <w:r w:rsidRPr="00174DD3">
        <w:t xml:space="preserve">The committee recommends that the government fund the expansion of the Commonwealth Environmental Water Holder's existing Long Term Intervention Monitoring Project to include more sites around the basin and provide greater monitoring and evaluation of basin environmental watering activities. </w:t>
      </w:r>
    </w:p>
    <w:p w14:paraId="5074DD11" w14:textId="77777777" w:rsidR="003D1E62" w:rsidRPr="00174DD3" w:rsidRDefault="001A2D4D">
      <w:r w:rsidRPr="00174DD3">
        <w:t>Not a</w:t>
      </w:r>
      <w:r w:rsidR="00F416DF" w:rsidRPr="00174DD3">
        <w:t>greed</w:t>
      </w:r>
      <w:r w:rsidR="001F3E23">
        <w:t>.</w:t>
      </w:r>
    </w:p>
    <w:p w14:paraId="2E51C0A0" w14:textId="77777777" w:rsidR="00EE1FAE" w:rsidRPr="00174DD3" w:rsidRDefault="00F878CC">
      <w:r w:rsidRPr="00174DD3">
        <w:t>T</w:t>
      </w:r>
      <w:r w:rsidR="00EE1FAE" w:rsidRPr="00174DD3">
        <w:t xml:space="preserve">he </w:t>
      </w:r>
      <w:r w:rsidR="00152A7A">
        <w:t xml:space="preserve">Commonwealth Environmental Water Holder’s </w:t>
      </w:r>
      <w:r w:rsidR="00566EFF">
        <w:t xml:space="preserve">$30 million </w:t>
      </w:r>
      <w:r w:rsidR="00EE1FAE" w:rsidRPr="00174DD3">
        <w:t xml:space="preserve">Long Term Intervention Monitoring Project </w:t>
      </w:r>
      <w:r w:rsidRPr="00174DD3">
        <w:t>is</w:t>
      </w:r>
      <w:r w:rsidR="001A2D4D" w:rsidRPr="00174DD3">
        <w:t xml:space="preserve"> monitor</w:t>
      </w:r>
      <w:r w:rsidRPr="00174DD3">
        <w:t>ing and evaluating</w:t>
      </w:r>
      <w:r w:rsidR="001A2D4D" w:rsidRPr="00174DD3">
        <w:t xml:space="preserve"> the contribution of Commonwealth environmental water delivery in the Murray</w:t>
      </w:r>
      <w:r w:rsidR="002E0978">
        <w:t>–</w:t>
      </w:r>
      <w:r w:rsidR="001A2D4D" w:rsidRPr="00174DD3">
        <w:t>Darling Basin over the 5 years to June 2019.</w:t>
      </w:r>
    </w:p>
    <w:p w14:paraId="11577FBD" w14:textId="77777777" w:rsidR="001A2D4D" w:rsidRPr="00174DD3" w:rsidRDefault="00152A7A">
      <w:r>
        <w:t>Under the project m</w:t>
      </w:r>
      <w:r w:rsidR="00F878CC" w:rsidRPr="00174DD3">
        <w:t>onitoring and evaluation is being undertaken</w:t>
      </w:r>
      <w:r w:rsidR="001A2D4D" w:rsidRPr="00174DD3">
        <w:t xml:space="preserve"> at seven areas within the Murray</w:t>
      </w:r>
      <w:r w:rsidR="002E0978">
        <w:t>–</w:t>
      </w:r>
      <w:r w:rsidR="001A2D4D" w:rsidRPr="00174DD3">
        <w:t xml:space="preserve">Darling Basin selected to provide </w:t>
      </w:r>
      <w:r>
        <w:t>optimal</w:t>
      </w:r>
      <w:r w:rsidR="001A2D4D" w:rsidRPr="00174DD3">
        <w:t xml:space="preserve"> possible coverage of </w:t>
      </w:r>
      <w:r w:rsidR="001A2D4D" w:rsidRPr="00174DD3">
        <w:lastRenderedPageBreak/>
        <w:t>areas where Commonwealth environmental watering will occur and to complement monitoring activities already being undertaken by others including Basin state</w:t>
      </w:r>
      <w:r w:rsidR="00705F58">
        <w:t xml:space="preserve"> government</w:t>
      </w:r>
      <w:r w:rsidR="001A2D4D" w:rsidRPr="00174DD3">
        <w:t xml:space="preserve">s and the </w:t>
      </w:r>
      <w:r w:rsidR="00A72D1E">
        <w:t>Murray</w:t>
      </w:r>
      <w:r w:rsidR="002E0978">
        <w:t>–</w:t>
      </w:r>
      <w:r w:rsidR="00A72D1E">
        <w:t xml:space="preserve">Darling Basin </w:t>
      </w:r>
      <w:r w:rsidR="004C7B5B">
        <w:t>Authority</w:t>
      </w:r>
      <w:r w:rsidR="00F878CC" w:rsidRPr="00174DD3">
        <w:rPr>
          <w:color w:val="0070C0"/>
        </w:rPr>
        <w:t>.</w:t>
      </w:r>
    </w:p>
    <w:p w14:paraId="64CC1F52" w14:textId="77777777" w:rsidR="005A168E" w:rsidRPr="00174DD3" w:rsidRDefault="005A168E" w:rsidP="000E3769">
      <w:pPr>
        <w:pStyle w:val="ListParagraph"/>
        <w:spacing w:before="480"/>
      </w:pPr>
      <w:r w:rsidRPr="00174DD3">
        <w:t xml:space="preserve">The committee recommends the Victorian and NSW governments, as operators of the relevant storages, implement measures to mitigate cold water pollution that is undermining recovery efforts of native fish. </w:t>
      </w:r>
    </w:p>
    <w:p w14:paraId="05DA6655" w14:textId="77777777" w:rsidR="002D37C5" w:rsidRPr="00174DD3" w:rsidRDefault="00536DF7">
      <w:r w:rsidRPr="00174DD3">
        <w:t>Noted</w:t>
      </w:r>
      <w:r w:rsidR="001F3E23">
        <w:t>.</w:t>
      </w:r>
    </w:p>
    <w:p w14:paraId="269480AE" w14:textId="1172DD44" w:rsidR="004A66B8" w:rsidRDefault="000031C1">
      <w:r w:rsidRPr="00174DD3">
        <w:t xml:space="preserve">This recommendation </w:t>
      </w:r>
      <w:r w:rsidR="002D37C5" w:rsidRPr="00174DD3">
        <w:t xml:space="preserve">is a matter for </w:t>
      </w:r>
      <w:r w:rsidR="00EB0C91">
        <w:t xml:space="preserve">the </w:t>
      </w:r>
      <w:r w:rsidRPr="00174DD3">
        <w:t>N</w:t>
      </w:r>
      <w:r w:rsidR="00EB0C91">
        <w:t xml:space="preserve">ew South </w:t>
      </w:r>
      <w:r w:rsidRPr="00174DD3">
        <w:t>W</w:t>
      </w:r>
      <w:r w:rsidR="00EB0C91">
        <w:t>ales</w:t>
      </w:r>
      <w:r w:rsidRPr="00174DD3">
        <w:t xml:space="preserve"> and Victorian </w:t>
      </w:r>
      <w:r w:rsidR="004D7877" w:rsidRPr="00174DD3">
        <w:t>governments</w:t>
      </w:r>
      <w:r w:rsidR="008A1FC2" w:rsidRPr="00174DD3">
        <w:t>.</w:t>
      </w:r>
    </w:p>
    <w:p w14:paraId="7E9F26BB" w14:textId="77777777" w:rsidR="004A66B8" w:rsidRDefault="004A66B8">
      <w:pPr>
        <w:spacing w:after="0" w:line="240" w:lineRule="auto"/>
      </w:pPr>
      <w:r>
        <w:br w:type="page"/>
      </w:r>
    </w:p>
    <w:p w14:paraId="2A1956B9" w14:textId="77777777" w:rsidR="005A168E" w:rsidRPr="00174DD3" w:rsidRDefault="005A168E" w:rsidP="000E3769">
      <w:pPr>
        <w:pStyle w:val="ListParagraph"/>
        <w:spacing w:before="480"/>
      </w:pPr>
      <w:r w:rsidRPr="00174DD3">
        <w:lastRenderedPageBreak/>
        <w:t>The committee recommends the MDBA conduct a review of the impact of cold water releases on native fish and develop risk assessments and mitigation strategies to ensure that cold water releases do not impact on native fish.</w:t>
      </w:r>
    </w:p>
    <w:p w14:paraId="2920C3EF" w14:textId="77777777" w:rsidR="008A1FC2" w:rsidRPr="00174DD3" w:rsidRDefault="00146C8D">
      <w:r w:rsidRPr="00174DD3">
        <w:t>A</w:t>
      </w:r>
      <w:r w:rsidR="008A1FC2" w:rsidRPr="00174DD3">
        <w:t>greed</w:t>
      </w:r>
      <w:r w:rsidRPr="00174DD3">
        <w:t xml:space="preserve"> in principle</w:t>
      </w:r>
      <w:r w:rsidR="001F3E23">
        <w:t>.</w:t>
      </w:r>
    </w:p>
    <w:p w14:paraId="690981A9" w14:textId="77777777" w:rsidR="00146C8D" w:rsidRPr="00174DD3" w:rsidRDefault="00146C8D">
      <w:r w:rsidRPr="00174DD3">
        <w:t>The Basin-wide environmental watering strategy highlight</w:t>
      </w:r>
      <w:r w:rsidR="0075155D">
        <w:t>s</w:t>
      </w:r>
      <w:r w:rsidRPr="00174DD3">
        <w:t xml:space="preserve"> the importance of addressing water quality issues such as cold water pollution to support </w:t>
      </w:r>
      <w:r w:rsidR="007F551E" w:rsidRPr="00174DD3">
        <w:t xml:space="preserve">native </w:t>
      </w:r>
      <w:r w:rsidRPr="00174DD3">
        <w:t xml:space="preserve">fish outcomes in the Basin.  </w:t>
      </w:r>
    </w:p>
    <w:p w14:paraId="2CC0286E" w14:textId="3B4B2020" w:rsidR="0075155D" w:rsidRDefault="00E742B1">
      <w:r w:rsidRPr="00174DD3">
        <w:t xml:space="preserve">Addressing cold water pollution is </w:t>
      </w:r>
      <w:r w:rsidR="00F416DF" w:rsidRPr="00174DD3">
        <w:t>the</w:t>
      </w:r>
      <w:r w:rsidRPr="00174DD3">
        <w:t xml:space="preserve"> responsibility of those owning and operating dams, which are generally state governments. In the case of the River Murray System, which </w:t>
      </w:r>
      <w:r w:rsidR="004C7B5B">
        <w:t xml:space="preserve">the </w:t>
      </w:r>
      <w:r w:rsidR="00A72D1E">
        <w:t xml:space="preserve">Murray-Darling Basin </w:t>
      </w:r>
      <w:r w:rsidR="004C7B5B">
        <w:t>Authority</w:t>
      </w:r>
      <w:r w:rsidRPr="00174DD3">
        <w:t xml:space="preserve"> operates on behalf of N</w:t>
      </w:r>
      <w:r w:rsidR="00635832">
        <w:t xml:space="preserve">ew </w:t>
      </w:r>
      <w:r w:rsidRPr="00174DD3">
        <w:t>S</w:t>
      </w:r>
      <w:r w:rsidR="00635832">
        <w:t xml:space="preserve">outh </w:t>
      </w:r>
      <w:r w:rsidRPr="00174DD3">
        <w:t>W</w:t>
      </w:r>
      <w:r w:rsidR="00635832">
        <w:t>ales</w:t>
      </w:r>
      <w:r w:rsidRPr="00174DD3">
        <w:t>, V</w:t>
      </w:r>
      <w:r w:rsidR="00635832">
        <w:t>ictoria</w:t>
      </w:r>
      <w:r w:rsidRPr="00174DD3">
        <w:t xml:space="preserve"> and S</w:t>
      </w:r>
      <w:r w:rsidR="00635832">
        <w:t xml:space="preserve">outh </w:t>
      </w:r>
      <w:r w:rsidRPr="00174DD3">
        <w:t>A</w:t>
      </w:r>
      <w:r w:rsidR="00635832">
        <w:t>ustralia</w:t>
      </w:r>
      <w:proofErr w:type="gramStart"/>
      <w:r w:rsidR="00D84F8E">
        <w:t>,</w:t>
      </w:r>
      <w:r w:rsidR="004C7B5B">
        <w:t xml:space="preserve">  </w:t>
      </w:r>
      <w:r w:rsidR="00D84F8E">
        <w:t>s</w:t>
      </w:r>
      <w:r w:rsidRPr="00174DD3">
        <w:t>uch</w:t>
      </w:r>
      <w:proofErr w:type="gramEnd"/>
      <w:r w:rsidRPr="00174DD3">
        <w:t xml:space="preserve"> studies have been undertaken and mitigation strategies are in place</w:t>
      </w:r>
      <w:r w:rsidR="00FC04AA">
        <w:t>.</w:t>
      </w:r>
    </w:p>
    <w:p w14:paraId="62DBDD59" w14:textId="77777777" w:rsidR="00146C8D" w:rsidRDefault="00566EFF">
      <w:r>
        <w:t>Environmental water holders</w:t>
      </w:r>
      <w:r w:rsidR="00146C8D" w:rsidRPr="00174DD3">
        <w:t xml:space="preserve"> </w:t>
      </w:r>
      <w:r w:rsidR="0075155D">
        <w:t>also help</w:t>
      </w:r>
      <w:r w:rsidR="00146C8D" w:rsidRPr="00174DD3">
        <w:t xml:space="preserve"> manage cold water pollution through the timing of watering action</w:t>
      </w:r>
      <w:r>
        <w:t>s</w:t>
      </w:r>
      <w:r w:rsidR="00146C8D" w:rsidRPr="00174DD3">
        <w:t xml:space="preserve">. Environmental watering typically targets </w:t>
      </w:r>
      <w:r w:rsidR="0075155D">
        <w:t>the cooler</w:t>
      </w:r>
      <w:r w:rsidR="0075155D" w:rsidRPr="00174DD3">
        <w:t xml:space="preserve"> </w:t>
      </w:r>
      <w:r w:rsidR="00146C8D" w:rsidRPr="00174DD3">
        <w:t>time of year (particularly in the southern Basin), to align with natural cues including those for native fish spawning. Other options include timing releases with downstream tributary flows, which will dilute the cold water, and releasing water at a rate and/or volume unlikely to cause a significant risk in receiving water temperatures.</w:t>
      </w:r>
    </w:p>
    <w:p w14:paraId="27C793EC" w14:textId="77777777" w:rsidR="005A168E" w:rsidRPr="00174DD3" w:rsidRDefault="005A168E" w:rsidP="000E3769">
      <w:pPr>
        <w:pStyle w:val="ListParagraph"/>
        <w:spacing w:before="480"/>
      </w:pPr>
      <w:r w:rsidRPr="00174DD3">
        <w:t xml:space="preserve">The committee recommends that the MDBA work with basin state governments to investigate the efficiency and effectiveness of salt interception schemes and combine their use and other complementary measures to manage salinity in the basin. </w:t>
      </w:r>
    </w:p>
    <w:p w14:paraId="2E82907D" w14:textId="77777777" w:rsidR="000031C1" w:rsidRPr="00174DD3" w:rsidRDefault="00E742B1">
      <w:r w:rsidRPr="00174DD3">
        <w:t>Agreed</w:t>
      </w:r>
      <w:r w:rsidR="001F3E23">
        <w:t>.</w:t>
      </w:r>
    </w:p>
    <w:p w14:paraId="61EDD763" w14:textId="77777777" w:rsidR="00E742B1" w:rsidRDefault="00E742B1">
      <w:r w:rsidRPr="00174DD3">
        <w:lastRenderedPageBreak/>
        <w:t xml:space="preserve">As part of the </w:t>
      </w:r>
      <w:r w:rsidR="008F0C5A" w:rsidRPr="00174DD3">
        <w:t>Basin Salinity Management 2030 (BSM2030)</w:t>
      </w:r>
      <w:r w:rsidR="00635832">
        <w:t xml:space="preserve"> the M</w:t>
      </w:r>
      <w:r w:rsidR="004C7B5B">
        <w:t>urray-Darling Basin Authority</w:t>
      </w:r>
      <w:r w:rsidR="00635832">
        <w:t xml:space="preserve"> is working with B</w:t>
      </w:r>
      <w:r w:rsidRPr="00174DD3">
        <w:t>asin state</w:t>
      </w:r>
      <w:r w:rsidR="00880C9F">
        <w:t xml:space="preserve"> government</w:t>
      </w:r>
      <w:r w:rsidRPr="00174DD3">
        <w:t>s to conduct a three year trial, commencing in 2016, to investigate the efficiency and effectiveness of operation of salt interception schemes in response to forecasted salinity risk outlook. Depending on the findings of this trial, the salt interception scheme operations will be refined to improve their efficiency and effectiveness.</w:t>
      </w:r>
    </w:p>
    <w:p w14:paraId="7C6CD1D8" w14:textId="73DC1C0F" w:rsidR="004A66B8" w:rsidRDefault="00E742B1">
      <w:r w:rsidRPr="00174DD3">
        <w:t xml:space="preserve">Under the BSM2030, the salt interception schemes and other on-going and new salinity control measures will continue to play a critical role in protecting the river system from salinity. </w:t>
      </w:r>
    </w:p>
    <w:p w14:paraId="5E2D5984" w14:textId="77777777" w:rsidR="004A66B8" w:rsidRDefault="004A66B8">
      <w:pPr>
        <w:spacing w:after="0" w:line="240" w:lineRule="auto"/>
      </w:pPr>
      <w:r>
        <w:br w:type="page"/>
      </w:r>
    </w:p>
    <w:p w14:paraId="75BB4659" w14:textId="77777777" w:rsidR="005A168E" w:rsidRPr="00174DD3" w:rsidRDefault="005A168E" w:rsidP="000E3769">
      <w:pPr>
        <w:pStyle w:val="ListParagraph"/>
        <w:spacing w:before="480"/>
      </w:pPr>
      <w:r w:rsidRPr="00174DD3">
        <w:lastRenderedPageBreak/>
        <w:t>The committee recommends the Commonwealth fund and facilitate accelerated work on the restoration of surface flows from the south-east of South Australia into the lower Coorong, and undertake a feasibility study into the potential for redirecting all existing drainage discharges from the South East into the Coorong.</w:t>
      </w:r>
    </w:p>
    <w:p w14:paraId="2C86C057" w14:textId="77777777" w:rsidR="000031C1" w:rsidRPr="00174DD3" w:rsidRDefault="00053657" w:rsidP="000E3769">
      <w:r w:rsidRPr="00174DD3">
        <w:t>Agreed in part</w:t>
      </w:r>
      <w:r w:rsidR="00D95F87">
        <w:t>.</w:t>
      </w:r>
    </w:p>
    <w:p w14:paraId="488D94C2" w14:textId="77777777" w:rsidR="004A1629" w:rsidRDefault="004A1629">
      <w:r w:rsidRPr="00174DD3">
        <w:t xml:space="preserve">The South East Flows Restoration management action </w:t>
      </w:r>
      <w:r w:rsidR="008F0C5A">
        <w:t xml:space="preserve">of </w:t>
      </w:r>
      <w:r w:rsidR="008F0C5A" w:rsidRPr="00174DD3">
        <w:t xml:space="preserve">the Coorong Lower Lakes and Murray Mouth Recovery Project </w:t>
      </w:r>
      <w:r w:rsidRPr="00174DD3">
        <w:t xml:space="preserve">aims to divert additional water from the Upper South East area into the Coorong South Lagoon, using a combination of natural watercourses, new and upgraded constructed </w:t>
      </w:r>
      <w:proofErr w:type="spellStart"/>
      <w:r w:rsidRPr="00174DD3">
        <w:t>floodways</w:t>
      </w:r>
      <w:proofErr w:type="spellEnd"/>
      <w:r w:rsidRPr="00174DD3">
        <w:t xml:space="preserve"> and drains, to reduce salinity in the lagoon. </w:t>
      </w:r>
    </w:p>
    <w:p w14:paraId="7A90B76E" w14:textId="77777777" w:rsidR="004A1629" w:rsidRDefault="004A1629">
      <w:pPr>
        <w:rPr>
          <w:lang w:val="en"/>
        </w:rPr>
      </w:pPr>
      <w:r w:rsidRPr="00174DD3">
        <w:rPr>
          <w:lang w:val="en"/>
        </w:rPr>
        <w:t xml:space="preserve">The existing South East drainage system already delivers on average 30 </w:t>
      </w:r>
      <w:r w:rsidR="00635832">
        <w:rPr>
          <w:lang w:val="en"/>
        </w:rPr>
        <w:t>gigalit</w:t>
      </w:r>
      <w:r w:rsidR="000D781D">
        <w:rPr>
          <w:lang w:val="en"/>
        </w:rPr>
        <w:t>res</w:t>
      </w:r>
      <w:r w:rsidRPr="00174DD3">
        <w:rPr>
          <w:lang w:val="en"/>
        </w:rPr>
        <w:t xml:space="preserve"> per year to the Coorong at Salt Creek. The </w:t>
      </w:r>
      <w:r w:rsidR="00062433">
        <w:rPr>
          <w:lang w:val="en"/>
        </w:rPr>
        <w:t xml:space="preserve">further </w:t>
      </w:r>
      <w:r w:rsidRPr="00174DD3">
        <w:rPr>
          <w:lang w:val="en"/>
        </w:rPr>
        <w:t xml:space="preserve">project </w:t>
      </w:r>
      <w:r w:rsidR="00635832">
        <w:rPr>
          <w:lang w:val="en"/>
        </w:rPr>
        <w:t>will provide an additional 26 gigalitres</w:t>
      </w:r>
      <w:r w:rsidRPr="00174DD3">
        <w:rPr>
          <w:lang w:val="en"/>
        </w:rPr>
        <w:t xml:space="preserve"> per year on average</w:t>
      </w:r>
      <w:r w:rsidR="00F416DF" w:rsidRPr="00174DD3">
        <w:rPr>
          <w:lang w:val="en"/>
        </w:rPr>
        <w:t>.</w:t>
      </w:r>
    </w:p>
    <w:p w14:paraId="1CD9F8D0" w14:textId="77777777" w:rsidR="004A1629" w:rsidRDefault="004A1629">
      <w:r w:rsidRPr="00174DD3">
        <w:t>In addition to providing additional water to freshen the Coorong when needed, the system also includes structures so that water can be diverted away from the Coorong, or retained, to make sure too much fresh water does not enter the Coorong and lower salinity below the point that support local species.</w:t>
      </w:r>
    </w:p>
    <w:p w14:paraId="712B1528" w14:textId="77777777" w:rsidR="001324BF" w:rsidRDefault="001324BF">
      <w:pPr>
        <w:sectPr w:rsidR="001324BF" w:rsidSect="008F0FB2">
          <w:headerReference w:type="even" r:id="rId14"/>
          <w:headerReference w:type="default" r:id="rId15"/>
          <w:footerReference w:type="even" r:id="rId16"/>
          <w:footerReference w:type="default" r:id="rId17"/>
          <w:headerReference w:type="first" r:id="rId18"/>
          <w:footerReference w:type="first" r:id="rId19"/>
          <w:pgSz w:w="11906" w:h="16838" w:code="9"/>
          <w:pgMar w:top="1304" w:right="1276" w:bottom="1361" w:left="1276" w:header="567" w:footer="567" w:gutter="0"/>
          <w:pgNumType w:start="1"/>
          <w:cols w:space="708"/>
          <w:docGrid w:linePitch="360"/>
        </w:sectPr>
      </w:pPr>
    </w:p>
    <w:p w14:paraId="1CD79851" w14:textId="77777777" w:rsidR="005A168E" w:rsidRPr="00D95F87" w:rsidRDefault="00D95F87">
      <w:pPr>
        <w:pStyle w:val="ListNumber"/>
      </w:pPr>
      <w:r w:rsidRPr="00D95F87">
        <w:lastRenderedPageBreak/>
        <w:t xml:space="preserve">Dissenting Report </w:t>
      </w:r>
      <w:r w:rsidR="002D6F67">
        <w:t xml:space="preserve">(former) </w:t>
      </w:r>
      <w:r w:rsidR="00FD53EC" w:rsidRPr="00D95F87">
        <w:t>Senator Madigan</w:t>
      </w:r>
      <w:r w:rsidRPr="00D95F87">
        <w:t xml:space="preserve"> – Recommendations</w:t>
      </w:r>
    </w:p>
    <w:p w14:paraId="15FB2DC6" w14:textId="77777777" w:rsidR="005A168E" w:rsidRPr="00174DD3" w:rsidRDefault="005A168E">
      <w:pPr>
        <w:pStyle w:val="ListNumber"/>
      </w:pPr>
    </w:p>
    <w:p w14:paraId="6017D04E" w14:textId="77777777" w:rsidR="00FD53EC" w:rsidRPr="001324BF" w:rsidRDefault="00FD53EC" w:rsidP="001324BF">
      <w:pPr>
        <w:pStyle w:val="ListParagraph"/>
        <w:numPr>
          <w:ilvl w:val="0"/>
          <w:numId w:val="114"/>
        </w:numPr>
      </w:pPr>
      <w:r w:rsidRPr="001324BF">
        <w:t xml:space="preserve">The Commonwealth Water Act 2007 must be amended to indisputably give equal balance to the triple bottom line i.e. social, economic and environmental values. </w:t>
      </w:r>
    </w:p>
    <w:p w14:paraId="0C9F3634" w14:textId="77777777" w:rsidR="00805D48" w:rsidRPr="00174DD3" w:rsidRDefault="008F0C5A">
      <w:r>
        <w:t xml:space="preserve">See response to </w:t>
      </w:r>
      <w:r w:rsidR="002379B2">
        <w:t>majority report</w:t>
      </w:r>
      <w:r>
        <w:t xml:space="preserve"> </w:t>
      </w:r>
      <w:r w:rsidR="002379B2">
        <w:t>r</w:t>
      </w:r>
      <w:r>
        <w:t>ecommendation 25.</w:t>
      </w:r>
    </w:p>
    <w:p w14:paraId="52EF11A7" w14:textId="77777777" w:rsidR="00FD53EC" w:rsidRPr="00174DD3" w:rsidRDefault="00FD53EC" w:rsidP="001324BF">
      <w:pPr>
        <w:pStyle w:val="ListParagraph"/>
        <w:spacing w:before="480"/>
      </w:pPr>
      <w:r w:rsidRPr="00174DD3">
        <w:t xml:space="preserve">The </w:t>
      </w:r>
      <w:r w:rsidRPr="006E5CD8">
        <w:rPr>
          <w:i/>
        </w:rPr>
        <w:t>Water Act 2007</w:t>
      </w:r>
      <w:r w:rsidRPr="00174DD3">
        <w:t xml:space="preserve"> must be amended to remove reference to the 450GL and links to the Sustainable Diversion Adjustment mechanism. The $1.77 billion must be redirected to meet other objectives arising from the Basin Plan. </w:t>
      </w:r>
    </w:p>
    <w:p w14:paraId="38850651" w14:textId="77777777" w:rsidR="00805D48" w:rsidRPr="00174DD3" w:rsidRDefault="00CA2C12">
      <w:r w:rsidRPr="00174DD3">
        <w:t>Not agreed</w:t>
      </w:r>
      <w:r w:rsidR="00D95F87">
        <w:t>.</w:t>
      </w:r>
    </w:p>
    <w:p w14:paraId="62501250" w14:textId="77777777" w:rsidR="002057B0" w:rsidRDefault="002519F6">
      <w:r>
        <w:t>Efficiency measures are</w:t>
      </w:r>
      <w:r w:rsidR="002057B0">
        <w:t xml:space="preserve"> an </w:t>
      </w:r>
      <w:r w:rsidR="00FC04AA">
        <w:t xml:space="preserve">agreed </w:t>
      </w:r>
      <w:r w:rsidR="002057B0">
        <w:t xml:space="preserve">component of the SDL adjustment mechanism </w:t>
      </w:r>
      <w:r w:rsidR="00FC04AA">
        <w:t xml:space="preserve">as </w:t>
      </w:r>
      <w:r w:rsidR="002379B2">
        <w:t xml:space="preserve">requested by all Basin </w:t>
      </w:r>
      <w:r w:rsidR="005224A8">
        <w:t>g</w:t>
      </w:r>
      <w:r w:rsidR="002379B2">
        <w:t>overnments to</w:t>
      </w:r>
      <w:r w:rsidR="002057B0">
        <w:t xml:space="preserve"> improv</w:t>
      </w:r>
      <w:r w:rsidR="002379B2">
        <w:t>e</w:t>
      </w:r>
      <w:r w:rsidR="002057B0">
        <w:t xml:space="preserve"> the socio-economic and environmental outcomes associated with the Basin Plan.</w:t>
      </w:r>
    </w:p>
    <w:p w14:paraId="34DB6C71" w14:textId="77777777" w:rsidR="00FD53EC" w:rsidRPr="00174DD3" w:rsidRDefault="00FD53EC" w:rsidP="001324BF">
      <w:pPr>
        <w:pStyle w:val="ListParagraph"/>
        <w:spacing w:before="480"/>
      </w:pPr>
      <w:r w:rsidRPr="00174DD3">
        <w:t xml:space="preserve">We must review the MDBA’s Regulatory Impact Statement (2012) to account for omissions and inclusion of relevant information evident in the implementation phase of the Murray Darling Basin Plan. </w:t>
      </w:r>
    </w:p>
    <w:p w14:paraId="60DBFBAC" w14:textId="77777777" w:rsidR="00805D48" w:rsidRPr="00174DD3" w:rsidRDefault="00536DF7">
      <w:r w:rsidRPr="00174DD3">
        <w:t>Agreed in principle</w:t>
      </w:r>
      <w:r w:rsidR="00D95F87">
        <w:t>.</w:t>
      </w:r>
    </w:p>
    <w:p w14:paraId="7252E068" w14:textId="77777777" w:rsidR="00E742B1" w:rsidRPr="00174DD3" w:rsidRDefault="002379B2">
      <w:r>
        <w:t>U</w:t>
      </w:r>
      <w:r w:rsidR="00CA2C12" w:rsidRPr="00174DD3">
        <w:t>pdated</w:t>
      </w:r>
      <w:r w:rsidR="00E742B1" w:rsidRPr="00174DD3">
        <w:t xml:space="preserve"> information </w:t>
      </w:r>
      <w:r w:rsidR="00CA2C12" w:rsidRPr="00174DD3">
        <w:t xml:space="preserve">on the impacts of the Basin Plan implementation is </w:t>
      </w:r>
      <w:r w:rsidR="00E742B1" w:rsidRPr="00174DD3">
        <w:t>being collected and reported</w:t>
      </w:r>
      <w:r w:rsidR="00CA2C12" w:rsidRPr="00174DD3">
        <w:t xml:space="preserve"> on an ongoing basis</w:t>
      </w:r>
      <w:r w:rsidR="00E742B1" w:rsidRPr="00174DD3">
        <w:t>, including through the Basin Plan Annual Report</w:t>
      </w:r>
      <w:r w:rsidR="00CA2C12" w:rsidRPr="00174DD3">
        <w:t xml:space="preserve">. </w:t>
      </w:r>
    </w:p>
    <w:p w14:paraId="7077D756" w14:textId="77777777" w:rsidR="00FD53EC" w:rsidRPr="00174DD3" w:rsidRDefault="00FD53EC" w:rsidP="001324BF">
      <w:pPr>
        <w:pStyle w:val="ListParagraph"/>
        <w:spacing w:before="480"/>
      </w:pPr>
      <w:r w:rsidRPr="00174DD3">
        <w:lastRenderedPageBreak/>
        <w:t xml:space="preserve">We must amend/extend current timeframes and project eligibility for the Sustainable Diversion Limits (SDL) adjustment mechanism. </w:t>
      </w:r>
    </w:p>
    <w:p w14:paraId="408CEB43" w14:textId="77777777" w:rsidR="00FD53EC" w:rsidRPr="00174DD3" w:rsidRDefault="003E743B">
      <w:proofErr w:type="gramStart"/>
      <w:r w:rsidRPr="00174DD3">
        <w:t>and</w:t>
      </w:r>
      <w:proofErr w:type="gramEnd"/>
      <w:r w:rsidRPr="00174DD3">
        <w:t xml:space="preserve"> </w:t>
      </w:r>
    </w:p>
    <w:p w14:paraId="792A4E44" w14:textId="77777777" w:rsidR="00FD53EC" w:rsidRPr="00174DD3" w:rsidRDefault="00FD53EC" w:rsidP="001324BF">
      <w:pPr>
        <w:pStyle w:val="ListParagraph"/>
        <w:spacing w:before="480"/>
      </w:pPr>
      <w:r w:rsidRPr="00174DD3">
        <w:t xml:space="preserve">We must have an allowance within the scope of 650GL of SDL projects to enable adaptive management and the development of further project options to deliver environmental outcomes that may not be fully explored or developed prior to the June 2016 deadline. </w:t>
      </w:r>
    </w:p>
    <w:p w14:paraId="67097A3E" w14:textId="77777777" w:rsidR="002D6F67" w:rsidRDefault="002379B2">
      <w:r>
        <w:t>See</w:t>
      </w:r>
      <w:r w:rsidR="002F0570">
        <w:t xml:space="preserve"> response to majority report r</w:t>
      </w:r>
      <w:r w:rsidR="003E743B" w:rsidRPr="00174DD3">
        <w:t>ecommendation 20.</w:t>
      </w:r>
    </w:p>
    <w:p w14:paraId="71A379F5" w14:textId="77777777" w:rsidR="002D6F67" w:rsidRDefault="002D6F67">
      <w:pPr>
        <w:spacing w:after="0" w:line="240" w:lineRule="auto"/>
      </w:pPr>
      <w:r>
        <w:br w:type="page"/>
      </w:r>
    </w:p>
    <w:p w14:paraId="278A9940" w14:textId="77777777" w:rsidR="00FD53EC" w:rsidRPr="00174DD3" w:rsidRDefault="00FD53EC" w:rsidP="001324BF">
      <w:pPr>
        <w:pStyle w:val="ListParagraph"/>
        <w:spacing w:before="480"/>
      </w:pPr>
      <w:r w:rsidRPr="00174DD3">
        <w:lastRenderedPageBreak/>
        <w:t>The Murray Darling Basin Plan’s focus on flow objectives to the Lower Lakes must be reviewed to avoid massive third party impacts (social, economic and environment) on Basin communities. The Plan must incorporate the physical realities of the Murray, Edward and Wakool and Goulburn river systems and acknowledge that the Murray Darling Basin Authority’s proposed flow targets to the SA border are unachievable.</w:t>
      </w:r>
    </w:p>
    <w:p w14:paraId="0B25FFCC" w14:textId="77777777" w:rsidR="007376CE" w:rsidRPr="00174DD3" w:rsidRDefault="00F768C0">
      <w:r w:rsidRPr="00174DD3">
        <w:t>A</w:t>
      </w:r>
      <w:r w:rsidR="007376CE" w:rsidRPr="00174DD3">
        <w:t>greed</w:t>
      </w:r>
      <w:r w:rsidRPr="00174DD3">
        <w:t xml:space="preserve"> in p</w:t>
      </w:r>
      <w:r w:rsidR="002379B2">
        <w:t>rinciple</w:t>
      </w:r>
      <w:r w:rsidR="00D95F87">
        <w:t>.</w:t>
      </w:r>
    </w:p>
    <w:p w14:paraId="4BD2FCE4" w14:textId="77777777" w:rsidR="00A813DE" w:rsidRPr="00174DD3" w:rsidRDefault="00A813DE">
      <w:r w:rsidRPr="00174DD3">
        <w:t>The baseline environmental targets and outcomes in the Basin Plan and the Basin</w:t>
      </w:r>
      <w:r w:rsidRPr="00174DD3">
        <w:noBreakHyphen/>
        <w:t>wide Environmental Watering Strategy take into account the existing physical constraints of the system.</w:t>
      </w:r>
    </w:p>
    <w:p w14:paraId="783C911D" w14:textId="77777777" w:rsidR="00A813DE" w:rsidRPr="00174DD3" w:rsidRDefault="00A813DE">
      <w:r w:rsidRPr="00174DD3">
        <w:t>The Basin Plan also recognises the potential for flow constraints to be relaxed to allow enhanced environmental outcomes as set out in Schedule 5 of the Basin Plan</w:t>
      </w:r>
    </w:p>
    <w:p w14:paraId="46980104" w14:textId="77777777" w:rsidR="00FD53EC" w:rsidRPr="00174DD3" w:rsidRDefault="00FD53EC" w:rsidP="001324BF">
      <w:pPr>
        <w:pStyle w:val="ListParagraph"/>
        <w:spacing w:before="480"/>
      </w:pPr>
      <w:r w:rsidRPr="00174DD3">
        <w:t xml:space="preserve">Federal, New South Wales, Victoria and South Australian governments should be encouraged to investigate the development of localised projects in South Australia to deliver environmental benefits for the Coorong, Lower Lakes and Murray Mouth. Federal investments should be on the condition that SDL credits generated help offset the shared downstream targets for the Murray (971GL.) (The Coorong Connector should not be considered unless part of a broader package of measures.) </w:t>
      </w:r>
    </w:p>
    <w:p w14:paraId="506BDD7B" w14:textId="77777777" w:rsidR="00813648" w:rsidRPr="00174DD3" w:rsidRDefault="00813648" w:rsidP="00813648">
      <w:r>
        <w:t>See response to majority report r</w:t>
      </w:r>
      <w:r w:rsidRPr="00174DD3">
        <w:t xml:space="preserve">ecommendation </w:t>
      </w:r>
      <w:r>
        <w:t>14</w:t>
      </w:r>
      <w:r w:rsidRPr="00174DD3">
        <w:t>.</w:t>
      </w:r>
    </w:p>
    <w:p w14:paraId="551C8828" w14:textId="77777777" w:rsidR="00FD53EC" w:rsidRPr="00174DD3" w:rsidRDefault="00FD53EC" w:rsidP="001324BF">
      <w:pPr>
        <w:pStyle w:val="ListParagraph"/>
        <w:spacing w:before="480"/>
      </w:pPr>
      <w:r w:rsidRPr="00174DD3">
        <w:t xml:space="preserve">We need an independent investigation of the accountability, performance and independence of the MDBA with emphasis on the basis and validity of its conclusions and recommendations to government in the development and implementation of the Murray Darling Basin Plan. </w:t>
      </w:r>
    </w:p>
    <w:p w14:paraId="42A04384" w14:textId="77777777" w:rsidR="00BB60C6" w:rsidRPr="00174DD3" w:rsidRDefault="0037415B">
      <w:proofErr w:type="gramStart"/>
      <w:r w:rsidRPr="00174DD3">
        <w:lastRenderedPageBreak/>
        <w:t>and</w:t>
      </w:r>
      <w:proofErr w:type="gramEnd"/>
      <w:r w:rsidRPr="00174DD3">
        <w:t xml:space="preserve"> </w:t>
      </w:r>
    </w:p>
    <w:p w14:paraId="194B08C1" w14:textId="77777777" w:rsidR="0037415B" w:rsidRPr="00174DD3" w:rsidRDefault="0037415B" w:rsidP="001324BF">
      <w:pPr>
        <w:pStyle w:val="ListParagraph"/>
        <w:spacing w:before="480"/>
      </w:pPr>
      <w:r w:rsidRPr="00174DD3">
        <w:t xml:space="preserve">The MDBA must be instructed and made accountable to facilitate open access and transparency on all of its models and assumptions used in decisions associated with the Plan. </w:t>
      </w:r>
    </w:p>
    <w:p w14:paraId="6E9B99DE" w14:textId="77777777" w:rsidR="0037415B" w:rsidRPr="00174DD3" w:rsidRDefault="0037415B">
      <w:r w:rsidRPr="00174DD3">
        <w:t>Agreed in principle</w:t>
      </w:r>
      <w:r w:rsidR="00C966D0">
        <w:t>.</w:t>
      </w:r>
    </w:p>
    <w:p w14:paraId="626ADDF8" w14:textId="77777777" w:rsidR="00813648" w:rsidRDefault="00813648">
      <w:r>
        <w:t>As a Commonwealth agency all M</w:t>
      </w:r>
      <w:r w:rsidR="004C7B5B">
        <w:t>urray</w:t>
      </w:r>
      <w:r w:rsidR="002E0978">
        <w:t>–</w:t>
      </w:r>
      <w:r w:rsidR="004C7B5B">
        <w:t>Darling Basin Authority</w:t>
      </w:r>
      <w:r>
        <w:t xml:space="preserve"> activities are subject to full disclosure and external scrutiny, including by the Parliament.</w:t>
      </w:r>
    </w:p>
    <w:p w14:paraId="38D26AE8" w14:textId="77777777" w:rsidR="00C06681" w:rsidRPr="00174DD3" w:rsidRDefault="00C06681">
      <w:r w:rsidRPr="00174DD3">
        <w:t xml:space="preserve">The </w:t>
      </w:r>
      <w:r w:rsidR="004C7B5B">
        <w:t>Authority</w:t>
      </w:r>
      <w:r w:rsidRPr="00174DD3">
        <w:t xml:space="preserve"> used a variety of tools and models when developing the Basin Plan. Technical reports describing how these tools and models were developed and used to inform aspects of the Basin Plan have been made publicly available.</w:t>
      </w:r>
    </w:p>
    <w:p w14:paraId="7B5C0AC3" w14:textId="77777777" w:rsidR="00C06681" w:rsidRDefault="00C06681">
      <w:r w:rsidRPr="00174DD3">
        <w:t xml:space="preserve">The </w:t>
      </w:r>
      <w:r w:rsidR="004C7B5B">
        <w:t>Authority</w:t>
      </w:r>
      <w:r w:rsidRPr="00174DD3">
        <w:t xml:space="preserve"> also uses hydrological models developed by the states for rivers other than the Murray. These models have been developed over recent decades and are calibrated to large sets of observed and historical data (such as flows, river operator behaviour and irrigation trends). In developing their models, Basin </w:t>
      </w:r>
      <w:r w:rsidR="002D6F67">
        <w:t>s</w:t>
      </w:r>
      <w:r w:rsidR="009D686F">
        <w:t>t</w:t>
      </w:r>
      <w:r w:rsidRPr="00174DD3">
        <w:t>ate</w:t>
      </w:r>
      <w:r w:rsidR="00C84C24">
        <w:t xml:space="preserve"> government</w:t>
      </w:r>
      <w:r w:rsidRPr="00174DD3">
        <w:t xml:space="preserve">s have engaged extensively with community and industry groups ensuring key </w:t>
      </w:r>
      <w:r w:rsidR="002D6F67">
        <w:t>stakeholders are familiar with s</w:t>
      </w:r>
      <w:r w:rsidRPr="00174DD3">
        <w:t>tate models and their underpinning assumptions.</w:t>
      </w:r>
    </w:p>
    <w:p w14:paraId="1515DBCB" w14:textId="4564DF2C" w:rsidR="006D7951" w:rsidRPr="00174DD3" w:rsidRDefault="00C06681" w:rsidP="0014028B">
      <w:pPr>
        <w:pStyle w:val="ListBullet"/>
      </w:pPr>
      <w:r w:rsidRPr="00174DD3">
        <w:t>In addition, t</w:t>
      </w:r>
      <w:r w:rsidR="006D7951" w:rsidRPr="00174DD3">
        <w:t xml:space="preserve">he </w:t>
      </w:r>
      <w:r w:rsidR="0037415B" w:rsidRPr="00174DD3">
        <w:t>Productivity Commission</w:t>
      </w:r>
      <w:r w:rsidR="004C7B5B">
        <w:t xml:space="preserve"> will</w:t>
      </w:r>
      <w:r w:rsidR="0037415B" w:rsidRPr="00174DD3">
        <w:t xml:space="preserve"> inquire into the </w:t>
      </w:r>
      <w:r w:rsidR="006D7951" w:rsidRPr="00174DD3">
        <w:t>effectiveness of the implementation of the Basin Plan</w:t>
      </w:r>
      <w:r w:rsidR="0037415B" w:rsidRPr="00174DD3">
        <w:t xml:space="preserve"> in 2018</w:t>
      </w:r>
      <w:r w:rsidR="006D7951" w:rsidRPr="00174DD3">
        <w:t xml:space="preserve">. </w:t>
      </w:r>
    </w:p>
    <w:p w14:paraId="029DC574" w14:textId="77777777" w:rsidR="00FD53EC" w:rsidRPr="00174DD3" w:rsidRDefault="00FD53EC" w:rsidP="001324BF">
      <w:pPr>
        <w:pStyle w:val="ListParagraph"/>
      </w:pPr>
      <w:r w:rsidRPr="00174DD3">
        <w:t xml:space="preserve">The MDBA’s roles, responsibilities and future functions must be reviewed and restructured to incorporate regional decisions in all aspects of the Basin Plan – social, economic, environment. </w:t>
      </w:r>
    </w:p>
    <w:p w14:paraId="79ACAA49" w14:textId="77777777" w:rsidR="005D434C" w:rsidRPr="00174DD3" w:rsidRDefault="00C06681">
      <w:r w:rsidRPr="00174DD3">
        <w:t>Agreed in principle</w:t>
      </w:r>
      <w:r w:rsidR="00C966D0">
        <w:t>.</w:t>
      </w:r>
    </w:p>
    <w:p w14:paraId="700DA6BC" w14:textId="28E9FF0F" w:rsidR="004A092C" w:rsidRPr="00174DD3" w:rsidRDefault="004A092C">
      <w:r w:rsidRPr="00174DD3">
        <w:lastRenderedPageBreak/>
        <w:t xml:space="preserve">The Basin Plan is delivered </w:t>
      </w:r>
      <w:r w:rsidR="00062433">
        <w:t>in part</w:t>
      </w:r>
      <w:r w:rsidRPr="00174DD3">
        <w:t xml:space="preserve"> through accredited state water resource plans </w:t>
      </w:r>
      <w:r w:rsidR="00B574BE" w:rsidRPr="00174DD3">
        <w:t xml:space="preserve">which cover all regions of the Basin. </w:t>
      </w:r>
      <w:r w:rsidR="000A56CF">
        <w:t>At present t</w:t>
      </w:r>
      <w:r w:rsidR="00B574BE" w:rsidRPr="00174DD3">
        <w:t xml:space="preserve">here are 36 such plans, and the </w:t>
      </w:r>
      <w:r w:rsidR="00813648">
        <w:t xml:space="preserve">Basin </w:t>
      </w:r>
      <w:r w:rsidR="002D6F67">
        <w:t>state g</w:t>
      </w:r>
      <w:r w:rsidR="00813648">
        <w:t xml:space="preserve">overnments are expected to </w:t>
      </w:r>
      <w:r w:rsidR="00B574BE" w:rsidRPr="00174DD3">
        <w:t>adapt those plans to suit local conditions provided there is overall consistency with Basin Plan settings.</w:t>
      </w:r>
    </w:p>
    <w:p w14:paraId="56C26093" w14:textId="77777777" w:rsidR="00FD53EC" w:rsidRPr="00174DD3" w:rsidRDefault="00FD53EC" w:rsidP="001324BF">
      <w:pPr>
        <w:pStyle w:val="ListParagraph"/>
        <w:spacing w:before="480"/>
      </w:pPr>
      <w:r w:rsidRPr="00174DD3">
        <w:t xml:space="preserve">The Federal Government must cease acquisition of further productive water (except for strategic benefits which is agreed to by relevant parties) until there has been a full analysis of social and economic impacts, an evaluation of environmental benefits achieved with water already acquired and it is evident there will be no adverse third party impacts on irrigation and private property. </w:t>
      </w:r>
    </w:p>
    <w:p w14:paraId="79FFBEFE" w14:textId="77777777" w:rsidR="00813648" w:rsidRPr="00174DD3" w:rsidRDefault="00813648" w:rsidP="00813648">
      <w:r>
        <w:t>See response to majority report r</w:t>
      </w:r>
      <w:r w:rsidRPr="00174DD3">
        <w:t>ecommendation 2</w:t>
      </w:r>
      <w:r>
        <w:t>1</w:t>
      </w:r>
      <w:r w:rsidRPr="00174DD3">
        <w:t>.</w:t>
      </w:r>
    </w:p>
    <w:p w14:paraId="634EFD13" w14:textId="77777777" w:rsidR="00FD53EC" w:rsidRPr="00174DD3" w:rsidRDefault="00FD53EC" w:rsidP="001324BF">
      <w:pPr>
        <w:pStyle w:val="ListParagraph"/>
        <w:spacing w:before="480"/>
      </w:pPr>
      <w:r w:rsidRPr="00174DD3">
        <w:t xml:space="preserve">Federal and state governments must be completely transparent and ensure full consultation with affected parties and stakeholders on all Murray Darling Basin Plan implementation decisions. This includes the Sustainable Diversion Limits adjustment mechanism, the Constraints Management Strategy and any proposed river or storage dam operational changes to ensure decisions do not undermine the reliability of irrigation supplies or property rights of private landholders or cause detrimental environmental impacts. </w:t>
      </w:r>
    </w:p>
    <w:p w14:paraId="684FA3D5" w14:textId="77777777" w:rsidR="002D6F67" w:rsidRDefault="00A62FB8">
      <w:r>
        <w:t xml:space="preserve">See </w:t>
      </w:r>
      <w:r w:rsidR="002F0570">
        <w:t xml:space="preserve">response to </w:t>
      </w:r>
      <w:r w:rsidR="00F10C01" w:rsidRPr="00174DD3">
        <w:t xml:space="preserve">majority report </w:t>
      </w:r>
      <w:r w:rsidR="00AC3007">
        <w:t>r</w:t>
      </w:r>
      <w:r w:rsidR="00F10C01" w:rsidRPr="00174DD3">
        <w:t>ecommendation</w:t>
      </w:r>
      <w:r w:rsidR="00AC3007">
        <w:t>s 7 and</w:t>
      </w:r>
      <w:r w:rsidR="00F10C01" w:rsidRPr="00174DD3">
        <w:t xml:space="preserve"> 8</w:t>
      </w:r>
      <w:r w:rsidR="002A214E" w:rsidRPr="00174DD3">
        <w:t>.</w:t>
      </w:r>
    </w:p>
    <w:p w14:paraId="524D0BBA" w14:textId="77777777" w:rsidR="002D6F67" w:rsidRDefault="002D6F67">
      <w:pPr>
        <w:spacing w:after="0" w:line="240" w:lineRule="auto"/>
      </w:pPr>
      <w:r>
        <w:br w:type="page"/>
      </w:r>
    </w:p>
    <w:p w14:paraId="70C7C73E" w14:textId="77777777" w:rsidR="00FD53EC" w:rsidRPr="00174DD3" w:rsidRDefault="00FD53EC" w:rsidP="001324BF">
      <w:pPr>
        <w:pStyle w:val="ListParagraph"/>
        <w:spacing w:before="480"/>
      </w:pPr>
      <w:r w:rsidRPr="00174DD3">
        <w:lastRenderedPageBreak/>
        <w:t xml:space="preserve">The Constraints business cases must provide a realistic, compelling case, developed in full consultation with affected stakeholders, and establish that proposed measures will be achievable and will deliver the expected outcomes. The cases must provide a positive case for investment before any decisions to proceed are made. </w:t>
      </w:r>
    </w:p>
    <w:p w14:paraId="3B338C36" w14:textId="77777777" w:rsidR="008A58D2" w:rsidRPr="00174DD3" w:rsidRDefault="00A62FB8">
      <w:r>
        <w:t>See</w:t>
      </w:r>
      <w:r w:rsidR="00BE32EA">
        <w:t xml:space="preserve"> response to </w:t>
      </w:r>
      <w:r w:rsidR="00AC3007">
        <w:t>majority report r</w:t>
      </w:r>
      <w:r w:rsidR="00F10C01" w:rsidRPr="00174DD3">
        <w:t>ecommendation 7.</w:t>
      </w:r>
    </w:p>
    <w:p w14:paraId="4396C2AB" w14:textId="77777777" w:rsidR="00FD53EC" w:rsidRPr="00174DD3" w:rsidRDefault="00FD53EC" w:rsidP="001324BF">
      <w:pPr>
        <w:pStyle w:val="ListParagraph"/>
        <w:spacing w:before="480"/>
      </w:pPr>
      <w:r w:rsidRPr="00174DD3">
        <w:t xml:space="preserve">Impacts on all upper tributary catchments must be acknowledged and investigated so that the focus is not only on the main stems of the Murray, Goulburn and Murrumbidgee rivers when delivering environmental flows. </w:t>
      </w:r>
    </w:p>
    <w:p w14:paraId="09B6E5CD" w14:textId="77777777" w:rsidR="00E30B8C" w:rsidRPr="00174DD3" w:rsidRDefault="00536DF7">
      <w:r w:rsidRPr="00174DD3">
        <w:t>Agreed</w:t>
      </w:r>
      <w:r w:rsidR="00BC3B8A">
        <w:t>.</w:t>
      </w:r>
    </w:p>
    <w:p w14:paraId="489AAE7B" w14:textId="77777777" w:rsidR="00FD53EC" w:rsidRPr="00174DD3" w:rsidRDefault="00D90C52">
      <w:r w:rsidRPr="00174DD3">
        <w:t xml:space="preserve">In seeking smarter ways to operate rivers the focus </w:t>
      </w:r>
      <w:r w:rsidR="00A62FB8">
        <w:t>is necessarily</w:t>
      </w:r>
      <w:r w:rsidRPr="00174DD3">
        <w:t xml:space="preserve"> on the reaches downstream of major storages</w:t>
      </w:r>
      <w:r w:rsidR="002E61AB">
        <w:t>,</w:t>
      </w:r>
      <w:r w:rsidR="00A62FB8">
        <w:t xml:space="preserve"> as t</w:t>
      </w:r>
      <w:r w:rsidRPr="00174DD3">
        <w:t xml:space="preserve">here is little opportunity to </w:t>
      </w:r>
      <w:r w:rsidR="00A62FB8">
        <w:t>manage</w:t>
      </w:r>
      <w:r w:rsidR="00A62FB8" w:rsidRPr="00174DD3">
        <w:t xml:space="preserve"> </w:t>
      </w:r>
      <w:r w:rsidRPr="00174DD3">
        <w:t>flows in unregulated reaches.</w:t>
      </w:r>
    </w:p>
    <w:p w14:paraId="712489AF" w14:textId="77777777" w:rsidR="00FD53EC" w:rsidRPr="00174DD3" w:rsidRDefault="00FD53EC" w:rsidP="001324BF">
      <w:pPr>
        <w:pStyle w:val="ListParagraph"/>
        <w:spacing w:before="480"/>
      </w:pPr>
      <w:r w:rsidRPr="00174DD3">
        <w:t xml:space="preserve">Government agencies must clearly establish timing, frequency, duration and extent of proposed environmental flows in order for stakeholders to make informed decisions in the development of the business cases on constraints. </w:t>
      </w:r>
    </w:p>
    <w:p w14:paraId="21C2F916" w14:textId="77777777" w:rsidR="00E30B8C" w:rsidRPr="00174DD3" w:rsidRDefault="00C06681">
      <w:r w:rsidRPr="00174DD3">
        <w:t>Noted</w:t>
      </w:r>
      <w:r w:rsidR="00BC3B8A">
        <w:t>.</w:t>
      </w:r>
    </w:p>
    <w:p w14:paraId="4FDA73DE" w14:textId="77777777" w:rsidR="00C06681" w:rsidRPr="000C5AF9" w:rsidRDefault="0078321D">
      <w:r>
        <w:t xml:space="preserve">See </w:t>
      </w:r>
      <w:r w:rsidR="00425E74">
        <w:t xml:space="preserve">response to </w:t>
      </w:r>
      <w:r>
        <w:t>majority report r</w:t>
      </w:r>
      <w:r w:rsidRPr="00174DD3">
        <w:t>ecommendation</w:t>
      </w:r>
      <w:r w:rsidR="002D6F67">
        <w:t>s</w:t>
      </w:r>
      <w:r w:rsidRPr="00174DD3">
        <w:t xml:space="preserve"> 7</w:t>
      </w:r>
      <w:r>
        <w:t xml:space="preserve"> and</w:t>
      </w:r>
      <w:r w:rsidR="00425E74">
        <w:t xml:space="preserve"> 8.</w:t>
      </w:r>
    </w:p>
    <w:p w14:paraId="0A9BF24E" w14:textId="77777777" w:rsidR="00FD53EC" w:rsidRPr="00174DD3" w:rsidRDefault="00FD53EC" w:rsidP="001324BF">
      <w:pPr>
        <w:pStyle w:val="ListParagraph"/>
        <w:spacing w:before="480"/>
      </w:pPr>
      <w:r w:rsidRPr="00174DD3">
        <w:t xml:space="preserve">The MDBA must address how the Constraints Management Strategy can proceed considering Upper Goulburn Catchment landowners have refused to negotiate easements to mitigate flooding impacts, and the </w:t>
      </w:r>
      <w:r w:rsidRPr="00174DD3">
        <w:lastRenderedPageBreak/>
        <w:t xml:space="preserve">Federal and State governments have stated they will not forcibly acquire easements or intentionally flood private property without consent. </w:t>
      </w:r>
    </w:p>
    <w:p w14:paraId="1BAB47F8" w14:textId="77777777" w:rsidR="00AC3007" w:rsidRDefault="00A62FB8">
      <w:r>
        <w:t>See</w:t>
      </w:r>
      <w:r w:rsidR="00BE32EA">
        <w:t xml:space="preserve"> response to </w:t>
      </w:r>
      <w:r w:rsidR="00AC3007">
        <w:t>majority report recommendation 7</w:t>
      </w:r>
      <w:r w:rsidR="00425E74">
        <w:t>.</w:t>
      </w:r>
    </w:p>
    <w:p w14:paraId="14F4C053" w14:textId="77777777" w:rsidR="00FD53EC" w:rsidRPr="00174DD3" w:rsidRDefault="00FD53EC" w:rsidP="001324BF">
      <w:pPr>
        <w:pStyle w:val="ListParagraph"/>
        <w:spacing w:before="480"/>
      </w:pPr>
      <w:r w:rsidRPr="00174DD3">
        <w:t xml:space="preserve">Federal and state governments must avoid manipulation of water markets or water use through references to high value crops or preferred industries. </w:t>
      </w:r>
    </w:p>
    <w:p w14:paraId="0C82F1B8" w14:textId="77777777" w:rsidR="00E30B8C" w:rsidRPr="00174DD3" w:rsidRDefault="00A62FB8">
      <w:r>
        <w:t>Agreed in principle</w:t>
      </w:r>
      <w:r w:rsidR="00C65E4E">
        <w:t>.</w:t>
      </w:r>
    </w:p>
    <w:p w14:paraId="167FD0DA" w14:textId="77777777" w:rsidR="002D6F67" w:rsidRDefault="009D686F">
      <w:r>
        <w:t>The G</w:t>
      </w:r>
      <w:r w:rsidR="00D1597C" w:rsidRPr="00174DD3">
        <w:t>overnment does not determine what a ‘high value use’ is</w:t>
      </w:r>
      <w:r w:rsidR="00AF2BAA">
        <w:t>.</w:t>
      </w:r>
      <w:r w:rsidR="00D1597C" w:rsidRPr="00174DD3">
        <w:t xml:space="preserve"> </w:t>
      </w:r>
      <w:r>
        <w:t>The G</w:t>
      </w:r>
      <w:r w:rsidR="00DB2C57" w:rsidRPr="00174DD3">
        <w:t xml:space="preserve">overnment continues to monitor the market and be receptive to feedback from market participants. </w:t>
      </w:r>
      <w:r w:rsidR="00C06681" w:rsidRPr="00174DD3">
        <w:t>A</w:t>
      </w:r>
      <w:r w:rsidR="00DB4913" w:rsidRPr="00174DD3">
        <w:t xml:space="preserve">ny evidence </w:t>
      </w:r>
      <w:r w:rsidR="00C06681" w:rsidRPr="00174DD3">
        <w:t xml:space="preserve">of </w:t>
      </w:r>
      <w:r w:rsidR="00DB4913" w:rsidRPr="00174DD3">
        <w:t>m</w:t>
      </w:r>
      <w:r w:rsidR="00C06681" w:rsidRPr="00174DD3">
        <w:t xml:space="preserve">anipulating the water market </w:t>
      </w:r>
      <w:r w:rsidR="00DB4913" w:rsidRPr="00174DD3">
        <w:t>should be brought to the attention of regulatory authorities.</w:t>
      </w:r>
    </w:p>
    <w:p w14:paraId="407BE6BB" w14:textId="77777777" w:rsidR="002D6F67" w:rsidRDefault="002D6F67">
      <w:pPr>
        <w:spacing w:after="0" w:line="240" w:lineRule="auto"/>
      </w:pPr>
      <w:r>
        <w:br w:type="page"/>
      </w:r>
    </w:p>
    <w:p w14:paraId="6C4F5BDD" w14:textId="77777777" w:rsidR="00FD53EC" w:rsidRPr="00174DD3" w:rsidRDefault="00FD53EC" w:rsidP="001324BF">
      <w:pPr>
        <w:pStyle w:val="ListParagraph"/>
        <w:spacing w:before="480"/>
      </w:pPr>
      <w:r w:rsidRPr="00174DD3">
        <w:lastRenderedPageBreak/>
        <w:t xml:space="preserve">I strongly object to overseas entities being permitted to trade in our water. </w:t>
      </w:r>
    </w:p>
    <w:p w14:paraId="3B841583" w14:textId="77777777" w:rsidR="00805D48" w:rsidRPr="00174DD3" w:rsidRDefault="00DB4913">
      <w:r w:rsidRPr="00174DD3">
        <w:t>Not</w:t>
      </w:r>
      <w:r w:rsidR="00AF2BAA">
        <w:t>ed</w:t>
      </w:r>
      <w:r w:rsidR="00C65E4E">
        <w:t>.</w:t>
      </w:r>
    </w:p>
    <w:p w14:paraId="553A0F8A" w14:textId="77777777" w:rsidR="00FD53EC" w:rsidRPr="00174DD3" w:rsidRDefault="00FD53EC" w:rsidP="001324BF">
      <w:pPr>
        <w:pStyle w:val="ListParagraph"/>
        <w:spacing w:before="480"/>
      </w:pPr>
      <w:r w:rsidRPr="00174DD3">
        <w:t xml:space="preserve">Monitoring and evaluation of the Basin plan and environmental flows must include both negative and positive impacts to enable full evaluations. </w:t>
      </w:r>
    </w:p>
    <w:p w14:paraId="2F730FE1" w14:textId="77777777" w:rsidR="00F61B83" w:rsidRPr="00174DD3" w:rsidRDefault="00AF2BAA" w:rsidP="00EB0C91">
      <w:pPr>
        <w:tabs>
          <w:tab w:val="left" w:pos="2835"/>
        </w:tabs>
      </w:pPr>
      <w:r>
        <w:t>See response to majority report r</w:t>
      </w:r>
      <w:r w:rsidRPr="00174DD3">
        <w:t>ecommendation 2</w:t>
      </w:r>
      <w:r>
        <w:t>6</w:t>
      </w:r>
      <w:r w:rsidRPr="00174DD3">
        <w:t>.</w:t>
      </w:r>
    </w:p>
    <w:sectPr w:rsidR="00F61B83" w:rsidRPr="00174DD3" w:rsidSect="00B41302">
      <w:pgSz w:w="11906" w:h="16838" w:code="9"/>
      <w:pgMar w:top="1304" w:right="1276" w:bottom="1361" w:left="1276"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8D9C0" w14:textId="77777777" w:rsidR="00914D6F" w:rsidRDefault="00914D6F" w:rsidP="000E09FA">
      <w:r>
        <w:separator/>
      </w:r>
    </w:p>
  </w:endnote>
  <w:endnote w:type="continuationSeparator" w:id="0">
    <w:p w14:paraId="11254BFB" w14:textId="77777777" w:rsidR="00914D6F" w:rsidRDefault="00914D6F" w:rsidP="000E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7927E" w14:textId="77777777" w:rsidR="00D374ED" w:rsidRDefault="00D374ED" w:rsidP="000E09FA">
    <w:pPr>
      <w:pStyle w:val="Footer"/>
    </w:pPr>
  </w:p>
  <w:p w14:paraId="571BD2E0" w14:textId="77777777" w:rsidR="00D374ED" w:rsidRDefault="00D374ED" w:rsidP="000E0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0AD76" w14:textId="77777777" w:rsidR="00D374ED" w:rsidRDefault="005F17B5" w:rsidP="00F61B83">
    <w:pPr>
      <w:pStyle w:val="Footerclassification"/>
    </w:pPr>
    <w:r>
      <w:fldChar w:fldCharType="begin"/>
    </w:r>
    <w:r>
      <w:instrText xml:space="preserve"> DOCPROPERTY DLM \* MERGEFORMAT </w:instrText>
    </w:r>
    <w:r>
      <w:fldChar w:fldCharType="separate"/>
    </w:r>
    <w:r w:rsidR="00CE692C">
      <w:t xml:space="preserve">For Official Use </w:t>
    </w:r>
    <w:proofErr w:type="spellStart"/>
    <w:r w:rsidR="00CE692C">
      <w:t>Only</w:t>
    </w:r>
    <w:r>
      <w:fldChar w:fldCharType="end"/>
    </w:r>
    <w:r w:rsidR="00D374ED">
      <w:fldChar w:fldCharType="begin"/>
    </w:r>
    <w:r w:rsidR="00D374ED">
      <w:instrText xml:space="preserve"> DOCPROPERTY Spacer \* MERGEFORMAT </w:instrText>
    </w:r>
    <w:r w:rsidR="00D374ED">
      <w:fldChar w:fldCharType="end"/>
    </w:r>
    <w:r>
      <w:fldChar w:fldCharType="begin"/>
    </w:r>
    <w:r>
      <w:instrText xml:space="preserve"> DOCPROPERTY SecurityClassification \* MERGEFORMAT </w:instrText>
    </w:r>
    <w:r>
      <w:fldChar w:fldCharType="separate"/>
    </w:r>
    <w:r w:rsidR="00CE692C">
      <w:t>For</w:t>
    </w:r>
    <w:proofErr w:type="spellEnd"/>
    <w:r w:rsidR="00CE692C">
      <w:t xml:space="preserve"> Official Use Only (FOUO)  </w:t>
    </w:r>
    <w:r>
      <w:fldChar w:fldCharType="end"/>
    </w:r>
  </w:p>
  <w:p w14:paraId="196B8959" w14:textId="77777777" w:rsidR="00D374ED" w:rsidRDefault="00D374ED" w:rsidP="000E09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13960"/>
      <w:docPartObj>
        <w:docPartGallery w:val="Page Numbers (Bottom of Page)"/>
        <w:docPartUnique/>
      </w:docPartObj>
    </w:sdtPr>
    <w:sdtEndPr>
      <w:rPr>
        <w:noProof/>
      </w:rPr>
    </w:sdtEndPr>
    <w:sdtContent>
      <w:p w14:paraId="60D2B525" w14:textId="77777777" w:rsidR="00D374ED" w:rsidRDefault="00D374ED" w:rsidP="000E12B5">
        <w:pPr>
          <w:pStyle w:val="Footer"/>
          <w:spacing w:before="240" w:after="120"/>
          <w:jc w:val="center"/>
          <w:rPr>
            <w:noProof/>
          </w:rPr>
        </w:pPr>
        <w:r>
          <w:fldChar w:fldCharType="begin"/>
        </w:r>
        <w:r>
          <w:instrText xml:space="preserve"> PAGE   \* MERGEFORMAT </w:instrText>
        </w:r>
        <w:r>
          <w:fldChar w:fldCharType="separate"/>
        </w:r>
        <w:r w:rsidR="00CE692C">
          <w:rPr>
            <w:noProof/>
          </w:rPr>
          <w:t>20</w:t>
        </w:r>
        <w:r>
          <w:rPr>
            <w:noProof/>
          </w:rPr>
          <w:fldChar w:fldCharType="end"/>
        </w:r>
      </w:p>
    </w:sdtContent>
  </w:sdt>
  <w:p w14:paraId="2C3B5F1F" w14:textId="77777777" w:rsidR="000A585B" w:rsidRDefault="000A585B" w:rsidP="000E12B5">
    <w:pPr>
      <w:pStyle w:val="Footer"/>
      <w:spacing w:before="240" w:after="120"/>
      <w:jc w:val="cen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6094" w14:textId="77777777" w:rsidR="00D374ED" w:rsidRPr="00871B09" w:rsidRDefault="00D374ED" w:rsidP="00F61B83">
    <w:pPr>
      <w:pStyle w:val="Footerclassification"/>
    </w:pPr>
    <w:r>
      <w:rPr>
        <w:sz w:val="22"/>
      </w:rPr>
      <w:fldChar w:fldCharType="begin"/>
    </w:r>
    <w:r>
      <w:rPr>
        <w:sz w:val="22"/>
      </w:rPr>
      <w:instrText xml:space="preserve"> DOCPROPERTY Sensitivity \* MERGEFORMAT </w:instrText>
    </w:r>
    <w:r>
      <w:rPr>
        <w:sz w:val="22"/>
      </w:rPr>
      <w:fldChar w:fldCharType="end"/>
    </w:r>
    <w:r>
      <w:rPr>
        <w:i/>
        <w:sz w:val="22"/>
      </w:rPr>
      <w:fldChar w:fldCharType="begin"/>
    </w:r>
    <w:r>
      <w:rPr>
        <w:i/>
        <w:sz w:val="22"/>
      </w:rPr>
      <w:instrText xml:space="preserve"> DOCPROPERTY Legislation \* MERGEFORMAT </w:instrText>
    </w:r>
    <w:r>
      <w:rPr>
        <w:i/>
        <w:sz w:val="22"/>
      </w:rPr>
      <w:fldChar w:fldCharType="end"/>
    </w:r>
    <w:r>
      <w:fldChar w:fldCharType="begin"/>
    </w:r>
    <w:r>
      <w:instrText xml:space="preserve"> DOCPROPERTY Spacer \* MERGEFORMAT </w:instrText>
    </w:r>
    <w:r>
      <w:fldChar w:fldCharType="end"/>
    </w:r>
    <w:fldSimple w:instr=" DOCPROPERTY SecurityClassification \* MERGEFORMAT ">
      <w:r w:rsidR="00CE692C">
        <w:t xml:space="preserve">For Official Use Only (FOUO)  </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90EFF" w14:textId="77777777" w:rsidR="00914D6F" w:rsidRDefault="00914D6F" w:rsidP="000E09FA">
      <w:r>
        <w:separator/>
      </w:r>
    </w:p>
  </w:footnote>
  <w:footnote w:type="continuationSeparator" w:id="0">
    <w:p w14:paraId="29FE496B" w14:textId="77777777" w:rsidR="00914D6F" w:rsidRDefault="00914D6F" w:rsidP="000E0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8D42" w14:textId="33EAB89E" w:rsidR="00D374ED" w:rsidRDefault="00D374ED" w:rsidP="00174DB0">
    <w:pPr>
      <w:pStyle w:val="Classification"/>
    </w:pPr>
    <w:r w:rsidRPr="00B608C5">
      <w:fldChar w:fldCharType="begin"/>
    </w:r>
    <w:r>
      <w:instrText xml:space="preserve"> DOCPROPERTY SecurityClassification \* MERGEFORMAT </w:instrText>
    </w:r>
    <w:r w:rsidRPr="00B608C5">
      <w:fldChar w:fldCharType="separate"/>
    </w:r>
    <w:r w:rsidR="00CE692C" w:rsidRPr="00CE692C">
      <w:rPr>
        <w:b/>
        <w:bCs/>
        <w:lang w:val="en-US"/>
      </w:rPr>
      <w:t xml:space="preserve">For Official Use Only (FOUO)  </w:t>
    </w:r>
    <w:r w:rsidRPr="00B608C5">
      <w:rPr>
        <w:b/>
        <w:bCs/>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7B743" w14:textId="03B1AAA4" w:rsidR="00D374ED" w:rsidRDefault="005F17B5" w:rsidP="00F61B83">
    <w:pPr>
      <w:pStyle w:val="Classification"/>
    </w:pPr>
    <w:r>
      <w:fldChar w:fldCharType="begin"/>
    </w:r>
    <w:r>
      <w:instrText xml:space="preserve"> DOCPROPERTY SecurityClassification \* MERGEFORMAT </w:instrText>
    </w:r>
    <w:r>
      <w:fldChar w:fldCharType="separate"/>
    </w:r>
    <w:r w:rsidR="00CE692C">
      <w:t>For Official Use Only (FOUO</w:t>
    </w:r>
    <w:proofErr w:type="gramStart"/>
    <w:r w:rsidR="00CE692C">
      <w:t xml:space="preserve">)  </w:t>
    </w:r>
    <w:proofErr w:type="gramEnd"/>
    <w:r>
      <w:fldChar w:fldCharType="end"/>
    </w:r>
    <w:r w:rsidR="00D374ED">
      <w:fldChar w:fldCharType="begin"/>
    </w:r>
    <w:r w:rsidR="00D374ED">
      <w:instrText xml:space="preserve"> DOCPROPERTY Spacer \* MERGEFORMAT </w:instrText>
    </w:r>
    <w:r w:rsidR="00D374ED">
      <w:fldChar w:fldCharType="end"/>
    </w:r>
    <w:fldSimple w:instr=" DOCPROPERTY DLM \* MERGEFORMAT ">
      <w:r w:rsidR="00CE692C">
        <w:t>For Official Use Only</w:t>
      </w:r>
    </w:fldSimple>
  </w:p>
  <w:p w14:paraId="239E55AA" w14:textId="77777777" w:rsidR="00D374ED" w:rsidRDefault="000A585B" w:rsidP="00F61B83">
    <w:pPr>
      <w:pStyle w:val="Classification"/>
    </w:pPr>
    <w:fldSimple w:instr=" DOCPROPERTY SecurityClassification \* MERGEFORMAT ">
      <w:r w:rsidR="00CE692C">
        <w:t xml:space="preserve">For Official Use Only (FOUO)  </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5B5E0" w14:textId="25C0FBF6" w:rsidR="00D374ED" w:rsidRDefault="00D374ED" w:rsidP="00B41302">
    <w:pPr>
      <w:pStyle w:val="Classification"/>
      <w:jc w:val="left"/>
    </w:pPr>
    <w:r>
      <w:fldChar w:fldCharType="begin"/>
    </w:r>
    <w:r>
      <w:instrText xml:space="preserve"> DOCPROPERTY Spacer \* MERGEFORMAT </w:instrTex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C9714" w14:textId="51C167A3" w:rsidR="00D374ED" w:rsidRDefault="00D374ED" w:rsidP="00401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776F2B"/>
    <w:multiLevelType w:val="hybridMultilevel"/>
    <w:tmpl w:val="14E4BEF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57C210C"/>
    <w:multiLevelType w:val="hybridMultilevel"/>
    <w:tmpl w:val="F0020E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79E750A"/>
    <w:multiLevelType w:val="hybridMultilevel"/>
    <w:tmpl w:val="C048390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15:restartNumberingAfterBreak="0">
    <w:nsid w:val="11466083"/>
    <w:multiLevelType w:val="hybridMultilevel"/>
    <w:tmpl w:val="BEA683FA"/>
    <w:lvl w:ilvl="0" w:tplc="481CA750">
      <w:start w:val="1"/>
      <w:numFmt w:val="bullet"/>
      <w:lvlText w:val=""/>
      <w:lvlJc w:val="left"/>
      <w:pPr>
        <w:ind w:left="1440" w:hanging="360"/>
      </w:pPr>
      <w:rPr>
        <w:rFonts w:ascii="Symbol" w:hAnsi="Symbol" w:hint="default"/>
      </w:rPr>
    </w:lvl>
    <w:lvl w:ilvl="1" w:tplc="1E9EEC3A" w:tentative="1">
      <w:start w:val="1"/>
      <w:numFmt w:val="bullet"/>
      <w:lvlText w:val="o"/>
      <w:lvlJc w:val="left"/>
      <w:pPr>
        <w:ind w:left="2160" w:hanging="360"/>
      </w:pPr>
      <w:rPr>
        <w:rFonts w:ascii="Courier New" w:hAnsi="Courier New" w:cs="Courier New" w:hint="default"/>
      </w:rPr>
    </w:lvl>
    <w:lvl w:ilvl="2" w:tplc="02B4094E" w:tentative="1">
      <w:start w:val="1"/>
      <w:numFmt w:val="bullet"/>
      <w:lvlText w:val=""/>
      <w:lvlJc w:val="left"/>
      <w:pPr>
        <w:ind w:left="2880" w:hanging="360"/>
      </w:pPr>
      <w:rPr>
        <w:rFonts w:ascii="Wingdings" w:hAnsi="Wingdings" w:hint="default"/>
      </w:rPr>
    </w:lvl>
    <w:lvl w:ilvl="3" w:tplc="2F6E0024" w:tentative="1">
      <w:start w:val="1"/>
      <w:numFmt w:val="bullet"/>
      <w:lvlText w:val=""/>
      <w:lvlJc w:val="left"/>
      <w:pPr>
        <w:ind w:left="3600" w:hanging="360"/>
      </w:pPr>
      <w:rPr>
        <w:rFonts w:ascii="Symbol" w:hAnsi="Symbol" w:hint="default"/>
      </w:rPr>
    </w:lvl>
    <w:lvl w:ilvl="4" w:tplc="BF3E4048" w:tentative="1">
      <w:start w:val="1"/>
      <w:numFmt w:val="bullet"/>
      <w:lvlText w:val="o"/>
      <w:lvlJc w:val="left"/>
      <w:pPr>
        <w:ind w:left="4320" w:hanging="360"/>
      </w:pPr>
      <w:rPr>
        <w:rFonts w:ascii="Courier New" w:hAnsi="Courier New" w:cs="Courier New" w:hint="default"/>
      </w:rPr>
    </w:lvl>
    <w:lvl w:ilvl="5" w:tplc="790E69CC" w:tentative="1">
      <w:start w:val="1"/>
      <w:numFmt w:val="bullet"/>
      <w:lvlText w:val=""/>
      <w:lvlJc w:val="left"/>
      <w:pPr>
        <w:ind w:left="5040" w:hanging="360"/>
      </w:pPr>
      <w:rPr>
        <w:rFonts w:ascii="Wingdings" w:hAnsi="Wingdings" w:hint="default"/>
      </w:rPr>
    </w:lvl>
    <w:lvl w:ilvl="6" w:tplc="45E032C2" w:tentative="1">
      <w:start w:val="1"/>
      <w:numFmt w:val="bullet"/>
      <w:lvlText w:val=""/>
      <w:lvlJc w:val="left"/>
      <w:pPr>
        <w:ind w:left="5760" w:hanging="360"/>
      </w:pPr>
      <w:rPr>
        <w:rFonts w:ascii="Symbol" w:hAnsi="Symbol" w:hint="default"/>
      </w:rPr>
    </w:lvl>
    <w:lvl w:ilvl="7" w:tplc="903231E4" w:tentative="1">
      <w:start w:val="1"/>
      <w:numFmt w:val="bullet"/>
      <w:lvlText w:val="o"/>
      <w:lvlJc w:val="left"/>
      <w:pPr>
        <w:ind w:left="6480" w:hanging="360"/>
      </w:pPr>
      <w:rPr>
        <w:rFonts w:ascii="Courier New" w:hAnsi="Courier New" w:cs="Courier New" w:hint="default"/>
      </w:rPr>
    </w:lvl>
    <w:lvl w:ilvl="8" w:tplc="3E4AF422" w:tentative="1">
      <w:start w:val="1"/>
      <w:numFmt w:val="bullet"/>
      <w:lvlText w:val=""/>
      <w:lvlJc w:val="left"/>
      <w:pPr>
        <w:ind w:left="7200" w:hanging="360"/>
      </w:pPr>
      <w:rPr>
        <w:rFonts w:ascii="Wingdings" w:hAnsi="Wingdings" w:hint="default"/>
      </w:rPr>
    </w:lvl>
  </w:abstractNum>
  <w:abstractNum w:abstractNumId="5" w15:restartNumberingAfterBreak="0">
    <w:nsid w:val="119E1EF3"/>
    <w:multiLevelType w:val="hybridMultilevel"/>
    <w:tmpl w:val="178A90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3A96ED2"/>
    <w:multiLevelType w:val="hybridMultilevel"/>
    <w:tmpl w:val="312CE1FA"/>
    <w:lvl w:ilvl="0" w:tplc="0C090001">
      <w:start w:val="1"/>
      <w:numFmt w:val="bullet"/>
      <w:lvlText w:val=""/>
      <w:lvlJc w:val="left"/>
      <w:pPr>
        <w:ind w:left="7023" w:hanging="360"/>
      </w:pPr>
      <w:rPr>
        <w:rFonts w:ascii="Symbol" w:hAnsi="Symbol" w:hint="default"/>
      </w:rPr>
    </w:lvl>
    <w:lvl w:ilvl="1" w:tplc="FFFFFFFF">
      <w:start w:val="1"/>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E2B64"/>
    <w:multiLevelType w:val="hybridMultilevel"/>
    <w:tmpl w:val="8C287EB2"/>
    <w:lvl w:ilvl="0" w:tplc="CBE21AC2">
      <w:start w:val="1"/>
      <w:numFmt w:val="bullet"/>
      <w:lvlText w:val=""/>
      <w:lvlJc w:val="left"/>
      <w:pPr>
        <w:ind w:left="1080" w:hanging="360"/>
      </w:pPr>
      <w:rPr>
        <w:rFonts w:ascii="Symbol" w:hAnsi="Symbol" w:hint="default"/>
      </w:rPr>
    </w:lvl>
    <w:lvl w:ilvl="1" w:tplc="D5EC5CE8" w:tentative="1">
      <w:start w:val="1"/>
      <w:numFmt w:val="bullet"/>
      <w:lvlText w:val="o"/>
      <w:lvlJc w:val="left"/>
      <w:pPr>
        <w:ind w:left="1800" w:hanging="360"/>
      </w:pPr>
      <w:rPr>
        <w:rFonts w:ascii="Courier New" w:hAnsi="Courier New" w:cs="Courier New" w:hint="default"/>
      </w:rPr>
    </w:lvl>
    <w:lvl w:ilvl="2" w:tplc="9940ADEE" w:tentative="1">
      <w:start w:val="1"/>
      <w:numFmt w:val="bullet"/>
      <w:lvlText w:val=""/>
      <w:lvlJc w:val="left"/>
      <w:pPr>
        <w:ind w:left="2520" w:hanging="360"/>
      </w:pPr>
      <w:rPr>
        <w:rFonts w:ascii="Wingdings" w:hAnsi="Wingdings" w:hint="default"/>
      </w:rPr>
    </w:lvl>
    <w:lvl w:ilvl="3" w:tplc="02FE17F4" w:tentative="1">
      <w:start w:val="1"/>
      <w:numFmt w:val="bullet"/>
      <w:lvlText w:val=""/>
      <w:lvlJc w:val="left"/>
      <w:pPr>
        <w:ind w:left="3240" w:hanging="360"/>
      </w:pPr>
      <w:rPr>
        <w:rFonts w:ascii="Symbol" w:hAnsi="Symbol" w:hint="default"/>
      </w:rPr>
    </w:lvl>
    <w:lvl w:ilvl="4" w:tplc="3146AD60" w:tentative="1">
      <w:start w:val="1"/>
      <w:numFmt w:val="bullet"/>
      <w:lvlText w:val="o"/>
      <w:lvlJc w:val="left"/>
      <w:pPr>
        <w:ind w:left="3960" w:hanging="360"/>
      </w:pPr>
      <w:rPr>
        <w:rFonts w:ascii="Courier New" w:hAnsi="Courier New" w:cs="Courier New" w:hint="default"/>
      </w:rPr>
    </w:lvl>
    <w:lvl w:ilvl="5" w:tplc="B4BC2CD8" w:tentative="1">
      <w:start w:val="1"/>
      <w:numFmt w:val="bullet"/>
      <w:lvlText w:val=""/>
      <w:lvlJc w:val="left"/>
      <w:pPr>
        <w:ind w:left="4680" w:hanging="360"/>
      </w:pPr>
      <w:rPr>
        <w:rFonts w:ascii="Wingdings" w:hAnsi="Wingdings" w:hint="default"/>
      </w:rPr>
    </w:lvl>
    <w:lvl w:ilvl="6" w:tplc="DC96ED3C" w:tentative="1">
      <w:start w:val="1"/>
      <w:numFmt w:val="bullet"/>
      <w:lvlText w:val=""/>
      <w:lvlJc w:val="left"/>
      <w:pPr>
        <w:ind w:left="5400" w:hanging="360"/>
      </w:pPr>
      <w:rPr>
        <w:rFonts w:ascii="Symbol" w:hAnsi="Symbol" w:hint="default"/>
      </w:rPr>
    </w:lvl>
    <w:lvl w:ilvl="7" w:tplc="A262003C" w:tentative="1">
      <w:start w:val="1"/>
      <w:numFmt w:val="bullet"/>
      <w:lvlText w:val="o"/>
      <w:lvlJc w:val="left"/>
      <w:pPr>
        <w:ind w:left="6120" w:hanging="360"/>
      </w:pPr>
      <w:rPr>
        <w:rFonts w:ascii="Courier New" w:hAnsi="Courier New" w:cs="Courier New" w:hint="default"/>
      </w:rPr>
    </w:lvl>
    <w:lvl w:ilvl="8" w:tplc="4C8040E4" w:tentative="1">
      <w:start w:val="1"/>
      <w:numFmt w:val="bullet"/>
      <w:lvlText w:val=""/>
      <w:lvlJc w:val="left"/>
      <w:pPr>
        <w:ind w:left="6840" w:hanging="360"/>
      </w:pPr>
      <w:rPr>
        <w:rFonts w:ascii="Wingdings" w:hAnsi="Wingdings" w:hint="default"/>
      </w:rPr>
    </w:lvl>
  </w:abstractNum>
  <w:abstractNum w:abstractNumId="8" w15:restartNumberingAfterBreak="0">
    <w:nsid w:val="1E322B57"/>
    <w:multiLevelType w:val="multilevel"/>
    <w:tmpl w:val="73CE3F44"/>
    <w:lvl w:ilvl="0">
      <w:start w:val="1"/>
      <w:numFmt w:val="bullet"/>
      <w:lvlText w:val=""/>
      <w:lvlJc w:val="left"/>
      <w:pPr>
        <w:ind w:left="369" w:hanging="369"/>
      </w:pPr>
      <w:rPr>
        <w:rFonts w:ascii="Symbol" w:hAnsi="Symbol" w:hint="default"/>
        <w:b w:val="0"/>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15:restartNumberingAfterBreak="0">
    <w:nsid w:val="1E944E25"/>
    <w:multiLevelType w:val="hybridMultilevel"/>
    <w:tmpl w:val="5AFAA5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745BC2"/>
    <w:multiLevelType w:val="multilevel"/>
    <w:tmpl w:val="E5E89F92"/>
    <w:numStyleLink w:val="BulletList"/>
  </w:abstractNum>
  <w:abstractNum w:abstractNumId="11" w15:restartNumberingAfterBreak="0">
    <w:nsid w:val="242021D0"/>
    <w:multiLevelType w:val="hybridMultilevel"/>
    <w:tmpl w:val="B5A8632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BD70351"/>
    <w:multiLevelType w:val="hybridMultilevel"/>
    <w:tmpl w:val="BD5E43F8"/>
    <w:lvl w:ilvl="0" w:tplc="0C090001">
      <w:start w:val="1"/>
      <w:numFmt w:val="bullet"/>
      <w:lvlText w:val=""/>
      <w:lvlJc w:val="left"/>
      <w:pPr>
        <w:ind w:left="2484" w:hanging="360"/>
      </w:pPr>
      <w:rPr>
        <w:rFonts w:ascii="Symbol" w:hAnsi="Symbol" w:hint="default"/>
      </w:rPr>
    </w:lvl>
    <w:lvl w:ilvl="1" w:tplc="D8E8C2C8">
      <w:start w:val="1"/>
      <w:numFmt w:val="bullet"/>
      <w:lvlText w:val="-"/>
      <w:lvlJc w:val="left"/>
      <w:pPr>
        <w:ind w:left="3204" w:hanging="360"/>
      </w:pPr>
      <w:rPr>
        <w:rFonts w:ascii="Calibri" w:hAnsi="Calibri" w:hint="default"/>
      </w:rPr>
    </w:lvl>
    <w:lvl w:ilvl="2" w:tplc="0C090005">
      <w:start w:val="1"/>
      <w:numFmt w:val="bullet"/>
      <w:lvlText w:val=""/>
      <w:lvlJc w:val="left"/>
      <w:pPr>
        <w:ind w:left="3924" w:hanging="360"/>
      </w:pPr>
      <w:rPr>
        <w:rFonts w:ascii="Wingdings" w:hAnsi="Wingdings" w:hint="default"/>
      </w:rPr>
    </w:lvl>
    <w:lvl w:ilvl="3" w:tplc="0C090001">
      <w:start w:val="1"/>
      <w:numFmt w:val="bullet"/>
      <w:lvlText w:val=""/>
      <w:lvlJc w:val="left"/>
      <w:pPr>
        <w:ind w:left="4644" w:hanging="360"/>
      </w:pPr>
      <w:rPr>
        <w:rFonts w:ascii="Symbol" w:hAnsi="Symbol" w:hint="default"/>
      </w:rPr>
    </w:lvl>
    <w:lvl w:ilvl="4" w:tplc="0C090003">
      <w:start w:val="1"/>
      <w:numFmt w:val="bullet"/>
      <w:lvlText w:val="o"/>
      <w:lvlJc w:val="left"/>
      <w:pPr>
        <w:ind w:left="5364" w:hanging="360"/>
      </w:pPr>
      <w:rPr>
        <w:rFonts w:ascii="Courier New" w:hAnsi="Courier New" w:cs="Courier New" w:hint="default"/>
      </w:rPr>
    </w:lvl>
    <w:lvl w:ilvl="5" w:tplc="0C090005">
      <w:start w:val="1"/>
      <w:numFmt w:val="bullet"/>
      <w:lvlText w:val=""/>
      <w:lvlJc w:val="left"/>
      <w:pPr>
        <w:ind w:left="6084" w:hanging="360"/>
      </w:pPr>
      <w:rPr>
        <w:rFonts w:ascii="Wingdings" w:hAnsi="Wingdings" w:hint="default"/>
      </w:rPr>
    </w:lvl>
    <w:lvl w:ilvl="6" w:tplc="0C090001">
      <w:start w:val="1"/>
      <w:numFmt w:val="bullet"/>
      <w:lvlText w:val=""/>
      <w:lvlJc w:val="left"/>
      <w:pPr>
        <w:ind w:left="6804" w:hanging="360"/>
      </w:pPr>
      <w:rPr>
        <w:rFonts w:ascii="Symbol" w:hAnsi="Symbol" w:hint="default"/>
      </w:rPr>
    </w:lvl>
    <w:lvl w:ilvl="7" w:tplc="0C090003">
      <w:start w:val="1"/>
      <w:numFmt w:val="bullet"/>
      <w:lvlText w:val="o"/>
      <w:lvlJc w:val="left"/>
      <w:pPr>
        <w:ind w:left="7524" w:hanging="360"/>
      </w:pPr>
      <w:rPr>
        <w:rFonts w:ascii="Courier New" w:hAnsi="Courier New" w:cs="Courier New" w:hint="default"/>
      </w:rPr>
    </w:lvl>
    <w:lvl w:ilvl="8" w:tplc="0C090005">
      <w:start w:val="1"/>
      <w:numFmt w:val="bullet"/>
      <w:lvlText w:val=""/>
      <w:lvlJc w:val="left"/>
      <w:pPr>
        <w:ind w:left="8244" w:hanging="360"/>
      </w:pPr>
      <w:rPr>
        <w:rFonts w:ascii="Wingdings" w:hAnsi="Wingdings" w:hint="default"/>
      </w:rPr>
    </w:lvl>
  </w:abstractNum>
  <w:abstractNum w:abstractNumId="13" w15:restartNumberingAfterBreak="0">
    <w:nsid w:val="2C200635"/>
    <w:multiLevelType w:val="hybridMultilevel"/>
    <w:tmpl w:val="A634BFAA"/>
    <w:lvl w:ilvl="0" w:tplc="2858203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64973"/>
    <w:multiLevelType w:val="hybridMultilevel"/>
    <w:tmpl w:val="239C7FA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D649A2"/>
    <w:multiLevelType w:val="hybridMultilevel"/>
    <w:tmpl w:val="745A2C84"/>
    <w:lvl w:ilvl="0" w:tplc="E30862D8">
      <w:start w:val="1"/>
      <w:numFmt w:val="bullet"/>
      <w:lvlText w:val=""/>
      <w:lvlJc w:val="left"/>
      <w:pPr>
        <w:tabs>
          <w:tab w:val="num" w:pos="283"/>
        </w:tabs>
        <w:ind w:left="283" w:hanging="283"/>
      </w:pPr>
      <w:rPr>
        <w:rFonts w:ascii="Symbol" w:hAnsi="Symbol" w:hint="default"/>
        <w:color w:val="auto"/>
      </w:rPr>
    </w:lvl>
    <w:lvl w:ilvl="1" w:tplc="0C090001">
      <w:start w:val="1"/>
      <w:numFmt w:val="bullet"/>
      <w:lvlText w:val=""/>
      <w:lvlJc w:val="left"/>
      <w:pPr>
        <w:tabs>
          <w:tab w:val="num" w:pos="589"/>
        </w:tabs>
        <w:ind w:left="589" w:hanging="360"/>
      </w:pPr>
      <w:rPr>
        <w:rFonts w:ascii="Symbol" w:hAnsi="Symbol" w:hint="default"/>
      </w:rPr>
    </w:lvl>
    <w:lvl w:ilvl="2" w:tplc="0C090003">
      <w:start w:val="1"/>
      <w:numFmt w:val="bullet"/>
      <w:lvlText w:val="o"/>
      <w:lvlJc w:val="left"/>
      <w:pPr>
        <w:tabs>
          <w:tab w:val="num" w:pos="1309"/>
        </w:tabs>
        <w:ind w:left="1309" w:hanging="360"/>
      </w:pPr>
      <w:rPr>
        <w:rFonts w:ascii="Courier New" w:hAnsi="Courier New" w:cs="Courier New" w:hint="default"/>
      </w:rPr>
    </w:lvl>
    <w:lvl w:ilvl="3" w:tplc="0C090001">
      <w:start w:val="1"/>
      <w:numFmt w:val="bullet"/>
      <w:lvlText w:val=""/>
      <w:lvlJc w:val="left"/>
      <w:pPr>
        <w:tabs>
          <w:tab w:val="num" w:pos="2029"/>
        </w:tabs>
        <w:ind w:left="2029" w:hanging="360"/>
      </w:pPr>
      <w:rPr>
        <w:rFonts w:ascii="Symbol" w:hAnsi="Symbol" w:hint="default"/>
      </w:rPr>
    </w:lvl>
    <w:lvl w:ilvl="4" w:tplc="F42CC494">
      <w:start w:val="1"/>
      <w:numFmt w:val="bullet"/>
      <w:lvlText w:val=""/>
      <w:lvlJc w:val="left"/>
      <w:pPr>
        <w:tabs>
          <w:tab w:val="num" w:pos="2749"/>
        </w:tabs>
        <w:ind w:left="2749" w:hanging="360"/>
      </w:pPr>
      <w:rPr>
        <w:rFonts w:ascii="Symbol" w:hAnsi="Symbol" w:hint="default"/>
      </w:rPr>
    </w:lvl>
    <w:lvl w:ilvl="5" w:tplc="0C090005">
      <w:start w:val="1"/>
      <w:numFmt w:val="bullet"/>
      <w:lvlText w:val=""/>
      <w:lvlJc w:val="left"/>
      <w:pPr>
        <w:tabs>
          <w:tab w:val="num" w:pos="3469"/>
        </w:tabs>
        <w:ind w:left="3469" w:hanging="360"/>
      </w:pPr>
      <w:rPr>
        <w:rFonts w:ascii="Wingdings" w:hAnsi="Wingdings" w:hint="default"/>
      </w:rPr>
    </w:lvl>
    <w:lvl w:ilvl="6" w:tplc="0C090001">
      <w:start w:val="1"/>
      <w:numFmt w:val="bullet"/>
      <w:lvlText w:val=""/>
      <w:lvlJc w:val="left"/>
      <w:pPr>
        <w:tabs>
          <w:tab w:val="num" w:pos="4189"/>
        </w:tabs>
        <w:ind w:left="4189" w:hanging="360"/>
      </w:pPr>
      <w:rPr>
        <w:rFonts w:ascii="Symbol" w:hAnsi="Symbol" w:hint="default"/>
      </w:rPr>
    </w:lvl>
    <w:lvl w:ilvl="7" w:tplc="0C090003">
      <w:start w:val="1"/>
      <w:numFmt w:val="bullet"/>
      <w:lvlText w:val="o"/>
      <w:lvlJc w:val="left"/>
      <w:pPr>
        <w:tabs>
          <w:tab w:val="num" w:pos="4909"/>
        </w:tabs>
        <w:ind w:left="4909" w:hanging="360"/>
      </w:pPr>
      <w:rPr>
        <w:rFonts w:ascii="Courier New" w:hAnsi="Courier New" w:cs="Courier New" w:hint="default"/>
      </w:rPr>
    </w:lvl>
    <w:lvl w:ilvl="8" w:tplc="0C090005">
      <w:start w:val="1"/>
      <w:numFmt w:val="bullet"/>
      <w:lvlText w:val=""/>
      <w:lvlJc w:val="left"/>
      <w:pPr>
        <w:tabs>
          <w:tab w:val="num" w:pos="5629"/>
        </w:tabs>
        <w:ind w:left="5629" w:hanging="360"/>
      </w:pPr>
      <w:rPr>
        <w:rFonts w:ascii="Wingdings" w:hAnsi="Wingdings" w:hint="default"/>
      </w:rPr>
    </w:lvl>
  </w:abstractNum>
  <w:abstractNum w:abstractNumId="17" w15:restartNumberingAfterBreak="0">
    <w:nsid w:val="33AE4D18"/>
    <w:multiLevelType w:val="hybridMultilevel"/>
    <w:tmpl w:val="39D4EB6E"/>
    <w:lvl w:ilvl="0" w:tplc="28582038">
      <w:start w:val="1"/>
      <w:numFmt w:val="bullet"/>
      <w:lvlText w:val=""/>
      <w:lvlJc w:val="left"/>
      <w:pPr>
        <w:ind w:left="1080" w:hanging="360"/>
      </w:pPr>
      <w:rPr>
        <w:rFonts w:ascii="Symbol" w:hAnsi="Symbol" w:hint="default"/>
      </w:rPr>
    </w:lvl>
    <w:lvl w:ilvl="1" w:tplc="6AEC72A8">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F10372"/>
    <w:multiLevelType w:val="hybridMultilevel"/>
    <w:tmpl w:val="725C8CFE"/>
    <w:lvl w:ilvl="0" w:tplc="6E6C8BAA">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69057A0"/>
    <w:multiLevelType w:val="hybridMultilevel"/>
    <w:tmpl w:val="C0EA8B16"/>
    <w:lvl w:ilvl="0" w:tplc="28582038">
      <w:start w:val="1"/>
      <w:numFmt w:val="bullet"/>
      <w:lvlText w:val=""/>
      <w:lvlJc w:val="left"/>
      <w:pPr>
        <w:ind w:left="1117" w:hanging="397"/>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A962AEC"/>
    <w:multiLevelType w:val="hybridMultilevel"/>
    <w:tmpl w:val="AED0DF4A"/>
    <w:lvl w:ilvl="0" w:tplc="0C090001">
      <w:start w:val="1"/>
      <w:numFmt w:val="bullet"/>
      <w:lvlText w:val=""/>
      <w:lvlJc w:val="left"/>
      <w:pPr>
        <w:ind w:left="1080" w:hanging="720"/>
      </w:pPr>
      <w:rPr>
        <w:rFonts w:ascii="Symbol" w:hAnsi="Symbol" w:hint="default"/>
      </w:rPr>
    </w:lvl>
    <w:lvl w:ilvl="1" w:tplc="E8D8400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8E5318"/>
    <w:multiLevelType w:val="hybridMultilevel"/>
    <w:tmpl w:val="182CA760"/>
    <w:lvl w:ilvl="0" w:tplc="7BD61E5E">
      <w:start w:val="1"/>
      <w:numFmt w:val="decimal"/>
      <w:lvlText w:val="%1."/>
      <w:lvlJc w:val="left"/>
      <w:pPr>
        <w:ind w:left="1080" w:hanging="720"/>
      </w:pPr>
      <w:rPr>
        <w:rFonts w:hint="default"/>
      </w:rPr>
    </w:lvl>
    <w:lvl w:ilvl="1" w:tplc="E8D84008">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141154"/>
    <w:multiLevelType w:val="hybridMultilevel"/>
    <w:tmpl w:val="78805D6A"/>
    <w:lvl w:ilvl="0" w:tplc="05EC8C1C">
      <w:start w:val="1"/>
      <w:numFmt w:val="bullet"/>
      <w:lvlText w:val=""/>
      <w:lvlJc w:val="left"/>
      <w:pPr>
        <w:ind w:left="1382" w:hanging="360"/>
      </w:pPr>
      <w:rPr>
        <w:rFonts w:ascii="Symbol" w:hAnsi="Symbol" w:hint="default"/>
      </w:rPr>
    </w:lvl>
    <w:lvl w:ilvl="1" w:tplc="0C090003" w:tentative="1">
      <w:start w:val="1"/>
      <w:numFmt w:val="bullet"/>
      <w:lvlText w:val="o"/>
      <w:lvlJc w:val="left"/>
      <w:pPr>
        <w:ind w:left="2102" w:hanging="360"/>
      </w:pPr>
      <w:rPr>
        <w:rFonts w:ascii="Courier New" w:hAnsi="Courier New" w:cs="Courier New" w:hint="default"/>
      </w:rPr>
    </w:lvl>
    <w:lvl w:ilvl="2" w:tplc="0C090005" w:tentative="1">
      <w:start w:val="1"/>
      <w:numFmt w:val="bullet"/>
      <w:lvlText w:val=""/>
      <w:lvlJc w:val="left"/>
      <w:pPr>
        <w:ind w:left="2822" w:hanging="360"/>
      </w:pPr>
      <w:rPr>
        <w:rFonts w:ascii="Wingdings" w:hAnsi="Wingdings" w:hint="default"/>
      </w:rPr>
    </w:lvl>
    <w:lvl w:ilvl="3" w:tplc="0C090001" w:tentative="1">
      <w:start w:val="1"/>
      <w:numFmt w:val="bullet"/>
      <w:lvlText w:val=""/>
      <w:lvlJc w:val="left"/>
      <w:pPr>
        <w:ind w:left="3542" w:hanging="360"/>
      </w:pPr>
      <w:rPr>
        <w:rFonts w:ascii="Symbol" w:hAnsi="Symbol" w:hint="default"/>
      </w:rPr>
    </w:lvl>
    <w:lvl w:ilvl="4" w:tplc="0C090003" w:tentative="1">
      <w:start w:val="1"/>
      <w:numFmt w:val="bullet"/>
      <w:lvlText w:val="o"/>
      <w:lvlJc w:val="left"/>
      <w:pPr>
        <w:ind w:left="4262" w:hanging="360"/>
      </w:pPr>
      <w:rPr>
        <w:rFonts w:ascii="Courier New" w:hAnsi="Courier New" w:cs="Courier New" w:hint="default"/>
      </w:rPr>
    </w:lvl>
    <w:lvl w:ilvl="5" w:tplc="0C090005" w:tentative="1">
      <w:start w:val="1"/>
      <w:numFmt w:val="bullet"/>
      <w:lvlText w:val=""/>
      <w:lvlJc w:val="left"/>
      <w:pPr>
        <w:ind w:left="4982" w:hanging="360"/>
      </w:pPr>
      <w:rPr>
        <w:rFonts w:ascii="Wingdings" w:hAnsi="Wingdings" w:hint="default"/>
      </w:rPr>
    </w:lvl>
    <w:lvl w:ilvl="6" w:tplc="0C090001" w:tentative="1">
      <w:start w:val="1"/>
      <w:numFmt w:val="bullet"/>
      <w:lvlText w:val=""/>
      <w:lvlJc w:val="left"/>
      <w:pPr>
        <w:ind w:left="5702" w:hanging="360"/>
      </w:pPr>
      <w:rPr>
        <w:rFonts w:ascii="Symbol" w:hAnsi="Symbol" w:hint="default"/>
      </w:rPr>
    </w:lvl>
    <w:lvl w:ilvl="7" w:tplc="0C090003" w:tentative="1">
      <w:start w:val="1"/>
      <w:numFmt w:val="bullet"/>
      <w:lvlText w:val="o"/>
      <w:lvlJc w:val="left"/>
      <w:pPr>
        <w:ind w:left="6422" w:hanging="360"/>
      </w:pPr>
      <w:rPr>
        <w:rFonts w:ascii="Courier New" w:hAnsi="Courier New" w:cs="Courier New" w:hint="default"/>
      </w:rPr>
    </w:lvl>
    <w:lvl w:ilvl="8" w:tplc="0C090005" w:tentative="1">
      <w:start w:val="1"/>
      <w:numFmt w:val="bullet"/>
      <w:lvlText w:val=""/>
      <w:lvlJc w:val="left"/>
      <w:pPr>
        <w:ind w:left="7142" w:hanging="360"/>
      </w:pPr>
      <w:rPr>
        <w:rFonts w:ascii="Wingdings" w:hAnsi="Wingdings" w:hint="default"/>
      </w:rPr>
    </w:lvl>
  </w:abstractNum>
  <w:abstractNum w:abstractNumId="24" w15:restartNumberingAfterBreak="0">
    <w:nsid w:val="576B731A"/>
    <w:multiLevelType w:val="hybridMultilevel"/>
    <w:tmpl w:val="171A82F0"/>
    <w:lvl w:ilvl="0" w:tplc="1D70A6A8">
      <w:start w:val="1"/>
      <w:numFmt w:val="decimal"/>
      <w:pStyle w:val="ListParagraph"/>
      <w:lvlText w:val="%1."/>
      <w:lvlJc w:val="left"/>
      <w:pPr>
        <w:ind w:left="397" w:hanging="39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913647F"/>
    <w:multiLevelType w:val="hybridMultilevel"/>
    <w:tmpl w:val="45900458"/>
    <w:lvl w:ilvl="0" w:tplc="2858203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2025AE"/>
    <w:multiLevelType w:val="hybridMultilevel"/>
    <w:tmpl w:val="46129BB6"/>
    <w:lvl w:ilvl="0" w:tplc="3370AB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8F060D"/>
    <w:multiLevelType w:val="hybridMultilevel"/>
    <w:tmpl w:val="99B676CA"/>
    <w:lvl w:ilvl="0" w:tplc="2858203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8607F"/>
    <w:multiLevelType w:val="hybridMultilevel"/>
    <w:tmpl w:val="5BA42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5C0C13"/>
    <w:multiLevelType w:val="hybridMultilevel"/>
    <w:tmpl w:val="B080CB9A"/>
    <w:lvl w:ilvl="0" w:tplc="0C090001">
      <w:start w:val="1"/>
      <w:numFmt w:val="bullet"/>
      <w:lvlText w:val=""/>
      <w:lvlJc w:val="left"/>
      <w:pPr>
        <w:ind w:left="1308" w:hanging="360"/>
      </w:pPr>
      <w:rPr>
        <w:rFonts w:ascii="Symbol" w:hAnsi="Symbol" w:hint="default"/>
      </w:rPr>
    </w:lvl>
    <w:lvl w:ilvl="1" w:tplc="0C090019" w:tentative="1">
      <w:start w:val="1"/>
      <w:numFmt w:val="lowerLetter"/>
      <w:lvlText w:val="%2."/>
      <w:lvlJc w:val="left"/>
      <w:pPr>
        <w:ind w:left="2028" w:hanging="360"/>
      </w:pPr>
    </w:lvl>
    <w:lvl w:ilvl="2" w:tplc="0C09001B" w:tentative="1">
      <w:start w:val="1"/>
      <w:numFmt w:val="lowerRoman"/>
      <w:lvlText w:val="%3."/>
      <w:lvlJc w:val="right"/>
      <w:pPr>
        <w:ind w:left="2748" w:hanging="180"/>
      </w:pPr>
    </w:lvl>
    <w:lvl w:ilvl="3" w:tplc="0C09000F" w:tentative="1">
      <w:start w:val="1"/>
      <w:numFmt w:val="decimal"/>
      <w:lvlText w:val="%4."/>
      <w:lvlJc w:val="left"/>
      <w:pPr>
        <w:ind w:left="3468" w:hanging="360"/>
      </w:pPr>
    </w:lvl>
    <w:lvl w:ilvl="4" w:tplc="0C090019" w:tentative="1">
      <w:start w:val="1"/>
      <w:numFmt w:val="lowerLetter"/>
      <w:lvlText w:val="%5."/>
      <w:lvlJc w:val="left"/>
      <w:pPr>
        <w:ind w:left="4188" w:hanging="360"/>
      </w:pPr>
    </w:lvl>
    <w:lvl w:ilvl="5" w:tplc="0C09001B" w:tentative="1">
      <w:start w:val="1"/>
      <w:numFmt w:val="lowerRoman"/>
      <w:lvlText w:val="%6."/>
      <w:lvlJc w:val="right"/>
      <w:pPr>
        <w:ind w:left="4908" w:hanging="180"/>
      </w:pPr>
    </w:lvl>
    <w:lvl w:ilvl="6" w:tplc="0C09000F" w:tentative="1">
      <w:start w:val="1"/>
      <w:numFmt w:val="decimal"/>
      <w:lvlText w:val="%7."/>
      <w:lvlJc w:val="left"/>
      <w:pPr>
        <w:ind w:left="5628" w:hanging="360"/>
      </w:pPr>
    </w:lvl>
    <w:lvl w:ilvl="7" w:tplc="0C090019" w:tentative="1">
      <w:start w:val="1"/>
      <w:numFmt w:val="lowerLetter"/>
      <w:lvlText w:val="%8."/>
      <w:lvlJc w:val="left"/>
      <w:pPr>
        <w:ind w:left="6348" w:hanging="360"/>
      </w:pPr>
    </w:lvl>
    <w:lvl w:ilvl="8" w:tplc="0C09001B" w:tentative="1">
      <w:start w:val="1"/>
      <w:numFmt w:val="lowerRoman"/>
      <w:lvlText w:val="%9."/>
      <w:lvlJc w:val="right"/>
      <w:pPr>
        <w:ind w:left="7068" w:hanging="180"/>
      </w:pPr>
    </w:lvl>
  </w:abstractNum>
  <w:abstractNum w:abstractNumId="30" w15:restartNumberingAfterBreak="0">
    <w:nsid w:val="6E870134"/>
    <w:multiLevelType w:val="hybridMultilevel"/>
    <w:tmpl w:val="4F9A3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946A0E"/>
    <w:multiLevelType w:val="hybridMultilevel"/>
    <w:tmpl w:val="CFF0BCA0"/>
    <w:lvl w:ilvl="0" w:tplc="99A4A02E">
      <w:start w:val="1"/>
      <w:numFmt w:val="bullet"/>
      <w:lvlText w:val=""/>
      <w:lvlJc w:val="left"/>
      <w:pPr>
        <w:ind w:left="720" w:hanging="360"/>
      </w:pPr>
      <w:rPr>
        <w:rFonts w:ascii="Symbol" w:hAnsi="Symbol" w:hint="default"/>
      </w:rPr>
    </w:lvl>
    <w:lvl w:ilvl="1" w:tplc="950C5A2C">
      <w:start w:val="1"/>
      <w:numFmt w:val="bullet"/>
      <w:lvlText w:val="o"/>
      <w:lvlJc w:val="left"/>
      <w:pPr>
        <w:ind w:left="1440" w:hanging="360"/>
      </w:pPr>
      <w:rPr>
        <w:rFonts w:ascii="Courier New" w:hAnsi="Courier New" w:cs="Courier New" w:hint="default"/>
      </w:rPr>
    </w:lvl>
    <w:lvl w:ilvl="2" w:tplc="D73EF276" w:tentative="1">
      <w:start w:val="1"/>
      <w:numFmt w:val="bullet"/>
      <w:lvlText w:val=""/>
      <w:lvlJc w:val="left"/>
      <w:pPr>
        <w:ind w:left="2160" w:hanging="360"/>
      </w:pPr>
      <w:rPr>
        <w:rFonts w:ascii="Wingdings" w:hAnsi="Wingdings" w:hint="default"/>
      </w:rPr>
    </w:lvl>
    <w:lvl w:ilvl="3" w:tplc="2B76A7F6" w:tentative="1">
      <w:start w:val="1"/>
      <w:numFmt w:val="bullet"/>
      <w:lvlText w:val=""/>
      <w:lvlJc w:val="left"/>
      <w:pPr>
        <w:ind w:left="2880" w:hanging="360"/>
      </w:pPr>
      <w:rPr>
        <w:rFonts w:ascii="Symbol" w:hAnsi="Symbol" w:hint="default"/>
      </w:rPr>
    </w:lvl>
    <w:lvl w:ilvl="4" w:tplc="1DF826E2" w:tentative="1">
      <w:start w:val="1"/>
      <w:numFmt w:val="bullet"/>
      <w:lvlText w:val="o"/>
      <w:lvlJc w:val="left"/>
      <w:pPr>
        <w:ind w:left="3600" w:hanging="360"/>
      </w:pPr>
      <w:rPr>
        <w:rFonts w:ascii="Courier New" w:hAnsi="Courier New" w:cs="Courier New" w:hint="default"/>
      </w:rPr>
    </w:lvl>
    <w:lvl w:ilvl="5" w:tplc="F7F054D4" w:tentative="1">
      <w:start w:val="1"/>
      <w:numFmt w:val="bullet"/>
      <w:lvlText w:val=""/>
      <w:lvlJc w:val="left"/>
      <w:pPr>
        <w:ind w:left="4320" w:hanging="360"/>
      </w:pPr>
      <w:rPr>
        <w:rFonts w:ascii="Wingdings" w:hAnsi="Wingdings" w:hint="default"/>
      </w:rPr>
    </w:lvl>
    <w:lvl w:ilvl="6" w:tplc="BE928B0E" w:tentative="1">
      <w:start w:val="1"/>
      <w:numFmt w:val="bullet"/>
      <w:lvlText w:val=""/>
      <w:lvlJc w:val="left"/>
      <w:pPr>
        <w:ind w:left="5040" w:hanging="360"/>
      </w:pPr>
      <w:rPr>
        <w:rFonts w:ascii="Symbol" w:hAnsi="Symbol" w:hint="default"/>
      </w:rPr>
    </w:lvl>
    <w:lvl w:ilvl="7" w:tplc="FCB2C804" w:tentative="1">
      <w:start w:val="1"/>
      <w:numFmt w:val="bullet"/>
      <w:lvlText w:val="o"/>
      <w:lvlJc w:val="left"/>
      <w:pPr>
        <w:ind w:left="5760" w:hanging="360"/>
      </w:pPr>
      <w:rPr>
        <w:rFonts w:ascii="Courier New" w:hAnsi="Courier New" w:cs="Courier New" w:hint="default"/>
      </w:rPr>
    </w:lvl>
    <w:lvl w:ilvl="8" w:tplc="EB001168" w:tentative="1">
      <w:start w:val="1"/>
      <w:numFmt w:val="bullet"/>
      <w:lvlText w:val=""/>
      <w:lvlJc w:val="left"/>
      <w:pPr>
        <w:ind w:left="6480" w:hanging="360"/>
      </w:pPr>
      <w:rPr>
        <w:rFonts w:ascii="Wingdings" w:hAnsi="Wingdings" w:hint="default"/>
      </w:rPr>
    </w:lvl>
  </w:abstractNum>
  <w:abstractNum w:abstractNumId="32" w15:restartNumberingAfterBreak="0">
    <w:nsid w:val="71215C2F"/>
    <w:multiLevelType w:val="multilevel"/>
    <w:tmpl w:val="73CE3F44"/>
    <w:lvl w:ilvl="0">
      <w:start w:val="1"/>
      <w:numFmt w:val="bullet"/>
      <w:lvlText w:val=""/>
      <w:lvlJc w:val="left"/>
      <w:pPr>
        <w:ind w:left="369" w:hanging="369"/>
      </w:pPr>
      <w:rPr>
        <w:rFonts w:ascii="Symbol" w:hAnsi="Symbol" w:hint="default"/>
        <w:b w:val="0"/>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3" w15:restartNumberingAfterBreak="0">
    <w:nsid w:val="75981B43"/>
    <w:multiLevelType w:val="hybridMultilevel"/>
    <w:tmpl w:val="3DDA3074"/>
    <w:lvl w:ilvl="0" w:tplc="2858203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78E54A31"/>
    <w:multiLevelType w:val="hybridMultilevel"/>
    <w:tmpl w:val="BC5A639A"/>
    <w:lvl w:ilvl="0" w:tplc="A482A3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F570E0"/>
    <w:multiLevelType w:val="hybridMultilevel"/>
    <w:tmpl w:val="FE2C8AD4"/>
    <w:lvl w:ilvl="0" w:tplc="2858203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A939ED"/>
    <w:multiLevelType w:val="hybridMultilevel"/>
    <w:tmpl w:val="CC66250A"/>
    <w:lvl w:ilvl="0" w:tplc="E8BC215C">
      <w:start w:val="1"/>
      <w:numFmt w:val="decimal"/>
      <w:lvlText w:val="%1."/>
      <w:lvlJc w:val="left"/>
      <w:pPr>
        <w:ind w:left="720" w:hanging="360"/>
      </w:pPr>
    </w:lvl>
    <w:lvl w:ilvl="1" w:tplc="3B5E014A">
      <w:numFmt w:val="bullet"/>
      <w:lvlText w:val="•"/>
      <w:lvlJc w:val="left"/>
      <w:pPr>
        <w:ind w:left="1440" w:hanging="360"/>
      </w:pPr>
      <w:rPr>
        <w:rFonts w:ascii="Arial" w:eastAsia="Calibri" w:hAnsi="Arial" w:cs="Arial" w:hint="default"/>
      </w:rPr>
    </w:lvl>
    <w:lvl w:ilvl="2" w:tplc="9D3CB5D4">
      <w:numFmt w:val="bullet"/>
      <w:lvlText w:val="•"/>
      <w:lvlJc w:val="left"/>
      <w:pPr>
        <w:ind w:left="2340" w:hanging="360"/>
      </w:pPr>
      <w:rPr>
        <w:rFonts w:ascii="Arial" w:eastAsia="Calibri" w:hAnsi="Arial" w:cs="Arial" w:hint="default"/>
      </w:rPr>
    </w:lvl>
    <w:lvl w:ilvl="3" w:tplc="12964E9E">
      <w:numFmt w:val="bullet"/>
      <w:lvlText w:val="•"/>
      <w:lvlJc w:val="left"/>
      <w:pPr>
        <w:ind w:left="2880" w:hanging="360"/>
      </w:pPr>
      <w:rPr>
        <w:rFonts w:ascii="Arial" w:eastAsia="Calibri" w:hAnsi="Arial" w:cs="Arial" w:hint="default"/>
      </w:rPr>
    </w:lvl>
    <w:lvl w:ilvl="4" w:tplc="DBA27ADC">
      <w:numFmt w:val="bullet"/>
      <w:lvlText w:val="•"/>
      <w:lvlJc w:val="left"/>
      <w:pPr>
        <w:ind w:left="3600" w:hanging="360"/>
      </w:pPr>
      <w:rPr>
        <w:rFonts w:ascii="Arial" w:eastAsia="Calibri" w:hAnsi="Arial" w:cs="Arial" w:hint="default"/>
      </w:rPr>
    </w:lvl>
    <w:lvl w:ilvl="5" w:tplc="65005042">
      <w:numFmt w:val="bullet"/>
      <w:lvlText w:val="•"/>
      <w:lvlJc w:val="left"/>
      <w:pPr>
        <w:ind w:left="4500" w:hanging="360"/>
      </w:pPr>
      <w:rPr>
        <w:rFonts w:ascii="Arial" w:eastAsia="Calibri" w:hAnsi="Arial" w:cs="Arial"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0"/>
  </w:num>
  <w:num w:numId="3">
    <w:abstractNumId w:val="18"/>
  </w:num>
  <w:num w:numId="4">
    <w:abstractNumId w:val="10"/>
  </w:num>
  <w:num w:numId="5">
    <w:abstractNumId w:val="31"/>
  </w:num>
  <w:num w:numId="6">
    <w:abstractNumId w:val="32"/>
  </w:num>
  <w:num w:numId="7">
    <w:abstractNumId w:val="8"/>
  </w:num>
  <w:num w:numId="8">
    <w:abstractNumId w:val="7"/>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15"/>
  </w:num>
  <w:num w:numId="16">
    <w:abstractNumId w:val="6"/>
  </w:num>
  <w:num w:numId="17">
    <w:abstractNumId w:val="30"/>
  </w:num>
  <w:num w:numId="18">
    <w:abstractNumId w:val="5"/>
  </w:num>
  <w:num w:numId="19">
    <w:abstractNumId w:val="16"/>
  </w:num>
  <w:num w:numId="20">
    <w:abstractNumId w:val="11"/>
  </w:num>
  <w:num w:numId="21">
    <w:abstractNumId w:val="9"/>
  </w:num>
  <w:num w:numId="22">
    <w:abstractNumId w:val="26"/>
  </w:num>
  <w:num w:numId="23">
    <w:abstractNumId w:val="22"/>
  </w:num>
  <w:num w:numId="24">
    <w:abstractNumId w:val="21"/>
  </w:num>
  <w:num w:numId="25">
    <w:abstractNumId w:val="35"/>
  </w:num>
  <w:num w:numId="26">
    <w:abstractNumId w:val="28"/>
  </w:num>
  <w:num w:numId="27">
    <w:abstractNumId w:val="19"/>
  </w:num>
  <w:num w:numId="28">
    <w:abstractNumId w:val="3"/>
  </w:num>
  <w:num w:numId="29">
    <w:abstractNumId w:val="37"/>
  </w:num>
  <w:num w:numId="30">
    <w:abstractNumId w:val="1"/>
  </w:num>
  <w:num w:numId="31">
    <w:abstractNumId w:val="29"/>
  </w:num>
  <w:num w:numId="32">
    <w:abstractNumId w:val="37"/>
    <w:lvlOverride w:ilvl="0">
      <w:lvl w:ilvl="0" w:tplc="E8BC215C">
        <w:start w:val="1"/>
        <w:numFmt w:val="decimal"/>
        <w:lvlText w:val="%1."/>
        <w:lvlJc w:val="left"/>
        <w:pPr>
          <w:ind w:left="397" w:hanging="397"/>
        </w:pPr>
        <w:rPr>
          <w:rFonts w:hint="default"/>
        </w:rPr>
      </w:lvl>
    </w:lvlOverride>
    <w:lvlOverride w:ilvl="1">
      <w:lvl w:ilvl="1" w:tplc="3B5E014A">
        <w:start w:val="1"/>
        <w:numFmt w:val="lowerLetter"/>
        <w:lvlText w:val="%2."/>
        <w:lvlJc w:val="left"/>
        <w:pPr>
          <w:ind w:left="1440" w:hanging="360"/>
        </w:pPr>
      </w:lvl>
    </w:lvlOverride>
    <w:lvlOverride w:ilvl="2">
      <w:lvl w:ilvl="2" w:tplc="9D3CB5D4">
        <w:start w:val="1"/>
        <w:numFmt w:val="lowerRoman"/>
        <w:lvlText w:val="%3."/>
        <w:lvlJc w:val="right"/>
        <w:pPr>
          <w:ind w:left="2160" w:hanging="180"/>
        </w:pPr>
      </w:lvl>
    </w:lvlOverride>
    <w:lvlOverride w:ilvl="3">
      <w:lvl w:ilvl="3" w:tplc="12964E9E">
        <w:start w:val="1"/>
        <w:numFmt w:val="decimal"/>
        <w:lvlText w:val="%4."/>
        <w:lvlJc w:val="left"/>
        <w:pPr>
          <w:ind w:left="2880" w:hanging="360"/>
        </w:pPr>
      </w:lvl>
    </w:lvlOverride>
    <w:lvlOverride w:ilvl="4">
      <w:lvl w:ilvl="4" w:tplc="DBA27ADC">
        <w:start w:val="1"/>
        <w:numFmt w:val="lowerLetter"/>
        <w:lvlText w:val="%5."/>
        <w:lvlJc w:val="left"/>
        <w:pPr>
          <w:ind w:left="3600" w:hanging="360"/>
        </w:pPr>
      </w:lvl>
    </w:lvlOverride>
    <w:lvlOverride w:ilvl="5">
      <w:lvl w:ilvl="5" w:tplc="65005042">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3">
    <w:abstractNumId w:val="2"/>
  </w:num>
  <w:num w:numId="34">
    <w:abstractNumId w:val="17"/>
  </w:num>
  <w:num w:numId="35">
    <w:abstractNumId w:val="24"/>
  </w:num>
  <w:num w:numId="36">
    <w:abstractNumId w:val="20"/>
  </w:num>
  <w:num w:numId="37">
    <w:abstractNumId w:val="13"/>
  </w:num>
  <w:num w:numId="38">
    <w:abstractNumId w:val="24"/>
  </w:num>
  <w:num w:numId="39">
    <w:abstractNumId w:val="24"/>
  </w:num>
  <w:num w:numId="40">
    <w:abstractNumId w:val="24"/>
    <w:lvlOverride w:ilvl="0">
      <w:startOverride w:val="19"/>
    </w:lvlOverride>
  </w:num>
  <w:num w:numId="41">
    <w:abstractNumId w:val="24"/>
    <w:lvlOverride w:ilvl="0">
      <w:startOverride w:val="17"/>
    </w:lvlOverride>
  </w:num>
  <w:num w:numId="42">
    <w:abstractNumId w:val="24"/>
  </w:num>
  <w:num w:numId="43">
    <w:abstractNumId w:val="24"/>
    <w:lvlOverride w:ilvl="0">
      <w:startOverride w:val="20"/>
    </w:lvlOverride>
  </w:num>
  <w:num w:numId="44">
    <w:abstractNumId w:val="33"/>
  </w:num>
  <w:num w:numId="45">
    <w:abstractNumId w:val="27"/>
  </w:num>
  <w:num w:numId="46">
    <w:abstractNumId w:val="24"/>
  </w:num>
  <w:num w:numId="47">
    <w:abstractNumId w:val="24"/>
    <w:lvlOverride w:ilvl="0">
      <w:startOverride w:val="1"/>
    </w:lvlOverride>
  </w:num>
  <w:num w:numId="48">
    <w:abstractNumId w:val="36"/>
  </w:num>
  <w:num w:numId="49">
    <w:abstractNumId w:val="25"/>
  </w:num>
  <w:num w:numId="50">
    <w:abstractNumId w:val="23"/>
  </w:num>
  <w:num w:numId="51">
    <w:abstractNumId w:val="24"/>
  </w:num>
  <w:num w:numId="52">
    <w:abstractNumId w:val="24"/>
  </w:num>
  <w:num w:numId="53">
    <w:abstractNumId w:val="24"/>
  </w:num>
  <w:num w:numId="54">
    <w:abstractNumId w:val="24"/>
  </w:num>
  <w:num w:numId="55">
    <w:abstractNumId w:val="24"/>
  </w:num>
  <w:num w:numId="56">
    <w:abstractNumId w:val="24"/>
  </w:num>
  <w:num w:numId="57">
    <w:abstractNumId w:val="24"/>
  </w:num>
  <w:num w:numId="58">
    <w:abstractNumId w:val="24"/>
  </w:num>
  <w:num w:numId="59">
    <w:abstractNumId w:val="24"/>
  </w:num>
  <w:num w:numId="60">
    <w:abstractNumId w:val="24"/>
  </w:num>
  <w:num w:numId="61">
    <w:abstractNumId w:val="24"/>
  </w:num>
  <w:num w:numId="62">
    <w:abstractNumId w:val="24"/>
  </w:num>
  <w:num w:numId="63">
    <w:abstractNumId w:val="24"/>
  </w:num>
  <w:num w:numId="64">
    <w:abstractNumId w:val="24"/>
  </w:num>
  <w:num w:numId="65">
    <w:abstractNumId w:val="24"/>
  </w:num>
  <w:num w:numId="66">
    <w:abstractNumId w:val="24"/>
  </w:num>
  <w:num w:numId="67">
    <w:abstractNumId w:val="24"/>
  </w:num>
  <w:num w:numId="68">
    <w:abstractNumId w:val="24"/>
  </w:num>
  <w:num w:numId="69">
    <w:abstractNumId w:val="24"/>
  </w:num>
  <w:num w:numId="70">
    <w:abstractNumId w:val="24"/>
  </w:num>
  <w:num w:numId="71">
    <w:abstractNumId w:val="24"/>
  </w:num>
  <w:num w:numId="72">
    <w:abstractNumId w:val="24"/>
  </w:num>
  <w:num w:numId="73">
    <w:abstractNumId w:val="24"/>
  </w:num>
  <w:num w:numId="74">
    <w:abstractNumId w:val="24"/>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24"/>
  </w:num>
  <w:num w:numId="82">
    <w:abstractNumId w:val="24"/>
  </w:num>
  <w:num w:numId="83">
    <w:abstractNumId w:val="24"/>
  </w:num>
  <w:num w:numId="84">
    <w:abstractNumId w:val="24"/>
  </w:num>
  <w:num w:numId="85">
    <w:abstractNumId w:val="24"/>
  </w:num>
  <w:num w:numId="86">
    <w:abstractNumId w:val="24"/>
  </w:num>
  <w:num w:numId="87">
    <w:abstractNumId w:val="24"/>
  </w:num>
  <w:num w:numId="88">
    <w:abstractNumId w:val="24"/>
  </w:num>
  <w:num w:numId="89">
    <w:abstractNumId w:val="24"/>
  </w:num>
  <w:num w:numId="90">
    <w:abstractNumId w:val="24"/>
  </w:num>
  <w:num w:numId="91">
    <w:abstractNumId w:val="24"/>
  </w:num>
  <w:num w:numId="92">
    <w:abstractNumId w:val="24"/>
  </w:num>
  <w:num w:numId="93">
    <w:abstractNumId w:val="24"/>
  </w:num>
  <w:num w:numId="94">
    <w:abstractNumId w:val="24"/>
  </w:num>
  <w:num w:numId="95">
    <w:abstractNumId w:val="24"/>
  </w:num>
  <w:num w:numId="96">
    <w:abstractNumId w:val="24"/>
  </w:num>
  <w:num w:numId="97">
    <w:abstractNumId w:val="24"/>
  </w:num>
  <w:num w:numId="98">
    <w:abstractNumId w:val="24"/>
  </w:num>
  <w:num w:numId="99">
    <w:abstractNumId w:val="24"/>
  </w:num>
  <w:num w:numId="100">
    <w:abstractNumId w:val="24"/>
  </w:num>
  <w:num w:numId="101">
    <w:abstractNumId w:val="24"/>
  </w:num>
  <w:num w:numId="102">
    <w:abstractNumId w:val="24"/>
  </w:num>
  <w:num w:numId="103">
    <w:abstractNumId w:val="24"/>
  </w:num>
  <w:num w:numId="104">
    <w:abstractNumId w:val="24"/>
  </w:num>
  <w:num w:numId="105">
    <w:abstractNumId w:val="24"/>
  </w:num>
  <w:num w:numId="106">
    <w:abstractNumId w:val="24"/>
  </w:num>
  <w:num w:numId="107">
    <w:abstractNumId w:val="24"/>
    <w:lvlOverride w:ilvl="0">
      <w:startOverride w:val="19"/>
    </w:lvlOverride>
  </w:num>
  <w:num w:numId="108">
    <w:abstractNumId w:val="24"/>
    <w:lvlOverride w:ilvl="0">
      <w:startOverride w:val="17"/>
    </w:lvlOverride>
  </w:num>
  <w:num w:numId="109">
    <w:abstractNumId w:val="24"/>
  </w:num>
  <w:num w:numId="110">
    <w:abstractNumId w:val="24"/>
  </w:num>
  <w:num w:numId="111">
    <w:abstractNumId w:val="24"/>
  </w:num>
  <w:num w:numId="112">
    <w:abstractNumId w:val="24"/>
  </w:num>
  <w:num w:numId="113">
    <w:abstractNumId w:val="24"/>
    <w:lvlOverride w:ilvl="0">
      <w:startOverride w:val="21"/>
    </w:lvlOverride>
  </w:num>
  <w:num w:numId="114">
    <w:abstractNumId w:val="24"/>
    <w:lvlOverride w:ilvl="0">
      <w:startOverride w:val="1"/>
    </w:lvlOverride>
  </w:num>
  <w:num w:numId="115">
    <w:abstractNumId w:val="24"/>
  </w:num>
  <w:num w:numId="116">
    <w:abstractNumId w:val="2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18ee05fa-ec21-4f3a-b11c-385a8ec945d1"/>
    <w:docVar w:name="SecurityClassificationInHeader" w:val="True"/>
  </w:docVars>
  <w:rsids>
    <w:rsidRoot w:val="00E030AB"/>
    <w:rsid w:val="0000032D"/>
    <w:rsid w:val="000031C1"/>
    <w:rsid w:val="00006067"/>
    <w:rsid w:val="00016B6F"/>
    <w:rsid w:val="0001747B"/>
    <w:rsid w:val="00021439"/>
    <w:rsid w:val="00021C10"/>
    <w:rsid w:val="00027674"/>
    <w:rsid w:val="00031453"/>
    <w:rsid w:val="00031D52"/>
    <w:rsid w:val="00034BF5"/>
    <w:rsid w:val="00042195"/>
    <w:rsid w:val="000452EA"/>
    <w:rsid w:val="000519A6"/>
    <w:rsid w:val="00051CA6"/>
    <w:rsid w:val="00053657"/>
    <w:rsid w:val="0006034D"/>
    <w:rsid w:val="00060BE8"/>
    <w:rsid w:val="00061502"/>
    <w:rsid w:val="00062433"/>
    <w:rsid w:val="0006382C"/>
    <w:rsid w:val="00063AE7"/>
    <w:rsid w:val="00064F0A"/>
    <w:rsid w:val="00070786"/>
    <w:rsid w:val="000727BC"/>
    <w:rsid w:val="00085BB4"/>
    <w:rsid w:val="00085F2F"/>
    <w:rsid w:val="00093A45"/>
    <w:rsid w:val="000979DE"/>
    <w:rsid w:val="000A0377"/>
    <w:rsid w:val="000A56CF"/>
    <w:rsid w:val="000A585B"/>
    <w:rsid w:val="000B0BE2"/>
    <w:rsid w:val="000B2714"/>
    <w:rsid w:val="000B3916"/>
    <w:rsid w:val="000B5402"/>
    <w:rsid w:val="000B5A7D"/>
    <w:rsid w:val="000C0CF1"/>
    <w:rsid w:val="000C5AF9"/>
    <w:rsid w:val="000D6C52"/>
    <w:rsid w:val="000D781D"/>
    <w:rsid w:val="000E09FA"/>
    <w:rsid w:val="000E12B5"/>
    <w:rsid w:val="000E3769"/>
    <w:rsid w:val="000E6A37"/>
    <w:rsid w:val="000F071D"/>
    <w:rsid w:val="000F0A21"/>
    <w:rsid w:val="000F1883"/>
    <w:rsid w:val="000F51DF"/>
    <w:rsid w:val="000F7D89"/>
    <w:rsid w:val="00103458"/>
    <w:rsid w:val="00105CD3"/>
    <w:rsid w:val="001134EC"/>
    <w:rsid w:val="00113976"/>
    <w:rsid w:val="00116530"/>
    <w:rsid w:val="0011678A"/>
    <w:rsid w:val="001212B0"/>
    <w:rsid w:val="001268B7"/>
    <w:rsid w:val="00127746"/>
    <w:rsid w:val="001324BF"/>
    <w:rsid w:val="00134420"/>
    <w:rsid w:val="0013535C"/>
    <w:rsid w:val="0014028B"/>
    <w:rsid w:val="00142BA5"/>
    <w:rsid w:val="00146C8D"/>
    <w:rsid w:val="001502EA"/>
    <w:rsid w:val="00152A5E"/>
    <w:rsid w:val="00152A7A"/>
    <w:rsid w:val="001551C3"/>
    <w:rsid w:val="00174DB0"/>
    <w:rsid w:val="00174DD3"/>
    <w:rsid w:val="00176F78"/>
    <w:rsid w:val="0018410B"/>
    <w:rsid w:val="00185160"/>
    <w:rsid w:val="0018648E"/>
    <w:rsid w:val="00186A51"/>
    <w:rsid w:val="0019616E"/>
    <w:rsid w:val="00197E7D"/>
    <w:rsid w:val="001A24EB"/>
    <w:rsid w:val="001A2D4D"/>
    <w:rsid w:val="001B569E"/>
    <w:rsid w:val="001C26C7"/>
    <w:rsid w:val="001C350D"/>
    <w:rsid w:val="001C79B9"/>
    <w:rsid w:val="001D338E"/>
    <w:rsid w:val="001D3CC0"/>
    <w:rsid w:val="001D4FCD"/>
    <w:rsid w:val="001D683B"/>
    <w:rsid w:val="001E68F9"/>
    <w:rsid w:val="001F1F2E"/>
    <w:rsid w:val="001F3E23"/>
    <w:rsid w:val="002057B0"/>
    <w:rsid w:val="00207714"/>
    <w:rsid w:val="00216193"/>
    <w:rsid w:val="002216C3"/>
    <w:rsid w:val="0022645C"/>
    <w:rsid w:val="00231C43"/>
    <w:rsid w:val="002333F0"/>
    <w:rsid w:val="002337DD"/>
    <w:rsid w:val="0023661B"/>
    <w:rsid w:val="002379B2"/>
    <w:rsid w:val="002456C4"/>
    <w:rsid w:val="002519F6"/>
    <w:rsid w:val="00252794"/>
    <w:rsid w:val="00255166"/>
    <w:rsid w:val="00256E64"/>
    <w:rsid w:val="00256F04"/>
    <w:rsid w:val="00262FE8"/>
    <w:rsid w:val="00263373"/>
    <w:rsid w:val="002641FE"/>
    <w:rsid w:val="00280467"/>
    <w:rsid w:val="002804A4"/>
    <w:rsid w:val="00280C52"/>
    <w:rsid w:val="0028134A"/>
    <w:rsid w:val="00282396"/>
    <w:rsid w:val="002831EC"/>
    <w:rsid w:val="00283CBC"/>
    <w:rsid w:val="00283F96"/>
    <w:rsid w:val="002874E9"/>
    <w:rsid w:val="00290341"/>
    <w:rsid w:val="0029153B"/>
    <w:rsid w:val="002931E0"/>
    <w:rsid w:val="002A048F"/>
    <w:rsid w:val="002A16F3"/>
    <w:rsid w:val="002A214E"/>
    <w:rsid w:val="002A55E3"/>
    <w:rsid w:val="002A6CF5"/>
    <w:rsid w:val="002B1220"/>
    <w:rsid w:val="002B6585"/>
    <w:rsid w:val="002C20E1"/>
    <w:rsid w:val="002D0540"/>
    <w:rsid w:val="002D095B"/>
    <w:rsid w:val="002D0D42"/>
    <w:rsid w:val="002D37C5"/>
    <w:rsid w:val="002D4512"/>
    <w:rsid w:val="002D5DCE"/>
    <w:rsid w:val="002D6EB8"/>
    <w:rsid w:val="002D6F67"/>
    <w:rsid w:val="002E04CD"/>
    <w:rsid w:val="002E0978"/>
    <w:rsid w:val="002E61AB"/>
    <w:rsid w:val="002F0570"/>
    <w:rsid w:val="002F442F"/>
    <w:rsid w:val="002F74FD"/>
    <w:rsid w:val="003060F7"/>
    <w:rsid w:val="00311982"/>
    <w:rsid w:val="0031603F"/>
    <w:rsid w:val="00316497"/>
    <w:rsid w:val="00333E52"/>
    <w:rsid w:val="00343981"/>
    <w:rsid w:val="00345419"/>
    <w:rsid w:val="00346235"/>
    <w:rsid w:val="00347993"/>
    <w:rsid w:val="00350AE9"/>
    <w:rsid w:val="00352B72"/>
    <w:rsid w:val="00354613"/>
    <w:rsid w:val="00360023"/>
    <w:rsid w:val="00373E4C"/>
    <w:rsid w:val="00373FE4"/>
    <w:rsid w:val="0037415B"/>
    <w:rsid w:val="00374998"/>
    <w:rsid w:val="003827CE"/>
    <w:rsid w:val="00382B04"/>
    <w:rsid w:val="0038711C"/>
    <w:rsid w:val="003939F3"/>
    <w:rsid w:val="003951C5"/>
    <w:rsid w:val="003A159C"/>
    <w:rsid w:val="003A1841"/>
    <w:rsid w:val="003A3787"/>
    <w:rsid w:val="003B0C72"/>
    <w:rsid w:val="003B1D12"/>
    <w:rsid w:val="003B3871"/>
    <w:rsid w:val="003B5537"/>
    <w:rsid w:val="003C2AC0"/>
    <w:rsid w:val="003C5D8F"/>
    <w:rsid w:val="003D1E62"/>
    <w:rsid w:val="003D2997"/>
    <w:rsid w:val="003D2B59"/>
    <w:rsid w:val="003D2B5B"/>
    <w:rsid w:val="003D54C6"/>
    <w:rsid w:val="003E68EC"/>
    <w:rsid w:val="003E743B"/>
    <w:rsid w:val="0040167E"/>
    <w:rsid w:val="00401CE7"/>
    <w:rsid w:val="00403517"/>
    <w:rsid w:val="00405028"/>
    <w:rsid w:val="004079F3"/>
    <w:rsid w:val="0041671D"/>
    <w:rsid w:val="00425E74"/>
    <w:rsid w:val="00427E16"/>
    <w:rsid w:val="004423C2"/>
    <w:rsid w:val="00444C24"/>
    <w:rsid w:val="0044777D"/>
    <w:rsid w:val="004515FE"/>
    <w:rsid w:val="004622E8"/>
    <w:rsid w:val="00470D21"/>
    <w:rsid w:val="00471A16"/>
    <w:rsid w:val="00474F31"/>
    <w:rsid w:val="004853B0"/>
    <w:rsid w:val="00485F76"/>
    <w:rsid w:val="00490762"/>
    <w:rsid w:val="004A092C"/>
    <w:rsid w:val="004A1629"/>
    <w:rsid w:val="004A3B54"/>
    <w:rsid w:val="004A5966"/>
    <w:rsid w:val="004A648D"/>
    <w:rsid w:val="004A66B8"/>
    <w:rsid w:val="004A6893"/>
    <w:rsid w:val="004B5DED"/>
    <w:rsid w:val="004B61DE"/>
    <w:rsid w:val="004C39C1"/>
    <w:rsid w:val="004C7842"/>
    <w:rsid w:val="004C7B5B"/>
    <w:rsid w:val="004D1687"/>
    <w:rsid w:val="004D29FE"/>
    <w:rsid w:val="004D2DD7"/>
    <w:rsid w:val="004D7877"/>
    <w:rsid w:val="004E69BE"/>
    <w:rsid w:val="004F1450"/>
    <w:rsid w:val="004F37E5"/>
    <w:rsid w:val="004F3825"/>
    <w:rsid w:val="004F3AF0"/>
    <w:rsid w:val="004F4EF2"/>
    <w:rsid w:val="00500539"/>
    <w:rsid w:val="00510E80"/>
    <w:rsid w:val="00513A82"/>
    <w:rsid w:val="00515332"/>
    <w:rsid w:val="00520AF1"/>
    <w:rsid w:val="005215B6"/>
    <w:rsid w:val="005224A8"/>
    <w:rsid w:val="00533EC0"/>
    <w:rsid w:val="00536DF7"/>
    <w:rsid w:val="0054614F"/>
    <w:rsid w:val="00546874"/>
    <w:rsid w:val="00553C33"/>
    <w:rsid w:val="00555B00"/>
    <w:rsid w:val="0055767C"/>
    <w:rsid w:val="00560F09"/>
    <w:rsid w:val="00566EFF"/>
    <w:rsid w:val="00571645"/>
    <w:rsid w:val="00576DF3"/>
    <w:rsid w:val="00577627"/>
    <w:rsid w:val="005815DF"/>
    <w:rsid w:val="0058264F"/>
    <w:rsid w:val="00582960"/>
    <w:rsid w:val="005860BA"/>
    <w:rsid w:val="00587C9A"/>
    <w:rsid w:val="005915B2"/>
    <w:rsid w:val="0059245F"/>
    <w:rsid w:val="00594755"/>
    <w:rsid w:val="00594BCE"/>
    <w:rsid w:val="0059664F"/>
    <w:rsid w:val="00597581"/>
    <w:rsid w:val="005A168E"/>
    <w:rsid w:val="005B1ACC"/>
    <w:rsid w:val="005B25D3"/>
    <w:rsid w:val="005B3500"/>
    <w:rsid w:val="005B46A5"/>
    <w:rsid w:val="005B5020"/>
    <w:rsid w:val="005C0F1E"/>
    <w:rsid w:val="005C31EB"/>
    <w:rsid w:val="005C3E3B"/>
    <w:rsid w:val="005D434C"/>
    <w:rsid w:val="005D4680"/>
    <w:rsid w:val="005E51F1"/>
    <w:rsid w:val="005E702F"/>
    <w:rsid w:val="005F17B5"/>
    <w:rsid w:val="005F1FBA"/>
    <w:rsid w:val="005F377A"/>
    <w:rsid w:val="00603F98"/>
    <w:rsid w:val="00603FE1"/>
    <w:rsid w:val="00611E23"/>
    <w:rsid w:val="00612955"/>
    <w:rsid w:val="00612EAB"/>
    <w:rsid w:val="00633F2F"/>
    <w:rsid w:val="006355CC"/>
    <w:rsid w:val="00635832"/>
    <w:rsid w:val="00644F93"/>
    <w:rsid w:val="0064683A"/>
    <w:rsid w:val="00654110"/>
    <w:rsid w:val="0067551B"/>
    <w:rsid w:val="00680232"/>
    <w:rsid w:val="00683AFE"/>
    <w:rsid w:val="0068458C"/>
    <w:rsid w:val="00693CC1"/>
    <w:rsid w:val="00697CF6"/>
    <w:rsid w:val="006B0E44"/>
    <w:rsid w:val="006C0FC9"/>
    <w:rsid w:val="006C3267"/>
    <w:rsid w:val="006C5084"/>
    <w:rsid w:val="006D0851"/>
    <w:rsid w:val="006D2181"/>
    <w:rsid w:val="006D76B7"/>
    <w:rsid w:val="006D7714"/>
    <w:rsid w:val="006D7951"/>
    <w:rsid w:val="006E0811"/>
    <w:rsid w:val="006E3EB5"/>
    <w:rsid w:val="006E5CD8"/>
    <w:rsid w:val="006F0D9A"/>
    <w:rsid w:val="006F1715"/>
    <w:rsid w:val="006F187A"/>
    <w:rsid w:val="006F4E31"/>
    <w:rsid w:val="006F7611"/>
    <w:rsid w:val="00705F58"/>
    <w:rsid w:val="00713A7A"/>
    <w:rsid w:val="00715CBB"/>
    <w:rsid w:val="00723067"/>
    <w:rsid w:val="0072775A"/>
    <w:rsid w:val="00730306"/>
    <w:rsid w:val="00736BE2"/>
    <w:rsid w:val="007376CE"/>
    <w:rsid w:val="00742618"/>
    <w:rsid w:val="00743057"/>
    <w:rsid w:val="00743ACA"/>
    <w:rsid w:val="007458CC"/>
    <w:rsid w:val="00745AEE"/>
    <w:rsid w:val="0075155D"/>
    <w:rsid w:val="00752797"/>
    <w:rsid w:val="007533AD"/>
    <w:rsid w:val="00755A05"/>
    <w:rsid w:val="00761442"/>
    <w:rsid w:val="007655E4"/>
    <w:rsid w:val="00767850"/>
    <w:rsid w:val="00774891"/>
    <w:rsid w:val="00777031"/>
    <w:rsid w:val="00777435"/>
    <w:rsid w:val="007774B7"/>
    <w:rsid w:val="007816BF"/>
    <w:rsid w:val="0078321D"/>
    <w:rsid w:val="00784AD8"/>
    <w:rsid w:val="0079049B"/>
    <w:rsid w:val="00790944"/>
    <w:rsid w:val="0079184A"/>
    <w:rsid w:val="00794C2A"/>
    <w:rsid w:val="007A726A"/>
    <w:rsid w:val="007A7673"/>
    <w:rsid w:val="007B5196"/>
    <w:rsid w:val="007C33D5"/>
    <w:rsid w:val="007D3B36"/>
    <w:rsid w:val="007D7E5A"/>
    <w:rsid w:val="007F2050"/>
    <w:rsid w:val="007F4D3F"/>
    <w:rsid w:val="007F551E"/>
    <w:rsid w:val="0080287A"/>
    <w:rsid w:val="00802A58"/>
    <w:rsid w:val="00804A93"/>
    <w:rsid w:val="00805D48"/>
    <w:rsid w:val="00813220"/>
    <w:rsid w:val="0081360A"/>
    <w:rsid w:val="00813648"/>
    <w:rsid w:val="0081402D"/>
    <w:rsid w:val="008145E4"/>
    <w:rsid w:val="008175AB"/>
    <w:rsid w:val="008206EC"/>
    <w:rsid w:val="00820CDD"/>
    <w:rsid w:val="008258D6"/>
    <w:rsid w:val="00836324"/>
    <w:rsid w:val="00840489"/>
    <w:rsid w:val="00840BA9"/>
    <w:rsid w:val="00841B57"/>
    <w:rsid w:val="008425F4"/>
    <w:rsid w:val="00844EC7"/>
    <w:rsid w:val="00847E98"/>
    <w:rsid w:val="00860E2D"/>
    <w:rsid w:val="00863EF1"/>
    <w:rsid w:val="00871AE0"/>
    <w:rsid w:val="00871F50"/>
    <w:rsid w:val="00872BE5"/>
    <w:rsid w:val="00873497"/>
    <w:rsid w:val="00877976"/>
    <w:rsid w:val="00880C9F"/>
    <w:rsid w:val="008849F9"/>
    <w:rsid w:val="00895474"/>
    <w:rsid w:val="008A1FC2"/>
    <w:rsid w:val="008A58D2"/>
    <w:rsid w:val="008A5EDC"/>
    <w:rsid w:val="008B4956"/>
    <w:rsid w:val="008C5827"/>
    <w:rsid w:val="008C654D"/>
    <w:rsid w:val="008D3187"/>
    <w:rsid w:val="008D77D5"/>
    <w:rsid w:val="008E0C97"/>
    <w:rsid w:val="008E14EC"/>
    <w:rsid w:val="008E308E"/>
    <w:rsid w:val="008E3DD3"/>
    <w:rsid w:val="008F0C5A"/>
    <w:rsid w:val="008F0FB2"/>
    <w:rsid w:val="008F2FC8"/>
    <w:rsid w:val="008F7D5E"/>
    <w:rsid w:val="009131D8"/>
    <w:rsid w:val="00914D6F"/>
    <w:rsid w:val="0092056C"/>
    <w:rsid w:val="00920C2C"/>
    <w:rsid w:val="00922ACE"/>
    <w:rsid w:val="00922F77"/>
    <w:rsid w:val="00925B7E"/>
    <w:rsid w:val="00926A83"/>
    <w:rsid w:val="00927BA1"/>
    <w:rsid w:val="00930F16"/>
    <w:rsid w:val="009310C5"/>
    <w:rsid w:val="00935FC3"/>
    <w:rsid w:val="00942637"/>
    <w:rsid w:val="00950109"/>
    <w:rsid w:val="00950D78"/>
    <w:rsid w:val="00950F4F"/>
    <w:rsid w:val="009519A0"/>
    <w:rsid w:val="009522A3"/>
    <w:rsid w:val="00955A52"/>
    <w:rsid w:val="0096560C"/>
    <w:rsid w:val="009678AD"/>
    <w:rsid w:val="009678F2"/>
    <w:rsid w:val="00970275"/>
    <w:rsid w:val="00973A13"/>
    <w:rsid w:val="00976532"/>
    <w:rsid w:val="00982C36"/>
    <w:rsid w:val="00982C52"/>
    <w:rsid w:val="009963BC"/>
    <w:rsid w:val="009A4DEA"/>
    <w:rsid w:val="009A56D5"/>
    <w:rsid w:val="009B0BB6"/>
    <w:rsid w:val="009B4A05"/>
    <w:rsid w:val="009B6F6B"/>
    <w:rsid w:val="009C66E3"/>
    <w:rsid w:val="009D16FD"/>
    <w:rsid w:val="009D3B92"/>
    <w:rsid w:val="009D686F"/>
    <w:rsid w:val="009E690D"/>
    <w:rsid w:val="009F13C7"/>
    <w:rsid w:val="00A07C90"/>
    <w:rsid w:val="00A1514C"/>
    <w:rsid w:val="00A406EF"/>
    <w:rsid w:val="00A427DE"/>
    <w:rsid w:val="00A43FC0"/>
    <w:rsid w:val="00A52786"/>
    <w:rsid w:val="00A53100"/>
    <w:rsid w:val="00A57D63"/>
    <w:rsid w:val="00A62FB8"/>
    <w:rsid w:val="00A6468B"/>
    <w:rsid w:val="00A72560"/>
    <w:rsid w:val="00A72B59"/>
    <w:rsid w:val="00A72D1E"/>
    <w:rsid w:val="00A750C3"/>
    <w:rsid w:val="00A77691"/>
    <w:rsid w:val="00A810FA"/>
    <w:rsid w:val="00A813DE"/>
    <w:rsid w:val="00A83E9A"/>
    <w:rsid w:val="00A85917"/>
    <w:rsid w:val="00A85D3A"/>
    <w:rsid w:val="00A862C0"/>
    <w:rsid w:val="00A907B2"/>
    <w:rsid w:val="00A90A7D"/>
    <w:rsid w:val="00A91797"/>
    <w:rsid w:val="00A93D23"/>
    <w:rsid w:val="00A95429"/>
    <w:rsid w:val="00A9711B"/>
    <w:rsid w:val="00AA20BB"/>
    <w:rsid w:val="00AA514F"/>
    <w:rsid w:val="00AA7B2C"/>
    <w:rsid w:val="00AB3819"/>
    <w:rsid w:val="00AB7122"/>
    <w:rsid w:val="00AC3007"/>
    <w:rsid w:val="00AC3730"/>
    <w:rsid w:val="00AD10E8"/>
    <w:rsid w:val="00AD6C05"/>
    <w:rsid w:val="00AF2BAA"/>
    <w:rsid w:val="00AF342A"/>
    <w:rsid w:val="00AF5AEC"/>
    <w:rsid w:val="00AF7295"/>
    <w:rsid w:val="00AF7FA2"/>
    <w:rsid w:val="00B0553F"/>
    <w:rsid w:val="00B10B23"/>
    <w:rsid w:val="00B111BA"/>
    <w:rsid w:val="00B16DD1"/>
    <w:rsid w:val="00B2218E"/>
    <w:rsid w:val="00B227B1"/>
    <w:rsid w:val="00B237ED"/>
    <w:rsid w:val="00B24F3B"/>
    <w:rsid w:val="00B31C99"/>
    <w:rsid w:val="00B33D7F"/>
    <w:rsid w:val="00B35EB5"/>
    <w:rsid w:val="00B36898"/>
    <w:rsid w:val="00B36F7B"/>
    <w:rsid w:val="00B41302"/>
    <w:rsid w:val="00B5132C"/>
    <w:rsid w:val="00B574BE"/>
    <w:rsid w:val="00B6033E"/>
    <w:rsid w:val="00B62FFF"/>
    <w:rsid w:val="00B65189"/>
    <w:rsid w:val="00B860CC"/>
    <w:rsid w:val="00B9050E"/>
    <w:rsid w:val="00B91DC9"/>
    <w:rsid w:val="00B96D14"/>
    <w:rsid w:val="00BA28C6"/>
    <w:rsid w:val="00BA38E1"/>
    <w:rsid w:val="00BB049A"/>
    <w:rsid w:val="00BB3FEF"/>
    <w:rsid w:val="00BB4F57"/>
    <w:rsid w:val="00BB60C6"/>
    <w:rsid w:val="00BC1356"/>
    <w:rsid w:val="00BC3B8A"/>
    <w:rsid w:val="00BC3C7C"/>
    <w:rsid w:val="00BC575D"/>
    <w:rsid w:val="00BC5A81"/>
    <w:rsid w:val="00BC7D54"/>
    <w:rsid w:val="00BD1341"/>
    <w:rsid w:val="00BD2AD8"/>
    <w:rsid w:val="00BD2C1D"/>
    <w:rsid w:val="00BD3F6C"/>
    <w:rsid w:val="00BE1916"/>
    <w:rsid w:val="00BE32EA"/>
    <w:rsid w:val="00BE76B0"/>
    <w:rsid w:val="00BF260C"/>
    <w:rsid w:val="00C06681"/>
    <w:rsid w:val="00C10718"/>
    <w:rsid w:val="00C10F53"/>
    <w:rsid w:val="00C13A8F"/>
    <w:rsid w:val="00C14D1D"/>
    <w:rsid w:val="00C178A2"/>
    <w:rsid w:val="00C2229B"/>
    <w:rsid w:val="00C22C07"/>
    <w:rsid w:val="00C24099"/>
    <w:rsid w:val="00C31F97"/>
    <w:rsid w:val="00C3466B"/>
    <w:rsid w:val="00C44E39"/>
    <w:rsid w:val="00C474C0"/>
    <w:rsid w:val="00C4768A"/>
    <w:rsid w:val="00C56FB0"/>
    <w:rsid w:val="00C65E4E"/>
    <w:rsid w:val="00C672C6"/>
    <w:rsid w:val="00C70F2B"/>
    <w:rsid w:val="00C73EE3"/>
    <w:rsid w:val="00C832BC"/>
    <w:rsid w:val="00C83733"/>
    <w:rsid w:val="00C84C24"/>
    <w:rsid w:val="00C966D0"/>
    <w:rsid w:val="00CA1BB1"/>
    <w:rsid w:val="00CA2519"/>
    <w:rsid w:val="00CA2C12"/>
    <w:rsid w:val="00CA5000"/>
    <w:rsid w:val="00CA51EE"/>
    <w:rsid w:val="00CA5BA5"/>
    <w:rsid w:val="00CB5006"/>
    <w:rsid w:val="00CB7741"/>
    <w:rsid w:val="00CB7F6E"/>
    <w:rsid w:val="00CC7F12"/>
    <w:rsid w:val="00CD2F0B"/>
    <w:rsid w:val="00CD484A"/>
    <w:rsid w:val="00CE0D92"/>
    <w:rsid w:val="00CE4FAA"/>
    <w:rsid w:val="00CE52A9"/>
    <w:rsid w:val="00CE692C"/>
    <w:rsid w:val="00CF6041"/>
    <w:rsid w:val="00CF6F8E"/>
    <w:rsid w:val="00D045E0"/>
    <w:rsid w:val="00D116BB"/>
    <w:rsid w:val="00D1597C"/>
    <w:rsid w:val="00D15D75"/>
    <w:rsid w:val="00D24898"/>
    <w:rsid w:val="00D25F69"/>
    <w:rsid w:val="00D26383"/>
    <w:rsid w:val="00D3049B"/>
    <w:rsid w:val="00D30523"/>
    <w:rsid w:val="00D33A37"/>
    <w:rsid w:val="00D3535F"/>
    <w:rsid w:val="00D374ED"/>
    <w:rsid w:val="00D40060"/>
    <w:rsid w:val="00D41686"/>
    <w:rsid w:val="00D46495"/>
    <w:rsid w:val="00D50B96"/>
    <w:rsid w:val="00D521EF"/>
    <w:rsid w:val="00D528F8"/>
    <w:rsid w:val="00D53095"/>
    <w:rsid w:val="00D53C07"/>
    <w:rsid w:val="00D57106"/>
    <w:rsid w:val="00D6548D"/>
    <w:rsid w:val="00D7077E"/>
    <w:rsid w:val="00D70931"/>
    <w:rsid w:val="00D732B3"/>
    <w:rsid w:val="00D76894"/>
    <w:rsid w:val="00D76C6C"/>
    <w:rsid w:val="00D813A0"/>
    <w:rsid w:val="00D8277A"/>
    <w:rsid w:val="00D84F8E"/>
    <w:rsid w:val="00D8517A"/>
    <w:rsid w:val="00D90C52"/>
    <w:rsid w:val="00D934AE"/>
    <w:rsid w:val="00D95F87"/>
    <w:rsid w:val="00D96720"/>
    <w:rsid w:val="00DA5C6B"/>
    <w:rsid w:val="00DB2C57"/>
    <w:rsid w:val="00DB31C8"/>
    <w:rsid w:val="00DB4913"/>
    <w:rsid w:val="00DC1DCA"/>
    <w:rsid w:val="00DC3065"/>
    <w:rsid w:val="00DD12C7"/>
    <w:rsid w:val="00DD1995"/>
    <w:rsid w:val="00DD67EF"/>
    <w:rsid w:val="00DE0670"/>
    <w:rsid w:val="00DE0AD7"/>
    <w:rsid w:val="00DE6C2B"/>
    <w:rsid w:val="00DF35AB"/>
    <w:rsid w:val="00E009E8"/>
    <w:rsid w:val="00E0168C"/>
    <w:rsid w:val="00E030AB"/>
    <w:rsid w:val="00E17EB9"/>
    <w:rsid w:val="00E20EEE"/>
    <w:rsid w:val="00E2145E"/>
    <w:rsid w:val="00E22223"/>
    <w:rsid w:val="00E228E3"/>
    <w:rsid w:val="00E22B01"/>
    <w:rsid w:val="00E23315"/>
    <w:rsid w:val="00E2564F"/>
    <w:rsid w:val="00E26BDD"/>
    <w:rsid w:val="00E27C2A"/>
    <w:rsid w:val="00E30B8C"/>
    <w:rsid w:val="00E4284B"/>
    <w:rsid w:val="00E4695E"/>
    <w:rsid w:val="00E47A07"/>
    <w:rsid w:val="00E511B9"/>
    <w:rsid w:val="00E53E57"/>
    <w:rsid w:val="00E60AC1"/>
    <w:rsid w:val="00E6397C"/>
    <w:rsid w:val="00E63997"/>
    <w:rsid w:val="00E64DDB"/>
    <w:rsid w:val="00E65E14"/>
    <w:rsid w:val="00E66323"/>
    <w:rsid w:val="00E66419"/>
    <w:rsid w:val="00E742B1"/>
    <w:rsid w:val="00E876A1"/>
    <w:rsid w:val="00E9402F"/>
    <w:rsid w:val="00EA4789"/>
    <w:rsid w:val="00EA6A47"/>
    <w:rsid w:val="00EB0C91"/>
    <w:rsid w:val="00EC0F0F"/>
    <w:rsid w:val="00EC22AB"/>
    <w:rsid w:val="00ED178E"/>
    <w:rsid w:val="00ED1BF7"/>
    <w:rsid w:val="00EE1FAE"/>
    <w:rsid w:val="00EF4A55"/>
    <w:rsid w:val="00EF52E4"/>
    <w:rsid w:val="00F05E37"/>
    <w:rsid w:val="00F10C01"/>
    <w:rsid w:val="00F11949"/>
    <w:rsid w:val="00F13082"/>
    <w:rsid w:val="00F23730"/>
    <w:rsid w:val="00F23A72"/>
    <w:rsid w:val="00F33549"/>
    <w:rsid w:val="00F37992"/>
    <w:rsid w:val="00F416DF"/>
    <w:rsid w:val="00F54E5F"/>
    <w:rsid w:val="00F61B83"/>
    <w:rsid w:val="00F741BE"/>
    <w:rsid w:val="00F74F02"/>
    <w:rsid w:val="00F768C0"/>
    <w:rsid w:val="00F76BC3"/>
    <w:rsid w:val="00F77D17"/>
    <w:rsid w:val="00F81DE1"/>
    <w:rsid w:val="00F82BB7"/>
    <w:rsid w:val="00F83616"/>
    <w:rsid w:val="00F878CC"/>
    <w:rsid w:val="00F91E81"/>
    <w:rsid w:val="00FA0A9D"/>
    <w:rsid w:val="00FA1775"/>
    <w:rsid w:val="00FA2057"/>
    <w:rsid w:val="00FA6C80"/>
    <w:rsid w:val="00FB2687"/>
    <w:rsid w:val="00FB5BA0"/>
    <w:rsid w:val="00FC04AA"/>
    <w:rsid w:val="00FC45FE"/>
    <w:rsid w:val="00FD53EC"/>
    <w:rsid w:val="00FF3757"/>
    <w:rsid w:val="00FF3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122578"/>
  <w15:docId w15:val="{920B5065-5B3F-4BE6-9B58-B624BEBE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E09FA"/>
    <w:pPr>
      <w:spacing w:after="360" w:line="276" w:lineRule="auto"/>
    </w:pPr>
  </w:style>
  <w:style w:type="paragraph" w:styleId="Heading1">
    <w:name w:val="heading 1"/>
    <w:next w:val="Normal"/>
    <w:link w:val="Heading1Char"/>
    <w:autoRedefine/>
    <w:uiPriority w:val="9"/>
    <w:qFormat/>
    <w:rsid w:val="0040167E"/>
    <w:pPr>
      <w:keepNext/>
      <w:spacing w:before="200" w:after="200"/>
      <w:outlineLvl w:val="0"/>
    </w:pPr>
    <w:rPr>
      <w:rFonts w:ascii="Calibri" w:hAnsi="Calibri"/>
      <w:b/>
      <w:caps/>
      <w:sz w:val="24"/>
      <w:lang w:eastAsia="en-US"/>
    </w:rPr>
  </w:style>
  <w:style w:type="paragraph" w:styleId="Heading2">
    <w:name w:val="heading 2"/>
    <w:basedOn w:val="Normal"/>
    <w:next w:val="Normal"/>
    <w:link w:val="Heading2Char"/>
    <w:autoRedefine/>
    <w:uiPriority w:val="9"/>
    <w:qFormat/>
    <w:rsid w:val="00F91E81"/>
    <w:pPr>
      <w:outlineLvl w:val="1"/>
    </w:pPr>
    <w:rPr>
      <w:b/>
      <w:sz w:val="24"/>
    </w:rPr>
  </w:style>
  <w:style w:type="paragraph" w:styleId="Heading3">
    <w:name w:val="heading 3"/>
    <w:basedOn w:val="Normal"/>
    <w:next w:val="Normal"/>
    <w:link w:val="Heading3Char"/>
    <w:uiPriority w:val="9"/>
    <w:qFormat/>
    <w:rsid w:val="00501360"/>
    <w:pPr>
      <w:keepNext/>
      <w:outlineLvl w:val="2"/>
    </w:pPr>
    <w:rPr>
      <w:b/>
      <w:i/>
    </w:rPr>
  </w:style>
  <w:style w:type="paragraph" w:styleId="Heading4">
    <w:name w:val="heading 4"/>
    <w:basedOn w:val="Normal"/>
    <w:next w:val="Normal"/>
    <w:link w:val="Heading4Char"/>
    <w:uiPriority w:val="9"/>
    <w:qFormat/>
    <w:rsid w:val="00F91E81"/>
    <w:pP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060F8B"/>
    <w:pPr>
      <w:tabs>
        <w:tab w:val="center" w:pos="4513"/>
        <w:tab w:val="right" w:pos="9026"/>
      </w:tabs>
      <w:spacing w:before="120"/>
      <w:jc w:val="center"/>
    </w:pPr>
    <w:rPr>
      <w:sz w:val="30"/>
    </w:rPr>
  </w:style>
  <w:style w:type="character" w:customStyle="1" w:styleId="HeaderChar">
    <w:name w:val="Header Char"/>
    <w:basedOn w:val="DefaultParagraphFont"/>
    <w:link w:val="Header"/>
    <w:uiPriority w:val="99"/>
    <w:rsid w:val="00060F8B"/>
    <w:rPr>
      <w:rFonts w:ascii="Calibri" w:hAnsi="Calibri" w:cs="Arial"/>
      <w:b/>
      <w:caps/>
      <w:sz w:val="30"/>
      <w:lang w:eastAsia="en-US"/>
    </w:rPr>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rPr>
  </w:style>
  <w:style w:type="character" w:customStyle="1" w:styleId="Heading1Char">
    <w:name w:val="Heading 1 Char"/>
    <w:basedOn w:val="DefaultParagraphFont"/>
    <w:link w:val="Heading1"/>
    <w:uiPriority w:val="9"/>
    <w:rsid w:val="0040167E"/>
    <w:rPr>
      <w:rFonts w:ascii="Calibri" w:hAnsi="Calibri"/>
      <w:b/>
      <w:caps/>
      <w:sz w:val="24"/>
      <w:lang w:eastAsia="en-US"/>
    </w:rPr>
  </w:style>
  <w:style w:type="character" w:customStyle="1" w:styleId="Heading2Char">
    <w:name w:val="Heading 2 Char"/>
    <w:basedOn w:val="DefaultParagraphFont"/>
    <w:link w:val="Heading2"/>
    <w:uiPriority w:val="9"/>
    <w:rsid w:val="00F91E81"/>
    <w:rPr>
      <w:b/>
      <w:sz w:val="24"/>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F91E81"/>
    <w:rPr>
      <w:b/>
      <w:sz w:val="24"/>
    </w:rPr>
  </w:style>
  <w:style w:type="paragraph" w:styleId="ListBullet">
    <w:name w:val="List Bullet"/>
    <w:basedOn w:val="Normal"/>
    <w:autoRedefine/>
    <w:uiPriority w:val="99"/>
    <w:unhideWhenUsed/>
    <w:qFormat/>
    <w:rsid w:val="0014028B"/>
    <w:rPr>
      <w:szCs w:val="24"/>
    </w:rPr>
  </w:style>
  <w:style w:type="paragraph" w:styleId="ListBullet2">
    <w:name w:val="List Bullet 2"/>
    <w:basedOn w:val="Normal"/>
    <w:uiPriority w:val="99"/>
    <w:unhideWhenUsed/>
    <w:rsid w:val="0085353C"/>
    <w:pPr>
      <w:numPr>
        <w:ilvl w:val="1"/>
        <w:numId w:val="4"/>
      </w:numPr>
    </w:pPr>
  </w:style>
  <w:style w:type="paragraph" w:styleId="ListBullet3">
    <w:name w:val="List Bullet 3"/>
    <w:basedOn w:val="Normal"/>
    <w:uiPriority w:val="99"/>
    <w:unhideWhenUsed/>
    <w:rsid w:val="0085353C"/>
    <w:pPr>
      <w:numPr>
        <w:ilvl w:val="2"/>
        <w:numId w:val="4"/>
      </w:numPr>
    </w:pPr>
  </w:style>
  <w:style w:type="paragraph" w:styleId="ListBullet4">
    <w:name w:val="List Bullet 4"/>
    <w:basedOn w:val="Normal"/>
    <w:uiPriority w:val="99"/>
    <w:unhideWhenUsed/>
    <w:rsid w:val="0085353C"/>
    <w:pPr>
      <w:numPr>
        <w:ilvl w:val="3"/>
        <w:numId w:val="4"/>
      </w:numPr>
    </w:pPr>
  </w:style>
  <w:style w:type="paragraph" w:styleId="ListBullet5">
    <w:name w:val="List Bullet 5"/>
    <w:basedOn w:val="Normal"/>
    <w:uiPriority w:val="99"/>
    <w:unhideWhenUsed/>
    <w:rsid w:val="0085353C"/>
    <w:pPr>
      <w:numPr>
        <w:ilvl w:val="4"/>
        <w:numId w:val="4"/>
      </w:numPr>
    </w:pPr>
  </w:style>
  <w:style w:type="numbering" w:customStyle="1" w:styleId="Attach">
    <w:name w:val="Attach"/>
    <w:basedOn w:val="NoList"/>
    <w:uiPriority w:val="99"/>
    <w:rsid w:val="00607FC9"/>
    <w:pPr>
      <w:numPr>
        <w:numId w:val="3"/>
      </w:numPr>
    </w:pPr>
  </w:style>
  <w:style w:type="paragraph" w:customStyle="1" w:styleId="Classification">
    <w:name w:val="Classification"/>
    <w:uiPriority w:val="10"/>
    <w:qFormat/>
    <w:rsid w:val="006500EC"/>
    <w:pPr>
      <w:tabs>
        <w:tab w:val="center" w:pos="4536"/>
        <w:tab w:val="center" w:pos="4819"/>
        <w:tab w:val="right" w:pos="9356"/>
      </w:tabs>
      <w:jc w:val="center"/>
    </w:pPr>
    <w:rPr>
      <w:rFonts w:eastAsia="Times New Roman"/>
      <w:color w:val="FF0000"/>
      <w:sz w:val="28"/>
      <w:szCs w:val="28"/>
    </w:rPr>
  </w:style>
  <w:style w:type="paragraph" w:styleId="ListParagraph">
    <w:name w:val="List Paragraph"/>
    <w:aliases w:val="1 heading,Bullet 1,Bullet list,DDM Gen Text,List 1,List Paragraph1,List Paragraph11,Recommendation"/>
    <w:basedOn w:val="Normal"/>
    <w:link w:val="ListParagraphChar"/>
    <w:uiPriority w:val="34"/>
    <w:qFormat/>
    <w:rsid w:val="00C65E4E"/>
    <w:pPr>
      <w:numPr>
        <w:numId w:val="35"/>
      </w:numPr>
    </w:pPr>
    <w:rPr>
      <w:b/>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D95F87"/>
    <w:pPr>
      <w:ind w:left="57"/>
    </w:pPr>
    <w:rPr>
      <w:b/>
      <w:i/>
      <w:sz w:val="24"/>
      <w:szCs w:val="24"/>
    </w:rPr>
  </w:style>
  <w:style w:type="paragraph" w:styleId="ListNumber2">
    <w:name w:val="List Number 2"/>
    <w:basedOn w:val="Normal"/>
    <w:autoRedefine/>
    <w:uiPriority w:val="99"/>
    <w:rsid w:val="008635ED"/>
  </w:style>
  <w:style w:type="paragraph" w:styleId="ListNumber3">
    <w:name w:val="List Number 3"/>
    <w:basedOn w:val="Normal"/>
    <w:uiPriority w:val="99"/>
    <w:rsid w:val="00166625"/>
  </w:style>
  <w:style w:type="paragraph" w:styleId="ListNumber4">
    <w:name w:val="List Number 4"/>
    <w:basedOn w:val="Normal"/>
    <w:uiPriority w:val="99"/>
    <w:rsid w:val="00166625"/>
  </w:style>
  <w:style w:type="paragraph" w:styleId="ListNumber5">
    <w:name w:val="List Number 5"/>
    <w:basedOn w:val="Normal"/>
    <w:uiPriority w:val="99"/>
    <w:rsid w:val="00166625"/>
  </w:style>
  <w:style w:type="paragraph" w:customStyle="1" w:styleId="Footerclassification">
    <w:name w:val="Footer classification"/>
    <w:basedOn w:val="Classification"/>
    <w:autoRedefine/>
    <w:uiPriority w:val="10"/>
    <w:rsid w:val="007C0ACD"/>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eastAsia="Times New Roman"/>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0C0797"/>
  </w:style>
  <w:style w:type="character" w:styleId="PlaceholderText">
    <w:name w:val="Placeholder Text"/>
    <w:basedOn w:val="DefaultParagraphFont"/>
    <w:uiPriority w:val="99"/>
    <w:semiHidden/>
    <w:rsid w:val="003540A5"/>
    <w:rPr>
      <w:color w:val="808080"/>
    </w:rPr>
  </w:style>
  <w:style w:type="character" w:styleId="CommentReference">
    <w:name w:val="annotation reference"/>
    <w:basedOn w:val="DefaultParagraphFont"/>
    <w:uiPriority w:val="99"/>
    <w:semiHidden/>
    <w:unhideWhenUsed/>
    <w:rsid w:val="00EA1590"/>
    <w:rPr>
      <w:sz w:val="16"/>
      <w:szCs w:val="16"/>
    </w:rPr>
  </w:style>
  <w:style w:type="paragraph" w:styleId="CommentText">
    <w:name w:val="annotation text"/>
    <w:basedOn w:val="Normal"/>
    <w:link w:val="CommentTextChar"/>
    <w:uiPriority w:val="99"/>
    <w:unhideWhenUsed/>
    <w:rsid w:val="00EA1590"/>
    <w:rPr>
      <w:sz w:val="20"/>
      <w:szCs w:val="20"/>
    </w:rPr>
  </w:style>
  <w:style w:type="character" w:customStyle="1" w:styleId="CommentTextChar">
    <w:name w:val="Comment Text Char"/>
    <w:basedOn w:val="DefaultParagraphFont"/>
    <w:link w:val="CommentText"/>
    <w:uiPriority w:val="99"/>
    <w:rsid w:val="00EA1590"/>
    <w:rPr>
      <w:rFonts w:ascii="Calibri" w:hAnsi="Calibri"/>
      <w:sz w:val="20"/>
      <w:szCs w:val="20"/>
      <w:lang w:eastAsia="en-US"/>
    </w:rPr>
  </w:style>
  <w:style w:type="paragraph" w:styleId="CommentSubject">
    <w:name w:val="annotation subject"/>
    <w:basedOn w:val="CommentText"/>
    <w:next w:val="CommentText"/>
    <w:link w:val="CommentSubjectChar"/>
    <w:uiPriority w:val="99"/>
    <w:semiHidden/>
    <w:unhideWhenUsed/>
    <w:rsid w:val="00EA1590"/>
    <w:rPr>
      <w:b/>
      <w:bCs/>
    </w:rPr>
  </w:style>
  <w:style w:type="character" w:customStyle="1" w:styleId="CommentSubjectChar">
    <w:name w:val="Comment Subject Char"/>
    <w:basedOn w:val="CommentTextChar"/>
    <w:link w:val="CommentSubject"/>
    <w:uiPriority w:val="99"/>
    <w:semiHidden/>
    <w:rsid w:val="00EA1590"/>
    <w:rPr>
      <w:rFonts w:ascii="Calibri" w:hAnsi="Calibri"/>
      <w:b/>
      <w:bCs/>
      <w:sz w:val="20"/>
      <w:szCs w:val="20"/>
      <w:lang w:eastAsia="en-US"/>
    </w:rPr>
  </w:style>
  <w:style w:type="paragraph" w:styleId="Revision">
    <w:name w:val="Revision"/>
    <w:hidden/>
    <w:uiPriority w:val="99"/>
    <w:semiHidden/>
    <w:rsid w:val="00137B41"/>
    <w:rPr>
      <w:rFonts w:ascii="Calibri" w:hAnsi="Calibri"/>
      <w:sz w:val="24"/>
      <w:lang w:eastAsia="en-US"/>
    </w:rPr>
  </w:style>
  <w:style w:type="character" w:customStyle="1" w:styleId="ListParagraphChar">
    <w:name w:val="List Paragraph Char"/>
    <w:aliases w:val="1 heading Char,Bullet 1 Char,Bullet list Char,DDM Gen Text Char,List 1 Char,List Paragraph1 Char,List Paragraph11 Char,Recommendation Char"/>
    <w:basedOn w:val="DefaultParagraphFont"/>
    <w:link w:val="ListParagraph"/>
    <w:uiPriority w:val="34"/>
    <w:locked/>
    <w:rsid w:val="00C65E4E"/>
    <w:rPr>
      <w:rFonts w:cs="Arial"/>
      <w:b/>
      <w:lang w:eastAsia="en-US"/>
    </w:rPr>
  </w:style>
  <w:style w:type="paragraph" w:styleId="NormalWeb">
    <w:name w:val="Normal (Web)"/>
    <w:basedOn w:val="Normal"/>
    <w:link w:val="NormalWebChar"/>
    <w:uiPriority w:val="99"/>
    <w:unhideWhenUsed/>
    <w:rsid w:val="005D4680"/>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unhideWhenUsed/>
    <w:rsid w:val="008A1FC2"/>
    <w:rPr>
      <w:color w:val="0000FF"/>
      <w:u w:val="single"/>
    </w:rPr>
  </w:style>
  <w:style w:type="paragraph" w:customStyle="1" w:styleId="Default">
    <w:name w:val="Default"/>
    <w:rsid w:val="00FD53EC"/>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iPriority w:val="99"/>
    <w:unhideWhenUsed/>
    <w:rsid w:val="00DB2C57"/>
    <w:pPr>
      <w:spacing w:before="120" w:after="120"/>
    </w:pPr>
    <w:rPr>
      <w:rFonts w:eastAsiaTheme="minorHAnsi"/>
    </w:rPr>
  </w:style>
  <w:style w:type="character" w:customStyle="1" w:styleId="BodyTextChar">
    <w:name w:val="Body Text Char"/>
    <w:basedOn w:val="DefaultParagraphFont"/>
    <w:link w:val="BodyText"/>
    <w:uiPriority w:val="99"/>
    <w:rsid w:val="00DB2C57"/>
    <w:rPr>
      <w:rFonts w:ascii="Calibri" w:eastAsiaTheme="minorHAnsi" w:hAnsi="Calibri"/>
    </w:rPr>
  </w:style>
  <w:style w:type="paragraph" w:styleId="FootnoteText">
    <w:name w:val="footnote text"/>
    <w:basedOn w:val="Normal"/>
    <w:link w:val="FootnoteTextChar"/>
    <w:uiPriority w:val="99"/>
    <w:unhideWhenUsed/>
    <w:rsid w:val="00F878CC"/>
    <w:rPr>
      <w:sz w:val="20"/>
      <w:szCs w:val="20"/>
    </w:rPr>
  </w:style>
  <w:style w:type="character" w:customStyle="1" w:styleId="FootnoteTextChar">
    <w:name w:val="Footnote Text Char"/>
    <w:basedOn w:val="DefaultParagraphFont"/>
    <w:link w:val="FootnoteText"/>
    <w:uiPriority w:val="99"/>
    <w:rsid w:val="00F878CC"/>
    <w:rPr>
      <w:rFonts w:ascii="Calibri" w:hAnsi="Calibri"/>
      <w:sz w:val="20"/>
      <w:szCs w:val="20"/>
      <w:lang w:eastAsia="en-US"/>
    </w:rPr>
  </w:style>
  <w:style w:type="character" w:styleId="FootnoteReference">
    <w:name w:val="footnote reference"/>
    <w:basedOn w:val="DefaultParagraphFont"/>
    <w:uiPriority w:val="99"/>
    <w:semiHidden/>
    <w:unhideWhenUsed/>
    <w:rsid w:val="00F878CC"/>
    <w:rPr>
      <w:vertAlign w:val="superscript"/>
    </w:rPr>
  </w:style>
  <w:style w:type="paragraph" w:customStyle="1" w:styleId="normalindent">
    <w:name w:val="normal + indent"/>
    <w:basedOn w:val="NormalWeb"/>
    <w:link w:val="normalindentChar"/>
    <w:qFormat/>
    <w:rsid w:val="008425F4"/>
    <w:pPr>
      <w:ind w:left="426"/>
    </w:pPr>
    <w:rPr>
      <w:rFonts w:ascii="Arial" w:hAnsi="Arial"/>
    </w:rPr>
  </w:style>
  <w:style w:type="character" w:customStyle="1" w:styleId="NormalWebChar">
    <w:name w:val="Normal (Web) Char"/>
    <w:basedOn w:val="DefaultParagraphFont"/>
    <w:link w:val="NormalWeb"/>
    <w:uiPriority w:val="99"/>
    <w:rsid w:val="008425F4"/>
    <w:rPr>
      <w:rFonts w:ascii="Times New Roman" w:eastAsia="Times New Roman" w:hAnsi="Times New Roman" w:cs="Arial"/>
      <w:szCs w:val="24"/>
    </w:rPr>
  </w:style>
  <w:style w:type="character" w:customStyle="1" w:styleId="normalindentChar">
    <w:name w:val="normal + indent Char"/>
    <w:basedOn w:val="NormalWebChar"/>
    <w:link w:val="normalindent"/>
    <w:rsid w:val="008425F4"/>
    <w:rPr>
      <w:rFonts w:ascii="Times New Roman" w:eastAsia="Times New Roman" w:hAnsi="Times New Roman" w:cs="Arial"/>
      <w:szCs w:val="24"/>
    </w:rPr>
  </w:style>
  <w:style w:type="character" w:styleId="FollowedHyperlink">
    <w:name w:val="FollowedHyperlink"/>
    <w:basedOn w:val="DefaultParagraphFont"/>
    <w:uiPriority w:val="99"/>
    <w:semiHidden/>
    <w:unhideWhenUsed/>
    <w:rsid w:val="00ED178E"/>
    <w:rPr>
      <w:color w:val="800080" w:themeColor="followedHyperlink"/>
      <w:u w:val="single"/>
    </w:rPr>
  </w:style>
  <w:style w:type="paragraph" w:styleId="Title">
    <w:name w:val="Title"/>
    <w:basedOn w:val="Normal"/>
    <w:next w:val="Normal"/>
    <w:link w:val="TitleChar"/>
    <w:uiPriority w:val="10"/>
    <w:qFormat/>
    <w:rsid w:val="00F91E81"/>
    <w:pPr>
      <w:jc w:val="center"/>
    </w:pPr>
    <w:rPr>
      <w:sz w:val="44"/>
    </w:rPr>
  </w:style>
  <w:style w:type="character" w:customStyle="1" w:styleId="TitleChar">
    <w:name w:val="Title Char"/>
    <w:basedOn w:val="DefaultParagraphFont"/>
    <w:link w:val="Title"/>
    <w:uiPriority w:val="10"/>
    <w:rsid w:val="00F91E81"/>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9840">
      <w:bodyDiv w:val="1"/>
      <w:marLeft w:val="0"/>
      <w:marRight w:val="0"/>
      <w:marTop w:val="0"/>
      <w:marBottom w:val="0"/>
      <w:divBdr>
        <w:top w:val="none" w:sz="0" w:space="0" w:color="auto"/>
        <w:left w:val="none" w:sz="0" w:space="0" w:color="auto"/>
        <w:bottom w:val="none" w:sz="0" w:space="0" w:color="auto"/>
        <w:right w:val="none" w:sz="0" w:space="0" w:color="auto"/>
      </w:divBdr>
    </w:div>
    <w:div w:id="220412828">
      <w:bodyDiv w:val="1"/>
      <w:marLeft w:val="0"/>
      <w:marRight w:val="0"/>
      <w:marTop w:val="0"/>
      <w:marBottom w:val="0"/>
      <w:divBdr>
        <w:top w:val="none" w:sz="0" w:space="0" w:color="auto"/>
        <w:left w:val="none" w:sz="0" w:space="0" w:color="auto"/>
        <w:bottom w:val="none" w:sz="0" w:space="0" w:color="auto"/>
        <w:right w:val="none" w:sz="0" w:space="0" w:color="auto"/>
      </w:divBdr>
    </w:div>
    <w:div w:id="276185611">
      <w:bodyDiv w:val="1"/>
      <w:marLeft w:val="0"/>
      <w:marRight w:val="0"/>
      <w:marTop w:val="0"/>
      <w:marBottom w:val="0"/>
      <w:divBdr>
        <w:top w:val="none" w:sz="0" w:space="0" w:color="auto"/>
        <w:left w:val="none" w:sz="0" w:space="0" w:color="auto"/>
        <w:bottom w:val="none" w:sz="0" w:space="0" w:color="auto"/>
        <w:right w:val="none" w:sz="0" w:space="0" w:color="auto"/>
      </w:divBdr>
    </w:div>
    <w:div w:id="298654472">
      <w:bodyDiv w:val="1"/>
      <w:marLeft w:val="0"/>
      <w:marRight w:val="0"/>
      <w:marTop w:val="0"/>
      <w:marBottom w:val="0"/>
      <w:divBdr>
        <w:top w:val="none" w:sz="0" w:space="0" w:color="auto"/>
        <w:left w:val="none" w:sz="0" w:space="0" w:color="auto"/>
        <w:bottom w:val="none" w:sz="0" w:space="0" w:color="auto"/>
        <w:right w:val="none" w:sz="0" w:space="0" w:color="auto"/>
      </w:divBdr>
    </w:div>
    <w:div w:id="324826877">
      <w:bodyDiv w:val="1"/>
      <w:marLeft w:val="0"/>
      <w:marRight w:val="0"/>
      <w:marTop w:val="0"/>
      <w:marBottom w:val="0"/>
      <w:divBdr>
        <w:top w:val="none" w:sz="0" w:space="0" w:color="auto"/>
        <w:left w:val="none" w:sz="0" w:space="0" w:color="auto"/>
        <w:bottom w:val="none" w:sz="0" w:space="0" w:color="auto"/>
        <w:right w:val="none" w:sz="0" w:space="0" w:color="auto"/>
      </w:divBdr>
    </w:div>
    <w:div w:id="336688679">
      <w:bodyDiv w:val="1"/>
      <w:marLeft w:val="0"/>
      <w:marRight w:val="0"/>
      <w:marTop w:val="0"/>
      <w:marBottom w:val="0"/>
      <w:divBdr>
        <w:top w:val="none" w:sz="0" w:space="0" w:color="auto"/>
        <w:left w:val="none" w:sz="0" w:space="0" w:color="auto"/>
        <w:bottom w:val="none" w:sz="0" w:space="0" w:color="auto"/>
        <w:right w:val="none" w:sz="0" w:space="0" w:color="auto"/>
      </w:divBdr>
    </w:div>
    <w:div w:id="412364133">
      <w:bodyDiv w:val="1"/>
      <w:marLeft w:val="0"/>
      <w:marRight w:val="0"/>
      <w:marTop w:val="0"/>
      <w:marBottom w:val="0"/>
      <w:divBdr>
        <w:top w:val="none" w:sz="0" w:space="0" w:color="auto"/>
        <w:left w:val="none" w:sz="0" w:space="0" w:color="auto"/>
        <w:bottom w:val="none" w:sz="0" w:space="0" w:color="auto"/>
        <w:right w:val="none" w:sz="0" w:space="0" w:color="auto"/>
      </w:divBdr>
    </w:div>
    <w:div w:id="436874813">
      <w:bodyDiv w:val="1"/>
      <w:marLeft w:val="0"/>
      <w:marRight w:val="0"/>
      <w:marTop w:val="0"/>
      <w:marBottom w:val="0"/>
      <w:divBdr>
        <w:top w:val="none" w:sz="0" w:space="0" w:color="auto"/>
        <w:left w:val="none" w:sz="0" w:space="0" w:color="auto"/>
        <w:bottom w:val="none" w:sz="0" w:space="0" w:color="auto"/>
        <w:right w:val="none" w:sz="0" w:space="0" w:color="auto"/>
      </w:divBdr>
    </w:div>
    <w:div w:id="665325155">
      <w:bodyDiv w:val="1"/>
      <w:marLeft w:val="0"/>
      <w:marRight w:val="0"/>
      <w:marTop w:val="0"/>
      <w:marBottom w:val="0"/>
      <w:divBdr>
        <w:top w:val="none" w:sz="0" w:space="0" w:color="auto"/>
        <w:left w:val="none" w:sz="0" w:space="0" w:color="auto"/>
        <w:bottom w:val="none" w:sz="0" w:space="0" w:color="auto"/>
        <w:right w:val="none" w:sz="0" w:space="0" w:color="auto"/>
      </w:divBdr>
    </w:div>
    <w:div w:id="683898429">
      <w:bodyDiv w:val="1"/>
      <w:marLeft w:val="0"/>
      <w:marRight w:val="0"/>
      <w:marTop w:val="0"/>
      <w:marBottom w:val="0"/>
      <w:divBdr>
        <w:top w:val="none" w:sz="0" w:space="0" w:color="auto"/>
        <w:left w:val="none" w:sz="0" w:space="0" w:color="auto"/>
        <w:bottom w:val="none" w:sz="0" w:space="0" w:color="auto"/>
        <w:right w:val="none" w:sz="0" w:space="0" w:color="auto"/>
      </w:divBdr>
    </w:div>
    <w:div w:id="689262901">
      <w:bodyDiv w:val="1"/>
      <w:marLeft w:val="0"/>
      <w:marRight w:val="0"/>
      <w:marTop w:val="0"/>
      <w:marBottom w:val="0"/>
      <w:divBdr>
        <w:top w:val="none" w:sz="0" w:space="0" w:color="auto"/>
        <w:left w:val="none" w:sz="0" w:space="0" w:color="auto"/>
        <w:bottom w:val="none" w:sz="0" w:space="0" w:color="auto"/>
        <w:right w:val="none" w:sz="0" w:space="0" w:color="auto"/>
      </w:divBdr>
    </w:div>
    <w:div w:id="744760350">
      <w:bodyDiv w:val="1"/>
      <w:marLeft w:val="0"/>
      <w:marRight w:val="0"/>
      <w:marTop w:val="0"/>
      <w:marBottom w:val="0"/>
      <w:divBdr>
        <w:top w:val="none" w:sz="0" w:space="0" w:color="auto"/>
        <w:left w:val="none" w:sz="0" w:space="0" w:color="auto"/>
        <w:bottom w:val="none" w:sz="0" w:space="0" w:color="auto"/>
        <w:right w:val="none" w:sz="0" w:space="0" w:color="auto"/>
      </w:divBdr>
    </w:div>
    <w:div w:id="871921716">
      <w:bodyDiv w:val="1"/>
      <w:marLeft w:val="0"/>
      <w:marRight w:val="0"/>
      <w:marTop w:val="0"/>
      <w:marBottom w:val="0"/>
      <w:divBdr>
        <w:top w:val="none" w:sz="0" w:space="0" w:color="auto"/>
        <w:left w:val="none" w:sz="0" w:space="0" w:color="auto"/>
        <w:bottom w:val="none" w:sz="0" w:space="0" w:color="auto"/>
        <w:right w:val="none" w:sz="0" w:space="0" w:color="auto"/>
      </w:divBdr>
    </w:div>
    <w:div w:id="1069613541">
      <w:bodyDiv w:val="1"/>
      <w:marLeft w:val="0"/>
      <w:marRight w:val="0"/>
      <w:marTop w:val="0"/>
      <w:marBottom w:val="0"/>
      <w:divBdr>
        <w:top w:val="none" w:sz="0" w:space="0" w:color="auto"/>
        <w:left w:val="none" w:sz="0" w:space="0" w:color="auto"/>
        <w:bottom w:val="none" w:sz="0" w:space="0" w:color="auto"/>
        <w:right w:val="none" w:sz="0" w:space="0" w:color="auto"/>
      </w:divBdr>
    </w:div>
    <w:div w:id="1165704558">
      <w:bodyDiv w:val="1"/>
      <w:marLeft w:val="0"/>
      <w:marRight w:val="0"/>
      <w:marTop w:val="0"/>
      <w:marBottom w:val="0"/>
      <w:divBdr>
        <w:top w:val="none" w:sz="0" w:space="0" w:color="auto"/>
        <w:left w:val="none" w:sz="0" w:space="0" w:color="auto"/>
        <w:bottom w:val="none" w:sz="0" w:space="0" w:color="auto"/>
        <w:right w:val="none" w:sz="0" w:space="0" w:color="auto"/>
      </w:divBdr>
    </w:div>
    <w:div w:id="1231650422">
      <w:bodyDiv w:val="1"/>
      <w:marLeft w:val="0"/>
      <w:marRight w:val="0"/>
      <w:marTop w:val="0"/>
      <w:marBottom w:val="0"/>
      <w:divBdr>
        <w:top w:val="none" w:sz="0" w:space="0" w:color="auto"/>
        <w:left w:val="none" w:sz="0" w:space="0" w:color="auto"/>
        <w:bottom w:val="none" w:sz="0" w:space="0" w:color="auto"/>
        <w:right w:val="none" w:sz="0" w:space="0" w:color="auto"/>
      </w:divBdr>
    </w:div>
    <w:div w:id="1238709750">
      <w:bodyDiv w:val="1"/>
      <w:marLeft w:val="0"/>
      <w:marRight w:val="0"/>
      <w:marTop w:val="0"/>
      <w:marBottom w:val="0"/>
      <w:divBdr>
        <w:top w:val="none" w:sz="0" w:space="0" w:color="auto"/>
        <w:left w:val="none" w:sz="0" w:space="0" w:color="auto"/>
        <w:bottom w:val="none" w:sz="0" w:space="0" w:color="auto"/>
        <w:right w:val="none" w:sz="0" w:space="0" w:color="auto"/>
      </w:divBdr>
    </w:div>
    <w:div w:id="1452937677">
      <w:bodyDiv w:val="1"/>
      <w:marLeft w:val="0"/>
      <w:marRight w:val="0"/>
      <w:marTop w:val="0"/>
      <w:marBottom w:val="0"/>
      <w:divBdr>
        <w:top w:val="none" w:sz="0" w:space="0" w:color="auto"/>
        <w:left w:val="none" w:sz="0" w:space="0" w:color="auto"/>
        <w:bottom w:val="none" w:sz="0" w:space="0" w:color="auto"/>
        <w:right w:val="none" w:sz="0" w:space="0" w:color="auto"/>
      </w:divBdr>
    </w:div>
    <w:div w:id="1455710618">
      <w:bodyDiv w:val="1"/>
      <w:marLeft w:val="0"/>
      <w:marRight w:val="0"/>
      <w:marTop w:val="0"/>
      <w:marBottom w:val="0"/>
      <w:divBdr>
        <w:top w:val="none" w:sz="0" w:space="0" w:color="auto"/>
        <w:left w:val="none" w:sz="0" w:space="0" w:color="auto"/>
        <w:bottom w:val="none" w:sz="0" w:space="0" w:color="auto"/>
        <w:right w:val="none" w:sz="0" w:space="0" w:color="auto"/>
      </w:divBdr>
    </w:div>
    <w:div w:id="1522550775">
      <w:bodyDiv w:val="1"/>
      <w:marLeft w:val="0"/>
      <w:marRight w:val="0"/>
      <w:marTop w:val="0"/>
      <w:marBottom w:val="0"/>
      <w:divBdr>
        <w:top w:val="none" w:sz="0" w:space="0" w:color="auto"/>
        <w:left w:val="none" w:sz="0" w:space="0" w:color="auto"/>
        <w:bottom w:val="none" w:sz="0" w:space="0" w:color="auto"/>
        <w:right w:val="none" w:sz="0" w:space="0" w:color="auto"/>
      </w:divBdr>
    </w:div>
    <w:div w:id="1635023430">
      <w:bodyDiv w:val="1"/>
      <w:marLeft w:val="0"/>
      <w:marRight w:val="0"/>
      <w:marTop w:val="0"/>
      <w:marBottom w:val="0"/>
      <w:divBdr>
        <w:top w:val="none" w:sz="0" w:space="0" w:color="auto"/>
        <w:left w:val="none" w:sz="0" w:space="0" w:color="auto"/>
        <w:bottom w:val="none" w:sz="0" w:space="0" w:color="auto"/>
        <w:right w:val="none" w:sz="0" w:space="0" w:color="auto"/>
      </w:divBdr>
    </w:div>
    <w:div w:id="1707369325">
      <w:bodyDiv w:val="1"/>
      <w:marLeft w:val="0"/>
      <w:marRight w:val="0"/>
      <w:marTop w:val="0"/>
      <w:marBottom w:val="0"/>
      <w:divBdr>
        <w:top w:val="none" w:sz="0" w:space="0" w:color="auto"/>
        <w:left w:val="none" w:sz="0" w:space="0" w:color="auto"/>
        <w:bottom w:val="none" w:sz="0" w:space="0" w:color="auto"/>
        <w:right w:val="none" w:sz="0" w:space="0" w:color="auto"/>
      </w:divBdr>
      <w:divsChild>
        <w:div w:id="5988775">
          <w:marLeft w:val="0"/>
          <w:marRight w:val="0"/>
          <w:marTop w:val="0"/>
          <w:marBottom w:val="0"/>
          <w:divBdr>
            <w:top w:val="none" w:sz="0" w:space="0" w:color="auto"/>
            <w:left w:val="none" w:sz="0" w:space="0" w:color="auto"/>
            <w:bottom w:val="none" w:sz="0" w:space="0" w:color="auto"/>
            <w:right w:val="none" w:sz="0" w:space="0" w:color="auto"/>
          </w:divBdr>
          <w:divsChild>
            <w:div w:id="1529566477">
              <w:marLeft w:val="0"/>
              <w:marRight w:val="0"/>
              <w:marTop w:val="0"/>
              <w:marBottom w:val="0"/>
              <w:divBdr>
                <w:top w:val="none" w:sz="0" w:space="0" w:color="auto"/>
                <w:left w:val="none" w:sz="0" w:space="0" w:color="auto"/>
                <w:bottom w:val="none" w:sz="0" w:space="0" w:color="auto"/>
                <w:right w:val="none" w:sz="0" w:space="0" w:color="auto"/>
              </w:divBdr>
              <w:divsChild>
                <w:div w:id="339236676">
                  <w:marLeft w:val="0"/>
                  <w:marRight w:val="0"/>
                  <w:marTop w:val="0"/>
                  <w:marBottom w:val="0"/>
                  <w:divBdr>
                    <w:top w:val="none" w:sz="0" w:space="0" w:color="auto"/>
                    <w:left w:val="none" w:sz="0" w:space="0" w:color="auto"/>
                    <w:bottom w:val="none" w:sz="0" w:space="0" w:color="auto"/>
                    <w:right w:val="none" w:sz="0" w:space="0" w:color="auto"/>
                  </w:divBdr>
                  <w:divsChild>
                    <w:div w:id="1418866064">
                      <w:marLeft w:val="0"/>
                      <w:marRight w:val="0"/>
                      <w:marTop w:val="0"/>
                      <w:marBottom w:val="0"/>
                      <w:divBdr>
                        <w:top w:val="none" w:sz="0" w:space="0" w:color="auto"/>
                        <w:left w:val="none" w:sz="0" w:space="0" w:color="auto"/>
                        <w:bottom w:val="none" w:sz="0" w:space="0" w:color="auto"/>
                        <w:right w:val="none" w:sz="0" w:space="0" w:color="auto"/>
                      </w:divBdr>
                      <w:divsChild>
                        <w:div w:id="705718949">
                          <w:marLeft w:val="150"/>
                          <w:marRight w:val="150"/>
                          <w:marTop w:val="0"/>
                          <w:marBottom w:val="0"/>
                          <w:divBdr>
                            <w:top w:val="none" w:sz="0" w:space="0" w:color="auto"/>
                            <w:left w:val="none" w:sz="0" w:space="0" w:color="auto"/>
                            <w:bottom w:val="none" w:sz="0" w:space="0" w:color="auto"/>
                            <w:right w:val="none" w:sz="0" w:space="0" w:color="auto"/>
                          </w:divBdr>
                          <w:divsChild>
                            <w:div w:id="172457837">
                              <w:marLeft w:val="0"/>
                              <w:marRight w:val="0"/>
                              <w:marTop w:val="0"/>
                              <w:marBottom w:val="0"/>
                              <w:divBdr>
                                <w:top w:val="none" w:sz="0" w:space="0" w:color="auto"/>
                                <w:left w:val="none" w:sz="0" w:space="0" w:color="auto"/>
                                <w:bottom w:val="none" w:sz="0" w:space="0" w:color="auto"/>
                                <w:right w:val="none" w:sz="0" w:space="0" w:color="auto"/>
                              </w:divBdr>
                              <w:divsChild>
                                <w:div w:id="893662959">
                                  <w:marLeft w:val="0"/>
                                  <w:marRight w:val="0"/>
                                  <w:marTop w:val="0"/>
                                  <w:marBottom w:val="0"/>
                                  <w:divBdr>
                                    <w:top w:val="none" w:sz="0" w:space="0" w:color="auto"/>
                                    <w:left w:val="none" w:sz="0" w:space="0" w:color="auto"/>
                                    <w:bottom w:val="none" w:sz="0" w:space="0" w:color="auto"/>
                                    <w:right w:val="none" w:sz="0" w:space="0" w:color="auto"/>
                                  </w:divBdr>
                                  <w:divsChild>
                                    <w:div w:id="1052539360">
                                      <w:marLeft w:val="0"/>
                                      <w:marRight w:val="0"/>
                                      <w:marTop w:val="0"/>
                                      <w:marBottom w:val="0"/>
                                      <w:divBdr>
                                        <w:top w:val="none" w:sz="0" w:space="0" w:color="auto"/>
                                        <w:left w:val="none" w:sz="0" w:space="0" w:color="auto"/>
                                        <w:bottom w:val="none" w:sz="0" w:space="0" w:color="auto"/>
                                        <w:right w:val="none" w:sz="0" w:space="0" w:color="auto"/>
                                      </w:divBdr>
                                      <w:divsChild>
                                        <w:div w:id="974023102">
                                          <w:marLeft w:val="0"/>
                                          <w:marRight w:val="0"/>
                                          <w:marTop w:val="0"/>
                                          <w:marBottom w:val="0"/>
                                          <w:divBdr>
                                            <w:top w:val="none" w:sz="0" w:space="0" w:color="auto"/>
                                            <w:left w:val="none" w:sz="0" w:space="0" w:color="auto"/>
                                            <w:bottom w:val="none" w:sz="0" w:space="0" w:color="auto"/>
                                            <w:right w:val="none" w:sz="0" w:space="0" w:color="auto"/>
                                          </w:divBdr>
                                          <w:divsChild>
                                            <w:div w:id="1324049950">
                                              <w:marLeft w:val="0"/>
                                              <w:marRight w:val="0"/>
                                              <w:marTop w:val="0"/>
                                              <w:marBottom w:val="0"/>
                                              <w:divBdr>
                                                <w:top w:val="none" w:sz="0" w:space="0" w:color="auto"/>
                                                <w:left w:val="none" w:sz="0" w:space="0" w:color="auto"/>
                                                <w:bottom w:val="none" w:sz="0" w:space="0" w:color="auto"/>
                                                <w:right w:val="none" w:sz="0" w:space="0" w:color="auto"/>
                                              </w:divBdr>
                                              <w:divsChild>
                                                <w:div w:id="493034493">
                                                  <w:marLeft w:val="0"/>
                                                  <w:marRight w:val="0"/>
                                                  <w:marTop w:val="0"/>
                                                  <w:marBottom w:val="0"/>
                                                  <w:divBdr>
                                                    <w:top w:val="none" w:sz="0" w:space="0" w:color="auto"/>
                                                    <w:left w:val="none" w:sz="0" w:space="0" w:color="auto"/>
                                                    <w:bottom w:val="none" w:sz="0" w:space="0" w:color="auto"/>
                                                    <w:right w:val="none" w:sz="0" w:space="0" w:color="auto"/>
                                                  </w:divBdr>
                                                  <w:divsChild>
                                                    <w:div w:id="12128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104576">
      <w:bodyDiv w:val="1"/>
      <w:marLeft w:val="0"/>
      <w:marRight w:val="0"/>
      <w:marTop w:val="0"/>
      <w:marBottom w:val="0"/>
      <w:divBdr>
        <w:top w:val="none" w:sz="0" w:space="0" w:color="auto"/>
        <w:left w:val="none" w:sz="0" w:space="0" w:color="auto"/>
        <w:bottom w:val="none" w:sz="0" w:space="0" w:color="auto"/>
        <w:right w:val="none" w:sz="0" w:space="0" w:color="auto"/>
      </w:divBdr>
    </w:div>
    <w:div w:id="1929649739">
      <w:bodyDiv w:val="1"/>
      <w:marLeft w:val="0"/>
      <w:marRight w:val="0"/>
      <w:marTop w:val="0"/>
      <w:marBottom w:val="0"/>
      <w:divBdr>
        <w:top w:val="none" w:sz="0" w:space="0" w:color="auto"/>
        <w:left w:val="none" w:sz="0" w:space="0" w:color="auto"/>
        <w:bottom w:val="none" w:sz="0" w:space="0" w:color="auto"/>
        <w:right w:val="none" w:sz="0" w:space="0" w:color="auto"/>
      </w:divBdr>
    </w:div>
    <w:div w:id="2028015672">
      <w:bodyDiv w:val="1"/>
      <w:marLeft w:val="0"/>
      <w:marRight w:val="0"/>
      <w:marTop w:val="0"/>
      <w:marBottom w:val="0"/>
      <w:divBdr>
        <w:top w:val="none" w:sz="0" w:space="0" w:color="auto"/>
        <w:left w:val="none" w:sz="0" w:space="0" w:color="auto"/>
        <w:bottom w:val="none" w:sz="0" w:space="0" w:color="auto"/>
        <w:right w:val="none" w:sz="0" w:space="0" w:color="auto"/>
      </w:divBdr>
    </w:div>
    <w:div w:id="2053924335">
      <w:bodyDiv w:val="1"/>
      <w:marLeft w:val="0"/>
      <w:marRight w:val="0"/>
      <w:marTop w:val="0"/>
      <w:marBottom w:val="0"/>
      <w:divBdr>
        <w:top w:val="none" w:sz="0" w:space="0" w:color="auto"/>
        <w:left w:val="none" w:sz="0" w:space="0" w:color="auto"/>
        <w:bottom w:val="none" w:sz="0" w:space="0" w:color="auto"/>
        <w:right w:val="none" w:sz="0" w:space="0" w:color="auto"/>
      </w:divBdr>
    </w:div>
    <w:div w:id="20541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35F49-B880-414A-8A69-8A4E0FB2F210}"/>
</file>

<file path=customXml/itemProps2.xml><?xml version="1.0" encoding="utf-8"?>
<ds:datastoreItem xmlns:ds="http://schemas.openxmlformats.org/officeDocument/2006/customXml" ds:itemID="{90F0F019-659D-4EFA-ADD3-78AEABBD38D3}"/>
</file>

<file path=customXml/itemProps3.xml><?xml version="1.0" encoding="utf-8"?>
<ds:datastoreItem xmlns:ds="http://schemas.openxmlformats.org/officeDocument/2006/customXml" ds:itemID="{B98186CA-2BB6-4C79-BFBB-7D7DB76DEE6E}"/>
</file>

<file path=customXml/itemProps4.xml><?xml version="1.0" encoding="utf-8"?>
<ds:datastoreItem xmlns:ds="http://schemas.openxmlformats.org/officeDocument/2006/customXml" ds:itemID="{AC68C4EA-E31E-4355-9FF1-374999082535}"/>
</file>

<file path=docProps/app.xml><?xml version="1.0" encoding="utf-8"?>
<Properties xmlns="http://schemas.openxmlformats.org/officeDocument/2006/extended-properties" xmlns:vt="http://schemas.openxmlformats.org/officeDocument/2006/docPropsVTypes">
  <Template>Normal</Template>
  <TotalTime>3</TotalTime>
  <Pages>23</Pages>
  <Words>6936</Words>
  <Characters>39539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Australian Government response to the Senate Select Committee on theMurray-Darling Basin Plan report:Refreshing the Plan</vt:lpstr>
    </vt:vector>
  </TitlesOfParts>
  <Company>DEWHA</Company>
  <LinksUpToDate>false</LinksUpToDate>
  <CharactersWithSpaces>46383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Select Committee on theMurray-Darling Basin Plan report:Refreshing the Plan</dc:title>
  <dc:subject>SENATE SELECT COMMITTEE INQUIRY INTO THE MURRAY-DARLING BASIN PLAN - RELEASE OF FINAL REPORT</dc:subject>
  <dc:creator>Australian Government</dc:creator>
  <cp:lastModifiedBy>Dang, Van</cp:lastModifiedBy>
  <cp:revision>4</cp:revision>
  <cp:lastPrinted>2017-02-14T01:49:00Z</cp:lastPrinted>
  <dcterms:created xsi:type="dcterms:W3CDTF">2017-02-14T01:47:00Z</dcterms:created>
  <dcterms:modified xsi:type="dcterms:W3CDTF">2017-02-14T01:49:00Z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True</vt:lpwstr>
  </property>
  <property fmtid="{D5CDD505-2E9C-101B-9397-08002B2CF9AE}" pid="4" name="ClearanceActualDate">
    <vt:lpwstr>29 March 2016</vt:lpwstr>
  </property>
  <property fmtid="{D5CDD505-2E9C-101B-9397-08002B2CF9AE}" pid="5" name="ClearanceDueDate">
    <vt:lpwstr/>
  </property>
  <property fmtid="{D5CDD505-2E9C-101B-9397-08002B2CF9AE}" pid="6" name="ContentTypeId">
    <vt:lpwstr>0x01010078F6B24EF29B14488A4D3E054F39A21B</vt:lpwstr>
  </property>
  <property fmtid="{D5CDD505-2E9C-101B-9397-08002B2CF9AE}" pid="7" name="DLM">
    <vt:lpwstr>For Official Use Only</vt:lpwstr>
  </property>
  <property fmtid="{D5CDD505-2E9C-101B-9397-08002B2CF9AE}" pid="8" name="Electorates">
    <vt:lpwstr> </vt:lpwstr>
  </property>
  <property fmtid="{D5CDD505-2E9C-101B-9397-08002B2CF9AE}" pid="9" name="GroupResponsible">
    <vt:lpwstr>Water</vt:lpwstr>
  </property>
  <property fmtid="{D5CDD505-2E9C-101B-9397-08002B2CF9AE}" pid="10" name="HandlingProtocol">
    <vt:lpwstr>Standard</vt:lpwstr>
  </property>
  <property fmtid="{D5CDD505-2E9C-101B-9397-08002B2CF9AE}" pid="11" name="InformationMinister">
    <vt:lpwstr>Anne Ruston, Matthew Coulton</vt:lpwstr>
  </property>
  <property fmtid="{D5CDD505-2E9C-101B-9397-08002B2CF9AE}" pid="12" name="LastClearingOfficer">
    <vt:lpwstr>Tim FISHER</vt:lpwstr>
  </property>
  <property fmtid="{D5CDD505-2E9C-101B-9397-08002B2CF9AE}" pid="13" name="LeadingLawyers">
    <vt:lpwstr>Removed</vt:lpwstr>
  </property>
  <property fmtid="{D5CDD505-2E9C-101B-9397-08002B2CF9AE}" pid="14" name="Legislation">
    <vt:lpwstr/>
  </property>
  <property fmtid="{D5CDD505-2E9C-101B-9397-08002B2CF9AE}" pid="15" name="Ministers">
    <vt:lpwstr>Barnaby Joyce, Anne Ruston, Matthew Coulton</vt:lpwstr>
  </property>
  <property fmtid="{D5CDD505-2E9C-101B-9397-08002B2CF9AE}" pid="16" name="ObjectiveRef">
    <vt:lpwstr>Removed</vt:lpwstr>
  </property>
  <property fmtid="{D5CDD505-2E9C-101B-9397-08002B2CF9AE}" pid="17" name="PdrId">
    <vt:lpwstr>MS16-000995</vt:lpwstr>
  </property>
  <property fmtid="{D5CDD505-2E9C-101B-9397-08002B2CF9AE}" pid="18" name="Principal">
    <vt:lpwstr>For Noting </vt:lpwstr>
  </property>
  <property fmtid="{D5CDD505-2E9C-101B-9397-08002B2CF9AE}" pid="19" name="Publishing Section">
    <vt:lpwstr>Information Management Division</vt:lpwstr>
  </property>
  <property fmtid="{D5CDD505-2E9C-101B-9397-08002B2CF9AE}" pid="20" name="ReasonForSensitivity">
    <vt:lpwstr/>
  </property>
  <property fmtid="{D5CDD505-2E9C-101B-9397-08002B2CF9AE}" pid="21" name="RegisteredDate">
    <vt:lpwstr>23 March 2016</vt:lpwstr>
  </property>
  <property fmtid="{D5CDD505-2E9C-101B-9397-08002B2CF9AE}" pid="22" name="RequestedAction">
    <vt:lpwstr>For Signature</vt:lpwstr>
  </property>
  <property fmtid="{D5CDD505-2E9C-101B-9397-08002B2CF9AE}" pid="23" name="ResponsibleMinister">
    <vt:lpwstr>Barnaby Joyce</vt:lpwstr>
  </property>
  <property fmtid="{D5CDD505-2E9C-101B-9397-08002B2CF9AE}" pid="24" name="SecurityClassification">
    <vt:lpwstr>For Official Use Only (FOUO)  </vt:lpwstr>
  </property>
  <property fmtid="{D5CDD505-2E9C-101B-9397-08002B2CF9AE}" pid="25" name="Sensitivity">
    <vt:lpwstr/>
  </property>
  <property fmtid="{D5CDD505-2E9C-101B-9397-08002B2CF9AE}" pid="26" name="Spacer">
    <vt:lpwstr/>
  </property>
  <property fmtid="{D5CDD505-2E9C-101B-9397-08002B2CF9AE}" pid="27" name="Subject">
    <vt:lpwstr>SENATE SELECT COMMITTEE INQUIRY INTO THE MURRAY-DARLING BASIN PLAN - RELEASE OF FINAL REPORT</vt:lpwstr>
  </property>
  <property fmtid="{D5CDD505-2E9C-101B-9397-08002B2CF9AE}" pid="28" name="TaskSeqNo">
    <vt:lpwstr>1</vt:lpwstr>
  </property>
  <property fmtid="{D5CDD505-2E9C-101B-9397-08002B2CF9AE}" pid="29" name="Template Filename">
    <vt:lpwstr/>
  </property>
  <property fmtid="{D5CDD505-2E9C-101B-9397-08002B2CF9AE}" pid="30" name="TemplateSubType">
    <vt:lpwstr>Standard</vt:lpwstr>
  </property>
  <property fmtid="{D5CDD505-2E9C-101B-9397-08002B2CF9AE}" pid="31" name="TemplateType">
    <vt:lpwstr>Minister</vt:lpwstr>
  </property>
  <property fmtid="{D5CDD505-2E9C-101B-9397-08002B2CF9AE}" pid="32" name="TrustedGroups">
    <vt:lpwstr>Parliamentary Coordinator MS, DLO, Ministerial Staff - Coalition 2013, Business Administrator, Limited Distribution MS</vt:lpwstr>
  </property>
</Properties>
</file>