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7572F" w14:textId="028B6F61" w:rsidR="00AD7B61" w:rsidRDefault="00C7221E" w:rsidP="00C7221E">
      <w:pPr>
        <w:pStyle w:val="Heading1"/>
      </w:pPr>
      <w:bookmarkStart w:id="0" w:name="_Hlk156311927"/>
      <w:r w:rsidRPr="004B77CC">
        <w:t>Measuring the</w:t>
      </w:r>
      <w:r w:rsidR="006351E8" w:rsidRPr="004B77CC">
        <w:t xml:space="preserve"> baseline</w:t>
      </w:r>
      <w:r w:rsidRPr="004B77CC">
        <w:t xml:space="preserve"> performance of Australia’s aquatic animal health system</w:t>
      </w:r>
      <w:r w:rsidR="00EA5ACC">
        <w:t xml:space="preserve"> under AQUAPLAN 2022</w:t>
      </w:r>
      <w:r w:rsidR="005539C6">
        <w:t>–</w:t>
      </w:r>
      <w:r w:rsidR="00EA5ACC">
        <w:t>2027</w:t>
      </w:r>
      <w:r w:rsidR="006351E8">
        <w:t xml:space="preserve"> </w:t>
      </w:r>
      <w:bookmarkEnd w:id="0"/>
    </w:p>
    <w:p w14:paraId="5F3D29D4" w14:textId="77777777" w:rsidR="0046137D" w:rsidRPr="0046137D" w:rsidRDefault="0046137D" w:rsidP="0046137D"/>
    <w:p w14:paraId="740DCD8B" w14:textId="77777777" w:rsidR="00D47D90" w:rsidRDefault="00D47D90" w:rsidP="00A61FE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A61FEB" w14:paraId="66786209" w14:textId="77777777" w:rsidTr="00A61FEB">
        <w:tc>
          <w:tcPr>
            <w:tcW w:w="4530" w:type="dxa"/>
          </w:tcPr>
          <w:p w14:paraId="71C638F9" w14:textId="17B7267F" w:rsidR="00A61FEB" w:rsidRDefault="00EF5D14" w:rsidP="00D608A4">
            <w:pPr>
              <w:pStyle w:val="TableText"/>
            </w:pPr>
            <w:r>
              <w:t>K. Scutt,</w:t>
            </w:r>
            <w:r w:rsidR="001B29A7">
              <w:t xml:space="preserve"> I. Ernst,</w:t>
            </w:r>
            <w:r>
              <w:t xml:space="preserve"> O. Liu</w:t>
            </w:r>
          </w:p>
        </w:tc>
        <w:tc>
          <w:tcPr>
            <w:tcW w:w="4530" w:type="dxa"/>
          </w:tcPr>
          <w:p w14:paraId="01231ECC" w14:textId="5E16BD60" w:rsidR="00EF5D14" w:rsidRDefault="00EF5D14" w:rsidP="00A61FEB">
            <w:pPr>
              <w:pStyle w:val="TableText"/>
            </w:pPr>
            <w:r>
              <w:t>AQUAPLAN Executive Office</w:t>
            </w:r>
            <w:r w:rsidR="001B29A7">
              <w:t>.</w:t>
            </w:r>
          </w:p>
          <w:p w14:paraId="5C849C98" w14:textId="1E981453" w:rsidR="00A61FEB" w:rsidRDefault="00EF5D14" w:rsidP="00A61FEB">
            <w:pPr>
              <w:pStyle w:val="TableText"/>
            </w:pPr>
            <w:r>
              <w:t>Aquatic Pest and Health Policy</w:t>
            </w:r>
            <w:r w:rsidR="001B29A7">
              <w:t xml:space="preserve"> section</w:t>
            </w:r>
            <w:r>
              <w:t>, Australian Government Department of Agriculture, Fisheries and Forestry.</w:t>
            </w:r>
          </w:p>
        </w:tc>
      </w:tr>
      <w:tr w:rsidR="00A61FEB" w14:paraId="258F2DAB" w14:textId="77777777" w:rsidTr="00A61FEB">
        <w:tc>
          <w:tcPr>
            <w:tcW w:w="4530" w:type="dxa"/>
          </w:tcPr>
          <w:p w14:paraId="3355E5E9" w14:textId="2D478365" w:rsidR="00A61FEB" w:rsidRDefault="00A61FEB" w:rsidP="00D608A4">
            <w:pPr>
              <w:pStyle w:val="TableText"/>
            </w:pPr>
          </w:p>
        </w:tc>
        <w:tc>
          <w:tcPr>
            <w:tcW w:w="4530" w:type="dxa"/>
          </w:tcPr>
          <w:p w14:paraId="0161F20A" w14:textId="2B8888F8" w:rsidR="00A61FEB" w:rsidRDefault="00A61FEB" w:rsidP="00A61FEB">
            <w:pPr>
              <w:pStyle w:val="TableText"/>
            </w:pPr>
          </w:p>
        </w:tc>
      </w:tr>
    </w:tbl>
    <w:p w14:paraId="1F9C101E" w14:textId="1651AD2C" w:rsidR="002768CE" w:rsidRDefault="002768CE" w:rsidP="00991D1C">
      <w:pPr>
        <w:pStyle w:val="Heading2"/>
        <w:ind w:left="357" w:hanging="357"/>
      </w:pPr>
    </w:p>
    <w:p w14:paraId="1AC7D180" w14:textId="77777777" w:rsidR="00836529" w:rsidRDefault="00B056BC" w:rsidP="00836529">
      <w:pPr>
        <w:pStyle w:val="TOCHeading"/>
      </w:pPr>
      <w:r>
        <w:br w:type="column"/>
      </w:r>
      <w:bookmarkStart w:id="1" w:name="_Toc168473254"/>
    </w:p>
    <w:sdt>
      <w:sdtPr>
        <w:rPr>
          <w:rFonts w:eastAsiaTheme="minorHAnsi"/>
          <w:b w:val="0"/>
          <w:bCs w:val="0"/>
          <w:caps/>
          <w:color w:val="auto"/>
          <w:sz w:val="22"/>
          <w:szCs w:val="22"/>
          <w:lang w:eastAsia="en-US"/>
        </w:rPr>
        <w:id w:val="-1094309147"/>
        <w:docPartObj>
          <w:docPartGallery w:val="Table of Contents"/>
          <w:docPartUnique/>
        </w:docPartObj>
      </w:sdtPr>
      <w:sdtEndPr>
        <w:rPr>
          <w:caps w:val="0"/>
          <w:noProof/>
        </w:rPr>
      </w:sdtEndPr>
      <w:sdtContent>
        <w:p w14:paraId="6D6949A4" w14:textId="6B183576" w:rsidR="00836529" w:rsidRDefault="00836529" w:rsidP="00836529">
          <w:pPr>
            <w:pStyle w:val="TOCHeading"/>
          </w:pPr>
          <w:r>
            <w:t>Contents</w:t>
          </w:r>
        </w:p>
        <w:p w14:paraId="7B3AF88F" w14:textId="77777777" w:rsidR="00836529" w:rsidRDefault="00836529" w:rsidP="00836529">
          <w:pPr>
            <w:pStyle w:val="TOC1"/>
            <w:rPr>
              <w:rFonts w:asciiTheme="minorHAnsi" w:eastAsiaTheme="minorEastAsia" w:hAnsiTheme="minorHAnsi"/>
              <w:b w:val="0"/>
              <w:kern w:val="2"/>
              <w:szCs w:val="24"/>
              <w:lang w:eastAsia="en-AU"/>
              <w14:ligatures w14:val="standardContextual"/>
            </w:rPr>
          </w:pPr>
          <w:r>
            <w:rPr>
              <w:b w:val="0"/>
              <w:bCs/>
            </w:rPr>
            <w:fldChar w:fldCharType="begin"/>
          </w:r>
          <w:r>
            <w:rPr>
              <w:b w:val="0"/>
              <w:bCs/>
            </w:rPr>
            <w:instrText xml:space="preserve"> TOC \h \z \u \t "Heading 2,1,Heading 3,2,Subtitle,1,TOA Heading,1" </w:instrText>
          </w:r>
          <w:r>
            <w:rPr>
              <w:b w:val="0"/>
              <w:bCs/>
            </w:rPr>
            <w:fldChar w:fldCharType="separate"/>
          </w:r>
          <w:hyperlink w:anchor="_Toc168473254" w:history="1">
            <w:r w:rsidRPr="00FB043B">
              <w:rPr>
                <w:rStyle w:val="Hyperlink"/>
              </w:rPr>
              <w:t>Summary</w:t>
            </w:r>
            <w:r>
              <w:rPr>
                <w:webHidden/>
              </w:rPr>
              <w:tab/>
            </w:r>
            <w:r>
              <w:rPr>
                <w:webHidden/>
              </w:rPr>
              <w:fldChar w:fldCharType="begin"/>
            </w:r>
            <w:r>
              <w:rPr>
                <w:webHidden/>
              </w:rPr>
              <w:instrText xml:space="preserve"> PAGEREF _Toc168473254 \h </w:instrText>
            </w:r>
            <w:r>
              <w:rPr>
                <w:webHidden/>
              </w:rPr>
            </w:r>
            <w:r>
              <w:rPr>
                <w:webHidden/>
              </w:rPr>
              <w:fldChar w:fldCharType="separate"/>
            </w:r>
            <w:r>
              <w:rPr>
                <w:webHidden/>
              </w:rPr>
              <w:t>ii</w:t>
            </w:r>
            <w:r>
              <w:rPr>
                <w:webHidden/>
              </w:rPr>
              <w:fldChar w:fldCharType="end"/>
            </w:r>
          </w:hyperlink>
        </w:p>
        <w:p w14:paraId="205E7A04" w14:textId="024F72F9" w:rsidR="00836529" w:rsidRDefault="00836529" w:rsidP="00836529">
          <w:pPr>
            <w:pStyle w:val="TOC1"/>
            <w:rPr>
              <w:rFonts w:asciiTheme="minorHAnsi" w:eastAsiaTheme="minorEastAsia" w:hAnsiTheme="minorHAnsi"/>
              <w:b w:val="0"/>
              <w:kern w:val="2"/>
              <w:szCs w:val="24"/>
              <w:lang w:eastAsia="en-AU"/>
              <w14:ligatures w14:val="standardContextual"/>
            </w:rPr>
          </w:pPr>
          <w:hyperlink w:anchor="_Toc168473255" w:history="1">
            <w:r w:rsidRPr="00FB043B">
              <w:rPr>
                <w:rStyle w:val="Hyperlink"/>
              </w:rPr>
              <w:t>Introduction</w:t>
            </w:r>
            <w:r>
              <w:rPr>
                <w:webHidden/>
              </w:rPr>
              <w:tab/>
            </w:r>
            <w:r>
              <w:rPr>
                <w:webHidden/>
              </w:rPr>
              <w:fldChar w:fldCharType="begin"/>
            </w:r>
            <w:r>
              <w:rPr>
                <w:webHidden/>
              </w:rPr>
              <w:instrText xml:space="preserve"> PAGEREF _Toc168473255 \h </w:instrText>
            </w:r>
            <w:r>
              <w:rPr>
                <w:webHidden/>
              </w:rPr>
            </w:r>
            <w:r>
              <w:rPr>
                <w:webHidden/>
              </w:rPr>
              <w:fldChar w:fldCharType="separate"/>
            </w:r>
            <w:r>
              <w:rPr>
                <w:webHidden/>
              </w:rPr>
              <w:t>1</w:t>
            </w:r>
            <w:r>
              <w:rPr>
                <w:webHidden/>
              </w:rPr>
              <w:fldChar w:fldCharType="end"/>
            </w:r>
          </w:hyperlink>
        </w:p>
        <w:p w14:paraId="0EF4FB68" w14:textId="55F45172" w:rsidR="00836529" w:rsidRDefault="00836529" w:rsidP="00836529">
          <w:pPr>
            <w:pStyle w:val="TOC1"/>
            <w:rPr>
              <w:rFonts w:asciiTheme="minorHAnsi" w:eastAsiaTheme="minorEastAsia" w:hAnsiTheme="minorHAnsi"/>
              <w:b w:val="0"/>
              <w:kern w:val="2"/>
              <w:szCs w:val="24"/>
              <w:lang w:eastAsia="en-AU"/>
              <w14:ligatures w14:val="standardContextual"/>
            </w:rPr>
          </w:pPr>
          <w:hyperlink w:anchor="_Toc168473258" w:history="1">
            <w:r w:rsidRPr="00FB043B">
              <w:rPr>
                <w:rStyle w:val="Hyperlink"/>
              </w:rPr>
              <w:t>Method</w:t>
            </w:r>
            <w:r>
              <w:rPr>
                <w:webHidden/>
              </w:rPr>
              <w:tab/>
            </w:r>
            <w:r>
              <w:rPr>
                <w:webHidden/>
              </w:rPr>
              <w:fldChar w:fldCharType="begin"/>
            </w:r>
            <w:r>
              <w:rPr>
                <w:webHidden/>
              </w:rPr>
              <w:instrText xml:space="preserve"> PAGEREF _Toc168473258 \h </w:instrText>
            </w:r>
            <w:r>
              <w:rPr>
                <w:webHidden/>
              </w:rPr>
            </w:r>
            <w:r>
              <w:rPr>
                <w:webHidden/>
              </w:rPr>
              <w:fldChar w:fldCharType="separate"/>
            </w:r>
            <w:r>
              <w:rPr>
                <w:webHidden/>
              </w:rPr>
              <w:t>2</w:t>
            </w:r>
            <w:r>
              <w:rPr>
                <w:webHidden/>
              </w:rPr>
              <w:fldChar w:fldCharType="end"/>
            </w:r>
          </w:hyperlink>
        </w:p>
        <w:p w14:paraId="7AC08A37" w14:textId="30A15A9B" w:rsidR="00836529" w:rsidRDefault="00836529" w:rsidP="00836529">
          <w:pPr>
            <w:pStyle w:val="TOC1"/>
            <w:rPr>
              <w:rFonts w:asciiTheme="minorHAnsi" w:eastAsiaTheme="minorEastAsia" w:hAnsiTheme="minorHAnsi"/>
              <w:b w:val="0"/>
              <w:kern w:val="2"/>
              <w:szCs w:val="24"/>
              <w:lang w:eastAsia="en-AU"/>
              <w14:ligatures w14:val="standardContextual"/>
            </w:rPr>
          </w:pPr>
          <w:hyperlink w:anchor="_Toc168473262" w:history="1">
            <w:r w:rsidRPr="00FB043B">
              <w:rPr>
                <w:rStyle w:val="Hyperlink"/>
              </w:rPr>
              <w:t>Results</w:t>
            </w:r>
            <w:r>
              <w:rPr>
                <w:webHidden/>
              </w:rPr>
              <w:tab/>
            </w:r>
            <w:r>
              <w:rPr>
                <w:webHidden/>
              </w:rPr>
              <w:fldChar w:fldCharType="begin"/>
            </w:r>
            <w:r>
              <w:rPr>
                <w:webHidden/>
              </w:rPr>
              <w:instrText xml:space="preserve"> PAGEREF _Toc168473262 \h </w:instrText>
            </w:r>
            <w:r>
              <w:rPr>
                <w:webHidden/>
              </w:rPr>
            </w:r>
            <w:r>
              <w:rPr>
                <w:webHidden/>
              </w:rPr>
              <w:fldChar w:fldCharType="separate"/>
            </w:r>
            <w:r>
              <w:rPr>
                <w:webHidden/>
              </w:rPr>
              <w:t>3</w:t>
            </w:r>
            <w:r>
              <w:rPr>
                <w:webHidden/>
              </w:rPr>
              <w:fldChar w:fldCharType="end"/>
            </w:r>
          </w:hyperlink>
        </w:p>
        <w:p w14:paraId="47834CA0" w14:textId="77777777" w:rsidR="00836529" w:rsidRDefault="00836529" w:rsidP="00836529">
          <w:pPr>
            <w:pStyle w:val="TOC2"/>
            <w:rPr>
              <w:rFonts w:asciiTheme="minorHAnsi" w:eastAsiaTheme="minorEastAsia" w:hAnsiTheme="minorHAnsi"/>
              <w:kern w:val="2"/>
              <w:sz w:val="24"/>
              <w:szCs w:val="24"/>
              <w:lang w:eastAsia="en-AU"/>
              <w14:ligatures w14:val="standardContextual"/>
            </w:rPr>
          </w:pPr>
          <w:hyperlink w:anchor="_Toc168473263" w:history="1">
            <w:r w:rsidRPr="00FB043B">
              <w:rPr>
                <w:rStyle w:val="Hyperlink"/>
              </w:rPr>
              <w:t>Question 1. Aquatic animal health in context</w:t>
            </w:r>
            <w:r>
              <w:rPr>
                <w:webHidden/>
              </w:rPr>
              <w:tab/>
            </w:r>
            <w:r>
              <w:rPr>
                <w:webHidden/>
              </w:rPr>
              <w:fldChar w:fldCharType="begin"/>
            </w:r>
            <w:r>
              <w:rPr>
                <w:webHidden/>
              </w:rPr>
              <w:instrText xml:space="preserve"> PAGEREF _Toc168473263 \h </w:instrText>
            </w:r>
            <w:r>
              <w:rPr>
                <w:webHidden/>
              </w:rPr>
            </w:r>
            <w:r>
              <w:rPr>
                <w:webHidden/>
              </w:rPr>
              <w:fldChar w:fldCharType="separate"/>
            </w:r>
            <w:r>
              <w:rPr>
                <w:webHidden/>
              </w:rPr>
              <w:t>3</w:t>
            </w:r>
            <w:r>
              <w:rPr>
                <w:webHidden/>
              </w:rPr>
              <w:fldChar w:fldCharType="end"/>
            </w:r>
          </w:hyperlink>
        </w:p>
        <w:p w14:paraId="131F7EA7" w14:textId="77777777" w:rsidR="00836529" w:rsidRDefault="00836529" w:rsidP="00836529">
          <w:pPr>
            <w:pStyle w:val="TOC2"/>
            <w:rPr>
              <w:rFonts w:asciiTheme="minorHAnsi" w:eastAsiaTheme="minorEastAsia" w:hAnsiTheme="minorHAnsi"/>
              <w:kern w:val="2"/>
              <w:sz w:val="24"/>
              <w:szCs w:val="24"/>
              <w:lang w:eastAsia="en-AU"/>
              <w14:ligatures w14:val="standardContextual"/>
            </w:rPr>
          </w:pPr>
          <w:hyperlink w:anchor="_Toc168473264" w:history="1">
            <w:r w:rsidRPr="00FB043B">
              <w:rPr>
                <w:rStyle w:val="Hyperlink"/>
              </w:rPr>
              <w:t>Question 2. Opportunities and challenges for aquatic animal production in Australia</w:t>
            </w:r>
            <w:r>
              <w:rPr>
                <w:webHidden/>
              </w:rPr>
              <w:tab/>
            </w:r>
            <w:r>
              <w:rPr>
                <w:webHidden/>
              </w:rPr>
              <w:fldChar w:fldCharType="begin"/>
            </w:r>
            <w:r>
              <w:rPr>
                <w:webHidden/>
              </w:rPr>
              <w:instrText xml:space="preserve"> PAGEREF _Toc168473264 \h </w:instrText>
            </w:r>
            <w:r>
              <w:rPr>
                <w:webHidden/>
              </w:rPr>
            </w:r>
            <w:r>
              <w:rPr>
                <w:webHidden/>
              </w:rPr>
              <w:fldChar w:fldCharType="separate"/>
            </w:r>
            <w:r>
              <w:rPr>
                <w:webHidden/>
              </w:rPr>
              <w:t>5</w:t>
            </w:r>
            <w:r>
              <w:rPr>
                <w:webHidden/>
              </w:rPr>
              <w:fldChar w:fldCharType="end"/>
            </w:r>
          </w:hyperlink>
        </w:p>
        <w:p w14:paraId="3A4A8F0E" w14:textId="77777777" w:rsidR="00836529" w:rsidRDefault="00836529" w:rsidP="00836529">
          <w:pPr>
            <w:pStyle w:val="TOC2"/>
            <w:rPr>
              <w:rFonts w:asciiTheme="minorHAnsi" w:eastAsiaTheme="minorEastAsia" w:hAnsiTheme="minorHAnsi"/>
              <w:kern w:val="2"/>
              <w:sz w:val="24"/>
              <w:szCs w:val="24"/>
              <w:lang w:eastAsia="en-AU"/>
              <w14:ligatures w14:val="standardContextual"/>
            </w:rPr>
          </w:pPr>
          <w:hyperlink w:anchor="_Toc168473265" w:history="1">
            <w:r w:rsidRPr="00FB043B">
              <w:rPr>
                <w:rStyle w:val="Hyperlink"/>
              </w:rPr>
              <w:t>Question 3. Aquatic animal health management system performance and AQUAPLAN objectives</w:t>
            </w:r>
            <w:r>
              <w:rPr>
                <w:webHidden/>
              </w:rPr>
              <w:tab/>
            </w:r>
            <w:r>
              <w:rPr>
                <w:webHidden/>
              </w:rPr>
              <w:fldChar w:fldCharType="begin"/>
            </w:r>
            <w:r>
              <w:rPr>
                <w:webHidden/>
              </w:rPr>
              <w:instrText xml:space="preserve"> PAGEREF _Toc168473265 \h </w:instrText>
            </w:r>
            <w:r>
              <w:rPr>
                <w:webHidden/>
              </w:rPr>
            </w:r>
            <w:r>
              <w:rPr>
                <w:webHidden/>
              </w:rPr>
              <w:fldChar w:fldCharType="separate"/>
            </w:r>
            <w:r>
              <w:rPr>
                <w:webHidden/>
              </w:rPr>
              <w:t>7</w:t>
            </w:r>
            <w:r>
              <w:rPr>
                <w:webHidden/>
              </w:rPr>
              <w:fldChar w:fldCharType="end"/>
            </w:r>
          </w:hyperlink>
        </w:p>
        <w:p w14:paraId="595EE360" w14:textId="77777777" w:rsidR="00836529" w:rsidRDefault="00836529" w:rsidP="00836529">
          <w:pPr>
            <w:pStyle w:val="TOC2"/>
            <w:rPr>
              <w:rFonts w:asciiTheme="minorHAnsi" w:eastAsiaTheme="minorEastAsia" w:hAnsiTheme="minorHAnsi"/>
              <w:kern w:val="2"/>
              <w:sz w:val="24"/>
              <w:szCs w:val="24"/>
              <w:lang w:eastAsia="en-AU"/>
              <w14:ligatures w14:val="standardContextual"/>
            </w:rPr>
          </w:pPr>
          <w:hyperlink w:anchor="_Toc168473266" w:history="1">
            <w:r w:rsidRPr="00FB043B">
              <w:rPr>
                <w:rStyle w:val="Hyperlink"/>
              </w:rPr>
              <w:t>Question 4. Communication preferences</w:t>
            </w:r>
            <w:r>
              <w:rPr>
                <w:webHidden/>
              </w:rPr>
              <w:tab/>
            </w:r>
            <w:r>
              <w:rPr>
                <w:webHidden/>
              </w:rPr>
              <w:fldChar w:fldCharType="begin"/>
            </w:r>
            <w:r>
              <w:rPr>
                <w:webHidden/>
              </w:rPr>
              <w:instrText xml:space="preserve"> PAGEREF _Toc168473266 \h </w:instrText>
            </w:r>
            <w:r>
              <w:rPr>
                <w:webHidden/>
              </w:rPr>
            </w:r>
            <w:r>
              <w:rPr>
                <w:webHidden/>
              </w:rPr>
              <w:fldChar w:fldCharType="separate"/>
            </w:r>
            <w:r>
              <w:rPr>
                <w:webHidden/>
              </w:rPr>
              <w:t>7</w:t>
            </w:r>
            <w:r>
              <w:rPr>
                <w:webHidden/>
              </w:rPr>
              <w:fldChar w:fldCharType="end"/>
            </w:r>
          </w:hyperlink>
        </w:p>
        <w:p w14:paraId="2845CB2B" w14:textId="401D6A18" w:rsidR="00836529" w:rsidRDefault="00836529" w:rsidP="00836529">
          <w:pPr>
            <w:pStyle w:val="TOC1"/>
            <w:rPr>
              <w:rFonts w:asciiTheme="minorHAnsi" w:eastAsiaTheme="minorEastAsia" w:hAnsiTheme="minorHAnsi"/>
              <w:b w:val="0"/>
              <w:kern w:val="2"/>
              <w:szCs w:val="24"/>
              <w:lang w:eastAsia="en-AU"/>
              <w14:ligatures w14:val="standardContextual"/>
            </w:rPr>
          </w:pPr>
          <w:hyperlink w:anchor="_Toc168473267" w:history="1">
            <w:r w:rsidRPr="00FB043B">
              <w:rPr>
                <w:rStyle w:val="Hyperlink"/>
              </w:rPr>
              <w:t>Conclusion</w:t>
            </w:r>
            <w:r>
              <w:rPr>
                <w:webHidden/>
              </w:rPr>
              <w:tab/>
            </w:r>
            <w:r>
              <w:rPr>
                <w:webHidden/>
              </w:rPr>
              <w:fldChar w:fldCharType="begin"/>
            </w:r>
            <w:r>
              <w:rPr>
                <w:webHidden/>
              </w:rPr>
              <w:instrText xml:space="preserve"> PAGEREF _Toc168473267 \h </w:instrText>
            </w:r>
            <w:r>
              <w:rPr>
                <w:webHidden/>
              </w:rPr>
            </w:r>
            <w:r>
              <w:rPr>
                <w:webHidden/>
              </w:rPr>
              <w:fldChar w:fldCharType="separate"/>
            </w:r>
            <w:r>
              <w:rPr>
                <w:webHidden/>
              </w:rPr>
              <w:t>9</w:t>
            </w:r>
            <w:r>
              <w:rPr>
                <w:webHidden/>
              </w:rPr>
              <w:fldChar w:fldCharType="end"/>
            </w:r>
          </w:hyperlink>
        </w:p>
        <w:p w14:paraId="188FFCAD" w14:textId="77777777" w:rsidR="00836529" w:rsidRDefault="00836529" w:rsidP="00836529">
          <w:pPr>
            <w:rPr>
              <w:noProof/>
            </w:rPr>
          </w:pPr>
          <w:r>
            <w:rPr>
              <w:b/>
              <w:bCs/>
              <w:noProof/>
            </w:rPr>
            <w:fldChar w:fldCharType="end"/>
          </w:r>
        </w:p>
      </w:sdtContent>
    </w:sdt>
    <w:p w14:paraId="3045717D" w14:textId="731F9343" w:rsidR="00836529" w:rsidRDefault="00836529">
      <w:pPr>
        <w:spacing w:before="0" w:after="0"/>
        <w:rPr>
          <w:rFonts w:eastAsiaTheme="minorEastAsia"/>
          <w:bCs/>
          <w:color w:val="000000"/>
          <w:sz w:val="36"/>
          <w:szCs w:val="28"/>
          <w:lang w:eastAsia="ja-JP"/>
        </w:rPr>
      </w:pPr>
      <w:r>
        <w:br w:type="page"/>
      </w:r>
    </w:p>
    <w:p w14:paraId="6618BCCB" w14:textId="7EBCE90C" w:rsidR="00A61FEB" w:rsidRDefault="00D608A4" w:rsidP="002768CE">
      <w:pPr>
        <w:pStyle w:val="Heading2"/>
      </w:pPr>
      <w:r w:rsidRPr="00991D1C">
        <w:lastRenderedPageBreak/>
        <w:t>Summary</w:t>
      </w:r>
      <w:bookmarkEnd w:id="1"/>
    </w:p>
    <w:p w14:paraId="6307DDEF" w14:textId="77777777" w:rsidR="00836529" w:rsidRPr="00836529" w:rsidRDefault="00B70FD4" w:rsidP="00EF5D14">
      <w:pPr>
        <w:rPr>
          <w:rStyle w:val="Strong"/>
        </w:rPr>
      </w:pPr>
      <w:r w:rsidRPr="00836529">
        <w:rPr>
          <w:rStyle w:val="Strong"/>
        </w:rPr>
        <w:t xml:space="preserve">AQUAPLAN is Australia’s national strategic plan for aquatic animal health. </w:t>
      </w:r>
    </w:p>
    <w:p w14:paraId="73B9927E" w14:textId="7B0D81C6" w:rsidR="00B70FD4" w:rsidRPr="006A0398" w:rsidRDefault="006A0398" w:rsidP="006A0398">
      <w:pPr>
        <w:rPr>
          <w:lang w:val="x-none" w:eastAsia="ja-JP"/>
        </w:rPr>
      </w:pPr>
      <w:r w:rsidRPr="006A0398">
        <w:rPr>
          <w:lang w:val="x-none" w:eastAsia="ja-JP"/>
        </w:rPr>
        <w:t>It sets out national priorities, collaboratively developed</w:t>
      </w:r>
      <w:r>
        <w:rPr>
          <w:lang w:val="x-none" w:eastAsia="ja-JP"/>
        </w:rPr>
        <w:t xml:space="preserve"> </w:t>
      </w:r>
      <w:r w:rsidRPr="006A0398">
        <w:rPr>
          <w:lang w:val="x-none" w:eastAsia="ja-JP"/>
        </w:rPr>
        <w:t>by industry and governments, for shared action</w:t>
      </w:r>
      <w:r>
        <w:rPr>
          <w:lang w:val="x-none" w:eastAsia="ja-JP"/>
        </w:rPr>
        <w:t xml:space="preserve"> </w:t>
      </w:r>
      <w:r w:rsidRPr="006A0398">
        <w:rPr>
          <w:lang w:val="x-none" w:eastAsia="ja-JP"/>
        </w:rPr>
        <w:t>to strengthen Australia’s aquatic animal health</w:t>
      </w:r>
      <w:r>
        <w:rPr>
          <w:lang w:val="x-none" w:eastAsia="ja-JP"/>
        </w:rPr>
        <w:t xml:space="preserve"> </w:t>
      </w:r>
      <w:r w:rsidRPr="006A0398">
        <w:rPr>
          <w:lang w:val="x-none" w:eastAsia="ja-JP"/>
        </w:rPr>
        <w:t>management system (system). This system is critical</w:t>
      </w:r>
      <w:r>
        <w:rPr>
          <w:lang w:val="x-none" w:eastAsia="ja-JP"/>
        </w:rPr>
        <w:t xml:space="preserve"> </w:t>
      </w:r>
      <w:r w:rsidRPr="006A0398">
        <w:rPr>
          <w:lang w:val="x-none" w:eastAsia="ja-JP"/>
        </w:rPr>
        <w:t>to improve the productivity and profitability of aquatic</w:t>
      </w:r>
      <w:r>
        <w:rPr>
          <w:lang w:val="x-none" w:eastAsia="ja-JP"/>
        </w:rPr>
        <w:t xml:space="preserve"> </w:t>
      </w:r>
      <w:r w:rsidRPr="006A0398">
        <w:rPr>
          <w:lang w:val="x-none" w:eastAsia="ja-JP"/>
        </w:rPr>
        <w:t>animal industries (including aquaculture, fisheries, and</w:t>
      </w:r>
      <w:r>
        <w:rPr>
          <w:lang w:val="x-none" w:eastAsia="ja-JP"/>
        </w:rPr>
        <w:t xml:space="preserve"> </w:t>
      </w:r>
      <w:r w:rsidRPr="006A0398">
        <w:rPr>
          <w:lang w:val="x-none" w:eastAsia="ja-JP"/>
        </w:rPr>
        <w:t>ornamental fish sectors) and to protect our unique</w:t>
      </w:r>
      <w:r>
        <w:rPr>
          <w:lang w:val="x-none" w:eastAsia="ja-JP"/>
        </w:rPr>
        <w:t xml:space="preserve"> </w:t>
      </w:r>
      <w:r w:rsidRPr="006A0398">
        <w:rPr>
          <w:lang w:val="x-none" w:eastAsia="ja-JP"/>
        </w:rPr>
        <w:t>aquatic environments from the threat of disease</w:t>
      </w:r>
      <w:r w:rsidR="00FF3E08">
        <w:rPr>
          <w:lang w:eastAsia="ja-JP"/>
        </w:rPr>
        <w:t xml:space="preserve">. </w:t>
      </w:r>
    </w:p>
    <w:p w14:paraId="22D23C08" w14:textId="77777777" w:rsidR="006A0398" w:rsidRDefault="00126691" w:rsidP="00EF5D14">
      <w:pPr>
        <w:rPr>
          <w:lang w:eastAsia="ja-JP"/>
        </w:rPr>
      </w:pPr>
      <w:r w:rsidRPr="00253D46">
        <w:rPr>
          <w:b/>
          <w:bCs/>
          <w:lang w:eastAsia="ja-JP"/>
        </w:rPr>
        <w:t xml:space="preserve">This project aimed to establish a baseline measure for how </w:t>
      </w:r>
      <w:r w:rsidR="00331B09" w:rsidRPr="00253D46">
        <w:rPr>
          <w:b/>
          <w:bCs/>
          <w:lang w:eastAsia="ja-JP"/>
        </w:rPr>
        <w:t>stakeholders</w:t>
      </w:r>
      <w:r w:rsidRPr="00253D46">
        <w:rPr>
          <w:b/>
          <w:bCs/>
          <w:lang w:eastAsia="ja-JP"/>
        </w:rPr>
        <w:t xml:space="preserve"> evaluate </w:t>
      </w:r>
      <w:r w:rsidR="00D6149B" w:rsidRPr="00253D46">
        <w:rPr>
          <w:b/>
          <w:bCs/>
          <w:lang w:eastAsia="ja-JP"/>
        </w:rPr>
        <w:t xml:space="preserve">progress towards achieving </w:t>
      </w:r>
      <w:r w:rsidRPr="00253D46">
        <w:rPr>
          <w:b/>
          <w:bCs/>
          <w:lang w:eastAsia="ja-JP"/>
        </w:rPr>
        <w:t>AQUAPLAN’s vision and objectives.</w:t>
      </w:r>
      <w:r>
        <w:rPr>
          <w:lang w:eastAsia="ja-JP"/>
        </w:rPr>
        <w:t xml:space="preserve"> </w:t>
      </w:r>
    </w:p>
    <w:p w14:paraId="46D077B1" w14:textId="105F201E" w:rsidR="00D5661E" w:rsidRDefault="006A0398" w:rsidP="006A0398">
      <w:pPr>
        <w:rPr>
          <w:lang w:eastAsia="ja-JP"/>
        </w:rPr>
      </w:pPr>
      <w:r>
        <w:rPr>
          <w:lang w:eastAsia="ja-JP"/>
        </w:rPr>
        <w:t>The objectives of AQUAPLAN 2022–2027 align with the key components of Australia’s aquatic animal health management system, and the vision aligns with the outcomes we expect from it. This survey can therefore be used to inform how stakeholders perceive the performance of the system and changes over time</w:t>
      </w:r>
      <w:r w:rsidR="00D6149B">
        <w:rPr>
          <w:lang w:eastAsia="ja-JP"/>
        </w:rPr>
        <w:t>.</w:t>
      </w:r>
    </w:p>
    <w:p w14:paraId="10ECC09C" w14:textId="6FEC804A" w:rsidR="00E3131E" w:rsidRDefault="006A0398" w:rsidP="006A0398">
      <w:pPr>
        <w:rPr>
          <w:lang w:eastAsia="ja-JP"/>
        </w:rPr>
      </w:pPr>
      <w:r>
        <w:rPr>
          <w:lang w:eastAsia="ja-JP"/>
        </w:rPr>
        <w:t>A survey was developed to evaluate stakeholder experience and perceptions of the aquatic animal health management system and related factors, such as risks and opportunities. 107 aquatic animal industry, government, research, and private sector respondents participated in a short survey between December 2022 and April 2023</w:t>
      </w:r>
      <w:r w:rsidR="00FD6FE8">
        <w:rPr>
          <w:lang w:eastAsia="ja-JP"/>
        </w:rPr>
        <w:t xml:space="preserve">. </w:t>
      </w:r>
    </w:p>
    <w:p w14:paraId="6F51CE28" w14:textId="78E51434" w:rsidR="00EF5D14" w:rsidRDefault="006A0398" w:rsidP="006A0398">
      <w:pPr>
        <w:rPr>
          <w:lang w:eastAsia="ja-JP"/>
        </w:rPr>
      </w:pPr>
      <w:r>
        <w:rPr>
          <w:lang w:eastAsia="ja-JP"/>
        </w:rPr>
        <w:t>This first survey was used to establish the baseline performance of the system. AQUAPLAN’s vision and objectives were each scored out of 100. This survey will be used as a baseline reference for future surveys to measure the impact of AQUAPLAN 2022–2027 and guide investment. The scores for each objective are provided in Figure 1 below.</w:t>
      </w:r>
    </w:p>
    <w:p w14:paraId="7BA17C61" w14:textId="3EB43C78" w:rsidR="000F06EC" w:rsidRPr="00253D46" w:rsidRDefault="000F06EC" w:rsidP="00253D46">
      <w:pPr>
        <w:spacing w:before="240"/>
        <w:rPr>
          <w:b/>
          <w:bCs/>
          <w:lang w:eastAsia="ja-JP"/>
        </w:rPr>
      </w:pPr>
      <w:r w:rsidRPr="00253D46">
        <w:rPr>
          <w:b/>
          <w:bCs/>
          <w:lang w:eastAsia="ja-JP"/>
        </w:rPr>
        <w:t xml:space="preserve">Figure 1. </w:t>
      </w:r>
      <w:r w:rsidR="00007A1E">
        <w:rPr>
          <w:b/>
          <w:bCs/>
          <w:lang w:eastAsia="ja-JP"/>
        </w:rPr>
        <w:t>Aquatic animal health system b</w:t>
      </w:r>
      <w:r w:rsidRPr="00253D46">
        <w:rPr>
          <w:b/>
          <w:bCs/>
          <w:lang w:eastAsia="ja-JP"/>
        </w:rPr>
        <w:t xml:space="preserve">aseline </w:t>
      </w:r>
      <w:r w:rsidR="00D05EAC">
        <w:rPr>
          <w:b/>
          <w:bCs/>
          <w:lang w:eastAsia="ja-JP"/>
        </w:rPr>
        <w:t>s</w:t>
      </w:r>
      <w:r w:rsidRPr="00253D46">
        <w:rPr>
          <w:b/>
          <w:bCs/>
          <w:lang w:eastAsia="ja-JP"/>
        </w:rPr>
        <w:t>cores 2023</w:t>
      </w:r>
    </w:p>
    <w:p w14:paraId="1C841EFD" w14:textId="47CD2EB8" w:rsidR="00EA5ACC" w:rsidRDefault="006A0398" w:rsidP="006A0398">
      <w:pPr>
        <w:spacing w:before="240"/>
        <w:ind w:left="-567"/>
        <w:jc w:val="right"/>
        <w:rPr>
          <w:lang w:eastAsia="ja-JP"/>
        </w:rPr>
      </w:pPr>
      <w:r w:rsidRPr="006A0398">
        <w:rPr>
          <w:noProof/>
        </w:rPr>
        <w:drawing>
          <wp:inline distT="0" distB="0" distL="0" distR="0" wp14:anchorId="25861B1E" wp14:editId="47F6C4FB">
            <wp:extent cx="5759450" cy="2929890"/>
            <wp:effectExtent l="0" t="0" r="0" b="3810"/>
            <wp:docPr id="2145390654" name="Picture 1" descr="Profitable industry, protected environments (Vision): system component mean score 70. Border biosecurity and trade (objective 1): system component mean score 61. Enterprise and regional biosecurity  (objective 2): system component mean score 78.  Surveillance (objective 3): system component mean score 60. Diagnostic capability (objective 4): system component mean score 71. Emergency preparedness (objective 5): system component mean score 64.     Veterinary medicines (objective 6): system component mean score 64. Research and innovation (objective 7): system component mean score 7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390654" name="Picture 1" descr="Profitable industry, protected environments (Vision): system component mean score 70. Border biosecurity and trade (objective 1): system component mean score 61. Enterprise and regional biosecurity  (objective 2): system component mean score 78.  Surveillance (objective 3): system component mean score 60. Diagnostic capability (objective 4): system component mean score 71. Emergency preparedness (objective 5): system component mean score 64.     Veterinary medicines (objective 6): system component mean score 64. Research and innovation (objective 7): system component mean score 72.  "/>
                    <pic:cNvPicPr/>
                  </pic:nvPicPr>
                  <pic:blipFill>
                    <a:blip r:embed="rId11"/>
                    <a:stretch>
                      <a:fillRect/>
                    </a:stretch>
                  </pic:blipFill>
                  <pic:spPr>
                    <a:xfrm>
                      <a:off x="0" y="0"/>
                      <a:ext cx="5759450" cy="2929890"/>
                    </a:xfrm>
                    <a:prstGeom prst="rect">
                      <a:avLst/>
                    </a:prstGeom>
                  </pic:spPr>
                </pic:pic>
              </a:graphicData>
            </a:graphic>
          </wp:inline>
        </w:drawing>
      </w:r>
    </w:p>
    <w:p w14:paraId="13A580B1" w14:textId="531291F8" w:rsidR="00EA5ACC" w:rsidRDefault="00EA5ACC" w:rsidP="00253D46">
      <w:pPr>
        <w:pStyle w:val="FigureTableNoteSource"/>
        <w:rPr>
          <w:lang w:eastAsia="ja-JP"/>
        </w:rPr>
      </w:pPr>
      <w:r w:rsidRPr="00DE73DE">
        <w:rPr>
          <w:i/>
          <w:iCs/>
          <w:lang w:eastAsia="ja-JP"/>
        </w:rPr>
        <w:t>Note</w:t>
      </w:r>
      <w:r>
        <w:rPr>
          <w:lang w:eastAsia="ja-JP"/>
        </w:rPr>
        <w:t xml:space="preserve">. </w:t>
      </w:r>
      <w:r w:rsidRPr="00E969B0">
        <w:rPr>
          <w:i/>
          <w:iCs/>
          <w:lang w:eastAsia="ja-JP"/>
        </w:rPr>
        <w:t>N</w:t>
      </w:r>
      <w:r>
        <w:rPr>
          <w:lang w:eastAsia="ja-JP"/>
        </w:rPr>
        <w:t xml:space="preserve"> = 107.</w:t>
      </w:r>
      <w:r w:rsidR="006A0398" w:rsidRPr="006A0398">
        <w:t xml:space="preserve"> </w:t>
      </w:r>
      <w:r w:rsidR="006A0398" w:rsidRPr="006A0398">
        <w:rPr>
          <w:lang w:eastAsia="ja-JP"/>
        </w:rPr>
        <w:t>System outcome and components shown with corresponding AQUAPLAN vision and objectives in brackets.</w:t>
      </w:r>
    </w:p>
    <w:p w14:paraId="1DCA8DC8" w14:textId="77777777" w:rsidR="00EA5ACC" w:rsidRDefault="00EA5ACC" w:rsidP="00817DFA"/>
    <w:p w14:paraId="34CCA132" w14:textId="77777777" w:rsidR="00EA5ACC" w:rsidRDefault="00EA5ACC" w:rsidP="00817DFA"/>
    <w:p w14:paraId="044D2B38" w14:textId="33F24C61" w:rsidR="00594FD3" w:rsidRDefault="00594FD3">
      <w:pPr>
        <w:spacing w:after="0"/>
      </w:pPr>
      <w:r>
        <w:br w:type="page"/>
      </w:r>
    </w:p>
    <w:p w14:paraId="19A1B4C3" w14:textId="77777777" w:rsidR="00882519" w:rsidRPr="00602EC7" w:rsidRDefault="00882519" w:rsidP="00602EC7">
      <w:pPr>
        <w:sectPr w:rsidR="00882519" w:rsidRPr="00602EC7" w:rsidSect="008C7D50">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567" w:footer="283" w:gutter="0"/>
          <w:pgNumType w:fmt="lowerRoman"/>
          <w:cols w:space="708"/>
          <w:titlePg/>
          <w:docGrid w:linePitch="360"/>
        </w:sectPr>
      </w:pPr>
    </w:p>
    <w:p w14:paraId="4171B56B" w14:textId="45A90F63" w:rsidR="006928C4" w:rsidRDefault="006928C4" w:rsidP="00115219">
      <w:pPr>
        <w:pStyle w:val="Heading2"/>
        <w:ind w:left="357" w:hanging="357"/>
      </w:pPr>
      <w:bookmarkStart w:id="2" w:name="_Toc168473255"/>
      <w:r>
        <w:lastRenderedPageBreak/>
        <w:t>Introduction</w:t>
      </w:r>
      <w:bookmarkEnd w:id="2"/>
    </w:p>
    <w:p w14:paraId="45035115" w14:textId="09F855FC" w:rsidR="00682C04" w:rsidRDefault="00682C04" w:rsidP="00682C04">
      <w:pPr>
        <w:pStyle w:val="Heading3"/>
      </w:pPr>
      <w:bookmarkStart w:id="3" w:name="_Toc168473256"/>
      <w:r>
        <w:t>AQUAPLAN</w:t>
      </w:r>
      <w:r w:rsidR="00994848">
        <w:t>, Australia’s national strategic plan for aquatic animal health</w:t>
      </w:r>
      <w:bookmarkEnd w:id="3"/>
    </w:p>
    <w:p w14:paraId="440FEEF8" w14:textId="4931674C" w:rsidR="008F452A" w:rsidRDefault="00115219" w:rsidP="00115219">
      <w:r>
        <w:t>For more than two decades, Australia’s aquatic animal industries (including aquaculture, fisheries, and ornamental fish sectors) and Commonwealth, state and territory governments have identified common priorities for investing in the national aquatic animal health management system through a series of national strategic plans, AQUAPLAN.</w:t>
      </w:r>
    </w:p>
    <w:p w14:paraId="178E7D68" w14:textId="47A227A0" w:rsidR="00AB04D7" w:rsidRDefault="00115219" w:rsidP="00115219">
      <w:r>
        <w:t>The objectives of AQUAPLAN closely mirror the components of Australia’s aquatic animal health (AAH) management system (Figure 2) meaning investment in AQUAPLAN has built much of the system that we know today.</w:t>
      </w:r>
    </w:p>
    <w:p w14:paraId="5EC63D70" w14:textId="5EE4CFD5" w:rsidR="000F06EC" w:rsidRPr="00253D46" w:rsidRDefault="000F06EC" w:rsidP="00253D46">
      <w:pPr>
        <w:spacing w:before="240"/>
        <w:rPr>
          <w:b/>
          <w:bCs/>
        </w:rPr>
      </w:pPr>
      <w:r w:rsidRPr="00253D46">
        <w:rPr>
          <w:b/>
          <w:bCs/>
        </w:rPr>
        <w:t>Figure 2. AQUAPLAN 2022</w:t>
      </w:r>
      <w:r w:rsidR="005539C6">
        <w:rPr>
          <w:b/>
          <w:bCs/>
        </w:rPr>
        <w:t>–</w:t>
      </w:r>
      <w:r w:rsidRPr="00253D46">
        <w:rPr>
          <w:b/>
          <w:bCs/>
        </w:rPr>
        <w:t xml:space="preserve">2027 </w:t>
      </w:r>
      <w:r w:rsidR="00B70FD4">
        <w:rPr>
          <w:b/>
          <w:bCs/>
        </w:rPr>
        <w:t>v</w:t>
      </w:r>
      <w:r w:rsidRPr="00253D46">
        <w:rPr>
          <w:b/>
          <w:bCs/>
        </w:rPr>
        <w:t xml:space="preserve">ision and </w:t>
      </w:r>
      <w:r w:rsidR="00B70FD4">
        <w:rPr>
          <w:b/>
          <w:bCs/>
        </w:rPr>
        <w:t>o</w:t>
      </w:r>
      <w:r w:rsidRPr="00253D46">
        <w:rPr>
          <w:b/>
          <w:bCs/>
        </w:rPr>
        <w:t xml:space="preserve">bjectives </w:t>
      </w:r>
    </w:p>
    <w:p w14:paraId="69614FFE" w14:textId="04A6D4E7" w:rsidR="000F06EC" w:rsidRDefault="00B70FD4" w:rsidP="000F06EC">
      <w:pPr>
        <w:jc w:val="center"/>
      </w:pPr>
      <w:r w:rsidRPr="00B70FD4">
        <w:rPr>
          <w:noProof/>
        </w:rPr>
        <w:t xml:space="preserve"> </w:t>
      </w:r>
      <w:r w:rsidRPr="00B70FD4">
        <w:rPr>
          <w:noProof/>
        </w:rPr>
        <w:drawing>
          <wp:inline distT="0" distB="0" distL="0" distR="0" wp14:anchorId="1F5069E1" wp14:editId="40ADD6B1">
            <wp:extent cx="5459111" cy="4905375"/>
            <wp:effectExtent l="0" t="0" r="8255" b="0"/>
            <wp:docPr id="1694446832" name="Picture 1" descr="A diagram of a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446832" name="Picture 1" descr="A diagram of a fish&#10;&#10;Description automatically generated"/>
                    <pic:cNvPicPr/>
                  </pic:nvPicPr>
                  <pic:blipFill>
                    <a:blip r:embed="rId18"/>
                    <a:stretch>
                      <a:fillRect/>
                    </a:stretch>
                  </pic:blipFill>
                  <pic:spPr>
                    <a:xfrm>
                      <a:off x="0" y="0"/>
                      <a:ext cx="5462741" cy="4908637"/>
                    </a:xfrm>
                    <a:prstGeom prst="rect">
                      <a:avLst/>
                    </a:prstGeom>
                  </pic:spPr>
                </pic:pic>
              </a:graphicData>
            </a:graphic>
          </wp:inline>
        </w:drawing>
      </w:r>
    </w:p>
    <w:p w14:paraId="1A550DA1" w14:textId="4656A49E" w:rsidR="003201B4" w:rsidRDefault="00115219" w:rsidP="00115219">
      <w:pPr>
        <w:spacing w:before="240"/>
      </w:pPr>
      <w:r>
        <w:t>Australia’s fourth national strategic plan for aquatic animal health, AQUAPLAN 2022–2027, includes objectives and actions to invest in all major areas of the national AAH management system, including border biosecurity and trade, enterprise and regional biosecurity, surveillance, diagnostic capability, emergency preparedness, veterinary medicines, and research and innovation (Figure 2). These objectives draw on industries’ priorities and trends for the next 5 to 10 years and aim to provide lasting benefit. Industry and government collaboration is the pathway to achieving each objective.</w:t>
      </w:r>
    </w:p>
    <w:p w14:paraId="5DD267B3" w14:textId="08DA178E" w:rsidR="00691750" w:rsidRDefault="00115219" w:rsidP="00115219">
      <w:r>
        <w:lastRenderedPageBreak/>
        <w:t>Implementation of AQUAPLAN 2022–2027 is guided by four pillars (refer to page 48 of AQUAPLAN 2022–2027), of which pillar 4 is realising and demonstrating benefit. Pillar 4 aims to evaluate how well AQUAPLAN is contributing to national aquatic animal health improvements, at the activity, objective, and overall plan levels. Evaluation of the plan and its activities is essential to guide implementation and identify ways to continuously improve. Evaluation will also help demonstrate the degree of return provided through investment in AQUAPLAN, which will inform ongoing investment decisions.</w:t>
      </w:r>
    </w:p>
    <w:p w14:paraId="4C877423" w14:textId="7A192459" w:rsidR="00682C04" w:rsidRDefault="00644A42" w:rsidP="00682C04">
      <w:pPr>
        <w:pStyle w:val="Heading3"/>
      </w:pPr>
      <w:bookmarkStart w:id="4" w:name="_Toc168473257"/>
      <w:r>
        <w:t>AQUAPLAN 2022</w:t>
      </w:r>
      <w:r w:rsidR="005539C6">
        <w:t>–</w:t>
      </w:r>
      <w:r>
        <w:t xml:space="preserve">2027 </w:t>
      </w:r>
      <w:r w:rsidR="00682C04">
        <w:t xml:space="preserve">Impact </w:t>
      </w:r>
      <w:r>
        <w:t>S</w:t>
      </w:r>
      <w:r w:rsidR="00682C04">
        <w:t>urvey</w:t>
      </w:r>
      <w:bookmarkEnd w:id="4"/>
    </w:p>
    <w:p w14:paraId="64492544" w14:textId="382F6B23" w:rsidR="00F87A0C" w:rsidRDefault="00115219" w:rsidP="00115219">
      <w:r w:rsidRPr="00115219">
        <w:t>This project aims to evaluate changes in the performance of Australia’s aquatic animal health management system over time and the impact of AQUAPLAN 2022–2027.</w:t>
      </w:r>
    </w:p>
    <w:p w14:paraId="1370A06B" w14:textId="294394F1" w:rsidR="00115219" w:rsidRPr="00115219" w:rsidRDefault="00115219" w:rsidP="00115219">
      <w:r>
        <w:t>A longitudinal survey was developed to evaluate changes in stakeholder experience and perceptions of the aquatic animal health management system and related factors, such as risks and opportunities.</w:t>
      </w:r>
    </w:p>
    <w:p w14:paraId="25041518" w14:textId="7211947A" w:rsidR="002F3BB3" w:rsidRDefault="0004721D" w:rsidP="0062458B">
      <w:r>
        <w:t>Four overarching questions were identified</w:t>
      </w:r>
      <w:r w:rsidR="000A2322">
        <w:t>:</w:t>
      </w:r>
    </w:p>
    <w:p w14:paraId="10A99D92" w14:textId="414E8A82" w:rsidR="00115219" w:rsidRDefault="00115219" w:rsidP="00115219">
      <w:pPr>
        <w:pStyle w:val="ListNumber"/>
      </w:pPr>
      <w:r>
        <w:t>How important is aquatic animal health in the context of overall business confidence?</w:t>
      </w:r>
    </w:p>
    <w:p w14:paraId="79BC6712" w14:textId="20C2D3DC" w:rsidR="00115219" w:rsidRDefault="00115219" w:rsidP="00115219">
      <w:pPr>
        <w:pStyle w:val="ListNumber"/>
      </w:pPr>
      <w:r>
        <w:t>What are the major opportunities and challenges for aquatic animal health in Australia in the next 5 to 10 years?</w:t>
      </w:r>
    </w:p>
    <w:p w14:paraId="3DB44626" w14:textId="4E9A962A" w:rsidR="00115219" w:rsidRDefault="00115219" w:rsidP="00115219">
      <w:pPr>
        <w:pStyle w:val="ListNumber"/>
      </w:pPr>
      <w:r>
        <w:t>How well are AQUAPLAN’s vision and objectives being fulfilled?</w:t>
      </w:r>
    </w:p>
    <w:p w14:paraId="0BFC981C" w14:textId="678EA856" w:rsidR="00115219" w:rsidRDefault="00115219" w:rsidP="00115219">
      <w:pPr>
        <w:pStyle w:val="ListNumber"/>
      </w:pPr>
      <w:r>
        <w:t>What are the communication and engagement needs and preferences of stakeholders?</w:t>
      </w:r>
    </w:p>
    <w:p w14:paraId="6F81EEFF" w14:textId="1B830221" w:rsidR="0004721D" w:rsidRPr="006928C4" w:rsidRDefault="0004721D" w:rsidP="00115219">
      <w:pPr>
        <w:pStyle w:val="Heading2"/>
      </w:pPr>
      <w:bookmarkStart w:id="5" w:name="_Toc168473258"/>
      <w:r w:rsidRPr="006928C4">
        <w:t>Method</w:t>
      </w:r>
      <w:bookmarkEnd w:id="5"/>
    </w:p>
    <w:p w14:paraId="3E1818BC" w14:textId="5818739E" w:rsidR="0004721D" w:rsidRDefault="005F3F99" w:rsidP="00883B72">
      <w:pPr>
        <w:pStyle w:val="Heading3"/>
      </w:pPr>
      <w:bookmarkStart w:id="6" w:name="_Toc168473259"/>
      <w:r>
        <w:t>Ethics</w:t>
      </w:r>
      <w:bookmarkEnd w:id="6"/>
    </w:p>
    <w:p w14:paraId="627DB7BB" w14:textId="19122DFF" w:rsidR="00AB5C00" w:rsidRDefault="003C0B2C" w:rsidP="003C0B2C">
      <w:pPr>
        <w:rPr>
          <w:lang w:eastAsia="ja-JP"/>
        </w:rPr>
      </w:pPr>
      <w:r>
        <w:rPr>
          <w:lang w:eastAsia="ja-JP"/>
        </w:rPr>
        <w:t xml:space="preserve">No formal institutional ethical approval was required. However, the survey was designed to be consistent with the National Health and Medical Research Council’s </w:t>
      </w:r>
      <w:r w:rsidRPr="003C0B2C">
        <w:rPr>
          <w:rStyle w:val="Emphasis"/>
          <w:lang w:eastAsia="ja-JP"/>
        </w:rPr>
        <w:t>National Statement on Ethical</w:t>
      </w:r>
      <w:r w:rsidRPr="003C0B2C">
        <w:rPr>
          <w:rStyle w:val="Emphasis"/>
        </w:rPr>
        <w:t xml:space="preserve"> </w:t>
      </w:r>
      <w:r w:rsidRPr="003C0B2C">
        <w:rPr>
          <w:rStyle w:val="Emphasis"/>
          <w:lang w:eastAsia="ja-JP"/>
        </w:rPr>
        <w:t>Conduct in Human Research</w:t>
      </w:r>
      <w:r>
        <w:rPr>
          <w:lang w:eastAsia="ja-JP"/>
        </w:rPr>
        <w:t xml:space="preserve"> (2007).</w:t>
      </w:r>
    </w:p>
    <w:p w14:paraId="717783EA" w14:textId="0E5525BE" w:rsidR="005F3F99" w:rsidRPr="005F3F99" w:rsidRDefault="005F3F99" w:rsidP="005F3F99">
      <w:pPr>
        <w:pStyle w:val="Heading3"/>
      </w:pPr>
      <w:bookmarkStart w:id="7" w:name="_Toc168473260"/>
      <w:r>
        <w:t>Participants</w:t>
      </w:r>
      <w:bookmarkEnd w:id="7"/>
    </w:p>
    <w:p w14:paraId="1E0CAA00" w14:textId="632CDB64" w:rsidR="004A6208" w:rsidRDefault="003C0B2C" w:rsidP="003C0B2C">
      <w:pPr>
        <w:rPr>
          <w:lang w:eastAsia="ja-JP"/>
        </w:rPr>
      </w:pPr>
      <w:r>
        <w:rPr>
          <w:lang w:eastAsia="ja-JP"/>
        </w:rPr>
        <w:t>Participants were invited to participate in the survey either directly through email or by snowball sampling through relevant aquatic animal industry peak bodies. The survey was also promoted through the Fisheries Research and Development Corporation’s communication channels. The survey was open from December 2022 to April 2023.</w:t>
      </w:r>
    </w:p>
    <w:p w14:paraId="6EDA88C2" w14:textId="77777777" w:rsidR="003C0B2C" w:rsidRDefault="004A6208" w:rsidP="00F202C8">
      <w:pPr>
        <w:rPr>
          <w:lang w:eastAsia="ja-JP"/>
        </w:rPr>
      </w:pPr>
      <w:r>
        <w:rPr>
          <w:lang w:eastAsia="ja-JP"/>
        </w:rPr>
        <w:t>Participants completed an online questionnaire through Survey Monkey, which took on average 15 minutes to complete.</w:t>
      </w:r>
      <w:r w:rsidR="0029416D">
        <w:rPr>
          <w:lang w:eastAsia="ja-JP"/>
        </w:rPr>
        <w:t xml:space="preserve"> </w:t>
      </w:r>
    </w:p>
    <w:p w14:paraId="6FA8B100" w14:textId="75DCDA23" w:rsidR="00D844D0" w:rsidRPr="003C0B2C" w:rsidRDefault="003C0B2C" w:rsidP="003C0B2C">
      <w:pPr>
        <w:rPr>
          <w:b/>
          <w:bCs/>
          <w:lang w:eastAsia="ja-JP"/>
        </w:rPr>
      </w:pPr>
      <w:r w:rsidRPr="003C0B2C">
        <w:rPr>
          <w:b/>
          <w:bCs/>
          <w:lang w:eastAsia="ja-JP"/>
        </w:rPr>
        <w:t>107 Australian aquatic animal industry,</w:t>
      </w:r>
      <w:r>
        <w:rPr>
          <w:b/>
          <w:bCs/>
          <w:lang w:eastAsia="ja-JP"/>
        </w:rPr>
        <w:t xml:space="preserve"> </w:t>
      </w:r>
      <w:r w:rsidRPr="003C0B2C">
        <w:rPr>
          <w:b/>
          <w:bCs/>
          <w:lang w:eastAsia="ja-JP"/>
        </w:rPr>
        <w:t>Commonwealth, state and territory government</w:t>
      </w:r>
      <w:r>
        <w:rPr>
          <w:b/>
          <w:bCs/>
          <w:lang w:eastAsia="ja-JP"/>
        </w:rPr>
        <w:t xml:space="preserve"> </w:t>
      </w:r>
      <w:r w:rsidRPr="003C0B2C">
        <w:rPr>
          <w:b/>
          <w:bCs/>
          <w:lang w:eastAsia="ja-JP"/>
        </w:rPr>
        <w:t>staff and aquatic animal health service providers</w:t>
      </w:r>
      <w:r>
        <w:rPr>
          <w:b/>
          <w:bCs/>
          <w:lang w:eastAsia="ja-JP"/>
        </w:rPr>
        <w:t xml:space="preserve"> </w:t>
      </w:r>
      <w:r w:rsidRPr="003C0B2C">
        <w:rPr>
          <w:b/>
          <w:bCs/>
          <w:lang w:eastAsia="ja-JP"/>
        </w:rPr>
        <w:t>and researchers responded (Table 1).</w:t>
      </w:r>
    </w:p>
    <w:p w14:paraId="4D1A0E60" w14:textId="77777777" w:rsidR="000A2322" w:rsidRDefault="000A2322" w:rsidP="00F202C8">
      <w:pPr>
        <w:rPr>
          <w:lang w:eastAsia="ja-JP"/>
        </w:rPr>
      </w:pPr>
    </w:p>
    <w:p w14:paraId="75305999" w14:textId="2629B4E2" w:rsidR="00F202C8" w:rsidRDefault="00391920" w:rsidP="00253D46">
      <w:pPr>
        <w:pStyle w:val="Caption"/>
        <w:keepLines/>
      </w:pPr>
      <w:r>
        <w:rPr>
          <w:lang w:eastAsia="ja-JP"/>
        </w:rPr>
        <w:lastRenderedPageBreak/>
        <w:t xml:space="preserve"> </w:t>
      </w:r>
      <w:r w:rsidR="00A02170">
        <w:t xml:space="preserve">Table </w:t>
      </w:r>
      <w:r w:rsidR="005A4DF9">
        <w:fldChar w:fldCharType="begin"/>
      </w:r>
      <w:r w:rsidR="005A4DF9">
        <w:instrText xml:space="preserve"> SEQ Table \* ARABIC </w:instrText>
      </w:r>
      <w:r w:rsidR="005A4DF9">
        <w:fldChar w:fldCharType="separate"/>
      </w:r>
      <w:r w:rsidR="00880FB8">
        <w:rPr>
          <w:noProof/>
        </w:rPr>
        <w:t>1</w:t>
      </w:r>
      <w:r w:rsidR="005A4DF9">
        <w:rPr>
          <w:noProof/>
        </w:rPr>
        <w:fldChar w:fldCharType="end"/>
      </w:r>
      <w:r w:rsidR="00A02170">
        <w:t xml:space="preserve"> Participants breakdown by sector</w:t>
      </w:r>
    </w:p>
    <w:tbl>
      <w:tblPr>
        <w:tblStyle w:val="TableGrid"/>
        <w:tblW w:w="0" w:type="auto"/>
        <w:tblLook w:val="04A0" w:firstRow="1" w:lastRow="0" w:firstColumn="1" w:lastColumn="0" w:noHBand="0" w:noVBand="1"/>
      </w:tblPr>
      <w:tblGrid>
        <w:gridCol w:w="3386"/>
        <w:gridCol w:w="1434"/>
        <w:gridCol w:w="2126"/>
      </w:tblGrid>
      <w:tr w:rsidR="000A2322" w14:paraId="7F3C1921" w14:textId="4E7BCBAA" w:rsidTr="000A2322">
        <w:tc>
          <w:tcPr>
            <w:tcW w:w="3386" w:type="dxa"/>
            <w:tcBorders>
              <w:top w:val="nil"/>
              <w:left w:val="nil"/>
              <w:bottom w:val="single" w:sz="4" w:space="0" w:color="auto"/>
              <w:right w:val="nil"/>
            </w:tcBorders>
          </w:tcPr>
          <w:p w14:paraId="19808FCA" w14:textId="21BA660A" w:rsidR="000A2322" w:rsidRDefault="000A2322" w:rsidP="00253D46">
            <w:pPr>
              <w:pStyle w:val="TableHeading"/>
              <w:keepLines/>
            </w:pPr>
            <w:r>
              <w:t>Sector</w:t>
            </w:r>
          </w:p>
        </w:tc>
        <w:tc>
          <w:tcPr>
            <w:tcW w:w="1434" w:type="dxa"/>
            <w:tcBorders>
              <w:top w:val="nil"/>
              <w:left w:val="nil"/>
              <w:bottom w:val="single" w:sz="4" w:space="0" w:color="auto"/>
              <w:right w:val="nil"/>
            </w:tcBorders>
          </w:tcPr>
          <w:p w14:paraId="2A8E99E8" w14:textId="379FA50D" w:rsidR="000A2322" w:rsidRPr="005539C6" w:rsidRDefault="000A2322" w:rsidP="00253D46">
            <w:pPr>
              <w:pStyle w:val="TableHeading"/>
              <w:keepLines/>
              <w:jc w:val="center"/>
              <w:rPr>
                <w:i/>
                <w:iCs/>
              </w:rPr>
            </w:pPr>
            <w:r w:rsidRPr="005539C6">
              <w:rPr>
                <w:i/>
                <w:iCs/>
              </w:rPr>
              <w:t>N</w:t>
            </w:r>
          </w:p>
        </w:tc>
        <w:tc>
          <w:tcPr>
            <w:tcW w:w="2126" w:type="dxa"/>
            <w:tcBorders>
              <w:top w:val="nil"/>
              <w:left w:val="nil"/>
              <w:bottom w:val="single" w:sz="4" w:space="0" w:color="auto"/>
              <w:right w:val="nil"/>
            </w:tcBorders>
          </w:tcPr>
          <w:p w14:paraId="3508EB2C" w14:textId="7EF6DC19" w:rsidR="000A2322" w:rsidRDefault="000A2322" w:rsidP="00253D46">
            <w:pPr>
              <w:pStyle w:val="TableHeading"/>
              <w:keepLines/>
            </w:pPr>
            <w:r>
              <w:t>Percentage (%)</w:t>
            </w:r>
          </w:p>
        </w:tc>
      </w:tr>
      <w:tr w:rsidR="000A2322" w14:paraId="67F06B7D" w14:textId="2198A793" w:rsidTr="000A2322">
        <w:tc>
          <w:tcPr>
            <w:tcW w:w="3386" w:type="dxa"/>
            <w:tcBorders>
              <w:top w:val="single" w:sz="4" w:space="0" w:color="auto"/>
              <w:left w:val="nil"/>
              <w:bottom w:val="nil"/>
              <w:right w:val="nil"/>
            </w:tcBorders>
          </w:tcPr>
          <w:p w14:paraId="3F9CF68F" w14:textId="680D449C" w:rsidR="000A2322" w:rsidRDefault="000A2322" w:rsidP="00253D46">
            <w:pPr>
              <w:pStyle w:val="TableText"/>
              <w:keepNext/>
              <w:keepLines/>
            </w:pPr>
            <w:r>
              <w:t xml:space="preserve">Aquaculture industry </w:t>
            </w:r>
            <w:r w:rsidRPr="00DB6480">
              <w:rPr>
                <w:vertAlign w:val="superscript"/>
              </w:rPr>
              <w:t>a</w:t>
            </w:r>
          </w:p>
        </w:tc>
        <w:tc>
          <w:tcPr>
            <w:tcW w:w="1434" w:type="dxa"/>
            <w:tcBorders>
              <w:top w:val="single" w:sz="4" w:space="0" w:color="auto"/>
              <w:left w:val="nil"/>
              <w:bottom w:val="nil"/>
              <w:right w:val="nil"/>
            </w:tcBorders>
          </w:tcPr>
          <w:p w14:paraId="62E59324" w14:textId="2DEA0445" w:rsidR="000A2322" w:rsidRDefault="000A2322" w:rsidP="00253D46">
            <w:pPr>
              <w:pStyle w:val="TableText"/>
              <w:keepNext/>
              <w:keepLines/>
              <w:jc w:val="center"/>
            </w:pPr>
            <w:r>
              <w:t>29</w:t>
            </w:r>
          </w:p>
        </w:tc>
        <w:tc>
          <w:tcPr>
            <w:tcW w:w="2126" w:type="dxa"/>
            <w:tcBorders>
              <w:top w:val="single" w:sz="4" w:space="0" w:color="auto"/>
              <w:left w:val="nil"/>
              <w:bottom w:val="nil"/>
              <w:right w:val="nil"/>
            </w:tcBorders>
          </w:tcPr>
          <w:p w14:paraId="5ED60A9D" w14:textId="5F669C26" w:rsidR="000A2322" w:rsidRDefault="000A2322" w:rsidP="00253D46">
            <w:pPr>
              <w:pStyle w:val="TableText"/>
              <w:keepNext/>
              <w:keepLines/>
            </w:pPr>
            <w:r>
              <w:t>27.10</w:t>
            </w:r>
          </w:p>
        </w:tc>
      </w:tr>
      <w:tr w:rsidR="000A2322" w14:paraId="25446B82" w14:textId="4EF81318" w:rsidTr="000A2322">
        <w:tc>
          <w:tcPr>
            <w:tcW w:w="3386" w:type="dxa"/>
            <w:tcBorders>
              <w:top w:val="nil"/>
              <w:left w:val="nil"/>
              <w:bottom w:val="nil"/>
              <w:right w:val="nil"/>
            </w:tcBorders>
          </w:tcPr>
          <w:p w14:paraId="0D588470" w14:textId="408E2BDD" w:rsidR="000A2322" w:rsidRDefault="000A2322" w:rsidP="00253D46">
            <w:pPr>
              <w:pStyle w:val="TableText"/>
              <w:keepNext/>
              <w:keepLines/>
            </w:pPr>
            <w:r>
              <w:t xml:space="preserve">Government </w:t>
            </w:r>
            <w:r>
              <w:rPr>
                <w:vertAlign w:val="superscript"/>
              </w:rPr>
              <w:t>b</w:t>
            </w:r>
          </w:p>
        </w:tc>
        <w:tc>
          <w:tcPr>
            <w:tcW w:w="1434" w:type="dxa"/>
            <w:tcBorders>
              <w:top w:val="nil"/>
              <w:left w:val="nil"/>
              <w:bottom w:val="nil"/>
              <w:right w:val="nil"/>
            </w:tcBorders>
          </w:tcPr>
          <w:p w14:paraId="7A4711F3" w14:textId="05B29C84" w:rsidR="000A2322" w:rsidRDefault="000A2322" w:rsidP="00253D46">
            <w:pPr>
              <w:pStyle w:val="TableText"/>
              <w:keepNext/>
              <w:keepLines/>
              <w:jc w:val="center"/>
            </w:pPr>
            <w:r>
              <w:t>50</w:t>
            </w:r>
          </w:p>
        </w:tc>
        <w:tc>
          <w:tcPr>
            <w:tcW w:w="2126" w:type="dxa"/>
            <w:tcBorders>
              <w:top w:val="nil"/>
              <w:left w:val="nil"/>
              <w:bottom w:val="nil"/>
              <w:right w:val="nil"/>
            </w:tcBorders>
          </w:tcPr>
          <w:p w14:paraId="4FBEB56A" w14:textId="7E813B63" w:rsidR="000A2322" w:rsidRDefault="000A2322" w:rsidP="00253D46">
            <w:pPr>
              <w:pStyle w:val="TableText"/>
              <w:keepNext/>
              <w:keepLines/>
            </w:pPr>
            <w:r>
              <w:t>46.73</w:t>
            </w:r>
          </w:p>
        </w:tc>
      </w:tr>
      <w:tr w:rsidR="000A2322" w14:paraId="0767080D" w14:textId="36C3FE61" w:rsidTr="000A2322">
        <w:tc>
          <w:tcPr>
            <w:tcW w:w="3386" w:type="dxa"/>
            <w:tcBorders>
              <w:top w:val="nil"/>
              <w:left w:val="nil"/>
              <w:bottom w:val="single" w:sz="4" w:space="0" w:color="auto"/>
              <w:right w:val="nil"/>
            </w:tcBorders>
          </w:tcPr>
          <w:p w14:paraId="4CDD2CA6" w14:textId="09E1E20E" w:rsidR="000A2322" w:rsidRDefault="000A2322" w:rsidP="00253D46">
            <w:pPr>
              <w:pStyle w:val="TableText"/>
              <w:keepNext/>
              <w:keepLines/>
            </w:pPr>
            <w:r>
              <w:t xml:space="preserve">Service providers &amp; researchers </w:t>
            </w:r>
            <w:r>
              <w:rPr>
                <w:vertAlign w:val="superscript"/>
              </w:rPr>
              <w:t>c</w:t>
            </w:r>
          </w:p>
        </w:tc>
        <w:tc>
          <w:tcPr>
            <w:tcW w:w="1434" w:type="dxa"/>
            <w:tcBorders>
              <w:top w:val="nil"/>
              <w:left w:val="nil"/>
              <w:bottom w:val="single" w:sz="4" w:space="0" w:color="auto"/>
              <w:right w:val="nil"/>
            </w:tcBorders>
          </w:tcPr>
          <w:p w14:paraId="785C301F" w14:textId="302B3870" w:rsidR="000A2322" w:rsidRDefault="000A2322" w:rsidP="00253D46">
            <w:pPr>
              <w:pStyle w:val="TableText"/>
              <w:keepNext/>
              <w:keepLines/>
              <w:jc w:val="center"/>
            </w:pPr>
            <w:r>
              <w:t>28</w:t>
            </w:r>
          </w:p>
        </w:tc>
        <w:tc>
          <w:tcPr>
            <w:tcW w:w="2126" w:type="dxa"/>
            <w:tcBorders>
              <w:top w:val="nil"/>
              <w:left w:val="nil"/>
              <w:bottom w:val="single" w:sz="4" w:space="0" w:color="auto"/>
              <w:right w:val="nil"/>
            </w:tcBorders>
          </w:tcPr>
          <w:p w14:paraId="2F8CC5F1" w14:textId="3ED04026" w:rsidR="000A2322" w:rsidRDefault="000A2322" w:rsidP="00253D46">
            <w:pPr>
              <w:pStyle w:val="TableText"/>
              <w:keepNext/>
              <w:keepLines/>
            </w:pPr>
            <w:r>
              <w:t>26.17</w:t>
            </w:r>
          </w:p>
        </w:tc>
      </w:tr>
    </w:tbl>
    <w:p w14:paraId="69B87DC8" w14:textId="0C68649C" w:rsidR="000A2322" w:rsidRPr="000A2322" w:rsidRDefault="000A2322" w:rsidP="000A2322">
      <w:pPr>
        <w:rPr>
          <w:sz w:val="24"/>
          <w:szCs w:val="24"/>
          <w:vertAlign w:val="superscript"/>
        </w:rPr>
      </w:pPr>
      <w:r w:rsidRPr="000A2322">
        <w:rPr>
          <w:b/>
          <w:sz w:val="24"/>
          <w:szCs w:val="24"/>
          <w:vertAlign w:val="superscript"/>
        </w:rPr>
        <w:t>Note:</w:t>
      </w:r>
      <w:r w:rsidRPr="000A2322">
        <w:rPr>
          <w:sz w:val="24"/>
          <w:szCs w:val="24"/>
          <w:vertAlign w:val="superscript"/>
        </w:rPr>
        <w:t xml:space="preserve"> Further breakdown of participants is unavailable to protect anonymity. </w:t>
      </w:r>
      <w:r w:rsidRPr="00253D46">
        <w:rPr>
          <w:b/>
          <w:bCs/>
          <w:sz w:val="24"/>
          <w:szCs w:val="24"/>
          <w:vertAlign w:val="superscript"/>
        </w:rPr>
        <w:t>a</w:t>
      </w:r>
      <w:r w:rsidRPr="000A2322">
        <w:rPr>
          <w:sz w:val="24"/>
          <w:szCs w:val="24"/>
          <w:vertAlign w:val="superscript"/>
        </w:rPr>
        <w:t xml:space="preserve"> Fisheries sectors were invited, but only one response was received which has been included within the aquaculture analysis</w:t>
      </w:r>
      <w:r w:rsidR="00994848">
        <w:rPr>
          <w:sz w:val="24"/>
          <w:szCs w:val="24"/>
          <w:vertAlign w:val="superscript"/>
        </w:rPr>
        <w:t>.</w:t>
      </w:r>
      <w:r w:rsidRPr="000A2322">
        <w:rPr>
          <w:sz w:val="24"/>
          <w:szCs w:val="24"/>
          <w:vertAlign w:val="superscript"/>
        </w:rPr>
        <w:t xml:space="preserve"> </w:t>
      </w:r>
      <w:r w:rsidRPr="00253D46">
        <w:rPr>
          <w:b/>
          <w:bCs/>
          <w:sz w:val="24"/>
          <w:szCs w:val="24"/>
          <w:vertAlign w:val="superscript"/>
        </w:rPr>
        <w:t>b</w:t>
      </w:r>
      <w:r w:rsidRPr="000A2322">
        <w:rPr>
          <w:b/>
          <w:sz w:val="24"/>
          <w:szCs w:val="24"/>
          <w:vertAlign w:val="superscript"/>
        </w:rPr>
        <w:t> </w:t>
      </w:r>
      <w:r w:rsidRPr="000A2322">
        <w:rPr>
          <w:sz w:val="24"/>
          <w:szCs w:val="24"/>
          <w:vertAlign w:val="superscript"/>
        </w:rPr>
        <w:t xml:space="preserve">Government includes government research, laboratory, and diagnostic services. </w:t>
      </w:r>
      <w:r w:rsidRPr="00253D46">
        <w:rPr>
          <w:b/>
          <w:bCs/>
          <w:sz w:val="24"/>
          <w:szCs w:val="24"/>
          <w:vertAlign w:val="superscript"/>
        </w:rPr>
        <w:t>c</w:t>
      </w:r>
      <w:r w:rsidRPr="000A2322">
        <w:rPr>
          <w:b/>
          <w:sz w:val="24"/>
          <w:szCs w:val="24"/>
          <w:vertAlign w:val="superscript"/>
        </w:rPr>
        <w:t> </w:t>
      </w:r>
      <w:r w:rsidRPr="000A2322">
        <w:rPr>
          <w:sz w:val="24"/>
          <w:szCs w:val="24"/>
          <w:vertAlign w:val="superscript"/>
        </w:rPr>
        <w:t>Service providers &amp; researchers includes research institutions and the private sector service industry such as consultants, veterinarians, and private laboratories.</w:t>
      </w:r>
    </w:p>
    <w:p w14:paraId="33BCF10F" w14:textId="267B7807" w:rsidR="00883B72" w:rsidRDefault="00883B72" w:rsidP="00883B72">
      <w:pPr>
        <w:pStyle w:val="Heading3"/>
      </w:pPr>
      <w:bookmarkStart w:id="8" w:name="_Toc168473261"/>
      <w:r>
        <w:t>Measures</w:t>
      </w:r>
      <w:bookmarkEnd w:id="8"/>
    </w:p>
    <w:p w14:paraId="77E08885" w14:textId="77777777" w:rsidR="003C0B2C" w:rsidRDefault="00726D8A" w:rsidP="00743AE9">
      <w:pPr>
        <w:rPr>
          <w:lang w:eastAsia="ja-JP"/>
        </w:rPr>
      </w:pPr>
      <w:r>
        <w:rPr>
          <w:lang w:eastAsia="ja-JP"/>
        </w:rPr>
        <w:t xml:space="preserve">A bespoke questionnaire </w:t>
      </w:r>
      <w:r w:rsidR="00B20CED">
        <w:rPr>
          <w:lang w:eastAsia="ja-JP"/>
        </w:rPr>
        <w:t>w</w:t>
      </w:r>
      <w:r>
        <w:rPr>
          <w:lang w:eastAsia="ja-JP"/>
        </w:rPr>
        <w:t xml:space="preserve">as developed </w:t>
      </w:r>
      <w:r w:rsidR="004F5798">
        <w:rPr>
          <w:lang w:eastAsia="ja-JP"/>
        </w:rPr>
        <w:t>to answer the</w:t>
      </w:r>
      <w:r w:rsidR="00977339">
        <w:rPr>
          <w:lang w:eastAsia="ja-JP"/>
        </w:rPr>
        <w:t xml:space="preserve"> four</w:t>
      </w:r>
      <w:r w:rsidR="004F5798">
        <w:rPr>
          <w:lang w:eastAsia="ja-JP"/>
        </w:rPr>
        <w:t xml:space="preserve"> research questions</w:t>
      </w:r>
      <w:r w:rsidR="00AF6759">
        <w:rPr>
          <w:lang w:eastAsia="ja-JP"/>
        </w:rPr>
        <w:t xml:space="preserve">. </w:t>
      </w:r>
    </w:p>
    <w:p w14:paraId="36574FE5" w14:textId="77777777" w:rsidR="003C0B2C" w:rsidRDefault="00AF6759" w:rsidP="00743AE9">
      <w:pPr>
        <w:rPr>
          <w:lang w:eastAsia="ja-JP"/>
        </w:rPr>
      </w:pPr>
      <w:r w:rsidRPr="0029416D">
        <w:rPr>
          <w:b/>
          <w:bCs/>
          <w:lang w:eastAsia="ja-JP"/>
        </w:rPr>
        <w:t xml:space="preserve">The </w:t>
      </w:r>
      <w:r w:rsidR="00743AE9" w:rsidRPr="0029416D">
        <w:rPr>
          <w:b/>
          <w:bCs/>
          <w:lang w:eastAsia="ja-JP"/>
        </w:rPr>
        <w:t xml:space="preserve">survey questions were designed to measure </w:t>
      </w:r>
      <w:r w:rsidR="00F67132">
        <w:rPr>
          <w:b/>
          <w:bCs/>
          <w:lang w:eastAsia="ja-JP"/>
        </w:rPr>
        <w:t>stakeholder perceptions</w:t>
      </w:r>
      <w:r w:rsidR="00F67132" w:rsidRPr="0029416D">
        <w:rPr>
          <w:b/>
          <w:bCs/>
          <w:lang w:eastAsia="ja-JP"/>
        </w:rPr>
        <w:t xml:space="preserve"> </w:t>
      </w:r>
      <w:r w:rsidR="004F5798" w:rsidRPr="0029416D">
        <w:rPr>
          <w:b/>
          <w:bCs/>
          <w:lang w:eastAsia="ja-JP"/>
        </w:rPr>
        <w:t>of</w:t>
      </w:r>
      <w:r w:rsidR="00A4720A">
        <w:rPr>
          <w:b/>
          <w:bCs/>
          <w:lang w:eastAsia="ja-JP"/>
        </w:rPr>
        <w:t xml:space="preserve"> key components of</w:t>
      </w:r>
      <w:r w:rsidR="004F5798" w:rsidRPr="0029416D">
        <w:rPr>
          <w:b/>
          <w:bCs/>
          <w:lang w:eastAsia="ja-JP"/>
        </w:rPr>
        <w:t xml:space="preserve"> </w:t>
      </w:r>
      <w:r w:rsidR="00D84EF7" w:rsidRPr="0029416D">
        <w:rPr>
          <w:b/>
          <w:bCs/>
          <w:lang w:eastAsia="ja-JP"/>
        </w:rPr>
        <w:t xml:space="preserve">Australia’s </w:t>
      </w:r>
      <w:r w:rsidR="004F5798" w:rsidRPr="0029416D">
        <w:rPr>
          <w:b/>
          <w:bCs/>
          <w:lang w:eastAsia="ja-JP"/>
        </w:rPr>
        <w:t>aquatic animal health management system</w:t>
      </w:r>
      <w:r w:rsidR="00A4720A">
        <w:rPr>
          <w:b/>
          <w:bCs/>
          <w:lang w:eastAsia="ja-JP"/>
        </w:rPr>
        <w:t>, mirroring the AQUAPLAN 2022</w:t>
      </w:r>
      <w:r w:rsidR="005539C6">
        <w:rPr>
          <w:b/>
          <w:bCs/>
          <w:lang w:eastAsia="ja-JP"/>
        </w:rPr>
        <w:t>–</w:t>
      </w:r>
      <w:r w:rsidR="00A4720A">
        <w:rPr>
          <w:b/>
          <w:bCs/>
          <w:lang w:eastAsia="ja-JP"/>
        </w:rPr>
        <w:t>2027 objectives</w:t>
      </w:r>
      <w:r w:rsidR="004F5798" w:rsidRPr="0029416D">
        <w:rPr>
          <w:b/>
          <w:bCs/>
          <w:lang w:eastAsia="ja-JP"/>
        </w:rPr>
        <w:t>.</w:t>
      </w:r>
      <w:r w:rsidR="004F5798">
        <w:rPr>
          <w:lang w:eastAsia="ja-JP"/>
        </w:rPr>
        <w:t xml:space="preserve"> </w:t>
      </w:r>
    </w:p>
    <w:p w14:paraId="206B2027" w14:textId="7BE25EAF" w:rsidR="00743AE9" w:rsidRDefault="00743AE9" w:rsidP="00743AE9">
      <w:pPr>
        <w:rPr>
          <w:lang w:eastAsia="ja-JP"/>
        </w:rPr>
      </w:pPr>
      <w:r>
        <w:rPr>
          <w:lang w:eastAsia="ja-JP"/>
        </w:rPr>
        <w:t>To do this, several questions were asked per</w:t>
      </w:r>
      <w:r w:rsidR="00A4720A">
        <w:rPr>
          <w:lang w:eastAsia="ja-JP"/>
        </w:rPr>
        <w:t xml:space="preserve"> system </w:t>
      </w:r>
      <w:r w:rsidR="00B629A3">
        <w:rPr>
          <w:lang w:eastAsia="ja-JP"/>
        </w:rPr>
        <w:t>component/</w:t>
      </w:r>
      <w:r>
        <w:rPr>
          <w:lang w:eastAsia="ja-JP"/>
        </w:rPr>
        <w:t xml:space="preserve">AQUAPLAN objective. Composite scores were then created for each </w:t>
      </w:r>
      <w:r w:rsidR="00B629A3">
        <w:rPr>
          <w:lang w:eastAsia="ja-JP"/>
        </w:rPr>
        <w:t>system component</w:t>
      </w:r>
      <w:r>
        <w:rPr>
          <w:lang w:eastAsia="ja-JP"/>
        </w:rPr>
        <w:t xml:space="preserve"> to provide an overall score out of 100. Additional questions were developed to understand participants’ communication preferences and views about biosecurity, aquatic animal health, and prospects for the future. </w:t>
      </w:r>
    </w:p>
    <w:p w14:paraId="2B6C1FF3" w14:textId="48291CB3" w:rsidR="00883B72" w:rsidRDefault="004F5798" w:rsidP="00883B72">
      <w:pPr>
        <w:rPr>
          <w:lang w:eastAsia="ja-JP"/>
        </w:rPr>
      </w:pPr>
      <w:r>
        <w:rPr>
          <w:lang w:eastAsia="ja-JP"/>
        </w:rPr>
        <w:t xml:space="preserve">The </w:t>
      </w:r>
      <w:r w:rsidR="00743AE9">
        <w:rPr>
          <w:lang w:eastAsia="ja-JP"/>
        </w:rPr>
        <w:t xml:space="preserve">survey </w:t>
      </w:r>
      <w:r>
        <w:rPr>
          <w:lang w:eastAsia="ja-JP"/>
        </w:rPr>
        <w:t xml:space="preserve">was developed </w:t>
      </w:r>
      <w:r w:rsidR="00DA0E0D">
        <w:rPr>
          <w:lang w:eastAsia="ja-JP"/>
        </w:rPr>
        <w:t>by the project team</w:t>
      </w:r>
      <w:r w:rsidR="006228EE">
        <w:rPr>
          <w:lang w:eastAsia="ja-JP"/>
        </w:rPr>
        <w:t xml:space="preserve"> (Scutt, Ernst and Liu)</w:t>
      </w:r>
      <w:r w:rsidR="00DA0E0D">
        <w:rPr>
          <w:lang w:eastAsia="ja-JP"/>
        </w:rPr>
        <w:t xml:space="preserve"> who invited comment </w:t>
      </w:r>
      <w:r w:rsidR="00D97E5D">
        <w:rPr>
          <w:lang w:eastAsia="ja-JP"/>
        </w:rPr>
        <w:t xml:space="preserve">on the survey design </w:t>
      </w:r>
      <w:r w:rsidR="00DA0E0D">
        <w:rPr>
          <w:lang w:eastAsia="ja-JP"/>
        </w:rPr>
        <w:t>from</w:t>
      </w:r>
      <w:r>
        <w:rPr>
          <w:lang w:eastAsia="ja-JP"/>
        </w:rPr>
        <w:t xml:space="preserve"> the </w:t>
      </w:r>
      <w:r w:rsidRPr="00D16EA8">
        <w:rPr>
          <w:lang w:eastAsia="ja-JP"/>
        </w:rPr>
        <w:t>Sub-Committee on Aquatic Animal Health</w:t>
      </w:r>
      <w:r w:rsidR="00D16EA8">
        <w:rPr>
          <w:rStyle w:val="FootnoteReference"/>
          <w:color w:val="165788"/>
          <w:u w:val="single"/>
          <w:lang w:eastAsia="ja-JP"/>
        </w:rPr>
        <w:footnoteReference w:id="2"/>
      </w:r>
      <w:r>
        <w:rPr>
          <w:lang w:eastAsia="ja-JP"/>
        </w:rPr>
        <w:t xml:space="preserve"> and </w:t>
      </w:r>
      <w:r w:rsidRPr="00D16EA8">
        <w:rPr>
          <w:lang w:eastAsia="ja-JP"/>
        </w:rPr>
        <w:t>Seafood Industry Australia’s Aquaculture Advisory Committee</w:t>
      </w:r>
      <w:r w:rsidR="00D16EA8">
        <w:rPr>
          <w:rStyle w:val="FootnoteReference"/>
          <w:color w:val="165788"/>
          <w:u w:val="single"/>
          <w:lang w:eastAsia="ja-JP"/>
        </w:rPr>
        <w:footnoteReference w:id="3"/>
      </w:r>
      <w:r>
        <w:rPr>
          <w:lang w:eastAsia="ja-JP"/>
        </w:rPr>
        <w:t>.</w:t>
      </w:r>
    </w:p>
    <w:p w14:paraId="1CF77459" w14:textId="302A7150" w:rsidR="004F5798" w:rsidRDefault="002B4DFD" w:rsidP="00883B72">
      <w:pPr>
        <w:rPr>
          <w:lang w:eastAsia="ja-JP"/>
        </w:rPr>
      </w:pPr>
      <w:r>
        <w:rPr>
          <w:lang w:eastAsia="ja-JP"/>
        </w:rPr>
        <w:t xml:space="preserve">All participants completed the core </w:t>
      </w:r>
      <w:r w:rsidR="0052197E">
        <w:rPr>
          <w:lang w:eastAsia="ja-JP"/>
        </w:rPr>
        <w:t xml:space="preserve">questions </w:t>
      </w:r>
      <w:r w:rsidR="00E969B0">
        <w:rPr>
          <w:lang w:eastAsia="ja-JP"/>
        </w:rPr>
        <w:t>(</w:t>
      </w:r>
      <w:r w:rsidR="00E969B0" w:rsidRPr="00E969B0">
        <w:rPr>
          <w:i/>
          <w:iCs/>
          <w:lang w:eastAsia="ja-JP"/>
        </w:rPr>
        <w:t>N</w:t>
      </w:r>
      <w:r w:rsidR="00E969B0">
        <w:rPr>
          <w:lang w:eastAsia="ja-JP"/>
        </w:rPr>
        <w:t xml:space="preserve"> = 107)</w:t>
      </w:r>
      <w:r>
        <w:rPr>
          <w:lang w:eastAsia="ja-JP"/>
        </w:rPr>
        <w:t xml:space="preserve">. Industry </w:t>
      </w:r>
      <w:r w:rsidR="00E969B0">
        <w:rPr>
          <w:lang w:eastAsia="ja-JP"/>
        </w:rPr>
        <w:t>(</w:t>
      </w:r>
      <w:r w:rsidR="00E969B0" w:rsidRPr="00E969B0">
        <w:rPr>
          <w:i/>
          <w:iCs/>
          <w:lang w:eastAsia="ja-JP"/>
        </w:rPr>
        <w:t>n</w:t>
      </w:r>
      <w:r w:rsidR="00E969B0">
        <w:rPr>
          <w:lang w:eastAsia="ja-JP"/>
        </w:rPr>
        <w:t xml:space="preserve"> = 29) </w:t>
      </w:r>
      <w:r>
        <w:rPr>
          <w:lang w:eastAsia="ja-JP"/>
        </w:rPr>
        <w:t>and governments</w:t>
      </w:r>
      <w:r w:rsidR="00E969B0">
        <w:rPr>
          <w:lang w:eastAsia="ja-JP"/>
        </w:rPr>
        <w:t xml:space="preserve"> (</w:t>
      </w:r>
      <w:r w:rsidR="00E969B0" w:rsidRPr="00E969B0">
        <w:rPr>
          <w:i/>
          <w:iCs/>
          <w:lang w:eastAsia="ja-JP"/>
        </w:rPr>
        <w:t>n</w:t>
      </w:r>
      <w:r w:rsidR="00E969B0">
        <w:rPr>
          <w:lang w:eastAsia="ja-JP"/>
        </w:rPr>
        <w:t xml:space="preserve"> = 50)</w:t>
      </w:r>
      <w:r>
        <w:rPr>
          <w:lang w:eastAsia="ja-JP"/>
        </w:rPr>
        <w:t xml:space="preserve"> were asked some additional </w:t>
      </w:r>
      <w:r w:rsidR="000A2322">
        <w:rPr>
          <w:lang w:eastAsia="ja-JP"/>
        </w:rPr>
        <w:t xml:space="preserve">sector specific </w:t>
      </w:r>
      <w:r w:rsidR="0052197E">
        <w:rPr>
          <w:lang w:eastAsia="ja-JP"/>
        </w:rPr>
        <w:t>questions</w:t>
      </w:r>
      <w:r w:rsidR="00D16EA8">
        <w:rPr>
          <w:lang w:eastAsia="ja-JP"/>
        </w:rPr>
        <w:t>.</w:t>
      </w:r>
    </w:p>
    <w:p w14:paraId="53DFA939" w14:textId="327BFFAC" w:rsidR="00883B72" w:rsidRDefault="00883B72" w:rsidP="006928C4">
      <w:pPr>
        <w:pStyle w:val="Heading2"/>
      </w:pPr>
      <w:bookmarkStart w:id="9" w:name="_Toc168473262"/>
      <w:r w:rsidRPr="006928C4">
        <w:t>Results</w:t>
      </w:r>
      <w:bookmarkEnd w:id="9"/>
    </w:p>
    <w:p w14:paraId="74453289" w14:textId="2981832F" w:rsidR="00883B72" w:rsidRDefault="002B4DFD" w:rsidP="002B4DFD">
      <w:pPr>
        <w:pStyle w:val="Heading3"/>
      </w:pPr>
      <w:bookmarkStart w:id="10" w:name="_Toc168473263"/>
      <w:r>
        <w:t>Question 1. Aquatic animal health in context</w:t>
      </w:r>
      <w:bookmarkEnd w:id="10"/>
    </w:p>
    <w:p w14:paraId="5C898EAB" w14:textId="681D3C76" w:rsidR="000A2322" w:rsidRDefault="000A2322" w:rsidP="00883B72">
      <w:pPr>
        <w:rPr>
          <w:lang w:eastAsia="ja-JP"/>
        </w:rPr>
      </w:pPr>
      <w:r>
        <w:rPr>
          <w:lang w:eastAsia="ja-JP"/>
        </w:rPr>
        <w:t>This section describes</w:t>
      </w:r>
      <w:r w:rsidR="00977339">
        <w:rPr>
          <w:lang w:eastAsia="ja-JP"/>
        </w:rPr>
        <w:t xml:space="preserve"> the</w:t>
      </w:r>
      <w:r>
        <w:rPr>
          <w:lang w:eastAsia="ja-JP"/>
        </w:rPr>
        <w:t xml:space="preserve"> results </w:t>
      </w:r>
      <w:r w:rsidR="00977339">
        <w:rPr>
          <w:lang w:eastAsia="ja-JP"/>
        </w:rPr>
        <w:t>of</w:t>
      </w:r>
      <w:r>
        <w:rPr>
          <w:lang w:eastAsia="ja-JP"/>
        </w:rPr>
        <w:t xml:space="preserve"> the industry and government specific </w:t>
      </w:r>
      <w:r w:rsidR="0052197E">
        <w:rPr>
          <w:lang w:eastAsia="ja-JP"/>
        </w:rPr>
        <w:t>questions</w:t>
      </w:r>
      <w:r>
        <w:rPr>
          <w:lang w:eastAsia="ja-JP"/>
        </w:rPr>
        <w:t xml:space="preserve">. </w:t>
      </w:r>
    </w:p>
    <w:p w14:paraId="27607252" w14:textId="281A0AD9" w:rsidR="00B731BD" w:rsidRDefault="001D3D0A" w:rsidP="00883B72">
      <w:pPr>
        <w:rPr>
          <w:lang w:eastAsia="ja-JP"/>
        </w:rPr>
      </w:pPr>
      <w:r w:rsidRPr="003C0B2C">
        <w:rPr>
          <w:rStyle w:val="Strong"/>
        </w:rPr>
        <w:t>Government participants</w:t>
      </w:r>
      <w:r w:rsidR="00E969B0" w:rsidRPr="003C0B2C">
        <w:rPr>
          <w:rStyle w:val="Strong"/>
        </w:rPr>
        <w:t xml:space="preserve"> (n = 50)</w:t>
      </w:r>
      <w:r w:rsidRPr="003C0B2C">
        <w:rPr>
          <w:rStyle w:val="Strong"/>
        </w:rPr>
        <w:t xml:space="preserve"> </w:t>
      </w:r>
      <w:r>
        <w:rPr>
          <w:lang w:eastAsia="ja-JP"/>
        </w:rPr>
        <w:t xml:space="preserve">were asked about their </w:t>
      </w:r>
      <w:r w:rsidRPr="001D3D0A">
        <w:rPr>
          <w:lang w:eastAsia="ja-JP"/>
        </w:rPr>
        <w:t xml:space="preserve">expectations for growth of aquatic animal </w:t>
      </w:r>
      <w:r w:rsidR="00DA0E0D">
        <w:rPr>
          <w:lang w:eastAsia="ja-JP"/>
        </w:rPr>
        <w:t>production</w:t>
      </w:r>
      <w:r w:rsidR="00DA0E0D" w:rsidRPr="001D3D0A">
        <w:rPr>
          <w:lang w:eastAsia="ja-JP"/>
        </w:rPr>
        <w:t xml:space="preserve"> </w:t>
      </w:r>
      <w:r w:rsidRPr="001D3D0A">
        <w:rPr>
          <w:lang w:eastAsia="ja-JP"/>
        </w:rPr>
        <w:t>in the next 5</w:t>
      </w:r>
      <w:r>
        <w:rPr>
          <w:lang w:eastAsia="ja-JP"/>
        </w:rPr>
        <w:t> to </w:t>
      </w:r>
      <w:r w:rsidRPr="001D3D0A">
        <w:rPr>
          <w:lang w:eastAsia="ja-JP"/>
        </w:rPr>
        <w:t>10</w:t>
      </w:r>
      <w:r>
        <w:rPr>
          <w:lang w:eastAsia="ja-JP"/>
        </w:rPr>
        <w:t> </w:t>
      </w:r>
      <w:r w:rsidRPr="001D3D0A">
        <w:rPr>
          <w:lang w:eastAsia="ja-JP"/>
        </w:rPr>
        <w:t>years</w:t>
      </w:r>
      <w:r>
        <w:rPr>
          <w:lang w:eastAsia="ja-JP"/>
        </w:rPr>
        <w:t>.</w:t>
      </w:r>
      <w:r w:rsidR="00B731BD">
        <w:rPr>
          <w:lang w:eastAsia="ja-JP"/>
        </w:rPr>
        <w:t xml:space="preserve"> Results found:</w:t>
      </w:r>
      <w:r>
        <w:rPr>
          <w:lang w:eastAsia="ja-JP"/>
        </w:rPr>
        <w:t xml:space="preserve"> </w:t>
      </w:r>
    </w:p>
    <w:p w14:paraId="599E3373" w14:textId="2D75A07B" w:rsidR="00B731BD" w:rsidRDefault="001D3D0A" w:rsidP="00B731BD">
      <w:pPr>
        <w:pStyle w:val="ListParagraph"/>
        <w:numPr>
          <w:ilvl w:val="0"/>
          <w:numId w:val="36"/>
        </w:numPr>
        <w:rPr>
          <w:lang w:eastAsia="ja-JP"/>
        </w:rPr>
      </w:pPr>
      <w:r w:rsidRPr="001D3D0A">
        <w:rPr>
          <w:lang w:eastAsia="ja-JP"/>
        </w:rPr>
        <w:t xml:space="preserve">93% of government </w:t>
      </w:r>
      <w:r w:rsidRPr="00604663">
        <w:rPr>
          <w:lang w:eastAsia="ja-JP"/>
        </w:rPr>
        <w:t>participants</w:t>
      </w:r>
      <w:r w:rsidRPr="001D3D0A">
        <w:rPr>
          <w:lang w:eastAsia="ja-JP"/>
        </w:rPr>
        <w:t xml:space="preserve"> anticipat</w:t>
      </w:r>
      <w:r w:rsidR="00AF66E4">
        <w:rPr>
          <w:lang w:eastAsia="ja-JP"/>
        </w:rPr>
        <w:t>e a</w:t>
      </w:r>
      <w:r w:rsidRPr="001D3D0A">
        <w:rPr>
          <w:lang w:eastAsia="ja-JP"/>
        </w:rPr>
        <w:t>n increase in aquaculture production in their jurisdiction</w:t>
      </w:r>
    </w:p>
    <w:p w14:paraId="7921629C" w14:textId="2E633F6A" w:rsidR="006718DF" w:rsidRDefault="00AF66E4" w:rsidP="00253D46">
      <w:pPr>
        <w:pStyle w:val="ListParagraph"/>
        <w:numPr>
          <w:ilvl w:val="0"/>
          <w:numId w:val="36"/>
        </w:numPr>
        <w:rPr>
          <w:lang w:eastAsia="ja-JP"/>
        </w:rPr>
      </w:pPr>
      <w:r>
        <w:rPr>
          <w:lang w:eastAsia="ja-JP"/>
        </w:rPr>
        <w:lastRenderedPageBreak/>
        <w:t xml:space="preserve">43% </w:t>
      </w:r>
      <w:r w:rsidR="002E42E1">
        <w:rPr>
          <w:lang w:eastAsia="ja-JP"/>
        </w:rPr>
        <w:t xml:space="preserve">of government participants </w:t>
      </w:r>
      <w:r>
        <w:rPr>
          <w:lang w:eastAsia="ja-JP"/>
        </w:rPr>
        <w:t>anticipat</w:t>
      </w:r>
      <w:r w:rsidR="00B731BD">
        <w:rPr>
          <w:lang w:eastAsia="ja-JP"/>
        </w:rPr>
        <w:t>e</w:t>
      </w:r>
      <w:r>
        <w:rPr>
          <w:lang w:eastAsia="ja-JP"/>
        </w:rPr>
        <w:t xml:space="preserve"> an increase in government investment in aquatic animal health. </w:t>
      </w:r>
    </w:p>
    <w:p w14:paraId="2B30F4C6" w14:textId="4F9E2F3B" w:rsidR="00B731BD" w:rsidRDefault="006718DF" w:rsidP="00883B72">
      <w:pPr>
        <w:rPr>
          <w:lang w:eastAsia="ja-JP"/>
        </w:rPr>
      </w:pPr>
      <w:r w:rsidRPr="003C0B2C">
        <w:rPr>
          <w:rStyle w:val="Strong"/>
        </w:rPr>
        <w:t>Industry participants</w:t>
      </w:r>
      <w:r w:rsidR="00E969B0" w:rsidRPr="003C0B2C">
        <w:rPr>
          <w:rStyle w:val="Strong"/>
        </w:rPr>
        <w:t xml:space="preserve"> (n = 29)</w:t>
      </w:r>
      <w:r>
        <w:rPr>
          <w:lang w:eastAsia="ja-JP"/>
        </w:rPr>
        <w:t xml:space="preserve"> were asked about the importance of aquatic animal health to achieving </w:t>
      </w:r>
      <w:r w:rsidR="0086239B">
        <w:rPr>
          <w:lang w:eastAsia="ja-JP"/>
        </w:rPr>
        <w:t xml:space="preserve">their </w:t>
      </w:r>
      <w:r>
        <w:rPr>
          <w:lang w:eastAsia="ja-JP"/>
        </w:rPr>
        <w:t>overall business and sector goals</w:t>
      </w:r>
      <w:r w:rsidR="00660AE2">
        <w:rPr>
          <w:lang w:eastAsia="ja-JP"/>
        </w:rPr>
        <w:t>.</w:t>
      </w:r>
      <w:r w:rsidR="00B731BD">
        <w:rPr>
          <w:lang w:eastAsia="ja-JP"/>
        </w:rPr>
        <w:t xml:space="preserve"> Results </w:t>
      </w:r>
      <w:r w:rsidR="00656883">
        <w:rPr>
          <w:lang w:eastAsia="ja-JP"/>
        </w:rPr>
        <w:t xml:space="preserve">showed that </w:t>
      </w:r>
      <w:r w:rsidR="00656883" w:rsidRPr="00656883">
        <w:rPr>
          <w:lang w:eastAsia="ja-JP"/>
        </w:rPr>
        <w:t xml:space="preserve">100% of industry participants </w:t>
      </w:r>
      <w:r w:rsidR="00253D46">
        <w:rPr>
          <w:lang w:eastAsia="ja-JP"/>
        </w:rPr>
        <w:t>thought</w:t>
      </w:r>
      <w:r w:rsidR="00656883" w:rsidRPr="00656883">
        <w:rPr>
          <w:lang w:eastAsia="ja-JP"/>
        </w:rPr>
        <w:t xml:space="preserve"> aquatic animal health is important to achieving overall business and sector goals</w:t>
      </w:r>
      <w:r w:rsidR="00656883">
        <w:rPr>
          <w:lang w:eastAsia="ja-JP"/>
        </w:rPr>
        <w:t xml:space="preserve"> and</w:t>
      </w:r>
      <w:r w:rsidR="0086239B">
        <w:rPr>
          <w:lang w:eastAsia="ja-JP"/>
        </w:rPr>
        <w:t xml:space="preserve"> that</w:t>
      </w:r>
      <w:r w:rsidR="00B731BD">
        <w:rPr>
          <w:lang w:eastAsia="ja-JP"/>
        </w:rPr>
        <w:t>:</w:t>
      </w:r>
    </w:p>
    <w:p w14:paraId="7FB53638" w14:textId="149A4DED" w:rsidR="00AA20DB" w:rsidRDefault="006718DF" w:rsidP="00545D88">
      <w:pPr>
        <w:pStyle w:val="ListParagraph"/>
        <w:numPr>
          <w:ilvl w:val="0"/>
          <w:numId w:val="37"/>
        </w:numPr>
        <w:rPr>
          <w:lang w:eastAsia="ja-JP"/>
        </w:rPr>
      </w:pPr>
      <w:r w:rsidRPr="006718DF">
        <w:rPr>
          <w:lang w:eastAsia="ja-JP"/>
        </w:rPr>
        <w:t>31%</w:t>
      </w:r>
      <w:r w:rsidR="00253D46">
        <w:rPr>
          <w:lang w:eastAsia="ja-JP"/>
        </w:rPr>
        <w:t xml:space="preserve"> rate this as</w:t>
      </w:r>
      <w:r w:rsidRPr="006718DF">
        <w:rPr>
          <w:lang w:eastAsia="ja-JP"/>
        </w:rPr>
        <w:t xml:space="preserve"> the most important priority</w:t>
      </w:r>
    </w:p>
    <w:p w14:paraId="3DC6267F" w14:textId="510F54BA" w:rsidR="00660AE2" w:rsidRDefault="006718DF" w:rsidP="00545D88">
      <w:pPr>
        <w:pStyle w:val="ListParagraph"/>
        <w:numPr>
          <w:ilvl w:val="0"/>
          <w:numId w:val="37"/>
        </w:numPr>
        <w:rPr>
          <w:lang w:eastAsia="ja-JP"/>
        </w:rPr>
      </w:pPr>
      <w:r w:rsidRPr="006718DF">
        <w:rPr>
          <w:lang w:eastAsia="ja-JP"/>
        </w:rPr>
        <w:t xml:space="preserve">69% </w:t>
      </w:r>
      <w:r w:rsidR="00253D46">
        <w:rPr>
          <w:lang w:eastAsia="ja-JP"/>
        </w:rPr>
        <w:t>rate this as</w:t>
      </w:r>
      <w:r w:rsidRPr="006718DF">
        <w:rPr>
          <w:lang w:eastAsia="ja-JP"/>
        </w:rPr>
        <w:t xml:space="preserve"> important, but not the top priority. </w:t>
      </w:r>
    </w:p>
    <w:p w14:paraId="2F999B3F" w14:textId="5B201EA4" w:rsidR="001D3D0A" w:rsidRDefault="00B731BD" w:rsidP="00253D46">
      <w:pPr>
        <w:rPr>
          <w:lang w:eastAsia="ja-JP"/>
        </w:rPr>
      </w:pPr>
      <w:r w:rsidRPr="00B731BD">
        <w:rPr>
          <w:lang w:eastAsia="ja-JP"/>
        </w:rPr>
        <w:t>Industry participants (</w:t>
      </w:r>
      <w:r w:rsidRPr="00253D46">
        <w:rPr>
          <w:i/>
          <w:iCs/>
          <w:lang w:eastAsia="ja-JP"/>
        </w:rPr>
        <w:t>n</w:t>
      </w:r>
      <w:r w:rsidRPr="00B731BD">
        <w:rPr>
          <w:lang w:eastAsia="ja-JP"/>
        </w:rPr>
        <w:t xml:space="preserve"> = 29) were</w:t>
      </w:r>
      <w:r>
        <w:rPr>
          <w:lang w:eastAsia="ja-JP"/>
        </w:rPr>
        <w:t xml:space="preserve"> also</w:t>
      </w:r>
      <w:r w:rsidRPr="00B731BD">
        <w:rPr>
          <w:lang w:eastAsia="ja-JP"/>
        </w:rPr>
        <w:t xml:space="preserve"> asked </w:t>
      </w:r>
      <w:r w:rsidR="0086239B">
        <w:rPr>
          <w:lang w:eastAsia="ja-JP"/>
        </w:rPr>
        <w:t xml:space="preserve">about </w:t>
      </w:r>
      <w:r>
        <w:rPr>
          <w:lang w:eastAsia="ja-JP"/>
        </w:rPr>
        <w:t>the top benefits and challenges of effective aquatic animal health management on-farm</w:t>
      </w:r>
      <w:r w:rsidR="00656883">
        <w:rPr>
          <w:lang w:eastAsia="ja-JP"/>
        </w:rPr>
        <w:t xml:space="preserve"> (Figure </w:t>
      </w:r>
      <w:r w:rsidR="0065659D">
        <w:rPr>
          <w:lang w:eastAsia="ja-JP"/>
        </w:rPr>
        <w:t>3</w:t>
      </w:r>
      <w:r w:rsidR="00656883">
        <w:rPr>
          <w:lang w:eastAsia="ja-JP"/>
        </w:rPr>
        <w:t>)</w:t>
      </w:r>
      <w:r>
        <w:rPr>
          <w:lang w:eastAsia="ja-JP"/>
        </w:rPr>
        <w:t xml:space="preserve">. </w:t>
      </w:r>
      <w:r w:rsidR="0086239B">
        <w:rPr>
          <w:lang w:eastAsia="ja-JP"/>
        </w:rPr>
        <w:t>Results showed i</w:t>
      </w:r>
      <w:r w:rsidR="00656883">
        <w:rPr>
          <w:lang w:eastAsia="ja-JP"/>
        </w:rPr>
        <w:t xml:space="preserve">ndustry </w:t>
      </w:r>
      <w:r w:rsidR="00253D46">
        <w:rPr>
          <w:lang w:eastAsia="ja-JP"/>
        </w:rPr>
        <w:t xml:space="preserve">considered the top benefits to be increased </w:t>
      </w:r>
      <w:r w:rsidR="00656883">
        <w:rPr>
          <w:lang w:eastAsia="ja-JP"/>
        </w:rPr>
        <w:t>p</w:t>
      </w:r>
      <w:r w:rsidR="006718DF" w:rsidRPr="006718DF">
        <w:rPr>
          <w:lang w:eastAsia="ja-JP"/>
        </w:rPr>
        <w:t xml:space="preserve">roduction/yield (73%) </w:t>
      </w:r>
      <w:r w:rsidR="00656883">
        <w:rPr>
          <w:lang w:eastAsia="ja-JP"/>
        </w:rPr>
        <w:t>and</w:t>
      </w:r>
      <w:r w:rsidR="006718DF" w:rsidRPr="006718DF">
        <w:rPr>
          <w:lang w:eastAsia="ja-JP"/>
        </w:rPr>
        <w:t xml:space="preserve"> preventing disease outbreaks (50%)</w:t>
      </w:r>
      <w:r w:rsidR="00253D46">
        <w:rPr>
          <w:lang w:eastAsia="ja-JP"/>
        </w:rPr>
        <w:t>. Ac</w:t>
      </w:r>
      <w:r w:rsidR="006718DF" w:rsidRPr="006718DF">
        <w:rPr>
          <w:lang w:eastAsia="ja-JP"/>
        </w:rPr>
        <w:t xml:space="preserve">cessing lines of disease resistant animals (23%) and accessing tools to support </w:t>
      </w:r>
      <w:r w:rsidR="00D42F34">
        <w:rPr>
          <w:lang w:eastAsia="ja-JP"/>
        </w:rPr>
        <w:t>aquatic animal health</w:t>
      </w:r>
      <w:r w:rsidR="006718DF" w:rsidRPr="006718DF">
        <w:rPr>
          <w:lang w:eastAsia="ja-JP"/>
        </w:rPr>
        <w:t xml:space="preserve"> management (23%)</w:t>
      </w:r>
      <w:r w:rsidR="00253D46">
        <w:rPr>
          <w:lang w:eastAsia="ja-JP"/>
        </w:rPr>
        <w:t xml:space="preserve"> were rated</w:t>
      </w:r>
      <w:r w:rsidR="00656883">
        <w:rPr>
          <w:lang w:eastAsia="ja-JP"/>
        </w:rPr>
        <w:t xml:space="preserve"> the top challenges</w:t>
      </w:r>
      <w:r w:rsidR="006718DF" w:rsidRPr="006718DF">
        <w:rPr>
          <w:lang w:eastAsia="ja-JP"/>
        </w:rPr>
        <w:t>.</w:t>
      </w:r>
    </w:p>
    <w:p w14:paraId="63B99502" w14:textId="503FC20E" w:rsidR="00660AE2" w:rsidRPr="00253D46" w:rsidRDefault="00660AE2" w:rsidP="00253D46">
      <w:pPr>
        <w:keepNext/>
        <w:spacing w:before="240"/>
        <w:rPr>
          <w:b/>
          <w:bCs/>
          <w:lang w:eastAsia="ja-JP"/>
        </w:rPr>
      </w:pPr>
      <w:r w:rsidRPr="00253D46">
        <w:rPr>
          <w:b/>
          <w:bCs/>
          <w:lang w:eastAsia="ja-JP"/>
        </w:rPr>
        <w:t xml:space="preserve">Figure </w:t>
      </w:r>
      <w:r w:rsidR="0065659D">
        <w:rPr>
          <w:b/>
          <w:bCs/>
          <w:lang w:eastAsia="ja-JP"/>
        </w:rPr>
        <w:t>3</w:t>
      </w:r>
      <w:r w:rsidRPr="00253D46">
        <w:rPr>
          <w:b/>
          <w:bCs/>
          <w:lang w:eastAsia="ja-JP"/>
        </w:rPr>
        <w:t xml:space="preserve">. Industry </w:t>
      </w:r>
      <w:r w:rsidR="00D05EAC">
        <w:rPr>
          <w:b/>
          <w:bCs/>
          <w:lang w:eastAsia="ja-JP"/>
        </w:rPr>
        <w:t>r</w:t>
      </w:r>
      <w:r w:rsidRPr="00253D46">
        <w:rPr>
          <w:b/>
          <w:bCs/>
          <w:lang w:eastAsia="ja-JP"/>
        </w:rPr>
        <w:t xml:space="preserve">ated </w:t>
      </w:r>
      <w:r w:rsidR="00D05EAC">
        <w:rPr>
          <w:b/>
          <w:bCs/>
          <w:lang w:eastAsia="ja-JP"/>
        </w:rPr>
        <w:t>t</w:t>
      </w:r>
      <w:r w:rsidRPr="00253D46">
        <w:rPr>
          <w:b/>
          <w:bCs/>
          <w:lang w:eastAsia="ja-JP"/>
        </w:rPr>
        <w:t xml:space="preserve">op </w:t>
      </w:r>
      <w:r w:rsidR="00D05EAC">
        <w:rPr>
          <w:b/>
          <w:bCs/>
          <w:lang w:eastAsia="ja-JP"/>
        </w:rPr>
        <w:t>b</w:t>
      </w:r>
      <w:r w:rsidRPr="00253D46">
        <w:rPr>
          <w:b/>
          <w:bCs/>
          <w:lang w:eastAsia="ja-JP"/>
        </w:rPr>
        <w:t xml:space="preserve">enefits of </w:t>
      </w:r>
      <w:r w:rsidR="00D05EAC">
        <w:rPr>
          <w:b/>
          <w:bCs/>
          <w:lang w:eastAsia="ja-JP"/>
        </w:rPr>
        <w:t>a</w:t>
      </w:r>
      <w:r w:rsidRPr="00253D46">
        <w:rPr>
          <w:b/>
          <w:bCs/>
          <w:lang w:eastAsia="ja-JP"/>
        </w:rPr>
        <w:t xml:space="preserve">quatic </w:t>
      </w:r>
      <w:r w:rsidR="00D05EAC">
        <w:rPr>
          <w:b/>
          <w:bCs/>
          <w:lang w:eastAsia="ja-JP"/>
        </w:rPr>
        <w:t>a</w:t>
      </w:r>
      <w:r w:rsidRPr="00253D46">
        <w:rPr>
          <w:b/>
          <w:bCs/>
          <w:lang w:eastAsia="ja-JP"/>
        </w:rPr>
        <w:t xml:space="preserve">nimal </w:t>
      </w:r>
      <w:r w:rsidR="00D05EAC">
        <w:rPr>
          <w:b/>
          <w:bCs/>
          <w:lang w:eastAsia="ja-JP"/>
        </w:rPr>
        <w:t>h</w:t>
      </w:r>
      <w:r w:rsidRPr="00253D46">
        <w:rPr>
          <w:b/>
          <w:bCs/>
          <w:lang w:eastAsia="ja-JP"/>
        </w:rPr>
        <w:t xml:space="preserve">ealth </w:t>
      </w:r>
      <w:r w:rsidR="00D05EAC">
        <w:rPr>
          <w:b/>
          <w:bCs/>
          <w:lang w:eastAsia="ja-JP"/>
        </w:rPr>
        <w:t>m</w:t>
      </w:r>
      <w:r w:rsidRPr="00253D46">
        <w:rPr>
          <w:b/>
          <w:bCs/>
          <w:lang w:eastAsia="ja-JP"/>
        </w:rPr>
        <w:t>anagement</w:t>
      </w:r>
    </w:p>
    <w:p w14:paraId="619655CD" w14:textId="5DB284FD" w:rsidR="00660AE2" w:rsidRDefault="003C0B2C" w:rsidP="00253D46">
      <w:pPr>
        <w:keepNext/>
        <w:spacing w:before="240"/>
        <w:rPr>
          <w:lang w:eastAsia="ja-JP"/>
        </w:rPr>
      </w:pPr>
      <w:r w:rsidRPr="003C0B2C">
        <w:rPr>
          <w:noProof/>
        </w:rPr>
        <w:drawing>
          <wp:inline distT="0" distB="0" distL="0" distR="0" wp14:anchorId="24A4D652" wp14:editId="0B6833BF">
            <wp:extent cx="5759450" cy="2917825"/>
            <wp:effectExtent l="0" t="0" r="0" b="0"/>
            <wp:docPr id="2102903474" name="Picture 1" descr="Percentage of industry respondents who rated maximising production/yield as a top benefit of aquatic animal health management = 73%; preventing disease outbreaks = 50%; free from serious diseases = 38%; prepared for a diseases break = 38%; aware of disease signs and plans in place = 38%; translocation of stock = 27%; market access = 12%; protecting livelihoods/income = 8%; sustainability of fisheries = 8%; legal and regulatory responsibilities =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903474" name="Picture 1" descr="Percentage of industry respondents who rated maximising production/yield as a top benefit of aquatic animal health management = 73%; preventing disease outbreaks = 50%; free from serious diseases = 38%; prepared for a diseases break = 38%; aware of disease signs and plans in place = 38%; translocation of stock = 27%; market access = 12%; protecting livelihoods/income = 8%; sustainability of fisheries = 8%; legal and regulatory responsibilities = 8%. "/>
                    <pic:cNvPicPr/>
                  </pic:nvPicPr>
                  <pic:blipFill>
                    <a:blip r:embed="rId19"/>
                    <a:stretch>
                      <a:fillRect/>
                    </a:stretch>
                  </pic:blipFill>
                  <pic:spPr>
                    <a:xfrm>
                      <a:off x="0" y="0"/>
                      <a:ext cx="5759450" cy="2917825"/>
                    </a:xfrm>
                    <a:prstGeom prst="rect">
                      <a:avLst/>
                    </a:prstGeom>
                  </pic:spPr>
                </pic:pic>
              </a:graphicData>
            </a:graphic>
          </wp:inline>
        </w:drawing>
      </w:r>
    </w:p>
    <w:p w14:paraId="269E84E3" w14:textId="65BAFCCA" w:rsidR="00EA5ACC" w:rsidRDefault="00660AE2" w:rsidP="00253D46">
      <w:pPr>
        <w:pStyle w:val="FigureTableNoteSource"/>
        <w:rPr>
          <w:lang w:eastAsia="ja-JP"/>
        </w:rPr>
      </w:pPr>
      <w:r>
        <w:rPr>
          <w:lang w:eastAsia="ja-JP"/>
        </w:rPr>
        <w:t xml:space="preserve">Note. </w:t>
      </w:r>
      <w:r w:rsidRPr="00660AE2">
        <w:rPr>
          <w:i/>
          <w:iCs/>
          <w:lang w:eastAsia="ja-JP"/>
        </w:rPr>
        <w:t>n</w:t>
      </w:r>
      <w:r>
        <w:rPr>
          <w:lang w:eastAsia="ja-JP"/>
        </w:rPr>
        <w:t xml:space="preserve"> = 29 (industry only). Participants selected the top three benefits therefore percentages do not sum to 100.</w:t>
      </w:r>
      <w:r w:rsidR="00EA5ACC">
        <w:rPr>
          <w:lang w:eastAsia="ja-JP"/>
        </w:rPr>
        <w:br w:type="page"/>
      </w:r>
    </w:p>
    <w:p w14:paraId="0AE92888" w14:textId="25C36BDE" w:rsidR="00D42F34" w:rsidRDefault="00D42F34" w:rsidP="00D42F34">
      <w:pPr>
        <w:pStyle w:val="Heading3"/>
      </w:pPr>
      <w:bookmarkStart w:id="11" w:name="_Toc168473264"/>
      <w:r>
        <w:lastRenderedPageBreak/>
        <w:t xml:space="preserve">Question 2. Opportunities and challenges for aquatic animal </w:t>
      </w:r>
      <w:r w:rsidR="00E14829">
        <w:t xml:space="preserve">production </w:t>
      </w:r>
      <w:r>
        <w:t>in Australia</w:t>
      </w:r>
      <w:bookmarkEnd w:id="11"/>
    </w:p>
    <w:p w14:paraId="2AA12480" w14:textId="265B55A9" w:rsidR="00D42F34" w:rsidRDefault="00D42F34" w:rsidP="00883B72">
      <w:pPr>
        <w:rPr>
          <w:lang w:eastAsia="ja-JP"/>
        </w:rPr>
      </w:pPr>
      <w:r>
        <w:rPr>
          <w:lang w:eastAsia="ja-JP"/>
        </w:rPr>
        <w:t>All participants</w:t>
      </w:r>
      <w:r w:rsidR="00E969B0">
        <w:rPr>
          <w:lang w:eastAsia="ja-JP"/>
        </w:rPr>
        <w:t xml:space="preserve"> (</w:t>
      </w:r>
      <w:r w:rsidR="00E969B0" w:rsidRPr="00E969B0">
        <w:rPr>
          <w:i/>
          <w:iCs/>
          <w:lang w:eastAsia="ja-JP"/>
        </w:rPr>
        <w:t>N</w:t>
      </w:r>
      <w:r w:rsidR="00E969B0">
        <w:rPr>
          <w:lang w:eastAsia="ja-JP"/>
        </w:rPr>
        <w:t xml:space="preserve"> = 107)</w:t>
      </w:r>
      <w:r>
        <w:rPr>
          <w:lang w:eastAsia="ja-JP"/>
        </w:rPr>
        <w:t xml:space="preserve"> were asked about the top opportunities and challenges for aquatic animal </w:t>
      </w:r>
      <w:r w:rsidR="00BA759D">
        <w:rPr>
          <w:lang w:eastAsia="ja-JP"/>
        </w:rPr>
        <w:t xml:space="preserve">production </w:t>
      </w:r>
      <w:r>
        <w:rPr>
          <w:lang w:eastAsia="ja-JP"/>
        </w:rPr>
        <w:t>in Australia in the next 5 to 10 years (</w:t>
      </w:r>
      <w:r w:rsidR="002F3BB3">
        <w:rPr>
          <w:lang w:eastAsia="ja-JP"/>
        </w:rPr>
        <w:t xml:space="preserve">Figure </w:t>
      </w:r>
      <w:r w:rsidR="0065659D">
        <w:rPr>
          <w:lang w:eastAsia="ja-JP"/>
        </w:rPr>
        <w:t>4</w:t>
      </w:r>
      <w:r>
        <w:rPr>
          <w:lang w:eastAsia="ja-JP"/>
        </w:rPr>
        <w:t xml:space="preserve">). </w:t>
      </w:r>
      <w:r w:rsidR="00BA759D">
        <w:rPr>
          <w:lang w:eastAsia="ja-JP"/>
        </w:rPr>
        <w:t>Results found that:</w:t>
      </w:r>
    </w:p>
    <w:p w14:paraId="443C0491" w14:textId="7EAC3C42" w:rsidR="00BA759D" w:rsidRDefault="00BA759D" w:rsidP="00BA759D">
      <w:pPr>
        <w:pStyle w:val="ListParagraph"/>
        <w:numPr>
          <w:ilvl w:val="0"/>
          <w:numId w:val="37"/>
        </w:numPr>
        <w:rPr>
          <w:lang w:eastAsia="ja-JP"/>
        </w:rPr>
      </w:pPr>
      <w:r w:rsidRPr="00BA759D">
        <w:rPr>
          <w:lang w:eastAsia="ja-JP"/>
        </w:rPr>
        <w:t xml:space="preserve">outbreaks of exotic or emerging diseases </w:t>
      </w:r>
      <w:r>
        <w:rPr>
          <w:lang w:eastAsia="ja-JP"/>
        </w:rPr>
        <w:t>are seen as the</w:t>
      </w:r>
      <w:r w:rsidRPr="00BA759D">
        <w:rPr>
          <w:lang w:eastAsia="ja-JP"/>
        </w:rPr>
        <w:t xml:space="preserve"> top threat</w:t>
      </w:r>
    </w:p>
    <w:p w14:paraId="0626FDEE" w14:textId="29217478" w:rsidR="00BA759D" w:rsidRDefault="00BA759D" w:rsidP="00253D46">
      <w:pPr>
        <w:pStyle w:val="ListParagraph"/>
        <w:numPr>
          <w:ilvl w:val="0"/>
          <w:numId w:val="37"/>
        </w:numPr>
        <w:rPr>
          <w:lang w:eastAsia="ja-JP"/>
        </w:rPr>
      </w:pPr>
      <w:r>
        <w:rPr>
          <w:lang w:eastAsia="ja-JP"/>
        </w:rPr>
        <w:t xml:space="preserve">selective breeding </w:t>
      </w:r>
      <w:r w:rsidR="006C2703">
        <w:rPr>
          <w:lang w:eastAsia="ja-JP"/>
        </w:rPr>
        <w:t xml:space="preserve">is seen as </w:t>
      </w:r>
      <w:r>
        <w:rPr>
          <w:lang w:eastAsia="ja-JP"/>
        </w:rPr>
        <w:t>the top opportunity</w:t>
      </w:r>
      <w:r w:rsidR="006C2703">
        <w:rPr>
          <w:lang w:eastAsia="ja-JP"/>
        </w:rPr>
        <w:t>, closely followed by new production methods or technologies</w:t>
      </w:r>
      <w:r>
        <w:rPr>
          <w:lang w:eastAsia="ja-JP"/>
        </w:rPr>
        <w:t xml:space="preserve">. </w:t>
      </w:r>
    </w:p>
    <w:p w14:paraId="491F8266" w14:textId="18F1ED91" w:rsidR="00D42F34" w:rsidRDefault="002F3BB3" w:rsidP="00D42F34">
      <w:pPr>
        <w:pStyle w:val="Caption"/>
      </w:pPr>
      <w:r>
        <w:t xml:space="preserve">Figure </w:t>
      </w:r>
      <w:r w:rsidR="0065659D">
        <w:t>4</w:t>
      </w:r>
      <w:r w:rsidR="00632C95">
        <w:rPr>
          <w:noProof/>
        </w:rPr>
        <w:t>.</w:t>
      </w:r>
      <w:r w:rsidR="00D42F34">
        <w:t xml:space="preserve"> </w:t>
      </w:r>
      <w:r w:rsidR="00D42F34" w:rsidRPr="00D42F34">
        <w:t>Top three opportunities and threats to the growth of aquatic animal production in the next 5</w:t>
      </w:r>
      <w:r w:rsidR="00D42F34">
        <w:t> to </w:t>
      </w:r>
      <w:r w:rsidR="00D42F34" w:rsidRPr="00D42F34">
        <w:t>10</w:t>
      </w:r>
      <w:r w:rsidR="00D42F34">
        <w:t> </w:t>
      </w:r>
      <w:r w:rsidR="00D42F34" w:rsidRPr="00D42F34">
        <w:t>years</w:t>
      </w:r>
    </w:p>
    <w:p w14:paraId="0C2388A5" w14:textId="599783E4" w:rsidR="002F3BB3" w:rsidRDefault="00BD0102" w:rsidP="00253D46">
      <w:pPr>
        <w:spacing w:before="240"/>
      </w:pPr>
      <w:r w:rsidRPr="00BD0102">
        <w:rPr>
          <w:noProof/>
        </w:rPr>
        <w:drawing>
          <wp:inline distT="0" distB="0" distL="0" distR="0" wp14:anchorId="24ABA928" wp14:editId="0CBB5ECD">
            <wp:extent cx="5759450" cy="2197735"/>
            <wp:effectExtent l="0" t="0" r="0" b="0"/>
            <wp:docPr id="1099220987" name="Picture 1" descr="Top three opportunities = selective breeding at 46%; new production methods and technologies at 45% and improved biosecurity at 40%. Top three threats = outbreaks of exotic or emerging diseases at 41%; acquiring and retaining a skilled workforce at 36% and high costs of production at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220987" name="Picture 1" descr="Top three opportunities = selective breeding at 46%; new production methods and technologies at 45% and improved biosecurity at 40%. Top three threats = outbreaks of exotic or emerging diseases at 41%; acquiring and retaining a skilled workforce at 36% and high costs of production at 35%."/>
                    <pic:cNvPicPr/>
                  </pic:nvPicPr>
                  <pic:blipFill>
                    <a:blip r:embed="rId20"/>
                    <a:stretch>
                      <a:fillRect/>
                    </a:stretch>
                  </pic:blipFill>
                  <pic:spPr>
                    <a:xfrm>
                      <a:off x="0" y="0"/>
                      <a:ext cx="5759450" cy="2197735"/>
                    </a:xfrm>
                    <a:prstGeom prst="rect">
                      <a:avLst/>
                    </a:prstGeom>
                  </pic:spPr>
                </pic:pic>
              </a:graphicData>
            </a:graphic>
          </wp:inline>
        </w:drawing>
      </w:r>
    </w:p>
    <w:p w14:paraId="4B6862F3" w14:textId="77777777" w:rsidR="003831E4" w:rsidRDefault="00E969B0" w:rsidP="00253D46">
      <w:pPr>
        <w:pStyle w:val="FigureTableNoteSource"/>
        <w:rPr>
          <w:lang w:eastAsia="ja-JP"/>
        </w:rPr>
      </w:pPr>
      <w:r w:rsidRPr="00E969B0">
        <w:rPr>
          <w:i/>
          <w:iCs/>
        </w:rPr>
        <w:t>Note</w:t>
      </w:r>
      <w:r>
        <w:t xml:space="preserve">. </w:t>
      </w:r>
      <w:r w:rsidRPr="00E969B0">
        <w:rPr>
          <w:i/>
          <w:iCs/>
        </w:rPr>
        <w:t>N</w:t>
      </w:r>
      <w:r>
        <w:t xml:space="preserve"> = 107 (all participants)</w:t>
      </w:r>
      <w:r w:rsidR="003831E4">
        <w:t xml:space="preserve">. </w:t>
      </w:r>
      <w:r w:rsidR="003831E4">
        <w:rPr>
          <w:lang w:eastAsia="ja-JP"/>
        </w:rPr>
        <w:t>Participants selected the top three benefits therefore percentages do not sum to 100.</w:t>
      </w:r>
    </w:p>
    <w:p w14:paraId="0245AA99" w14:textId="7A2E64AE" w:rsidR="00B00CD6" w:rsidRDefault="006C2703" w:rsidP="00883B72">
      <w:pPr>
        <w:rPr>
          <w:lang w:eastAsia="ja-JP"/>
        </w:rPr>
      </w:pPr>
      <w:r>
        <w:rPr>
          <w:lang w:eastAsia="ja-JP"/>
        </w:rPr>
        <w:t xml:space="preserve">When asked about the likelihood of a major aquatic animal disease outbreak </w:t>
      </w:r>
      <w:r w:rsidRPr="006C2703">
        <w:rPr>
          <w:lang w:eastAsia="ja-JP"/>
        </w:rPr>
        <w:t>(affecting any sector) in Australia in the next 12 months</w:t>
      </w:r>
      <w:r>
        <w:rPr>
          <w:lang w:eastAsia="ja-JP"/>
        </w:rPr>
        <w:t>, m</w:t>
      </w:r>
      <w:r w:rsidR="00830251">
        <w:rPr>
          <w:lang w:eastAsia="ja-JP"/>
        </w:rPr>
        <w:t xml:space="preserve">ost participants thought a </w:t>
      </w:r>
      <w:r w:rsidR="00B00CD6">
        <w:rPr>
          <w:lang w:eastAsia="ja-JP"/>
        </w:rPr>
        <w:t xml:space="preserve">major aquatic disease outbreak </w:t>
      </w:r>
      <w:r w:rsidR="00830251">
        <w:rPr>
          <w:lang w:eastAsia="ja-JP"/>
        </w:rPr>
        <w:t xml:space="preserve">was likely to </w:t>
      </w:r>
      <w:r w:rsidR="00B00CD6">
        <w:rPr>
          <w:lang w:eastAsia="ja-JP"/>
        </w:rPr>
        <w:t xml:space="preserve">varying degrees (35% somewhat likely; 28% likely; 15% very likely). </w:t>
      </w:r>
    </w:p>
    <w:p w14:paraId="4BE99A6D" w14:textId="6A21C3CD" w:rsidR="0085747B" w:rsidRDefault="00B00CD6" w:rsidP="00883B72">
      <w:pPr>
        <w:rPr>
          <w:lang w:eastAsia="ja-JP"/>
        </w:rPr>
      </w:pPr>
      <w:r>
        <w:rPr>
          <w:lang w:eastAsia="ja-JP"/>
        </w:rPr>
        <w:t xml:space="preserve">A range </w:t>
      </w:r>
      <w:r w:rsidRPr="00B00CD6">
        <w:rPr>
          <w:lang w:eastAsia="ja-JP"/>
        </w:rPr>
        <w:t>of possible new introduction</w:t>
      </w:r>
      <w:r w:rsidR="006C2703">
        <w:rPr>
          <w:lang w:eastAsia="ja-JP"/>
        </w:rPr>
        <w:t xml:space="preserve"> sources</w:t>
      </w:r>
      <w:r w:rsidRPr="00B00CD6">
        <w:rPr>
          <w:lang w:eastAsia="ja-JP"/>
        </w:rPr>
        <w:t xml:space="preserve"> were hypothesised, including through imported product (including </w:t>
      </w:r>
      <w:r w:rsidR="00D97663">
        <w:rPr>
          <w:lang w:eastAsia="ja-JP"/>
        </w:rPr>
        <w:t>diversion of products for non-intended uses</w:t>
      </w:r>
      <w:r w:rsidRPr="00B00CD6">
        <w:rPr>
          <w:lang w:eastAsia="ja-JP"/>
        </w:rPr>
        <w:t xml:space="preserve">), environmental factors, shipping, ornamental </w:t>
      </w:r>
      <w:r w:rsidR="006C2703">
        <w:rPr>
          <w:lang w:eastAsia="ja-JP"/>
        </w:rPr>
        <w:t>fish</w:t>
      </w:r>
      <w:r w:rsidRPr="00B00CD6">
        <w:rPr>
          <w:lang w:eastAsia="ja-JP"/>
        </w:rPr>
        <w:t>, and changes in endemic diseases to become more pathogenic or chang</w:t>
      </w:r>
      <w:r w:rsidR="003831E4">
        <w:rPr>
          <w:lang w:eastAsia="ja-JP"/>
        </w:rPr>
        <w:t>ing</w:t>
      </w:r>
      <w:r w:rsidRPr="00B00CD6">
        <w:rPr>
          <w:lang w:eastAsia="ja-JP"/>
        </w:rPr>
        <w:t xml:space="preserve"> </w:t>
      </w:r>
      <w:r w:rsidR="009D324F">
        <w:rPr>
          <w:lang w:eastAsia="ja-JP"/>
        </w:rPr>
        <w:t xml:space="preserve">to new </w:t>
      </w:r>
      <w:r w:rsidRPr="00B00CD6">
        <w:rPr>
          <w:lang w:eastAsia="ja-JP"/>
        </w:rPr>
        <w:t xml:space="preserve">host species. </w:t>
      </w:r>
    </w:p>
    <w:p w14:paraId="59CF3834" w14:textId="3090B4E7" w:rsidR="006718DF" w:rsidRDefault="00B00CD6" w:rsidP="00883B72">
      <w:pPr>
        <w:rPr>
          <w:lang w:eastAsia="ja-JP"/>
        </w:rPr>
      </w:pPr>
      <w:r w:rsidRPr="00B00CD6">
        <w:rPr>
          <w:lang w:eastAsia="ja-JP"/>
        </w:rPr>
        <w:t>A minority of industry participants reported having mechanisms in place</w:t>
      </w:r>
      <w:r>
        <w:rPr>
          <w:lang w:eastAsia="ja-JP"/>
        </w:rPr>
        <w:t xml:space="preserve"> </w:t>
      </w:r>
      <w:r w:rsidRPr="00B00CD6">
        <w:rPr>
          <w:lang w:eastAsia="ja-JP"/>
        </w:rPr>
        <w:t>to support recovery after an emergency disease outbreak (11%</w:t>
      </w:r>
      <w:r w:rsidR="003831E4">
        <w:rPr>
          <w:lang w:eastAsia="ja-JP"/>
        </w:rPr>
        <w:t xml:space="preserve">; </w:t>
      </w:r>
      <w:r w:rsidR="003831E4" w:rsidRPr="00B00CD6">
        <w:rPr>
          <w:lang w:eastAsia="ja-JP"/>
        </w:rPr>
        <w:t>e.g., financial, business plans)</w:t>
      </w:r>
      <w:r w:rsidRPr="00B00CD6">
        <w:rPr>
          <w:lang w:eastAsia="ja-JP"/>
        </w:rPr>
        <w:t xml:space="preserve">. </w:t>
      </w:r>
      <w:r w:rsidR="00142782">
        <w:rPr>
          <w:lang w:eastAsia="ja-JP"/>
        </w:rPr>
        <w:t xml:space="preserve">Industry </w:t>
      </w:r>
      <w:r w:rsidRPr="00B00CD6">
        <w:rPr>
          <w:lang w:eastAsia="ja-JP"/>
        </w:rPr>
        <w:t>and government participants</w:t>
      </w:r>
      <w:r w:rsidR="00142782">
        <w:rPr>
          <w:lang w:eastAsia="ja-JP"/>
        </w:rPr>
        <w:t xml:space="preserve"> had varying degrees of confidence</w:t>
      </w:r>
      <w:r w:rsidRPr="00B00CD6">
        <w:rPr>
          <w:lang w:eastAsia="ja-JP"/>
        </w:rPr>
        <w:t xml:space="preserve"> </w:t>
      </w:r>
      <w:r w:rsidR="00142782" w:rsidRPr="00B00CD6">
        <w:rPr>
          <w:lang w:eastAsia="ja-JP"/>
        </w:rPr>
        <w:t>in their sector’s/organisation’s ability to respond to a disease outbreak</w:t>
      </w:r>
      <w:r w:rsidR="00DD0AF9">
        <w:rPr>
          <w:lang w:eastAsia="ja-JP"/>
        </w:rPr>
        <w:t xml:space="preserve"> (Figure </w:t>
      </w:r>
      <w:r w:rsidR="005539C6">
        <w:rPr>
          <w:lang w:eastAsia="ja-JP"/>
        </w:rPr>
        <w:t>5</w:t>
      </w:r>
      <w:r w:rsidR="00DD0AF9">
        <w:rPr>
          <w:lang w:eastAsia="ja-JP"/>
        </w:rPr>
        <w:t>)</w:t>
      </w:r>
      <w:r w:rsidRPr="00B00CD6">
        <w:rPr>
          <w:lang w:eastAsia="ja-JP"/>
        </w:rPr>
        <w:t>.</w:t>
      </w:r>
    </w:p>
    <w:p w14:paraId="000E80A4" w14:textId="0A8064F3" w:rsidR="003831E4" w:rsidRDefault="003831E4">
      <w:pPr>
        <w:spacing w:before="0" w:after="0"/>
        <w:rPr>
          <w:lang w:eastAsia="ja-JP"/>
        </w:rPr>
      </w:pPr>
    </w:p>
    <w:p w14:paraId="3197B98A" w14:textId="3A78BE63" w:rsidR="003831E4" w:rsidRPr="00253D46" w:rsidRDefault="003831E4" w:rsidP="00253D46">
      <w:pPr>
        <w:keepNext/>
        <w:rPr>
          <w:b/>
          <w:bCs/>
          <w:lang w:eastAsia="ja-JP"/>
        </w:rPr>
      </w:pPr>
      <w:r w:rsidRPr="00253D46">
        <w:rPr>
          <w:b/>
          <w:bCs/>
          <w:lang w:eastAsia="ja-JP"/>
        </w:rPr>
        <w:t xml:space="preserve">Figure </w:t>
      </w:r>
      <w:r w:rsidR="005539C6">
        <w:rPr>
          <w:b/>
          <w:bCs/>
          <w:lang w:eastAsia="ja-JP"/>
        </w:rPr>
        <w:t>5</w:t>
      </w:r>
      <w:r w:rsidRPr="00253D46">
        <w:rPr>
          <w:b/>
          <w:bCs/>
          <w:lang w:eastAsia="ja-JP"/>
        </w:rPr>
        <w:t xml:space="preserve">. </w:t>
      </w:r>
      <w:r w:rsidR="006C2703">
        <w:rPr>
          <w:b/>
          <w:bCs/>
          <w:lang w:eastAsia="ja-JP"/>
        </w:rPr>
        <w:t>Combined i</w:t>
      </w:r>
      <w:r w:rsidRPr="00253D46">
        <w:rPr>
          <w:b/>
          <w:bCs/>
          <w:lang w:eastAsia="ja-JP"/>
        </w:rPr>
        <w:t xml:space="preserve">ndustry and </w:t>
      </w:r>
      <w:r w:rsidR="006C2703" w:rsidRPr="00253D46">
        <w:rPr>
          <w:b/>
          <w:bCs/>
          <w:lang w:eastAsia="ja-JP"/>
        </w:rPr>
        <w:t>g</w:t>
      </w:r>
      <w:r w:rsidRPr="00253D46">
        <w:rPr>
          <w:b/>
          <w:bCs/>
          <w:lang w:eastAsia="ja-JP"/>
        </w:rPr>
        <w:t xml:space="preserve">overnment </w:t>
      </w:r>
      <w:r w:rsidR="006C2703" w:rsidRPr="00253D46">
        <w:rPr>
          <w:b/>
          <w:bCs/>
          <w:lang w:eastAsia="ja-JP"/>
        </w:rPr>
        <w:t>c</w:t>
      </w:r>
      <w:r w:rsidRPr="00253D46">
        <w:rPr>
          <w:b/>
          <w:bCs/>
          <w:lang w:eastAsia="ja-JP"/>
        </w:rPr>
        <w:t>onfidence in</w:t>
      </w:r>
      <w:r w:rsidR="006C2703" w:rsidRPr="00253D46">
        <w:rPr>
          <w:b/>
          <w:bCs/>
          <w:lang w:eastAsia="ja-JP"/>
        </w:rPr>
        <w:t xml:space="preserve"> </w:t>
      </w:r>
      <w:r w:rsidR="006C2703">
        <w:rPr>
          <w:b/>
          <w:bCs/>
          <w:lang w:eastAsia="ja-JP"/>
        </w:rPr>
        <w:t>their sector/organisation</w:t>
      </w:r>
      <w:r w:rsidR="00A8049A">
        <w:rPr>
          <w:b/>
          <w:bCs/>
          <w:lang w:eastAsia="ja-JP"/>
        </w:rPr>
        <w:t xml:space="preserve">s’ </w:t>
      </w:r>
      <w:r w:rsidR="006C2703" w:rsidRPr="00253D46">
        <w:rPr>
          <w:b/>
          <w:bCs/>
          <w:lang w:eastAsia="ja-JP"/>
        </w:rPr>
        <w:t>ability to respond to a disease outbreak</w:t>
      </w:r>
      <w:r w:rsidRPr="00253D46">
        <w:rPr>
          <w:b/>
          <w:bCs/>
          <w:lang w:eastAsia="ja-JP"/>
        </w:rPr>
        <w:t xml:space="preserve"> </w:t>
      </w:r>
    </w:p>
    <w:p w14:paraId="7AE1D7F5" w14:textId="3C557125" w:rsidR="00E14829" w:rsidRDefault="00BD0102">
      <w:pPr>
        <w:keepNext/>
        <w:rPr>
          <w:lang w:eastAsia="ja-JP"/>
        </w:rPr>
      </w:pPr>
      <w:r w:rsidRPr="00BD0102">
        <w:rPr>
          <w:noProof/>
        </w:rPr>
        <w:drawing>
          <wp:inline distT="0" distB="0" distL="0" distR="0" wp14:anchorId="34E26DDC" wp14:editId="75A2DA34">
            <wp:extent cx="5759450" cy="847090"/>
            <wp:effectExtent l="0" t="0" r="0" b="0"/>
            <wp:docPr id="1487242191" name="Picture 1" descr="Percentage of confidence with not confident at 9.2%, somewhat confident at 38.2%, very confident at 39.5% and extremely confident at 13.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242191" name="Picture 1" descr="Percentage of confidence with not confident at 9.2%, somewhat confident at 38.2%, very confident at 39.5% and extremely confident at 13.2%. "/>
                    <pic:cNvPicPr/>
                  </pic:nvPicPr>
                  <pic:blipFill>
                    <a:blip r:embed="rId21"/>
                    <a:stretch>
                      <a:fillRect/>
                    </a:stretch>
                  </pic:blipFill>
                  <pic:spPr>
                    <a:xfrm>
                      <a:off x="0" y="0"/>
                      <a:ext cx="5759450" cy="847090"/>
                    </a:xfrm>
                    <a:prstGeom prst="rect">
                      <a:avLst/>
                    </a:prstGeom>
                  </pic:spPr>
                </pic:pic>
              </a:graphicData>
            </a:graphic>
          </wp:inline>
        </w:drawing>
      </w:r>
    </w:p>
    <w:p w14:paraId="78963256" w14:textId="0EB6DAFB" w:rsidR="00E969B0" w:rsidRDefault="00E969B0" w:rsidP="006C2703">
      <w:pPr>
        <w:pStyle w:val="FigureTableNoteSource"/>
        <w:rPr>
          <w:lang w:eastAsia="ja-JP"/>
        </w:rPr>
      </w:pPr>
      <w:r w:rsidRPr="00E969B0">
        <w:rPr>
          <w:i/>
          <w:iCs/>
          <w:lang w:eastAsia="ja-JP"/>
        </w:rPr>
        <w:t>Note</w:t>
      </w:r>
      <w:r>
        <w:rPr>
          <w:lang w:eastAsia="ja-JP"/>
        </w:rPr>
        <w:t xml:space="preserve">. </w:t>
      </w:r>
      <w:r w:rsidRPr="00E969B0">
        <w:rPr>
          <w:i/>
          <w:iCs/>
          <w:lang w:eastAsia="ja-JP"/>
        </w:rPr>
        <w:t>n</w:t>
      </w:r>
      <w:r>
        <w:rPr>
          <w:lang w:eastAsia="ja-JP"/>
        </w:rPr>
        <w:t xml:space="preserve"> = 7</w:t>
      </w:r>
      <w:r w:rsidR="003831E4">
        <w:rPr>
          <w:lang w:eastAsia="ja-JP"/>
        </w:rPr>
        <w:t>9</w:t>
      </w:r>
      <w:r>
        <w:rPr>
          <w:lang w:eastAsia="ja-JP"/>
        </w:rPr>
        <w:t xml:space="preserve"> (industry and government</w:t>
      </w:r>
      <w:r w:rsidR="00884FBA">
        <w:rPr>
          <w:lang w:eastAsia="ja-JP"/>
        </w:rPr>
        <w:t xml:space="preserve"> only</w:t>
      </w:r>
      <w:r>
        <w:rPr>
          <w:lang w:eastAsia="ja-JP"/>
        </w:rPr>
        <w:t>)</w:t>
      </w:r>
      <w:r w:rsidR="00884FBA">
        <w:rPr>
          <w:lang w:eastAsia="ja-JP"/>
        </w:rPr>
        <w:t>. Service providers were not asked this question.</w:t>
      </w:r>
    </w:p>
    <w:p w14:paraId="20E93EDB" w14:textId="4B8D44F7" w:rsidR="00A8049A" w:rsidRPr="00A8049A" w:rsidRDefault="00A8049A" w:rsidP="00253D46">
      <w:pPr>
        <w:spacing w:before="0" w:after="0"/>
        <w:rPr>
          <w:lang w:eastAsia="ja-JP"/>
        </w:rPr>
      </w:pPr>
      <w:r>
        <w:rPr>
          <w:lang w:eastAsia="ja-JP"/>
        </w:rPr>
        <w:br w:type="page"/>
      </w:r>
    </w:p>
    <w:p w14:paraId="00D6B224" w14:textId="556B0AF6" w:rsidR="00B00CD6" w:rsidRDefault="00B00CD6" w:rsidP="00B00CD6">
      <w:pPr>
        <w:pStyle w:val="Heading3"/>
      </w:pPr>
      <w:bookmarkStart w:id="12" w:name="_Toc168473265"/>
      <w:r>
        <w:lastRenderedPageBreak/>
        <w:t>Question 3. Aquatic animal health management system performance and AQUAPLAN objectives</w:t>
      </w:r>
      <w:bookmarkEnd w:id="12"/>
    </w:p>
    <w:p w14:paraId="45FF6E7F" w14:textId="77777777" w:rsidR="00BD0102" w:rsidRDefault="002E057C" w:rsidP="00883B72">
      <w:pPr>
        <w:rPr>
          <w:lang w:eastAsia="ja-JP"/>
        </w:rPr>
      </w:pPr>
      <w:r>
        <w:rPr>
          <w:lang w:eastAsia="ja-JP"/>
        </w:rPr>
        <w:t>Th</w:t>
      </w:r>
      <w:r w:rsidR="00F97FCD">
        <w:rPr>
          <w:lang w:eastAsia="ja-JP"/>
        </w:rPr>
        <w:t>e</w:t>
      </w:r>
      <w:r>
        <w:rPr>
          <w:lang w:eastAsia="ja-JP"/>
        </w:rPr>
        <w:t xml:space="preserve"> </w:t>
      </w:r>
      <w:r w:rsidR="007660D9">
        <w:rPr>
          <w:lang w:eastAsia="ja-JP"/>
        </w:rPr>
        <w:t xml:space="preserve">items answering this question </w:t>
      </w:r>
      <w:r>
        <w:rPr>
          <w:lang w:eastAsia="ja-JP"/>
        </w:rPr>
        <w:t>established</w:t>
      </w:r>
      <w:r w:rsidR="00043BFC" w:rsidRPr="00043BFC">
        <w:rPr>
          <w:lang w:eastAsia="ja-JP"/>
        </w:rPr>
        <w:t xml:space="preserve"> a baseline of how stakeholders perceive and score</w:t>
      </w:r>
      <w:r w:rsidR="00391197">
        <w:rPr>
          <w:lang w:eastAsia="ja-JP"/>
        </w:rPr>
        <w:t xml:space="preserve"> components of the aquatic animal health system</w:t>
      </w:r>
      <w:r w:rsidR="00043BFC" w:rsidRPr="00043BFC">
        <w:rPr>
          <w:lang w:eastAsia="ja-JP"/>
        </w:rPr>
        <w:t>.</w:t>
      </w:r>
      <w:r w:rsidR="00EC2106">
        <w:rPr>
          <w:lang w:eastAsia="ja-JP"/>
        </w:rPr>
        <w:t xml:space="preserve"> In doing so, this also provides a baseline </w:t>
      </w:r>
      <w:r w:rsidR="00651728">
        <w:rPr>
          <w:lang w:eastAsia="ja-JP"/>
        </w:rPr>
        <w:t>measure for each AQUAPLAN objective.</w:t>
      </w:r>
      <w:r w:rsidR="00043BFC" w:rsidRPr="00043BFC">
        <w:rPr>
          <w:lang w:eastAsia="ja-JP"/>
        </w:rPr>
        <w:t xml:space="preserve"> </w:t>
      </w:r>
    </w:p>
    <w:p w14:paraId="2696D86B" w14:textId="039A0005" w:rsidR="00800DEA" w:rsidRDefault="00043BFC" w:rsidP="00883B72">
      <w:pPr>
        <w:rPr>
          <w:lang w:eastAsia="ja-JP"/>
        </w:rPr>
      </w:pPr>
      <w:r w:rsidRPr="00043BFC">
        <w:rPr>
          <w:lang w:eastAsia="ja-JP"/>
        </w:rPr>
        <w:t xml:space="preserve">This was achieved by participants answering multiple questions </w:t>
      </w:r>
      <w:r w:rsidR="002E057C">
        <w:rPr>
          <w:lang w:eastAsia="ja-JP"/>
        </w:rPr>
        <w:t xml:space="preserve">that </w:t>
      </w:r>
      <w:r w:rsidR="005C2CC3">
        <w:rPr>
          <w:lang w:eastAsia="ja-JP"/>
        </w:rPr>
        <w:t>align with</w:t>
      </w:r>
      <w:r w:rsidR="00FF322F">
        <w:rPr>
          <w:lang w:eastAsia="ja-JP"/>
        </w:rPr>
        <w:t xml:space="preserve"> components of the system and</w:t>
      </w:r>
      <w:r w:rsidR="005C2CC3">
        <w:rPr>
          <w:lang w:eastAsia="ja-JP"/>
        </w:rPr>
        <w:t xml:space="preserve"> </w:t>
      </w:r>
      <w:r w:rsidRPr="00043BFC">
        <w:rPr>
          <w:lang w:eastAsia="ja-JP"/>
        </w:rPr>
        <w:t>AQUAPLAN</w:t>
      </w:r>
      <w:r>
        <w:rPr>
          <w:lang w:eastAsia="ja-JP"/>
        </w:rPr>
        <w:t>’s</w:t>
      </w:r>
      <w:r w:rsidRPr="00043BFC">
        <w:rPr>
          <w:lang w:eastAsia="ja-JP"/>
        </w:rPr>
        <w:t xml:space="preserve"> objectives and vision. The questions </w:t>
      </w:r>
      <w:r w:rsidR="00DE6713">
        <w:rPr>
          <w:lang w:eastAsia="ja-JP"/>
        </w:rPr>
        <w:t xml:space="preserve">for each </w:t>
      </w:r>
      <w:r w:rsidR="00342114">
        <w:rPr>
          <w:lang w:eastAsia="ja-JP"/>
        </w:rPr>
        <w:t xml:space="preserve">system component </w:t>
      </w:r>
      <w:r w:rsidRPr="00043BFC">
        <w:rPr>
          <w:lang w:eastAsia="ja-JP"/>
        </w:rPr>
        <w:t xml:space="preserve">were then combined and transformed to create a score out of 100 to </w:t>
      </w:r>
      <w:r w:rsidR="00DE6713">
        <w:rPr>
          <w:lang w:eastAsia="ja-JP"/>
        </w:rPr>
        <w:t>allow</w:t>
      </w:r>
      <w:r w:rsidRPr="00043BFC">
        <w:rPr>
          <w:lang w:eastAsia="ja-JP"/>
        </w:rPr>
        <w:t xml:space="preserve"> </w:t>
      </w:r>
      <w:r w:rsidR="00DE6713">
        <w:rPr>
          <w:lang w:eastAsia="ja-JP"/>
        </w:rPr>
        <w:t xml:space="preserve">comparison </w:t>
      </w:r>
      <w:r w:rsidRPr="00043BFC">
        <w:rPr>
          <w:lang w:eastAsia="ja-JP"/>
        </w:rPr>
        <w:t xml:space="preserve">across </w:t>
      </w:r>
      <w:r w:rsidR="00342114">
        <w:rPr>
          <w:lang w:eastAsia="ja-JP"/>
        </w:rPr>
        <w:t>components</w:t>
      </w:r>
      <w:r w:rsidR="00342114" w:rsidRPr="00043BFC">
        <w:rPr>
          <w:lang w:eastAsia="ja-JP"/>
        </w:rPr>
        <w:t xml:space="preserve"> </w:t>
      </w:r>
      <w:r w:rsidRPr="00043BFC">
        <w:rPr>
          <w:lang w:eastAsia="ja-JP"/>
        </w:rPr>
        <w:t>and time points.</w:t>
      </w:r>
      <w:r w:rsidR="00040773">
        <w:rPr>
          <w:lang w:eastAsia="ja-JP"/>
        </w:rPr>
        <w:t xml:space="preserve"> The average across all </w:t>
      </w:r>
      <w:r w:rsidR="00D82E78">
        <w:rPr>
          <w:lang w:eastAsia="ja-JP"/>
        </w:rPr>
        <w:t xml:space="preserve">system components </w:t>
      </w:r>
      <w:r w:rsidR="00040773">
        <w:rPr>
          <w:lang w:eastAsia="ja-JP"/>
        </w:rPr>
        <w:t xml:space="preserve">was a score of 67. </w:t>
      </w:r>
      <w:r w:rsidR="00800DEA">
        <w:rPr>
          <w:lang w:eastAsia="ja-JP"/>
        </w:rPr>
        <w:t xml:space="preserve">The scores for each </w:t>
      </w:r>
      <w:r w:rsidR="00D82E78">
        <w:rPr>
          <w:lang w:eastAsia="ja-JP"/>
        </w:rPr>
        <w:t xml:space="preserve">component </w:t>
      </w:r>
      <w:r w:rsidR="00040773">
        <w:rPr>
          <w:lang w:eastAsia="ja-JP"/>
        </w:rPr>
        <w:t>are</w:t>
      </w:r>
      <w:r w:rsidR="00C43061">
        <w:rPr>
          <w:lang w:eastAsia="ja-JP"/>
        </w:rPr>
        <w:t xml:space="preserve"> shown</w:t>
      </w:r>
      <w:r w:rsidR="00800DEA">
        <w:rPr>
          <w:lang w:eastAsia="ja-JP"/>
        </w:rPr>
        <w:t xml:space="preserve"> in </w:t>
      </w:r>
      <w:r w:rsidR="00040773">
        <w:rPr>
          <w:lang w:eastAsia="ja-JP"/>
        </w:rPr>
        <w:t>Figure</w:t>
      </w:r>
      <w:r w:rsidR="00800DEA">
        <w:rPr>
          <w:lang w:eastAsia="ja-JP"/>
        </w:rPr>
        <w:t xml:space="preserve"> </w:t>
      </w:r>
      <w:r w:rsidR="005539C6">
        <w:rPr>
          <w:lang w:eastAsia="ja-JP"/>
        </w:rPr>
        <w:t>6</w:t>
      </w:r>
      <w:r w:rsidR="00800DEA">
        <w:rPr>
          <w:lang w:eastAsia="ja-JP"/>
        </w:rPr>
        <w:t>.</w:t>
      </w:r>
    </w:p>
    <w:p w14:paraId="7BF1A42E" w14:textId="315D0166" w:rsidR="00BD0102" w:rsidRDefault="00BD0102" w:rsidP="00883B72">
      <w:pPr>
        <w:rPr>
          <w:lang w:eastAsia="ja-JP"/>
        </w:rPr>
      </w:pPr>
      <w:r w:rsidRPr="00043BFC">
        <w:rPr>
          <w:lang w:eastAsia="ja-JP"/>
        </w:rPr>
        <w:t xml:space="preserve">Sector specific differences among industry, government, and </w:t>
      </w:r>
      <w:r>
        <w:rPr>
          <w:lang w:eastAsia="ja-JP"/>
        </w:rPr>
        <w:t>service providers and researchers</w:t>
      </w:r>
      <w:r w:rsidRPr="00043BFC">
        <w:rPr>
          <w:lang w:eastAsia="ja-JP"/>
        </w:rPr>
        <w:t xml:space="preserve"> were examined</w:t>
      </w:r>
      <w:r>
        <w:rPr>
          <w:lang w:eastAsia="ja-JP"/>
        </w:rPr>
        <w:t xml:space="preserve">. Overall, sector specific differences were minimal, suggesting that using the mean scores of all participants was appropriate. </w:t>
      </w:r>
    </w:p>
    <w:p w14:paraId="5981BD83" w14:textId="124446E8" w:rsidR="00040773" w:rsidRPr="00A8049A" w:rsidRDefault="002E057C" w:rsidP="00883B72">
      <w:pPr>
        <w:rPr>
          <w:b/>
          <w:bCs/>
          <w:lang w:eastAsia="ja-JP"/>
        </w:rPr>
      </w:pPr>
      <w:r w:rsidRPr="00253D46">
        <w:rPr>
          <w:b/>
          <w:bCs/>
          <w:lang w:eastAsia="ja-JP"/>
        </w:rPr>
        <w:t xml:space="preserve">Figure </w:t>
      </w:r>
      <w:r w:rsidR="005539C6">
        <w:rPr>
          <w:b/>
          <w:bCs/>
          <w:lang w:eastAsia="ja-JP"/>
        </w:rPr>
        <w:t>6</w:t>
      </w:r>
      <w:r w:rsidR="0047141E">
        <w:rPr>
          <w:b/>
          <w:bCs/>
          <w:lang w:eastAsia="ja-JP"/>
        </w:rPr>
        <w:t xml:space="preserve"> </w:t>
      </w:r>
      <w:r w:rsidR="00EF11F8">
        <w:rPr>
          <w:b/>
          <w:bCs/>
          <w:lang w:eastAsia="ja-JP"/>
        </w:rPr>
        <w:t>Aquatic animal health system b</w:t>
      </w:r>
      <w:r w:rsidR="00EF11F8" w:rsidRPr="00253D46">
        <w:rPr>
          <w:b/>
          <w:bCs/>
          <w:lang w:eastAsia="ja-JP"/>
        </w:rPr>
        <w:t xml:space="preserve">aseline </w:t>
      </w:r>
      <w:r w:rsidR="00EF11F8">
        <w:rPr>
          <w:b/>
          <w:bCs/>
          <w:lang w:eastAsia="ja-JP"/>
        </w:rPr>
        <w:t>s</w:t>
      </w:r>
      <w:r w:rsidR="00EF11F8" w:rsidRPr="00253D46">
        <w:rPr>
          <w:b/>
          <w:bCs/>
          <w:lang w:eastAsia="ja-JP"/>
        </w:rPr>
        <w:t>cores 2023</w:t>
      </w:r>
    </w:p>
    <w:p w14:paraId="1EA8CC0A" w14:textId="384732A9" w:rsidR="00040773" w:rsidRDefault="00BD0102" w:rsidP="00883B72">
      <w:pPr>
        <w:rPr>
          <w:lang w:eastAsia="ja-JP"/>
        </w:rPr>
      </w:pPr>
      <w:r w:rsidRPr="006A0398">
        <w:rPr>
          <w:noProof/>
        </w:rPr>
        <w:drawing>
          <wp:inline distT="0" distB="0" distL="0" distR="0" wp14:anchorId="1E6F5AD5" wp14:editId="2F9D9E05">
            <wp:extent cx="5759450" cy="2929890"/>
            <wp:effectExtent l="0" t="0" r="0" b="3810"/>
            <wp:docPr id="369780134" name="Picture 1" descr="Profitable industry, protected environments (Vision): system component mean score 70. Border biosecurity and trade (objective 1): system component mean score 61. Enterprise and regional biosecurity  (objective 2): system component mean score 78.  Surveillance (objective 3): system component mean score 60. Diagnostic capability (objective 4): system component mean score 71. Emergency preparedness (objective 5): system component mean score 64.     Veterinary medicines (objective 6): system component mean score 64. Research and innovation (objective 7): system component mean score 7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390654" name="Picture 1" descr="Profitable industry, protected environments (Vision): system component mean score 70. Border biosecurity and trade (objective 1): system component mean score 61. Enterprise and regional biosecurity  (objective 2): system component mean score 78.  Surveillance (objective 3): system component mean score 60. Diagnostic capability (objective 4): system component mean score 71. Emergency preparedness (objective 5): system component mean score 64.     Veterinary medicines (objective 6): system component mean score 64. Research and innovation (objective 7): system component mean score 72.  "/>
                    <pic:cNvPicPr/>
                  </pic:nvPicPr>
                  <pic:blipFill>
                    <a:blip r:embed="rId11"/>
                    <a:stretch>
                      <a:fillRect/>
                    </a:stretch>
                  </pic:blipFill>
                  <pic:spPr>
                    <a:xfrm>
                      <a:off x="0" y="0"/>
                      <a:ext cx="5759450" cy="2929890"/>
                    </a:xfrm>
                    <a:prstGeom prst="rect">
                      <a:avLst/>
                    </a:prstGeom>
                  </pic:spPr>
                </pic:pic>
              </a:graphicData>
            </a:graphic>
          </wp:inline>
        </w:drawing>
      </w:r>
    </w:p>
    <w:p w14:paraId="7176A541" w14:textId="781F3C05" w:rsidR="00040773" w:rsidRDefault="00DE73DE" w:rsidP="00253D46">
      <w:pPr>
        <w:pStyle w:val="FigureTableNoteSource"/>
        <w:rPr>
          <w:lang w:eastAsia="ja-JP"/>
        </w:rPr>
      </w:pPr>
      <w:r w:rsidRPr="00DE73DE">
        <w:rPr>
          <w:i/>
          <w:iCs/>
          <w:lang w:eastAsia="ja-JP"/>
        </w:rPr>
        <w:t>Note</w:t>
      </w:r>
      <w:r>
        <w:rPr>
          <w:lang w:eastAsia="ja-JP"/>
        </w:rPr>
        <w:t xml:space="preserve">. </w:t>
      </w:r>
      <w:r w:rsidRPr="00E969B0">
        <w:rPr>
          <w:i/>
          <w:iCs/>
          <w:lang w:eastAsia="ja-JP"/>
        </w:rPr>
        <w:t>N</w:t>
      </w:r>
      <w:r>
        <w:rPr>
          <w:lang w:eastAsia="ja-JP"/>
        </w:rPr>
        <w:t xml:space="preserve"> = 107.</w:t>
      </w:r>
    </w:p>
    <w:p w14:paraId="1CE26DEB" w14:textId="48C64349" w:rsidR="004C3316" w:rsidRDefault="00880FB8" w:rsidP="00880FB8">
      <w:pPr>
        <w:pStyle w:val="Heading3"/>
      </w:pPr>
      <w:bookmarkStart w:id="13" w:name="_Toc168473266"/>
      <w:r>
        <w:t>Question 4. Communication preferences</w:t>
      </w:r>
      <w:bookmarkEnd w:id="13"/>
    </w:p>
    <w:p w14:paraId="2901B9C4" w14:textId="77777777" w:rsidR="00C43061" w:rsidRDefault="005809AC" w:rsidP="004C3316">
      <w:r>
        <w:t>P</w:t>
      </w:r>
      <w:r w:rsidR="00880FB8" w:rsidRPr="00880FB8">
        <w:t xml:space="preserve">articipants </w:t>
      </w:r>
      <w:r w:rsidRPr="00880FB8">
        <w:t>were asked to identify</w:t>
      </w:r>
      <w:r w:rsidR="00C43061">
        <w:t>:</w:t>
      </w:r>
    </w:p>
    <w:p w14:paraId="36986511" w14:textId="0F7F4EBD" w:rsidR="00C43061" w:rsidRDefault="0042699E" w:rsidP="00C43061">
      <w:pPr>
        <w:pStyle w:val="ListParagraph"/>
        <w:numPr>
          <w:ilvl w:val="0"/>
          <w:numId w:val="38"/>
        </w:numPr>
      </w:pPr>
      <w:r>
        <w:t xml:space="preserve">their three most </w:t>
      </w:r>
      <w:r w:rsidR="00B44DFB">
        <w:t xml:space="preserve">preferred </w:t>
      </w:r>
      <w:r w:rsidR="00880FB8" w:rsidRPr="00880FB8">
        <w:t>source</w:t>
      </w:r>
      <w:r w:rsidR="00B44DFB">
        <w:t>s of</w:t>
      </w:r>
      <w:r w:rsidR="00880FB8" w:rsidRPr="00880FB8">
        <w:t xml:space="preserve"> information about aquatic animal health (Table </w:t>
      </w:r>
      <w:r w:rsidR="00EA5ACC">
        <w:t>2</w:t>
      </w:r>
      <w:r w:rsidR="00880FB8" w:rsidRPr="00880FB8">
        <w:t>)</w:t>
      </w:r>
    </w:p>
    <w:p w14:paraId="060CEC01" w14:textId="21FC6727" w:rsidR="00C43061" w:rsidRDefault="00880FB8" w:rsidP="00C43061">
      <w:pPr>
        <w:pStyle w:val="ListParagraph"/>
        <w:numPr>
          <w:ilvl w:val="0"/>
          <w:numId w:val="38"/>
        </w:numPr>
      </w:pPr>
      <w:r w:rsidRPr="00880FB8">
        <w:t xml:space="preserve">how they prefer to receive this information (Table </w:t>
      </w:r>
      <w:r w:rsidR="00EA5ACC">
        <w:t>3</w:t>
      </w:r>
      <w:r w:rsidRPr="00880FB8">
        <w:t>)</w:t>
      </w:r>
    </w:p>
    <w:p w14:paraId="3417E5E0" w14:textId="148A8949" w:rsidR="00C43061" w:rsidRDefault="00880FB8" w:rsidP="00C43061">
      <w:pPr>
        <w:pStyle w:val="ListParagraph"/>
        <w:numPr>
          <w:ilvl w:val="0"/>
          <w:numId w:val="38"/>
        </w:numPr>
      </w:pPr>
      <w:r w:rsidRPr="00880FB8">
        <w:t xml:space="preserve">the extent that social media is used for professional purposes (Table </w:t>
      </w:r>
      <w:r w:rsidR="00EA5ACC">
        <w:t>4</w:t>
      </w:r>
      <w:r w:rsidRPr="00880FB8">
        <w:t xml:space="preserve">) </w:t>
      </w:r>
    </w:p>
    <w:p w14:paraId="39524F99" w14:textId="77777777" w:rsidR="00C43061" w:rsidRDefault="00880FB8" w:rsidP="00C43061">
      <w:pPr>
        <w:pStyle w:val="ListParagraph"/>
        <w:numPr>
          <w:ilvl w:val="0"/>
          <w:numId w:val="38"/>
        </w:numPr>
      </w:pPr>
      <w:r w:rsidRPr="00880FB8">
        <w:t xml:space="preserve">areas where participants would like to increase their skills and knowledge in aquatic animal health (Table </w:t>
      </w:r>
      <w:r w:rsidR="00EA5ACC">
        <w:t>5</w:t>
      </w:r>
      <w:r w:rsidRPr="00880FB8">
        <w:t>).</w:t>
      </w:r>
      <w:r w:rsidR="00BE42EA">
        <w:t xml:space="preserve"> </w:t>
      </w:r>
    </w:p>
    <w:p w14:paraId="7BDC6C95" w14:textId="56168753" w:rsidR="00880FB8" w:rsidRDefault="00BE42EA" w:rsidP="00C43061">
      <w:r>
        <w:t>Note that because participants selected their top three responses, the totals are not expected to sum to 100%.</w:t>
      </w:r>
      <w:r w:rsidR="00880FB8" w:rsidRPr="00880FB8">
        <w:t xml:space="preserve"> There were some differences in responses among participant groups and to account for this, industry specific responses and whole sample responses are provided.</w:t>
      </w:r>
    </w:p>
    <w:p w14:paraId="2B8AA291" w14:textId="77777777" w:rsidR="00FE666C" w:rsidRDefault="00FE666C" w:rsidP="004C3316"/>
    <w:p w14:paraId="201D7256" w14:textId="7D780BC6" w:rsidR="00880FB8" w:rsidRDefault="00880FB8" w:rsidP="00880FB8">
      <w:pPr>
        <w:pStyle w:val="Caption"/>
      </w:pPr>
      <w:r>
        <w:lastRenderedPageBreak/>
        <w:t xml:space="preserve">Table </w:t>
      </w:r>
      <w:r w:rsidR="00EA5ACC">
        <w:t>2</w:t>
      </w:r>
      <w:r w:rsidR="000B6663">
        <w:rPr>
          <w:noProof/>
        </w:rPr>
        <w:t xml:space="preserve">. </w:t>
      </w:r>
      <w:r w:rsidRPr="00880FB8">
        <w:t>Top three sources of aquatic animal health information</w:t>
      </w:r>
      <w:r w:rsidR="00DA0E0D">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3969"/>
        <w:gridCol w:w="3962"/>
      </w:tblGrid>
      <w:tr w:rsidR="00880FB8" w14:paraId="02D3C03B" w14:textId="77777777" w:rsidTr="00880FB8">
        <w:tc>
          <w:tcPr>
            <w:tcW w:w="1129" w:type="dxa"/>
            <w:tcBorders>
              <w:bottom w:val="single" w:sz="4" w:space="0" w:color="auto"/>
            </w:tcBorders>
          </w:tcPr>
          <w:p w14:paraId="4702BE7C" w14:textId="76E0EAEF" w:rsidR="00880FB8" w:rsidRDefault="00880FB8" w:rsidP="00880FB8">
            <w:pPr>
              <w:pStyle w:val="TableHeading"/>
            </w:pPr>
            <w:r>
              <w:t>Priority</w:t>
            </w:r>
          </w:p>
        </w:tc>
        <w:tc>
          <w:tcPr>
            <w:tcW w:w="3969" w:type="dxa"/>
            <w:tcBorders>
              <w:bottom w:val="single" w:sz="4" w:space="0" w:color="auto"/>
            </w:tcBorders>
          </w:tcPr>
          <w:p w14:paraId="4F5270B0" w14:textId="5ECDE37E" w:rsidR="00880FB8" w:rsidRDefault="00880FB8" w:rsidP="00880FB8">
            <w:pPr>
              <w:pStyle w:val="TableHeading"/>
            </w:pPr>
            <w:r>
              <w:t xml:space="preserve"> Industry</w:t>
            </w:r>
            <w:r w:rsidR="00E969B0">
              <w:t xml:space="preserve"> (</w:t>
            </w:r>
            <w:r w:rsidR="00E969B0" w:rsidRPr="005539C6">
              <w:rPr>
                <w:i/>
                <w:iCs/>
              </w:rPr>
              <w:t>n</w:t>
            </w:r>
            <w:r w:rsidR="00E969B0">
              <w:t xml:space="preserve"> = 29)</w:t>
            </w:r>
          </w:p>
        </w:tc>
        <w:tc>
          <w:tcPr>
            <w:tcW w:w="3962" w:type="dxa"/>
            <w:tcBorders>
              <w:bottom w:val="single" w:sz="4" w:space="0" w:color="auto"/>
            </w:tcBorders>
          </w:tcPr>
          <w:p w14:paraId="28BA0161" w14:textId="6060FD6F" w:rsidR="00880FB8" w:rsidRDefault="00880FB8" w:rsidP="00880FB8">
            <w:pPr>
              <w:pStyle w:val="TableHeading"/>
            </w:pPr>
            <w:r>
              <w:t>Whole Sample</w:t>
            </w:r>
            <w:r w:rsidR="00E969B0">
              <w:t xml:space="preserve"> (</w:t>
            </w:r>
            <w:r w:rsidR="0045605E" w:rsidRPr="005539C6">
              <w:rPr>
                <w:i/>
                <w:iCs/>
              </w:rPr>
              <w:t>N</w:t>
            </w:r>
            <w:r w:rsidR="0045605E">
              <w:t xml:space="preserve"> </w:t>
            </w:r>
            <w:r w:rsidR="00E969B0">
              <w:t>= 107)</w:t>
            </w:r>
          </w:p>
        </w:tc>
      </w:tr>
      <w:tr w:rsidR="00880FB8" w14:paraId="1EB05223" w14:textId="77777777" w:rsidTr="00880FB8">
        <w:tc>
          <w:tcPr>
            <w:tcW w:w="1129" w:type="dxa"/>
            <w:tcBorders>
              <w:top w:val="single" w:sz="4" w:space="0" w:color="auto"/>
            </w:tcBorders>
          </w:tcPr>
          <w:p w14:paraId="108250AF" w14:textId="489D26FD" w:rsidR="00880FB8" w:rsidRDefault="00880FB8" w:rsidP="00880FB8">
            <w:pPr>
              <w:pStyle w:val="TableText"/>
            </w:pPr>
            <w:r>
              <w:t>1</w:t>
            </w:r>
          </w:p>
        </w:tc>
        <w:tc>
          <w:tcPr>
            <w:tcW w:w="3969" w:type="dxa"/>
            <w:tcBorders>
              <w:top w:val="single" w:sz="4" w:space="0" w:color="auto"/>
            </w:tcBorders>
          </w:tcPr>
          <w:p w14:paraId="725DF45C" w14:textId="3BEA1D26" w:rsidR="00880FB8" w:rsidRDefault="00880FB8" w:rsidP="00880FB8">
            <w:pPr>
              <w:pStyle w:val="TableText"/>
            </w:pPr>
            <w:r>
              <w:t>State or Territory Department of primary industries (52%)</w:t>
            </w:r>
          </w:p>
        </w:tc>
        <w:tc>
          <w:tcPr>
            <w:tcW w:w="3962" w:type="dxa"/>
            <w:tcBorders>
              <w:top w:val="single" w:sz="4" w:space="0" w:color="auto"/>
            </w:tcBorders>
          </w:tcPr>
          <w:p w14:paraId="19745367" w14:textId="5DBC1F1F" w:rsidR="00880FB8" w:rsidRDefault="00880FB8" w:rsidP="00880FB8">
            <w:pPr>
              <w:pStyle w:val="TableText"/>
            </w:pPr>
            <w:r>
              <w:t>Peer reviewed journals (46%)</w:t>
            </w:r>
          </w:p>
        </w:tc>
      </w:tr>
      <w:tr w:rsidR="00880FB8" w14:paraId="1C3B301E" w14:textId="77777777" w:rsidTr="00880FB8">
        <w:tc>
          <w:tcPr>
            <w:tcW w:w="1129" w:type="dxa"/>
          </w:tcPr>
          <w:p w14:paraId="6D4BD9A3" w14:textId="4FEDA23C" w:rsidR="00880FB8" w:rsidRDefault="00880FB8" w:rsidP="00880FB8">
            <w:pPr>
              <w:pStyle w:val="TableText"/>
            </w:pPr>
            <w:r>
              <w:t>2</w:t>
            </w:r>
          </w:p>
        </w:tc>
        <w:tc>
          <w:tcPr>
            <w:tcW w:w="3969" w:type="dxa"/>
          </w:tcPr>
          <w:p w14:paraId="11E922A7" w14:textId="37ED8993" w:rsidR="00880FB8" w:rsidRDefault="00880FB8" w:rsidP="00880FB8">
            <w:pPr>
              <w:pStyle w:val="TableText"/>
            </w:pPr>
            <w:r>
              <w:t>Fisheries Research and Development Corporation (52%)</w:t>
            </w:r>
          </w:p>
        </w:tc>
        <w:tc>
          <w:tcPr>
            <w:tcW w:w="3962" w:type="dxa"/>
          </w:tcPr>
          <w:p w14:paraId="37E30B74" w14:textId="1567469C" w:rsidR="00880FB8" w:rsidRDefault="00880FB8" w:rsidP="00880FB8">
            <w:pPr>
              <w:pStyle w:val="TableText"/>
            </w:pPr>
            <w:r>
              <w:t>Colleagues/peers (44%)</w:t>
            </w:r>
          </w:p>
        </w:tc>
      </w:tr>
      <w:tr w:rsidR="00880FB8" w14:paraId="2530761D" w14:textId="77777777" w:rsidTr="00880FB8">
        <w:tc>
          <w:tcPr>
            <w:tcW w:w="1129" w:type="dxa"/>
            <w:tcBorders>
              <w:bottom w:val="single" w:sz="4" w:space="0" w:color="auto"/>
            </w:tcBorders>
          </w:tcPr>
          <w:p w14:paraId="25B1B39C" w14:textId="6A75A7F8" w:rsidR="00880FB8" w:rsidRDefault="00880FB8" w:rsidP="00880FB8">
            <w:pPr>
              <w:pStyle w:val="TableText"/>
            </w:pPr>
            <w:r>
              <w:t>3</w:t>
            </w:r>
          </w:p>
        </w:tc>
        <w:tc>
          <w:tcPr>
            <w:tcW w:w="3969" w:type="dxa"/>
            <w:tcBorders>
              <w:bottom w:val="single" w:sz="4" w:space="0" w:color="auto"/>
            </w:tcBorders>
          </w:tcPr>
          <w:p w14:paraId="2D4430CE" w14:textId="02228A74" w:rsidR="00880FB8" w:rsidRDefault="00880FB8" w:rsidP="00880FB8">
            <w:pPr>
              <w:pStyle w:val="TableText"/>
            </w:pPr>
            <w:r>
              <w:t>Aquatic veterinarian or aquatic health specialist (48%)</w:t>
            </w:r>
          </w:p>
        </w:tc>
        <w:tc>
          <w:tcPr>
            <w:tcW w:w="3962" w:type="dxa"/>
            <w:tcBorders>
              <w:bottom w:val="single" w:sz="4" w:space="0" w:color="auto"/>
            </w:tcBorders>
          </w:tcPr>
          <w:p w14:paraId="2C110D1A" w14:textId="7007CF3A" w:rsidR="00880FB8" w:rsidRDefault="00880FB8" w:rsidP="00880FB8">
            <w:pPr>
              <w:pStyle w:val="TableText"/>
            </w:pPr>
            <w:r>
              <w:t>State or Territory Department of primary industries (39%)</w:t>
            </w:r>
          </w:p>
        </w:tc>
      </w:tr>
    </w:tbl>
    <w:p w14:paraId="180AC12A" w14:textId="77777777" w:rsidR="00880FB8" w:rsidRDefault="00880FB8" w:rsidP="00880FB8">
      <w:pPr>
        <w:pStyle w:val="Caption"/>
      </w:pPr>
    </w:p>
    <w:p w14:paraId="15EAB3EF" w14:textId="27CA857B" w:rsidR="00880FB8" w:rsidRDefault="00880FB8" w:rsidP="00880FB8">
      <w:pPr>
        <w:pStyle w:val="Caption"/>
      </w:pPr>
      <w:r>
        <w:t xml:space="preserve">Table </w:t>
      </w:r>
      <w:r w:rsidR="00EA5ACC">
        <w:t>3</w:t>
      </w:r>
      <w:r w:rsidR="001055F1">
        <w:rPr>
          <w:noProof/>
        </w:rPr>
        <w:t>.</w:t>
      </w:r>
      <w:r w:rsidRPr="00880FB8">
        <w:t xml:space="preserve"> Top three </w:t>
      </w:r>
      <w:r w:rsidR="001055F1" w:rsidRPr="00880FB8">
        <w:t>preferr</w:t>
      </w:r>
      <w:r w:rsidR="001055F1">
        <w:t>ed</w:t>
      </w:r>
      <w:r w:rsidR="001055F1" w:rsidRPr="00880FB8">
        <w:t xml:space="preserve"> </w:t>
      </w:r>
      <w:r w:rsidRPr="00880FB8">
        <w:t>ways to receive information</w:t>
      </w:r>
      <w:r w:rsidR="007D4556">
        <w:t xml:space="preserve"> on aquatic animal health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3969"/>
        <w:gridCol w:w="3962"/>
      </w:tblGrid>
      <w:tr w:rsidR="00880FB8" w14:paraId="6CACB9AB" w14:textId="77777777" w:rsidTr="004735CC">
        <w:tc>
          <w:tcPr>
            <w:tcW w:w="1129" w:type="dxa"/>
            <w:tcBorders>
              <w:bottom w:val="single" w:sz="4" w:space="0" w:color="auto"/>
            </w:tcBorders>
          </w:tcPr>
          <w:p w14:paraId="1D95A4B3" w14:textId="77777777" w:rsidR="00880FB8" w:rsidRDefault="00880FB8" w:rsidP="00880FB8">
            <w:pPr>
              <w:pStyle w:val="TableHeading"/>
            </w:pPr>
            <w:r>
              <w:t>Priority</w:t>
            </w:r>
          </w:p>
        </w:tc>
        <w:tc>
          <w:tcPr>
            <w:tcW w:w="3969" w:type="dxa"/>
            <w:tcBorders>
              <w:bottom w:val="single" w:sz="4" w:space="0" w:color="auto"/>
            </w:tcBorders>
          </w:tcPr>
          <w:p w14:paraId="10DC3016" w14:textId="3181DC46" w:rsidR="00880FB8" w:rsidRDefault="00880FB8" w:rsidP="00880FB8">
            <w:pPr>
              <w:pStyle w:val="TableHeading"/>
            </w:pPr>
            <w:r>
              <w:t xml:space="preserve"> Industry</w:t>
            </w:r>
            <w:r w:rsidR="00E969B0">
              <w:t xml:space="preserve"> (</w:t>
            </w:r>
            <w:r w:rsidR="00E969B0" w:rsidRPr="005539C6">
              <w:rPr>
                <w:i/>
                <w:iCs/>
              </w:rPr>
              <w:t>n</w:t>
            </w:r>
            <w:r w:rsidR="00E969B0">
              <w:t xml:space="preserve"> = 29)</w:t>
            </w:r>
          </w:p>
        </w:tc>
        <w:tc>
          <w:tcPr>
            <w:tcW w:w="3962" w:type="dxa"/>
            <w:tcBorders>
              <w:bottom w:val="single" w:sz="4" w:space="0" w:color="auto"/>
            </w:tcBorders>
          </w:tcPr>
          <w:p w14:paraId="6A2D7349" w14:textId="03E76C49" w:rsidR="00880FB8" w:rsidRDefault="00880FB8" w:rsidP="00880FB8">
            <w:pPr>
              <w:pStyle w:val="TableHeading"/>
            </w:pPr>
            <w:r>
              <w:t>Whole Sample</w:t>
            </w:r>
            <w:r w:rsidR="00E969B0">
              <w:t xml:space="preserve"> (</w:t>
            </w:r>
            <w:r w:rsidR="00091224" w:rsidRPr="005539C6">
              <w:rPr>
                <w:i/>
                <w:iCs/>
              </w:rPr>
              <w:t>N</w:t>
            </w:r>
            <w:r w:rsidR="00091224">
              <w:t xml:space="preserve"> </w:t>
            </w:r>
            <w:r w:rsidR="00E969B0">
              <w:t>= 107)</w:t>
            </w:r>
          </w:p>
        </w:tc>
      </w:tr>
      <w:tr w:rsidR="00880FB8" w14:paraId="2F379B54" w14:textId="77777777" w:rsidTr="004735CC">
        <w:tc>
          <w:tcPr>
            <w:tcW w:w="1129" w:type="dxa"/>
            <w:tcBorders>
              <w:top w:val="single" w:sz="4" w:space="0" w:color="auto"/>
            </w:tcBorders>
          </w:tcPr>
          <w:p w14:paraId="395BC284" w14:textId="6475B70C" w:rsidR="00880FB8" w:rsidRDefault="00880FB8" w:rsidP="00880FB8">
            <w:pPr>
              <w:pStyle w:val="TableText"/>
              <w:keepNext/>
            </w:pPr>
            <w:r>
              <w:t>1</w:t>
            </w:r>
          </w:p>
        </w:tc>
        <w:tc>
          <w:tcPr>
            <w:tcW w:w="3969" w:type="dxa"/>
            <w:tcBorders>
              <w:top w:val="single" w:sz="4" w:space="0" w:color="auto"/>
            </w:tcBorders>
          </w:tcPr>
          <w:p w14:paraId="1042234A" w14:textId="7E786C0D" w:rsidR="00880FB8" w:rsidRDefault="00F83372" w:rsidP="00880FB8">
            <w:pPr>
              <w:pStyle w:val="TableText"/>
              <w:keepNext/>
            </w:pPr>
            <w:r>
              <w:t>Conferences and</w:t>
            </w:r>
            <w:r w:rsidR="00B56723">
              <w:t xml:space="preserve"> i</w:t>
            </w:r>
            <w:r w:rsidR="00880FB8">
              <w:t>ndustry meetings</w:t>
            </w:r>
            <w:r w:rsidR="00B56723" w:rsidDel="00B56723">
              <w:t xml:space="preserve"> </w:t>
            </w:r>
            <w:r w:rsidR="00880FB8">
              <w:t>(71%)</w:t>
            </w:r>
          </w:p>
        </w:tc>
        <w:tc>
          <w:tcPr>
            <w:tcW w:w="3962" w:type="dxa"/>
            <w:tcBorders>
              <w:top w:val="single" w:sz="4" w:space="0" w:color="auto"/>
            </w:tcBorders>
          </w:tcPr>
          <w:p w14:paraId="54507F7C" w14:textId="3B8061FA" w:rsidR="00880FB8" w:rsidRDefault="00880FB8" w:rsidP="00880FB8">
            <w:pPr>
              <w:pStyle w:val="TableText"/>
              <w:keepNext/>
            </w:pPr>
            <w:r>
              <w:t>Targeted information session/webinars on specific topics (62%)</w:t>
            </w:r>
          </w:p>
        </w:tc>
      </w:tr>
      <w:tr w:rsidR="00880FB8" w14:paraId="416ED598" w14:textId="77777777" w:rsidTr="004735CC">
        <w:tc>
          <w:tcPr>
            <w:tcW w:w="1129" w:type="dxa"/>
          </w:tcPr>
          <w:p w14:paraId="034EB2D8" w14:textId="77777777" w:rsidR="00880FB8" w:rsidRDefault="00880FB8" w:rsidP="00880FB8">
            <w:pPr>
              <w:pStyle w:val="TableText"/>
              <w:keepNext/>
            </w:pPr>
            <w:r>
              <w:t>2</w:t>
            </w:r>
          </w:p>
        </w:tc>
        <w:tc>
          <w:tcPr>
            <w:tcW w:w="3969" w:type="dxa"/>
          </w:tcPr>
          <w:p w14:paraId="7D2FCD53" w14:textId="215964B4" w:rsidR="00880FB8" w:rsidRDefault="00880FB8" w:rsidP="00880FB8">
            <w:pPr>
              <w:pStyle w:val="TableText"/>
              <w:keepNext/>
            </w:pPr>
            <w:r>
              <w:t>Email (62%)</w:t>
            </w:r>
          </w:p>
        </w:tc>
        <w:tc>
          <w:tcPr>
            <w:tcW w:w="3962" w:type="dxa"/>
          </w:tcPr>
          <w:p w14:paraId="2DE4E696" w14:textId="121CAE4F" w:rsidR="00880FB8" w:rsidRDefault="00880FB8" w:rsidP="00880FB8">
            <w:pPr>
              <w:pStyle w:val="TableText"/>
              <w:keepNext/>
            </w:pPr>
            <w:r>
              <w:t>Email (53%)</w:t>
            </w:r>
          </w:p>
        </w:tc>
      </w:tr>
      <w:tr w:rsidR="00880FB8" w14:paraId="2F3C445D" w14:textId="77777777" w:rsidTr="004735CC">
        <w:tc>
          <w:tcPr>
            <w:tcW w:w="1129" w:type="dxa"/>
            <w:tcBorders>
              <w:bottom w:val="single" w:sz="4" w:space="0" w:color="auto"/>
            </w:tcBorders>
          </w:tcPr>
          <w:p w14:paraId="5404FE89" w14:textId="77777777" w:rsidR="00880FB8" w:rsidRDefault="00880FB8" w:rsidP="00880FB8">
            <w:pPr>
              <w:pStyle w:val="TableText"/>
              <w:keepNext/>
            </w:pPr>
            <w:r>
              <w:t>3</w:t>
            </w:r>
          </w:p>
        </w:tc>
        <w:tc>
          <w:tcPr>
            <w:tcW w:w="3969" w:type="dxa"/>
            <w:tcBorders>
              <w:bottom w:val="single" w:sz="4" w:space="0" w:color="auto"/>
            </w:tcBorders>
          </w:tcPr>
          <w:p w14:paraId="5EA5B133" w14:textId="7C0BD2A3" w:rsidR="00880FB8" w:rsidRDefault="00880FB8" w:rsidP="00880FB8">
            <w:pPr>
              <w:pStyle w:val="TableText"/>
              <w:keepNext/>
            </w:pPr>
            <w:r>
              <w:t>Targeted information session/webinars on specific topics (52%)</w:t>
            </w:r>
          </w:p>
        </w:tc>
        <w:tc>
          <w:tcPr>
            <w:tcW w:w="3962" w:type="dxa"/>
            <w:tcBorders>
              <w:bottom w:val="single" w:sz="4" w:space="0" w:color="auto"/>
            </w:tcBorders>
          </w:tcPr>
          <w:p w14:paraId="158BCCCB" w14:textId="6CD62675" w:rsidR="00880FB8" w:rsidRDefault="00B56723" w:rsidP="00880FB8">
            <w:pPr>
              <w:pStyle w:val="TableText"/>
              <w:keepNext/>
            </w:pPr>
            <w:r>
              <w:t>C</w:t>
            </w:r>
            <w:r w:rsidR="00880FB8" w:rsidRPr="00880FB8">
              <w:t>onferences</w:t>
            </w:r>
            <w:r>
              <w:t xml:space="preserve"> and i</w:t>
            </w:r>
            <w:r w:rsidRPr="00880FB8">
              <w:t>ndustry meetings</w:t>
            </w:r>
            <w:r w:rsidR="00880FB8">
              <w:t xml:space="preserve"> (47%)</w:t>
            </w:r>
          </w:p>
        </w:tc>
      </w:tr>
    </w:tbl>
    <w:p w14:paraId="20A22A18" w14:textId="77777777" w:rsidR="00880FB8" w:rsidRDefault="00880FB8" w:rsidP="00880FB8"/>
    <w:p w14:paraId="12527EA7" w14:textId="12905E56" w:rsidR="00880FB8" w:rsidRDefault="00880FB8" w:rsidP="00880FB8">
      <w:pPr>
        <w:pStyle w:val="Caption"/>
      </w:pPr>
      <w:r>
        <w:t xml:space="preserve">Table </w:t>
      </w:r>
      <w:r w:rsidR="00EA5ACC">
        <w:t>4</w:t>
      </w:r>
      <w:r w:rsidR="007F5116">
        <w:rPr>
          <w:noProof/>
        </w:rPr>
        <w:t xml:space="preserve">. </w:t>
      </w:r>
      <w:r w:rsidR="00AC5BBF">
        <w:t xml:space="preserve">Top three social </w:t>
      </w:r>
      <w:r w:rsidRPr="00880FB8">
        <w:t xml:space="preserve">media </w:t>
      </w:r>
      <w:r w:rsidR="007D4556">
        <w:t>platforms</w:t>
      </w:r>
      <w:r w:rsidR="007D4556" w:rsidRPr="00880FB8">
        <w:t xml:space="preserve"> </w:t>
      </w:r>
      <w:r w:rsidRPr="00880FB8">
        <w:t>for professional purposes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3969"/>
        <w:gridCol w:w="3962"/>
      </w:tblGrid>
      <w:tr w:rsidR="00880FB8" w14:paraId="030530A3" w14:textId="77777777" w:rsidTr="004735CC">
        <w:tc>
          <w:tcPr>
            <w:tcW w:w="1129" w:type="dxa"/>
            <w:tcBorders>
              <w:bottom w:val="single" w:sz="4" w:space="0" w:color="auto"/>
            </w:tcBorders>
          </w:tcPr>
          <w:p w14:paraId="2A5C3408" w14:textId="77777777" w:rsidR="00880FB8" w:rsidRDefault="00880FB8" w:rsidP="004735CC">
            <w:pPr>
              <w:pStyle w:val="TableHeading"/>
            </w:pPr>
            <w:r>
              <w:t>Priority</w:t>
            </w:r>
          </w:p>
        </w:tc>
        <w:tc>
          <w:tcPr>
            <w:tcW w:w="3969" w:type="dxa"/>
            <w:tcBorders>
              <w:bottom w:val="single" w:sz="4" w:space="0" w:color="auto"/>
            </w:tcBorders>
          </w:tcPr>
          <w:p w14:paraId="2E44E7FB" w14:textId="6C8F9999" w:rsidR="00880FB8" w:rsidRDefault="00880FB8" w:rsidP="004735CC">
            <w:pPr>
              <w:pStyle w:val="TableHeading"/>
            </w:pPr>
            <w:r>
              <w:t xml:space="preserve"> Industry</w:t>
            </w:r>
            <w:r w:rsidR="00E969B0">
              <w:t xml:space="preserve"> (</w:t>
            </w:r>
            <w:r w:rsidR="00E969B0" w:rsidRPr="005539C6">
              <w:rPr>
                <w:i/>
                <w:iCs/>
              </w:rPr>
              <w:t>n</w:t>
            </w:r>
            <w:r w:rsidR="00E969B0">
              <w:t xml:space="preserve"> = 29)</w:t>
            </w:r>
          </w:p>
        </w:tc>
        <w:tc>
          <w:tcPr>
            <w:tcW w:w="3962" w:type="dxa"/>
            <w:tcBorders>
              <w:bottom w:val="single" w:sz="4" w:space="0" w:color="auto"/>
            </w:tcBorders>
          </w:tcPr>
          <w:p w14:paraId="24845031" w14:textId="6031E1A4" w:rsidR="00880FB8" w:rsidRDefault="00880FB8" w:rsidP="004735CC">
            <w:pPr>
              <w:pStyle w:val="TableHeading"/>
            </w:pPr>
            <w:r>
              <w:t>Whole Sample</w:t>
            </w:r>
            <w:r w:rsidR="00E969B0">
              <w:t xml:space="preserve"> (</w:t>
            </w:r>
            <w:r w:rsidR="00091224" w:rsidRPr="005539C6">
              <w:rPr>
                <w:i/>
                <w:iCs/>
              </w:rPr>
              <w:t>N</w:t>
            </w:r>
            <w:r w:rsidR="00E969B0">
              <w:t xml:space="preserve"> = 107)</w:t>
            </w:r>
          </w:p>
        </w:tc>
      </w:tr>
      <w:tr w:rsidR="00880FB8" w14:paraId="3E5E4112" w14:textId="77777777" w:rsidTr="004735CC">
        <w:tc>
          <w:tcPr>
            <w:tcW w:w="1129" w:type="dxa"/>
            <w:tcBorders>
              <w:top w:val="single" w:sz="4" w:space="0" w:color="auto"/>
            </w:tcBorders>
          </w:tcPr>
          <w:p w14:paraId="79277F9B" w14:textId="77777777" w:rsidR="00880FB8" w:rsidRDefault="00880FB8" w:rsidP="004735CC">
            <w:pPr>
              <w:pStyle w:val="TableText"/>
              <w:keepNext/>
            </w:pPr>
            <w:r>
              <w:t>1</w:t>
            </w:r>
          </w:p>
        </w:tc>
        <w:tc>
          <w:tcPr>
            <w:tcW w:w="3969" w:type="dxa"/>
            <w:tcBorders>
              <w:top w:val="single" w:sz="4" w:space="0" w:color="auto"/>
            </w:tcBorders>
          </w:tcPr>
          <w:p w14:paraId="7B574575" w14:textId="14A0BD3C" w:rsidR="00880FB8" w:rsidRDefault="002768CE" w:rsidP="004735CC">
            <w:pPr>
              <w:pStyle w:val="TableText"/>
              <w:keepNext/>
            </w:pPr>
            <w:r>
              <w:t>Facebook (57%)</w:t>
            </w:r>
          </w:p>
        </w:tc>
        <w:tc>
          <w:tcPr>
            <w:tcW w:w="3962" w:type="dxa"/>
            <w:tcBorders>
              <w:top w:val="single" w:sz="4" w:space="0" w:color="auto"/>
            </w:tcBorders>
          </w:tcPr>
          <w:p w14:paraId="5E109CDA" w14:textId="000C3EC1" w:rsidR="00880FB8" w:rsidRDefault="002768CE" w:rsidP="004735CC">
            <w:pPr>
              <w:pStyle w:val="TableText"/>
              <w:keepNext/>
            </w:pPr>
            <w:r>
              <w:t>Not a social media user for professional purposes (43%)</w:t>
            </w:r>
          </w:p>
        </w:tc>
      </w:tr>
      <w:tr w:rsidR="00880FB8" w14:paraId="7908FF02" w14:textId="77777777" w:rsidTr="004735CC">
        <w:tc>
          <w:tcPr>
            <w:tcW w:w="1129" w:type="dxa"/>
          </w:tcPr>
          <w:p w14:paraId="40F31C44" w14:textId="77777777" w:rsidR="00880FB8" w:rsidRDefault="00880FB8" w:rsidP="004735CC">
            <w:pPr>
              <w:pStyle w:val="TableText"/>
              <w:keepNext/>
            </w:pPr>
            <w:r>
              <w:t>2</w:t>
            </w:r>
          </w:p>
        </w:tc>
        <w:tc>
          <w:tcPr>
            <w:tcW w:w="3969" w:type="dxa"/>
          </w:tcPr>
          <w:p w14:paraId="4990368B" w14:textId="592C8C5C" w:rsidR="00880FB8" w:rsidRDefault="002768CE" w:rsidP="004735CC">
            <w:pPr>
              <w:pStyle w:val="TableText"/>
              <w:keepNext/>
            </w:pPr>
            <w:r>
              <w:t>LinkedIn (48%)</w:t>
            </w:r>
          </w:p>
        </w:tc>
        <w:tc>
          <w:tcPr>
            <w:tcW w:w="3962" w:type="dxa"/>
          </w:tcPr>
          <w:p w14:paraId="3C89442B" w14:textId="767BB2F0" w:rsidR="00880FB8" w:rsidRDefault="002768CE" w:rsidP="004735CC">
            <w:pPr>
              <w:pStyle w:val="TableText"/>
              <w:keepNext/>
            </w:pPr>
            <w:r>
              <w:t>LinkedIn (38%)</w:t>
            </w:r>
          </w:p>
        </w:tc>
      </w:tr>
      <w:tr w:rsidR="00880FB8" w14:paraId="21704BD2" w14:textId="77777777" w:rsidTr="004735CC">
        <w:tc>
          <w:tcPr>
            <w:tcW w:w="1129" w:type="dxa"/>
            <w:tcBorders>
              <w:bottom w:val="single" w:sz="4" w:space="0" w:color="auto"/>
            </w:tcBorders>
          </w:tcPr>
          <w:p w14:paraId="692BE450" w14:textId="77777777" w:rsidR="00880FB8" w:rsidRDefault="00880FB8" w:rsidP="004735CC">
            <w:pPr>
              <w:pStyle w:val="TableText"/>
              <w:keepNext/>
            </w:pPr>
            <w:r>
              <w:t>3</w:t>
            </w:r>
          </w:p>
        </w:tc>
        <w:tc>
          <w:tcPr>
            <w:tcW w:w="3969" w:type="dxa"/>
            <w:tcBorders>
              <w:bottom w:val="single" w:sz="4" w:space="0" w:color="auto"/>
            </w:tcBorders>
          </w:tcPr>
          <w:p w14:paraId="53E2C32D" w14:textId="32A1AEDF" w:rsidR="00880FB8" w:rsidRDefault="002768CE" w:rsidP="004735CC">
            <w:pPr>
              <w:pStyle w:val="TableText"/>
              <w:keepNext/>
            </w:pPr>
            <w:r>
              <w:t>Not a social media user for professional purposes (19%)</w:t>
            </w:r>
          </w:p>
        </w:tc>
        <w:tc>
          <w:tcPr>
            <w:tcW w:w="3962" w:type="dxa"/>
            <w:tcBorders>
              <w:bottom w:val="single" w:sz="4" w:space="0" w:color="auto"/>
            </w:tcBorders>
          </w:tcPr>
          <w:p w14:paraId="3D6687B0" w14:textId="7CDD0321" w:rsidR="00880FB8" w:rsidRDefault="002768CE" w:rsidP="004735CC">
            <w:pPr>
              <w:pStyle w:val="TableText"/>
              <w:keepNext/>
            </w:pPr>
            <w:r>
              <w:t>Facebook (33%)</w:t>
            </w:r>
          </w:p>
        </w:tc>
      </w:tr>
    </w:tbl>
    <w:p w14:paraId="5A627D33" w14:textId="77777777" w:rsidR="00880FB8" w:rsidRDefault="00880FB8" w:rsidP="00880FB8"/>
    <w:p w14:paraId="7CD746D8" w14:textId="0D140273" w:rsidR="00880FB8" w:rsidRDefault="00880FB8" w:rsidP="00880FB8">
      <w:pPr>
        <w:pStyle w:val="Caption"/>
      </w:pPr>
      <w:r>
        <w:lastRenderedPageBreak/>
        <w:t xml:space="preserve">Table </w:t>
      </w:r>
      <w:r w:rsidR="00EA5ACC">
        <w:t>5</w:t>
      </w:r>
      <w:r w:rsidR="007F5116">
        <w:rPr>
          <w:noProof/>
        </w:rPr>
        <w:t>.</w:t>
      </w:r>
      <w:r>
        <w:t xml:space="preserve"> </w:t>
      </w:r>
      <w:r w:rsidRPr="00880FB8">
        <w:t xml:space="preserve">Top three areas </w:t>
      </w:r>
      <w:r w:rsidR="002768CE" w:rsidRPr="00880FB8">
        <w:t>where participants would like to increase their skills and knowledge in aquatic animal health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3969"/>
        <w:gridCol w:w="3962"/>
      </w:tblGrid>
      <w:tr w:rsidR="00880FB8" w14:paraId="77925DEA" w14:textId="77777777" w:rsidTr="004735CC">
        <w:tc>
          <w:tcPr>
            <w:tcW w:w="1129" w:type="dxa"/>
            <w:tcBorders>
              <w:bottom w:val="single" w:sz="4" w:space="0" w:color="auto"/>
            </w:tcBorders>
          </w:tcPr>
          <w:p w14:paraId="02C28163" w14:textId="77777777" w:rsidR="00880FB8" w:rsidRDefault="00880FB8" w:rsidP="004735CC">
            <w:pPr>
              <w:pStyle w:val="TableHeading"/>
            </w:pPr>
            <w:r>
              <w:t>Priority</w:t>
            </w:r>
          </w:p>
        </w:tc>
        <w:tc>
          <w:tcPr>
            <w:tcW w:w="3969" w:type="dxa"/>
            <w:tcBorders>
              <w:bottom w:val="single" w:sz="4" w:space="0" w:color="auto"/>
            </w:tcBorders>
          </w:tcPr>
          <w:p w14:paraId="7AEA5308" w14:textId="31DE246E" w:rsidR="00880FB8" w:rsidRDefault="00880FB8" w:rsidP="004735CC">
            <w:pPr>
              <w:pStyle w:val="TableHeading"/>
            </w:pPr>
            <w:r>
              <w:t xml:space="preserve"> Industry</w:t>
            </w:r>
            <w:r w:rsidR="00E969B0">
              <w:t xml:space="preserve"> (</w:t>
            </w:r>
            <w:r w:rsidR="00E969B0" w:rsidRPr="005539C6">
              <w:rPr>
                <w:i/>
                <w:iCs/>
              </w:rPr>
              <w:t>n</w:t>
            </w:r>
            <w:r w:rsidR="00E969B0">
              <w:t xml:space="preserve"> = 29)</w:t>
            </w:r>
          </w:p>
        </w:tc>
        <w:tc>
          <w:tcPr>
            <w:tcW w:w="3962" w:type="dxa"/>
            <w:tcBorders>
              <w:bottom w:val="single" w:sz="4" w:space="0" w:color="auto"/>
            </w:tcBorders>
          </w:tcPr>
          <w:p w14:paraId="0A805039" w14:textId="74AA4876" w:rsidR="00880FB8" w:rsidRDefault="00880FB8" w:rsidP="004735CC">
            <w:pPr>
              <w:pStyle w:val="TableHeading"/>
            </w:pPr>
            <w:r>
              <w:t>Whole Sample</w:t>
            </w:r>
            <w:r w:rsidR="00E969B0">
              <w:t xml:space="preserve"> (</w:t>
            </w:r>
            <w:r w:rsidR="00091224" w:rsidRPr="005539C6">
              <w:rPr>
                <w:i/>
                <w:iCs/>
              </w:rPr>
              <w:t>N</w:t>
            </w:r>
            <w:r w:rsidR="00E969B0">
              <w:t xml:space="preserve"> = 107)</w:t>
            </w:r>
          </w:p>
        </w:tc>
      </w:tr>
      <w:tr w:rsidR="00880FB8" w14:paraId="518BB7B5" w14:textId="77777777" w:rsidTr="004735CC">
        <w:tc>
          <w:tcPr>
            <w:tcW w:w="1129" w:type="dxa"/>
            <w:tcBorders>
              <w:top w:val="single" w:sz="4" w:space="0" w:color="auto"/>
            </w:tcBorders>
          </w:tcPr>
          <w:p w14:paraId="4529D796" w14:textId="77777777" w:rsidR="00880FB8" w:rsidRDefault="00880FB8" w:rsidP="004735CC">
            <w:pPr>
              <w:pStyle w:val="TableText"/>
              <w:keepNext/>
            </w:pPr>
            <w:r>
              <w:t>1</w:t>
            </w:r>
          </w:p>
        </w:tc>
        <w:tc>
          <w:tcPr>
            <w:tcW w:w="3969" w:type="dxa"/>
            <w:tcBorders>
              <w:top w:val="single" w:sz="4" w:space="0" w:color="auto"/>
            </w:tcBorders>
          </w:tcPr>
          <w:p w14:paraId="71407FD0" w14:textId="47FFBDBA" w:rsidR="00880FB8" w:rsidRDefault="006C19C5" w:rsidP="004735CC">
            <w:pPr>
              <w:pStyle w:val="TableText"/>
              <w:keepNext/>
            </w:pPr>
            <w:r w:rsidRPr="006C19C5">
              <w:t>New research in aquatic animal health and biosecurity that could be relevant to me (57%)</w:t>
            </w:r>
          </w:p>
        </w:tc>
        <w:tc>
          <w:tcPr>
            <w:tcW w:w="3962" w:type="dxa"/>
            <w:tcBorders>
              <w:top w:val="single" w:sz="4" w:space="0" w:color="auto"/>
            </w:tcBorders>
          </w:tcPr>
          <w:p w14:paraId="52744519" w14:textId="0985FD20" w:rsidR="00880FB8" w:rsidRDefault="006C19C5" w:rsidP="004735CC">
            <w:pPr>
              <w:pStyle w:val="TableText"/>
              <w:keepNext/>
            </w:pPr>
            <w:r w:rsidRPr="006C19C5">
              <w:t>New research in aquatic animal health and biosecurity that could be relevant to me (52%)</w:t>
            </w:r>
          </w:p>
        </w:tc>
      </w:tr>
      <w:tr w:rsidR="00880FB8" w14:paraId="7BD5A822" w14:textId="77777777" w:rsidTr="004735CC">
        <w:tc>
          <w:tcPr>
            <w:tcW w:w="1129" w:type="dxa"/>
          </w:tcPr>
          <w:p w14:paraId="78137C9B" w14:textId="77777777" w:rsidR="00880FB8" w:rsidRDefault="00880FB8" w:rsidP="004735CC">
            <w:pPr>
              <w:pStyle w:val="TableText"/>
              <w:keepNext/>
            </w:pPr>
            <w:r>
              <w:t>2</w:t>
            </w:r>
          </w:p>
        </w:tc>
        <w:tc>
          <w:tcPr>
            <w:tcW w:w="3969" w:type="dxa"/>
          </w:tcPr>
          <w:p w14:paraId="1EA04F0E" w14:textId="252E306C" w:rsidR="00880FB8" w:rsidRDefault="006C19C5" w:rsidP="004735CC">
            <w:pPr>
              <w:pStyle w:val="TableText"/>
              <w:keepNext/>
            </w:pPr>
            <w:r w:rsidRPr="006C19C5">
              <w:t>How you can best prepare for, and respond to, an emergency disease outbreak (48%)</w:t>
            </w:r>
          </w:p>
        </w:tc>
        <w:tc>
          <w:tcPr>
            <w:tcW w:w="3962" w:type="dxa"/>
          </w:tcPr>
          <w:p w14:paraId="07059299" w14:textId="20BB1C0A" w:rsidR="00880FB8" w:rsidRDefault="006C19C5" w:rsidP="004735CC">
            <w:pPr>
              <w:pStyle w:val="TableText"/>
              <w:keepNext/>
            </w:pPr>
            <w:r w:rsidRPr="006C19C5">
              <w:t>Surveillance approaches for aquatic animal disease (e.g., on-farm, regionally, nationally (45%)</w:t>
            </w:r>
          </w:p>
        </w:tc>
      </w:tr>
      <w:tr w:rsidR="00880FB8" w14:paraId="6EBD9997" w14:textId="77777777" w:rsidTr="004735CC">
        <w:tc>
          <w:tcPr>
            <w:tcW w:w="1129" w:type="dxa"/>
            <w:tcBorders>
              <w:bottom w:val="single" w:sz="4" w:space="0" w:color="auto"/>
            </w:tcBorders>
          </w:tcPr>
          <w:p w14:paraId="4EA0152A" w14:textId="77777777" w:rsidR="00880FB8" w:rsidRDefault="00880FB8" w:rsidP="004735CC">
            <w:pPr>
              <w:pStyle w:val="TableText"/>
              <w:keepNext/>
            </w:pPr>
            <w:r>
              <w:t>3</w:t>
            </w:r>
          </w:p>
        </w:tc>
        <w:tc>
          <w:tcPr>
            <w:tcW w:w="3969" w:type="dxa"/>
            <w:tcBorders>
              <w:bottom w:val="single" w:sz="4" w:space="0" w:color="auto"/>
            </w:tcBorders>
          </w:tcPr>
          <w:p w14:paraId="6E58CCFD" w14:textId="054AEAE2" w:rsidR="00880FB8" w:rsidRDefault="006C19C5" w:rsidP="004735CC">
            <w:pPr>
              <w:pStyle w:val="TableText"/>
              <w:keepNext/>
            </w:pPr>
            <w:r>
              <w:t>S</w:t>
            </w:r>
            <w:r w:rsidRPr="006C19C5">
              <w:t>urveillance approaches for aquatic animal disease (e.g., on-farm, regionally, nationally) (43%)</w:t>
            </w:r>
          </w:p>
        </w:tc>
        <w:tc>
          <w:tcPr>
            <w:tcW w:w="3962" w:type="dxa"/>
            <w:tcBorders>
              <w:bottom w:val="single" w:sz="4" w:space="0" w:color="auto"/>
            </w:tcBorders>
          </w:tcPr>
          <w:p w14:paraId="5FBCF2DB" w14:textId="03E45020" w:rsidR="00880FB8" w:rsidRDefault="006C19C5" w:rsidP="004735CC">
            <w:pPr>
              <w:pStyle w:val="TableText"/>
              <w:keepNext/>
            </w:pPr>
            <w:r w:rsidRPr="006C19C5">
              <w:t>How you can best prepare for, and respond to, an emergency disease outbreak (30%)</w:t>
            </w:r>
          </w:p>
        </w:tc>
      </w:tr>
    </w:tbl>
    <w:p w14:paraId="7628BBF1" w14:textId="77777777" w:rsidR="00BE42EA" w:rsidRDefault="00BE42EA" w:rsidP="00BE42EA"/>
    <w:p w14:paraId="5BBA84C4" w14:textId="5483ADF2" w:rsidR="00880FB8" w:rsidRPr="006928C4" w:rsidRDefault="001C4D19" w:rsidP="006928C4">
      <w:pPr>
        <w:pStyle w:val="Heading2"/>
      </w:pPr>
      <w:bookmarkStart w:id="14" w:name="_Toc168473267"/>
      <w:r w:rsidRPr="006928C4">
        <w:t>Conclusion</w:t>
      </w:r>
      <w:bookmarkEnd w:id="14"/>
      <w:r w:rsidRPr="006928C4">
        <w:t xml:space="preserve"> </w:t>
      </w:r>
    </w:p>
    <w:p w14:paraId="0C5D5938" w14:textId="77777777" w:rsidR="00E45E41" w:rsidRDefault="0052270B" w:rsidP="004A5CE9">
      <w:pPr>
        <w:pStyle w:val="ListBullet"/>
        <w:numPr>
          <w:ilvl w:val="0"/>
          <w:numId w:val="0"/>
        </w:numPr>
        <w:rPr>
          <w:lang w:eastAsia="ja-JP"/>
        </w:rPr>
      </w:pPr>
      <w:r>
        <w:rPr>
          <w:lang w:eastAsia="ja-JP"/>
        </w:rPr>
        <w:t>This project</w:t>
      </w:r>
      <w:r w:rsidR="00D81B59">
        <w:rPr>
          <w:lang w:eastAsia="ja-JP"/>
        </w:rPr>
        <w:t xml:space="preserve"> </w:t>
      </w:r>
      <w:r>
        <w:rPr>
          <w:lang w:eastAsia="ja-JP"/>
        </w:rPr>
        <w:t>develop</w:t>
      </w:r>
      <w:r w:rsidR="00D81B59">
        <w:rPr>
          <w:lang w:eastAsia="ja-JP"/>
        </w:rPr>
        <w:t>ed</w:t>
      </w:r>
      <w:r>
        <w:rPr>
          <w:lang w:eastAsia="ja-JP"/>
        </w:rPr>
        <w:t xml:space="preserve"> a</w:t>
      </w:r>
      <w:r w:rsidR="004A5CE9">
        <w:rPr>
          <w:lang w:eastAsia="ja-JP"/>
        </w:rPr>
        <w:t xml:space="preserve"> novel</w:t>
      </w:r>
      <w:r>
        <w:rPr>
          <w:lang w:eastAsia="ja-JP"/>
        </w:rPr>
        <w:t xml:space="preserve"> survey method </w:t>
      </w:r>
      <w:r w:rsidR="00D81B59">
        <w:rPr>
          <w:lang w:eastAsia="ja-JP"/>
        </w:rPr>
        <w:t>to</w:t>
      </w:r>
      <w:r>
        <w:rPr>
          <w:lang w:eastAsia="ja-JP"/>
        </w:rPr>
        <w:t xml:space="preserve"> </w:t>
      </w:r>
      <w:r w:rsidR="00D81B59">
        <w:rPr>
          <w:lang w:eastAsia="ja-JP"/>
        </w:rPr>
        <w:t xml:space="preserve">evaluate </w:t>
      </w:r>
      <w:r>
        <w:rPr>
          <w:lang w:eastAsia="ja-JP"/>
        </w:rPr>
        <w:t>stakeholder</w:t>
      </w:r>
      <w:r w:rsidR="00C43061">
        <w:rPr>
          <w:lang w:eastAsia="ja-JP"/>
        </w:rPr>
        <w:t>s’</w:t>
      </w:r>
      <w:r>
        <w:rPr>
          <w:lang w:eastAsia="ja-JP"/>
        </w:rPr>
        <w:t xml:space="preserve"> experience and perceptions of Australia’s aquatic animal health management system</w:t>
      </w:r>
      <w:r w:rsidR="003A456F">
        <w:rPr>
          <w:lang w:eastAsia="ja-JP"/>
        </w:rPr>
        <w:t>.</w:t>
      </w:r>
      <w:r w:rsidR="004A5CE9">
        <w:rPr>
          <w:lang w:eastAsia="ja-JP"/>
        </w:rPr>
        <w:t xml:space="preserve"> </w:t>
      </w:r>
      <w:r w:rsidR="003A456F">
        <w:rPr>
          <w:lang w:eastAsia="ja-JP"/>
        </w:rPr>
        <w:t>The</w:t>
      </w:r>
      <w:r>
        <w:rPr>
          <w:lang w:eastAsia="ja-JP"/>
        </w:rPr>
        <w:t xml:space="preserve"> survey </w:t>
      </w:r>
      <w:r w:rsidR="00307AED">
        <w:rPr>
          <w:lang w:eastAsia="ja-JP"/>
        </w:rPr>
        <w:t>operationalise</w:t>
      </w:r>
      <w:r w:rsidR="004A5CE9">
        <w:rPr>
          <w:lang w:eastAsia="ja-JP"/>
        </w:rPr>
        <w:t>d</w:t>
      </w:r>
      <w:r w:rsidR="00307AED">
        <w:rPr>
          <w:lang w:eastAsia="ja-JP"/>
        </w:rPr>
        <w:t xml:space="preserve"> </w:t>
      </w:r>
      <w:r w:rsidR="007B3CC0">
        <w:rPr>
          <w:lang w:eastAsia="ja-JP"/>
        </w:rPr>
        <w:t xml:space="preserve">components of Australia’s aquatic animal health management system, aligning with </w:t>
      </w:r>
      <w:r w:rsidR="00307AED">
        <w:rPr>
          <w:lang w:eastAsia="ja-JP"/>
        </w:rPr>
        <w:t>the</w:t>
      </w:r>
      <w:r w:rsidR="001D3714">
        <w:rPr>
          <w:lang w:eastAsia="ja-JP"/>
        </w:rPr>
        <w:t xml:space="preserve"> vision and</w:t>
      </w:r>
      <w:r>
        <w:rPr>
          <w:lang w:eastAsia="ja-JP"/>
        </w:rPr>
        <w:t xml:space="preserve"> objectives of AQUAPLAN 2022–2027</w:t>
      </w:r>
      <w:r w:rsidR="001F0B79">
        <w:rPr>
          <w:lang w:eastAsia="ja-JP"/>
        </w:rPr>
        <w:t>.</w:t>
      </w:r>
      <w:r w:rsidR="004A5CE9">
        <w:rPr>
          <w:lang w:eastAsia="ja-JP"/>
        </w:rPr>
        <w:t xml:space="preserve"> </w:t>
      </w:r>
    </w:p>
    <w:p w14:paraId="44D0768F" w14:textId="23A5027E" w:rsidR="001D3714" w:rsidRDefault="00CB0445" w:rsidP="004A5CE9">
      <w:pPr>
        <w:pStyle w:val="ListBullet"/>
        <w:numPr>
          <w:ilvl w:val="0"/>
          <w:numId w:val="0"/>
        </w:numPr>
        <w:rPr>
          <w:lang w:eastAsia="ja-JP"/>
        </w:rPr>
      </w:pPr>
      <w:r w:rsidRPr="0029416D">
        <w:rPr>
          <w:b/>
          <w:bCs/>
          <w:lang w:eastAsia="ja-JP"/>
        </w:rPr>
        <w:t xml:space="preserve">On average stakeholders scored </w:t>
      </w:r>
      <w:r w:rsidR="00841EE7">
        <w:rPr>
          <w:b/>
          <w:bCs/>
          <w:lang w:eastAsia="ja-JP"/>
        </w:rPr>
        <w:t>all</w:t>
      </w:r>
      <w:r w:rsidR="00841EE7" w:rsidRPr="0029416D">
        <w:rPr>
          <w:b/>
          <w:bCs/>
          <w:lang w:eastAsia="ja-JP"/>
        </w:rPr>
        <w:t xml:space="preserve"> </w:t>
      </w:r>
      <w:r w:rsidRPr="0029416D">
        <w:rPr>
          <w:b/>
          <w:bCs/>
          <w:lang w:eastAsia="ja-JP"/>
        </w:rPr>
        <w:t>objectives of AQUAPLAN 2022-2027 67 out of 100, setting the baseline from which future impact surveys can be compared and changes in stakeholder perceptions of the performance of Australia’s aquatic animal health management system can be evaluated.</w:t>
      </w:r>
    </w:p>
    <w:p w14:paraId="7B3B30C4" w14:textId="503FDF79" w:rsidR="00CB0445" w:rsidRDefault="003704BE" w:rsidP="004A5CE9">
      <w:pPr>
        <w:pStyle w:val="ListBullet"/>
        <w:numPr>
          <w:ilvl w:val="0"/>
          <w:numId w:val="0"/>
        </w:numPr>
        <w:rPr>
          <w:lang w:eastAsia="ja-JP"/>
        </w:rPr>
      </w:pPr>
      <w:r>
        <w:rPr>
          <w:lang w:eastAsia="ja-JP"/>
        </w:rPr>
        <w:t>I</w:t>
      </w:r>
      <w:r w:rsidR="004A5CE9">
        <w:rPr>
          <w:lang w:eastAsia="ja-JP"/>
        </w:rPr>
        <w:t xml:space="preserve">nsights </w:t>
      </w:r>
      <w:r w:rsidR="0006457E">
        <w:rPr>
          <w:lang w:eastAsia="ja-JP"/>
        </w:rPr>
        <w:t xml:space="preserve">were gathered </w:t>
      </w:r>
      <w:r>
        <w:rPr>
          <w:lang w:eastAsia="ja-JP"/>
        </w:rPr>
        <w:t>into</w:t>
      </w:r>
      <w:r w:rsidR="004A5CE9">
        <w:rPr>
          <w:lang w:eastAsia="ja-JP"/>
        </w:rPr>
        <w:t xml:space="preserve"> the benefits and challenges confronting aquatic animal industries and governments </w:t>
      </w:r>
      <w:r w:rsidR="00D6702A">
        <w:rPr>
          <w:lang w:eastAsia="ja-JP"/>
        </w:rPr>
        <w:t>to</w:t>
      </w:r>
      <w:r w:rsidR="0006457E">
        <w:rPr>
          <w:lang w:eastAsia="ja-JP"/>
        </w:rPr>
        <w:t xml:space="preserve"> </w:t>
      </w:r>
      <w:r w:rsidR="00D6702A">
        <w:rPr>
          <w:lang w:eastAsia="ja-JP"/>
        </w:rPr>
        <w:t xml:space="preserve">manage </w:t>
      </w:r>
      <w:r>
        <w:rPr>
          <w:lang w:eastAsia="ja-JP"/>
        </w:rPr>
        <w:t xml:space="preserve">aquatic animal </w:t>
      </w:r>
      <w:r w:rsidR="004A5CE9">
        <w:rPr>
          <w:lang w:eastAsia="ja-JP"/>
        </w:rPr>
        <w:t xml:space="preserve">health and </w:t>
      </w:r>
      <w:r w:rsidR="00D6702A">
        <w:rPr>
          <w:lang w:eastAsia="ja-JP"/>
        </w:rPr>
        <w:t xml:space="preserve">maximise </w:t>
      </w:r>
      <w:r w:rsidR="004A5CE9">
        <w:rPr>
          <w:lang w:eastAsia="ja-JP"/>
        </w:rPr>
        <w:t>productivity and profitability</w:t>
      </w:r>
      <w:r w:rsidR="00D74065">
        <w:rPr>
          <w:lang w:eastAsia="ja-JP"/>
        </w:rPr>
        <w:t xml:space="preserve">. </w:t>
      </w:r>
      <w:r w:rsidR="00D6702A">
        <w:rPr>
          <w:lang w:eastAsia="ja-JP"/>
        </w:rPr>
        <w:t>These insights</w:t>
      </w:r>
      <w:r w:rsidR="007B3CC0">
        <w:rPr>
          <w:lang w:eastAsia="ja-JP"/>
        </w:rPr>
        <w:t xml:space="preserve"> will</w:t>
      </w:r>
      <w:r>
        <w:rPr>
          <w:lang w:eastAsia="ja-JP"/>
        </w:rPr>
        <w:t xml:space="preserve"> inform</w:t>
      </w:r>
      <w:r w:rsidR="00CD0B4D">
        <w:rPr>
          <w:lang w:eastAsia="ja-JP"/>
        </w:rPr>
        <w:t xml:space="preserve"> AQUAPLAN’s</w:t>
      </w:r>
      <w:r>
        <w:rPr>
          <w:lang w:eastAsia="ja-JP"/>
        </w:rPr>
        <w:t xml:space="preserve"> implementation and identify potential changes in industry</w:t>
      </w:r>
      <w:r>
        <w:rPr>
          <w:lang w:eastAsia="ja-JP"/>
        </w:rPr>
        <w:noBreakHyphen/>
        <w:t>government priorities</w:t>
      </w:r>
      <w:r w:rsidR="004A5CE9">
        <w:rPr>
          <w:lang w:eastAsia="ja-JP"/>
        </w:rPr>
        <w:t xml:space="preserve">. </w:t>
      </w:r>
      <w:r w:rsidR="00612120">
        <w:rPr>
          <w:lang w:eastAsia="ja-JP"/>
        </w:rPr>
        <w:t xml:space="preserve">The survey </w:t>
      </w:r>
      <w:r w:rsidR="004A5CE9">
        <w:rPr>
          <w:lang w:eastAsia="ja-JP"/>
        </w:rPr>
        <w:t>also gathered information about stakeholder communication preferences</w:t>
      </w:r>
      <w:r>
        <w:rPr>
          <w:lang w:eastAsia="ja-JP"/>
        </w:rPr>
        <w:t>,</w:t>
      </w:r>
      <w:r w:rsidR="004A5CE9">
        <w:rPr>
          <w:lang w:eastAsia="ja-JP"/>
        </w:rPr>
        <w:t xml:space="preserve"> which is an essential aspect to implementation, extension, and adoption of AQUAPLAN activities.</w:t>
      </w:r>
    </w:p>
    <w:p w14:paraId="156CAAFB" w14:textId="09E1B81F" w:rsidR="004A5CE9" w:rsidRDefault="004A5CE9" w:rsidP="004A5CE9">
      <w:pPr>
        <w:pStyle w:val="ListBullet"/>
        <w:numPr>
          <w:ilvl w:val="0"/>
          <w:numId w:val="0"/>
        </w:numPr>
        <w:rPr>
          <w:lang w:eastAsia="ja-JP"/>
        </w:rPr>
      </w:pPr>
      <w:r w:rsidRPr="005539C6">
        <w:rPr>
          <w:lang w:eastAsia="ja-JP"/>
        </w:rPr>
        <w:t xml:space="preserve">The </w:t>
      </w:r>
      <w:r w:rsidR="003704BE" w:rsidRPr="005539C6">
        <w:rPr>
          <w:lang w:eastAsia="ja-JP"/>
        </w:rPr>
        <w:t xml:space="preserve">AQUAPLAN </w:t>
      </w:r>
      <w:r w:rsidR="005539C6" w:rsidRPr="005539C6">
        <w:rPr>
          <w:lang w:eastAsia="ja-JP"/>
        </w:rPr>
        <w:t>I</w:t>
      </w:r>
      <w:r w:rsidR="003704BE" w:rsidRPr="005539C6">
        <w:rPr>
          <w:lang w:eastAsia="ja-JP"/>
        </w:rPr>
        <w:t xml:space="preserve">mpact </w:t>
      </w:r>
      <w:r w:rsidR="005539C6" w:rsidRPr="005539C6">
        <w:rPr>
          <w:lang w:eastAsia="ja-JP"/>
        </w:rPr>
        <w:t>S</w:t>
      </w:r>
      <w:r w:rsidRPr="005539C6">
        <w:rPr>
          <w:lang w:eastAsia="ja-JP"/>
        </w:rPr>
        <w:t>urvey will</w:t>
      </w:r>
      <w:r w:rsidRPr="00C64CEA">
        <w:rPr>
          <w:lang w:eastAsia="ja-JP"/>
        </w:rPr>
        <w:t xml:space="preserve"> be conducted twice more as part of AQUAPLAN</w:t>
      </w:r>
      <w:r w:rsidR="003704BE">
        <w:rPr>
          <w:lang w:eastAsia="ja-JP"/>
        </w:rPr>
        <w:t xml:space="preserve"> 2022-2027</w:t>
      </w:r>
      <w:r>
        <w:rPr>
          <w:lang w:eastAsia="ja-JP"/>
        </w:rPr>
        <w:t>’s</w:t>
      </w:r>
      <w:r w:rsidRPr="00C64CEA">
        <w:rPr>
          <w:lang w:eastAsia="ja-JP"/>
        </w:rPr>
        <w:t xml:space="preserve"> evaluation, in 2025 as part of the mid-plan review and in 2027 as part of the end of plan evaluation. This will provide an understanding of </w:t>
      </w:r>
      <w:r>
        <w:rPr>
          <w:lang w:eastAsia="ja-JP"/>
        </w:rPr>
        <w:t xml:space="preserve">stakeholder experience and perceptions of </w:t>
      </w:r>
      <w:r w:rsidRPr="00C64CEA">
        <w:rPr>
          <w:lang w:eastAsia="ja-JP"/>
        </w:rPr>
        <w:t xml:space="preserve">how the </w:t>
      </w:r>
      <w:r>
        <w:rPr>
          <w:lang w:eastAsia="ja-JP"/>
        </w:rPr>
        <w:t>aquatic animal health</w:t>
      </w:r>
      <w:r w:rsidRPr="00C64CEA">
        <w:rPr>
          <w:lang w:eastAsia="ja-JP"/>
        </w:rPr>
        <w:t xml:space="preserve"> management system is changing over </w:t>
      </w:r>
      <w:r w:rsidR="00612120">
        <w:rPr>
          <w:lang w:eastAsia="ja-JP"/>
        </w:rPr>
        <w:t xml:space="preserve">the duration of </w:t>
      </w:r>
      <w:r>
        <w:rPr>
          <w:lang w:eastAsia="ja-JP"/>
        </w:rPr>
        <w:t>AQUAPLAN 2022-</w:t>
      </w:r>
      <w:r w:rsidR="00612120">
        <w:rPr>
          <w:lang w:eastAsia="ja-JP"/>
        </w:rPr>
        <w:t>2027.</w:t>
      </w:r>
      <w:r w:rsidRPr="00C64CEA">
        <w:rPr>
          <w:lang w:eastAsia="ja-JP"/>
        </w:rPr>
        <w:t xml:space="preserve"> </w:t>
      </w:r>
    </w:p>
    <w:p w14:paraId="4A13DBEE" w14:textId="77777777" w:rsidR="004A5CE9" w:rsidRDefault="004A5CE9" w:rsidP="004A5CE9">
      <w:pPr>
        <w:pStyle w:val="ListBullet"/>
        <w:numPr>
          <w:ilvl w:val="0"/>
          <w:numId w:val="0"/>
        </w:numPr>
        <w:rPr>
          <w:lang w:eastAsia="ja-JP"/>
        </w:rPr>
      </w:pPr>
    </w:p>
    <w:p w14:paraId="0CB2BB3A" w14:textId="19B20A2D" w:rsidR="00E85034" w:rsidRPr="004A5CE9" w:rsidRDefault="00E85034" w:rsidP="0015440D">
      <w:pPr>
        <w:pStyle w:val="ListBullet"/>
        <w:numPr>
          <w:ilvl w:val="0"/>
          <w:numId w:val="0"/>
        </w:numPr>
        <w:rPr>
          <w:strike/>
          <w:lang w:eastAsia="ja-JP"/>
        </w:rPr>
      </w:pPr>
    </w:p>
    <w:sectPr w:rsidR="00E85034" w:rsidRPr="004A5CE9" w:rsidSect="008C7D50">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F13AA" w14:textId="77777777" w:rsidR="008C7D50" w:rsidRDefault="008C7D50">
      <w:r>
        <w:separator/>
      </w:r>
    </w:p>
    <w:p w14:paraId="1F022385" w14:textId="77777777" w:rsidR="008C7D50" w:rsidRDefault="008C7D50"/>
    <w:p w14:paraId="30197916" w14:textId="77777777" w:rsidR="008C7D50" w:rsidRDefault="008C7D50"/>
  </w:endnote>
  <w:endnote w:type="continuationSeparator" w:id="0">
    <w:p w14:paraId="2F4A6A23" w14:textId="77777777" w:rsidR="008C7D50" w:rsidRDefault="008C7D50">
      <w:r>
        <w:continuationSeparator/>
      </w:r>
    </w:p>
    <w:p w14:paraId="54D696F5" w14:textId="77777777" w:rsidR="008C7D50" w:rsidRDefault="008C7D50"/>
    <w:p w14:paraId="476A1177" w14:textId="77777777" w:rsidR="008C7D50" w:rsidRDefault="008C7D50"/>
  </w:endnote>
  <w:endnote w:type="continuationNotice" w:id="1">
    <w:p w14:paraId="13D826A5" w14:textId="77777777" w:rsidR="008C7D50" w:rsidRDefault="008C7D50">
      <w:pPr>
        <w:pStyle w:val="Footer"/>
      </w:pPr>
    </w:p>
    <w:p w14:paraId="664F3CEA" w14:textId="77777777" w:rsidR="008C7D50" w:rsidRDefault="008C7D50"/>
    <w:p w14:paraId="08E0C6F6" w14:textId="77777777" w:rsidR="008C7D50" w:rsidRDefault="008C7D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097CD" w14:textId="4897FE34" w:rsidR="00836529" w:rsidRDefault="00836529">
    <w:pPr>
      <w:pStyle w:val="Footer"/>
    </w:pPr>
    <w:r>
      <w:rPr>
        <w:noProof/>
      </w:rPr>
      <mc:AlternateContent>
        <mc:Choice Requires="wps">
          <w:drawing>
            <wp:anchor distT="0" distB="0" distL="0" distR="0" simplePos="0" relativeHeight="251662336" behindDoc="0" locked="0" layoutInCell="1" allowOverlap="1" wp14:anchorId="09FFDA06" wp14:editId="48B78A2A">
              <wp:simplePos x="635" y="635"/>
              <wp:positionH relativeFrom="page">
                <wp:align>center</wp:align>
              </wp:positionH>
              <wp:positionV relativeFrom="page">
                <wp:align>bottom</wp:align>
              </wp:positionV>
              <wp:extent cx="551815" cy="452755"/>
              <wp:effectExtent l="0" t="0" r="635" b="0"/>
              <wp:wrapNone/>
              <wp:docPr id="169374619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54360C09" w14:textId="38789315" w:rsidR="00836529" w:rsidRPr="00836529" w:rsidRDefault="00836529" w:rsidP="00836529">
                          <w:pPr>
                            <w:spacing w:after="0"/>
                            <w:rPr>
                              <w:rFonts w:eastAsia="Calibri" w:cs="Calibri"/>
                              <w:noProof/>
                              <w:color w:val="FF0000"/>
                              <w:sz w:val="24"/>
                              <w:szCs w:val="24"/>
                            </w:rPr>
                          </w:pPr>
                          <w:r w:rsidRPr="00836529">
                            <w:rPr>
                              <w:rFonts w:eastAsia="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FFDA06"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5.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8IUDQ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" filled="f" stroked="f">
              <v:fill o:detectmouseclick="t"/>
              <v:textbox style="mso-fit-shape-to-text:t" inset="0,0,0,15pt">
                <w:txbxContent>
                  <w:p w14:paraId="54360C09" w14:textId="38789315" w:rsidR="00836529" w:rsidRPr="00836529" w:rsidRDefault="00836529" w:rsidP="00836529">
                    <w:pPr>
                      <w:spacing w:after="0"/>
                      <w:rPr>
                        <w:rFonts w:eastAsia="Calibri" w:cs="Calibri"/>
                        <w:noProof/>
                        <w:color w:val="FF0000"/>
                        <w:sz w:val="24"/>
                        <w:szCs w:val="24"/>
                      </w:rPr>
                    </w:pPr>
                    <w:r w:rsidRPr="00836529">
                      <w:rPr>
                        <w:rFonts w:eastAsia="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B6744" w14:textId="5A93F851" w:rsidR="00A8049A" w:rsidRDefault="00836529">
    <w:pPr>
      <w:pStyle w:val="Footer"/>
      <w:jc w:val="right"/>
    </w:pPr>
    <w:r>
      <w:rPr>
        <w:noProof/>
      </w:rPr>
      <mc:AlternateContent>
        <mc:Choice Requires="wps">
          <w:drawing>
            <wp:anchor distT="0" distB="0" distL="0" distR="0" simplePos="0" relativeHeight="251663360" behindDoc="0" locked="0" layoutInCell="1" allowOverlap="1" wp14:anchorId="79AA2A8B" wp14:editId="5314E694">
              <wp:simplePos x="904875" y="9953625"/>
              <wp:positionH relativeFrom="page">
                <wp:align>center</wp:align>
              </wp:positionH>
              <wp:positionV relativeFrom="page">
                <wp:align>bottom</wp:align>
              </wp:positionV>
              <wp:extent cx="551815" cy="452755"/>
              <wp:effectExtent l="0" t="0" r="635" b="0"/>
              <wp:wrapNone/>
              <wp:docPr id="107763564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76D77F41" w14:textId="4439C7F1" w:rsidR="00836529" w:rsidRPr="00836529" w:rsidRDefault="00836529" w:rsidP="00836529">
                          <w:pPr>
                            <w:spacing w:after="0"/>
                            <w:rPr>
                              <w:rFonts w:eastAsia="Calibri" w:cs="Calibri"/>
                              <w:noProof/>
                              <w:color w:val="FF0000"/>
                              <w:sz w:val="24"/>
                              <w:szCs w:val="24"/>
                            </w:rPr>
                          </w:pPr>
                          <w:r w:rsidRPr="00836529">
                            <w:rPr>
                              <w:rFonts w:eastAsia="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AA2A8B"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5.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Ap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XYyNT9DpoTDuVg3Le3fN1h6Q3z4Zk5XDDOgaIN&#10;T3hIBX1N4WxR0oL78Td/zEfeMUpJj4KpqUFFU6K+GdxH1NZkuMnYJaO4zcsc4+ag7wFlWOCLsDyZ&#10;6HVBTaZ0oF9RzqtYCEPMcCxX091k3odRufgcuFitUhLKyLKwMVvLI3SkK3L5MrwyZ8+EB9zUI0xq&#10;YtUb3sfceNPb1SEg+2kpkdqRyDPjKMG01vNziRr/9T9lXR/18icA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mhwKQ4CAAAc&#10;BAAADgAAAAAAAAAAAAAAAAAuAgAAZHJzL2Uyb0RvYy54bWxQSwECLQAUAAYACAAAACEA763esdsA&#10;AAADAQAADwAAAAAAAAAAAAAAAABoBAAAZHJzL2Rvd25yZXYueG1sUEsFBgAAAAAEAAQA8wAAAHAF&#10;AAAAAA==&#10;" filled="f" stroked="f">
              <v:fill o:detectmouseclick="t"/>
              <v:textbox style="mso-fit-shape-to-text:t" inset="0,0,0,15pt">
                <w:txbxContent>
                  <w:p w14:paraId="76D77F41" w14:textId="4439C7F1" w:rsidR="00836529" w:rsidRPr="00836529" w:rsidRDefault="00836529" w:rsidP="00836529">
                    <w:pPr>
                      <w:spacing w:after="0"/>
                      <w:rPr>
                        <w:rFonts w:eastAsia="Calibri" w:cs="Calibri"/>
                        <w:noProof/>
                        <w:color w:val="FF0000"/>
                        <w:sz w:val="24"/>
                        <w:szCs w:val="24"/>
                      </w:rPr>
                    </w:pPr>
                    <w:r w:rsidRPr="00836529">
                      <w:rPr>
                        <w:rFonts w:eastAsia="Calibri" w:cs="Calibri"/>
                        <w:noProof/>
                        <w:color w:val="FF0000"/>
                        <w:sz w:val="24"/>
                        <w:szCs w:val="24"/>
                      </w:rPr>
                      <w:t>OFFICIAL</w:t>
                    </w:r>
                  </w:p>
                </w:txbxContent>
              </v:textbox>
              <w10:wrap anchorx="page" anchory="page"/>
            </v:shape>
          </w:pict>
        </mc:Fallback>
      </mc:AlternateContent>
    </w:r>
    <w:sdt>
      <w:sdtPr>
        <w:id w:val="-1357569129"/>
        <w:docPartObj>
          <w:docPartGallery w:val="Page Numbers (Bottom of Page)"/>
          <w:docPartUnique/>
        </w:docPartObj>
      </w:sdtPr>
      <w:sdtEndPr/>
      <w:sdtContent>
        <w:sdt>
          <w:sdtPr>
            <w:id w:val="-1769616900"/>
            <w:docPartObj>
              <w:docPartGallery w:val="Page Numbers (Top of Page)"/>
              <w:docPartUnique/>
            </w:docPartObj>
          </w:sdtPr>
          <w:sdtEndPr/>
          <w:sdtContent>
            <w:r w:rsidR="00A8049A">
              <w:t xml:space="preserve">Page </w:t>
            </w:r>
            <w:r w:rsidR="00A8049A">
              <w:rPr>
                <w:b/>
                <w:bCs/>
                <w:sz w:val="24"/>
                <w:szCs w:val="24"/>
              </w:rPr>
              <w:fldChar w:fldCharType="begin"/>
            </w:r>
            <w:r w:rsidR="00A8049A">
              <w:rPr>
                <w:b/>
                <w:bCs/>
              </w:rPr>
              <w:instrText xml:space="preserve"> PAGE </w:instrText>
            </w:r>
            <w:r w:rsidR="00A8049A">
              <w:rPr>
                <w:b/>
                <w:bCs/>
                <w:sz w:val="24"/>
                <w:szCs w:val="24"/>
              </w:rPr>
              <w:fldChar w:fldCharType="separate"/>
            </w:r>
            <w:r w:rsidR="00A8049A">
              <w:rPr>
                <w:b/>
                <w:bCs/>
                <w:noProof/>
              </w:rPr>
              <w:t>2</w:t>
            </w:r>
            <w:r w:rsidR="00A8049A">
              <w:rPr>
                <w:b/>
                <w:bCs/>
                <w:sz w:val="24"/>
                <w:szCs w:val="24"/>
              </w:rPr>
              <w:fldChar w:fldCharType="end"/>
            </w:r>
            <w:r w:rsidR="00A8049A">
              <w:t xml:space="preserve"> of </w:t>
            </w:r>
            <w:r w:rsidR="00A8049A">
              <w:rPr>
                <w:b/>
                <w:bCs/>
                <w:sz w:val="24"/>
                <w:szCs w:val="24"/>
              </w:rPr>
              <w:fldChar w:fldCharType="begin"/>
            </w:r>
            <w:r w:rsidR="00A8049A">
              <w:rPr>
                <w:b/>
                <w:bCs/>
              </w:rPr>
              <w:instrText xml:space="preserve"> NUMPAGES  </w:instrText>
            </w:r>
            <w:r w:rsidR="00A8049A">
              <w:rPr>
                <w:b/>
                <w:bCs/>
                <w:sz w:val="24"/>
                <w:szCs w:val="24"/>
              </w:rPr>
              <w:fldChar w:fldCharType="separate"/>
            </w:r>
            <w:r w:rsidR="00A8049A">
              <w:rPr>
                <w:b/>
                <w:bCs/>
                <w:noProof/>
              </w:rPr>
              <w:t>2</w:t>
            </w:r>
            <w:r w:rsidR="00A8049A">
              <w:rPr>
                <w:b/>
                <w:bCs/>
                <w:sz w:val="24"/>
                <w:szCs w:val="24"/>
              </w:rPr>
              <w:fldChar w:fldCharType="end"/>
            </w:r>
          </w:sdtContent>
        </w:sdt>
      </w:sdtContent>
    </w:sdt>
  </w:p>
  <w:p w14:paraId="59077E3D" w14:textId="501A985C" w:rsidR="00AD7B61" w:rsidRDefault="00AD7B61" w:rsidP="00D608A4">
    <w:pPr>
      <w:pStyle w:val="Normalsmal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A7B9D" w14:textId="375FC60E" w:rsidR="00836529" w:rsidRDefault="00836529">
    <w:pPr>
      <w:pStyle w:val="Footer"/>
    </w:pPr>
    <w:r>
      <w:rPr>
        <w:noProof/>
      </w:rPr>
      <mc:AlternateContent>
        <mc:Choice Requires="wps">
          <w:drawing>
            <wp:anchor distT="0" distB="0" distL="0" distR="0" simplePos="0" relativeHeight="251661312" behindDoc="0" locked="0" layoutInCell="1" allowOverlap="1" wp14:anchorId="703DD143" wp14:editId="3EF06D4C">
              <wp:simplePos x="904875" y="10201275"/>
              <wp:positionH relativeFrom="page">
                <wp:align>center</wp:align>
              </wp:positionH>
              <wp:positionV relativeFrom="page">
                <wp:align>bottom</wp:align>
              </wp:positionV>
              <wp:extent cx="551815" cy="452755"/>
              <wp:effectExtent l="0" t="0" r="635" b="0"/>
              <wp:wrapNone/>
              <wp:docPr id="96429671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2D282DB9" w14:textId="796EE0F4" w:rsidR="00836529" w:rsidRPr="00836529" w:rsidRDefault="00836529" w:rsidP="00836529">
                          <w:pPr>
                            <w:spacing w:after="0"/>
                            <w:rPr>
                              <w:rFonts w:eastAsia="Calibri" w:cs="Calibri"/>
                              <w:noProof/>
                              <w:color w:val="FF0000"/>
                              <w:sz w:val="24"/>
                              <w:szCs w:val="24"/>
                            </w:rPr>
                          </w:pPr>
                          <w:r w:rsidRPr="00836529">
                            <w:rPr>
                              <w:rFonts w:eastAsia="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3DD143"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5.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qOvfpA4CAAAc&#10;BAAADgAAAAAAAAAAAAAAAAAuAgAAZHJzL2Uyb0RvYy54bWxQSwECLQAUAAYACAAAACEA763esdsA&#10;AAADAQAADwAAAAAAAAAAAAAAAABoBAAAZHJzL2Rvd25yZXYueG1sUEsFBgAAAAAEAAQA8wAAAHAF&#10;AAAAAA==&#10;" filled="f" stroked="f">
              <v:fill o:detectmouseclick="t"/>
              <v:textbox style="mso-fit-shape-to-text:t" inset="0,0,0,15pt">
                <w:txbxContent>
                  <w:p w14:paraId="2D282DB9" w14:textId="796EE0F4" w:rsidR="00836529" w:rsidRPr="00836529" w:rsidRDefault="00836529" w:rsidP="00836529">
                    <w:pPr>
                      <w:spacing w:after="0"/>
                      <w:rPr>
                        <w:rFonts w:eastAsia="Calibri" w:cs="Calibri"/>
                        <w:noProof/>
                        <w:color w:val="FF0000"/>
                        <w:sz w:val="24"/>
                        <w:szCs w:val="24"/>
                      </w:rPr>
                    </w:pPr>
                    <w:r w:rsidRPr="00836529">
                      <w:rPr>
                        <w:rFonts w:eastAsia="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4F39A" w14:textId="77777777" w:rsidR="008C7D50" w:rsidRDefault="008C7D50">
      <w:r>
        <w:separator/>
      </w:r>
    </w:p>
    <w:p w14:paraId="24424293" w14:textId="77777777" w:rsidR="008C7D50" w:rsidRDefault="008C7D50"/>
    <w:p w14:paraId="1D00BCE6" w14:textId="77777777" w:rsidR="008C7D50" w:rsidRDefault="008C7D50"/>
  </w:footnote>
  <w:footnote w:type="continuationSeparator" w:id="0">
    <w:p w14:paraId="1139F0D7" w14:textId="77777777" w:rsidR="008C7D50" w:rsidRDefault="008C7D50">
      <w:r>
        <w:continuationSeparator/>
      </w:r>
    </w:p>
    <w:p w14:paraId="76D911B0" w14:textId="77777777" w:rsidR="008C7D50" w:rsidRDefault="008C7D50"/>
    <w:p w14:paraId="008885E0" w14:textId="77777777" w:rsidR="008C7D50" w:rsidRDefault="008C7D50"/>
  </w:footnote>
  <w:footnote w:type="continuationNotice" w:id="1">
    <w:p w14:paraId="4A72927D" w14:textId="77777777" w:rsidR="008C7D50" w:rsidRDefault="008C7D50">
      <w:pPr>
        <w:pStyle w:val="Footer"/>
      </w:pPr>
    </w:p>
    <w:p w14:paraId="286A98EB" w14:textId="77777777" w:rsidR="008C7D50" w:rsidRDefault="008C7D50"/>
    <w:p w14:paraId="1C7946E4" w14:textId="77777777" w:rsidR="008C7D50" w:rsidRDefault="008C7D50"/>
  </w:footnote>
  <w:footnote w:id="2">
    <w:p w14:paraId="02A5F1A0" w14:textId="21DF7CEE" w:rsidR="00D16EA8" w:rsidRDefault="00D16EA8">
      <w:pPr>
        <w:pStyle w:val="FootnoteText"/>
      </w:pPr>
      <w:r>
        <w:rPr>
          <w:rStyle w:val="FootnoteReference"/>
        </w:rPr>
        <w:footnoteRef/>
      </w:r>
      <w:r>
        <w:t xml:space="preserve"> </w:t>
      </w:r>
      <w:hyperlink r:id="rId1" w:history="1">
        <w:r w:rsidRPr="00CA3AE9">
          <w:rPr>
            <w:rStyle w:val="Hyperlink"/>
          </w:rPr>
          <w:t>https://www.agriculture.gov.au/agriculture-land/animal/aquatic/committees</w:t>
        </w:r>
      </w:hyperlink>
      <w:r>
        <w:t xml:space="preserve"> </w:t>
      </w:r>
    </w:p>
  </w:footnote>
  <w:footnote w:id="3">
    <w:p w14:paraId="128FA9A0" w14:textId="0526C71E" w:rsidR="00D16EA8" w:rsidRDefault="00D16EA8">
      <w:pPr>
        <w:pStyle w:val="FootnoteText"/>
      </w:pPr>
      <w:r>
        <w:rPr>
          <w:rStyle w:val="FootnoteReference"/>
        </w:rPr>
        <w:footnoteRef/>
      </w:r>
      <w:r>
        <w:t xml:space="preserve"> </w:t>
      </w:r>
      <w:hyperlink r:id="rId2" w:history="1">
        <w:r w:rsidRPr="00CA3AE9">
          <w:rPr>
            <w:rStyle w:val="Hyperlink"/>
          </w:rPr>
          <w:t>https://seafoodindustryaustralia.com.au/aquaculture/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38BAB" w14:textId="5B782271" w:rsidR="00836529" w:rsidRDefault="00836529">
    <w:pPr>
      <w:pStyle w:val="Header"/>
    </w:pPr>
    <w:r>
      <w:rPr>
        <w:noProof/>
      </w:rPr>
      <mc:AlternateContent>
        <mc:Choice Requires="wps">
          <w:drawing>
            <wp:anchor distT="0" distB="0" distL="0" distR="0" simplePos="0" relativeHeight="251659264" behindDoc="0" locked="0" layoutInCell="1" allowOverlap="1" wp14:anchorId="2ACE3C11" wp14:editId="24B0299B">
              <wp:simplePos x="635" y="635"/>
              <wp:positionH relativeFrom="page">
                <wp:align>center</wp:align>
              </wp:positionH>
              <wp:positionV relativeFrom="page">
                <wp:align>top</wp:align>
              </wp:positionV>
              <wp:extent cx="551815" cy="452755"/>
              <wp:effectExtent l="0" t="0" r="635" b="4445"/>
              <wp:wrapNone/>
              <wp:docPr id="130142628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7D8B4E2E" w14:textId="644332D2" w:rsidR="00836529" w:rsidRPr="00836529" w:rsidRDefault="00836529" w:rsidP="00836529">
                          <w:pPr>
                            <w:spacing w:after="0"/>
                            <w:rPr>
                              <w:rFonts w:eastAsia="Calibri" w:cs="Calibri"/>
                              <w:noProof/>
                              <w:color w:val="FF0000"/>
                              <w:sz w:val="24"/>
                              <w:szCs w:val="24"/>
                            </w:rPr>
                          </w:pPr>
                          <w:r w:rsidRPr="00836529">
                            <w:rPr>
                              <w:rFonts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CE3C11"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5.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" filled="f" stroked="f">
              <v:fill o:detectmouseclick="t"/>
              <v:textbox style="mso-fit-shape-to-text:t" inset="0,15pt,0,0">
                <w:txbxContent>
                  <w:p w14:paraId="7D8B4E2E" w14:textId="644332D2" w:rsidR="00836529" w:rsidRPr="00836529" w:rsidRDefault="00836529" w:rsidP="00836529">
                    <w:pPr>
                      <w:spacing w:after="0"/>
                      <w:rPr>
                        <w:rFonts w:eastAsia="Calibri" w:cs="Calibri"/>
                        <w:noProof/>
                        <w:color w:val="FF0000"/>
                        <w:sz w:val="24"/>
                        <w:szCs w:val="24"/>
                      </w:rPr>
                    </w:pPr>
                    <w:r w:rsidRPr="00836529">
                      <w:rPr>
                        <w:rFonts w:eastAsia="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91B91" w14:textId="44C51C88" w:rsidR="00AD7B61" w:rsidRDefault="00836529" w:rsidP="00D608A4">
    <w:pPr>
      <w:pStyle w:val="Normalsmall"/>
      <w:jc w:val="right"/>
    </w:pPr>
    <w:r>
      <w:rPr>
        <w:noProof/>
      </w:rPr>
      <mc:AlternateContent>
        <mc:Choice Requires="wps">
          <w:drawing>
            <wp:anchor distT="0" distB="0" distL="0" distR="0" simplePos="0" relativeHeight="251660288" behindDoc="0" locked="0" layoutInCell="1" allowOverlap="1" wp14:anchorId="58E463C3" wp14:editId="78D38F70">
              <wp:simplePos x="904875" y="361950"/>
              <wp:positionH relativeFrom="page">
                <wp:align>center</wp:align>
              </wp:positionH>
              <wp:positionV relativeFrom="page">
                <wp:align>top</wp:align>
              </wp:positionV>
              <wp:extent cx="551815" cy="452755"/>
              <wp:effectExtent l="0" t="0" r="635" b="4445"/>
              <wp:wrapNone/>
              <wp:docPr id="193969025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6E001B58" w14:textId="1525FB94" w:rsidR="00836529" w:rsidRPr="00836529" w:rsidRDefault="00836529" w:rsidP="00836529">
                          <w:pPr>
                            <w:spacing w:after="0"/>
                            <w:rPr>
                              <w:rFonts w:eastAsia="Calibri" w:cs="Calibri"/>
                              <w:noProof/>
                              <w:color w:val="FF0000"/>
                              <w:sz w:val="24"/>
                              <w:szCs w:val="24"/>
                            </w:rPr>
                          </w:pPr>
                          <w:r w:rsidRPr="00836529">
                            <w:rPr>
                              <w:rFonts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E463C3"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5.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" filled="f" stroked="f">
              <v:fill o:detectmouseclick="t"/>
              <v:textbox style="mso-fit-shape-to-text:t" inset="0,15pt,0,0">
                <w:txbxContent>
                  <w:p w14:paraId="6E001B58" w14:textId="1525FB94" w:rsidR="00836529" w:rsidRPr="00836529" w:rsidRDefault="00836529" w:rsidP="00836529">
                    <w:pPr>
                      <w:spacing w:after="0"/>
                      <w:rPr>
                        <w:rFonts w:eastAsia="Calibri" w:cs="Calibri"/>
                        <w:noProof/>
                        <w:color w:val="FF0000"/>
                        <w:sz w:val="24"/>
                        <w:szCs w:val="24"/>
                      </w:rPr>
                    </w:pPr>
                    <w:r w:rsidRPr="00836529">
                      <w:rPr>
                        <w:rFonts w:eastAsia="Calibri" w:cs="Calibri"/>
                        <w:noProof/>
                        <w:color w:val="FF0000"/>
                        <w:sz w:val="24"/>
                        <w:szCs w:val="24"/>
                      </w:rPr>
                      <w:t>OFFICIAL</w:t>
                    </w:r>
                  </w:p>
                </w:txbxContent>
              </v:textbox>
              <w10:wrap anchorx="page" anchory="page"/>
            </v:shape>
          </w:pict>
        </mc:Fallback>
      </mc:AlternateContent>
    </w:r>
    <w:r w:rsidR="00C7221E">
      <w:rPr>
        <w:noProof/>
      </w:rPr>
      <w:drawing>
        <wp:inline distT="0" distB="0" distL="0" distR="0" wp14:anchorId="3C3DB266" wp14:editId="40143D37">
          <wp:extent cx="1255330" cy="381635"/>
          <wp:effectExtent l="0" t="0" r="2540" b="0"/>
          <wp:docPr id="14897670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184" cy="384327"/>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795C4" w14:textId="65F228AE" w:rsidR="00AD7B61" w:rsidRDefault="00836529" w:rsidP="00820AE5">
    <w:pPr>
      <w:pStyle w:val="Header"/>
      <w:jc w:val="right"/>
    </w:pPr>
    <w:r>
      <w:rPr>
        <w:noProof/>
      </w:rPr>
      <mc:AlternateContent>
        <mc:Choice Requires="wps">
          <w:drawing>
            <wp:anchor distT="0" distB="0" distL="0" distR="0" simplePos="0" relativeHeight="251658240" behindDoc="0" locked="0" layoutInCell="1" allowOverlap="1" wp14:anchorId="160F7E32" wp14:editId="26DDAF4F">
              <wp:simplePos x="904875" y="361950"/>
              <wp:positionH relativeFrom="page">
                <wp:align>center</wp:align>
              </wp:positionH>
              <wp:positionV relativeFrom="page">
                <wp:align>top</wp:align>
              </wp:positionV>
              <wp:extent cx="551815" cy="452755"/>
              <wp:effectExtent l="0" t="0" r="635" b="4445"/>
              <wp:wrapNone/>
              <wp:docPr id="43480727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0001E5AC" w14:textId="63D49C33" w:rsidR="00836529" w:rsidRPr="00836529" w:rsidRDefault="00836529" w:rsidP="00836529">
                          <w:pPr>
                            <w:spacing w:after="0"/>
                            <w:rPr>
                              <w:rFonts w:eastAsia="Calibri" w:cs="Calibri"/>
                              <w:noProof/>
                              <w:color w:val="FF0000"/>
                              <w:sz w:val="24"/>
                              <w:szCs w:val="24"/>
                            </w:rPr>
                          </w:pPr>
                          <w:r w:rsidRPr="00836529">
                            <w:rPr>
                              <w:rFonts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0F7E32" id="_x0000_t202" coordsize="21600,21600" o:spt="202" path="m,l,21600r21600,l21600,xe">
              <v:stroke joinstyle="miter"/>
              <v:path gradientshapeok="t" o:connecttype="rect"/>
            </v:shapetype>
            <v:shape id="Text Box 1" o:spid="_x0000_s1030" type="#_x0000_t202" alt="OFFICIAL" style="position:absolute;left:0;text-align:left;margin-left:0;margin-top:0;width:43.45pt;height:35.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fill o:detectmouseclick="t"/>
              <v:textbox style="mso-fit-shape-to-text:t" inset="0,15pt,0,0">
                <w:txbxContent>
                  <w:p w14:paraId="0001E5AC" w14:textId="63D49C33" w:rsidR="00836529" w:rsidRPr="00836529" w:rsidRDefault="00836529" w:rsidP="00836529">
                    <w:pPr>
                      <w:spacing w:after="0"/>
                      <w:rPr>
                        <w:rFonts w:eastAsia="Calibri" w:cs="Calibri"/>
                        <w:noProof/>
                        <w:color w:val="FF0000"/>
                        <w:sz w:val="24"/>
                        <w:szCs w:val="24"/>
                      </w:rPr>
                    </w:pPr>
                    <w:r w:rsidRPr="00836529">
                      <w:rPr>
                        <w:rFonts w:eastAsia="Calibri" w:cs="Calibri"/>
                        <w:noProof/>
                        <w:color w:val="FF0000"/>
                        <w:sz w:val="24"/>
                        <w:szCs w:val="24"/>
                      </w:rPr>
                      <w:t>OFFICIAL</w:t>
                    </w:r>
                  </w:p>
                </w:txbxContent>
              </v:textbox>
              <w10:wrap anchorx="page" anchory="page"/>
            </v:shape>
          </w:pict>
        </mc:Fallback>
      </mc:AlternateContent>
    </w:r>
    <w:r w:rsidR="00820AE5">
      <w:rPr>
        <w:noProof/>
      </w:rPr>
      <w:drawing>
        <wp:inline distT="0" distB="0" distL="0" distR="0" wp14:anchorId="7D7A8DA6" wp14:editId="61990BB8">
          <wp:extent cx="1255330" cy="381635"/>
          <wp:effectExtent l="0" t="0" r="2540" b="0"/>
          <wp:docPr id="1030670339" name="Picture 1030670339" descr="A blue and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670339" name="Picture 1030670339" descr="A blue and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184" cy="38432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055E46D0"/>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0DA6C26"/>
    <w:multiLevelType w:val="hybridMultilevel"/>
    <w:tmpl w:val="12FA61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B943FC0"/>
    <w:multiLevelType w:val="hybridMultilevel"/>
    <w:tmpl w:val="D2720EA6"/>
    <w:lvl w:ilvl="0" w:tplc="BAD63A86">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3937CA"/>
    <w:multiLevelType w:val="hybridMultilevel"/>
    <w:tmpl w:val="F018513C"/>
    <w:lvl w:ilvl="0" w:tplc="D7FEA284">
      <w:start w:val="1"/>
      <w:numFmt w:val="bullet"/>
      <w:lvlText w:val="•"/>
      <w:lvlJc w:val="left"/>
      <w:pPr>
        <w:tabs>
          <w:tab w:val="num" w:pos="720"/>
        </w:tabs>
        <w:ind w:left="720" w:hanging="360"/>
      </w:pPr>
      <w:rPr>
        <w:rFonts w:ascii="Arial" w:hAnsi="Arial" w:hint="default"/>
      </w:rPr>
    </w:lvl>
    <w:lvl w:ilvl="1" w:tplc="1F487FA4" w:tentative="1">
      <w:start w:val="1"/>
      <w:numFmt w:val="bullet"/>
      <w:lvlText w:val="•"/>
      <w:lvlJc w:val="left"/>
      <w:pPr>
        <w:tabs>
          <w:tab w:val="num" w:pos="1440"/>
        </w:tabs>
        <w:ind w:left="1440" w:hanging="360"/>
      </w:pPr>
      <w:rPr>
        <w:rFonts w:ascii="Arial" w:hAnsi="Arial" w:hint="default"/>
      </w:rPr>
    </w:lvl>
    <w:lvl w:ilvl="2" w:tplc="54A481F2" w:tentative="1">
      <w:start w:val="1"/>
      <w:numFmt w:val="bullet"/>
      <w:lvlText w:val="•"/>
      <w:lvlJc w:val="left"/>
      <w:pPr>
        <w:tabs>
          <w:tab w:val="num" w:pos="2160"/>
        </w:tabs>
        <w:ind w:left="2160" w:hanging="360"/>
      </w:pPr>
      <w:rPr>
        <w:rFonts w:ascii="Arial" w:hAnsi="Arial" w:hint="default"/>
      </w:rPr>
    </w:lvl>
    <w:lvl w:ilvl="3" w:tplc="BFE8E14C" w:tentative="1">
      <w:start w:val="1"/>
      <w:numFmt w:val="bullet"/>
      <w:lvlText w:val="•"/>
      <w:lvlJc w:val="left"/>
      <w:pPr>
        <w:tabs>
          <w:tab w:val="num" w:pos="2880"/>
        </w:tabs>
        <w:ind w:left="2880" w:hanging="360"/>
      </w:pPr>
      <w:rPr>
        <w:rFonts w:ascii="Arial" w:hAnsi="Arial" w:hint="default"/>
      </w:rPr>
    </w:lvl>
    <w:lvl w:ilvl="4" w:tplc="9E3A82BA" w:tentative="1">
      <w:start w:val="1"/>
      <w:numFmt w:val="bullet"/>
      <w:lvlText w:val="•"/>
      <w:lvlJc w:val="left"/>
      <w:pPr>
        <w:tabs>
          <w:tab w:val="num" w:pos="3600"/>
        </w:tabs>
        <w:ind w:left="3600" w:hanging="360"/>
      </w:pPr>
      <w:rPr>
        <w:rFonts w:ascii="Arial" w:hAnsi="Arial" w:hint="default"/>
      </w:rPr>
    </w:lvl>
    <w:lvl w:ilvl="5" w:tplc="94807E42" w:tentative="1">
      <w:start w:val="1"/>
      <w:numFmt w:val="bullet"/>
      <w:lvlText w:val="•"/>
      <w:lvlJc w:val="left"/>
      <w:pPr>
        <w:tabs>
          <w:tab w:val="num" w:pos="4320"/>
        </w:tabs>
        <w:ind w:left="4320" w:hanging="360"/>
      </w:pPr>
      <w:rPr>
        <w:rFonts w:ascii="Arial" w:hAnsi="Arial" w:hint="default"/>
      </w:rPr>
    </w:lvl>
    <w:lvl w:ilvl="6" w:tplc="3008FF7C" w:tentative="1">
      <w:start w:val="1"/>
      <w:numFmt w:val="bullet"/>
      <w:lvlText w:val="•"/>
      <w:lvlJc w:val="left"/>
      <w:pPr>
        <w:tabs>
          <w:tab w:val="num" w:pos="5040"/>
        </w:tabs>
        <w:ind w:left="5040" w:hanging="360"/>
      </w:pPr>
      <w:rPr>
        <w:rFonts w:ascii="Arial" w:hAnsi="Arial" w:hint="default"/>
      </w:rPr>
    </w:lvl>
    <w:lvl w:ilvl="7" w:tplc="BDA29CB0" w:tentative="1">
      <w:start w:val="1"/>
      <w:numFmt w:val="bullet"/>
      <w:lvlText w:val="•"/>
      <w:lvlJc w:val="left"/>
      <w:pPr>
        <w:tabs>
          <w:tab w:val="num" w:pos="5760"/>
        </w:tabs>
        <w:ind w:left="5760" w:hanging="360"/>
      </w:pPr>
      <w:rPr>
        <w:rFonts w:ascii="Arial" w:hAnsi="Arial" w:hint="default"/>
      </w:rPr>
    </w:lvl>
    <w:lvl w:ilvl="8" w:tplc="B83687B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E4C01A7"/>
    <w:multiLevelType w:val="hybridMultilevel"/>
    <w:tmpl w:val="017AE000"/>
    <w:lvl w:ilvl="0" w:tplc="72CA3B3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09658AC"/>
    <w:multiLevelType w:val="hybridMultilevel"/>
    <w:tmpl w:val="1EEC9B44"/>
    <w:lvl w:ilvl="0" w:tplc="EEFCEF92">
      <w:start w:val="1"/>
      <w:numFmt w:val="bullet"/>
      <w:lvlText w:val=""/>
      <w:lvlJc w:val="left"/>
      <w:pPr>
        <w:tabs>
          <w:tab w:val="num" w:pos="720"/>
        </w:tabs>
        <w:ind w:left="720" w:hanging="360"/>
      </w:pPr>
      <w:rPr>
        <w:rFonts w:ascii="Wingdings" w:hAnsi="Wingdings" w:hint="default"/>
      </w:rPr>
    </w:lvl>
    <w:lvl w:ilvl="1" w:tplc="445021AC" w:tentative="1">
      <w:start w:val="1"/>
      <w:numFmt w:val="bullet"/>
      <w:lvlText w:val=""/>
      <w:lvlJc w:val="left"/>
      <w:pPr>
        <w:tabs>
          <w:tab w:val="num" w:pos="1440"/>
        </w:tabs>
        <w:ind w:left="1440" w:hanging="360"/>
      </w:pPr>
      <w:rPr>
        <w:rFonts w:ascii="Wingdings" w:hAnsi="Wingdings" w:hint="default"/>
      </w:rPr>
    </w:lvl>
    <w:lvl w:ilvl="2" w:tplc="1520F08A" w:tentative="1">
      <w:start w:val="1"/>
      <w:numFmt w:val="bullet"/>
      <w:lvlText w:val=""/>
      <w:lvlJc w:val="left"/>
      <w:pPr>
        <w:tabs>
          <w:tab w:val="num" w:pos="2160"/>
        </w:tabs>
        <w:ind w:left="2160" w:hanging="360"/>
      </w:pPr>
      <w:rPr>
        <w:rFonts w:ascii="Wingdings" w:hAnsi="Wingdings" w:hint="default"/>
      </w:rPr>
    </w:lvl>
    <w:lvl w:ilvl="3" w:tplc="7C183036" w:tentative="1">
      <w:start w:val="1"/>
      <w:numFmt w:val="bullet"/>
      <w:lvlText w:val=""/>
      <w:lvlJc w:val="left"/>
      <w:pPr>
        <w:tabs>
          <w:tab w:val="num" w:pos="2880"/>
        </w:tabs>
        <w:ind w:left="2880" w:hanging="360"/>
      </w:pPr>
      <w:rPr>
        <w:rFonts w:ascii="Wingdings" w:hAnsi="Wingdings" w:hint="default"/>
      </w:rPr>
    </w:lvl>
    <w:lvl w:ilvl="4" w:tplc="F24627C0" w:tentative="1">
      <w:start w:val="1"/>
      <w:numFmt w:val="bullet"/>
      <w:lvlText w:val=""/>
      <w:lvlJc w:val="left"/>
      <w:pPr>
        <w:tabs>
          <w:tab w:val="num" w:pos="3600"/>
        </w:tabs>
        <w:ind w:left="3600" w:hanging="360"/>
      </w:pPr>
      <w:rPr>
        <w:rFonts w:ascii="Wingdings" w:hAnsi="Wingdings" w:hint="default"/>
      </w:rPr>
    </w:lvl>
    <w:lvl w:ilvl="5" w:tplc="68AC16EC" w:tentative="1">
      <w:start w:val="1"/>
      <w:numFmt w:val="bullet"/>
      <w:lvlText w:val=""/>
      <w:lvlJc w:val="left"/>
      <w:pPr>
        <w:tabs>
          <w:tab w:val="num" w:pos="4320"/>
        </w:tabs>
        <w:ind w:left="4320" w:hanging="360"/>
      </w:pPr>
      <w:rPr>
        <w:rFonts w:ascii="Wingdings" w:hAnsi="Wingdings" w:hint="default"/>
      </w:rPr>
    </w:lvl>
    <w:lvl w:ilvl="6" w:tplc="DE8E7032" w:tentative="1">
      <w:start w:val="1"/>
      <w:numFmt w:val="bullet"/>
      <w:lvlText w:val=""/>
      <w:lvlJc w:val="left"/>
      <w:pPr>
        <w:tabs>
          <w:tab w:val="num" w:pos="5040"/>
        </w:tabs>
        <w:ind w:left="5040" w:hanging="360"/>
      </w:pPr>
      <w:rPr>
        <w:rFonts w:ascii="Wingdings" w:hAnsi="Wingdings" w:hint="default"/>
      </w:rPr>
    </w:lvl>
    <w:lvl w:ilvl="7" w:tplc="BA026C16" w:tentative="1">
      <w:start w:val="1"/>
      <w:numFmt w:val="bullet"/>
      <w:lvlText w:val=""/>
      <w:lvlJc w:val="left"/>
      <w:pPr>
        <w:tabs>
          <w:tab w:val="num" w:pos="5760"/>
        </w:tabs>
        <w:ind w:left="5760" w:hanging="360"/>
      </w:pPr>
      <w:rPr>
        <w:rFonts w:ascii="Wingdings" w:hAnsi="Wingdings" w:hint="default"/>
      </w:rPr>
    </w:lvl>
    <w:lvl w:ilvl="8" w:tplc="FF66789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A328D5"/>
    <w:multiLevelType w:val="multilevel"/>
    <w:tmpl w:val="BE78A4F8"/>
    <w:numStyleLink w:val="Numberlist"/>
  </w:abstractNum>
  <w:abstractNum w:abstractNumId="17"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6036CB3"/>
    <w:multiLevelType w:val="hybridMultilevel"/>
    <w:tmpl w:val="75E42B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B103637"/>
    <w:multiLevelType w:val="multilevel"/>
    <w:tmpl w:val="BE78A4F8"/>
    <w:numStyleLink w:val="Numberlist"/>
  </w:abstractNum>
  <w:abstractNum w:abstractNumId="20" w15:restartNumberingAfterBreak="0">
    <w:nsid w:val="2D874050"/>
    <w:multiLevelType w:val="hybridMultilevel"/>
    <w:tmpl w:val="E8C46F56"/>
    <w:lvl w:ilvl="0" w:tplc="A01A6CFA">
      <w:start w:val="1"/>
      <w:numFmt w:val="bullet"/>
      <w:lvlText w:val="•"/>
      <w:lvlJc w:val="left"/>
      <w:pPr>
        <w:tabs>
          <w:tab w:val="num" w:pos="720"/>
        </w:tabs>
        <w:ind w:left="720" w:hanging="360"/>
      </w:pPr>
      <w:rPr>
        <w:rFonts w:ascii="Arial" w:hAnsi="Arial" w:hint="default"/>
      </w:rPr>
    </w:lvl>
    <w:lvl w:ilvl="1" w:tplc="24E835FA" w:tentative="1">
      <w:start w:val="1"/>
      <w:numFmt w:val="bullet"/>
      <w:lvlText w:val="•"/>
      <w:lvlJc w:val="left"/>
      <w:pPr>
        <w:tabs>
          <w:tab w:val="num" w:pos="1440"/>
        </w:tabs>
        <w:ind w:left="1440" w:hanging="360"/>
      </w:pPr>
      <w:rPr>
        <w:rFonts w:ascii="Arial" w:hAnsi="Arial" w:hint="default"/>
      </w:rPr>
    </w:lvl>
    <w:lvl w:ilvl="2" w:tplc="036A3BE4" w:tentative="1">
      <w:start w:val="1"/>
      <w:numFmt w:val="bullet"/>
      <w:lvlText w:val="•"/>
      <w:lvlJc w:val="left"/>
      <w:pPr>
        <w:tabs>
          <w:tab w:val="num" w:pos="2160"/>
        </w:tabs>
        <w:ind w:left="2160" w:hanging="360"/>
      </w:pPr>
      <w:rPr>
        <w:rFonts w:ascii="Arial" w:hAnsi="Arial" w:hint="default"/>
      </w:rPr>
    </w:lvl>
    <w:lvl w:ilvl="3" w:tplc="FFC00A0E" w:tentative="1">
      <w:start w:val="1"/>
      <w:numFmt w:val="bullet"/>
      <w:lvlText w:val="•"/>
      <w:lvlJc w:val="left"/>
      <w:pPr>
        <w:tabs>
          <w:tab w:val="num" w:pos="2880"/>
        </w:tabs>
        <w:ind w:left="2880" w:hanging="360"/>
      </w:pPr>
      <w:rPr>
        <w:rFonts w:ascii="Arial" w:hAnsi="Arial" w:hint="default"/>
      </w:rPr>
    </w:lvl>
    <w:lvl w:ilvl="4" w:tplc="28B63E3E" w:tentative="1">
      <w:start w:val="1"/>
      <w:numFmt w:val="bullet"/>
      <w:lvlText w:val="•"/>
      <w:lvlJc w:val="left"/>
      <w:pPr>
        <w:tabs>
          <w:tab w:val="num" w:pos="3600"/>
        </w:tabs>
        <w:ind w:left="3600" w:hanging="360"/>
      </w:pPr>
      <w:rPr>
        <w:rFonts w:ascii="Arial" w:hAnsi="Arial" w:hint="default"/>
      </w:rPr>
    </w:lvl>
    <w:lvl w:ilvl="5" w:tplc="392A8D54" w:tentative="1">
      <w:start w:val="1"/>
      <w:numFmt w:val="bullet"/>
      <w:lvlText w:val="•"/>
      <w:lvlJc w:val="left"/>
      <w:pPr>
        <w:tabs>
          <w:tab w:val="num" w:pos="4320"/>
        </w:tabs>
        <w:ind w:left="4320" w:hanging="360"/>
      </w:pPr>
      <w:rPr>
        <w:rFonts w:ascii="Arial" w:hAnsi="Arial" w:hint="default"/>
      </w:rPr>
    </w:lvl>
    <w:lvl w:ilvl="6" w:tplc="4DF052DE" w:tentative="1">
      <w:start w:val="1"/>
      <w:numFmt w:val="bullet"/>
      <w:lvlText w:val="•"/>
      <w:lvlJc w:val="left"/>
      <w:pPr>
        <w:tabs>
          <w:tab w:val="num" w:pos="5040"/>
        </w:tabs>
        <w:ind w:left="5040" w:hanging="360"/>
      </w:pPr>
      <w:rPr>
        <w:rFonts w:ascii="Arial" w:hAnsi="Arial" w:hint="default"/>
      </w:rPr>
    </w:lvl>
    <w:lvl w:ilvl="7" w:tplc="709471A8" w:tentative="1">
      <w:start w:val="1"/>
      <w:numFmt w:val="bullet"/>
      <w:lvlText w:val="•"/>
      <w:lvlJc w:val="left"/>
      <w:pPr>
        <w:tabs>
          <w:tab w:val="num" w:pos="5760"/>
        </w:tabs>
        <w:ind w:left="5760" w:hanging="360"/>
      </w:pPr>
      <w:rPr>
        <w:rFonts w:ascii="Arial" w:hAnsi="Arial" w:hint="default"/>
      </w:rPr>
    </w:lvl>
    <w:lvl w:ilvl="8" w:tplc="B6A69A4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94A15FE"/>
    <w:multiLevelType w:val="multilevel"/>
    <w:tmpl w:val="F36C17E8"/>
    <w:numStyleLink w:val="Headinglist"/>
  </w:abstractNum>
  <w:abstractNum w:abstractNumId="22" w15:restartNumberingAfterBreak="0">
    <w:nsid w:val="414F4729"/>
    <w:multiLevelType w:val="multilevel"/>
    <w:tmpl w:val="A0241B28"/>
    <w:numStyleLink w:val="List1"/>
  </w:abstractNum>
  <w:abstractNum w:abstractNumId="23" w15:restartNumberingAfterBreak="0">
    <w:nsid w:val="47096C9A"/>
    <w:multiLevelType w:val="hybridMultilevel"/>
    <w:tmpl w:val="4A1A1B5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486800B4"/>
    <w:multiLevelType w:val="multilevel"/>
    <w:tmpl w:val="A0241B28"/>
    <w:numStyleLink w:val="List1"/>
  </w:abstractNum>
  <w:abstractNum w:abstractNumId="25"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6" w15:restartNumberingAfterBreak="0">
    <w:nsid w:val="496159DC"/>
    <w:multiLevelType w:val="multilevel"/>
    <w:tmpl w:val="BE78A4F8"/>
    <w:numStyleLink w:val="Numberlist"/>
  </w:abstractNum>
  <w:abstractNum w:abstractNumId="2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0D06F3"/>
    <w:multiLevelType w:val="hybridMultilevel"/>
    <w:tmpl w:val="6EB218F0"/>
    <w:lvl w:ilvl="0" w:tplc="BAD63A86">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0"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2"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3" w15:restartNumberingAfterBreak="0">
    <w:nsid w:val="674C0F3F"/>
    <w:multiLevelType w:val="hybridMultilevel"/>
    <w:tmpl w:val="473886E4"/>
    <w:lvl w:ilvl="0" w:tplc="BAD63A86">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A1744E9"/>
    <w:multiLevelType w:val="hybridMultilevel"/>
    <w:tmpl w:val="4FE46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4B51AB"/>
    <w:multiLevelType w:val="hybridMultilevel"/>
    <w:tmpl w:val="BB7E5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8C10A1"/>
    <w:multiLevelType w:val="multilevel"/>
    <w:tmpl w:val="BE78A4F8"/>
    <w:numStyleLink w:val="Numberlist"/>
  </w:abstractNum>
  <w:abstractNum w:abstractNumId="38" w15:restartNumberingAfterBreak="0">
    <w:nsid w:val="733934B7"/>
    <w:multiLevelType w:val="multilevel"/>
    <w:tmpl w:val="A0241B28"/>
    <w:numStyleLink w:val="List1"/>
  </w:abstractNum>
  <w:abstractNum w:abstractNumId="39" w15:restartNumberingAfterBreak="0">
    <w:nsid w:val="73623C98"/>
    <w:multiLevelType w:val="hybridMultilevel"/>
    <w:tmpl w:val="85A8E42C"/>
    <w:lvl w:ilvl="0" w:tplc="BAD63A86">
      <w:start w:val="1"/>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74E322C"/>
    <w:multiLevelType w:val="hybridMultilevel"/>
    <w:tmpl w:val="D994837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1" w15:restartNumberingAfterBreak="0">
    <w:nsid w:val="7BA119BB"/>
    <w:multiLevelType w:val="hybridMultilevel"/>
    <w:tmpl w:val="09963338"/>
    <w:lvl w:ilvl="0" w:tplc="62D047B6">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24373436">
    <w:abstractNumId w:val="6"/>
  </w:num>
  <w:num w:numId="2" w16cid:durableId="900168592">
    <w:abstractNumId w:val="24"/>
  </w:num>
  <w:num w:numId="3" w16cid:durableId="716780589">
    <w:abstractNumId w:val="25"/>
  </w:num>
  <w:num w:numId="4" w16cid:durableId="942034916">
    <w:abstractNumId w:val="10"/>
  </w:num>
  <w:num w:numId="5" w16cid:durableId="708458949">
    <w:abstractNumId w:val="31"/>
  </w:num>
  <w:num w:numId="6" w16cid:durableId="1030836609">
    <w:abstractNumId w:val="32"/>
  </w:num>
  <w:num w:numId="7" w16cid:durableId="1151403168">
    <w:abstractNumId w:val="8"/>
  </w:num>
  <w:num w:numId="8" w16cid:durableId="108352551">
    <w:abstractNumId w:val="17"/>
  </w:num>
  <w:num w:numId="9" w16cid:durableId="1854682796">
    <w:abstractNumId w:val="21"/>
  </w:num>
  <w:num w:numId="10" w16cid:durableId="1435975997">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2519776">
    <w:abstractNumId w:val="5"/>
  </w:num>
  <w:num w:numId="12" w16cid:durableId="1536847693">
    <w:abstractNumId w:val="4"/>
  </w:num>
  <w:num w:numId="13" w16cid:durableId="216280357">
    <w:abstractNumId w:val="3"/>
  </w:num>
  <w:num w:numId="14" w16cid:durableId="1225679783">
    <w:abstractNumId w:val="2"/>
  </w:num>
  <w:num w:numId="15" w16cid:durableId="570653831">
    <w:abstractNumId w:val="12"/>
  </w:num>
  <w:num w:numId="16" w16cid:durableId="115491023">
    <w:abstractNumId w:val="29"/>
  </w:num>
  <w:num w:numId="17" w16cid:durableId="3492575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42107625">
    <w:abstractNumId w:val="34"/>
  </w:num>
  <w:num w:numId="19" w16cid:durableId="932905080">
    <w:abstractNumId w:val="1"/>
  </w:num>
  <w:num w:numId="20" w16cid:durableId="1000818419">
    <w:abstractNumId w:val="0"/>
  </w:num>
  <w:num w:numId="21" w16cid:durableId="1119641195">
    <w:abstractNumId w:val="19"/>
  </w:num>
  <w:num w:numId="22" w16cid:durableId="2134932959">
    <w:abstractNumId w:val="26"/>
  </w:num>
  <w:num w:numId="23" w16cid:durableId="1842162543">
    <w:abstractNumId w:val="37"/>
  </w:num>
  <w:num w:numId="24" w16cid:durableId="1367951202">
    <w:abstractNumId w:val="16"/>
  </w:num>
  <w:num w:numId="25" w16cid:durableId="978807888">
    <w:abstractNumId w:val="22"/>
  </w:num>
  <w:num w:numId="26" w16cid:durableId="81475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9642570">
    <w:abstractNumId w:val="38"/>
  </w:num>
  <w:num w:numId="28" w16cid:durableId="1492796199">
    <w:abstractNumId w:val="27"/>
  </w:num>
  <w:num w:numId="29" w16cid:durableId="1171094455">
    <w:abstractNumId w:val="30"/>
  </w:num>
  <w:num w:numId="30" w16cid:durableId="1243219791">
    <w:abstractNumId w:val="9"/>
  </w:num>
  <w:num w:numId="31" w16cid:durableId="561721575">
    <w:abstractNumId w:val="14"/>
  </w:num>
  <w:num w:numId="32" w16cid:durableId="1154562254">
    <w:abstractNumId w:val="41"/>
  </w:num>
  <w:num w:numId="33" w16cid:durableId="280190940">
    <w:abstractNumId w:val="14"/>
  </w:num>
  <w:num w:numId="34" w16cid:durableId="1355572503">
    <w:abstractNumId w:val="5"/>
  </w:num>
  <w:num w:numId="35" w16cid:durableId="636032706">
    <w:abstractNumId w:val="7"/>
  </w:num>
  <w:num w:numId="36" w16cid:durableId="1858688478">
    <w:abstractNumId w:val="35"/>
  </w:num>
  <w:num w:numId="37" w16cid:durableId="1059985942">
    <w:abstractNumId w:val="36"/>
  </w:num>
  <w:num w:numId="38" w16cid:durableId="407118142">
    <w:abstractNumId w:val="40"/>
  </w:num>
  <w:num w:numId="39" w16cid:durableId="2085908311">
    <w:abstractNumId w:val="18"/>
  </w:num>
  <w:num w:numId="40" w16cid:durableId="1321691004">
    <w:abstractNumId w:val="13"/>
  </w:num>
  <w:num w:numId="41" w16cid:durableId="2052803694">
    <w:abstractNumId w:val="39"/>
  </w:num>
  <w:num w:numId="42" w16cid:durableId="1058820496">
    <w:abstractNumId w:val="20"/>
  </w:num>
  <w:num w:numId="43" w16cid:durableId="1565601016">
    <w:abstractNumId w:val="15"/>
  </w:num>
  <w:num w:numId="44" w16cid:durableId="1317418598">
    <w:abstractNumId w:val="11"/>
  </w:num>
  <w:num w:numId="45" w16cid:durableId="1985966400">
    <w:abstractNumId w:val="33"/>
  </w:num>
  <w:num w:numId="46" w16cid:durableId="734163483">
    <w:abstractNumId w:val="28"/>
  </w:num>
  <w:num w:numId="47" w16cid:durableId="2111776468">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B61"/>
    <w:rsid w:val="00004FDF"/>
    <w:rsid w:val="00007A1E"/>
    <w:rsid w:val="000106CA"/>
    <w:rsid w:val="00012CD2"/>
    <w:rsid w:val="00017F4E"/>
    <w:rsid w:val="000215ED"/>
    <w:rsid w:val="00024256"/>
    <w:rsid w:val="00030DCB"/>
    <w:rsid w:val="00040773"/>
    <w:rsid w:val="00043BFC"/>
    <w:rsid w:val="00046129"/>
    <w:rsid w:val="0004721D"/>
    <w:rsid w:val="00047415"/>
    <w:rsid w:val="00054C48"/>
    <w:rsid w:val="0006457E"/>
    <w:rsid w:val="00074D3D"/>
    <w:rsid w:val="00077D48"/>
    <w:rsid w:val="00085AEA"/>
    <w:rsid w:val="00091224"/>
    <w:rsid w:val="000965A6"/>
    <w:rsid w:val="000A2322"/>
    <w:rsid w:val="000A4ECD"/>
    <w:rsid w:val="000B6663"/>
    <w:rsid w:val="000E0F60"/>
    <w:rsid w:val="000E6121"/>
    <w:rsid w:val="000F06EC"/>
    <w:rsid w:val="001055F1"/>
    <w:rsid w:val="00107B29"/>
    <w:rsid w:val="001136FA"/>
    <w:rsid w:val="0011372A"/>
    <w:rsid w:val="00115219"/>
    <w:rsid w:val="00120F7B"/>
    <w:rsid w:val="00126691"/>
    <w:rsid w:val="00133B1D"/>
    <w:rsid w:val="00134103"/>
    <w:rsid w:val="001356EB"/>
    <w:rsid w:val="00142782"/>
    <w:rsid w:val="0015440D"/>
    <w:rsid w:val="001566E4"/>
    <w:rsid w:val="0016330B"/>
    <w:rsid w:val="001652C9"/>
    <w:rsid w:val="0016681E"/>
    <w:rsid w:val="00186264"/>
    <w:rsid w:val="00190B03"/>
    <w:rsid w:val="00196676"/>
    <w:rsid w:val="001B0701"/>
    <w:rsid w:val="001B29A7"/>
    <w:rsid w:val="001B70A7"/>
    <w:rsid w:val="001C3DFC"/>
    <w:rsid w:val="001C4D19"/>
    <w:rsid w:val="001D3714"/>
    <w:rsid w:val="001D3D0A"/>
    <w:rsid w:val="001D417F"/>
    <w:rsid w:val="001F0B79"/>
    <w:rsid w:val="001F25EF"/>
    <w:rsid w:val="001F2FF3"/>
    <w:rsid w:val="00200224"/>
    <w:rsid w:val="002011F2"/>
    <w:rsid w:val="002103A7"/>
    <w:rsid w:val="002174F6"/>
    <w:rsid w:val="00224496"/>
    <w:rsid w:val="00226665"/>
    <w:rsid w:val="002273D5"/>
    <w:rsid w:val="00233859"/>
    <w:rsid w:val="002359D8"/>
    <w:rsid w:val="0024179E"/>
    <w:rsid w:val="002526E1"/>
    <w:rsid w:val="0025388D"/>
    <w:rsid w:val="00253D46"/>
    <w:rsid w:val="0025412F"/>
    <w:rsid w:val="0027452C"/>
    <w:rsid w:val="00276507"/>
    <w:rsid w:val="002768CE"/>
    <w:rsid w:val="002839C7"/>
    <w:rsid w:val="0029287C"/>
    <w:rsid w:val="0029416D"/>
    <w:rsid w:val="0029440F"/>
    <w:rsid w:val="002957F7"/>
    <w:rsid w:val="0029654F"/>
    <w:rsid w:val="002A0149"/>
    <w:rsid w:val="002A6FB2"/>
    <w:rsid w:val="002B1903"/>
    <w:rsid w:val="002B4DFD"/>
    <w:rsid w:val="002B7FA7"/>
    <w:rsid w:val="002E057C"/>
    <w:rsid w:val="002E42E1"/>
    <w:rsid w:val="002F144D"/>
    <w:rsid w:val="002F28D1"/>
    <w:rsid w:val="002F3BB3"/>
    <w:rsid w:val="002F5DA4"/>
    <w:rsid w:val="002F69C5"/>
    <w:rsid w:val="00301BBA"/>
    <w:rsid w:val="00302256"/>
    <w:rsid w:val="00307AED"/>
    <w:rsid w:val="00311BD3"/>
    <w:rsid w:val="003137DB"/>
    <w:rsid w:val="003201B4"/>
    <w:rsid w:val="00323F86"/>
    <w:rsid w:val="00331B09"/>
    <w:rsid w:val="0033340F"/>
    <w:rsid w:val="00333D36"/>
    <w:rsid w:val="00341CE4"/>
    <w:rsid w:val="00342114"/>
    <w:rsid w:val="003436C0"/>
    <w:rsid w:val="00344601"/>
    <w:rsid w:val="00346C6D"/>
    <w:rsid w:val="003535A1"/>
    <w:rsid w:val="003704BE"/>
    <w:rsid w:val="00375F86"/>
    <w:rsid w:val="003831E4"/>
    <w:rsid w:val="00391197"/>
    <w:rsid w:val="00391920"/>
    <w:rsid w:val="00392A7F"/>
    <w:rsid w:val="00396719"/>
    <w:rsid w:val="003A456F"/>
    <w:rsid w:val="003B40FF"/>
    <w:rsid w:val="003C0B2C"/>
    <w:rsid w:val="003E09EF"/>
    <w:rsid w:val="003E1A6B"/>
    <w:rsid w:val="003E2F30"/>
    <w:rsid w:val="0040657F"/>
    <w:rsid w:val="004107CE"/>
    <w:rsid w:val="00411FF0"/>
    <w:rsid w:val="00413A71"/>
    <w:rsid w:val="00414440"/>
    <w:rsid w:val="004156EA"/>
    <w:rsid w:val="00420882"/>
    <w:rsid w:val="004251AC"/>
    <w:rsid w:val="0042699E"/>
    <w:rsid w:val="0044221E"/>
    <w:rsid w:val="004450A1"/>
    <w:rsid w:val="0045605E"/>
    <w:rsid w:val="0046137D"/>
    <w:rsid w:val="0046453A"/>
    <w:rsid w:val="004668AE"/>
    <w:rsid w:val="004676F0"/>
    <w:rsid w:val="00467E37"/>
    <w:rsid w:val="00467EAB"/>
    <w:rsid w:val="0047141E"/>
    <w:rsid w:val="004717B7"/>
    <w:rsid w:val="0048129B"/>
    <w:rsid w:val="004832A5"/>
    <w:rsid w:val="004A5CE9"/>
    <w:rsid w:val="004A6208"/>
    <w:rsid w:val="004B0DE1"/>
    <w:rsid w:val="004B76F2"/>
    <w:rsid w:val="004B77CC"/>
    <w:rsid w:val="004C3316"/>
    <w:rsid w:val="004C3DCC"/>
    <w:rsid w:val="004D507F"/>
    <w:rsid w:val="004E1248"/>
    <w:rsid w:val="004E5B98"/>
    <w:rsid w:val="004F15EB"/>
    <w:rsid w:val="004F5798"/>
    <w:rsid w:val="00502A6C"/>
    <w:rsid w:val="00506849"/>
    <w:rsid w:val="00513121"/>
    <w:rsid w:val="0052197E"/>
    <w:rsid w:val="0052270B"/>
    <w:rsid w:val="00523813"/>
    <w:rsid w:val="00523B0E"/>
    <w:rsid w:val="00525643"/>
    <w:rsid w:val="00536DF9"/>
    <w:rsid w:val="00544D5B"/>
    <w:rsid w:val="00545D88"/>
    <w:rsid w:val="005509C0"/>
    <w:rsid w:val="005522FC"/>
    <w:rsid w:val="005539C6"/>
    <w:rsid w:val="0056479B"/>
    <w:rsid w:val="0057588E"/>
    <w:rsid w:val="005809AC"/>
    <w:rsid w:val="005824F4"/>
    <w:rsid w:val="0058284E"/>
    <w:rsid w:val="00590A2D"/>
    <w:rsid w:val="00592062"/>
    <w:rsid w:val="00593E12"/>
    <w:rsid w:val="00594FD3"/>
    <w:rsid w:val="00597D8C"/>
    <w:rsid w:val="005A2322"/>
    <w:rsid w:val="005A323B"/>
    <w:rsid w:val="005A45B6"/>
    <w:rsid w:val="005A4DF9"/>
    <w:rsid w:val="005B0156"/>
    <w:rsid w:val="005B73F5"/>
    <w:rsid w:val="005C005F"/>
    <w:rsid w:val="005C2CC3"/>
    <w:rsid w:val="005D76D8"/>
    <w:rsid w:val="005E69E0"/>
    <w:rsid w:val="005F1371"/>
    <w:rsid w:val="005F3F99"/>
    <w:rsid w:val="005F63CF"/>
    <w:rsid w:val="006020DA"/>
    <w:rsid w:val="006021BF"/>
    <w:rsid w:val="00602EC7"/>
    <w:rsid w:val="00604663"/>
    <w:rsid w:val="00607C17"/>
    <w:rsid w:val="00612120"/>
    <w:rsid w:val="00615A71"/>
    <w:rsid w:val="00616484"/>
    <w:rsid w:val="00620730"/>
    <w:rsid w:val="00621D44"/>
    <w:rsid w:val="006228EE"/>
    <w:rsid w:val="0062458B"/>
    <w:rsid w:val="00632269"/>
    <w:rsid w:val="00632C95"/>
    <w:rsid w:val="006351E8"/>
    <w:rsid w:val="00644A42"/>
    <w:rsid w:val="00644B81"/>
    <w:rsid w:val="00651728"/>
    <w:rsid w:val="0065659D"/>
    <w:rsid w:val="00656883"/>
    <w:rsid w:val="00660AE2"/>
    <w:rsid w:val="0066156A"/>
    <w:rsid w:val="00663F77"/>
    <w:rsid w:val="006718DF"/>
    <w:rsid w:val="006736B7"/>
    <w:rsid w:val="00682C04"/>
    <w:rsid w:val="00684167"/>
    <w:rsid w:val="00690825"/>
    <w:rsid w:val="00691750"/>
    <w:rsid w:val="006928C4"/>
    <w:rsid w:val="00693D7F"/>
    <w:rsid w:val="00694A9F"/>
    <w:rsid w:val="006A0398"/>
    <w:rsid w:val="006A2149"/>
    <w:rsid w:val="006A670E"/>
    <w:rsid w:val="006B7000"/>
    <w:rsid w:val="006C12B3"/>
    <w:rsid w:val="006C19C5"/>
    <w:rsid w:val="006C1D30"/>
    <w:rsid w:val="006C2703"/>
    <w:rsid w:val="006D7447"/>
    <w:rsid w:val="006E68EA"/>
    <w:rsid w:val="006E6CD4"/>
    <w:rsid w:val="006E705F"/>
    <w:rsid w:val="007044E4"/>
    <w:rsid w:val="00704B3E"/>
    <w:rsid w:val="00706EB7"/>
    <w:rsid w:val="00707609"/>
    <w:rsid w:val="00710702"/>
    <w:rsid w:val="007125D7"/>
    <w:rsid w:val="0072056F"/>
    <w:rsid w:val="00726D8A"/>
    <w:rsid w:val="0073094C"/>
    <w:rsid w:val="00742E35"/>
    <w:rsid w:val="00743AE9"/>
    <w:rsid w:val="007516E8"/>
    <w:rsid w:val="007622A8"/>
    <w:rsid w:val="007660D9"/>
    <w:rsid w:val="00787440"/>
    <w:rsid w:val="007A052E"/>
    <w:rsid w:val="007A1839"/>
    <w:rsid w:val="007B20AD"/>
    <w:rsid w:val="007B3CC0"/>
    <w:rsid w:val="007B4759"/>
    <w:rsid w:val="007C46A5"/>
    <w:rsid w:val="007C5C3F"/>
    <w:rsid w:val="007D4556"/>
    <w:rsid w:val="007D4793"/>
    <w:rsid w:val="007E2EF6"/>
    <w:rsid w:val="007E7045"/>
    <w:rsid w:val="007F5116"/>
    <w:rsid w:val="007F6B34"/>
    <w:rsid w:val="00800DEA"/>
    <w:rsid w:val="00806C72"/>
    <w:rsid w:val="0081194D"/>
    <w:rsid w:val="00817DFA"/>
    <w:rsid w:val="00820AE5"/>
    <w:rsid w:val="00824678"/>
    <w:rsid w:val="00830251"/>
    <w:rsid w:val="00836528"/>
    <w:rsid w:val="00836529"/>
    <w:rsid w:val="00841EE7"/>
    <w:rsid w:val="00851022"/>
    <w:rsid w:val="0085747B"/>
    <w:rsid w:val="0086239B"/>
    <w:rsid w:val="0086377E"/>
    <w:rsid w:val="00880FB8"/>
    <w:rsid w:val="00882519"/>
    <w:rsid w:val="00883B72"/>
    <w:rsid w:val="00884FBA"/>
    <w:rsid w:val="008A6231"/>
    <w:rsid w:val="008B0EDD"/>
    <w:rsid w:val="008B4C75"/>
    <w:rsid w:val="008C4930"/>
    <w:rsid w:val="008C6022"/>
    <w:rsid w:val="008C70CC"/>
    <w:rsid w:val="008C7D50"/>
    <w:rsid w:val="008D03E4"/>
    <w:rsid w:val="008D437F"/>
    <w:rsid w:val="008E28FA"/>
    <w:rsid w:val="008F452A"/>
    <w:rsid w:val="00912981"/>
    <w:rsid w:val="00921552"/>
    <w:rsid w:val="0092559B"/>
    <w:rsid w:val="009313C4"/>
    <w:rsid w:val="00942223"/>
    <w:rsid w:val="00957795"/>
    <w:rsid w:val="00960597"/>
    <w:rsid w:val="00962085"/>
    <w:rsid w:val="0096367F"/>
    <w:rsid w:val="009639A6"/>
    <w:rsid w:val="009673B8"/>
    <w:rsid w:val="00977339"/>
    <w:rsid w:val="00991D1C"/>
    <w:rsid w:val="00994848"/>
    <w:rsid w:val="009A5149"/>
    <w:rsid w:val="009A64C2"/>
    <w:rsid w:val="009B15EA"/>
    <w:rsid w:val="009C51C8"/>
    <w:rsid w:val="009D18AC"/>
    <w:rsid w:val="009D324F"/>
    <w:rsid w:val="009D50A4"/>
    <w:rsid w:val="009F114B"/>
    <w:rsid w:val="009F4088"/>
    <w:rsid w:val="009F680F"/>
    <w:rsid w:val="00A02170"/>
    <w:rsid w:val="00A21913"/>
    <w:rsid w:val="00A2343F"/>
    <w:rsid w:val="00A23554"/>
    <w:rsid w:val="00A32204"/>
    <w:rsid w:val="00A3757F"/>
    <w:rsid w:val="00A40DEC"/>
    <w:rsid w:val="00A44E9B"/>
    <w:rsid w:val="00A4720A"/>
    <w:rsid w:val="00A51103"/>
    <w:rsid w:val="00A52702"/>
    <w:rsid w:val="00A61FEB"/>
    <w:rsid w:val="00A62673"/>
    <w:rsid w:val="00A64E04"/>
    <w:rsid w:val="00A65CB5"/>
    <w:rsid w:val="00A8049A"/>
    <w:rsid w:val="00A83C8B"/>
    <w:rsid w:val="00A933BA"/>
    <w:rsid w:val="00AA20DB"/>
    <w:rsid w:val="00AB04D7"/>
    <w:rsid w:val="00AB5C00"/>
    <w:rsid w:val="00AC13E2"/>
    <w:rsid w:val="00AC5BBF"/>
    <w:rsid w:val="00AD31AD"/>
    <w:rsid w:val="00AD4B4B"/>
    <w:rsid w:val="00AD7B61"/>
    <w:rsid w:val="00AE53A1"/>
    <w:rsid w:val="00AF02D4"/>
    <w:rsid w:val="00AF1B0C"/>
    <w:rsid w:val="00AF512D"/>
    <w:rsid w:val="00AF66E4"/>
    <w:rsid w:val="00AF6759"/>
    <w:rsid w:val="00B00CD6"/>
    <w:rsid w:val="00B056BC"/>
    <w:rsid w:val="00B120A2"/>
    <w:rsid w:val="00B14317"/>
    <w:rsid w:val="00B20CED"/>
    <w:rsid w:val="00B24AF8"/>
    <w:rsid w:val="00B30B6E"/>
    <w:rsid w:val="00B335D5"/>
    <w:rsid w:val="00B33EA3"/>
    <w:rsid w:val="00B44DFB"/>
    <w:rsid w:val="00B55A02"/>
    <w:rsid w:val="00B56723"/>
    <w:rsid w:val="00B629A3"/>
    <w:rsid w:val="00B6725A"/>
    <w:rsid w:val="00B70FD4"/>
    <w:rsid w:val="00B71461"/>
    <w:rsid w:val="00B731BD"/>
    <w:rsid w:val="00B75923"/>
    <w:rsid w:val="00B90B35"/>
    <w:rsid w:val="00B9424A"/>
    <w:rsid w:val="00BA31CC"/>
    <w:rsid w:val="00BA51D4"/>
    <w:rsid w:val="00BA759D"/>
    <w:rsid w:val="00BB0965"/>
    <w:rsid w:val="00BB4D2E"/>
    <w:rsid w:val="00BC5E32"/>
    <w:rsid w:val="00BC623C"/>
    <w:rsid w:val="00BC6409"/>
    <w:rsid w:val="00BD0102"/>
    <w:rsid w:val="00BD5497"/>
    <w:rsid w:val="00BD5746"/>
    <w:rsid w:val="00BE42EA"/>
    <w:rsid w:val="00BF1568"/>
    <w:rsid w:val="00BF29E1"/>
    <w:rsid w:val="00C02283"/>
    <w:rsid w:val="00C02DD8"/>
    <w:rsid w:val="00C03E45"/>
    <w:rsid w:val="00C10AA3"/>
    <w:rsid w:val="00C22F76"/>
    <w:rsid w:val="00C25CF8"/>
    <w:rsid w:val="00C30A6F"/>
    <w:rsid w:val="00C41FF3"/>
    <w:rsid w:val="00C43061"/>
    <w:rsid w:val="00C433C3"/>
    <w:rsid w:val="00C51C8C"/>
    <w:rsid w:val="00C548BD"/>
    <w:rsid w:val="00C6426E"/>
    <w:rsid w:val="00C64CEA"/>
    <w:rsid w:val="00C66A37"/>
    <w:rsid w:val="00C70349"/>
    <w:rsid w:val="00C7221E"/>
    <w:rsid w:val="00C77E20"/>
    <w:rsid w:val="00C817D8"/>
    <w:rsid w:val="00C86F11"/>
    <w:rsid w:val="00C927ED"/>
    <w:rsid w:val="00C928F0"/>
    <w:rsid w:val="00C92A67"/>
    <w:rsid w:val="00C942FC"/>
    <w:rsid w:val="00C96991"/>
    <w:rsid w:val="00CA5598"/>
    <w:rsid w:val="00CB03F6"/>
    <w:rsid w:val="00CB0445"/>
    <w:rsid w:val="00CB6F88"/>
    <w:rsid w:val="00CC4135"/>
    <w:rsid w:val="00CC42C5"/>
    <w:rsid w:val="00CC748D"/>
    <w:rsid w:val="00CD0B4D"/>
    <w:rsid w:val="00CD12BE"/>
    <w:rsid w:val="00CE3EC6"/>
    <w:rsid w:val="00D0259B"/>
    <w:rsid w:val="00D045DC"/>
    <w:rsid w:val="00D05E90"/>
    <w:rsid w:val="00D05EAC"/>
    <w:rsid w:val="00D07519"/>
    <w:rsid w:val="00D16640"/>
    <w:rsid w:val="00D16EA8"/>
    <w:rsid w:val="00D34B2F"/>
    <w:rsid w:val="00D42F34"/>
    <w:rsid w:val="00D47D90"/>
    <w:rsid w:val="00D5661E"/>
    <w:rsid w:val="00D608A4"/>
    <w:rsid w:val="00D6149B"/>
    <w:rsid w:val="00D6702A"/>
    <w:rsid w:val="00D67ED7"/>
    <w:rsid w:val="00D74065"/>
    <w:rsid w:val="00D81B59"/>
    <w:rsid w:val="00D82E78"/>
    <w:rsid w:val="00D844D0"/>
    <w:rsid w:val="00D84EF7"/>
    <w:rsid w:val="00D8652A"/>
    <w:rsid w:val="00D872C6"/>
    <w:rsid w:val="00D97663"/>
    <w:rsid w:val="00D97E5D"/>
    <w:rsid w:val="00DA0E0D"/>
    <w:rsid w:val="00DB53FB"/>
    <w:rsid w:val="00DB6480"/>
    <w:rsid w:val="00DC4786"/>
    <w:rsid w:val="00DC5334"/>
    <w:rsid w:val="00DC6E1C"/>
    <w:rsid w:val="00DC7CD1"/>
    <w:rsid w:val="00DD0AF9"/>
    <w:rsid w:val="00DE6713"/>
    <w:rsid w:val="00DE73DE"/>
    <w:rsid w:val="00DE746D"/>
    <w:rsid w:val="00DF0E6E"/>
    <w:rsid w:val="00E04F27"/>
    <w:rsid w:val="00E14829"/>
    <w:rsid w:val="00E15592"/>
    <w:rsid w:val="00E27C31"/>
    <w:rsid w:val="00E3131E"/>
    <w:rsid w:val="00E45A44"/>
    <w:rsid w:val="00E45E41"/>
    <w:rsid w:val="00E5191F"/>
    <w:rsid w:val="00E55080"/>
    <w:rsid w:val="00E550E4"/>
    <w:rsid w:val="00E6453B"/>
    <w:rsid w:val="00E728B5"/>
    <w:rsid w:val="00E83510"/>
    <w:rsid w:val="00E83CA0"/>
    <w:rsid w:val="00E85034"/>
    <w:rsid w:val="00E87101"/>
    <w:rsid w:val="00E917B6"/>
    <w:rsid w:val="00E9351A"/>
    <w:rsid w:val="00E969B0"/>
    <w:rsid w:val="00EA17AF"/>
    <w:rsid w:val="00EA46EE"/>
    <w:rsid w:val="00EA5ACC"/>
    <w:rsid w:val="00EB105E"/>
    <w:rsid w:val="00EB4DDA"/>
    <w:rsid w:val="00EC2106"/>
    <w:rsid w:val="00EC6F10"/>
    <w:rsid w:val="00EF11F8"/>
    <w:rsid w:val="00EF293E"/>
    <w:rsid w:val="00EF5D14"/>
    <w:rsid w:val="00F01C01"/>
    <w:rsid w:val="00F04609"/>
    <w:rsid w:val="00F06225"/>
    <w:rsid w:val="00F202C8"/>
    <w:rsid w:val="00F277AF"/>
    <w:rsid w:val="00F415E1"/>
    <w:rsid w:val="00F56B6E"/>
    <w:rsid w:val="00F57BE5"/>
    <w:rsid w:val="00F60254"/>
    <w:rsid w:val="00F65751"/>
    <w:rsid w:val="00F67132"/>
    <w:rsid w:val="00F753C3"/>
    <w:rsid w:val="00F802FA"/>
    <w:rsid w:val="00F83372"/>
    <w:rsid w:val="00F87A0C"/>
    <w:rsid w:val="00F92262"/>
    <w:rsid w:val="00F96734"/>
    <w:rsid w:val="00F97FCD"/>
    <w:rsid w:val="00FA1442"/>
    <w:rsid w:val="00FA5100"/>
    <w:rsid w:val="00FB126A"/>
    <w:rsid w:val="00FB2280"/>
    <w:rsid w:val="00FB6ED1"/>
    <w:rsid w:val="00FB6F95"/>
    <w:rsid w:val="00FC3D1F"/>
    <w:rsid w:val="00FD0ED2"/>
    <w:rsid w:val="00FD6FE8"/>
    <w:rsid w:val="00FD72DA"/>
    <w:rsid w:val="00FE666C"/>
    <w:rsid w:val="00FF322F"/>
    <w:rsid w:val="00FF3E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9F868"/>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7AF"/>
    <w:pPr>
      <w:spacing w:before="120" w:after="120"/>
    </w:pPr>
    <w:rPr>
      <w:rFonts w:ascii="Calibri" w:eastAsiaTheme="minorHAnsi" w:hAnsi="Calibri" w:cstheme="minorBidi"/>
      <w:sz w:val="22"/>
      <w:szCs w:val="22"/>
      <w:lang w:eastAsia="en-US"/>
    </w:rPr>
  </w:style>
  <w:style w:type="paragraph" w:styleId="Heading1">
    <w:name w:val="heading 1"/>
    <w:next w:val="Normal"/>
    <w:link w:val="Heading1Char"/>
    <w:uiPriority w:val="1"/>
    <w:qFormat/>
    <w:rsid w:val="00F96734"/>
    <w:pPr>
      <w:widowControl w:val="0"/>
      <w:spacing w:before="240" w:after="24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qFormat/>
    <w:rsid w:val="00115219"/>
    <w:pPr>
      <w:spacing w:after="240"/>
      <w:outlineLvl w:val="1"/>
    </w:pPr>
    <w:rPr>
      <w:rFonts w:eastAsiaTheme="minorEastAsia"/>
      <w:bCs/>
      <w:color w:val="000000"/>
      <w:sz w:val="36"/>
      <w:szCs w:val="28"/>
      <w:lang w:eastAsia="ja-JP"/>
    </w:rPr>
  </w:style>
  <w:style w:type="paragraph" w:styleId="Heading3">
    <w:name w:val="heading 3"/>
    <w:next w:val="Normal"/>
    <w:link w:val="Heading3Char"/>
    <w:uiPriority w:val="4"/>
    <w:qFormat/>
    <w:rsid w:val="002526E1"/>
    <w:pPr>
      <w:keepNext/>
      <w:keepLines/>
      <w:spacing w:before="240" w:after="240"/>
      <w:outlineLvl w:val="2"/>
    </w:pPr>
    <w:rPr>
      <w:rFonts w:ascii="Calibri" w:eastAsia="Times New Roman" w:hAnsi="Calibri"/>
      <w:bCs/>
      <w:sz w:val="32"/>
      <w:szCs w:val="24"/>
      <w:lang w:eastAsia="ja-JP"/>
    </w:rPr>
  </w:style>
  <w:style w:type="paragraph" w:styleId="Heading4">
    <w:name w:val="heading 4"/>
    <w:next w:val="Normal"/>
    <w:link w:val="Heading4Char"/>
    <w:uiPriority w:val="5"/>
    <w:qFormat/>
    <w:rsid w:val="002526E1"/>
    <w:pPr>
      <w:keepNext/>
      <w:spacing w:before="120" w:after="120"/>
      <w:outlineLvl w:val="3"/>
    </w:pPr>
    <w:rPr>
      <w:rFonts w:ascii="Calibri" w:eastAsia="Times New Roman" w:hAnsi="Calibri"/>
      <w:bCs/>
      <w:sz w:val="28"/>
      <w:szCs w:val="24"/>
      <w:lang w:eastAsia="en-US"/>
    </w:rPr>
  </w:style>
  <w:style w:type="paragraph" w:styleId="Heading5">
    <w:name w:val="heading 5"/>
    <w:basedOn w:val="Normal"/>
    <w:next w:val="Normal"/>
    <w:link w:val="Heading5Char"/>
    <w:uiPriority w:val="6"/>
    <w:pPr>
      <w:keepNext/>
      <w:keepLines/>
      <w:spacing w:after="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jc w:val="center"/>
    </w:pPr>
    <w:rPr>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jc w:val="center"/>
    </w:pPr>
    <w:rPr>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3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F96734"/>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28C4"/>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2526E1"/>
    <w:rPr>
      <w:rFonts w:ascii="Calibri" w:eastAsia="Times New Roman" w:hAnsi="Calibri"/>
      <w:bCs/>
      <w:sz w:val="32"/>
      <w:szCs w:val="24"/>
      <w:lang w:eastAsia="ja-JP"/>
    </w:rPr>
  </w:style>
  <w:style w:type="character" w:customStyle="1" w:styleId="Heading4Char">
    <w:name w:val="Heading 4 Char"/>
    <w:basedOn w:val="DefaultParagraphFont"/>
    <w:link w:val="Heading4"/>
    <w:uiPriority w:val="5"/>
    <w:rsid w:val="002526E1"/>
    <w:rPr>
      <w:rFonts w:ascii="Calibri" w:eastAsia="Times New Roman" w:hAnsi="Calibri"/>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pPr>
    <w:rPr>
      <w:sz w:val="20"/>
    </w:rPr>
  </w:style>
  <w:style w:type="paragraph" w:styleId="Caption">
    <w:name w:val="caption"/>
    <w:basedOn w:val="Normal"/>
    <w:next w:val="Normal"/>
    <w:uiPriority w:val="12"/>
    <w:qFormat/>
    <w:rsid w:val="00A52702"/>
    <w:pPr>
      <w:keepNext/>
    </w:pPr>
    <w:rPr>
      <w:b/>
      <w:bCs/>
      <w:szCs w:val="18"/>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rsid w:val="005A2322"/>
    <w:pPr>
      <w:spacing w:before="240" w:after="240" w:line="276" w:lineRule="auto"/>
    </w:pPr>
    <w:rPr>
      <w:rFonts w:ascii="Calibri" w:eastAsiaTheme="minorEastAsia" w:hAnsi="Calibri" w:cstheme="minorBidi"/>
      <w:b/>
      <w:bCs/>
      <w:color w:val="000000"/>
      <w:sz w:val="32"/>
      <w:szCs w:val="28"/>
      <w:lang w:eastAsia="ja-JP"/>
    </w:rPr>
  </w:style>
  <w:style w:type="paragraph" w:styleId="TOC1">
    <w:name w:val="toc 1"/>
    <w:basedOn w:val="Normal"/>
    <w:next w:val="Normal"/>
    <w:uiPriority w:val="39"/>
    <w:unhideWhenUsed/>
    <w:qFormat/>
    <w:rsid w:val="000A4ECD"/>
    <w:pPr>
      <w:tabs>
        <w:tab w:val="left" w:pos="426"/>
        <w:tab w:val="right" w:leader="dot" w:pos="9072"/>
      </w:tabs>
      <w:spacing w:after="240"/>
    </w:pPr>
    <w:rPr>
      <w:b/>
      <w:noProof/>
      <w:sz w:val="24"/>
    </w:rPr>
  </w:style>
  <w:style w:type="paragraph" w:styleId="TOC2">
    <w:name w:val="toc 2"/>
    <w:basedOn w:val="Normal"/>
    <w:next w:val="Normal"/>
    <w:uiPriority w:val="39"/>
    <w:unhideWhenUsed/>
    <w:qFormat/>
    <w:pPr>
      <w:tabs>
        <w:tab w:val="right" w:leader="dot" w:pos="9060"/>
      </w:tabs>
      <w:ind w:firstLine="425"/>
    </w:pPr>
    <w:rPr>
      <w:noProof/>
    </w:rPr>
  </w:style>
  <w:style w:type="paragraph" w:styleId="TOC3">
    <w:name w:val="toc 3"/>
    <w:basedOn w:val="Normal"/>
    <w:next w:val="Normal"/>
    <w:uiPriority w:val="39"/>
    <w:unhideWhenUsed/>
    <w:qFormat/>
    <w:pPr>
      <w:tabs>
        <w:tab w:val="right" w:leader="dot" w:pos="9072"/>
      </w:tabs>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rsid w:val="00B90B35"/>
    <w:pPr>
      <w:numPr>
        <w:numId w:val="5"/>
      </w:numPr>
    </w:pPr>
    <w:rPr>
      <w:color w:val="000000" w:themeColor="text1"/>
    </w:rPr>
  </w:style>
  <w:style w:type="paragraph" w:styleId="TableofFigures">
    <w:name w:val="table of figures"/>
    <w:basedOn w:val="Normal"/>
    <w:next w:val="Normal"/>
    <w:uiPriority w:val="99"/>
  </w:style>
  <w:style w:type="paragraph" w:styleId="ListBullet2">
    <w:name w:val="List Bullet 2"/>
    <w:basedOn w:val="Normal"/>
    <w:uiPriority w:val="8"/>
    <w:qFormat/>
    <w:pPr>
      <w:numPr>
        <w:ilvl w:val="1"/>
        <w:numId w:val="5"/>
      </w:numPr>
      <w:contextualSpacing/>
    </w:pPr>
  </w:style>
  <w:style w:type="paragraph" w:styleId="ListNumber">
    <w:name w:val="List Number"/>
    <w:basedOn w:val="Normal"/>
    <w:uiPriority w:val="9"/>
    <w:qFormat/>
    <w:pPr>
      <w:numPr>
        <w:numId w:val="24"/>
      </w:numPr>
      <w:tabs>
        <w:tab w:val="left" w:pos="142"/>
      </w:tabs>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A61FEB"/>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rPr>
      <w:b/>
    </w:rPr>
  </w:style>
  <w:style w:type="paragraph" w:customStyle="1" w:styleId="Picture">
    <w:name w:val="Picture"/>
    <w:basedOn w:val="Normal"/>
    <w:uiPriority w:val="17"/>
    <w:qFormat/>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rsid w:val="00D608A4"/>
    <w:pPr>
      <w:spacing w:after="120" w:line="276" w:lineRule="auto"/>
    </w:pPr>
    <w:rPr>
      <w:rFonts w:ascii="Calibri" w:eastAsiaTheme="minorHAnsi" w:hAnsi="Calibri" w:cstheme="minorBidi"/>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customStyle="1" w:styleId="Draftingnotes">
    <w:name w:val="Drafting notes"/>
    <w:basedOn w:val="Normal"/>
    <w:qFormat/>
    <w:rsid w:val="001B70A7"/>
    <w:rPr>
      <w:color w:val="0070C0"/>
    </w:rPr>
  </w:style>
  <w:style w:type="paragraph" w:styleId="Revision">
    <w:name w:val="Revision"/>
    <w:hidden/>
    <w:uiPriority w:val="99"/>
    <w:semiHidden/>
    <w:rsid w:val="00C7221E"/>
    <w:rPr>
      <w:rFonts w:ascii="Calibri" w:eastAsiaTheme="minorHAnsi" w:hAnsi="Calibri" w:cstheme="minorBidi"/>
      <w:sz w:val="22"/>
      <w:szCs w:val="22"/>
      <w:lang w:eastAsia="en-US"/>
    </w:rPr>
  </w:style>
  <w:style w:type="character" w:styleId="UnresolvedMention">
    <w:name w:val="Unresolved Mention"/>
    <w:basedOn w:val="DefaultParagraphFont"/>
    <w:uiPriority w:val="99"/>
    <w:semiHidden/>
    <w:unhideWhenUsed/>
    <w:rsid w:val="00820AE5"/>
    <w:rPr>
      <w:color w:val="605E5C"/>
      <w:shd w:val="clear" w:color="auto" w:fill="E1DFDD"/>
    </w:rPr>
  </w:style>
  <w:style w:type="paragraph" w:styleId="ListParagraph">
    <w:name w:val="List Paragraph"/>
    <w:basedOn w:val="Normal"/>
    <w:uiPriority w:val="99"/>
    <w:qFormat/>
    <w:rsid w:val="00B731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892874">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481176">
      <w:bodyDiv w:val="1"/>
      <w:marLeft w:val="0"/>
      <w:marRight w:val="0"/>
      <w:marTop w:val="0"/>
      <w:marBottom w:val="0"/>
      <w:divBdr>
        <w:top w:val="none" w:sz="0" w:space="0" w:color="auto"/>
        <w:left w:val="none" w:sz="0" w:space="0" w:color="auto"/>
        <w:bottom w:val="none" w:sz="0" w:space="0" w:color="auto"/>
        <w:right w:val="none" w:sz="0" w:space="0" w:color="auto"/>
      </w:divBdr>
      <w:divsChild>
        <w:div w:id="2061050811">
          <w:marLeft w:val="446"/>
          <w:marRight w:val="0"/>
          <w:marTop w:val="0"/>
          <w:marBottom w:val="0"/>
          <w:divBdr>
            <w:top w:val="none" w:sz="0" w:space="0" w:color="auto"/>
            <w:left w:val="none" w:sz="0" w:space="0" w:color="auto"/>
            <w:bottom w:val="none" w:sz="0" w:space="0" w:color="auto"/>
            <w:right w:val="none" w:sz="0" w:space="0" w:color="auto"/>
          </w:divBdr>
        </w:div>
        <w:div w:id="1659725360">
          <w:marLeft w:val="446"/>
          <w:marRight w:val="0"/>
          <w:marTop w:val="0"/>
          <w:marBottom w:val="0"/>
          <w:divBdr>
            <w:top w:val="none" w:sz="0" w:space="0" w:color="auto"/>
            <w:left w:val="none" w:sz="0" w:space="0" w:color="auto"/>
            <w:bottom w:val="none" w:sz="0" w:space="0" w:color="auto"/>
            <w:right w:val="none" w:sz="0" w:space="0" w:color="auto"/>
          </w:divBdr>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860792">
      <w:bodyDiv w:val="1"/>
      <w:marLeft w:val="0"/>
      <w:marRight w:val="0"/>
      <w:marTop w:val="0"/>
      <w:marBottom w:val="0"/>
      <w:divBdr>
        <w:top w:val="none" w:sz="0" w:space="0" w:color="auto"/>
        <w:left w:val="none" w:sz="0" w:space="0" w:color="auto"/>
        <w:bottom w:val="none" w:sz="0" w:space="0" w:color="auto"/>
        <w:right w:val="none" w:sz="0" w:space="0" w:color="auto"/>
      </w:divBdr>
      <w:divsChild>
        <w:div w:id="1719159195">
          <w:marLeft w:val="446"/>
          <w:marRight w:val="0"/>
          <w:marTop w:val="0"/>
          <w:marBottom w:val="0"/>
          <w:divBdr>
            <w:top w:val="none" w:sz="0" w:space="0" w:color="auto"/>
            <w:left w:val="none" w:sz="0" w:space="0" w:color="auto"/>
            <w:bottom w:val="none" w:sz="0" w:space="0" w:color="auto"/>
            <w:right w:val="none" w:sz="0" w:space="0" w:color="auto"/>
          </w:divBdr>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35689094">
      <w:bodyDiv w:val="1"/>
      <w:marLeft w:val="0"/>
      <w:marRight w:val="0"/>
      <w:marTop w:val="0"/>
      <w:marBottom w:val="0"/>
      <w:divBdr>
        <w:top w:val="none" w:sz="0" w:space="0" w:color="auto"/>
        <w:left w:val="none" w:sz="0" w:space="0" w:color="auto"/>
        <w:bottom w:val="none" w:sz="0" w:space="0" w:color="auto"/>
        <w:right w:val="none" w:sz="0" w:space="0" w:color="auto"/>
      </w:divBdr>
      <w:divsChild>
        <w:div w:id="708727227">
          <w:marLeft w:val="547"/>
          <w:marRight w:val="0"/>
          <w:marTop w:val="77"/>
          <w:marBottom w:val="0"/>
          <w:divBdr>
            <w:top w:val="none" w:sz="0" w:space="0" w:color="auto"/>
            <w:left w:val="none" w:sz="0" w:space="0" w:color="auto"/>
            <w:bottom w:val="none" w:sz="0" w:space="0" w:color="auto"/>
            <w:right w:val="none" w:sz="0" w:space="0" w:color="auto"/>
          </w:divBdr>
        </w:div>
        <w:div w:id="1570339495">
          <w:marLeft w:val="547"/>
          <w:marRight w:val="0"/>
          <w:marTop w:val="77"/>
          <w:marBottom w:val="0"/>
          <w:divBdr>
            <w:top w:val="none" w:sz="0" w:space="0" w:color="auto"/>
            <w:left w:val="none" w:sz="0" w:space="0" w:color="auto"/>
            <w:bottom w:val="none" w:sz="0" w:space="0" w:color="auto"/>
            <w:right w:val="none" w:sz="0" w:space="0" w:color="auto"/>
          </w:divBdr>
        </w:div>
        <w:div w:id="909846070">
          <w:marLeft w:val="547"/>
          <w:marRight w:val="0"/>
          <w:marTop w:val="77"/>
          <w:marBottom w:val="0"/>
          <w:divBdr>
            <w:top w:val="none" w:sz="0" w:space="0" w:color="auto"/>
            <w:left w:val="none" w:sz="0" w:space="0" w:color="auto"/>
            <w:bottom w:val="none" w:sz="0" w:space="0" w:color="auto"/>
            <w:right w:val="none" w:sz="0" w:space="0" w:color="auto"/>
          </w:divBdr>
        </w:div>
        <w:div w:id="535898391">
          <w:marLeft w:val="547"/>
          <w:marRight w:val="0"/>
          <w:marTop w:val="77"/>
          <w:marBottom w:val="0"/>
          <w:divBdr>
            <w:top w:val="none" w:sz="0" w:space="0" w:color="auto"/>
            <w:left w:val="none" w:sz="0" w:space="0" w:color="auto"/>
            <w:bottom w:val="none" w:sz="0" w:space="0" w:color="auto"/>
            <w:right w:val="none" w:sz="0" w:space="0" w:color="auto"/>
          </w:divBdr>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foodindustryaustralia.com.au/aquaculture/" TargetMode="External"/><Relationship Id="rId1" Type="http://schemas.openxmlformats.org/officeDocument/2006/relationships/hyperlink" Target="https://www.agriculture.gov.au/agriculture-land/animal/aquatic/committe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7cf0e0db-f490-4122-abae-21917392c748">Style guides and writing</Topic>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purl.org/dc/elements/1.1/"/>
    <ds:schemaRef ds:uri="http://schemas.openxmlformats.org/package/2006/metadata/core-properties"/>
    <ds:schemaRef ds:uri="7cf0e0db-f490-4122-abae-21917392c748"/>
    <ds:schemaRef ds:uri="http://www.w3.org/XML/1998/namespace"/>
    <ds:schemaRef ds:uri="http://purl.org/dc/dcmitype/"/>
    <ds:schemaRef ds:uri="http://schemas.microsoft.com/sharepoint/v3"/>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870B1A-F36A-4139-B1AC-C3DD072DA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Standard-report-template-with-numbered-headings (1).dotx</Template>
  <TotalTime>4</TotalTime>
  <Pages>11</Pages>
  <Words>2466</Words>
  <Characters>14061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Measuring the baseline performance of Australia’s aquatic animal health system under AQUAPLAN 2022–2027</vt:lpstr>
    </vt:vector>
  </TitlesOfParts>
  <Company>Department of Agriculture Fisheries &amp; Forestry</Company>
  <LinksUpToDate>false</LinksUpToDate>
  <CharactersWithSpaces>16495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Measuring the baseline performance of Australia’s aquatic animal health system under AQUAPLAN 2022–2027</dc:title>
  <dc:creator>Department of Agriculture</dc:creator>
  <cp:lastModifiedBy>Larkins, Bernadette</cp:lastModifiedBy>
  <cp:revision>4</cp:revision>
  <cp:lastPrinted>2013-10-18T05:59:00Z</cp:lastPrinted>
  <dcterms:created xsi:type="dcterms:W3CDTF">2024-11-12T00:24:00Z</dcterms:created>
  <dcterms:modified xsi:type="dcterms:W3CDTF">2025-01-20T01:40:00Z</dcterms:modified>
  <cp:contentStatus>Updated July 2019</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y fmtid="{D5CDD505-2E9C-101B-9397-08002B2CF9AE}" pid="3" name="ClassificationContentMarkingHeaderShapeIds">
    <vt:lpwstr>19eaa1eb,4d92306b,739d530f</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397a000f,64f48414,403b6a3f</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2024-11-11T23:17:05Z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b42e6045-5382-4c38-adb4-49eb8212c4f3</vt:lpwstr>
  </property>
  <property fmtid="{D5CDD505-2E9C-101B-9397-08002B2CF9AE}" pid="15" name="MSIP_Label_933d8be6-3c40-4052-87a2-9c2adcba8759_ContentBits">
    <vt:lpwstr>3</vt:lpwstr>
  </property>
</Properties>
</file>