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39EC" w14:textId="21DE0786" w:rsidR="00764D6A" w:rsidRDefault="000D50F5">
      <w:pPr>
        <w:pStyle w:val="Heading1"/>
      </w:pPr>
      <w:r>
        <w:t>Agricultural lending data 2019–20</w:t>
      </w:r>
    </w:p>
    <w:p w14:paraId="78731B7F" w14:textId="1DDC01EA" w:rsidR="00764D6A" w:rsidRDefault="000D50F5">
      <w:pPr>
        <w:pStyle w:val="AuthorOrganisationAffiliation"/>
        <w:tabs>
          <w:tab w:val="left" w:pos="7995"/>
        </w:tabs>
      </w:pPr>
      <w:r>
        <w:t>Australian Bureau of Agricultural and Resource Economics</w:t>
      </w:r>
      <w:r w:rsidR="00FF5C2E">
        <w:t xml:space="preserve"> and Sciences</w:t>
      </w:r>
    </w:p>
    <w:p w14:paraId="72F2DE28" w14:textId="77777777" w:rsidR="00764D6A" w:rsidRDefault="00E91D72">
      <w:pPr>
        <w:pStyle w:val="Picture"/>
      </w:pPr>
      <w:r>
        <w:drawing>
          <wp:inline distT="0" distB="0" distL="0" distR="0" wp14:anchorId="3B04E550" wp14:editId="4A336C09">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6A418AA8" w14:textId="77777777" w:rsidR="00764D6A" w:rsidRDefault="00E91D72">
      <w:pPr>
        <w:pStyle w:val="Normalsmall"/>
      </w:pPr>
      <w:r>
        <w:br w:type="page"/>
      </w:r>
      <w:r>
        <w:lastRenderedPageBreak/>
        <w:t xml:space="preserve">© Commonwealth of Australia </w:t>
      </w:r>
      <w:r w:rsidR="00B97E61">
        <w:t>202</w:t>
      </w:r>
      <w:r w:rsidR="00D6626A">
        <w:t>1</w:t>
      </w:r>
    </w:p>
    <w:p w14:paraId="6F713F0C" w14:textId="77777777" w:rsidR="00764D6A" w:rsidRDefault="00E91D72">
      <w:pPr>
        <w:pStyle w:val="Normalsmall"/>
        <w:rPr>
          <w:rStyle w:val="Strong"/>
        </w:rPr>
      </w:pPr>
      <w:r>
        <w:rPr>
          <w:rStyle w:val="Strong"/>
        </w:rPr>
        <w:t>Ownership of intellectual property rights</w:t>
      </w:r>
    </w:p>
    <w:p w14:paraId="668C9E6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BA5B6C0" w14:textId="77777777" w:rsidR="00764D6A" w:rsidRDefault="00E91D72">
      <w:pPr>
        <w:pStyle w:val="Normalsmall"/>
        <w:rPr>
          <w:rStyle w:val="Strong"/>
        </w:rPr>
      </w:pPr>
      <w:r>
        <w:rPr>
          <w:rStyle w:val="Strong"/>
        </w:rPr>
        <w:t>Creative Commons licence</w:t>
      </w:r>
    </w:p>
    <w:p w14:paraId="5F60BBB7"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1D0E3EC3"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68A8C2A" w14:textId="77777777" w:rsidR="00764D6A" w:rsidRDefault="00E91D72">
      <w:pPr>
        <w:pStyle w:val="Normalsmall"/>
      </w:pPr>
      <w:r>
        <w:rPr>
          <w:noProof/>
          <w:lang w:eastAsia="en-AU"/>
        </w:rPr>
        <w:drawing>
          <wp:inline distT="0" distB="0" distL="0" distR="0" wp14:anchorId="71B9BC66" wp14:editId="53165B02">
            <wp:extent cx="724535" cy="255270"/>
            <wp:effectExtent l="0" t="0" r="0" b="0"/>
            <wp:docPr id="2" name="Picture 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reative commons licence logo"/>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C30127B" w14:textId="77777777" w:rsidR="00764D6A" w:rsidRDefault="00E91D72">
      <w:pPr>
        <w:pStyle w:val="Normalsmall"/>
        <w:rPr>
          <w:rStyle w:val="Strong"/>
        </w:rPr>
      </w:pPr>
      <w:r>
        <w:rPr>
          <w:rStyle w:val="Strong"/>
        </w:rPr>
        <w:t>Cataloguing data</w:t>
      </w:r>
    </w:p>
    <w:p w14:paraId="6B41CFBF" w14:textId="1EE08628" w:rsidR="00764D6A" w:rsidRDefault="00E91D72">
      <w:pPr>
        <w:pStyle w:val="Normalsmall"/>
      </w:pPr>
      <w:r>
        <w:t xml:space="preserve">This publication (and any material sourced from it) should be </w:t>
      </w:r>
      <w:r w:rsidRPr="000D50F5">
        <w:t xml:space="preserve">attributed as: </w:t>
      </w:r>
      <w:r w:rsidR="009D5007" w:rsidRPr="000D50F5">
        <w:t>DAWE</w:t>
      </w:r>
      <w:r w:rsidR="00B97E61" w:rsidRPr="000D50F5">
        <w:t xml:space="preserve"> 202</w:t>
      </w:r>
      <w:r w:rsidR="00D6626A" w:rsidRPr="000D50F5">
        <w:t>1</w:t>
      </w:r>
      <w:r w:rsidRPr="000D50F5">
        <w:t xml:space="preserve">, </w:t>
      </w:r>
      <w:r w:rsidR="000D50F5" w:rsidRPr="000D50F5">
        <w:rPr>
          <w:i/>
        </w:rPr>
        <w:t>Agricultural</w:t>
      </w:r>
      <w:r w:rsidR="000D50F5">
        <w:rPr>
          <w:i/>
        </w:rPr>
        <w:t xml:space="preserve"> lending data 2019–20</w:t>
      </w:r>
      <w:r>
        <w:t xml:space="preserve">, </w:t>
      </w:r>
      <w:r w:rsidR="00B5740E">
        <w:t>Department of Agriculture, Water and the Environment</w:t>
      </w:r>
      <w:r>
        <w:t xml:space="preserve">, Canberra, </w:t>
      </w:r>
      <w:r w:rsidR="00110865">
        <w:t>Nov</w:t>
      </w:r>
      <w:r w:rsidR="000D50F5">
        <w:t>ember.</w:t>
      </w:r>
      <w:r>
        <w:t xml:space="preserve"> CC BY 4.0.</w:t>
      </w:r>
    </w:p>
    <w:p w14:paraId="56CBD523" w14:textId="36B43D1B" w:rsidR="00764D6A" w:rsidRPr="00147524" w:rsidRDefault="00E91D72">
      <w:pPr>
        <w:pStyle w:val="Normalsmall"/>
      </w:pPr>
      <w:r w:rsidRPr="00147524">
        <w:t xml:space="preserve">ISBN </w:t>
      </w:r>
      <w:r w:rsidR="00147524" w:rsidRPr="00147524">
        <w:t>978</w:t>
      </w:r>
      <w:r w:rsidRPr="00147524">
        <w:t>-</w:t>
      </w:r>
      <w:r w:rsidR="00147524" w:rsidRPr="00147524">
        <w:t>1</w:t>
      </w:r>
      <w:r w:rsidRPr="00147524">
        <w:t>-</w:t>
      </w:r>
      <w:r w:rsidR="00147524" w:rsidRPr="00147524">
        <w:t>76003</w:t>
      </w:r>
      <w:r w:rsidRPr="00147524">
        <w:t>-</w:t>
      </w:r>
      <w:r w:rsidR="00147524" w:rsidRPr="00147524">
        <w:t>494</w:t>
      </w:r>
      <w:r w:rsidRPr="00147524">
        <w:t>-</w:t>
      </w:r>
      <w:r w:rsidR="00147524" w:rsidRPr="00147524">
        <w:t>8</w:t>
      </w:r>
    </w:p>
    <w:p w14:paraId="3E43D916" w14:textId="77777777" w:rsidR="000E68AC" w:rsidRDefault="00E91D72">
      <w:pPr>
        <w:pStyle w:val="Normalsmall"/>
      </w:pPr>
      <w:r>
        <w:t xml:space="preserve">This publication is </w:t>
      </w:r>
      <w:r w:rsidRPr="00E20810">
        <w:t xml:space="preserve">available at </w:t>
      </w:r>
      <w:hyperlink r:id="rId15" w:history="1">
        <w:r w:rsidR="000D50F5" w:rsidRPr="00437C6B">
          <w:rPr>
            <w:rStyle w:val="Hyperlink"/>
          </w:rPr>
          <w:t>agriculture.gov.au/ag-farm-food/drought/agricultural-lending-data</w:t>
        </w:r>
      </w:hyperlink>
    </w:p>
    <w:p w14:paraId="2D5C5096" w14:textId="173A9A73" w:rsidR="00764D6A" w:rsidRDefault="00B5740E">
      <w:pPr>
        <w:pStyle w:val="Normalsmall"/>
        <w:spacing w:after="0"/>
      </w:pPr>
      <w:r>
        <w:t xml:space="preserve">Department of Agriculture, </w:t>
      </w:r>
      <w:proofErr w:type="gramStart"/>
      <w:r>
        <w:t>Water</w:t>
      </w:r>
      <w:proofErr w:type="gramEnd"/>
      <w:r>
        <w:t xml:space="preserve"> and the Environment</w:t>
      </w:r>
    </w:p>
    <w:p w14:paraId="498C6155" w14:textId="77777777" w:rsidR="00764D6A" w:rsidRDefault="00E91D72">
      <w:pPr>
        <w:pStyle w:val="Normalsmall"/>
        <w:spacing w:after="0"/>
      </w:pPr>
      <w:r>
        <w:t>GPO Box 858 Canberra ACT 2601</w:t>
      </w:r>
    </w:p>
    <w:p w14:paraId="297EE7BA" w14:textId="77777777" w:rsidR="00764D6A" w:rsidRDefault="00E91D72">
      <w:pPr>
        <w:pStyle w:val="Normalsmall"/>
        <w:spacing w:after="0"/>
      </w:pPr>
      <w:r>
        <w:t xml:space="preserve">Telephone </w:t>
      </w:r>
      <w:r w:rsidRPr="00773056">
        <w:t>1800 900 090</w:t>
      </w:r>
    </w:p>
    <w:p w14:paraId="048C88FD" w14:textId="77777777" w:rsidR="00764D6A" w:rsidRDefault="00E91D72">
      <w:pPr>
        <w:pStyle w:val="Normalsmall"/>
      </w:pPr>
      <w:r w:rsidRPr="00E20810">
        <w:t xml:space="preserve">Web </w:t>
      </w:r>
      <w:hyperlink r:id="rId16" w:history="1">
        <w:r w:rsidR="00E20810" w:rsidRPr="00E20810">
          <w:rPr>
            <w:rStyle w:val="Hyperlink"/>
          </w:rPr>
          <w:t>awe.gov.au</w:t>
        </w:r>
      </w:hyperlink>
    </w:p>
    <w:p w14:paraId="1E701127" w14:textId="77777777" w:rsidR="007C358A" w:rsidRDefault="007C358A">
      <w:pPr>
        <w:pStyle w:val="Normalsmall"/>
      </w:pPr>
      <w:r>
        <w:rPr>
          <w:rStyle w:val="Strong"/>
        </w:rPr>
        <w:t>Disclaimer</w:t>
      </w:r>
    </w:p>
    <w:p w14:paraId="4C4EC45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42779E74" w14:textId="751C153A" w:rsidR="00764D6A" w:rsidRDefault="00E91D72">
      <w:pPr>
        <w:pStyle w:val="Heading2"/>
        <w:numPr>
          <w:ilvl w:val="0"/>
          <w:numId w:val="0"/>
        </w:numPr>
        <w:ind w:left="709" w:hanging="709"/>
      </w:pPr>
      <w:bookmarkStart w:id="0" w:name="_Toc430782148"/>
      <w:bookmarkStart w:id="1" w:name="_Toc84434472"/>
      <w:r>
        <w:lastRenderedPageBreak/>
        <w:t>Foreword</w:t>
      </w:r>
      <w:bookmarkEnd w:id="0"/>
      <w:bookmarkEnd w:id="1"/>
    </w:p>
    <w:p w14:paraId="6365CD31" w14:textId="0A0D330E" w:rsidR="009D0F6E" w:rsidRDefault="009D0F6E" w:rsidP="009D0F6E">
      <w:pPr>
        <w:rPr>
          <w:szCs w:val="24"/>
        </w:rPr>
      </w:pPr>
      <w:r>
        <w:t xml:space="preserve">This </w:t>
      </w:r>
      <w:r w:rsidR="00481279">
        <w:t>4</w:t>
      </w:r>
      <w:r>
        <w:t>th</w:t>
      </w:r>
      <w:r w:rsidRPr="002C64C5">
        <w:t xml:space="preserve"> </w:t>
      </w:r>
      <w:r>
        <w:t xml:space="preserve">edition </w:t>
      </w:r>
      <w:r w:rsidRPr="002C64C5">
        <w:t xml:space="preserve">of the </w:t>
      </w:r>
      <w:r w:rsidRPr="00BF2A20">
        <w:t>Agricultural Lending Data</w:t>
      </w:r>
      <w:r>
        <w:rPr>
          <w:i/>
          <w:szCs w:val="24"/>
        </w:rPr>
        <w:t xml:space="preserve"> </w:t>
      </w:r>
      <w:r>
        <w:rPr>
          <w:szCs w:val="24"/>
        </w:rPr>
        <w:t xml:space="preserve">report highlights the </w:t>
      </w:r>
      <w:r w:rsidR="00226F34">
        <w:rPr>
          <w:szCs w:val="24"/>
        </w:rPr>
        <w:t>agricultural sector</w:t>
      </w:r>
      <w:r>
        <w:rPr>
          <w:szCs w:val="24"/>
        </w:rPr>
        <w:t xml:space="preserve">’s productivity, </w:t>
      </w:r>
      <w:proofErr w:type="gramStart"/>
      <w:r>
        <w:rPr>
          <w:szCs w:val="24"/>
        </w:rPr>
        <w:t>resilience</w:t>
      </w:r>
      <w:proofErr w:type="gramEnd"/>
      <w:r>
        <w:rPr>
          <w:szCs w:val="24"/>
        </w:rPr>
        <w:t xml:space="preserve"> and capacity to respond to adversity.</w:t>
      </w:r>
      <w:bookmarkStart w:id="2" w:name="_Hlk80874798"/>
      <w:bookmarkStart w:id="3" w:name="_Hlk80874612"/>
    </w:p>
    <w:p w14:paraId="537DC0D1" w14:textId="50300A38" w:rsidR="009D0F6E" w:rsidRPr="002C07EA" w:rsidRDefault="009D0F6E" w:rsidP="009D0F6E">
      <w:r>
        <w:rPr>
          <w:szCs w:val="24"/>
        </w:rPr>
        <w:t>Despite</w:t>
      </w:r>
      <w:r>
        <w:t xml:space="preserve"> the widespread impact of drought, bushfire</w:t>
      </w:r>
      <w:r w:rsidR="00291D5D">
        <w:t>s</w:t>
      </w:r>
      <w:r>
        <w:t xml:space="preserve"> and the COVID-19 pandemic, the gross value of farm production increased in 2019–20 to $61.4 billion, which is 4.8% above the 5</w:t>
      </w:r>
      <w:r w:rsidR="00E0438E">
        <w:noBreakHyphen/>
      </w:r>
      <w:r>
        <w:t>year</w:t>
      </w:r>
      <w:r w:rsidR="00E0438E">
        <w:noBreakHyphen/>
      </w:r>
      <w:r>
        <w:t>average to 2018–19.</w:t>
      </w:r>
    </w:p>
    <w:p w14:paraId="1A5B00F9" w14:textId="4A82A5B7" w:rsidR="009D0F6E" w:rsidRDefault="009D0F6E" w:rsidP="009D0F6E">
      <w:r w:rsidRPr="002C07EA">
        <w:t>A</w:t>
      </w:r>
      <w:r>
        <w:t xml:space="preserve">s of 30 June 2020, </w:t>
      </w:r>
      <w:r w:rsidRPr="002C07EA">
        <w:t xml:space="preserve">national </w:t>
      </w:r>
      <w:r>
        <w:t>agricultural debt was $83.7 billion, an increase of</w:t>
      </w:r>
      <w:r w:rsidR="00541556">
        <w:t xml:space="preserve"> nearly</w:t>
      </w:r>
      <w:r>
        <w:t xml:space="preserve"> 7%</w:t>
      </w:r>
      <w:r w:rsidR="00E0438E">
        <w:t>,</w:t>
      </w:r>
      <w:r>
        <w:t xml:space="preserve"> or </w:t>
      </w:r>
      <w:proofErr w:type="gramStart"/>
      <w:r>
        <w:t>$</w:t>
      </w:r>
      <w:r w:rsidR="00373E3A">
        <w:t>5.4</w:t>
      </w:r>
      <w:r w:rsidR="00541556">
        <w:t> </w:t>
      </w:r>
      <w:r>
        <w:t>billion</w:t>
      </w:r>
      <w:r w:rsidR="00E0438E">
        <w:t>,</w:t>
      </w:r>
      <w:r>
        <w:t xml:space="preserve"> since</w:t>
      </w:r>
      <w:proofErr w:type="gramEnd"/>
      <w:r>
        <w:t xml:space="preserve"> 30 June</w:t>
      </w:r>
      <w:r w:rsidRPr="002C07EA">
        <w:t xml:space="preserve"> </w:t>
      </w:r>
      <w:r>
        <w:t>20</w:t>
      </w:r>
      <w:r w:rsidRPr="002C07EA">
        <w:t>19</w:t>
      </w:r>
      <w:bookmarkEnd w:id="2"/>
      <w:r w:rsidRPr="002C07EA">
        <w:t>.</w:t>
      </w:r>
      <w:bookmarkEnd w:id="3"/>
      <w:r>
        <w:t xml:space="preserve"> </w:t>
      </w:r>
      <w:r w:rsidRPr="002C07EA">
        <w:t>Th</w:t>
      </w:r>
      <w:r>
        <w:t>is</w:t>
      </w:r>
      <w:r w:rsidRPr="002C07EA">
        <w:t xml:space="preserve"> increase in agricultural lending </w:t>
      </w:r>
      <w:r>
        <w:t>shows</w:t>
      </w:r>
      <w:r w:rsidRPr="002C07EA">
        <w:t xml:space="preserve"> strong demand for finance in response </w:t>
      </w:r>
      <w:r>
        <w:t>to</w:t>
      </w:r>
      <w:r w:rsidRPr="002C07EA">
        <w:t xml:space="preserve"> the recent drought in eastern Australia</w:t>
      </w:r>
      <w:r>
        <w:t xml:space="preserve">, particularly New South Wales and Queensland, where borrowing for working capital </w:t>
      </w:r>
      <w:r w:rsidR="00E0438E">
        <w:t xml:space="preserve">grew </w:t>
      </w:r>
      <w:r>
        <w:t>significantly.</w:t>
      </w:r>
    </w:p>
    <w:p w14:paraId="30410B47" w14:textId="403504FC" w:rsidR="009D0F6E" w:rsidRDefault="009D0F6E" w:rsidP="009D0F6E">
      <w:r>
        <w:t xml:space="preserve">While total agricultural lending increased in 2019–20, </w:t>
      </w:r>
      <w:r w:rsidR="00036A5D">
        <w:t xml:space="preserve">some measures of </w:t>
      </w:r>
      <w:r>
        <w:t xml:space="preserve">the sector’s </w:t>
      </w:r>
      <w:r w:rsidR="00036A5D">
        <w:t xml:space="preserve">aggregate </w:t>
      </w:r>
      <w:r>
        <w:t>capacity to service debt improved. For example, total interest paid on agricultural loans decreased by an estimated 23%</w:t>
      </w:r>
      <w:r w:rsidR="00036A5D">
        <w:t xml:space="preserve"> reflecting lower</w:t>
      </w:r>
      <w:r w:rsidR="005A49C3">
        <w:t xml:space="preserve"> average</w:t>
      </w:r>
      <w:r w:rsidR="00036A5D">
        <w:t xml:space="preserve"> interest rates</w:t>
      </w:r>
      <w:r>
        <w:t>, while growth in profit (23%) outstripped the increase in total debt (7%).</w:t>
      </w:r>
    </w:p>
    <w:p w14:paraId="4A5A6CD2" w14:textId="43B5FDD0" w:rsidR="009D0F6E" w:rsidRPr="002C07EA" w:rsidRDefault="009D0F6E" w:rsidP="009D0F6E">
      <w:r>
        <w:t>This edition features for the first time an interactive data interface via the ABARES website, allowing users to highlight the data sets most relevant to them.</w:t>
      </w:r>
    </w:p>
    <w:p w14:paraId="0A0D9FD1" w14:textId="52A6C5F7" w:rsidR="009D0F6E" w:rsidRDefault="009D0F6E" w:rsidP="009D0F6E">
      <w:r>
        <w:t xml:space="preserve">The Australian Government supports farmers during challenging times. This includes </w:t>
      </w:r>
      <w:r w:rsidR="00036A5D">
        <w:t xml:space="preserve">supporting </w:t>
      </w:r>
      <w:r>
        <w:t xml:space="preserve">access to capital for farm businesses and </w:t>
      </w:r>
      <w:r w:rsidR="00036A5D">
        <w:t xml:space="preserve">providing </w:t>
      </w:r>
      <w:r>
        <w:t xml:space="preserve">a suite of tax </w:t>
      </w:r>
      <w:r w:rsidR="00036A5D">
        <w:t xml:space="preserve">arrangements and incentives </w:t>
      </w:r>
      <w:r>
        <w:t>to help farmers manage their cash flow and invest in the future of their businesses. The</w:t>
      </w:r>
      <w:r w:rsidR="00036A5D">
        <w:t xml:space="preserve">se include </w:t>
      </w:r>
      <w:r>
        <w:t xml:space="preserve">farm business concessional loans, delivered by the Regional Investment Corporation (RIC); the Farm Management Deposits Scheme; accelerated depreciation and </w:t>
      </w:r>
      <w:r w:rsidR="00036A5D">
        <w:t xml:space="preserve">the </w:t>
      </w:r>
      <w:r>
        <w:t>instant asset write</w:t>
      </w:r>
      <w:r w:rsidR="00E0438E">
        <w:noBreakHyphen/>
      </w:r>
      <w:r>
        <w:t>off.</w:t>
      </w:r>
    </w:p>
    <w:p w14:paraId="47B8BB24" w14:textId="2728EBD0" w:rsidR="009D0F6E" w:rsidRDefault="009D0F6E" w:rsidP="009D0F6E">
      <w:r>
        <w:t xml:space="preserve">As conditions improve across much of the country, the government will continue to work with the </w:t>
      </w:r>
      <w:proofErr w:type="spellStart"/>
      <w:r>
        <w:t>agri</w:t>
      </w:r>
      <w:proofErr w:type="spellEnd"/>
      <w:r>
        <w:t xml:space="preserve">-finance sector to support Australian farmers. We’ve established an Agriculture Finance Roundtable, which includes leaders from the agriculture, </w:t>
      </w:r>
      <w:proofErr w:type="gramStart"/>
      <w:r>
        <w:t>banking</w:t>
      </w:r>
      <w:proofErr w:type="gramEnd"/>
      <w:r>
        <w:t xml:space="preserve"> and insurance industries, to work together on the future </w:t>
      </w:r>
      <w:r w:rsidRPr="006B2CA7">
        <w:t xml:space="preserve">competitiveness, profitability, and sustainability of </w:t>
      </w:r>
      <w:r>
        <w:t xml:space="preserve">the </w:t>
      </w:r>
      <w:r w:rsidRPr="006B2CA7">
        <w:t xml:space="preserve">Australian </w:t>
      </w:r>
      <w:r w:rsidR="00226F34">
        <w:t>agricultural sector</w:t>
      </w:r>
      <w:r>
        <w:t>.</w:t>
      </w:r>
    </w:p>
    <w:p w14:paraId="14F01FFC" w14:textId="7701685C" w:rsidR="009D0F6E" w:rsidRPr="002C07EA" w:rsidRDefault="009D0F6E" w:rsidP="009D0F6E">
      <w:r>
        <w:t xml:space="preserve">Future editions of the Agricultural Lending Data report will continue to support the industry’s goal </w:t>
      </w:r>
      <w:r w:rsidRPr="00513A12">
        <w:t>of a $100 billion industry by 2030</w:t>
      </w:r>
      <w:r>
        <w:t xml:space="preserve"> by informing </w:t>
      </w:r>
      <w:proofErr w:type="spellStart"/>
      <w:r>
        <w:t>agri</w:t>
      </w:r>
      <w:proofErr w:type="spellEnd"/>
      <w:r>
        <w:t>-finance policy development by both government and agricultural stakeholders.</w:t>
      </w:r>
    </w:p>
    <w:p w14:paraId="5B07BA19" w14:textId="77777777" w:rsidR="009D0F6E" w:rsidRDefault="009D0F6E" w:rsidP="009D0F6E">
      <w:pPr>
        <w:spacing w:before="480" w:after="0"/>
      </w:pPr>
      <w:r>
        <w:t xml:space="preserve">David </w:t>
      </w:r>
      <w:proofErr w:type="spellStart"/>
      <w:r>
        <w:t>Littleproud</w:t>
      </w:r>
      <w:proofErr w:type="spellEnd"/>
    </w:p>
    <w:p w14:paraId="527B29B9" w14:textId="77777777" w:rsidR="009D0F6E" w:rsidRDefault="009D0F6E" w:rsidP="009D0F6E">
      <w:r>
        <w:t>Minister for Agriculture and Northern Australia</w:t>
      </w:r>
    </w:p>
    <w:p w14:paraId="196A0C85"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46F189F" w14:textId="68456176" w:rsidR="00764D6A" w:rsidRDefault="00E91D72">
          <w:pPr>
            <w:pStyle w:val="TOCHeading"/>
          </w:pPr>
          <w:r>
            <w:t>Contents</w:t>
          </w:r>
        </w:p>
        <w:p w14:paraId="61414DE5" w14:textId="1AA92963" w:rsidR="001051F5"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4434472" w:history="1">
            <w:r w:rsidR="001051F5" w:rsidRPr="0090041C">
              <w:rPr>
                <w:rStyle w:val="Hyperlink"/>
              </w:rPr>
              <w:t>Foreword</w:t>
            </w:r>
            <w:r w:rsidR="001051F5">
              <w:rPr>
                <w:webHidden/>
              </w:rPr>
              <w:tab/>
            </w:r>
            <w:r w:rsidR="001051F5">
              <w:rPr>
                <w:webHidden/>
              </w:rPr>
              <w:fldChar w:fldCharType="begin"/>
            </w:r>
            <w:r w:rsidR="001051F5">
              <w:rPr>
                <w:webHidden/>
              </w:rPr>
              <w:instrText xml:space="preserve"> PAGEREF _Toc84434472 \h </w:instrText>
            </w:r>
            <w:r w:rsidR="001051F5">
              <w:rPr>
                <w:webHidden/>
              </w:rPr>
            </w:r>
            <w:r w:rsidR="001051F5">
              <w:rPr>
                <w:webHidden/>
              </w:rPr>
              <w:fldChar w:fldCharType="separate"/>
            </w:r>
            <w:r w:rsidR="008A23A3">
              <w:rPr>
                <w:webHidden/>
              </w:rPr>
              <w:t>iii</w:t>
            </w:r>
            <w:r w:rsidR="001051F5">
              <w:rPr>
                <w:webHidden/>
              </w:rPr>
              <w:fldChar w:fldCharType="end"/>
            </w:r>
          </w:hyperlink>
        </w:p>
        <w:p w14:paraId="21563EEF" w14:textId="194B9AC9" w:rsidR="001051F5" w:rsidRDefault="00005E21">
          <w:pPr>
            <w:pStyle w:val="TOC1"/>
            <w:rPr>
              <w:rFonts w:asciiTheme="minorHAnsi" w:eastAsiaTheme="minorEastAsia" w:hAnsiTheme="minorHAnsi"/>
              <w:b w:val="0"/>
              <w:lang w:eastAsia="en-AU"/>
            </w:rPr>
          </w:pPr>
          <w:hyperlink w:anchor="_Toc84434473" w:history="1">
            <w:r w:rsidR="001051F5" w:rsidRPr="0090041C">
              <w:rPr>
                <w:rStyle w:val="Hyperlink"/>
              </w:rPr>
              <w:t>Summary</w:t>
            </w:r>
            <w:r w:rsidR="001051F5">
              <w:rPr>
                <w:webHidden/>
              </w:rPr>
              <w:tab/>
            </w:r>
            <w:r w:rsidR="001051F5">
              <w:rPr>
                <w:webHidden/>
              </w:rPr>
              <w:fldChar w:fldCharType="begin"/>
            </w:r>
            <w:r w:rsidR="001051F5">
              <w:rPr>
                <w:webHidden/>
              </w:rPr>
              <w:instrText xml:space="preserve"> PAGEREF _Toc84434473 \h </w:instrText>
            </w:r>
            <w:r w:rsidR="001051F5">
              <w:rPr>
                <w:webHidden/>
              </w:rPr>
            </w:r>
            <w:r w:rsidR="001051F5">
              <w:rPr>
                <w:webHidden/>
              </w:rPr>
              <w:fldChar w:fldCharType="separate"/>
            </w:r>
            <w:r w:rsidR="008A23A3">
              <w:rPr>
                <w:webHidden/>
              </w:rPr>
              <w:t>vi</w:t>
            </w:r>
            <w:r w:rsidR="001051F5">
              <w:rPr>
                <w:webHidden/>
              </w:rPr>
              <w:fldChar w:fldCharType="end"/>
            </w:r>
          </w:hyperlink>
        </w:p>
        <w:p w14:paraId="04B90A27" w14:textId="6807AC62" w:rsidR="001051F5" w:rsidRDefault="00005E21">
          <w:pPr>
            <w:pStyle w:val="TOC2"/>
            <w:rPr>
              <w:rFonts w:asciiTheme="minorHAnsi" w:eastAsiaTheme="minorEastAsia" w:hAnsiTheme="minorHAnsi"/>
              <w:lang w:eastAsia="en-AU"/>
            </w:rPr>
          </w:pPr>
          <w:hyperlink w:anchor="_Toc84434474" w:history="1">
            <w:r w:rsidR="001051F5" w:rsidRPr="0090041C">
              <w:rPr>
                <w:rStyle w:val="Hyperlink"/>
              </w:rPr>
              <w:t>Aggregate lending</w:t>
            </w:r>
            <w:r w:rsidR="001051F5">
              <w:rPr>
                <w:webHidden/>
              </w:rPr>
              <w:tab/>
            </w:r>
            <w:r w:rsidR="001051F5">
              <w:rPr>
                <w:webHidden/>
              </w:rPr>
              <w:fldChar w:fldCharType="begin"/>
            </w:r>
            <w:r w:rsidR="001051F5">
              <w:rPr>
                <w:webHidden/>
              </w:rPr>
              <w:instrText xml:space="preserve"> PAGEREF _Toc84434474 \h </w:instrText>
            </w:r>
            <w:r w:rsidR="001051F5">
              <w:rPr>
                <w:webHidden/>
              </w:rPr>
            </w:r>
            <w:r w:rsidR="001051F5">
              <w:rPr>
                <w:webHidden/>
              </w:rPr>
              <w:fldChar w:fldCharType="separate"/>
            </w:r>
            <w:r w:rsidR="008A23A3">
              <w:rPr>
                <w:webHidden/>
              </w:rPr>
              <w:t>vi</w:t>
            </w:r>
            <w:r w:rsidR="001051F5">
              <w:rPr>
                <w:webHidden/>
              </w:rPr>
              <w:fldChar w:fldCharType="end"/>
            </w:r>
          </w:hyperlink>
        </w:p>
        <w:p w14:paraId="49C73DE7" w14:textId="3B19BC50" w:rsidR="001051F5" w:rsidRDefault="00005E21">
          <w:pPr>
            <w:pStyle w:val="TOC2"/>
            <w:rPr>
              <w:rFonts w:asciiTheme="minorHAnsi" w:eastAsiaTheme="minorEastAsia" w:hAnsiTheme="minorHAnsi"/>
              <w:lang w:eastAsia="en-AU"/>
            </w:rPr>
          </w:pPr>
          <w:hyperlink w:anchor="_Toc84434475" w:history="1">
            <w:r w:rsidR="001051F5" w:rsidRPr="0090041C">
              <w:rPr>
                <w:rStyle w:val="Hyperlink"/>
              </w:rPr>
              <w:t>Industry level results</w:t>
            </w:r>
            <w:r w:rsidR="001051F5">
              <w:rPr>
                <w:webHidden/>
              </w:rPr>
              <w:tab/>
            </w:r>
            <w:r w:rsidR="001051F5">
              <w:rPr>
                <w:webHidden/>
              </w:rPr>
              <w:fldChar w:fldCharType="begin"/>
            </w:r>
            <w:r w:rsidR="001051F5">
              <w:rPr>
                <w:webHidden/>
              </w:rPr>
              <w:instrText xml:space="preserve"> PAGEREF _Toc84434475 \h </w:instrText>
            </w:r>
            <w:r w:rsidR="001051F5">
              <w:rPr>
                <w:webHidden/>
              </w:rPr>
            </w:r>
            <w:r w:rsidR="001051F5">
              <w:rPr>
                <w:webHidden/>
              </w:rPr>
              <w:fldChar w:fldCharType="separate"/>
            </w:r>
            <w:r w:rsidR="008A23A3">
              <w:rPr>
                <w:webHidden/>
              </w:rPr>
              <w:t>vi</w:t>
            </w:r>
            <w:r w:rsidR="001051F5">
              <w:rPr>
                <w:webHidden/>
              </w:rPr>
              <w:fldChar w:fldCharType="end"/>
            </w:r>
          </w:hyperlink>
        </w:p>
        <w:p w14:paraId="7B9EA88C" w14:textId="4BCF028D" w:rsidR="001051F5" w:rsidRDefault="00005E21">
          <w:pPr>
            <w:pStyle w:val="TOC2"/>
            <w:rPr>
              <w:rFonts w:asciiTheme="minorHAnsi" w:eastAsiaTheme="minorEastAsia" w:hAnsiTheme="minorHAnsi"/>
              <w:lang w:eastAsia="en-AU"/>
            </w:rPr>
          </w:pPr>
          <w:hyperlink w:anchor="_Toc84434476" w:history="1">
            <w:r w:rsidR="001051F5" w:rsidRPr="0090041C">
              <w:rPr>
                <w:rStyle w:val="Hyperlink"/>
              </w:rPr>
              <w:t>Land values and farm equity</w:t>
            </w:r>
            <w:r w:rsidR="001051F5">
              <w:rPr>
                <w:webHidden/>
              </w:rPr>
              <w:tab/>
            </w:r>
            <w:r w:rsidR="001051F5">
              <w:rPr>
                <w:webHidden/>
              </w:rPr>
              <w:fldChar w:fldCharType="begin"/>
            </w:r>
            <w:r w:rsidR="001051F5">
              <w:rPr>
                <w:webHidden/>
              </w:rPr>
              <w:instrText xml:space="preserve"> PAGEREF _Toc84434476 \h </w:instrText>
            </w:r>
            <w:r w:rsidR="001051F5">
              <w:rPr>
                <w:webHidden/>
              </w:rPr>
            </w:r>
            <w:r w:rsidR="001051F5">
              <w:rPr>
                <w:webHidden/>
              </w:rPr>
              <w:fldChar w:fldCharType="separate"/>
            </w:r>
            <w:r w:rsidR="008A23A3">
              <w:rPr>
                <w:webHidden/>
              </w:rPr>
              <w:t>vi</w:t>
            </w:r>
            <w:r w:rsidR="001051F5">
              <w:rPr>
                <w:webHidden/>
              </w:rPr>
              <w:fldChar w:fldCharType="end"/>
            </w:r>
          </w:hyperlink>
        </w:p>
        <w:p w14:paraId="10B4F6B4" w14:textId="5810EAFA" w:rsidR="001051F5" w:rsidRDefault="00005E21">
          <w:pPr>
            <w:pStyle w:val="TOC2"/>
            <w:rPr>
              <w:rFonts w:asciiTheme="minorHAnsi" w:eastAsiaTheme="minorEastAsia" w:hAnsiTheme="minorHAnsi"/>
              <w:lang w:eastAsia="en-AU"/>
            </w:rPr>
          </w:pPr>
          <w:hyperlink w:anchor="_Toc84434477" w:history="1">
            <w:r w:rsidR="001051F5" w:rsidRPr="0090041C">
              <w:rPr>
                <w:rStyle w:val="Hyperlink"/>
              </w:rPr>
              <w:t>Borrowers in arrears</w:t>
            </w:r>
            <w:r w:rsidR="001051F5">
              <w:rPr>
                <w:webHidden/>
              </w:rPr>
              <w:tab/>
            </w:r>
            <w:r w:rsidR="001051F5">
              <w:rPr>
                <w:webHidden/>
              </w:rPr>
              <w:fldChar w:fldCharType="begin"/>
            </w:r>
            <w:r w:rsidR="001051F5">
              <w:rPr>
                <w:webHidden/>
              </w:rPr>
              <w:instrText xml:space="preserve"> PAGEREF _Toc84434477 \h </w:instrText>
            </w:r>
            <w:r w:rsidR="001051F5">
              <w:rPr>
                <w:webHidden/>
              </w:rPr>
            </w:r>
            <w:r w:rsidR="001051F5">
              <w:rPr>
                <w:webHidden/>
              </w:rPr>
              <w:fldChar w:fldCharType="separate"/>
            </w:r>
            <w:r w:rsidR="008A23A3">
              <w:rPr>
                <w:webHidden/>
              </w:rPr>
              <w:t>vii</w:t>
            </w:r>
            <w:r w:rsidR="001051F5">
              <w:rPr>
                <w:webHidden/>
              </w:rPr>
              <w:fldChar w:fldCharType="end"/>
            </w:r>
          </w:hyperlink>
        </w:p>
        <w:p w14:paraId="096903FA" w14:textId="2E5977EB" w:rsidR="001051F5" w:rsidRDefault="00005E21">
          <w:pPr>
            <w:pStyle w:val="TOC2"/>
            <w:rPr>
              <w:rFonts w:asciiTheme="minorHAnsi" w:eastAsiaTheme="minorEastAsia" w:hAnsiTheme="minorHAnsi"/>
              <w:lang w:eastAsia="en-AU"/>
            </w:rPr>
          </w:pPr>
          <w:hyperlink w:anchor="_Toc84434478" w:history="1">
            <w:r w:rsidR="001051F5" w:rsidRPr="0090041C">
              <w:rPr>
                <w:rStyle w:val="Hyperlink"/>
              </w:rPr>
              <w:t>Debt servicing</w:t>
            </w:r>
            <w:r w:rsidR="001051F5">
              <w:rPr>
                <w:webHidden/>
              </w:rPr>
              <w:tab/>
            </w:r>
            <w:r w:rsidR="001051F5">
              <w:rPr>
                <w:webHidden/>
              </w:rPr>
              <w:fldChar w:fldCharType="begin"/>
            </w:r>
            <w:r w:rsidR="001051F5">
              <w:rPr>
                <w:webHidden/>
              </w:rPr>
              <w:instrText xml:space="preserve"> PAGEREF _Toc84434478 \h </w:instrText>
            </w:r>
            <w:r w:rsidR="001051F5">
              <w:rPr>
                <w:webHidden/>
              </w:rPr>
            </w:r>
            <w:r w:rsidR="001051F5">
              <w:rPr>
                <w:webHidden/>
              </w:rPr>
              <w:fldChar w:fldCharType="separate"/>
            </w:r>
            <w:r w:rsidR="008A23A3">
              <w:rPr>
                <w:webHidden/>
              </w:rPr>
              <w:t>vii</w:t>
            </w:r>
            <w:r w:rsidR="001051F5">
              <w:rPr>
                <w:webHidden/>
              </w:rPr>
              <w:fldChar w:fldCharType="end"/>
            </w:r>
          </w:hyperlink>
        </w:p>
        <w:p w14:paraId="1CCA4439" w14:textId="56C8F532" w:rsidR="001051F5" w:rsidRDefault="00005E21">
          <w:pPr>
            <w:pStyle w:val="TOC2"/>
            <w:rPr>
              <w:rFonts w:asciiTheme="minorHAnsi" w:eastAsiaTheme="minorEastAsia" w:hAnsiTheme="minorHAnsi"/>
              <w:lang w:eastAsia="en-AU"/>
            </w:rPr>
          </w:pPr>
          <w:hyperlink w:anchor="_Toc84434479" w:history="1">
            <w:r w:rsidR="001051F5" w:rsidRPr="0090041C">
              <w:rPr>
                <w:rStyle w:val="Hyperlink"/>
              </w:rPr>
              <w:t>Long-term trends</w:t>
            </w:r>
            <w:r w:rsidR="001051F5">
              <w:rPr>
                <w:webHidden/>
              </w:rPr>
              <w:tab/>
            </w:r>
            <w:r w:rsidR="001051F5">
              <w:rPr>
                <w:webHidden/>
              </w:rPr>
              <w:fldChar w:fldCharType="begin"/>
            </w:r>
            <w:r w:rsidR="001051F5">
              <w:rPr>
                <w:webHidden/>
              </w:rPr>
              <w:instrText xml:space="preserve"> PAGEREF _Toc84434479 \h </w:instrText>
            </w:r>
            <w:r w:rsidR="001051F5">
              <w:rPr>
                <w:webHidden/>
              </w:rPr>
            </w:r>
            <w:r w:rsidR="001051F5">
              <w:rPr>
                <w:webHidden/>
              </w:rPr>
              <w:fldChar w:fldCharType="separate"/>
            </w:r>
            <w:r w:rsidR="008A23A3">
              <w:rPr>
                <w:webHidden/>
              </w:rPr>
              <w:t>vii</w:t>
            </w:r>
            <w:r w:rsidR="001051F5">
              <w:rPr>
                <w:webHidden/>
              </w:rPr>
              <w:fldChar w:fldCharType="end"/>
            </w:r>
          </w:hyperlink>
        </w:p>
        <w:p w14:paraId="16A7ED3E" w14:textId="43525FB7" w:rsidR="001051F5" w:rsidRDefault="00005E21">
          <w:pPr>
            <w:pStyle w:val="TOC2"/>
            <w:rPr>
              <w:rFonts w:asciiTheme="minorHAnsi" w:eastAsiaTheme="minorEastAsia" w:hAnsiTheme="minorHAnsi"/>
              <w:lang w:eastAsia="en-AU"/>
            </w:rPr>
          </w:pPr>
          <w:hyperlink w:anchor="_Toc84434480" w:history="1">
            <w:r w:rsidR="001051F5" w:rsidRPr="0090041C">
              <w:rPr>
                <w:rStyle w:val="Hyperlink"/>
              </w:rPr>
              <w:t>Lending in 2020–21</w:t>
            </w:r>
            <w:r w:rsidR="001051F5">
              <w:rPr>
                <w:webHidden/>
              </w:rPr>
              <w:tab/>
            </w:r>
            <w:r w:rsidR="001051F5">
              <w:rPr>
                <w:webHidden/>
              </w:rPr>
              <w:fldChar w:fldCharType="begin"/>
            </w:r>
            <w:r w:rsidR="001051F5">
              <w:rPr>
                <w:webHidden/>
              </w:rPr>
              <w:instrText xml:space="preserve"> PAGEREF _Toc84434480 \h </w:instrText>
            </w:r>
            <w:r w:rsidR="001051F5">
              <w:rPr>
                <w:webHidden/>
              </w:rPr>
            </w:r>
            <w:r w:rsidR="001051F5">
              <w:rPr>
                <w:webHidden/>
              </w:rPr>
              <w:fldChar w:fldCharType="separate"/>
            </w:r>
            <w:r w:rsidR="008A23A3">
              <w:rPr>
                <w:webHidden/>
              </w:rPr>
              <w:t>viii</w:t>
            </w:r>
            <w:r w:rsidR="001051F5">
              <w:rPr>
                <w:webHidden/>
              </w:rPr>
              <w:fldChar w:fldCharType="end"/>
            </w:r>
          </w:hyperlink>
        </w:p>
        <w:p w14:paraId="43450F48" w14:textId="7F80E55F" w:rsidR="001051F5" w:rsidRDefault="00005E21">
          <w:pPr>
            <w:pStyle w:val="TOC1"/>
            <w:rPr>
              <w:rFonts w:asciiTheme="minorHAnsi" w:eastAsiaTheme="minorEastAsia" w:hAnsiTheme="minorHAnsi"/>
              <w:b w:val="0"/>
              <w:lang w:eastAsia="en-AU"/>
            </w:rPr>
          </w:pPr>
          <w:hyperlink w:anchor="_Toc84434481" w:history="1">
            <w:r w:rsidR="001051F5" w:rsidRPr="0090041C">
              <w:rPr>
                <w:rStyle w:val="Hyperlink"/>
              </w:rPr>
              <w:t>Introduction</w:t>
            </w:r>
            <w:r w:rsidR="001051F5">
              <w:rPr>
                <w:webHidden/>
              </w:rPr>
              <w:tab/>
            </w:r>
            <w:r w:rsidR="001051F5">
              <w:rPr>
                <w:webHidden/>
              </w:rPr>
              <w:fldChar w:fldCharType="begin"/>
            </w:r>
            <w:r w:rsidR="001051F5">
              <w:rPr>
                <w:webHidden/>
              </w:rPr>
              <w:instrText xml:space="preserve"> PAGEREF _Toc84434481 \h </w:instrText>
            </w:r>
            <w:r w:rsidR="001051F5">
              <w:rPr>
                <w:webHidden/>
              </w:rPr>
            </w:r>
            <w:r w:rsidR="001051F5">
              <w:rPr>
                <w:webHidden/>
              </w:rPr>
              <w:fldChar w:fldCharType="separate"/>
            </w:r>
            <w:r w:rsidR="008A23A3">
              <w:rPr>
                <w:webHidden/>
              </w:rPr>
              <w:t>1</w:t>
            </w:r>
            <w:r w:rsidR="001051F5">
              <w:rPr>
                <w:webHidden/>
              </w:rPr>
              <w:fldChar w:fldCharType="end"/>
            </w:r>
          </w:hyperlink>
        </w:p>
        <w:p w14:paraId="4B6819FE" w14:textId="1FA15293" w:rsidR="001051F5" w:rsidRDefault="00005E21">
          <w:pPr>
            <w:pStyle w:val="TOC2"/>
            <w:rPr>
              <w:rFonts w:asciiTheme="minorHAnsi" w:eastAsiaTheme="minorEastAsia" w:hAnsiTheme="minorHAnsi"/>
              <w:lang w:eastAsia="en-AU"/>
            </w:rPr>
          </w:pPr>
          <w:hyperlink w:anchor="_Toc84434482" w:history="1">
            <w:r w:rsidR="001051F5" w:rsidRPr="0090041C">
              <w:rPr>
                <w:rStyle w:val="Hyperlink"/>
              </w:rPr>
              <w:t>Previous reports</w:t>
            </w:r>
            <w:r w:rsidR="001051F5">
              <w:rPr>
                <w:webHidden/>
              </w:rPr>
              <w:tab/>
            </w:r>
            <w:r w:rsidR="001051F5">
              <w:rPr>
                <w:webHidden/>
              </w:rPr>
              <w:fldChar w:fldCharType="begin"/>
            </w:r>
            <w:r w:rsidR="001051F5">
              <w:rPr>
                <w:webHidden/>
              </w:rPr>
              <w:instrText xml:space="preserve"> PAGEREF _Toc84434482 \h </w:instrText>
            </w:r>
            <w:r w:rsidR="001051F5">
              <w:rPr>
                <w:webHidden/>
              </w:rPr>
            </w:r>
            <w:r w:rsidR="001051F5">
              <w:rPr>
                <w:webHidden/>
              </w:rPr>
              <w:fldChar w:fldCharType="separate"/>
            </w:r>
            <w:r w:rsidR="008A23A3">
              <w:rPr>
                <w:webHidden/>
              </w:rPr>
              <w:t>1</w:t>
            </w:r>
            <w:r w:rsidR="001051F5">
              <w:rPr>
                <w:webHidden/>
              </w:rPr>
              <w:fldChar w:fldCharType="end"/>
            </w:r>
          </w:hyperlink>
        </w:p>
        <w:p w14:paraId="73BA0122" w14:textId="3D59095D" w:rsidR="001051F5" w:rsidRDefault="00005E21">
          <w:pPr>
            <w:pStyle w:val="TOC2"/>
            <w:rPr>
              <w:rFonts w:asciiTheme="minorHAnsi" w:eastAsiaTheme="minorEastAsia" w:hAnsiTheme="minorHAnsi"/>
              <w:lang w:eastAsia="en-AU"/>
            </w:rPr>
          </w:pPr>
          <w:hyperlink w:anchor="_Toc84434483" w:history="1">
            <w:r w:rsidR="001051F5" w:rsidRPr="0090041C">
              <w:rPr>
                <w:rStyle w:val="Hyperlink"/>
              </w:rPr>
              <w:t>A new development in 2021</w:t>
            </w:r>
            <w:r w:rsidR="001051F5">
              <w:rPr>
                <w:webHidden/>
              </w:rPr>
              <w:tab/>
            </w:r>
            <w:r w:rsidR="001051F5">
              <w:rPr>
                <w:webHidden/>
              </w:rPr>
              <w:fldChar w:fldCharType="begin"/>
            </w:r>
            <w:r w:rsidR="001051F5">
              <w:rPr>
                <w:webHidden/>
              </w:rPr>
              <w:instrText xml:space="preserve"> PAGEREF _Toc84434483 \h </w:instrText>
            </w:r>
            <w:r w:rsidR="001051F5">
              <w:rPr>
                <w:webHidden/>
              </w:rPr>
            </w:r>
            <w:r w:rsidR="001051F5">
              <w:rPr>
                <w:webHidden/>
              </w:rPr>
              <w:fldChar w:fldCharType="separate"/>
            </w:r>
            <w:r w:rsidR="008A23A3">
              <w:rPr>
                <w:webHidden/>
              </w:rPr>
              <w:t>1</w:t>
            </w:r>
            <w:r w:rsidR="001051F5">
              <w:rPr>
                <w:webHidden/>
              </w:rPr>
              <w:fldChar w:fldCharType="end"/>
            </w:r>
          </w:hyperlink>
        </w:p>
        <w:p w14:paraId="41CA69B7" w14:textId="0D342B6D" w:rsidR="001051F5" w:rsidRDefault="00005E21">
          <w:pPr>
            <w:pStyle w:val="TOC2"/>
            <w:rPr>
              <w:rFonts w:asciiTheme="minorHAnsi" w:eastAsiaTheme="minorEastAsia" w:hAnsiTheme="minorHAnsi"/>
              <w:lang w:eastAsia="en-AU"/>
            </w:rPr>
          </w:pPr>
          <w:hyperlink w:anchor="_Toc84434484" w:history="1">
            <w:r w:rsidR="001051F5" w:rsidRPr="0090041C">
              <w:rPr>
                <w:rStyle w:val="Hyperlink"/>
              </w:rPr>
              <w:t>Revisions to last years’ data</w:t>
            </w:r>
            <w:r w:rsidR="001051F5">
              <w:rPr>
                <w:webHidden/>
              </w:rPr>
              <w:tab/>
            </w:r>
            <w:r w:rsidR="001051F5">
              <w:rPr>
                <w:webHidden/>
              </w:rPr>
              <w:fldChar w:fldCharType="begin"/>
            </w:r>
            <w:r w:rsidR="001051F5">
              <w:rPr>
                <w:webHidden/>
              </w:rPr>
              <w:instrText xml:space="preserve"> PAGEREF _Toc84434484 \h </w:instrText>
            </w:r>
            <w:r w:rsidR="001051F5">
              <w:rPr>
                <w:webHidden/>
              </w:rPr>
            </w:r>
            <w:r w:rsidR="001051F5">
              <w:rPr>
                <w:webHidden/>
              </w:rPr>
              <w:fldChar w:fldCharType="separate"/>
            </w:r>
            <w:r w:rsidR="008A23A3">
              <w:rPr>
                <w:webHidden/>
              </w:rPr>
              <w:t>1</w:t>
            </w:r>
            <w:r w:rsidR="001051F5">
              <w:rPr>
                <w:webHidden/>
              </w:rPr>
              <w:fldChar w:fldCharType="end"/>
            </w:r>
          </w:hyperlink>
        </w:p>
        <w:p w14:paraId="0D466EC5" w14:textId="3CF9B7CE" w:rsidR="001051F5" w:rsidRDefault="00005E21">
          <w:pPr>
            <w:pStyle w:val="TOC1"/>
            <w:rPr>
              <w:rFonts w:asciiTheme="minorHAnsi" w:eastAsiaTheme="minorEastAsia" w:hAnsiTheme="minorHAnsi"/>
              <w:b w:val="0"/>
              <w:lang w:eastAsia="en-AU"/>
            </w:rPr>
          </w:pPr>
          <w:hyperlink w:anchor="_Toc84434485" w:history="1">
            <w:r w:rsidR="001051F5" w:rsidRPr="0090041C">
              <w:rPr>
                <w:rStyle w:val="Hyperlink"/>
              </w:rPr>
              <w:t>Developments in agricultural lending in 2019–20</w:t>
            </w:r>
            <w:r w:rsidR="001051F5">
              <w:rPr>
                <w:webHidden/>
              </w:rPr>
              <w:tab/>
            </w:r>
            <w:r w:rsidR="001051F5">
              <w:rPr>
                <w:webHidden/>
              </w:rPr>
              <w:fldChar w:fldCharType="begin"/>
            </w:r>
            <w:r w:rsidR="001051F5">
              <w:rPr>
                <w:webHidden/>
              </w:rPr>
              <w:instrText xml:space="preserve"> PAGEREF _Toc84434485 \h </w:instrText>
            </w:r>
            <w:r w:rsidR="001051F5">
              <w:rPr>
                <w:webHidden/>
              </w:rPr>
            </w:r>
            <w:r w:rsidR="001051F5">
              <w:rPr>
                <w:webHidden/>
              </w:rPr>
              <w:fldChar w:fldCharType="separate"/>
            </w:r>
            <w:r w:rsidR="008A23A3">
              <w:rPr>
                <w:webHidden/>
              </w:rPr>
              <w:t>2</w:t>
            </w:r>
            <w:r w:rsidR="001051F5">
              <w:rPr>
                <w:webHidden/>
              </w:rPr>
              <w:fldChar w:fldCharType="end"/>
            </w:r>
          </w:hyperlink>
        </w:p>
        <w:p w14:paraId="62143483" w14:textId="3B1735F2" w:rsidR="001051F5" w:rsidRDefault="00005E21">
          <w:pPr>
            <w:pStyle w:val="TOC2"/>
            <w:rPr>
              <w:rFonts w:asciiTheme="minorHAnsi" w:eastAsiaTheme="minorEastAsia" w:hAnsiTheme="minorHAnsi"/>
              <w:lang w:eastAsia="en-AU"/>
            </w:rPr>
          </w:pPr>
          <w:hyperlink w:anchor="_Toc84434486" w:history="1">
            <w:r w:rsidR="001051F5" w:rsidRPr="0090041C">
              <w:rPr>
                <w:rStyle w:val="Hyperlink"/>
              </w:rPr>
              <w:t>Industry-level results</w:t>
            </w:r>
            <w:r w:rsidR="001051F5">
              <w:rPr>
                <w:webHidden/>
              </w:rPr>
              <w:tab/>
            </w:r>
            <w:r w:rsidR="001051F5">
              <w:rPr>
                <w:webHidden/>
              </w:rPr>
              <w:fldChar w:fldCharType="begin"/>
            </w:r>
            <w:r w:rsidR="001051F5">
              <w:rPr>
                <w:webHidden/>
              </w:rPr>
              <w:instrText xml:space="preserve"> PAGEREF _Toc84434486 \h </w:instrText>
            </w:r>
            <w:r w:rsidR="001051F5">
              <w:rPr>
                <w:webHidden/>
              </w:rPr>
            </w:r>
            <w:r w:rsidR="001051F5">
              <w:rPr>
                <w:webHidden/>
              </w:rPr>
              <w:fldChar w:fldCharType="separate"/>
            </w:r>
            <w:r w:rsidR="008A23A3">
              <w:rPr>
                <w:webHidden/>
              </w:rPr>
              <w:t>3</w:t>
            </w:r>
            <w:r w:rsidR="001051F5">
              <w:rPr>
                <w:webHidden/>
              </w:rPr>
              <w:fldChar w:fldCharType="end"/>
            </w:r>
          </w:hyperlink>
        </w:p>
        <w:p w14:paraId="3C2F613A" w14:textId="56899C3A" w:rsidR="001051F5" w:rsidRDefault="00005E21">
          <w:pPr>
            <w:pStyle w:val="TOC2"/>
            <w:rPr>
              <w:rFonts w:asciiTheme="minorHAnsi" w:eastAsiaTheme="minorEastAsia" w:hAnsiTheme="minorHAnsi"/>
              <w:lang w:eastAsia="en-AU"/>
            </w:rPr>
          </w:pPr>
          <w:hyperlink w:anchor="_Toc84434487" w:history="1">
            <w:r w:rsidR="001051F5" w:rsidRPr="0090041C">
              <w:rPr>
                <w:rStyle w:val="Hyperlink"/>
              </w:rPr>
              <w:t>Borrowers in arrears</w:t>
            </w:r>
            <w:r w:rsidR="001051F5">
              <w:rPr>
                <w:webHidden/>
              </w:rPr>
              <w:tab/>
            </w:r>
            <w:r w:rsidR="001051F5">
              <w:rPr>
                <w:webHidden/>
              </w:rPr>
              <w:fldChar w:fldCharType="begin"/>
            </w:r>
            <w:r w:rsidR="001051F5">
              <w:rPr>
                <w:webHidden/>
              </w:rPr>
              <w:instrText xml:space="preserve"> PAGEREF _Toc84434487 \h </w:instrText>
            </w:r>
            <w:r w:rsidR="001051F5">
              <w:rPr>
                <w:webHidden/>
              </w:rPr>
            </w:r>
            <w:r w:rsidR="001051F5">
              <w:rPr>
                <w:webHidden/>
              </w:rPr>
              <w:fldChar w:fldCharType="separate"/>
            </w:r>
            <w:r w:rsidR="008A23A3">
              <w:rPr>
                <w:webHidden/>
              </w:rPr>
              <w:t>4</w:t>
            </w:r>
            <w:r w:rsidR="001051F5">
              <w:rPr>
                <w:webHidden/>
              </w:rPr>
              <w:fldChar w:fldCharType="end"/>
            </w:r>
          </w:hyperlink>
        </w:p>
        <w:p w14:paraId="00B1CD88" w14:textId="1462A70D" w:rsidR="001051F5" w:rsidRDefault="00005E21">
          <w:pPr>
            <w:pStyle w:val="TOC2"/>
            <w:rPr>
              <w:rFonts w:asciiTheme="minorHAnsi" w:eastAsiaTheme="minorEastAsia" w:hAnsiTheme="minorHAnsi"/>
              <w:lang w:eastAsia="en-AU"/>
            </w:rPr>
          </w:pPr>
          <w:hyperlink w:anchor="_Toc84434488" w:history="1">
            <w:r w:rsidR="001051F5" w:rsidRPr="0090041C">
              <w:rPr>
                <w:rStyle w:val="Hyperlink"/>
              </w:rPr>
              <w:t>Debt servicing</w:t>
            </w:r>
            <w:r w:rsidR="001051F5">
              <w:rPr>
                <w:webHidden/>
              </w:rPr>
              <w:tab/>
            </w:r>
            <w:r w:rsidR="001051F5">
              <w:rPr>
                <w:webHidden/>
              </w:rPr>
              <w:fldChar w:fldCharType="begin"/>
            </w:r>
            <w:r w:rsidR="001051F5">
              <w:rPr>
                <w:webHidden/>
              </w:rPr>
              <w:instrText xml:space="preserve"> PAGEREF _Toc84434488 \h </w:instrText>
            </w:r>
            <w:r w:rsidR="001051F5">
              <w:rPr>
                <w:webHidden/>
              </w:rPr>
            </w:r>
            <w:r w:rsidR="001051F5">
              <w:rPr>
                <w:webHidden/>
              </w:rPr>
              <w:fldChar w:fldCharType="separate"/>
            </w:r>
            <w:r w:rsidR="008A23A3">
              <w:rPr>
                <w:webHidden/>
              </w:rPr>
              <w:t>6</w:t>
            </w:r>
            <w:r w:rsidR="001051F5">
              <w:rPr>
                <w:webHidden/>
              </w:rPr>
              <w:fldChar w:fldCharType="end"/>
            </w:r>
          </w:hyperlink>
        </w:p>
        <w:p w14:paraId="40269D9E" w14:textId="0BB3E43D" w:rsidR="001051F5" w:rsidRDefault="00005E21">
          <w:pPr>
            <w:pStyle w:val="TOC1"/>
            <w:rPr>
              <w:rFonts w:asciiTheme="minorHAnsi" w:eastAsiaTheme="minorEastAsia" w:hAnsiTheme="minorHAnsi"/>
              <w:b w:val="0"/>
              <w:lang w:eastAsia="en-AU"/>
            </w:rPr>
          </w:pPr>
          <w:hyperlink w:anchor="_Toc84434489" w:history="1">
            <w:r w:rsidR="001051F5" w:rsidRPr="0090041C">
              <w:rPr>
                <w:rStyle w:val="Hyperlink"/>
              </w:rPr>
              <w:t>Long-term trends in debt</w:t>
            </w:r>
            <w:r w:rsidR="001051F5">
              <w:rPr>
                <w:webHidden/>
              </w:rPr>
              <w:tab/>
            </w:r>
            <w:r w:rsidR="001051F5">
              <w:rPr>
                <w:webHidden/>
              </w:rPr>
              <w:fldChar w:fldCharType="begin"/>
            </w:r>
            <w:r w:rsidR="001051F5">
              <w:rPr>
                <w:webHidden/>
              </w:rPr>
              <w:instrText xml:space="preserve"> PAGEREF _Toc84434489 \h </w:instrText>
            </w:r>
            <w:r w:rsidR="001051F5">
              <w:rPr>
                <w:webHidden/>
              </w:rPr>
            </w:r>
            <w:r w:rsidR="001051F5">
              <w:rPr>
                <w:webHidden/>
              </w:rPr>
              <w:fldChar w:fldCharType="separate"/>
            </w:r>
            <w:r w:rsidR="008A23A3">
              <w:rPr>
                <w:webHidden/>
              </w:rPr>
              <w:t>8</w:t>
            </w:r>
            <w:r w:rsidR="001051F5">
              <w:rPr>
                <w:webHidden/>
              </w:rPr>
              <w:fldChar w:fldCharType="end"/>
            </w:r>
          </w:hyperlink>
        </w:p>
        <w:p w14:paraId="24798D9E" w14:textId="4AB027F9" w:rsidR="001051F5" w:rsidRDefault="00005E21">
          <w:pPr>
            <w:pStyle w:val="TOC2"/>
            <w:rPr>
              <w:rFonts w:asciiTheme="minorHAnsi" w:eastAsiaTheme="minorEastAsia" w:hAnsiTheme="minorHAnsi"/>
              <w:lang w:eastAsia="en-AU"/>
            </w:rPr>
          </w:pPr>
          <w:hyperlink w:anchor="_Toc84434490" w:history="1">
            <w:r w:rsidR="001051F5" w:rsidRPr="0090041C">
              <w:rPr>
                <w:rStyle w:val="Hyperlink"/>
              </w:rPr>
              <w:t>Land values, farm equity and the distribution of debt</w:t>
            </w:r>
            <w:r w:rsidR="001051F5">
              <w:rPr>
                <w:webHidden/>
              </w:rPr>
              <w:tab/>
            </w:r>
            <w:r w:rsidR="001051F5">
              <w:rPr>
                <w:webHidden/>
              </w:rPr>
              <w:fldChar w:fldCharType="begin"/>
            </w:r>
            <w:r w:rsidR="001051F5">
              <w:rPr>
                <w:webHidden/>
              </w:rPr>
              <w:instrText xml:space="preserve"> PAGEREF _Toc84434490 \h </w:instrText>
            </w:r>
            <w:r w:rsidR="001051F5">
              <w:rPr>
                <w:webHidden/>
              </w:rPr>
            </w:r>
            <w:r w:rsidR="001051F5">
              <w:rPr>
                <w:webHidden/>
              </w:rPr>
              <w:fldChar w:fldCharType="separate"/>
            </w:r>
            <w:r w:rsidR="008A23A3">
              <w:rPr>
                <w:webHidden/>
              </w:rPr>
              <w:t>8</w:t>
            </w:r>
            <w:r w:rsidR="001051F5">
              <w:rPr>
                <w:webHidden/>
              </w:rPr>
              <w:fldChar w:fldCharType="end"/>
            </w:r>
          </w:hyperlink>
        </w:p>
        <w:p w14:paraId="663AB5D2" w14:textId="3AC37DF8" w:rsidR="001051F5" w:rsidRDefault="00005E21">
          <w:pPr>
            <w:pStyle w:val="TOC1"/>
            <w:rPr>
              <w:rFonts w:asciiTheme="minorHAnsi" w:eastAsiaTheme="minorEastAsia" w:hAnsiTheme="minorHAnsi"/>
              <w:b w:val="0"/>
              <w:lang w:eastAsia="en-AU"/>
            </w:rPr>
          </w:pPr>
          <w:hyperlink w:anchor="_Toc84434491" w:history="1">
            <w:r w:rsidR="001051F5" w:rsidRPr="0090041C">
              <w:rPr>
                <w:rStyle w:val="Hyperlink"/>
              </w:rPr>
              <w:t>Agricultural lending in 2020–21</w:t>
            </w:r>
            <w:r w:rsidR="001051F5">
              <w:rPr>
                <w:webHidden/>
              </w:rPr>
              <w:tab/>
            </w:r>
            <w:r w:rsidR="001051F5">
              <w:rPr>
                <w:webHidden/>
              </w:rPr>
              <w:fldChar w:fldCharType="begin"/>
            </w:r>
            <w:r w:rsidR="001051F5">
              <w:rPr>
                <w:webHidden/>
              </w:rPr>
              <w:instrText xml:space="preserve"> PAGEREF _Toc84434491 \h </w:instrText>
            </w:r>
            <w:r w:rsidR="001051F5">
              <w:rPr>
                <w:webHidden/>
              </w:rPr>
            </w:r>
            <w:r w:rsidR="001051F5">
              <w:rPr>
                <w:webHidden/>
              </w:rPr>
              <w:fldChar w:fldCharType="separate"/>
            </w:r>
            <w:r w:rsidR="008A23A3">
              <w:rPr>
                <w:webHidden/>
              </w:rPr>
              <w:t>10</w:t>
            </w:r>
            <w:r w:rsidR="001051F5">
              <w:rPr>
                <w:webHidden/>
              </w:rPr>
              <w:fldChar w:fldCharType="end"/>
            </w:r>
          </w:hyperlink>
        </w:p>
        <w:p w14:paraId="755E27CE" w14:textId="21632C35" w:rsidR="001051F5" w:rsidRDefault="00005E21">
          <w:pPr>
            <w:pStyle w:val="TOC2"/>
            <w:rPr>
              <w:rFonts w:asciiTheme="minorHAnsi" w:eastAsiaTheme="minorEastAsia" w:hAnsiTheme="minorHAnsi"/>
              <w:lang w:eastAsia="en-AU"/>
            </w:rPr>
          </w:pPr>
          <w:hyperlink w:anchor="_Toc84434492" w:history="1">
            <w:r w:rsidR="001051F5" w:rsidRPr="0090041C">
              <w:rPr>
                <w:rStyle w:val="Hyperlink"/>
              </w:rPr>
              <w:t>Regional Investment Corporation lending in 2020–21</w:t>
            </w:r>
            <w:r w:rsidR="001051F5">
              <w:rPr>
                <w:webHidden/>
              </w:rPr>
              <w:tab/>
            </w:r>
            <w:r w:rsidR="001051F5">
              <w:rPr>
                <w:webHidden/>
              </w:rPr>
              <w:fldChar w:fldCharType="begin"/>
            </w:r>
            <w:r w:rsidR="001051F5">
              <w:rPr>
                <w:webHidden/>
              </w:rPr>
              <w:instrText xml:space="preserve"> PAGEREF _Toc84434492 \h </w:instrText>
            </w:r>
            <w:r w:rsidR="001051F5">
              <w:rPr>
                <w:webHidden/>
              </w:rPr>
            </w:r>
            <w:r w:rsidR="001051F5">
              <w:rPr>
                <w:webHidden/>
              </w:rPr>
              <w:fldChar w:fldCharType="separate"/>
            </w:r>
            <w:r w:rsidR="008A23A3">
              <w:rPr>
                <w:webHidden/>
              </w:rPr>
              <w:t>10</w:t>
            </w:r>
            <w:r w:rsidR="001051F5">
              <w:rPr>
                <w:webHidden/>
              </w:rPr>
              <w:fldChar w:fldCharType="end"/>
            </w:r>
          </w:hyperlink>
        </w:p>
        <w:p w14:paraId="382A06F8" w14:textId="4681DEC6" w:rsidR="001051F5" w:rsidRDefault="00005E21">
          <w:pPr>
            <w:pStyle w:val="TOC1"/>
            <w:rPr>
              <w:rFonts w:asciiTheme="minorHAnsi" w:eastAsiaTheme="minorEastAsia" w:hAnsiTheme="minorHAnsi"/>
              <w:b w:val="0"/>
              <w:lang w:eastAsia="en-AU"/>
            </w:rPr>
          </w:pPr>
          <w:hyperlink w:anchor="_Toc84434493" w:history="1">
            <w:r w:rsidR="001051F5" w:rsidRPr="0090041C">
              <w:rPr>
                <w:rStyle w:val="Hyperlink"/>
              </w:rPr>
              <w:t>Appendix A: Background to APRA data</w:t>
            </w:r>
            <w:r w:rsidR="001051F5">
              <w:rPr>
                <w:webHidden/>
              </w:rPr>
              <w:tab/>
            </w:r>
            <w:r w:rsidR="001051F5">
              <w:rPr>
                <w:webHidden/>
              </w:rPr>
              <w:fldChar w:fldCharType="begin"/>
            </w:r>
            <w:r w:rsidR="001051F5">
              <w:rPr>
                <w:webHidden/>
              </w:rPr>
              <w:instrText xml:space="preserve"> PAGEREF _Toc84434493 \h </w:instrText>
            </w:r>
            <w:r w:rsidR="001051F5">
              <w:rPr>
                <w:webHidden/>
              </w:rPr>
            </w:r>
            <w:r w:rsidR="001051F5">
              <w:rPr>
                <w:webHidden/>
              </w:rPr>
              <w:fldChar w:fldCharType="separate"/>
            </w:r>
            <w:r w:rsidR="008A23A3">
              <w:rPr>
                <w:webHidden/>
              </w:rPr>
              <w:t>12</w:t>
            </w:r>
            <w:r w:rsidR="001051F5">
              <w:rPr>
                <w:webHidden/>
              </w:rPr>
              <w:fldChar w:fldCharType="end"/>
            </w:r>
          </w:hyperlink>
        </w:p>
        <w:p w14:paraId="3F5A18C2" w14:textId="2A545DED" w:rsidR="001051F5" w:rsidRDefault="00005E21">
          <w:pPr>
            <w:pStyle w:val="TOC2"/>
            <w:rPr>
              <w:rFonts w:asciiTheme="minorHAnsi" w:eastAsiaTheme="minorEastAsia" w:hAnsiTheme="minorHAnsi"/>
              <w:lang w:eastAsia="en-AU"/>
            </w:rPr>
          </w:pPr>
          <w:hyperlink w:anchor="_Toc84434494" w:history="1">
            <w:r w:rsidR="001051F5" w:rsidRPr="0090041C">
              <w:rPr>
                <w:rStyle w:val="Hyperlink"/>
              </w:rPr>
              <w:t>Data collection</w:t>
            </w:r>
            <w:r w:rsidR="001051F5">
              <w:rPr>
                <w:webHidden/>
              </w:rPr>
              <w:tab/>
            </w:r>
            <w:r w:rsidR="001051F5">
              <w:rPr>
                <w:webHidden/>
              </w:rPr>
              <w:fldChar w:fldCharType="begin"/>
            </w:r>
            <w:r w:rsidR="001051F5">
              <w:rPr>
                <w:webHidden/>
              </w:rPr>
              <w:instrText xml:space="preserve"> PAGEREF _Toc84434494 \h </w:instrText>
            </w:r>
            <w:r w:rsidR="001051F5">
              <w:rPr>
                <w:webHidden/>
              </w:rPr>
            </w:r>
            <w:r w:rsidR="001051F5">
              <w:rPr>
                <w:webHidden/>
              </w:rPr>
              <w:fldChar w:fldCharType="separate"/>
            </w:r>
            <w:r w:rsidR="008A23A3">
              <w:rPr>
                <w:webHidden/>
              </w:rPr>
              <w:t>12</w:t>
            </w:r>
            <w:r w:rsidR="001051F5">
              <w:rPr>
                <w:webHidden/>
              </w:rPr>
              <w:fldChar w:fldCharType="end"/>
            </w:r>
          </w:hyperlink>
        </w:p>
        <w:p w14:paraId="7E749AF2" w14:textId="104BA450" w:rsidR="001051F5" w:rsidRDefault="00005E21">
          <w:pPr>
            <w:pStyle w:val="TOC2"/>
            <w:rPr>
              <w:rFonts w:asciiTheme="minorHAnsi" w:eastAsiaTheme="minorEastAsia" w:hAnsiTheme="minorHAnsi"/>
              <w:lang w:eastAsia="en-AU"/>
            </w:rPr>
          </w:pPr>
          <w:hyperlink w:anchor="_Toc84434495" w:history="1">
            <w:r w:rsidR="001051F5" w:rsidRPr="0090041C">
              <w:rPr>
                <w:rStyle w:val="Hyperlink"/>
              </w:rPr>
              <w:t>Confidentiality requirements</w:t>
            </w:r>
            <w:r w:rsidR="001051F5">
              <w:rPr>
                <w:webHidden/>
              </w:rPr>
              <w:tab/>
            </w:r>
            <w:r w:rsidR="001051F5">
              <w:rPr>
                <w:webHidden/>
              </w:rPr>
              <w:fldChar w:fldCharType="begin"/>
            </w:r>
            <w:r w:rsidR="001051F5">
              <w:rPr>
                <w:webHidden/>
              </w:rPr>
              <w:instrText xml:space="preserve"> PAGEREF _Toc84434495 \h </w:instrText>
            </w:r>
            <w:r w:rsidR="001051F5">
              <w:rPr>
                <w:webHidden/>
              </w:rPr>
            </w:r>
            <w:r w:rsidR="001051F5">
              <w:rPr>
                <w:webHidden/>
              </w:rPr>
              <w:fldChar w:fldCharType="separate"/>
            </w:r>
            <w:r w:rsidR="008A23A3">
              <w:rPr>
                <w:webHidden/>
              </w:rPr>
              <w:t>12</w:t>
            </w:r>
            <w:r w:rsidR="001051F5">
              <w:rPr>
                <w:webHidden/>
              </w:rPr>
              <w:fldChar w:fldCharType="end"/>
            </w:r>
          </w:hyperlink>
        </w:p>
        <w:p w14:paraId="5A693943" w14:textId="1D9CF4B4" w:rsidR="001051F5" w:rsidRDefault="00005E21">
          <w:pPr>
            <w:pStyle w:val="TOC2"/>
            <w:rPr>
              <w:rFonts w:asciiTheme="minorHAnsi" w:eastAsiaTheme="minorEastAsia" w:hAnsiTheme="minorHAnsi"/>
              <w:lang w:eastAsia="en-AU"/>
            </w:rPr>
          </w:pPr>
          <w:hyperlink w:anchor="_Toc84434496" w:history="1">
            <w:r w:rsidR="001051F5" w:rsidRPr="0090041C">
              <w:rPr>
                <w:rStyle w:val="Hyperlink"/>
              </w:rPr>
              <w:t>Scope of data</w:t>
            </w:r>
            <w:r w:rsidR="001051F5">
              <w:rPr>
                <w:webHidden/>
              </w:rPr>
              <w:tab/>
            </w:r>
            <w:r w:rsidR="001051F5">
              <w:rPr>
                <w:webHidden/>
              </w:rPr>
              <w:fldChar w:fldCharType="begin"/>
            </w:r>
            <w:r w:rsidR="001051F5">
              <w:rPr>
                <w:webHidden/>
              </w:rPr>
              <w:instrText xml:space="preserve"> PAGEREF _Toc84434496 \h </w:instrText>
            </w:r>
            <w:r w:rsidR="001051F5">
              <w:rPr>
                <w:webHidden/>
              </w:rPr>
            </w:r>
            <w:r w:rsidR="001051F5">
              <w:rPr>
                <w:webHidden/>
              </w:rPr>
              <w:fldChar w:fldCharType="separate"/>
            </w:r>
            <w:r w:rsidR="008A23A3">
              <w:rPr>
                <w:webHidden/>
              </w:rPr>
              <w:t>12</w:t>
            </w:r>
            <w:r w:rsidR="001051F5">
              <w:rPr>
                <w:webHidden/>
              </w:rPr>
              <w:fldChar w:fldCharType="end"/>
            </w:r>
          </w:hyperlink>
        </w:p>
        <w:p w14:paraId="11C6A937" w14:textId="0BB82135" w:rsidR="001051F5" w:rsidRDefault="00005E21">
          <w:pPr>
            <w:pStyle w:val="TOC2"/>
            <w:rPr>
              <w:rFonts w:asciiTheme="minorHAnsi" w:eastAsiaTheme="minorEastAsia" w:hAnsiTheme="minorHAnsi"/>
              <w:lang w:eastAsia="en-AU"/>
            </w:rPr>
          </w:pPr>
          <w:hyperlink w:anchor="_Toc84434497" w:history="1">
            <w:r w:rsidR="001051F5" w:rsidRPr="0090041C">
              <w:rPr>
                <w:rStyle w:val="Hyperlink"/>
              </w:rPr>
              <w:t>Lenders covered – financial sector reporting entities</w:t>
            </w:r>
            <w:r w:rsidR="001051F5">
              <w:rPr>
                <w:webHidden/>
              </w:rPr>
              <w:tab/>
            </w:r>
            <w:r w:rsidR="001051F5">
              <w:rPr>
                <w:webHidden/>
              </w:rPr>
              <w:fldChar w:fldCharType="begin"/>
            </w:r>
            <w:r w:rsidR="001051F5">
              <w:rPr>
                <w:webHidden/>
              </w:rPr>
              <w:instrText xml:space="preserve"> PAGEREF _Toc84434497 \h </w:instrText>
            </w:r>
            <w:r w:rsidR="001051F5">
              <w:rPr>
                <w:webHidden/>
              </w:rPr>
            </w:r>
            <w:r w:rsidR="001051F5">
              <w:rPr>
                <w:webHidden/>
              </w:rPr>
              <w:fldChar w:fldCharType="separate"/>
            </w:r>
            <w:r w:rsidR="008A23A3">
              <w:rPr>
                <w:webHidden/>
              </w:rPr>
              <w:t>13</w:t>
            </w:r>
            <w:r w:rsidR="001051F5">
              <w:rPr>
                <w:webHidden/>
              </w:rPr>
              <w:fldChar w:fldCharType="end"/>
            </w:r>
          </w:hyperlink>
        </w:p>
        <w:p w14:paraId="0D566FB6" w14:textId="45D82A21" w:rsidR="001051F5" w:rsidRDefault="00005E21">
          <w:pPr>
            <w:pStyle w:val="TOC2"/>
            <w:rPr>
              <w:rFonts w:asciiTheme="minorHAnsi" w:eastAsiaTheme="minorEastAsia" w:hAnsiTheme="minorHAnsi"/>
              <w:lang w:eastAsia="en-AU"/>
            </w:rPr>
          </w:pPr>
          <w:hyperlink w:anchor="_Toc84434498" w:history="1">
            <w:r w:rsidR="001051F5" w:rsidRPr="0090041C">
              <w:rPr>
                <w:rStyle w:val="Hyperlink"/>
              </w:rPr>
              <w:t>Types of debt reported</w:t>
            </w:r>
            <w:r w:rsidR="001051F5">
              <w:rPr>
                <w:webHidden/>
              </w:rPr>
              <w:tab/>
            </w:r>
            <w:r w:rsidR="001051F5">
              <w:rPr>
                <w:webHidden/>
              </w:rPr>
              <w:fldChar w:fldCharType="begin"/>
            </w:r>
            <w:r w:rsidR="001051F5">
              <w:rPr>
                <w:webHidden/>
              </w:rPr>
              <w:instrText xml:space="preserve"> PAGEREF _Toc84434498 \h </w:instrText>
            </w:r>
            <w:r w:rsidR="001051F5">
              <w:rPr>
                <w:webHidden/>
              </w:rPr>
            </w:r>
            <w:r w:rsidR="001051F5">
              <w:rPr>
                <w:webHidden/>
              </w:rPr>
              <w:fldChar w:fldCharType="separate"/>
            </w:r>
            <w:r w:rsidR="008A23A3">
              <w:rPr>
                <w:webHidden/>
              </w:rPr>
              <w:t>13</w:t>
            </w:r>
            <w:r w:rsidR="001051F5">
              <w:rPr>
                <w:webHidden/>
              </w:rPr>
              <w:fldChar w:fldCharType="end"/>
            </w:r>
          </w:hyperlink>
        </w:p>
        <w:p w14:paraId="48084C98" w14:textId="5A26DCAD" w:rsidR="001051F5" w:rsidRDefault="00005E21">
          <w:pPr>
            <w:pStyle w:val="TOC2"/>
            <w:rPr>
              <w:rFonts w:asciiTheme="minorHAnsi" w:eastAsiaTheme="minorEastAsia" w:hAnsiTheme="minorHAnsi"/>
              <w:lang w:eastAsia="en-AU"/>
            </w:rPr>
          </w:pPr>
          <w:hyperlink w:anchor="_Toc84434499" w:history="1">
            <w:r w:rsidR="001051F5" w:rsidRPr="0090041C">
              <w:rPr>
                <w:rStyle w:val="Hyperlink"/>
              </w:rPr>
              <w:t>Data collection period</w:t>
            </w:r>
            <w:r w:rsidR="001051F5">
              <w:rPr>
                <w:webHidden/>
              </w:rPr>
              <w:tab/>
            </w:r>
            <w:r w:rsidR="001051F5">
              <w:rPr>
                <w:webHidden/>
              </w:rPr>
              <w:fldChar w:fldCharType="begin"/>
            </w:r>
            <w:r w:rsidR="001051F5">
              <w:rPr>
                <w:webHidden/>
              </w:rPr>
              <w:instrText xml:space="preserve"> PAGEREF _Toc84434499 \h </w:instrText>
            </w:r>
            <w:r w:rsidR="001051F5">
              <w:rPr>
                <w:webHidden/>
              </w:rPr>
            </w:r>
            <w:r w:rsidR="001051F5">
              <w:rPr>
                <w:webHidden/>
              </w:rPr>
              <w:fldChar w:fldCharType="separate"/>
            </w:r>
            <w:r w:rsidR="008A23A3">
              <w:rPr>
                <w:webHidden/>
              </w:rPr>
              <w:t>13</w:t>
            </w:r>
            <w:r w:rsidR="001051F5">
              <w:rPr>
                <w:webHidden/>
              </w:rPr>
              <w:fldChar w:fldCharType="end"/>
            </w:r>
          </w:hyperlink>
        </w:p>
        <w:p w14:paraId="016F34E5" w14:textId="57B22E8C" w:rsidR="001051F5" w:rsidRDefault="00005E21">
          <w:pPr>
            <w:pStyle w:val="TOC2"/>
            <w:rPr>
              <w:rFonts w:asciiTheme="minorHAnsi" w:eastAsiaTheme="minorEastAsia" w:hAnsiTheme="minorHAnsi"/>
              <w:lang w:eastAsia="en-AU"/>
            </w:rPr>
          </w:pPr>
          <w:hyperlink w:anchor="_Toc84434500" w:history="1">
            <w:r w:rsidR="001051F5" w:rsidRPr="0090041C">
              <w:rPr>
                <w:rStyle w:val="Hyperlink"/>
              </w:rPr>
              <w:t>Future data collection and revisions</w:t>
            </w:r>
            <w:r w:rsidR="001051F5">
              <w:rPr>
                <w:webHidden/>
              </w:rPr>
              <w:tab/>
            </w:r>
            <w:r w:rsidR="001051F5">
              <w:rPr>
                <w:webHidden/>
              </w:rPr>
              <w:fldChar w:fldCharType="begin"/>
            </w:r>
            <w:r w:rsidR="001051F5">
              <w:rPr>
                <w:webHidden/>
              </w:rPr>
              <w:instrText xml:space="preserve"> PAGEREF _Toc84434500 \h </w:instrText>
            </w:r>
            <w:r w:rsidR="001051F5">
              <w:rPr>
                <w:webHidden/>
              </w:rPr>
            </w:r>
            <w:r w:rsidR="001051F5">
              <w:rPr>
                <w:webHidden/>
              </w:rPr>
              <w:fldChar w:fldCharType="separate"/>
            </w:r>
            <w:r w:rsidR="008A23A3">
              <w:rPr>
                <w:webHidden/>
              </w:rPr>
              <w:t>13</w:t>
            </w:r>
            <w:r w:rsidR="001051F5">
              <w:rPr>
                <w:webHidden/>
              </w:rPr>
              <w:fldChar w:fldCharType="end"/>
            </w:r>
          </w:hyperlink>
        </w:p>
        <w:p w14:paraId="224CE838" w14:textId="3591DD85" w:rsidR="001051F5" w:rsidRDefault="00005E21">
          <w:pPr>
            <w:pStyle w:val="TOC2"/>
            <w:rPr>
              <w:rFonts w:asciiTheme="minorHAnsi" w:eastAsiaTheme="minorEastAsia" w:hAnsiTheme="minorHAnsi"/>
              <w:lang w:eastAsia="en-AU"/>
            </w:rPr>
          </w:pPr>
          <w:hyperlink w:anchor="_Toc84434501" w:history="1">
            <w:r w:rsidR="001051F5" w:rsidRPr="0090041C">
              <w:rPr>
                <w:rStyle w:val="Hyperlink"/>
              </w:rPr>
              <w:t>Data presentation and interpretation</w:t>
            </w:r>
            <w:r w:rsidR="001051F5">
              <w:rPr>
                <w:webHidden/>
              </w:rPr>
              <w:tab/>
            </w:r>
            <w:r w:rsidR="001051F5">
              <w:rPr>
                <w:webHidden/>
              </w:rPr>
              <w:fldChar w:fldCharType="begin"/>
            </w:r>
            <w:r w:rsidR="001051F5">
              <w:rPr>
                <w:webHidden/>
              </w:rPr>
              <w:instrText xml:space="preserve"> PAGEREF _Toc84434501 \h </w:instrText>
            </w:r>
            <w:r w:rsidR="001051F5">
              <w:rPr>
                <w:webHidden/>
              </w:rPr>
            </w:r>
            <w:r w:rsidR="001051F5">
              <w:rPr>
                <w:webHidden/>
              </w:rPr>
              <w:fldChar w:fldCharType="separate"/>
            </w:r>
            <w:r w:rsidR="008A23A3">
              <w:rPr>
                <w:webHidden/>
              </w:rPr>
              <w:t>13</w:t>
            </w:r>
            <w:r w:rsidR="001051F5">
              <w:rPr>
                <w:webHidden/>
              </w:rPr>
              <w:fldChar w:fldCharType="end"/>
            </w:r>
          </w:hyperlink>
        </w:p>
        <w:p w14:paraId="7B757A91" w14:textId="72AF077D" w:rsidR="001051F5" w:rsidRDefault="00005E21">
          <w:pPr>
            <w:pStyle w:val="TOC2"/>
            <w:rPr>
              <w:rFonts w:asciiTheme="minorHAnsi" w:eastAsiaTheme="minorEastAsia" w:hAnsiTheme="minorHAnsi"/>
              <w:lang w:eastAsia="en-AU"/>
            </w:rPr>
          </w:pPr>
          <w:hyperlink w:anchor="_Toc84434502" w:history="1">
            <w:r w:rsidR="001051F5" w:rsidRPr="0090041C">
              <w:rPr>
                <w:rStyle w:val="Hyperlink"/>
              </w:rPr>
              <w:t>Data categories</w:t>
            </w:r>
            <w:r w:rsidR="001051F5">
              <w:rPr>
                <w:webHidden/>
              </w:rPr>
              <w:tab/>
            </w:r>
            <w:r w:rsidR="001051F5">
              <w:rPr>
                <w:webHidden/>
              </w:rPr>
              <w:fldChar w:fldCharType="begin"/>
            </w:r>
            <w:r w:rsidR="001051F5">
              <w:rPr>
                <w:webHidden/>
              </w:rPr>
              <w:instrText xml:space="preserve"> PAGEREF _Toc84434502 \h </w:instrText>
            </w:r>
            <w:r w:rsidR="001051F5">
              <w:rPr>
                <w:webHidden/>
              </w:rPr>
            </w:r>
            <w:r w:rsidR="001051F5">
              <w:rPr>
                <w:webHidden/>
              </w:rPr>
              <w:fldChar w:fldCharType="separate"/>
            </w:r>
            <w:r w:rsidR="008A23A3">
              <w:rPr>
                <w:webHidden/>
              </w:rPr>
              <w:t>13</w:t>
            </w:r>
            <w:r w:rsidR="001051F5">
              <w:rPr>
                <w:webHidden/>
              </w:rPr>
              <w:fldChar w:fldCharType="end"/>
            </w:r>
          </w:hyperlink>
        </w:p>
        <w:p w14:paraId="64EC0A4B" w14:textId="28AE5F3A" w:rsidR="001051F5" w:rsidRDefault="00005E21">
          <w:pPr>
            <w:pStyle w:val="TOC2"/>
            <w:rPr>
              <w:rFonts w:asciiTheme="minorHAnsi" w:eastAsiaTheme="minorEastAsia" w:hAnsiTheme="minorHAnsi"/>
              <w:lang w:eastAsia="en-AU"/>
            </w:rPr>
          </w:pPr>
          <w:hyperlink w:anchor="_Toc84434503" w:history="1">
            <w:r w:rsidR="001051F5" w:rsidRPr="0090041C">
              <w:rPr>
                <w:rStyle w:val="Hyperlink"/>
              </w:rPr>
              <w:t>Farm business entities and the number of borrowers</w:t>
            </w:r>
            <w:r w:rsidR="001051F5">
              <w:rPr>
                <w:webHidden/>
              </w:rPr>
              <w:tab/>
            </w:r>
            <w:r w:rsidR="001051F5">
              <w:rPr>
                <w:webHidden/>
              </w:rPr>
              <w:fldChar w:fldCharType="begin"/>
            </w:r>
            <w:r w:rsidR="001051F5">
              <w:rPr>
                <w:webHidden/>
              </w:rPr>
              <w:instrText xml:space="preserve"> PAGEREF _Toc84434503 \h </w:instrText>
            </w:r>
            <w:r w:rsidR="001051F5">
              <w:rPr>
                <w:webHidden/>
              </w:rPr>
            </w:r>
            <w:r w:rsidR="001051F5">
              <w:rPr>
                <w:webHidden/>
              </w:rPr>
              <w:fldChar w:fldCharType="separate"/>
            </w:r>
            <w:r w:rsidR="008A23A3">
              <w:rPr>
                <w:webHidden/>
              </w:rPr>
              <w:t>14</w:t>
            </w:r>
            <w:r w:rsidR="001051F5">
              <w:rPr>
                <w:webHidden/>
              </w:rPr>
              <w:fldChar w:fldCharType="end"/>
            </w:r>
          </w:hyperlink>
        </w:p>
        <w:p w14:paraId="4E53B9FC" w14:textId="329E946A" w:rsidR="001051F5" w:rsidRDefault="00005E21">
          <w:pPr>
            <w:pStyle w:val="TOC2"/>
            <w:rPr>
              <w:rFonts w:asciiTheme="minorHAnsi" w:eastAsiaTheme="minorEastAsia" w:hAnsiTheme="minorHAnsi"/>
              <w:lang w:eastAsia="en-AU"/>
            </w:rPr>
          </w:pPr>
          <w:hyperlink w:anchor="_Toc84434504" w:history="1">
            <w:r w:rsidR="001051F5" w:rsidRPr="0090041C">
              <w:rPr>
                <w:rStyle w:val="Hyperlink"/>
              </w:rPr>
              <w:t>Assigning loans and leases to different industries</w:t>
            </w:r>
            <w:r w:rsidR="001051F5">
              <w:rPr>
                <w:webHidden/>
              </w:rPr>
              <w:tab/>
            </w:r>
            <w:r w:rsidR="001051F5">
              <w:rPr>
                <w:webHidden/>
              </w:rPr>
              <w:fldChar w:fldCharType="begin"/>
            </w:r>
            <w:r w:rsidR="001051F5">
              <w:rPr>
                <w:webHidden/>
              </w:rPr>
              <w:instrText xml:space="preserve"> PAGEREF _Toc84434504 \h </w:instrText>
            </w:r>
            <w:r w:rsidR="001051F5">
              <w:rPr>
                <w:webHidden/>
              </w:rPr>
            </w:r>
            <w:r w:rsidR="001051F5">
              <w:rPr>
                <w:webHidden/>
              </w:rPr>
              <w:fldChar w:fldCharType="separate"/>
            </w:r>
            <w:r w:rsidR="008A23A3">
              <w:rPr>
                <w:webHidden/>
              </w:rPr>
              <w:t>14</w:t>
            </w:r>
            <w:r w:rsidR="001051F5">
              <w:rPr>
                <w:webHidden/>
              </w:rPr>
              <w:fldChar w:fldCharType="end"/>
            </w:r>
          </w:hyperlink>
        </w:p>
        <w:p w14:paraId="7D12D11C" w14:textId="71D4BA91" w:rsidR="001051F5" w:rsidRDefault="00005E21">
          <w:pPr>
            <w:pStyle w:val="TOC2"/>
            <w:rPr>
              <w:rFonts w:asciiTheme="minorHAnsi" w:eastAsiaTheme="minorEastAsia" w:hAnsiTheme="minorHAnsi"/>
              <w:lang w:eastAsia="en-AU"/>
            </w:rPr>
          </w:pPr>
          <w:hyperlink w:anchor="_Toc84434505" w:history="1">
            <w:r w:rsidR="001051F5" w:rsidRPr="0090041C">
              <w:rPr>
                <w:rStyle w:val="Hyperlink"/>
              </w:rPr>
              <w:t>Farm business entity locations</w:t>
            </w:r>
            <w:r w:rsidR="001051F5">
              <w:rPr>
                <w:webHidden/>
              </w:rPr>
              <w:tab/>
            </w:r>
            <w:r w:rsidR="001051F5">
              <w:rPr>
                <w:webHidden/>
              </w:rPr>
              <w:fldChar w:fldCharType="begin"/>
            </w:r>
            <w:r w:rsidR="001051F5">
              <w:rPr>
                <w:webHidden/>
              </w:rPr>
              <w:instrText xml:space="preserve"> PAGEREF _Toc84434505 \h </w:instrText>
            </w:r>
            <w:r w:rsidR="001051F5">
              <w:rPr>
                <w:webHidden/>
              </w:rPr>
            </w:r>
            <w:r w:rsidR="001051F5">
              <w:rPr>
                <w:webHidden/>
              </w:rPr>
              <w:fldChar w:fldCharType="separate"/>
            </w:r>
            <w:r w:rsidR="008A23A3">
              <w:rPr>
                <w:webHidden/>
              </w:rPr>
              <w:t>15</w:t>
            </w:r>
            <w:r w:rsidR="001051F5">
              <w:rPr>
                <w:webHidden/>
              </w:rPr>
              <w:fldChar w:fldCharType="end"/>
            </w:r>
          </w:hyperlink>
        </w:p>
        <w:p w14:paraId="55ED13D6" w14:textId="51B1C635" w:rsidR="001051F5" w:rsidRDefault="00005E21">
          <w:pPr>
            <w:pStyle w:val="TOC1"/>
            <w:rPr>
              <w:rFonts w:asciiTheme="minorHAnsi" w:eastAsiaTheme="minorEastAsia" w:hAnsiTheme="minorHAnsi"/>
              <w:b w:val="0"/>
              <w:lang w:eastAsia="en-AU"/>
            </w:rPr>
          </w:pPr>
          <w:hyperlink w:anchor="_Toc84434506" w:history="1">
            <w:r w:rsidR="001051F5" w:rsidRPr="0090041C">
              <w:rPr>
                <w:rStyle w:val="Hyperlink"/>
              </w:rPr>
              <w:t>Appendix B: Other sources of agricultural lending data</w:t>
            </w:r>
            <w:r w:rsidR="001051F5">
              <w:rPr>
                <w:webHidden/>
              </w:rPr>
              <w:tab/>
            </w:r>
            <w:r w:rsidR="001051F5">
              <w:rPr>
                <w:webHidden/>
              </w:rPr>
              <w:fldChar w:fldCharType="begin"/>
            </w:r>
            <w:r w:rsidR="001051F5">
              <w:rPr>
                <w:webHidden/>
              </w:rPr>
              <w:instrText xml:space="preserve"> PAGEREF _Toc84434506 \h </w:instrText>
            </w:r>
            <w:r w:rsidR="001051F5">
              <w:rPr>
                <w:webHidden/>
              </w:rPr>
            </w:r>
            <w:r w:rsidR="001051F5">
              <w:rPr>
                <w:webHidden/>
              </w:rPr>
              <w:fldChar w:fldCharType="separate"/>
            </w:r>
            <w:r w:rsidR="008A23A3">
              <w:rPr>
                <w:webHidden/>
              </w:rPr>
              <w:t>16</w:t>
            </w:r>
            <w:r w:rsidR="001051F5">
              <w:rPr>
                <w:webHidden/>
              </w:rPr>
              <w:fldChar w:fldCharType="end"/>
            </w:r>
          </w:hyperlink>
        </w:p>
        <w:p w14:paraId="031ECB8B" w14:textId="24DEC6C4" w:rsidR="001051F5" w:rsidRDefault="00005E21">
          <w:pPr>
            <w:pStyle w:val="TOC2"/>
            <w:rPr>
              <w:rFonts w:asciiTheme="minorHAnsi" w:eastAsiaTheme="minorEastAsia" w:hAnsiTheme="minorHAnsi"/>
              <w:lang w:eastAsia="en-AU"/>
            </w:rPr>
          </w:pPr>
          <w:hyperlink w:anchor="_Toc84434507" w:history="1">
            <w:r w:rsidR="001051F5" w:rsidRPr="0090041C">
              <w:rPr>
                <w:rStyle w:val="Hyperlink"/>
                <w:lang w:val="en-US"/>
              </w:rPr>
              <w:t>Timeliness and coverage</w:t>
            </w:r>
            <w:r w:rsidR="001051F5">
              <w:rPr>
                <w:webHidden/>
              </w:rPr>
              <w:tab/>
            </w:r>
            <w:r w:rsidR="001051F5">
              <w:rPr>
                <w:webHidden/>
              </w:rPr>
              <w:fldChar w:fldCharType="begin"/>
            </w:r>
            <w:r w:rsidR="001051F5">
              <w:rPr>
                <w:webHidden/>
              </w:rPr>
              <w:instrText xml:space="preserve"> PAGEREF _Toc84434507 \h </w:instrText>
            </w:r>
            <w:r w:rsidR="001051F5">
              <w:rPr>
                <w:webHidden/>
              </w:rPr>
            </w:r>
            <w:r w:rsidR="001051F5">
              <w:rPr>
                <w:webHidden/>
              </w:rPr>
              <w:fldChar w:fldCharType="separate"/>
            </w:r>
            <w:r w:rsidR="008A23A3">
              <w:rPr>
                <w:webHidden/>
              </w:rPr>
              <w:t>16</w:t>
            </w:r>
            <w:r w:rsidR="001051F5">
              <w:rPr>
                <w:webHidden/>
              </w:rPr>
              <w:fldChar w:fldCharType="end"/>
            </w:r>
          </w:hyperlink>
        </w:p>
        <w:p w14:paraId="4F733BF5" w14:textId="5DD6BD82" w:rsidR="001051F5" w:rsidRDefault="00005E21">
          <w:pPr>
            <w:pStyle w:val="TOC2"/>
            <w:rPr>
              <w:rFonts w:asciiTheme="minorHAnsi" w:eastAsiaTheme="minorEastAsia" w:hAnsiTheme="minorHAnsi"/>
              <w:lang w:eastAsia="en-AU"/>
            </w:rPr>
          </w:pPr>
          <w:hyperlink w:anchor="_Toc84434508" w:history="1">
            <w:r w:rsidR="001051F5" w:rsidRPr="0090041C">
              <w:rPr>
                <w:rStyle w:val="Hyperlink"/>
                <w:lang w:val="en-US"/>
              </w:rPr>
              <w:t>Comparability</w:t>
            </w:r>
            <w:r w:rsidR="001051F5">
              <w:rPr>
                <w:webHidden/>
              </w:rPr>
              <w:tab/>
            </w:r>
            <w:r w:rsidR="001051F5">
              <w:rPr>
                <w:webHidden/>
              </w:rPr>
              <w:fldChar w:fldCharType="begin"/>
            </w:r>
            <w:r w:rsidR="001051F5">
              <w:rPr>
                <w:webHidden/>
              </w:rPr>
              <w:instrText xml:space="preserve"> PAGEREF _Toc84434508 \h </w:instrText>
            </w:r>
            <w:r w:rsidR="001051F5">
              <w:rPr>
                <w:webHidden/>
              </w:rPr>
            </w:r>
            <w:r w:rsidR="001051F5">
              <w:rPr>
                <w:webHidden/>
              </w:rPr>
              <w:fldChar w:fldCharType="separate"/>
            </w:r>
            <w:r w:rsidR="008A23A3">
              <w:rPr>
                <w:webHidden/>
              </w:rPr>
              <w:t>16</w:t>
            </w:r>
            <w:r w:rsidR="001051F5">
              <w:rPr>
                <w:webHidden/>
              </w:rPr>
              <w:fldChar w:fldCharType="end"/>
            </w:r>
          </w:hyperlink>
        </w:p>
        <w:p w14:paraId="12D00325" w14:textId="01890A8F" w:rsidR="001051F5" w:rsidRDefault="00005E21">
          <w:pPr>
            <w:pStyle w:val="TOC1"/>
            <w:rPr>
              <w:rFonts w:asciiTheme="minorHAnsi" w:eastAsiaTheme="minorEastAsia" w:hAnsiTheme="minorHAnsi"/>
              <w:b w:val="0"/>
              <w:lang w:eastAsia="en-AU"/>
            </w:rPr>
          </w:pPr>
          <w:hyperlink w:anchor="_Toc84434509" w:history="1">
            <w:r w:rsidR="001051F5" w:rsidRPr="0090041C">
              <w:rPr>
                <w:rStyle w:val="Hyperlink"/>
              </w:rPr>
              <w:t>Glossary</w:t>
            </w:r>
            <w:r w:rsidR="001051F5">
              <w:rPr>
                <w:webHidden/>
              </w:rPr>
              <w:tab/>
            </w:r>
            <w:r w:rsidR="001051F5">
              <w:rPr>
                <w:webHidden/>
              </w:rPr>
              <w:fldChar w:fldCharType="begin"/>
            </w:r>
            <w:r w:rsidR="001051F5">
              <w:rPr>
                <w:webHidden/>
              </w:rPr>
              <w:instrText xml:space="preserve"> PAGEREF _Toc84434509 \h </w:instrText>
            </w:r>
            <w:r w:rsidR="001051F5">
              <w:rPr>
                <w:webHidden/>
              </w:rPr>
            </w:r>
            <w:r w:rsidR="001051F5">
              <w:rPr>
                <w:webHidden/>
              </w:rPr>
              <w:fldChar w:fldCharType="separate"/>
            </w:r>
            <w:r w:rsidR="008A23A3">
              <w:rPr>
                <w:webHidden/>
              </w:rPr>
              <w:t>18</w:t>
            </w:r>
            <w:r w:rsidR="001051F5">
              <w:rPr>
                <w:webHidden/>
              </w:rPr>
              <w:fldChar w:fldCharType="end"/>
            </w:r>
          </w:hyperlink>
        </w:p>
        <w:p w14:paraId="51156474" w14:textId="60B143C2" w:rsidR="001051F5" w:rsidRDefault="00005E21">
          <w:pPr>
            <w:pStyle w:val="TOC1"/>
            <w:rPr>
              <w:rFonts w:asciiTheme="minorHAnsi" w:eastAsiaTheme="minorEastAsia" w:hAnsiTheme="minorHAnsi"/>
              <w:b w:val="0"/>
              <w:lang w:eastAsia="en-AU"/>
            </w:rPr>
          </w:pPr>
          <w:hyperlink w:anchor="_Toc84434510" w:history="1">
            <w:r w:rsidR="001051F5" w:rsidRPr="0090041C">
              <w:rPr>
                <w:rStyle w:val="Hyperlink"/>
              </w:rPr>
              <w:t>References</w:t>
            </w:r>
            <w:r w:rsidR="001051F5">
              <w:rPr>
                <w:webHidden/>
              </w:rPr>
              <w:tab/>
            </w:r>
            <w:r w:rsidR="001051F5">
              <w:rPr>
                <w:webHidden/>
              </w:rPr>
              <w:fldChar w:fldCharType="begin"/>
            </w:r>
            <w:r w:rsidR="001051F5">
              <w:rPr>
                <w:webHidden/>
              </w:rPr>
              <w:instrText xml:space="preserve"> PAGEREF _Toc84434510 \h </w:instrText>
            </w:r>
            <w:r w:rsidR="001051F5">
              <w:rPr>
                <w:webHidden/>
              </w:rPr>
            </w:r>
            <w:r w:rsidR="001051F5">
              <w:rPr>
                <w:webHidden/>
              </w:rPr>
              <w:fldChar w:fldCharType="separate"/>
            </w:r>
            <w:r w:rsidR="008A23A3">
              <w:rPr>
                <w:webHidden/>
              </w:rPr>
              <w:t>20</w:t>
            </w:r>
            <w:r w:rsidR="001051F5">
              <w:rPr>
                <w:webHidden/>
              </w:rPr>
              <w:fldChar w:fldCharType="end"/>
            </w:r>
          </w:hyperlink>
        </w:p>
        <w:p w14:paraId="79150D8A" w14:textId="3CBB90F4" w:rsidR="00764D6A" w:rsidRDefault="00E91D72">
          <w:r>
            <w:rPr>
              <w:b/>
              <w:noProof/>
            </w:rPr>
            <w:fldChar w:fldCharType="end"/>
          </w:r>
        </w:p>
      </w:sdtContent>
    </w:sdt>
    <w:p w14:paraId="37B571E7" w14:textId="77777777" w:rsidR="00764D6A" w:rsidRDefault="00E91D72">
      <w:pPr>
        <w:pStyle w:val="TOCHeading2"/>
        <w:rPr>
          <w:rStyle w:val="Strong"/>
        </w:rPr>
      </w:pPr>
      <w:r>
        <w:rPr>
          <w:rStyle w:val="Strong"/>
        </w:rPr>
        <w:t>Tables</w:t>
      </w:r>
    </w:p>
    <w:p w14:paraId="65D322FE" w14:textId="40F52E15" w:rsidR="003A21A0" w:rsidRDefault="00C21E04">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rPr>
        <w:instrText xml:space="preserve"> TOC \h \z \c "Table" </w:instrText>
      </w:r>
      <w:r>
        <w:rPr>
          <w:rStyle w:val="Hyperlink"/>
        </w:rPr>
        <w:fldChar w:fldCharType="separate"/>
      </w:r>
      <w:hyperlink w:anchor="_Toc85814561" w:history="1">
        <w:r w:rsidR="003A21A0" w:rsidRPr="000E4164">
          <w:rPr>
            <w:rStyle w:val="Hyperlink"/>
            <w:noProof/>
          </w:rPr>
          <w:t>Table 1 RIC net value of loan portfolio, by industry, 2018–19 to 2020–21</w:t>
        </w:r>
        <w:r w:rsidR="003A21A0">
          <w:rPr>
            <w:noProof/>
            <w:webHidden/>
          </w:rPr>
          <w:tab/>
        </w:r>
        <w:r w:rsidR="003A21A0">
          <w:rPr>
            <w:noProof/>
            <w:webHidden/>
          </w:rPr>
          <w:fldChar w:fldCharType="begin"/>
        </w:r>
        <w:r w:rsidR="003A21A0">
          <w:rPr>
            <w:noProof/>
            <w:webHidden/>
          </w:rPr>
          <w:instrText xml:space="preserve"> PAGEREF _Toc85814561 \h </w:instrText>
        </w:r>
        <w:r w:rsidR="003A21A0">
          <w:rPr>
            <w:noProof/>
            <w:webHidden/>
          </w:rPr>
        </w:r>
        <w:r w:rsidR="003A21A0">
          <w:rPr>
            <w:noProof/>
            <w:webHidden/>
          </w:rPr>
          <w:fldChar w:fldCharType="separate"/>
        </w:r>
        <w:r w:rsidR="008A23A3">
          <w:rPr>
            <w:noProof/>
            <w:webHidden/>
          </w:rPr>
          <w:t>11</w:t>
        </w:r>
        <w:r w:rsidR="003A21A0">
          <w:rPr>
            <w:noProof/>
            <w:webHidden/>
          </w:rPr>
          <w:fldChar w:fldCharType="end"/>
        </w:r>
      </w:hyperlink>
    </w:p>
    <w:p w14:paraId="6FF24D2D" w14:textId="24FD713E" w:rsidR="003A21A0" w:rsidRDefault="00005E21">
      <w:pPr>
        <w:pStyle w:val="TableofFigures"/>
        <w:tabs>
          <w:tab w:val="right" w:leader="dot" w:pos="9060"/>
        </w:tabs>
        <w:rPr>
          <w:rFonts w:asciiTheme="minorHAnsi" w:eastAsiaTheme="minorEastAsia" w:hAnsiTheme="minorHAnsi"/>
          <w:noProof/>
          <w:lang w:eastAsia="en-AU"/>
        </w:rPr>
      </w:pPr>
      <w:hyperlink w:anchor="_Toc85814562" w:history="1">
        <w:r w:rsidR="003A21A0" w:rsidRPr="000E4164">
          <w:rPr>
            <w:rStyle w:val="Hyperlink"/>
            <w:noProof/>
          </w:rPr>
          <w:t>Table 2 RIC net value of loan portfolio, by state, 2018–19 to 2020–21</w:t>
        </w:r>
        <w:r w:rsidR="003A21A0">
          <w:rPr>
            <w:noProof/>
            <w:webHidden/>
          </w:rPr>
          <w:tab/>
        </w:r>
        <w:r w:rsidR="003A21A0">
          <w:rPr>
            <w:noProof/>
            <w:webHidden/>
          </w:rPr>
          <w:fldChar w:fldCharType="begin"/>
        </w:r>
        <w:r w:rsidR="003A21A0">
          <w:rPr>
            <w:noProof/>
            <w:webHidden/>
          </w:rPr>
          <w:instrText xml:space="preserve"> PAGEREF _Toc85814562 \h </w:instrText>
        </w:r>
        <w:r w:rsidR="003A21A0">
          <w:rPr>
            <w:noProof/>
            <w:webHidden/>
          </w:rPr>
        </w:r>
        <w:r w:rsidR="003A21A0">
          <w:rPr>
            <w:noProof/>
            <w:webHidden/>
          </w:rPr>
          <w:fldChar w:fldCharType="separate"/>
        </w:r>
        <w:r w:rsidR="008A23A3">
          <w:rPr>
            <w:noProof/>
            <w:webHidden/>
          </w:rPr>
          <w:t>11</w:t>
        </w:r>
        <w:r w:rsidR="003A21A0">
          <w:rPr>
            <w:noProof/>
            <w:webHidden/>
          </w:rPr>
          <w:fldChar w:fldCharType="end"/>
        </w:r>
      </w:hyperlink>
    </w:p>
    <w:p w14:paraId="2F288AD8" w14:textId="2ECC5248" w:rsidR="00C21E04" w:rsidRDefault="00C21E04">
      <w:pPr>
        <w:pStyle w:val="TableofFigures"/>
        <w:tabs>
          <w:tab w:val="right" w:leader="dot" w:pos="9060"/>
        </w:tabs>
        <w:rPr>
          <w:rFonts w:asciiTheme="minorHAnsi" w:eastAsiaTheme="minorEastAsia" w:hAnsiTheme="minorHAnsi"/>
          <w:noProof/>
          <w:lang w:eastAsia="en-AU"/>
        </w:rPr>
      </w:pPr>
      <w:r>
        <w:rPr>
          <w:rStyle w:val="Hyperlink"/>
        </w:rPr>
        <w:fldChar w:fldCharType="end"/>
      </w:r>
      <w:r>
        <w:rPr>
          <w:rStyle w:val="Hyperlink"/>
        </w:rPr>
        <w:fldChar w:fldCharType="begin"/>
      </w:r>
      <w:r>
        <w:rPr>
          <w:rStyle w:val="Hyperlink"/>
        </w:rPr>
        <w:instrText xml:space="preserve"> TOC \h \z \c "Table A" </w:instrText>
      </w:r>
      <w:r>
        <w:rPr>
          <w:rStyle w:val="Hyperlink"/>
        </w:rPr>
        <w:fldChar w:fldCharType="separate"/>
      </w:r>
      <w:hyperlink w:anchor="_Toc84600034" w:history="1">
        <w:r w:rsidRPr="00491BF9">
          <w:rPr>
            <w:rStyle w:val="Hyperlink"/>
            <w:noProof/>
          </w:rPr>
          <w:t>Table A1 Agricultural industry classification codes, Australia</w:t>
        </w:r>
        <w:r>
          <w:rPr>
            <w:noProof/>
            <w:webHidden/>
          </w:rPr>
          <w:tab/>
        </w:r>
        <w:r>
          <w:rPr>
            <w:noProof/>
            <w:webHidden/>
          </w:rPr>
          <w:fldChar w:fldCharType="begin"/>
        </w:r>
        <w:r>
          <w:rPr>
            <w:noProof/>
            <w:webHidden/>
          </w:rPr>
          <w:instrText xml:space="preserve"> PAGEREF _Toc84600034 \h </w:instrText>
        </w:r>
        <w:r>
          <w:rPr>
            <w:noProof/>
            <w:webHidden/>
          </w:rPr>
        </w:r>
        <w:r>
          <w:rPr>
            <w:noProof/>
            <w:webHidden/>
          </w:rPr>
          <w:fldChar w:fldCharType="separate"/>
        </w:r>
        <w:r w:rsidR="008A23A3">
          <w:rPr>
            <w:noProof/>
            <w:webHidden/>
          </w:rPr>
          <w:t>14</w:t>
        </w:r>
        <w:r>
          <w:rPr>
            <w:noProof/>
            <w:webHidden/>
          </w:rPr>
          <w:fldChar w:fldCharType="end"/>
        </w:r>
      </w:hyperlink>
    </w:p>
    <w:p w14:paraId="029BD56D" w14:textId="416348C6" w:rsidR="00764D6A" w:rsidRDefault="00C21E04" w:rsidP="00F040BA">
      <w:pPr>
        <w:pStyle w:val="TableofFigures"/>
        <w:tabs>
          <w:tab w:val="right" w:leader="dot" w:pos="9060"/>
        </w:tabs>
      </w:pPr>
      <w:r>
        <w:rPr>
          <w:rStyle w:val="Hyperlink"/>
        </w:rPr>
        <w:fldChar w:fldCharType="end"/>
      </w:r>
    </w:p>
    <w:p w14:paraId="2F576F9F" w14:textId="77777777" w:rsidR="00764D6A" w:rsidRDefault="00E91D72">
      <w:pPr>
        <w:pStyle w:val="TOCHeading2"/>
        <w:rPr>
          <w:rStyle w:val="Strong"/>
        </w:rPr>
      </w:pPr>
      <w:r>
        <w:rPr>
          <w:rStyle w:val="Strong"/>
        </w:rPr>
        <w:t>Figures</w:t>
      </w:r>
    </w:p>
    <w:p w14:paraId="0DDFEEEF" w14:textId="38791240" w:rsidR="003E58D8"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87345848" w:history="1">
        <w:r w:rsidR="003E58D8" w:rsidRPr="00E62AC3">
          <w:rPr>
            <w:rStyle w:val="Hyperlink"/>
            <w:noProof/>
          </w:rPr>
          <w:t>Figure 1 Loans and leases outstanding at 30 June, Australia, 2016–17 to 2019–20</w:t>
        </w:r>
        <w:r w:rsidR="003E58D8">
          <w:rPr>
            <w:noProof/>
            <w:webHidden/>
          </w:rPr>
          <w:tab/>
        </w:r>
        <w:r w:rsidR="003E58D8">
          <w:rPr>
            <w:noProof/>
            <w:webHidden/>
          </w:rPr>
          <w:fldChar w:fldCharType="begin"/>
        </w:r>
        <w:r w:rsidR="003E58D8">
          <w:rPr>
            <w:noProof/>
            <w:webHidden/>
          </w:rPr>
          <w:instrText xml:space="preserve"> PAGEREF _Toc87345848 \h </w:instrText>
        </w:r>
        <w:r w:rsidR="003E58D8">
          <w:rPr>
            <w:noProof/>
            <w:webHidden/>
          </w:rPr>
        </w:r>
        <w:r w:rsidR="003E58D8">
          <w:rPr>
            <w:noProof/>
            <w:webHidden/>
          </w:rPr>
          <w:fldChar w:fldCharType="separate"/>
        </w:r>
        <w:r w:rsidR="008A23A3">
          <w:rPr>
            <w:noProof/>
            <w:webHidden/>
          </w:rPr>
          <w:t>2</w:t>
        </w:r>
        <w:r w:rsidR="003E58D8">
          <w:rPr>
            <w:noProof/>
            <w:webHidden/>
          </w:rPr>
          <w:fldChar w:fldCharType="end"/>
        </w:r>
      </w:hyperlink>
    </w:p>
    <w:p w14:paraId="62DDF61A" w14:textId="6EB26EE3" w:rsidR="003E58D8" w:rsidRDefault="00005E21">
      <w:pPr>
        <w:pStyle w:val="TableofFigures"/>
        <w:tabs>
          <w:tab w:val="right" w:leader="dot" w:pos="9060"/>
        </w:tabs>
        <w:rPr>
          <w:rFonts w:asciiTheme="minorHAnsi" w:eastAsiaTheme="minorEastAsia" w:hAnsiTheme="minorHAnsi"/>
          <w:noProof/>
          <w:lang w:eastAsia="en-AU"/>
        </w:rPr>
      </w:pPr>
      <w:hyperlink w:anchor="_Toc87345849" w:history="1">
        <w:r w:rsidR="003E58D8" w:rsidRPr="00E62AC3">
          <w:rPr>
            <w:rStyle w:val="Hyperlink"/>
            <w:noProof/>
          </w:rPr>
          <w:t>Figure 2 Loans and leases outstanding at 30 June, by state, 2018–19 to 2019–20</w:t>
        </w:r>
        <w:r w:rsidR="003E58D8">
          <w:rPr>
            <w:noProof/>
            <w:webHidden/>
          </w:rPr>
          <w:tab/>
        </w:r>
        <w:r w:rsidR="003E58D8">
          <w:rPr>
            <w:noProof/>
            <w:webHidden/>
          </w:rPr>
          <w:fldChar w:fldCharType="begin"/>
        </w:r>
        <w:r w:rsidR="003E58D8">
          <w:rPr>
            <w:noProof/>
            <w:webHidden/>
          </w:rPr>
          <w:instrText xml:space="preserve"> PAGEREF _Toc87345849 \h </w:instrText>
        </w:r>
        <w:r w:rsidR="003E58D8">
          <w:rPr>
            <w:noProof/>
            <w:webHidden/>
          </w:rPr>
        </w:r>
        <w:r w:rsidR="003E58D8">
          <w:rPr>
            <w:noProof/>
            <w:webHidden/>
          </w:rPr>
          <w:fldChar w:fldCharType="separate"/>
        </w:r>
        <w:r w:rsidR="008A23A3">
          <w:rPr>
            <w:noProof/>
            <w:webHidden/>
          </w:rPr>
          <w:t>2</w:t>
        </w:r>
        <w:r w:rsidR="003E58D8">
          <w:rPr>
            <w:noProof/>
            <w:webHidden/>
          </w:rPr>
          <w:fldChar w:fldCharType="end"/>
        </w:r>
      </w:hyperlink>
    </w:p>
    <w:p w14:paraId="783734E2" w14:textId="2A8C219D" w:rsidR="003E58D8" w:rsidRDefault="00005E21">
      <w:pPr>
        <w:pStyle w:val="TableofFigures"/>
        <w:tabs>
          <w:tab w:val="right" w:leader="dot" w:pos="9060"/>
        </w:tabs>
        <w:rPr>
          <w:rFonts w:asciiTheme="minorHAnsi" w:eastAsiaTheme="minorEastAsia" w:hAnsiTheme="minorHAnsi"/>
          <w:noProof/>
          <w:lang w:eastAsia="en-AU"/>
        </w:rPr>
      </w:pPr>
      <w:hyperlink w:anchor="_Toc87345850" w:history="1">
        <w:r w:rsidR="003E58D8" w:rsidRPr="00E62AC3">
          <w:rPr>
            <w:rStyle w:val="Hyperlink"/>
            <w:noProof/>
          </w:rPr>
          <w:t>Figure 3 Change in loans and leases outstanding, by industry, 2018–19 to 2019–20</w:t>
        </w:r>
        <w:r w:rsidR="003E58D8">
          <w:rPr>
            <w:noProof/>
            <w:webHidden/>
          </w:rPr>
          <w:tab/>
        </w:r>
        <w:r w:rsidR="003E58D8">
          <w:rPr>
            <w:noProof/>
            <w:webHidden/>
          </w:rPr>
          <w:fldChar w:fldCharType="begin"/>
        </w:r>
        <w:r w:rsidR="003E58D8">
          <w:rPr>
            <w:noProof/>
            <w:webHidden/>
          </w:rPr>
          <w:instrText xml:space="preserve"> PAGEREF _Toc87345850 \h </w:instrText>
        </w:r>
        <w:r w:rsidR="003E58D8">
          <w:rPr>
            <w:noProof/>
            <w:webHidden/>
          </w:rPr>
        </w:r>
        <w:r w:rsidR="003E58D8">
          <w:rPr>
            <w:noProof/>
            <w:webHidden/>
          </w:rPr>
          <w:fldChar w:fldCharType="separate"/>
        </w:r>
        <w:r w:rsidR="008A23A3">
          <w:rPr>
            <w:noProof/>
            <w:webHidden/>
          </w:rPr>
          <w:t>3</w:t>
        </w:r>
        <w:r w:rsidR="003E58D8">
          <w:rPr>
            <w:noProof/>
            <w:webHidden/>
          </w:rPr>
          <w:fldChar w:fldCharType="end"/>
        </w:r>
      </w:hyperlink>
    </w:p>
    <w:p w14:paraId="78F4C273" w14:textId="58531431" w:rsidR="003E58D8" w:rsidRDefault="00005E21">
      <w:pPr>
        <w:pStyle w:val="TableofFigures"/>
        <w:tabs>
          <w:tab w:val="right" w:leader="dot" w:pos="9060"/>
        </w:tabs>
        <w:rPr>
          <w:rFonts w:asciiTheme="minorHAnsi" w:eastAsiaTheme="minorEastAsia" w:hAnsiTheme="minorHAnsi"/>
          <w:noProof/>
          <w:lang w:eastAsia="en-AU"/>
        </w:rPr>
      </w:pPr>
      <w:hyperlink w:anchor="_Toc87345851" w:history="1">
        <w:r w:rsidR="003E58D8" w:rsidRPr="00E62AC3">
          <w:rPr>
            <w:rStyle w:val="Hyperlink"/>
            <w:noProof/>
          </w:rPr>
          <w:t>Figure 4 Loans and leases more than 90 days past due, Australia, 2016–17 to 2019–20</w:t>
        </w:r>
        <w:r w:rsidR="003E58D8">
          <w:rPr>
            <w:noProof/>
            <w:webHidden/>
          </w:rPr>
          <w:tab/>
        </w:r>
        <w:r w:rsidR="003E58D8">
          <w:rPr>
            <w:noProof/>
            <w:webHidden/>
          </w:rPr>
          <w:fldChar w:fldCharType="begin"/>
        </w:r>
        <w:r w:rsidR="003E58D8">
          <w:rPr>
            <w:noProof/>
            <w:webHidden/>
          </w:rPr>
          <w:instrText xml:space="preserve"> PAGEREF _Toc87345851 \h </w:instrText>
        </w:r>
        <w:r w:rsidR="003E58D8">
          <w:rPr>
            <w:noProof/>
            <w:webHidden/>
          </w:rPr>
        </w:r>
        <w:r w:rsidR="003E58D8">
          <w:rPr>
            <w:noProof/>
            <w:webHidden/>
          </w:rPr>
          <w:fldChar w:fldCharType="separate"/>
        </w:r>
        <w:r w:rsidR="008A23A3">
          <w:rPr>
            <w:noProof/>
            <w:webHidden/>
          </w:rPr>
          <w:t>4</w:t>
        </w:r>
        <w:r w:rsidR="003E58D8">
          <w:rPr>
            <w:noProof/>
            <w:webHidden/>
          </w:rPr>
          <w:fldChar w:fldCharType="end"/>
        </w:r>
      </w:hyperlink>
    </w:p>
    <w:p w14:paraId="60D4BBD3" w14:textId="10185434" w:rsidR="003E58D8" w:rsidRDefault="00005E21">
      <w:pPr>
        <w:pStyle w:val="TableofFigures"/>
        <w:tabs>
          <w:tab w:val="right" w:leader="dot" w:pos="9060"/>
        </w:tabs>
        <w:rPr>
          <w:rFonts w:asciiTheme="minorHAnsi" w:eastAsiaTheme="minorEastAsia" w:hAnsiTheme="minorHAnsi"/>
          <w:noProof/>
          <w:lang w:eastAsia="en-AU"/>
        </w:rPr>
      </w:pPr>
      <w:hyperlink w:anchor="_Toc87345852" w:history="1">
        <w:r w:rsidR="003E58D8" w:rsidRPr="00E62AC3">
          <w:rPr>
            <w:rStyle w:val="Hyperlink"/>
            <w:noProof/>
          </w:rPr>
          <w:t>Figure 5 Loans and leases more than 90 days past due, by state, 2016–17 to 2019–20</w:t>
        </w:r>
        <w:r w:rsidR="003E58D8">
          <w:rPr>
            <w:noProof/>
            <w:webHidden/>
          </w:rPr>
          <w:tab/>
        </w:r>
        <w:r w:rsidR="003E58D8">
          <w:rPr>
            <w:noProof/>
            <w:webHidden/>
          </w:rPr>
          <w:fldChar w:fldCharType="begin"/>
        </w:r>
        <w:r w:rsidR="003E58D8">
          <w:rPr>
            <w:noProof/>
            <w:webHidden/>
          </w:rPr>
          <w:instrText xml:space="preserve"> PAGEREF _Toc87345852 \h </w:instrText>
        </w:r>
        <w:r w:rsidR="003E58D8">
          <w:rPr>
            <w:noProof/>
            <w:webHidden/>
          </w:rPr>
        </w:r>
        <w:r w:rsidR="003E58D8">
          <w:rPr>
            <w:noProof/>
            <w:webHidden/>
          </w:rPr>
          <w:fldChar w:fldCharType="separate"/>
        </w:r>
        <w:r w:rsidR="008A23A3">
          <w:rPr>
            <w:noProof/>
            <w:webHidden/>
          </w:rPr>
          <w:t>5</w:t>
        </w:r>
        <w:r w:rsidR="003E58D8">
          <w:rPr>
            <w:noProof/>
            <w:webHidden/>
          </w:rPr>
          <w:fldChar w:fldCharType="end"/>
        </w:r>
      </w:hyperlink>
    </w:p>
    <w:p w14:paraId="5C3665D7" w14:textId="43C2E646" w:rsidR="003E58D8" w:rsidRDefault="00005E21">
      <w:pPr>
        <w:pStyle w:val="TableofFigures"/>
        <w:tabs>
          <w:tab w:val="right" w:leader="dot" w:pos="9060"/>
        </w:tabs>
        <w:rPr>
          <w:rFonts w:asciiTheme="minorHAnsi" w:eastAsiaTheme="minorEastAsia" w:hAnsiTheme="minorHAnsi"/>
          <w:noProof/>
          <w:lang w:eastAsia="en-AU"/>
        </w:rPr>
      </w:pPr>
      <w:hyperlink w:anchor="_Toc87345853" w:history="1">
        <w:r w:rsidR="003E58D8" w:rsidRPr="00E62AC3">
          <w:rPr>
            <w:rStyle w:val="Hyperlink"/>
            <w:noProof/>
          </w:rPr>
          <w:t>Figure 6 New instances of loans and leases under mediation and new farm foreclosures, Australia, 2016–17 to 2019–20</w:t>
        </w:r>
        <w:r w:rsidR="003E58D8">
          <w:rPr>
            <w:noProof/>
            <w:webHidden/>
          </w:rPr>
          <w:tab/>
        </w:r>
        <w:r w:rsidR="003E58D8">
          <w:rPr>
            <w:noProof/>
            <w:webHidden/>
          </w:rPr>
          <w:fldChar w:fldCharType="begin"/>
        </w:r>
        <w:r w:rsidR="003E58D8">
          <w:rPr>
            <w:noProof/>
            <w:webHidden/>
          </w:rPr>
          <w:instrText xml:space="preserve"> PAGEREF _Toc87345853 \h </w:instrText>
        </w:r>
        <w:r w:rsidR="003E58D8">
          <w:rPr>
            <w:noProof/>
            <w:webHidden/>
          </w:rPr>
        </w:r>
        <w:r w:rsidR="003E58D8">
          <w:rPr>
            <w:noProof/>
            <w:webHidden/>
          </w:rPr>
          <w:fldChar w:fldCharType="separate"/>
        </w:r>
        <w:r w:rsidR="008A23A3">
          <w:rPr>
            <w:noProof/>
            <w:webHidden/>
          </w:rPr>
          <w:t>5</w:t>
        </w:r>
        <w:r w:rsidR="003E58D8">
          <w:rPr>
            <w:noProof/>
            <w:webHidden/>
          </w:rPr>
          <w:fldChar w:fldCharType="end"/>
        </w:r>
      </w:hyperlink>
    </w:p>
    <w:p w14:paraId="2DEDE14B" w14:textId="1BEE72A1" w:rsidR="003E58D8" w:rsidRDefault="00005E21">
      <w:pPr>
        <w:pStyle w:val="TableofFigures"/>
        <w:tabs>
          <w:tab w:val="right" w:leader="dot" w:pos="9060"/>
        </w:tabs>
        <w:rPr>
          <w:rFonts w:asciiTheme="minorHAnsi" w:eastAsiaTheme="minorEastAsia" w:hAnsiTheme="minorHAnsi"/>
          <w:noProof/>
          <w:lang w:eastAsia="en-AU"/>
        </w:rPr>
      </w:pPr>
      <w:hyperlink w:anchor="_Toc87345854" w:history="1">
        <w:r w:rsidR="003E58D8" w:rsidRPr="00E62AC3">
          <w:rPr>
            <w:rStyle w:val="Hyperlink"/>
            <w:noProof/>
          </w:rPr>
          <w:t>Figure 7 Aggregate interest payments by the farm sector, Australia, 1995–96 to 2019–20</w:t>
        </w:r>
        <w:r w:rsidR="003E58D8">
          <w:rPr>
            <w:noProof/>
            <w:webHidden/>
          </w:rPr>
          <w:tab/>
        </w:r>
        <w:r w:rsidR="003E58D8">
          <w:rPr>
            <w:noProof/>
            <w:webHidden/>
          </w:rPr>
          <w:fldChar w:fldCharType="begin"/>
        </w:r>
        <w:r w:rsidR="003E58D8">
          <w:rPr>
            <w:noProof/>
            <w:webHidden/>
          </w:rPr>
          <w:instrText xml:space="preserve"> PAGEREF _Toc87345854 \h </w:instrText>
        </w:r>
        <w:r w:rsidR="003E58D8">
          <w:rPr>
            <w:noProof/>
            <w:webHidden/>
          </w:rPr>
        </w:r>
        <w:r w:rsidR="003E58D8">
          <w:rPr>
            <w:noProof/>
            <w:webHidden/>
          </w:rPr>
          <w:fldChar w:fldCharType="separate"/>
        </w:r>
        <w:r w:rsidR="008A23A3">
          <w:rPr>
            <w:noProof/>
            <w:webHidden/>
          </w:rPr>
          <w:t>6</w:t>
        </w:r>
        <w:r w:rsidR="003E58D8">
          <w:rPr>
            <w:noProof/>
            <w:webHidden/>
          </w:rPr>
          <w:fldChar w:fldCharType="end"/>
        </w:r>
      </w:hyperlink>
    </w:p>
    <w:p w14:paraId="19E8BB36" w14:textId="75BBD919" w:rsidR="003E58D8" w:rsidRDefault="00005E21">
      <w:pPr>
        <w:pStyle w:val="TableofFigures"/>
        <w:tabs>
          <w:tab w:val="right" w:leader="dot" w:pos="9060"/>
        </w:tabs>
        <w:rPr>
          <w:rFonts w:asciiTheme="minorHAnsi" w:eastAsiaTheme="minorEastAsia" w:hAnsiTheme="minorHAnsi"/>
          <w:noProof/>
          <w:lang w:eastAsia="en-AU"/>
        </w:rPr>
      </w:pPr>
      <w:hyperlink w:anchor="_Toc87345855" w:history="1">
        <w:r w:rsidR="003E58D8" w:rsidRPr="00E62AC3">
          <w:rPr>
            <w:rStyle w:val="Hyperlink"/>
            <w:noProof/>
          </w:rPr>
          <w:t>Figure 8 Net value of farm production and rural debt, Australia, 1995–96 to 2019–20</w:t>
        </w:r>
        <w:r w:rsidR="003E58D8">
          <w:rPr>
            <w:noProof/>
            <w:webHidden/>
          </w:rPr>
          <w:tab/>
        </w:r>
        <w:r w:rsidR="003E58D8">
          <w:rPr>
            <w:noProof/>
            <w:webHidden/>
          </w:rPr>
          <w:fldChar w:fldCharType="begin"/>
        </w:r>
        <w:r w:rsidR="003E58D8">
          <w:rPr>
            <w:noProof/>
            <w:webHidden/>
          </w:rPr>
          <w:instrText xml:space="preserve"> PAGEREF _Toc87345855 \h </w:instrText>
        </w:r>
        <w:r w:rsidR="003E58D8">
          <w:rPr>
            <w:noProof/>
            <w:webHidden/>
          </w:rPr>
        </w:r>
        <w:r w:rsidR="003E58D8">
          <w:rPr>
            <w:noProof/>
            <w:webHidden/>
          </w:rPr>
          <w:fldChar w:fldCharType="separate"/>
        </w:r>
        <w:r w:rsidR="008A23A3">
          <w:rPr>
            <w:noProof/>
            <w:webHidden/>
          </w:rPr>
          <w:t>8</w:t>
        </w:r>
        <w:r w:rsidR="003E58D8">
          <w:rPr>
            <w:noProof/>
            <w:webHidden/>
          </w:rPr>
          <w:fldChar w:fldCharType="end"/>
        </w:r>
      </w:hyperlink>
    </w:p>
    <w:p w14:paraId="1062CC9A" w14:textId="70D541E3" w:rsidR="003E58D8" w:rsidRDefault="00005E21">
      <w:pPr>
        <w:pStyle w:val="TableofFigures"/>
        <w:tabs>
          <w:tab w:val="right" w:leader="dot" w:pos="9060"/>
        </w:tabs>
        <w:rPr>
          <w:rFonts w:asciiTheme="minorHAnsi" w:eastAsiaTheme="minorEastAsia" w:hAnsiTheme="minorHAnsi"/>
          <w:noProof/>
          <w:lang w:eastAsia="en-AU"/>
        </w:rPr>
      </w:pPr>
      <w:hyperlink w:anchor="_Toc87345856" w:history="1">
        <w:r w:rsidR="003E58D8" w:rsidRPr="00E62AC3">
          <w:rPr>
            <w:rStyle w:val="Hyperlink"/>
            <w:noProof/>
          </w:rPr>
          <w:t>Figure 9 Farm business equity, debt and equity ratio, broadacre and dairy farms, Australia, 1995–96 to 2019–20 (average per farm)</w:t>
        </w:r>
        <w:r w:rsidR="003E58D8">
          <w:rPr>
            <w:noProof/>
            <w:webHidden/>
          </w:rPr>
          <w:tab/>
        </w:r>
        <w:r w:rsidR="003E58D8">
          <w:rPr>
            <w:noProof/>
            <w:webHidden/>
          </w:rPr>
          <w:fldChar w:fldCharType="begin"/>
        </w:r>
        <w:r w:rsidR="003E58D8">
          <w:rPr>
            <w:noProof/>
            <w:webHidden/>
          </w:rPr>
          <w:instrText xml:space="preserve"> PAGEREF _Toc87345856 \h </w:instrText>
        </w:r>
        <w:r w:rsidR="003E58D8">
          <w:rPr>
            <w:noProof/>
            <w:webHidden/>
          </w:rPr>
        </w:r>
        <w:r w:rsidR="003E58D8">
          <w:rPr>
            <w:noProof/>
            <w:webHidden/>
          </w:rPr>
          <w:fldChar w:fldCharType="separate"/>
        </w:r>
        <w:r w:rsidR="008A23A3">
          <w:rPr>
            <w:noProof/>
            <w:webHidden/>
          </w:rPr>
          <w:t>9</w:t>
        </w:r>
        <w:r w:rsidR="003E58D8">
          <w:rPr>
            <w:noProof/>
            <w:webHidden/>
          </w:rPr>
          <w:fldChar w:fldCharType="end"/>
        </w:r>
      </w:hyperlink>
    </w:p>
    <w:p w14:paraId="394FFC73" w14:textId="78D641C4" w:rsidR="003E58D8" w:rsidRDefault="00005E21">
      <w:pPr>
        <w:pStyle w:val="TableofFigures"/>
        <w:tabs>
          <w:tab w:val="right" w:leader="dot" w:pos="9060"/>
        </w:tabs>
        <w:rPr>
          <w:rFonts w:asciiTheme="minorHAnsi" w:eastAsiaTheme="minorEastAsia" w:hAnsiTheme="minorHAnsi"/>
          <w:noProof/>
          <w:lang w:eastAsia="en-AU"/>
        </w:rPr>
      </w:pPr>
      <w:hyperlink w:anchor="_Toc87345857" w:history="1">
        <w:r w:rsidR="003E58D8" w:rsidRPr="00E62AC3">
          <w:rPr>
            <w:rStyle w:val="Hyperlink"/>
            <w:noProof/>
          </w:rPr>
          <w:t>Figure 10 Distribution of farm business debt on broadacre and dairy farms, Australia, 2019–20 (average debt per farm)</w:t>
        </w:r>
        <w:r w:rsidR="003E58D8">
          <w:rPr>
            <w:noProof/>
            <w:webHidden/>
          </w:rPr>
          <w:tab/>
        </w:r>
        <w:r w:rsidR="003E58D8">
          <w:rPr>
            <w:noProof/>
            <w:webHidden/>
          </w:rPr>
          <w:fldChar w:fldCharType="begin"/>
        </w:r>
        <w:r w:rsidR="003E58D8">
          <w:rPr>
            <w:noProof/>
            <w:webHidden/>
          </w:rPr>
          <w:instrText xml:space="preserve"> PAGEREF _Toc87345857 \h </w:instrText>
        </w:r>
        <w:r w:rsidR="003E58D8">
          <w:rPr>
            <w:noProof/>
            <w:webHidden/>
          </w:rPr>
        </w:r>
        <w:r w:rsidR="003E58D8">
          <w:rPr>
            <w:noProof/>
            <w:webHidden/>
          </w:rPr>
          <w:fldChar w:fldCharType="separate"/>
        </w:r>
        <w:r w:rsidR="008A23A3">
          <w:rPr>
            <w:noProof/>
            <w:webHidden/>
          </w:rPr>
          <w:t>9</w:t>
        </w:r>
        <w:r w:rsidR="003E58D8">
          <w:rPr>
            <w:noProof/>
            <w:webHidden/>
          </w:rPr>
          <w:fldChar w:fldCharType="end"/>
        </w:r>
      </w:hyperlink>
    </w:p>
    <w:p w14:paraId="4C948CB6" w14:textId="4E55B02F" w:rsidR="003E58D8" w:rsidRDefault="00005E21">
      <w:pPr>
        <w:pStyle w:val="TableofFigures"/>
        <w:tabs>
          <w:tab w:val="right" w:leader="dot" w:pos="9060"/>
        </w:tabs>
        <w:rPr>
          <w:rFonts w:asciiTheme="minorHAnsi" w:eastAsiaTheme="minorEastAsia" w:hAnsiTheme="minorHAnsi"/>
          <w:noProof/>
          <w:lang w:eastAsia="en-AU"/>
        </w:rPr>
      </w:pPr>
      <w:hyperlink w:anchor="_Toc87345858" w:history="1">
        <w:r w:rsidR="003E58D8" w:rsidRPr="00E62AC3">
          <w:rPr>
            <w:rStyle w:val="Hyperlink"/>
            <w:noProof/>
          </w:rPr>
          <w:t>Figure 11 Lending to businesses – agriculture, forestry and fishing, Australia, July 2019 to June 2021</w:t>
        </w:r>
        <w:r w:rsidR="003E58D8">
          <w:rPr>
            <w:noProof/>
            <w:webHidden/>
          </w:rPr>
          <w:tab/>
        </w:r>
        <w:r w:rsidR="003E58D8">
          <w:rPr>
            <w:noProof/>
            <w:webHidden/>
          </w:rPr>
          <w:fldChar w:fldCharType="begin"/>
        </w:r>
        <w:r w:rsidR="003E58D8">
          <w:rPr>
            <w:noProof/>
            <w:webHidden/>
          </w:rPr>
          <w:instrText xml:space="preserve"> PAGEREF _Toc87345858 \h </w:instrText>
        </w:r>
        <w:r w:rsidR="003E58D8">
          <w:rPr>
            <w:noProof/>
            <w:webHidden/>
          </w:rPr>
        </w:r>
        <w:r w:rsidR="003E58D8">
          <w:rPr>
            <w:noProof/>
            <w:webHidden/>
          </w:rPr>
          <w:fldChar w:fldCharType="separate"/>
        </w:r>
        <w:r w:rsidR="008A23A3">
          <w:rPr>
            <w:noProof/>
            <w:webHidden/>
          </w:rPr>
          <w:t>10</w:t>
        </w:r>
        <w:r w:rsidR="003E58D8">
          <w:rPr>
            <w:noProof/>
            <w:webHidden/>
          </w:rPr>
          <w:fldChar w:fldCharType="end"/>
        </w:r>
      </w:hyperlink>
    </w:p>
    <w:p w14:paraId="305BA8D5" w14:textId="7A000099" w:rsidR="007E0295" w:rsidRDefault="00E91D72">
      <w:pPr>
        <w:pStyle w:val="TableofFigures"/>
        <w:tabs>
          <w:tab w:val="right" w:leader="dot" w:pos="9060"/>
        </w:tabs>
        <w:rPr>
          <w:rFonts w:asciiTheme="minorHAnsi" w:eastAsiaTheme="minorEastAsia" w:hAnsiTheme="minorHAnsi"/>
          <w:noProof/>
          <w:lang w:eastAsia="en-AU"/>
        </w:rPr>
      </w:pPr>
      <w:r>
        <w:fldChar w:fldCharType="end"/>
      </w:r>
      <w:r w:rsidR="005F4061">
        <w:fldChar w:fldCharType="begin"/>
      </w:r>
      <w:r w:rsidR="005F4061">
        <w:instrText xml:space="preserve"> TOC \h \z \c "Figure B" </w:instrText>
      </w:r>
      <w:r w:rsidR="005F4061">
        <w:fldChar w:fldCharType="separate"/>
      </w:r>
      <w:hyperlink w:anchor="_Toc84604161" w:history="1">
        <w:r w:rsidR="007E0295" w:rsidRPr="00C843F0">
          <w:rPr>
            <w:rStyle w:val="Hyperlink"/>
            <w:noProof/>
          </w:rPr>
          <w:t>Figure B1 APRA and RBA data on rural lending, Australia, 2016–17 to 2020–21</w:t>
        </w:r>
        <w:r w:rsidR="007E0295">
          <w:rPr>
            <w:noProof/>
            <w:webHidden/>
          </w:rPr>
          <w:tab/>
        </w:r>
        <w:r w:rsidR="007E0295">
          <w:rPr>
            <w:noProof/>
            <w:webHidden/>
          </w:rPr>
          <w:fldChar w:fldCharType="begin"/>
        </w:r>
        <w:r w:rsidR="007E0295">
          <w:rPr>
            <w:noProof/>
            <w:webHidden/>
          </w:rPr>
          <w:instrText xml:space="preserve"> PAGEREF _Toc84604161 \h </w:instrText>
        </w:r>
        <w:r w:rsidR="007E0295">
          <w:rPr>
            <w:noProof/>
            <w:webHidden/>
          </w:rPr>
        </w:r>
        <w:r w:rsidR="007E0295">
          <w:rPr>
            <w:noProof/>
            <w:webHidden/>
          </w:rPr>
          <w:fldChar w:fldCharType="separate"/>
        </w:r>
        <w:r w:rsidR="008A23A3">
          <w:rPr>
            <w:noProof/>
            <w:webHidden/>
          </w:rPr>
          <w:t>17</w:t>
        </w:r>
        <w:r w:rsidR="007E0295">
          <w:rPr>
            <w:noProof/>
            <w:webHidden/>
          </w:rPr>
          <w:fldChar w:fldCharType="end"/>
        </w:r>
      </w:hyperlink>
    </w:p>
    <w:p w14:paraId="4768C008" w14:textId="160CEDB4" w:rsidR="007E0295" w:rsidRDefault="00005E21">
      <w:pPr>
        <w:pStyle w:val="TableofFigures"/>
        <w:tabs>
          <w:tab w:val="right" w:leader="dot" w:pos="9060"/>
        </w:tabs>
        <w:rPr>
          <w:rFonts w:asciiTheme="minorHAnsi" w:eastAsiaTheme="minorEastAsia" w:hAnsiTheme="minorHAnsi"/>
          <w:noProof/>
          <w:lang w:eastAsia="en-AU"/>
        </w:rPr>
      </w:pPr>
      <w:hyperlink w:anchor="_Toc84604162" w:history="1">
        <w:r w:rsidR="007E0295" w:rsidRPr="00C843F0">
          <w:rPr>
            <w:rStyle w:val="Hyperlink"/>
            <w:noProof/>
          </w:rPr>
          <w:t>Figure B2 Year-on-year change in loans outstanding, APRA and RBA data on rural lending, Australia, 2017–18 to 2020–21</w:t>
        </w:r>
        <w:r w:rsidR="007E0295">
          <w:rPr>
            <w:noProof/>
            <w:webHidden/>
          </w:rPr>
          <w:tab/>
        </w:r>
        <w:r w:rsidR="007E0295">
          <w:rPr>
            <w:noProof/>
            <w:webHidden/>
          </w:rPr>
          <w:fldChar w:fldCharType="begin"/>
        </w:r>
        <w:r w:rsidR="007E0295">
          <w:rPr>
            <w:noProof/>
            <w:webHidden/>
          </w:rPr>
          <w:instrText xml:space="preserve"> PAGEREF _Toc84604162 \h </w:instrText>
        </w:r>
        <w:r w:rsidR="007E0295">
          <w:rPr>
            <w:noProof/>
            <w:webHidden/>
          </w:rPr>
        </w:r>
        <w:r w:rsidR="007E0295">
          <w:rPr>
            <w:noProof/>
            <w:webHidden/>
          </w:rPr>
          <w:fldChar w:fldCharType="separate"/>
        </w:r>
        <w:r w:rsidR="008A23A3">
          <w:rPr>
            <w:noProof/>
            <w:webHidden/>
          </w:rPr>
          <w:t>17</w:t>
        </w:r>
        <w:r w:rsidR="007E0295">
          <w:rPr>
            <w:noProof/>
            <w:webHidden/>
          </w:rPr>
          <w:fldChar w:fldCharType="end"/>
        </w:r>
      </w:hyperlink>
    </w:p>
    <w:p w14:paraId="1D6C296C" w14:textId="189BD42A" w:rsidR="005F4061" w:rsidRDefault="005F4061">
      <w:r>
        <w:fldChar w:fldCharType="end"/>
      </w:r>
    </w:p>
    <w:p w14:paraId="4E7D3633" w14:textId="77777777" w:rsidR="00764D6A" w:rsidRDefault="00E91D72">
      <w:pPr>
        <w:pStyle w:val="TOCHeading2"/>
        <w:rPr>
          <w:rStyle w:val="Strong"/>
        </w:rPr>
      </w:pPr>
      <w:r>
        <w:rPr>
          <w:rStyle w:val="Strong"/>
        </w:rPr>
        <w:t>Boxes</w:t>
      </w:r>
    </w:p>
    <w:p w14:paraId="7DFA2BA8" w14:textId="0C16121D" w:rsidR="00A41B18"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84406554" w:history="1">
        <w:r w:rsidR="00A41B18" w:rsidRPr="00D1701F">
          <w:rPr>
            <w:rStyle w:val="Hyperlink"/>
            <w:noProof/>
          </w:rPr>
          <w:t>Box 1 ABARES farm surveys data</w:t>
        </w:r>
        <w:r w:rsidR="00A41B18">
          <w:rPr>
            <w:noProof/>
            <w:webHidden/>
          </w:rPr>
          <w:tab/>
        </w:r>
        <w:r w:rsidR="00A41B18">
          <w:rPr>
            <w:noProof/>
            <w:webHidden/>
          </w:rPr>
          <w:fldChar w:fldCharType="begin"/>
        </w:r>
        <w:r w:rsidR="00A41B18">
          <w:rPr>
            <w:noProof/>
            <w:webHidden/>
          </w:rPr>
          <w:instrText xml:space="preserve"> PAGEREF _Toc84406554 \h </w:instrText>
        </w:r>
        <w:r w:rsidR="00A41B18">
          <w:rPr>
            <w:noProof/>
            <w:webHidden/>
          </w:rPr>
        </w:r>
        <w:r w:rsidR="00A41B18">
          <w:rPr>
            <w:noProof/>
            <w:webHidden/>
          </w:rPr>
          <w:fldChar w:fldCharType="separate"/>
        </w:r>
        <w:r w:rsidR="008A23A3">
          <w:rPr>
            <w:noProof/>
            <w:webHidden/>
          </w:rPr>
          <w:t>7</w:t>
        </w:r>
        <w:r w:rsidR="00A41B18">
          <w:rPr>
            <w:noProof/>
            <w:webHidden/>
          </w:rPr>
          <w:fldChar w:fldCharType="end"/>
        </w:r>
      </w:hyperlink>
    </w:p>
    <w:p w14:paraId="58C9E42C" w14:textId="0169C5F2" w:rsidR="00764D6A" w:rsidRDefault="00E91D72" w:rsidP="007D1BE2">
      <w:pPr>
        <w:pStyle w:val="Heading2"/>
        <w:numPr>
          <w:ilvl w:val="0"/>
          <w:numId w:val="0"/>
        </w:numPr>
      </w:pPr>
      <w:r>
        <w:lastRenderedPageBreak/>
        <w:fldChar w:fldCharType="end"/>
      </w:r>
      <w:bookmarkStart w:id="4" w:name="_Toc430782149"/>
      <w:bookmarkStart w:id="5" w:name="_Toc84434473"/>
      <w:r>
        <w:t>Summary</w:t>
      </w:r>
      <w:bookmarkEnd w:id="4"/>
      <w:bookmarkEnd w:id="5"/>
    </w:p>
    <w:p w14:paraId="0B43819D" w14:textId="77777777" w:rsidR="00895047" w:rsidRPr="00D246AA" w:rsidRDefault="00895047" w:rsidP="00895047">
      <w:pPr>
        <w:pStyle w:val="Heading3"/>
        <w:numPr>
          <w:ilvl w:val="0"/>
          <w:numId w:val="0"/>
        </w:numPr>
        <w:ind w:left="964" w:hanging="964"/>
      </w:pPr>
      <w:bookmarkStart w:id="6" w:name="_Toc81924808"/>
      <w:bookmarkStart w:id="7" w:name="_Toc84434474"/>
      <w:bookmarkStart w:id="8" w:name="_Hlk81812486"/>
      <w:bookmarkStart w:id="9" w:name="_Ref81818274"/>
      <w:bookmarkStart w:id="10" w:name="_Ref81818283"/>
      <w:bookmarkStart w:id="11" w:name="_Toc81924827"/>
      <w:r w:rsidRPr="00D246AA">
        <w:t>Aggregate lending</w:t>
      </w:r>
      <w:bookmarkEnd w:id="6"/>
      <w:bookmarkEnd w:id="7"/>
    </w:p>
    <w:bookmarkEnd w:id="8"/>
    <w:p w14:paraId="37D0235A" w14:textId="2342BD61" w:rsidR="00895047" w:rsidRDefault="00895047" w:rsidP="00895047">
      <w:pPr>
        <w:pStyle w:val="ListBullet"/>
      </w:pPr>
      <w:r>
        <w:t>The latest agricultural lending statistics prepared by the Australian Prudential Regulatory Authority (APRA) show an increase in lending to the farm sector in 2019–20, but with some important differences across states.</w:t>
      </w:r>
    </w:p>
    <w:p w14:paraId="46E8F9D4" w14:textId="0571BE14" w:rsidR="00895047" w:rsidRDefault="00895047" w:rsidP="00895047">
      <w:pPr>
        <w:pStyle w:val="ListBullet"/>
      </w:pPr>
      <w:r>
        <w:t xml:space="preserve">At the national level, the nominal value of loans and leases owed by the farm sector </w:t>
      </w:r>
      <w:r w:rsidR="003D3394">
        <w:t xml:space="preserve">was </w:t>
      </w:r>
      <w:r w:rsidR="00BB3813" w:rsidRPr="00373E3A">
        <w:t>$83.7</w:t>
      </w:r>
      <w:r w:rsidR="00BB3813">
        <w:t xml:space="preserve"> billion by the end of</w:t>
      </w:r>
      <w:r>
        <w:t xml:space="preserve"> the 2019–20 financial year</w:t>
      </w:r>
      <w:r w:rsidR="00694CF0">
        <w:t xml:space="preserve">, </w:t>
      </w:r>
      <w:r w:rsidR="00BB3813">
        <w:t xml:space="preserve">an </w:t>
      </w:r>
      <w:r w:rsidR="00A24E89">
        <w:t xml:space="preserve">annual </w:t>
      </w:r>
      <w:r w:rsidR="00BB3813">
        <w:t xml:space="preserve">increase of </w:t>
      </w:r>
      <w:r w:rsidR="00E41976">
        <w:t>6.9</w:t>
      </w:r>
      <w:r w:rsidR="00BB3813" w:rsidRPr="00373E3A">
        <w:t>%</w:t>
      </w:r>
      <w:r w:rsidR="005D6EE2" w:rsidRPr="00373E3A">
        <w:t>.</w:t>
      </w:r>
      <w:r>
        <w:t xml:space="preserve"> </w:t>
      </w:r>
      <w:r w:rsidR="00BB3813">
        <w:t xml:space="preserve">This </w:t>
      </w:r>
      <w:r>
        <w:t>compare</w:t>
      </w:r>
      <w:r w:rsidR="00BB3813">
        <w:t>s</w:t>
      </w:r>
      <w:r>
        <w:t xml:space="preserve"> with increases of 5.</w:t>
      </w:r>
      <w:r w:rsidR="001609F1">
        <w:t>4</w:t>
      </w:r>
      <w:r>
        <w:t>% in 2018–19</w:t>
      </w:r>
      <w:r w:rsidR="001609F1">
        <w:t xml:space="preserve"> and 4.9</w:t>
      </w:r>
      <w:r>
        <w:t>% in 2017–18</w:t>
      </w:r>
      <w:r w:rsidR="001609F1">
        <w:t>.</w:t>
      </w:r>
    </w:p>
    <w:p w14:paraId="72C51474" w14:textId="77777777" w:rsidR="00895047" w:rsidRDefault="00895047" w:rsidP="00895047">
      <w:pPr>
        <w:pStyle w:val="ListBullet"/>
      </w:pPr>
      <w:r>
        <w:t>The increase in agricultural lending during 2019–20 is consistent with stronger demand for finance in response to the cumulative impacts of the recent drought in eastern Australia.</w:t>
      </w:r>
    </w:p>
    <w:p w14:paraId="749BA290" w14:textId="4068068B" w:rsidR="005D6EE2" w:rsidRDefault="003002A7" w:rsidP="00895047">
      <w:pPr>
        <w:pStyle w:val="ListBullet"/>
      </w:pPr>
      <w:r>
        <w:t>I</w:t>
      </w:r>
      <w:r w:rsidR="00895047">
        <w:t xml:space="preserve">n the </w:t>
      </w:r>
      <w:r w:rsidR="00481279">
        <w:t>2</w:t>
      </w:r>
      <w:r w:rsidR="00895047">
        <w:t xml:space="preserve"> states </w:t>
      </w:r>
      <w:r w:rsidR="00721830">
        <w:t>with the greatest lending share</w:t>
      </w:r>
      <w:r w:rsidR="00694CF0">
        <w:t xml:space="preserve">, </w:t>
      </w:r>
      <w:r w:rsidR="00895047">
        <w:t>New South Wales and Queensland</w:t>
      </w:r>
      <w:r w:rsidR="00694CF0">
        <w:t xml:space="preserve">, </w:t>
      </w:r>
      <w:r w:rsidR="00895047">
        <w:t xml:space="preserve">the value of loans and leases increased </w:t>
      </w:r>
      <w:r w:rsidR="00CD7E10">
        <w:t xml:space="preserve">respectively </w:t>
      </w:r>
      <w:r w:rsidR="00895047">
        <w:t>by 10</w:t>
      </w:r>
      <w:r w:rsidR="001609F1">
        <w:t>.8</w:t>
      </w:r>
      <w:r w:rsidR="00895047">
        <w:t>%</w:t>
      </w:r>
      <w:r w:rsidR="007F1A21">
        <w:t xml:space="preserve"> ($23.</w:t>
      </w:r>
      <w:r w:rsidR="001609F1">
        <w:t>6</w:t>
      </w:r>
      <w:r w:rsidR="007F1A21">
        <w:t> billion to $26.</w:t>
      </w:r>
      <w:r w:rsidR="001609F1">
        <w:t>2</w:t>
      </w:r>
      <w:r w:rsidR="007F1A21">
        <w:t xml:space="preserve"> billion)</w:t>
      </w:r>
      <w:r w:rsidR="00895047">
        <w:t xml:space="preserve"> and 8</w:t>
      </w:r>
      <w:r w:rsidR="001609F1">
        <w:t>.4</w:t>
      </w:r>
      <w:r w:rsidR="00895047">
        <w:t xml:space="preserve">% </w:t>
      </w:r>
      <w:r w:rsidR="007F1A21">
        <w:t>($18.6 billion to $20.</w:t>
      </w:r>
      <w:r w:rsidR="00E41976">
        <w:t>1</w:t>
      </w:r>
      <w:r w:rsidR="007F1A21">
        <w:t> billion)</w:t>
      </w:r>
      <w:r w:rsidR="00895047">
        <w:t xml:space="preserve"> in 2019–20.</w:t>
      </w:r>
    </w:p>
    <w:p w14:paraId="4772F83E" w14:textId="7044CFDF" w:rsidR="00895047" w:rsidRDefault="00895047" w:rsidP="00895047">
      <w:pPr>
        <w:pStyle w:val="ListBullet"/>
      </w:pPr>
      <w:r>
        <w:t>Data from A</w:t>
      </w:r>
      <w:r w:rsidR="00FF5C2E">
        <w:t xml:space="preserve">ustralian </w:t>
      </w:r>
      <w:r>
        <w:t>B</w:t>
      </w:r>
      <w:r w:rsidR="00FF5C2E">
        <w:t xml:space="preserve">ureau of </w:t>
      </w:r>
      <w:r>
        <w:t>A</w:t>
      </w:r>
      <w:r w:rsidR="00FF5C2E">
        <w:t xml:space="preserve">gricultural and </w:t>
      </w:r>
      <w:r>
        <w:t>R</w:t>
      </w:r>
      <w:r w:rsidR="00FF5C2E">
        <w:t xml:space="preserve">esource </w:t>
      </w:r>
      <w:r>
        <w:t>E</w:t>
      </w:r>
      <w:r w:rsidR="00FF5C2E">
        <w:t xml:space="preserve">conomics and </w:t>
      </w:r>
      <w:r>
        <w:t>S</w:t>
      </w:r>
      <w:r w:rsidR="00FF5C2E">
        <w:t>ciences</w:t>
      </w:r>
      <w:r>
        <w:t xml:space="preserve"> </w:t>
      </w:r>
      <w:r w:rsidR="00FF5C2E">
        <w:t xml:space="preserve">(ABARES) </w:t>
      </w:r>
      <w:r>
        <w:t>annual farm surveys program also support the view that drought contributed to increased lending to the farm sector in New South Wales and Queensland in 2019–20.</w:t>
      </w:r>
    </w:p>
    <w:p w14:paraId="20AA3060" w14:textId="7CFF3045" w:rsidR="00895047" w:rsidRDefault="00A24E89" w:rsidP="00895047">
      <w:pPr>
        <w:pStyle w:val="ListBullet"/>
      </w:pPr>
      <w:r>
        <w:t>ABARES s</w:t>
      </w:r>
      <w:r w:rsidR="00895047">
        <w:t xml:space="preserve">urvey results for broadacre and dairy farms in both Queensland and New South Wales show a sharp increase in borrowing for working capital purposes in both 2018–19 and 2019–20 compared with the </w:t>
      </w:r>
      <w:r w:rsidR="00481279">
        <w:t>4</w:t>
      </w:r>
      <w:r w:rsidR="00895047">
        <w:t xml:space="preserve"> years prior to 2018–19. Borrowing for working capital purposes represented around 40% of new loans taken out during 2018–19 and 2019–20, compared with an average of just 15% in the </w:t>
      </w:r>
      <w:r w:rsidR="00481279">
        <w:t>4</w:t>
      </w:r>
      <w:r w:rsidR="00895047">
        <w:t xml:space="preserve"> years prior.</w:t>
      </w:r>
    </w:p>
    <w:p w14:paraId="3C0EA226" w14:textId="4328DDB5" w:rsidR="00895047" w:rsidRPr="00D246AA" w:rsidRDefault="00895047" w:rsidP="00895047">
      <w:pPr>
        <w:pStyle w:val="Heading3"/>
        <w:numPr>
          <w:ilvl w:val="0"/>
          <w:numId w:val="0"/>
        </w:numPr>
        <w:ind w:left="964" w:hanging="964"/>
      </w:pPr>
      <w:bookmarkStart w:id="12" w:name="_Toc81924809"/>
      <w:bookmarkStart w:id="13" w:name="_Toc84434475"/>
      <w:r w:rsidRPr="00D246AA">
        <w:t>Industry level results</w:t>
      </w:r>
      <w:bookmarkEnd w:id="12"/>
      <w:bookmarkEnd w:id="13"/>
    </w:p>
    <w:p w14:paraId="186F6C64" w14:textId="70DA73F5" w:rsidR="00895047" w:rsidRDefault="00895047" w:rsidP="00895047">
      <w:pPr>
        <w:pStyle w:val="ListBullet"/>
      </w:pPr>
      <w:r w:rsidRPr="0019637A">
        <w:t>The dominant driver of agricultural lending patterns in recent years is drought, although some industry</w:t>
      </w:r>
      <w:r w:rsidR="00A24E89">
        <w:t>-</w:t>
      </w:r>
      <w:r w:rsidRPr="0019637A">
        <w:t>specific factors are also likely to have been significant.</w:t>
      </w:r>
    </w:p>
    <w:p w14:paraId="059DF0FA" w14:textId="6D1623EF" w:rsidR="00895047" w:rsidRDefault="00953BA8" w:rsidP="00895047">
      <w:pPr>
        <w:pStyle w:val="ListBullet"/>
      </w:pPr>
      <w:r>
        <w:t>A</w:t>
      </w:r>
      <w:r w:rsidR="00895047">
        <w:t>ggregate lending to farms in the dairy industry decreased in 2019–20, which may reflect ongoing structural adjustment pressures in this industry which ha</w:t>
      </w:r>
      <w:r w:rsidR="001609F1">
        <w:t>ve</w:t>
      </w:r>
      <w:r w:rsidR="00895047">
        <w:t xml:space="preserve"> seen many farmers exit the sector.</w:t>
      </w:r>
    </w:p>
    <w:p w14:paraId="17326696" w14:textId="288B7E0E" w:rsidR="00895047" w:rsidRDefault="00953BA8" w:rsidP="00895047">
      <w:pPr>
        <w:pStyle w:val="ListBullet"/>
      </w:pPr>
      <w:r>
        <w:t>A</w:t>
      </w:r>
      <w:r w:rsidR="00895047">
        <w:t>ggregate lending to some horticultural industries</w:t>
      </w:r>
      <w:r w:rsidR="0078717F">
        <w:t xml:space="preserve">, such as </w:t>
      </w:r>
      <w:r w:rsidR="00895047">
        <w:t>fruit and nuts, and grape growing</w:t>
      </w:r>
      <w:r w:rsidR="0078717F">
        <w:t xml:space="preserve">, </w:t>
      </w:r>
      <w:r w:rsidR="00895047">
        <w:t>increased in 2019–20 and may underpin the recent strong growth in output recorded by these industries.</w:t>
      </w:r>
    </w:p>
    <w:p w14:paraId="03965213" w14:textId="5F1F1A97" w:rsidR="00895047" w:rsidRPr="00D246AA" w:rsidRDefault="00895047" w:rsidP="00895047">
      <w:pPr>
        <w:pStyle w:val="Heading3"/>
        <w:numPr>
          <w:ilvl w:val="0"/>
          <w:numId w:val="0"/>
        </w:numPr>
        <w:ind w:left="964" w:hanging="964"/>
      </w:pPr>
      <w:bookmarkStart w:id="14" w:name="_Toc81924810"/>
      <w:bookmarkStart w:id="15" w:name="_Toc84434476"/>
      <w:r w:rsidRPr="00D246AA">
        <w:t>Land values and farm equity</w:t>
      </w:r>
      <w:bookmarkEnd w:id="14"/>
      <w:bookmarkEnd w:id="15"/>
    </w:p>
    <w:p w14:paraId="38D7649D" w14:textId="079F67F5" w:rsidR="00895047" w:rsidRDefault="00895047" w:rsidP="00895047">
      <w:pPr>
        <w:pStyle w:val="ListBullet"/>
      </w:pPr>
      <w:r w:rsidRPr="0019637A">
        <w:t>Lending to the farm sector in recent years has been supported by continued growth in agricultural land values and comparatively high farm equity.</w:t>
      </w:r>
    </w:p>
    <w:p w14:paraId="3A3BC057" w14:textId="5CD9C2D8" w:rsidR="00895047" w:rsidRDefault="00895047" w:rsidP="00895047">
      <w:pPr>
        <w:pStyle w:val="ListBullet"/>
      </w:pPr>
      <w:r w:rsidRPr="0019637A">
        <w:t>ABARES farm survey data show that the average value of broadacre and dairy farms (on a per hectare basis) increased by around 1.6% in 2019</w:t>
      </w:r>
      <w:r>
        <w:t>–</w:t>
      </w:r>
      <w:r w:rsidRPr="0019637A">
        <w:t>20</w:t>
      </w:r>
      <w:r w:rsidR="00694CF0">
        <w:t>. However,</w:t>
      </w:r>
      <w:r w:rsidRPr="0019637A">
        <w:t xml:space="preserve"> the average equity ratio across this group of farms</w:t>
      </w:r>
      <w:r w:rsidR="00694CF0">
        <w:t xml:space="preserve"> – </w:t>
      </w:r>
      <w:r w:rsidRPr="0019637A">
        <w:t>that is, the ratio of owned capital to total capital</w:t>
      </w:r>
      <w:r w:rsidR="00694CF0">
        <w:t xml:space="preserve"> – </w:t>
      </w:r>
      <w:r w:rsidRPr="0019637A">
        <w:t>was largely unchanged.</w:t>
      </w:r>
    </w:p>
    <w:p w14:paraId="214E9343" w14:textId="76B0596F" w:rsidR="00895047" w:rsidRPr="00D246AA" w:rsidRDefault="00895047" w:rsidP="00895047">
      <w:pPr>
        <w:pStyle w:val="Heading3"/>
        <w:numPr>
          <w:ilvl w:val="0"/>
          <w:numId w:val="0"/>
        </w:numPr>
        <w:ind w:left="964" w:hanging="964"/>
      </w:pPr>
      <w:bookmarkStart w:id="16" w:name="_Toc81924811"/>
      <w:bookmarkStart w:id="17" w:name="_Toc84434477"/>
      <w:r w:rsidRPr="00D246AA">
        <w:lastRenderedPageBreak/>
        <w:t>Borrowers in arrears</w:t>
      </w:r>
      <w:bookmarkEnd w:id="16"/>
      <w:bookmarkEnd w:id="17"/>
    </w:p>
    <w:p w14:paraId="5E743A05" w14:textId="7C93867C" w:rsidR="00895047" w:rsidRDefault="00895047" w:rsidP="00895047">
      <w:pPr>
        <w:pStyle w:val="ListBullet"/>
      </w:pPr>
      <w:r>
        <w:t>The agricultural lending data for 2019–20 provide some evidence of growing difficulty within the farm sector in servicing loans</w:t>
      </w:r>
      <w:r w:rsidR="00BE07CA">
        <w:t>, most likely associated with the adverse effects of drought on some borrowers</w:t>
      </w:r>
      <w:r>
        <w:t>. For example, the value of loans and leases that were more than 90 days past due increased from $</w:t>
      </w:r>
      <w:r w:rsidR="00721830">
        <w:t>663 </w:t>
      </w:r>
      <w:r w:rsidR="00A24E89">
        <w:t>million</w:t>
      </w:r>
      <w:r>
        <w:t xml:space="preserve"> in 2018–19 to $1.1</w:t>
      </w:r>
      <w:r w:rsidR="00A24E89">
        <w:t> billion</w:t>
      </w:r>
      <w:r>
        <w:t xml:space="preserve"> in 2019–20</w:t>
      </w:r>
      <w:r w:rsidR="00694CF0">
        <w:t xml:space="preserve"> – </w:t>
      </w:r>
      <w:r>
        <w:t>an increase of</w:t>
      </w:r>
      <w:r w:rsidR="00E41976">
        <w:t xml:space="preserve"> 65</w:t>
      </w:r>
      <w:r w:rsidRPr="00E41976">
        <w:t>%</w:t>
      </w:r>
      <w:r>
        <w:t>.</w:t>
      </w:r>
    </w:p>
    <w:p w14:paraId="2BE2B300" w14:textId="5AC2F0BC" w:rsidR="00895047" w:rsidRDefault="00953BA8" w:rsidP="00895047">
      <w:pPr>
        <w:pStyle w:val="ListBullet"/>
      </w:pPr>
      <w:r>
        <w:t>T</w:t>
      </w:r>
      <w:r w:rsidR="00895047">
        <w:t>he value of loans and leases in arrears increased by 15% during the 2018–19 financial year</w:t>
      </w:r>
      <w:r w:rsidR="008454B2">
        <w:t xml:space="preserve"> (from $</w:t>
      </w:r>
      <w:r w:rsidR="008454B2" w:rsidRPr="008454B2">
        <w:t>577</w:t>
      </w:r>
      <w:r w:rsidR="008454B2">
        <w:t xml:space="preserve"> million in 2017</w:t>
      </w:r>
      <w:r w:rsidR="00A24E89">
        <w:t>–</w:t>
      </w:r>
      <w:r w:rsidR="008454B2">
        <w:t>18 to $</w:t>
      </w:r>
      <w:r w:rsidR="00721830" w:rsidRPr="008454B2">
        <w:t>66</w:t>
      </w:r>
      <w:r w:rsidR="00721830">
        <w:t>3 </w:t>
      </w:r>
      <w:r w:rsidR="00A24E89">
        <w:t xml:space="preserve">million </w:t>
      </w:r>
      <w:r w:rsidR="008454B2">
        <w:t>in 2018</w:t>
      </w:r>
      <w:r w:rsidR="00A24E89">
        <w:t>–</w:t>
      </w:r>
      <w:r w:rsidR="008454B2">
        <w:t>19)</w:t>
      </w:r>
      <w:r w:rsidR="00895047">
        <w:t xml:space="preserve"> and decreased by 9% during 2017–18</w:t>
      </w:r>
      <w:r w:rsidR="008454B2">
        <w:t xml:space="preserve"> (from</w:t>
      </w:r>
      <w:r w:rsidR="008454B2" w:rsidRPr="008454B2">
        <w:t xml:space="preserve"> </w:t>
      </w:r>
      <w:r w:rsidR="008454B2">
        <w:t>$</w:t>
      </w:r>
      <w:r w:rsidR="008454B2" w:rsidRPr="008454B2">
        <w:t>631</w:t>
      </w:r>
      <w:r w:rsidR="008454B2">
        <w:t xml:space="preserve"> million in 2016</w:t>
      </w:r>
      <w:r w:rsidR="00A24E89">
        <w:t>–</w:t>
      </w:r>
      <w:r w:rsidR="008454B2">
        <w:t>17 to $</w:t>
      </w:r>
      <w:r w:rsidR="008454B2" w:rsidRPr="008454B2">
        <w:t xml:space="preserve">577 </w:t>
      </w:r>
      <w:r w:rsidR="008454B2">
        <w:t>million in 2017</w:t>
      </w:r>
      <w:r w:rsidR="00A24E89">
        <w:t>–</w:t>
      </w:r>
      <w:r w:rsidR="008454B2">
        <w:t>18)</w:t>
      </w:r>
      <w:r w:rsidR="00895047">
        <w:t>.</w:t>
      </w:r>
    </w:p>
    <w:p w14:paraId="32F9D108" w14:textId="039A4919" w:rsidR="00895047" w:rsidRDefault="00895047" w:rsidP="00895047">
      <w:pPr>
        <w:pStyle w:val="ListBullet"/>
      </w:pPr>
      <w:r>
        <w:t>When represented as a share of total agricultural lending, loans and leases in arrears increased from 0.8% of total lending in 2018–19 to 1.</w:t>
      </w:r>
      <w:r w:rsidR="00721830">
        <w:t>3</w:t>
      </w:r>
      <w:r>
        <w:t>% of total lending in 2019–20.</w:t>
      </w:r>
    </w:p>
    <w:p w14:paraId="666489C0" w14:textId="726BA5AF" w:rsidR="00895047" w:rsidRDefault="00895047" w:rsidP="009D0172">
      <w:pPr>
        <w:pStyle w:val="ListBullet"/>
      </w:pPr>
      <w:r>
        <w:t>As with changes in total lending in 2019–20, there were significant differences across the states.</w:t>
      </w:r>
      <w:r w:rsidR="00953BA8">
        <w:t xml:space="preserve"> </w:t>
      </w:r>
      <w:r w:rsidR="003002A7">
        <w:t>Four</w:t>
      </w:r>
      <w:r>
        <w:t xml:space="preserve"> states</w:t>
      </w:r>
      <w:r w:rsidR="00694CF0">
        <w:t xml:space="preserve"> – </w:t>
      </w:r>
      <w:r>
        <w:t xml:space="preserve">New South Wales, Queensland, </w:t>
      </w:r>
      <w:proofErr w:type="gramStart"/>
      <w:r>
        <w:t>Victoria</w:t>
      </w:r>
      <w:proofErr w:type="gramEnd"/>
      <w:r>
        <w:t xml:space="preserve"> and South Australia</w:t>
      </w:r>
      <w:r w:rsidR="00694CF0">
        <w:t xml:space="preserve"> – </w:t>
      </w:r>
      <w:r>
        <w:t>recorded large increases in the value and number of loans and leases in arrears during 2019–20. New South Wales also recorded a large increase in this category of loans and leases during the previous financial year (2018–19).</w:t>
      </w:r>
    </w:p>
    <w:p w14:paraId="3A057D04" w14:textId="3C72181C" w:rsidR="00895047" w:rsidRDefault="00953BA8" w:rsidP="00895047">
      <w:pPr>
        <w:pStyle w:val="ListBullet"/>
      </w:pPr>
      <w:r>
        <w:t>T</w:t>
      </w:r>
      <w:r w:rsidR="00895047">
        <w:t xml:space="preserve">he value of loans in arrears in Western Australia fell slightly during 2019–20, on top of more substantive declines in the </w:t>
      </w:r>
      <w:r w:rsidR="00481279">
        <w:t>2</w:t>
      </w:r>
      <w:r w:rsidR="00895047">
        <w:t xml:space="preserve"> previous financial years.</w:t>
      </w:r>
    </w:p>
    <w:p w14:paraId="7F99DC5D" w14:textId="7895D8F3" w:rsidR="00895047" w:rsidRDefault="00895047" w:rsidP="00895047">
      <w:pPr>
        <w:pStyle w:val="ListBullet"/>
      </w:pPr>
      <w:r>
        <w:t xml:space="preserve">While statistics relating to loans and leases in arrears worsened considerably in 2019–20, the number of new instances of debt mediation fell from </w:t>
      </w:r>
      <w:r w:rsidRPr="00E54169">
        <w:t>264</w:t>
      </w:r>
      <w:r w:rsidR="00A24E89">
        <w:t> </w:t>
      </w:r>
      <w:r>
        <w:t>in 2018–19 to 200</w:t>
      </w:r>
      <w:r w:rsidR="00A24E89">
        <w:t> </w:t>
      </w:r>
      <w:r>
        <w:t>in 2019–20, with reductions recorded in all states for which disaggregated data are available.</w:t>
      </w:r>
    </w:p>
    <w:p w14:paraId="4CA7DACA" w14:textId="531342FD" w:rsidR="00895047" w:rsidRDefault="00895047" w:rsidP="00895047">
      <w:pPr>
        <w:pStyle w:val="ListBullet"/>
      </w:pPr>
      <w:r>
        <w:t>The number of new foreclosures increased</w:t>
      </w:r>
      <w:r w:rsidR="00A24E89">
        <w:t xml:space="preserve"> </w:t>
      </w:r>
      <w:r>
        <w:t>from 31 cases in 2018–19 to 37 cases in 2019</w:t>
      </w:r>
      <w:r w:rsidR="00E17961">
        <w:noBreakHyphen/>
      </w:r>
      <w:r>
        <w:t xml:space="preserve">20. </w:t>
      </w:r>
      <w:r w:rsidR="00C379E1">
        <w:t>However, f</w:t>
      </w:r>
      <w:r w:rsidR="00E378A5">
        <w:t>oreclosures remain a very small proportion of the total number of farm businesses in the country (around 87,800 in 2019</w:t>
      </w:r>
      <w:r w:rsidR="00A50141">
        <w:t>–</w:t>
      </w:r>
      <w:r w:rsidR="00E378A5">
        <w:t>20).</w:t>
      </w:r>
    </w:p>
    <w:p w14:paraId="5E814CB9" w14:textId="2C483A95" w:rsidR="00895047" w:rsidRPr="00D246AA" w:rsidRDefault="00895047" w:rsidP="00895047">
      <w:pPr>
        <w:pStyle w:val="Heading3"/>
        <w:numPr>
          <w:ilvl w:val="0"/>
          <w:numId w:val="0"/>
        </w:numPr>
        <w:ind w:left="964" w:hanging="964"/>
      </w:pPr>
      <w:bookmarkStart w:id="18" w:name="_Toc81924812"/>
      <w:bookmarkStart w:id="19" w:name="_Toc84434478"/>
      <w:r w:rsidRPr="00D246AA">
        <w:t>Debt servicing</w:t>
      </w:r>
      <w:bookmarkEnd w:id="18"/>
      <w:bookmarkEnd w:id="19"/>
    </w:p>
    <w:p w14:paraId="21695124" w14:textId="77777777" w:rsidR="00895047" w:rsidRDefault="00895047" w:rsidP="00895047">
      <w:pPr>
        <w:pStyle w:val="ListBullet"/>
      </w:pPr>
      <w:r>
        <w:t>By some metrics, the capacity of the farm sector to service outstanding debt improved in 2019–20 compared with the previous year, despite the increase in overall lending to the sector.</w:t>
      </w:r>
    </w:p>
    <w:p w14:paraId="605A9630" w14:textId="144146AE" w:rsidR="00895047" w:rsidRDefault="00953BA8" w:rsidP="00895047">
      <w:pPr>
        <w:pStyle w:val="ListBullet"/>
      </w:pPr>
      <w:r>
        <w:t>T</w:t>
      </w:r>
      <w:r w:rsidR="00895047">
        <w:t>he total interest paid on agricultural loans decreased by an estimated 23% in 2019–20 (from $1.93</w:t>
      </w:r>
      <w:r w:rsidR="00A24E89">
        <w:t> </w:t>
      </w:r>
      <w:r w:rsidR="00895047">
        <w:t>b</w:t>
      </w:r>
      <w:r w:rsidR="00A24E89">
        <w:t>illion</w:t>
      </w:r>
      <w:r w:rsidR="00895047">
        <w:t xml:space="preserve"> in 2018–19 to $1.48</w:t>
      </w:r>
      <w:r w:rsidR="00A24E89">
        <w:t> </w:t>
      </w:r>
      <w:r w:rsidR="00895047">
        <w:t>b</w:t>
      </w:r>
      <w:r w:rsidR="00A24E89">
        <w:t>illion</w:t>
      </w:r>
      <w:r w:rsidR="00895047">
        <w:t xml:space="preserve"> in 2019–20). This reflected a substantial decline in the average rate of interest applying to agricultural loans and leases, which more than offset the increase in total borrowing.</w:t>
      </w:r>
    </w:p>
    <w:p w14:paraId="0E408D8D" w14:textId="0A6FA453" w:rsidR="00895047" w:rsidRDefault="005D6EE2" w:rsidP="00895047">
      <w:pPr>
        <w:pStyle w:val="ListBullet"/>
      </w:pPr>
      <w:r>
        <w:t>T</w:t>
      </w:r>
      <w:r w:rsidR="00895047">
        <w:t xml:space="preserve">he ratio of aggregate farm sector profit to total debt increased in 2019–20, as growth in profit (up </w:t>
      </w:r>
      <w:r w:rsidR="001609F1">
        <w:t>23</w:t>
      </w:r>
      <w:r w:rsidR="00895047">
        <w:t>% to $</w:t>
      </w:r>
      <w:r w:rsidR="00F77370">
        <w:t>9.</w:t>
      </w:r>
      <w:r w:rsidR="001609F1">
        <w:t>6</w:t>
      </w:r>
      <w:r w:rsidR="00F77370">
        <w:t xml:space="preserve"> billion</w:t>
      </w:r>
      <w:r w:rsidR="00BD7DAF">
        <w:t>)</w:t>
      </w:r>
      <w:r w:rsidR="00895047">
        <w:t xml:space="preserve"> outstripped the increase in total debt (</w:t>
      </w:r>
      <w:r w:rsidR="001609F1">
        <w:t>7</w:t>
      </w:r>
      <w:r w:rsidR="00895047">
        <w:t>%).</w:t>
      </w:r>
    </w:p>
    <w:p w14:paraId="5D831317" w14:textId="44C1A6A1" w:rsidR="00895047" w:rsidRPr="00D246AA" w:rsidRDefault="00895047" w:rsidP="00895047">
      <w:pPr>
        <w:pStyle w:val="Heading3"/>
        <w:numPr>
          <w:ilvl w:val="0"/>
          <w:numId w:val="0"/>
        </w:numPr>
        <w:ind w:left="964" w:hanging="964"/>
      </w:pPr>
      <w:bookmarkStart w:id="20" w:name="_Toc81924813"/>
      <w:bookmarkStart w:id="21" w:name="_Toc84434479"/>
      <w:r w:rsidRPr="00D246AA">
        <w:t>Long</w:t>
      </w:r>
      <w:r w:rsidR="00680D65">
        <w:t>-</w:t>
      </w:r>
      <w:r w:rsidRPr="00D246AA">
        <w:t>term trends</w:t>
      </w:r>
      <w:bookmarkEnd w:id="20"/>
      <w:bookmarkEnd w:id="21"/>
    </w:p>
    <w:p w14:paraId="08805464" w14:textId="26C02981" w:rsidR="00895047" w:rsidRDefault="00895047" w:rsidP="00895047">
      <w:pPr>
        <w:pStyle w:val="ListBullet"/>
      </w:pPr>
      <w:r>
        <w:t>Long</w:t>
      </w:r>
      <w:r w:rsidR="00680D65">
        <w:t>-</w:t>
      </w:r>
      <w:r>
        <w:t>term trends in lending to the farm sector are influenced by changes in the sector’s profitability, with agricultural lending typically increasing when the profitability of farming is lower, and vice versa.</w:t>
      </w:r>
    </w:p>
    <w:p w14:paraId="3E323D8C" w14:textId="3566F091" w:rsidR="00895047" w:rsidRDefault="003002A7" w:rsidP="00895047">
      <w:pPr>
        <w:pStyle w:val="ListBullet"/>
      </w:pPr>
      <w:r>
        <w:lastRenderedPageBreak/>
        <w:t>From</w:t>
      </w:r>
      <w:r w:rsidR="004712E7">
        <w:t xml:space="preserve"> 2002 </w:t>
      </w:r>
      <w:r>
        <w:t>to</w:t>
      </w:r>
      <w:r w:rsidR="004712E7">
        <w:t xml:space="preserve"> 2009</w:t>
      </w:r>
      <w:r w:rsidR="00694CF0">
        <w:t xml:space="preserve"> (</w:t>
      </w:r>
      <w:r w:rsidR="00895047">
        <w:t>the millennium drought period</w:t>
      </w:r>
      <w:r w:rsidR="00694CF0">
        <w:t xml:space="preserve">) </w:t>
      </w:r>
      <w:r w:rsidR="00895047">
        <w:t>profitability of the farm sector declined considerably, and there was an increase in lending</w:t>
      </w:r>
      <w:r w:rsidR="00694CF0">
        <w:t xml:space="preserve"> – </w:t>
      </w:r>
      <w:r w:rsidR="00895047">
        <w:t>particularly for working capital purposes.</w:t>
      </w:r>
    </w:p>
    <w:p w14:paraId="286FE6B2" w14:textId="77777777" w:rsidR="00895047" w:rsidRDefault="00895047" w:rsidP="00895047">
      <w:pPr>
        <w:pStyle w:val="ListBullet"/>
      </w:pPr>
      <w:r>
        <w:t>After the millennium drought broke there was a sustained period of higher farm profitability, and aggregate lending to the sector declined as many loans were repaid.</w:t>
      </w:r>
    </w:p>
    <w:p w14:paraId="67F21566" w14:textId="77777777" w:rsidR="00895047" w:rsidRDefault="00895047" w:rsidP="00895047">
      <w:pPr>
        <w:pStyle w:val="ListBullet"/>
      </w:pPr>
      <w:r>
        <w:t>Debt financing remains of critical importance to the farm sector, both to fund new investment and to help manage temporal variability in farm revenue and profit.</w:t>
      </w:r>
    </w:p>
    <w:p w14:paraId="4D2BE8FC" w14:textId="2E014EE2" w:rsidR="00895047" w:rsidRDefault="00895047" w:rsidP="00895047">
      <w:pPr>
        <w:pStyle w:val="ListBullet"/>
      </w:pPr>
      <w:r>
        <w:t xml:space="preserve">ABARES farm surveys data show that, among broadacre and dairy farms (which collectively account for around 65% of the value of farm output), the </w:t>
      </w:r>
      <w:r w:rsidR="00481279">
        <w:t>2</w:t>
      </w:r>
      <w:r>
        <w:t xml:space="preserve"> main reasons for borrowing are to fund land purchase</w:t>
      </w:r>
      <w:r w:rsidR="009873E8">
        <w:t>s</w:t>
      </w:r>
      <w:r>
        <w:t xml:space="preserve"> and for working capital. On average, these </w:t>
      </w:r>
      <w:r w:rsidR="00481279">
        <w:t>2</w:t>
      </w:r>
      <w:r>
        <w:t xml:space="preserve"> uses account for around 80% of total farm sector borrowing in these industries.</w:t>
      </w:r>
    </w:p>
    <w:p w14:paraId="2895D9D9" w14:textId="59BB265A" w:rsidR="00895047" w:rsidRPr="00D246AA" w:rsidRDefault="00895047" w:rsidP="00895047">
      <w:pPr>
        <w:pStyle w:val="Heading3"/>
        <w:numPr>
          <w:ilvl w:val="0"/>
          <w:numId w:val="0"/>
        </w:numPr>
        <w:ind w:left="964" w:hanging="964"/>
      </w:pPr>
      <w:bookmarkStart w:id="22" w:name="_Toc81924814"/>
      <w:bookmarkStart w:id="23" w:name="_Toc84434480"/>
      <w:r>
        <w:t>Lending in 2020–21</w:t>
      </w:r>
      <w:bookmarkEnd w:id="22"/>
      <w:bookmarkEnd w:id="23"/>
    </w:p>
    <w:p w14:paraId="17D32C8E" w14:textId="3C9698E7" w:rsidR="00895047" w:rsidRDefault="00895047" w:rsidP="00895047">
      <w:pPr>
        <w:pStyle w:val="ListBullet"/>
      </w:pPr>
      <w:r>
        <w:t xml:space="preserve">While detailed APRA statistics on agricultural lending in 2020–21 will not be available until next year’s report, the Reserve Bank of Australia (RBA) recently released data </w:t>
      </w:r>
      <w:r w:rsidR="00B83A33">
        <w:t>showing</w:t>
      </w:r>
      <w:r>
        <w:t xml:space="preserve"> a further increase in aggregate rural lending during 2020–21, but at a slower rate than the previous year (a 7</w:t>
      </w:r>
      <w:r w:rsidR="00877E4E">
        <w:t>.1</w:t>
      </w:r>
      <w:r>
        <w:t xml:space="preserve">% increase in 2020–21 </w:t>
      </w:r>
      <w:r w:rsidR="00F77370">
        <w:t>to $91.3 billion</w:t>
      </w:r>
      <w:r w:rsidR="00B83A33">
        <w:t>,</w:t>
      </w:r>
      <w:r w:rsidR="00F77370">
        <w:t xml:space="preserve"> </w:t>
      </w:r>
      <w:r>
        <w:t>compared with a 10%</w:t>
      </w:r>
      <w:r w:rsidR="00B83A33">
        <w:t xml:space="preserve"> increase</w:t>
      </w:r>
      <w:r>
        <w:t xml:space="preserve"> in 2019–20).</w:t>
      </w:r>
    </w:p>
    <w:p w14:paraId="1B610B72" w14:textId="72930B5A" w:rsidR="00895047" w:rsidRDefault="00895047" w:rsidP="00895047">
      <w:pPr>
        <w:pStyle w:val="ListBullet"/>
      </w:pPr>
      <w:r>
        <w:t>It is important to note, however, that the RBA data include</w:t>
      </w:r>
      <w:r w:rsidR="00D86CA9">
        <w:t>s</w:t>
      </w:r>
      <w:r>
        <w:t xml:space="preserve"> lending to businesses in the forestry and fishing sectors, whereas the APRA data only include lending to agricultural businesses.</w:t>
      </w:r>
    </w:p>
    <w:p w14:paraId="2667A8D9" w14:textId="77777777" w:rsidR="009D0F6E" w:rsidRDefault="009D0F6E" w:rsidP="00895047">
      <w:pPr>
        <w:spacing w:after="0" w:line="240" w:lineRule="auto"/>
        <w:sectPr w:rsidR="009D0F6E" w:rsidSect="00291D5D">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cols w:space="708"/>
          <w:titlePg/>
          <w:docGrid w:linePitch="360"/>
        </w:sectPr>
      </w:pPr>
    </w:p>
    <w:p w14:paraId="3B1DDAB3" w14:textId="77777777" w:rsidR="00895047" w:rsidRDefault="00895047" w:rsidP="00895047">
      <w:pPr>
        <w:pStyle w:val="Heading2"/>
        <w:numPr>
          <w:ilvl w:val="0"/>
          <w:numId w:val="0"/>
        </w:numPr>
        <w:ind w:left="720" w:hanging="720"/>
      </w:pPr>
      <w:bookmarkStart w:id="24" w:name="_Toc81924815"/>
      <w:bookmarkStart w:id="25" w:name="_Toc84434481"/>
      <w:r>
        <w:lastRenderedPageBreak/>
        <w:t>Introduction</w:t>
      </w:r>
      <w:bookmarkEnd w:id="24"/>
      <w:bookmarkEnd w:id="25"/>
    </w:p>
    <w:p w14:paraId="035BC625" w14:textId="21FDB47C" w:rsidR="00895047" w:rsidRDefault="00895047" w:rsidP="00895047">
      <w:r>
        <w:t>In 2016</w:t>
      </w:r>
      <w:r w:rsidR="009D0F6E">
        <w:t>,</w:t>
      </w:r>
      <w:r>
        <w:t xml:space="preserve"> the Australian Government introduced legislation authorising the collection and reporting of annual statistics on lending to the farm sector by banks and other institutional lenders. Under the</w:t>
      </w:r>
      <w:r w:rsidR="005F4061">
        <w:t xml:space="preserve"> Financial Sector (Collection of Data) (reporting standard) determination </w:t>
      </w:r>
      <w:r w:rsidR="005F4061" w:rsidRPr="003224B8">
        <w:t>No</w:t>
      </w:r>
      <w:r w:rsidR="003224B8" w:rsidRPr="003224B8">
        <w:t> </w:t>
      </w:r>
      <w:r w:rsidR="005F4061" w:rsidRPr="003224B8">
        <w:t>18</w:t>
      </w:r>
      <w:r w:rsidR="005F4061">
        <w:t xml:space="preserve"> of 2017,</w:t>
      </w:r>
      <w:r>
        <w:t xml:space="preserve"> major lenders to farm businesses are required to submit annual statistics to APRA, who collate and process the data before </w:t>
      </w:r>
      <w:r w:rsidR="00877E4E">
        <w:t xml:space="preserve">providing </w:t>
      </w:r>
      <w:r>
        <w:t xml:space="preserve">it to the Department of Agriculture, </w:t>
      </w:r>
      <w:proofErr w:type="gramStart"/>
      <w:r>
        <w:t>Water</w:t>
      </w:r>
      <w:proofErr w:type="gramEnd"/>
      <w:r>
        <w:t xml:space="preserve"> and the Environment (DAWE) for further analysis and reporting. </w:t>
      </w:r>
      <w:r w:rsidR="00E7713B">
        <w:t>M</w:t>
      </w:r>
      <w:r w:rsidR="005D6EE2">
        <w:t xml:space="preserve">ore information on the data collection and definitions of terms </w:t>
      </w:r>
      <w:r w:rsidR="00E7713B">
        <w:t xml:space="preserve">is </w:t>
      </w:r>
      <w:r w:rsidR="00A17C6B">
        <w:t>at</w:t>
      </w:r>
      <w:r w:rsidR="005D6EE2">
        <w:t xml:space="preserve"> </w:t>
      </w:r>
      <w:hyperlink w:anchor="_Appendix_A:_Background" w:history="1">
        <w:r w:rsidR="005D6EE2" w:rsidRPr="00F72096">
          <w:rPr>
            <w:rStyle w:val="Hyperlink"/>
          </w:rPr>
          <w:t xml:space="preserve">Appendix </w:t>
        </w:r>
        <w:r w:rsidR="001051F5" w:rsidRPr="00F72096">
          <w:rPr>
            <w:rStyle w:val="Hyperlink"/>
          </w:rPr>
          <w:t>A</w:t>
        </w:r>
      </w:hyperlink>
      <w:r w:rsidR="005D6EE2">
        <w:t>.</w:t>
      </w:r>
    </w:p>
    <w:p w14:paraId="72CD26FF" w14:textId="0177B3B5" w:rsidR="00895047" w:rsidRDefault="00895047" w:rsidP="00895047">
      <w:r>
        <w:t>The data collected by APRA are a key resource for assessing trends and developments in the use of debt financing by the farm sector. They support the development of government policy and add substantially to the broader collection of statistical information available to those with an interest in the farm sector.</w:t>
      </w:r>
    </w:p>
    <w:p w14:paraId="05B0A31A" w14:textId="5FCD83AA" w:rsidR="00895047" w:rsidRPr="009D6A51" w:rsidRDefault="00895047" w:rsidP="00895047">
      <w:pPr>
        <w:pStyle w:val="Heading3"/>
        <w:numPr>
          <w:ilvl w:val="0"/>
          <w:numId w:val="0"/>
        </w:numPr>
        <w:ind w:left="964" w:hanging="964"/>
      </w:pPr>
      <w:bookmarkStart w:id="26" w:name="_Toc81924816"/>
      <w:bookmarkStart w:id="27" w:name="_Toc84434482"/>
      <w:r w:rsidRPr="009D6A51">
        <w:t>Previous reports</w:t>
      </w:r>
      <w:bookmarkEnd w:id="26"/>
      <w:bookmarkEnd w:id="27"/>
    </w:p>
    <w:p w14:paraId="646C7B4B" w14:textId="630565CD" w:rsidR="00895047" w:rsidRDefault="00C01DE6" w:rsidP="00895047">
      <w:r>
        <w:t xml:space="preserve">DAWE </w:t>
      </w:r>
      <w:r w:rsidR="00895047">
        <w:t xml:space="preserve">has </w:t>
      </w:r>
      <w:r w:rsidR="00895047" w:rsidRPr="00B514B1">
        <w:t>published</w:t>
      </w:r>
      <w:r w:rsidR="005F4061" w:rsidRPr="00B514B1">
        <w:t xml:space="preserve"> </w:t>
      </w:r>
      <w:hyperlink r:id="rId23" w:history="1">
        <w:r w:rsidR="005F4061" w:rsidRPr="00B514B1">
          <w:rPr>
            <w:rStyle w:val="Hyperlink"/>
          </w:rPr>
          <w:t>Agricultural lending data</w:t>
        </w:r>
        <w:r w:rsidR="00895047" w:rsidRPr="00B514B1">
          <w:rPr>
            <w:rStyle w:val="Hyperlink"/>
          </w:rPr>
          <w:t xml:space="preserve"> reports</w:t>
        </w:r>
      </w:hyperlink>
      <w:r w:rsidR="005B0A35" w:rsidRPr="005F6EEE">
        <w:t>, prepared by ABARES,</w:t>
      </w:r>
      <w:r w:rsidR="00895047" w:rsidRPr="00B514B1">
        <w:t xml:space="preserve"> based</w:t>
      </w:r>
      <w:r w:rsidR="00895047">
        <w:t xml:space="preserve"> on APRA data for 2016–17, 2017–18 and 2018–19.</w:t>
      </w:r>
      <w:r w:rsidR="00F937C2">
        <w:t xml:space="preserve"> </w:t>
      </w:r>
      <w:r w:rsidR="00895047">
        <w:t>The purpose of the reports is to provide context and further explanation of trends and developments in agricultural lending. In preparing the reports, ABARES draws on its detailed knowledge of developments in Australia’s agricultural commodity markets, as well as other sources of information relating to agricultural lending and farm performance. The latter include aggregate rural debt statistics published by the R</w:t>
      </w:r>
      <w:r w:rsidR="002619F7">
        <w:t>BA</w:t>
      </w:r>
      <w:r w:rsidR="00895047">
        <w:t>, and farm</w:t>
      </w:r>
      <w:r w:rsidR="00680D65">
        <w:t>-</w:t>
      </w:r>
      <w:r w:rsidR="00895047">
        <w:t>level information about debt and other aspects of farm performance collected by ABARES as part of its regular surveys of Australian farms.</w:t>
      </w:r>
    </w:p>
    <w:p w14:paraId="30C2C929" w14:textId="429BBE0A" w:rsidR="00895047" w:rsidRPr="009D6A51" w:rsidRDefault="00895047" w:rsidP="00895047">
      <w:pPr>
        <w:pStyle w:val="Heading3"/>
        <w:numPr>
          <w:ilvl w:val="0"/>
          <w:numId w:val="0"/>
        </w:numPr>
        <w:ind w:left="964" w:hanging="964"/>
      </w:pPr>
      <w:bookmarkStart w:id="28" w:name="_Toc81924817"/>
      <w:bookmarkStart w:id="29" w:name="_Toc84434483"/>
      <w:r w:rsidRPr="009D6A51">
        <w:t>A new development in 2021</w:t>
      </w:r>
      <w:bookmarkEnd w:id="28"/>
      <w:bookmarkEnd w:id="29"/>
    </w:p>
    <w:p w14:paraId="3BABE65D" w14:textId="3D1812C2" w:rsidR="00895047" w:rsidRDefault="00895047" w:rsidP="00895047">
      <w:r>
        <w:t xml:space="preserve">In this year’s report the agricultural lending data collected by APRA are being made available via an </w:t>
      </w:r>
      <w:r w:rsidRPr="00B874CE">
        <w:t xml:space="preserve">interactive </w:t>
      </w:r>
      <w:r w:rsidR="00B874CE" w:rsidRPr="00B874CE">
        <w:t xml:space="preserve">ABARES </w:t>
      </w:r>
      <w:hyperlink r:id="rId24" w:history="1">
        <w:r w:rsidRPr="00E6333B">
          <w:rPr>
            <w:rStyle w:val="Hyperlink"/>
          </w:rPr>
          <w:t>data dashboard</w:t>
        </w:r>
      </w:hyperlink>
      <w:r>
        <w:t>. The dashboard is designed to make it easier for users to access and visualise the APRA data, while providing greater flexibility to add data in the future. The dashboard will be updated each year as new APRA lending data becomes available</w:t>
      </w:r>
      <w:r w:rsidR="001C6BA6">
        <w:t xml:space="preserve">. There is also </w:t>
      </w:r>
      <w:r>
        <w:t>an option for users to download the raw data.</w:t>
      </w:r>
    </w:p>
    <w:p w14:paraId="673274A1" w14:textId="327F0AE1" w:rsidR="003467A1" w:rsidRDefault="003467A1" w:rsidP="00895047">
      <w:r>
        <w:t xml:space="preserve">Readers of this report (and users of the data dashboard) should familiarise themselves with the </w:t>
      </w:r>
      <w:hyperlink w:anchor="_Glossary" w:history="1">
        <w:r w:rsidRPr="00B514B1">
          <w:rPr>
            <w:rStyle w:val="Hyperlink"/>
          </w:rPr>
          <w:t>Glossary</w:t>
        </w:r>
      </w:hyperlink>
      <w:r>
        <w:t xml:space="preserve"> and </w:t>
      </w:r>
      <w:r w:rsidR="00B514B1">
        <w:t>b</w:t>
      </w:r>
      <w:r w:rsidR="004E1B92">
        <w:t xml:space="preserve">ackground to APRA data </w:t>
      </w:r>
      <w:r w:rsidR="00B514B1">
        <w:t xml:space="preserve">in </w:t>
      </w:r>
      <w:hyperlink w:anchor="Appendix_A" w:history="1">
        <w:r w:rsidR="00B514B1" w:rsidRPr="00B514B1">
          <w:rPr>
            <w:rStyle w:val="Hyperlink"/>
          </w:rPr>
          <w:t>A</w:t>
        </w:r>
        <w:r w:rsidR="004E1B92" w:rsidRPr="00B514B1">
          <w:rPr>
            <w:rStyle w:val="Hyperlink"/>
          </w:rPr>
          <w:t>ppendi</w:t>
        </w:r>
        <w:r w:rsidR="00B514B1" w:rsidRPr="00B514B1">
          <w:rPr>
            <w:rStyle w:val="Hyperlink"/>
          </w:rPr>
          <w:t>x A</w:t>
        </w:r>
      </w:hyperlink>
      <w:r w:rsidR="004E1B92">
        <w:t>.</w:t>
      </w:r>
    </w:p>
    <w:p w14:paraId="5DBAFC00" w14:textId="5DDA2A43" w:rsidR="003D70C0" w:rsidRDefault="003D70C0" w:rsidP="00B945F7">
      <w:pPr>
        <w:pStyle w:val="Heading3"/>
        <w:numPr>
          <w:ilvl w:val="0"/>
          <w:numId w:val="0"/>
        </w:numPr>
        <w:ind w:left="964" w:hanging="964"/>
      </w:pPr>
      <w:bookmarkStart w:id="30" w:name="_Toc84434484"/>
      <w:r>
        <w:t xml:space="preserve">Revisions </w:t>
      </w:r>
      <w:r w:rsidR="003B6DE3">
        <w:t>to</w:t>
      </w:r>
      <w:r>
        <w:t xml:space="preserve"> </w:t>
      </w:r>
      <w:r w:rsidR="003C7738">
        <w:t>last</w:t>
      </w:r>
      <w:r w:rsidR="003B6DE3">
        <w:t xml:space="preserve"> year</w:t>
      </w:r>
      <w:r w:rsidR="009873E8">
        <w:t>’</w:t>
      </w:r>
      <w:r w:rsidR="003C7738">
        <w:t>s</w:t>
      </w:r>
      <w:r w:rsidR="003B6DE3">
        <w:t xml:space="preserve"> </w:t>
      </w:r>
      <w:r>
        <w:t>data</w:t>
      </w:r>
      <w:bookmarkEnd w:id="30"/>
    </w:p>
    <w:p w14:paraId="395ACEEC" w14:textId="20F03CB8" w:rsidR="003B6DE3" w:rsidRDefault="003B6DE3" w:rsidP="00895047">
      <w:r>
        <w:t xml:space="preserve">Readers should note that APRA </w:t>
      </w:r>
      <w:r w:rsidR="00A31E5F">
        <w:t xml:space="preserve">recently </w:t>
      </w:r>
      <w:r>
        <w:t xml:space="preserve">made significant revisions to lending data </w:t>
      </w:r>
      <w:r w:rsidR="003C7738">
        <w:t>for</w:t>
      </w:r>
      <w:r>
        <w:t xml:space="preserve"> 2018</w:t>
      </w:r>
      <w:r w:rsidR="009873E8">
        <w:t>–</w:t>
      </w:r>
      <w:r>
        <w:t>19</w:t>
      </w:r>
      <w:r w:rsidR="004E1B92">
        <w:t>.</w:t>
      </w:r>
      <w:r>
        <w:t xml:space="preserve"> The most important of these revisions affect</w:t>
      </w:r>
      <w:r w:rsidR="00F937C2">
        <w:t>s</w:t>
      </w:r>
      <w:r>
        <w:t xml:space="preserve"> estimates of agricultural lending in Queensland, </w:t>
      </w:r>
      <w:r w:rsidR="005E5151">
        <w:t xml:space="preserve">with flow-on effects </w:t>
      </w:r>
      <w:r w:rsidR="00F937C2">
        <w:t>for</w:t>
      </w:r>
      <w:r w:rsidR="005E5151">
        <w:t xml:space="preserve"> </w:t>
      </w:r>
      <w:r>
        <w:t>national</w:t>
      </w:r>
      <w:r w:rsidR="005E5151">
        <w:t>-</w:t>
      </w:r>
      <w:r>
        <w:t>level</w:t>
      </w:r>
      <w:r w:rsidR="005E5151">
        <w:t xml:space="preserve"> results</w:t>
      </w:r>
      <w:r>
        <w:t>.</w:t>
      </w:r>
      <w:r w:rsidR="00A31E5F">
        <w:t xml:space="preserve"> </w:t>
      </w:r>
      <w:r w:rsidR="00F937C2">
        <w:t xml:space="preserve">As a result, </w:t>
      </w:r>
      <w:r w:rsidR="00A31E5F">
        <w:t xml:space="preserve">some of the data and analysis in </w:t>
      </w:r>
      <w:r w:rsidR="00176934">
        <w:t>the 2018</w:t>
      </w:r>
      <w:r w:rsidR="003002A7">
        <w:t>–</w:t>
      </w:r>
      <w:r w:rsidR="00176934">
        <w:t>19 report</w:t>
      </w:r>
      <w:r w:rsidR="00A31E5F">
        <w:t xml:space="preserve"> is out of date.</w:t>
      </w:r>
    </w:p>
    <w:p w14:paraId="201AE8C8" w14:textId="4244DA9B" w:rsidR="003D70C0" w:rsidRDefault="003B6DE3" w:rsidP="00895047">
      <w:r>
        <w:t>The revised APRA data for 2018</w:t>
      </w:r>
      <w:r w:rsidR="003002A7">
        <w:t>–</w:t>
      </w:r>
      <w:r>
        <w:t>19 have been used in preparing th</w:t>
      </w:r>
      <w:r w:rsidR="00176934">
        <w:t xml:space="preserve">e current </w:t>
      </w:r>
      <w:r>
        <w:t xml:space="preserve">report and the associated data dashboard. Readers </w:t>
      </w:r>
      <w:r w:rsidR="004E1B92">
        <w:t>interested in accessing</w:t>
      </w:r>
      <w:r w:rsidR="00A95A00">
        <w:t xml:space="preserve"> or using</w:t>
      </w:r>
      <w:r w:rsidR="004E1B92">
        <w:t xml:space="preserve"> the </w:t>
      </w:r>
      <w:r w:rsidR="004B449F">
        <w:t xml:space="preserve">APRA </w:t>
      </w:r>
      <w:r w:rsidR="004E1B92">
        <w:t xml:space="preserve">lending data (including </w:t>
      </w:r>
      <w:r w:rsidR="004B449F">
        <w:t>historical</w:t>
      </w:r>
      <w:r w:rsidR="005E5151">
        <w:t xml:space="preserve"> data</w:t>
      </w:r>
      <w:r w:rsidR="004E1B92">
        <w:t xml:space="preserve">) </w:t>
      </w:r>
      <w:r w:rsidR="003C7738">
        <w:t xml:space="preserve">should access </w:t>
      </w:r>
      <w:r w:rsidR="004E1B92">
        <w:t xml:space="preserve">them via the </w:t>
      </w:r>
      <w:r w:rsidR="000D69B1" w:rsidRPr="000D69B1">
        <w:t>data dashboard,</w:t>
      </w:r>
      <w:r w:rsidR="004E1B92">
        <w:t xml:space="preserve"> rather than </w:t>
      </w:r>
      <w:r w:rsidR="00A95A00">
        <w:t xml:space="preserve">via </w:t>
      </w:r>
      <w:r w:rsidR="004E1B92">
        <w:t xml:space="preserve">the </w:t>
      </w:r>
      <w:r w:rsidR="00A31E5F">
        <w:t>printed</w:t>
      </w:r>
      <w:r w:rsidR="004E1B92">
        <w:t xml:space="preserve"> tables in earlier reports.</w:t>
      </w:r>
    </w:p>
    <w:p w14:paraId="4CB147AA" w14:textId="7463BB50" w:rsidR="00895047" w:rsidRDefault="00895047" w:rsidP="00895047">
      <w:pPr>
        <w:pStyle w:val="Heading2"/>
        <w:numPr>
          <w:ilvl w:val="0"/>
          <w:numId w:val="0"/>
        </w:numPr>
      </w:pPr>
      <w:bookmarkStart w:id="31" w:name="_Toc81924818"/>
      <w:bookmarkStart w:id="32" w:name="_Toc84434485"/>
      <w:r w:rsidRPr="00D246AA">
        <w:lastRenderedPageBreak/>
        <w:t>Developments in agricultural lending in 2019</w:t>
      </w:r>
      <w:r>
        <w:t>–</w:t>
      </w:r>
      <w:r w:rsidRPr="00D246AA">
        <w:t>20</w:t>
      </w:r>
      <w:bookmarkEnd w:id="31"/>
      <w:bookmarkEnd w:id="32"/>
    </w:p>
    <w:p w14:paraId="48172258" w14:textId="3E99F816" w:rsidR="00895047" w:rsidRDefault="00895047" w:rsidP="00895047">
      <w:r w:rsidRPr="00D246AA">
        <w:t xml:space="preserve">At the national level, </w:t>
      </w:r>
      <w:r>
        <w:t>agricultural lending (the</w:t>
      </w:r>
      <w:r w:rsidRPr="00D246AA">
        <w:t xml:space="preserve"> value of loans and leases outstanding</w:t>
      </w:r>
      <w:r>
        <w:t xml:space="preserve"> </w:t>
      </w:r>
      <w:proofErr w:type="gramStart"/>
      <w:r>
        <w:t>at</w:t>
      </w:r>
      <w:proofErr w:type="gramEnd"/>
      <w:r>
        <w:t xml:space="preserve"> 30 June</w:t>
      </w:r>
      <w:r w:rsidR="002F2BFE">
        <w:t xml:space="preserve"> 2020</w:t>
      </w:r>
      <w:r>
        <w:t xml:space="preserve">) </w:t>
      </w:r>
      <w:r w:rsidRPr="00D246AA">
        <w:t>increased from $78.</w:t>
      </w:r>
      <w:r w:rsidR="00B83A33">
        <w:t>3 </w:t>
      </w:r>
      <w:r w:rsidRPr="00D246AA">
        <w:t>b</w:t>
      </w:r>
      <w:r w:rsidR="007F1A21">
        <w:t>illion</w:t>
      </w:r>
      <w:r w:rsidRPr="00D246AA">
        <w:t xml:space="preserve"> at the end of 2018</w:t>
      </w:r>
      <w:r>
        <w:t>–</w:t>
      </w:r>
      <w:r w:rsidRPr="00D246AA">
        <w:t>19 to $8</w:t>
      </w:r>
      <w:r w:rsidR="009121B7">
        <w:t>3</w:t>
      </w:r>
      <w:r w:rsidRPr="00D246AA">
        <w:t>.</w:t>
      </w:r>
      <w:r w:rsidR="009121B7">
        <w:t>7</w:t>
      </w:r>
      <w:r w:rsidR="007F1A21">
        <w:t> </w:t>
      </w:r>
      <w:r w:rsidRPr="00D246AA">
        <w:t>b</w:t>
      </w:r>
      <w:r w:rsidR="007F1A21">
        <w:t>illion</w:t>
      </w:r>
      <w:r w:rsidRPr="00D246AA">
        <w:t xml:space="preserve"> at the end of 2019</w:t>
      </w:r>
      <w:r>
        <w:t>–</w:t>
      </w:r>
      <w:r w:rsidRPr="00D246AA">
        <w:t>20</w:t>
      </w:r>
      <w:r w:rsidR="00694CF0">
        <w:t xml:space="preserve">, </w:t>
      </w:r>
      <w:r w:rsidRPr="00D246AA">
        <w:t xml:space="preserve">an increase of </w:t>
      </w:r>
      <w:r w:rsidR="00184988">
        <w:t>6.9</w:t>
      </w:r>
      <w:r w:rsidRPr="00D246AA">
        <w:t>%. This compares with increases of 5.</w:t>
      </w:r>
      <w:r w:rsidR="00B83A33">
        <w:t>4</w:t>
      </w:r>
      <w:r w:rsidRPr="00D246AA">
        <w:t xml:space="preserve">% </w:t>
      </w:r>
      <w:r w:rsidR="002F2BFE">
        <w:t>in 201</w:t>
      </w:r>
      <w:r w:rsidR="00664D87">
        <w:t>8</w:t>
      </w:r>
      <w:r w:rsidR="002F2BFE">
        <w:t>–1</w:t>
      </w:r>
      <w:r w:rsidR="00664D87">
        <w:t>9</w:t>
      </w:r>
      <w:r w:rsidR="002F2BFE">
        <w:t xml:space="preserve"> </w:t>
      </w:r>
      <w:r w:rsidRPr="00D246AA">
        <w:t xml:space="preserve">and </w:t>
      </w:r>
      <w:r w:rsidR="00B83A33">
        <w:t>4.9</w:t>
      </w:r>
      <w:r w:rsidRPr="00D246AA">
        <w:t xml:space="preserve">% </w:t>
      </w:r>
      <w:r w:rsidR="002F2BFE">
        <w:t>in 201</w:t>
      </w:r>
      <w:r w:rsidR="00664D87">
        <w:t>7</w:t>
      </w:r>
      <w:r w:rsidR="002F2BFE">
        <w:t>–1</w:t>
      </w:r>
      <w:r w:rsidR="00664D87">
        <w:t>8</w:t>
      </w:r>
      <w:r w:rsidR="002F2BFE">
        <w:t xml:space="preserve"> </w:t>
      </w:r>
      <w:r w:rsidRPr="00E812D1">
        <w:t>(</w:t>
      </w:r>
      <w:r w:rsidR="003F591E">
        <w:fldChar w:fldCharType="begin"/>
      </w:r>
      <w:r w:rsidR="003F591E">
        <w:instrText xml:space="preserve"> REF _Ref87544227 \h </w:instrText>
      </w:r>
      <w:r w:rsidR="003F591E">
        <w:fldChar w:fldCharType="separate"/>
      </w:r>
      <w:r w:rsidR="008A23A3">
        <w:t xml:space="preserve">Figure </w:t>
      </w:r>
      <w:r w:rsidR="008A23A3">
        <w:rPr>
          <w:noProof/>
        </w:rPr>
        <w:t>1</w:t>
      </w:r>
      <w:r w:rsidR="003F591E">
        <w:fldChar w:fldCharType="end"/>
      </w:r>
      <w:r w:rsidRPr="00E812D1">
        <w:t>).</w:t>
      </w:r>
    </w:p>
    <w:p w14:paraId="3A8D5ECA" w14:textId="2647B6F3" w:rsidR="00895047" w:rsidRDefault="003002A7" w:rsidP="003002A7">
      <w:pPr>
        <w:pStyle w:val="Caption"/>
      </w:pPr>
      <w:bookmarkStart w:id="33" w:name="_Toc81924830"/>
      <w:bookmarkStart w:id="34" w:name="_Toc87345848"/>
      <w:bookmarkStart w:id="35" w:name="_Ref87544227"/>
      <w:r>
        <w:t xml:space="preserve">Figure </w:t>
      </w:r>
      <w:fldSimple w:instr=" SEQ Figure \* ARABIC ">
        <w:r w:rsidR="008A23A3">
          <w:rPr>
            <w:noProof/>
          </w:rPr>
          <w:t>1</w:t>
        </w:r>
      </w:fldSimple>
      <w:bookmarkEnd w:id="35"/>
      <w:r>
        <w:t xml:space="preserve"> </w:t>
      </w:r>
      <w:r w:rsidR="00895047">
        <w:t xml:space="preserve">Loans and leases outstanding </w:t>
      </w:r>
      <w:proofErr w:type="gramStart"/>
      <w:r w:rsidR="00895047">
        <w:t>at</w:t>
      </w:r>
      <w:proofErr w:type="gramEnd"/>
      <w:r w:rsidR="00895047">
        <w:t xml:space="preserve"> 30 June, Australia, 2016–17 to 2019–20</w:t>
      </w:r>
      <w:bookmarkEnd w:id="33"/>
      <w:bookmarkEnd w:id="34"/>
    </w:p>
    <w:p w14:paraId="5C7A3689" w14:textId="2CA1ED49" w:rsidR="00895047" w:rsidRPr="00D9312C" w:rsidRDefault="002F4CB1" w:rsidP="00895047">
      <w:pPr>
        <w:pStyle w:val="FigureTableNoteSource"/>
      </w:pPr>
      <w:r w:rsidRPr="002F4CB1">
        <w:rPr>
          <w:noProof/>
        </w:rPr>
        <w:drawing>
          <wp:inline distT="0" distB="0" distL="0" distR="0" wp14:anchorId="1522B682" wp14:editId="5B18DC8A">
            <wp:extent cx="5759450" cy="2515870"/>
            <wp:effectExtent l="0" t="0" r="0" b="0"/>
            <wp:docPr id="5" name="Picture 5" descr="Key data presented in the column chart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ey data presented in the column chart are covered in the previous paragrap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515870"/>
                    </a:xfrm>
                    <a:prstGeom prst="rect">
                      <a:avLst/>
                    </a:prstGeom>
                    <a:noFill/>
                    <a:ln>
                      <a:noFill/>
                    </a:ln>
                  </pic:spPr>
                </pic:pic>
              </a:graphicData>
            </a:graphic>
          </wp:inline>
        </w:drawing>
      </w:r>
    </w:p>
    <w:p w14:paraId="578B06BA" w14:textId="5ECA650D" w:rsidR="00895047" w:rsidRDefault="00895047" w:rsidP="00895047">
      <w:pPr>
        <w:pStyle w:val="FigureTableNoteSource"/>
      </w:pPr>
      <w:r>
        <w:t>Source: APRA</w:t>
      </w:r>
    </w:p>
    <w:p w14:paraId="0B8DE910" w14:textId="1DECEA9E" w:rsidR="00895047" w:rsidRDefault="00895047" w:rsidP="00895047">
      <w:r>
        <w:t>Lending to the agricultur</w:t>
      </w:r>
      <w:r w:rsidR="00694CF0">
        <w:t>al</w:t>
      </w:r>
      <w:r>
        <w:t xml:space="preserve"> sector increased in most states during 2019–20, with the largest </w:t>
      </w:r>
      <w:r w:rsidR="00A117FD">
        <w:t xml:space="preserve">percentage </w:t>
      </w:r>
      <w:r>
        <w:t xml:space="preserve">increases occurring in </w:t>
      </w:r>
      <w:r w:rsidR="009D2B3E">
        <w:t>Tasmania</w:t>
      </w:r>
      <w:r>
        <w:t xml:space="preserve"> (</w:t>
      </w:r>
      <w:r w:rsidR="00E41976">
        <w:t>14.3</w:t>
      </w:r>
      <w:r>
        <w:t>%) and</w:t>
      </w:r>
      <w:r w:rsidR="00712AB9">
        <w:t xml:space="preserve"> New South Wales (10.8%)</w:t>
      </w:r>
      <w:r>
        <w:t xml:space="preserve"> (</w:t>
      </w:r>
      <w:r>
        <w:fldChar w:fldCharType="begin"/>
      </w:r>
      <w:r>
        <w:instrText xml:space="preserve"> REF _Ref80783468 \h </w:instrText>
      </w:r>
      <w:r>
        <w:fldChar w:fldCharType="separate"/>
      </w:r>
      <w:r w:rsidR="008A23A3">
        <w:t xml:space="preserve">Figure </w:t>
      </w:r>
      <w:r w:rsidR="008A23A3">
        <w:rPr>
          <w:noProof/>
        </w:rPr>
        <w:t>2</w:t>
      </w:r>
      <w:r>
        <w:fldChar w:fldCharType="end"/>
      </w:r>
      <w:r>
        <w:t>).</w:t>
      </w:r>
      <w:r w:rsidR="009D2B3E">
        <w:t xml:space="preserve"> </w:t>
      </w:r>
    </w:p>
    <w:p w14:paraId="5E32B5F8" w14:textId="6D93D4AF" w:rsidR="00895047" w:rsidRDefault="003002A7" w:rsidP="00895047">
      <w:pPr>
        <w:pStyle w:val="Caption"/>
      </w:pPr>
      <w:bookmarkStart w:id="36" w:name="_Ref80783468"/>
      <w:bookmarkStart w:id="37" w:name="_Toc81924831"/>
      <w:bookmarkStart w:id="38" w:name="_Toc87345849"/>
      <w:r>
        <w:t>Figure</w:t>
      </w:r>
      <w:r w:rsidR="00895047">
        <w:t xml:space="preserve"> </w:t>
      </w:r>
      <w:fldSimple w:instr=" SEQ Figure \* ARABIC ">
        <w:r w:rsidR="008A23A3">
          <w:rPr>
            <w:noProof/>
          </w:rPr>
          <w:t>2</w:t>
        </w:r>
      </w:fldSimple>
      <w:bookmarkEnd w:id="36"/>
      <w:r w:rsidR="00895047">
        <w:t xml:space="preserve"> Loans and leases outstanding </w:t>
      </w:r>
      <w:proofErr w:type="gramStart"/>
      <w:r w:rsidR="00895047">
        <w:t>at</w:t>
      </w:r>
      <w:proofErr w:type="gramEnd"/>
      <w:r w:rsidR="00895047">
        <w:t xml:space="preserve"> 30 June, by state, 2018–19 to 2019–20</w:t>
      </w:r>
      <w:bookmarkEnd w:id="37"/>
      <w:bookmarkEnd w:id="38"/>
    </w:p>
    <w:p w14:paraId="5A7BDCE9" w14:textId="543A8A5F" w:rsidR="00895047" w:rsidRPr="00D9312C" w:rsidRDefault="00696242" w:rsidP="00895047">
      <w:pPr>
        <w:pStyle w:val="FigureTableNoteSource"/>
      </w:pPr>
      <w:r w:rsidRPr="000656C8">
        <w:rPr>
          <w:noProof/>
        </w:rPr>
        <w:drawing>
          <wp:inline distT="0" distB="0" distL="0" distR="0" wp14:anchorId="64DB4E3A" wp14:editId="3BD7B7C0">
            <wp:extent cx="5511800" cy="2791754"/>
            <wp:effectExtent l="0" t="0" r="0" b="8890"/>
            <wp:docPr id="17" name="Picture 17" descr="In addition to the key data outlined in the previous paragraph, this comparative column chart shows that aggregate lending is highest in New South Wales and Queensland and lowest in Tasmania and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 addition to the key data outlined in the previous paragraph, this comparative column chart shows that aggregate lending is highest in New South Wales and Queensland and lowest in Tasmania and the Northern Territo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7529" cy="2799721"/>
                    </a:xfrm>
                    <a:prstGeom prst="rect">
                      <a:avLst/>
                    </a:prstGeom>
                    <a:noFill/>
                    <a:ln>
                      <a:noFill/>
                    </a:ln>
                  </pic:spPr>
                </pic:pic>
              </a:graphicData>
            </a:graphic>
          </wp:inline>
        </w:drawing>
      </w:r>
    </w:p>
    <w:p w14:paraId="5EFC786C" w14:textId="77777777" w:rsidR="000E68AC" w:rsidRDefault="00895047" w:rsidP="00895047">
      <w:pPr>
        <w:pStyle w:val="FigureTableNoteSource"/>
      </w:pPr>
      <w:r>
        <w:t>Note: Data for New South Wales includes the Australian Capital Territory.</w:t>
      </w:r>
    </w:p>
    <w:p w14:paraId="32BBFC8A" w14:textId="3E76648E" w:rsidR="00895047" w:rsidRDefault="00895047" w:rsidP="00895047">
      <w:pPr>
        <w:pStyle w:val="FigureTableNoteSource"/>
      </w:pPr>
      <w:r>
        <w:t>Source: APRA</w:t>
      </w:r>
    </w:p>
    <w:p w14:paraId="70D40D27" w14:textId="6D3C0DE0" w:rsidR="00895047" w:rsidRDefault="00895047" w:rsidP="00895047">
      <w:r>
        <w:lastRenderedPageBreak/>
        <w:t xml:space="preserve">Increases in agricultural lending in New South Wales and Queensland during 2019–20 </w:t>
      </w:r>
      <w:proofErr w:type="gramStart"/>
      <w:r>
        <w:t>are</w:t>
      </w:r>
      <w:proofErr w:type="gramEnd"/>
      <w:r>
        <w:t xml:space="preserve"> likely to have been driven by the need for increased ‘carry on’ finance in response to drought. For example, results from ABARES surveys of broadacre and dairy farms in both Queensland and New South Wales show a sharp increase in borrowing for working capital purposes in both 2018–19 and 2019–20</w:t>
      </w:r>
      <w:r w:rsidR="00255035">
        <w:t xml:space="preserve"> (Box 1)</w:t>
      </w:r>
      <w:r>
        <w:t xml:space="preserve">. Borrowing for working capital purposes represented around 40% of new loans taken out during both 2018–19 and 2019–20, compared with an average of just 15% </w:t>
      </w:r>
      <w:r w:rsidR="00255035">
        <w:t xml:space="preserve">across </w:t>
      </w:r>
      <w:r>
        <w:t xml:space="preserve">the </w:t>
      </w:r>
      <w:r w:rsidR="00481279">
        <w:t>4</w:t>
      </w:r>
      <w:r>
        <w:t xml:space="preserve"> prior </w:t>
      </w:r>
      <w:r w:rsidR="00255035">
        <w:t>financial years</w:t>
      </w:r>
      <w:r w:rsidR="00176A0E">
        <w:t>.</w:t>
      </w:r>
    </w:p>
    <w:p w14:paraId="120974E7" w14:textId="77777777" w:rsidR="00895047" w:rsidRDefault="00895047" w:rsidP="00895047">
      <w:r>
        <w:t>In Western Australia, where farming was much less affected by drought in the period up to 2019–20, farms that increased their borrowing in 2018–19 and 2019–20 largely did so to fund land and machinery purchases (70% of new borrowing) compared with borrowing for working capital (22% of new borrowing).</w:t>
      </w:r>
    </w:p>
    <w:p w14:paraId="0FD66C68" w14:textId="65271E1F" w:rsidR="00895047" w:rsidRDefault="00895047" w:rsidP="00895047">
      <w:pPr>
        <w:pStyle w:val="Heading3"/>
        <w:numPr>
          <w:ilvl w:val="0"/>
          <w:numId w:val="0"/>
        </w:numPr>
        <w:ind w:left="964" w:hanging="964"/>
      </w:pPr>
      <w:bookmarkStart w:id="39" w:name="_Toc81924819"/>
      <w:bookmarkStart w:id="40" w:name="_Toc84434486"/>
      <w:r>
        <w:t>Industry-level results</w:t>
      </w:r>
      <w:bookmarkEnd w:id="39"/>
      <w:bookmarkEnd w:id="40"/>
    </w:p>
    <w:p w14:paraId="300984E2" w14:textId="5040F38D" w:rsidR="00895047" w:rsidRDefault="00895047" w:rsidP="00895047">
      <w:r>
        <w:t>The dominant driver of agricultural lending patterns in recent years is drought, although some industry-specific factors are also likely to have been significant.</w:t>
      </w:r>
    </w:p>
    <w:p w14:paraId="783BA74B" w14:textId="4D018FC1" w:rsidR="00895047" w:rsidRDefault="00895047" w:rsidP="00895047">
      <w:r>
        <w:t xml:space="preserve">Agricultural lending patterns in 2019–20 varied across </w:t>
      </w:r>
      <w:r w:rsidR="00C304D6">
        <w:t>industries.</w:t>
      </w:r>
      <w:r>
        <w:t xml:space="preserve"> For example, aggregate lending to farms in the ‘other crop growing’ industry (which includes growers of fodder, </w:t>
      </w:r>
      <w:proofErr w:type="gramStart"/>
      <w:r>
        <w:t>hay</w:t>
      </w:r>
      <w:proofErr w:type="gramEnd"/>
      <w:r>
        <w:t xml:space="preserve"> and silage crops) increased by 13% during 2019–20, while lending to dairy farms decreased by 7% (</w:t>
      </w:r>
      <w:r>
        <w:fldChar w:fldCharType="begin"/>
      </w:r>
      <w:r>
        <w:instrText xml:space="preserve"> REF _Ref80788518 \h </w:instrText>
      </w:r>
      <w:r>
        <w:fldChar w:fldCharType="separate"/>
      </w:r>
      <w:r w:rsidR="008A23A3">
        <w:t xml:space="preserve">Figure </w:t>
      </w:r>
      <w:r w:rsidR="008A23A3">
        <w:rPr>
          <w:noProof/>
        </w:rPr>
        <w:t>3</w:t>
      </w:r>
      <w:r>
        <w:fldChar w:fldCharType="end"/>
      </w:r>
      <w:r>
        <w:t>).</w:t>
      </w:r>
    </w:p>
    <w:p w14:paraId="238DD63E" w14:textId="76776EDB" w:rsidR="00895047" w:rsidRDefault="003002A7" w:rsidP="00895047">
      <w:pPr>
        <w:pStyle w:val="Caption"/>
      </w:pPr>
      <w:bookmarkStart w:id="41" w:name="_Ref80788518"/>
      <w:bookmarkStart w:id="42" w:name="_Toc81924832"/>
      <w:bookmarkStart w:id="43" w:name="_Toc87345850"/>
      <w:r>
        <w:t>Figure</w:t>
      </w:r>
      <w:r w:rsidR="00895047">
        <w:t xml:space="preserve"> </w:t>
      </w:r>
      <w:fldSimple w:instr=" SEQ Figure \* ARABIC ">
        <w:r w:rsidR="008A23A3">
          <w:rPr>
            <w:noProof/>
          </w:rPr>
          <w:t>3</w:t>
        </w:r>
      </w:fldSimple>
      <w:bookmarkEnd w:id="41"/>
      <w:r w:rsidR="00895047">
        <w:t xml:space="preserve"> Change in loans and leases outstanding, by industry, 2018–19 to 2019–20</w:t>
      </w:r>
      <w:bookmarkEnd w:id="42"/>
      <w:bookmarkEnd w:id="43"/>
    </w:p>
    <w:p w14:paraId="1360D4E1" w14:textId="51448B5B" w:rsidR="00895047" w:rsidRDefault="002F4CB1" w:rsidP="00895047">
      <w:pPr>
        <w:pStyle w:val="FigureTableNoteSource"/>
      </w:pPr>
      <w:r w:rsidRPr="002F4CB1">
        <w:rPr>
          <w:noProof/>
        </w:rPr>
        <w:drawing>
          <wp:inline distT="0" distB="0" distL="0" distR="0" wp14:anchorId="4BFBF728" wp14:editId="20E2995B">
            <wp:extent cx="5759450" cy="2840355"/>
            <wp:effectExtent l="0" t="0" r="0" b="0"/>
            <wp:docPr id="8" name="Picture 8" descr="This bar chart shows increases of greater than 10% in lending for other crop-growing, sheep and sheep-beef, fruit and nut-growing, and grape-growing enterprises. The dairy industry shows the largest percentage decrease in lending and is the only industry to reduce by more th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bar chart shows increases of greater than 10% in lending for other crop-growing, sheep and sheep-beef, fruit and nut-growing, and grape-growing enterprises. The dairy industry shows the largest percentage decrease in lending and is the only industry to reduce by more than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840355"/>
                    </a:xfrm>
                    <a:prstGeom prst="rect">
                      <a:avLst/>
                    </a:prstGeom>
                    <a:noFill/>
                    <a:ln>
                      <a:noFill/>
                    </a:ln>
                  </pic:spPr>
                </pic:pic>
              </a:graphicData>
            </a:graphic>
          </wp:inline>
        </w:drawing>
      </w:r>
    </w:p>
    <w:p w14:paraId="04D372BD" w14:textId="77777777" w:rsidR="00895047" w:rsidRDefault="00895047" w:rsidP="00895047">
      <w:pPr>
        <w:pStyle w:val="FigureTableNoteSource"/>
      </w:pPr>
      <w:r>
        <w:t>Source: APRA</w:t>
      </w:r>
    </w:p>
    <w:p w14:paraId="3EE57C93" w14:textId="66CC5936" w:rsidR="00895047" w:rsidRDefault="00895047" w:rsidP="00895047">
      <w:r>
        <w:t>The reduction in lending to dairy farms in 2019–20 is consistent with a further decline in the overall size of this sector, as farmers continued to adjust to a sustained period of challenging market conditions on both the output side (periods of low farm-gate milk prices) and the input side (periods of high prices for feed and irrigation water). According to Dairy Australia (2021):</w:t>
      </w:r>
    </w:p>
    <w:p w14:paraId="04E8EAEC" w14:textId="77777777" w:rsidR="00895047" w:rsidRPr="002901F5" w:rsidRDefault="00895047" w:rsidP="00895047">
      <w:pPr>
        <w:pStyle w:val="Quote"/>
        <w:rPr>
          <w:i/>
          <w:iCs w:val="0"/>
        </w:rPr>
      </w:pPr>
      <w:r>
        <w:rPr>
          <w:i/>
          <w:iCs w:val="0"/>
        </w:rPr>
        <w:t>“</w:t>
      </w:r>
      <w:r w:rsidRPr="002901F5">
        <w:rPr>
          <w:i/>
          <w:iCs w:val="0"/>
        </w:rPr>
        <w:t xml:space="preserve">One factor contributing to [the decline in the number of dairy cattle in Australia in 2019–20] is </w:t>
      </w:r>
      <w:r w:rsidRPr="002901F5">
        <w:rPr>
          <w:i/>
          <w:iCs w:val="0"/>
          <w:shd w:val="clear" w:color="auto" w:fill="FFFFFF"/>
        </w:rPr>
        <w:t xml:space="preserve">the increased volatility in farm cash incomes. This has led many farmers to participate in the export heifer trade or sell dairy cows for slaughter </w:t>
      </w:r>
      <w:proofErr w:type="gramStart"/>
      <w:r w:rsidRPr="002901F5">
        <w:rPr>
          <w:i/>
          <w:iCs w:val="0"/>
          <w:shd w:val="clear" w:color="auto" w:fill="FFFFFF"/>
        </w:rPr>
        <w:t xml:space="preserve">in an attempt </w:t>
      </w:r>
      <w:r w:rsidRPr="002901F5">
        <w:rPr>
          <w:i/>
          <w:iCs w:val="0"/>
          <w:shd w:val="clear" w:color="auto" w:fill="FFFFFF"/>
        </w:rPr>
        <w:lastRenderedPageBreak/>
        <w:t>to</w:t>
      </w:r>
      <w:proofErr w:type="gramEnd"/>
      <w:r w:rsidRPr="002901F5">
        <w:rPr>
          <w:i/>
          <w:iCs w:val="0"/>
          <w:shd w:val="clear" w:color="auto" w:fill="FFFFFF"/>
        </w:rPr>
        <w:t xml:space="preserve"> stabilise farm income. In 2019–20 the national herd decreased as a challenging start to the year resulted in an increase in farm exits and a move to smaller herd sizes on many farms.</w:t>
      </w:r>
      <w:r>
        <w:rPr>
          <w:i/>
          <w:iCs w:val="0"/>
          <w:shd w:val="clear" w:color="auto" w:fill="FFFFFF"/>
        </w:rPr>
        <w:t>”</w:t>
      </w:r>
    </w:p>
    <w:p w14:paraId="76891934" w14:textId="391F981A" w:rsidR="00895047" w:rsidRDefault="00895047" w:rsidP="00895047">
      <w:r>
        <w:t>The increase in lending to farms in the grape growing and fruit and nuts sectors may reflect an expansion in output in these industries in recent years, as farmers and investors respond</w:t>
      </w:r>
      <w:r w:rsidR="00480DAA">
        <w:t>ed</w:t>
      </w:r>
      <w:r>
        <w:t xml:space="preserve"> to favourable prices and export opportunities. For example, between 2017–18 and 2019–20 the gross value of fruit &amp; nut production in Australia increased by 18%, and the value of grape growing (table grapes plus wine grapes) increased by 8% (ABARES 2021). In contrast, the gross value of production in the rest of the farm sector grew by less than 2% over the period.</w:t>
      </w:r>
    </w:p>
    <w:p w14:paraId="0498C5F2" w14:textId="206E8134" w:rsidR="00895047" w:rsidRPr="00022F1A" w:rsidRDefault="00895047" w:rsidP="00895047">
      <w:pPr>
        <w:pStyle w:val="Heading3"/>
        <w:numPr>
          <w:ilvl w:val="0"/>
          <w:numId w:val="0"/>
        </w:numPr>
        <w:ind w:left="964" w:hanging="964"/>
      </w:pPr>
      <w:bookmarkStart w:id="44" w:name="_Toc81924820"/>
      <w:bookmarkStart w:id="45" w:name="_Toc84434487"/>
      <w:r w:rsidRPr="00022F1A">
        <w:t>Borrowers in arrears</w:t>
      </w:r>
      <w:bookmarkEnd w:id="44"/>
      <w:bookmarkEnd w:id="45"/>
    </w:p>
    <w:p w14:paraId="73EE97AC" w14:textId="704AD156" w:rsidR="00895047" w:rsidRDefault="00895047" w:rsidP="00895047">
      <w:r>
        <w:t>The agricultural lending data for 2019–20 provide some evidence of growing difficulty within the farm sector in servicing loans. For example, the value of loans and leases that were more than 90 days past due increased from $</w:t>
      </w:r>
      <w:r w:rsidR="006973CE">
        <w:t>663 </w:t>
      </w:r>
      <w:r>
        <w:t>m</w:t>
      </w:r>
      <w:r w:rsidR="007F1A21">
        <w:t>illion</w:t>
      </w:r>
      <w:r>
        <w:t xml:space="preserve"> in 2018–19 to $1.</w:t>
      </w:r>
      <w:r w:rsidR="00696242">
        <w:t xml:space="preserve">1 </w:t>
      </w:r>
      <w:r>
        <w:t>b</w:t>
      </w:r>
      <w:r w:rsidR="007F1A21">
        <w:t>illion</w:t>
      </w:r>
      <w:r>
        <w:t xml:space="preserve"> in 2019–20</w:t>
      </w:r>
      <w:r w:rsidR="00694CF0">
        <w:t xml:space="preserve">, </w:t>
      </w:r>
      <w:r>
        <w:t xml:space="preserve">an increase of </w:t>
      </w:r>
      <w:r w:rsidR="001D67DF">
        <w:t>65</w:t>
      </w:r>
      <w:r>
        <w:t>%. In contrast, the value of loans and leases in arrears increased by 15% during the 2018–19 financial year and decreased by 9% during 2017–18 (</w:t>
      </w:r>
      <w:r>
        <w:fldChar w:fldCharType="begin"/>
      </w:r>
      <w:r>
        <w:instrText xml:space="preserve"> REF _Ref80864155 \h </w:instrText>
      </w:r>
      <w:r>
        <w:fldChar w:fldCharType="separate"/>
      </w:r>
      <w:r w:rsidR="008A23A3">
        <w:t xml:space="preserve">Figure </w:t>
      </w:r>
      <w:r w:rsidR="008A23A3">
        <w:rPr>
          <w:noProof/>
        </w:rPr>
        <w:t>4</w:t>
      </w:r>
      <w:r>
        <w:fldChar w:fldCharType="end"/>
      </w:r>
      <w:r>
        <w:t>).</w:t>
      </w:r>
    </w:p>
    <w:p w14:paraId="15F5D714" w14:textId="213A7CC2" w:rsidR="0000281D" w:rsidRDefault="0000281D" w:rsidP="0000281D">
      <w:r>
        <w:t>When represented as a share of total agricultural lending, loans and leases in arrears increased from 0.8% of total lending in 2018–19 to 1.</w:t>
      </w:r>
      <w:r w:rsidR="006973CE">
        <w:t>3</w:t>
      </w:r>
      <w:r>
        <w:t>% of total lending in 2019–20.</w:t>
      </w:r>
    </w:p>
    <w:p w14:paraId="233D9B9F" w14:textId="1CEC21C0" w:rsidR="00895047" w:rsidRPr="008B25AA" w:rsidRDefault="003002A7" w:rsidP="00895047">
      <w:pPr>
        <w:pStyle w:val="Caption"/>
      </w:pPr>
      <w:bookmarkStart w:id="46" w:name="_Ref80864155"/>
      <w:bookmarkStart w:id="47" w:name="_Toc81924833"/>
      <w:bookmarkStart w:id="48" w:name="_Toc87345851"/>
      <w:r>
        <w:t>Figure</w:t>
      </w:r>
      <w:r w:rsidR="00895047">
        <w:t xml:space="preserve"> </w:t>
      </w:r>
      <w:fldSimple w:instr=" SEQ Figure \* ARABIC ">
        <w:r w:rsidR="008A23A3">
          <w:rPr>
            <w:noProof/>
          </w:rPr>
          <w:t>4</w:t>
        </w:r>
      </w:fldSimple>
      <w:bookmarkEnd w:id="46"/>
      <w:r w:rsidR="00895047">
        <w:t xml:space="preserve"> L</w:t>
      </w:r>
      <w:r w:rsidR="00895047" w:rsidRPr="008C625C">
        <w:t>oans and leases more than 90 days past due</w:t>
      </w:r>
      <w:r w:rsidR="00895047">
        <w:t>, Australia, 2016–17 to 2019–20</w:t>
      </w:r>
      <w:bookmarkEnd w:id="47"/>
      <w:bookmarkEnd w:id="48"/>
    </w:p>
    <w:p w14:paraId="0D87D93D" w14:textId="5BD0E090" w:rsidR="00895047" w:rsidRDefault="002F4CB1" w:rsidP="00895047">
      <w:pPr>
        <w:pStyle w:val="FigureTableNoteSource"/>
      </w:pPr>
      <w:r w:rsidRPr="002F4CB1">
        <w:rPr>
          <w:noProof/>
        </w:rPr>
        <w:drawing>
          <wp:inline distT="0" distB="0" distL="0" distR="0" wp14:anchorId="0A1B0494" wp14:editId="29C49F4C">
            <wp:extent cx="5759450" cy="2455545"/>
            <wp:effectExtent l="0" t="0" r="0" b="1905"/>
            <wp:docPr id="9" name="Picture 9" descr="Key data presented in the column and line chart are covered in the previous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Key data presented in the column and line chart are covered in the previous paragraph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455545"/>
                    </a:xfrm>
                    <a:prstGeom prst="rect">
                      <a:avLst/>
                    </a:prstGeom>
                    <a:noFill/>
                    <a:ln>
                      <a:noFill/>
                    </a:ln>
                  </pic:spPr>
                </pic:pic>
              </a:graphicData>
            </a:graphic>
          </wp:inline>
        </w:drawing>
      </w:r>
    </w:p>
    <w:p w14:paraId="2FA5AEA9" w14:textId="77777777" w:rsidR="00895047" w:rsidRDefault="00895047" w:rsidP="00895047">
      <w:pPr>
        <w:pStyle w:val="FigureTableNoteSource"/>
      </w:pPr>
      <w:r>
        <w:t>Note: Value of loans and lease more than 90 days past due at the end of each financial year.</w:t>
      </w:r>
    </w:p>
    <w:p w14:paraId="022A5766" w14:textId="77777777" w:rsidR="00895047" w:rsidRDefault="00895047" w:rsidP="00895047">
      <w:pPr>
        <w:pStyle w:val="FigureTableNoteSource"/>
      </w:pPr>
      <w:r>
        <w:t>Source: APRA</w:t>
      </w:r>
    </w:p>
    <w:p w14:paraId="7AAE6842" w14:textId="07984599" w:rsidR="00895047" w:rsidRDefault="00895047" w:rsidP="00895047">
      <w:r>
        <w:t xml:space="preserve">As with changes in total lending in 2019–20, there were significant differences across states. For example, </w:t>
      </w:r>
      <w:r w:rsidR="00481279">
        <w:t>4</w:t>
      </w:r>
      <w:r>
        <w:t xml:space="preserve"> states – New South Wales, Queensland, </w:t>
      </w:r>
      <w:proofErr w:type="gramStart"/>
      <w:r>
        <w:t>Victoria</w:t>
      </w:r>
      <w:proofErr w:type="gramEnd"/>
      <w:r>
        <w:t xml:space="preserve"> and South Australia – recorded large increases in the value and number of loans and leases in arrears during 2019–20 (</w:t>
      </w:r>
      <w:r>
        <w:fldChar w:fldCharType="begin"/>
      </w:r>
      <w:r>
        <w:instrText xml:space="preserve"> REF _Ref80864988 \h </w:instrText>
      </w:r>
      <w:r>
        <w:fldChar w:fldCharType="separate"/>
      </w:r>
      <w:r w:rsidR="008A23A3">
        <w:t xml:space="preserve">Figure </w:t>
      </w:r>
      <w:r w:rsidR="008A23A3">
        <w:rPr>
          <w:noProof/>
        </w:rPr>
        <w:t>5</w:t>
      </w:r>
      <w:r>
        <w:fldChar w:fldCharType="end"/>
      </w:r>
      <w:r>
        <w:t>). New South Wales also recorded a large increase in loans and leases in arrears during the previous financial year (2018–19).</w:t>
      </w:r>
      <w:r w:rsidR="00C379E1">
        <w:t xml:space="preserve"> These developments likely reflect the cumulative impact of drought on farm cash flows in much of eastern Australia in the three year</w:t>
      </w:r>
      <w:r w:rsidR="006319B7">
        <w:t>s</w:t>
      </w:r>
      <w:r w:rsidR="00C379E1">
        <w:t xml:space="preserve"> up to and including 2019</w:t>
      </w:r>
      <w:r w:rsidR="00E17961">
        <w:t>–</w:t>
      </w:r>
      <w:r w:rsidR="00C379E1">
        <w:t>20.</w:t>
      </w:r>
    </w:p>
    <w:p w14:paraId="7D8DA322" w14:textId="77777777" w:rsidR="00E00E97" w:rsidRDefault="00E00E97" w:rsidP="00E00E97">
      <w:r>
        <w:t>In contrast, the value of loans in arrears in Western Australia fell slightly during 2019–20, on top of more substantive declines in the 2 previous financial years.</w:t>
      </w:r>
    </w:p>
    <w:p w14:paraId="0FE2A2BE" w14:textId="21FC74C5" w:rsidR="00895047" w:rsidRDefault="003002A7" w:rsidP="00895047">
      <w:pPr>
        <w:pStyle w:val="Caption"/>
      </w:pPr>
      <w:bookmarkStart w:id="49" w:name="_Ref80864988"/>
      <w:bookmarkStart w:id="50" w:name="_Toc81924834"/>
      <w:bookmarkStart w:id="51" w:name="_Toc87345852"/>
      <w:r>
        <w:lastRenderedPageBreak/>
        <w:t>Figure</w:t>
      </w:r>
      <w:r w:rsidR="00895047">
        <w:t xml:space="preserve"> </w:t>
      </w:r>
      <w:fldSimple w:instr=" SEQ Figure \* ARABIC ">
        <w:r w:rsidR="008A23A3">
          <w:rPr>
            <w:noProof/>
          </w:rPr>
          <w:t>5</w:t>
        </w:r>
      </w:fldSimple>
      <w:bookmarkEnd w:id="49"/>
      <w:r w:rsidR="00895047">
        <w:t xml:space="preserve"> L</w:t>
      </w:r>
      <w:r w:rsidR="00895047" w:rsidRPr="008C625C">
        <w:t>oans and leases more than 90 days past due</w:t>
      </w:r>
      <w:r w:rsidR="00895047">
        <w:t>, by state, 2016–17 to 2019–20</w:t>
      </w:r>
      <w:bookmarkEnd w:id="50"/>
      <w:bookmarkEnd w:id="51"/>
    </w:p>
    <w:p w14:paraId="048A02C2" w14:textId="08C86129" w:rsidR="00895047" w:rsidRDefault="001D67DF" w:rsidP="00895047">
      <w:pPr>
        <w:pStyle w:val="FigureTableNoteSource"/>
      </w:pPr>
      <w:r w:rsidRPr="000656C8">
        <w:rPr>
          <w:noProof/>
        </w:rPr>
        <w:drawing>
          <wp:inline distT="0" distB="0" distL="0" distR="0" wp14:anchorId="0A440929" wp14:editId="59C7F627">
            <wp:extent cx="5759450" cy="2548255"/>
            <wp:effectExtent l="0" t="0" r="0" b="4445"/>
            <wp:docPr id="13" name="Picture 13" descr="In addition to the key data outlined in the previous paragraph, this comparative column chart shows significant increases in loans in arrears in Queensland, Victoria and South Australia in 2019–20. This contrasts with a relatively stable level of overdue loans and leases across the 3 prior financial years. Tasmania has the lowest aggregate level of overdue lending, despite a small increas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 addition to the key data outlined in the previous paragraph, this comparative column chart shows significant increases in loans in arrears in Queensland, Victoria and South Australia in 2019–20. This contrasts with a relatively stable level of overdue loans and leases across the 3 prior financial years. Tasmania has the lowest aggregate level of overdue lending, despite a small increase in 2019–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548255"/>
                    </a:xfrm>
                    <a:prstGeom prst="rect">
                      <a:avLst/>
                    </a:prstGeom>
                    <a:noFill/>
                    <a:ln>
                      <a:noFill/>
                    </a:ln>
                  </pic:spPr>
                </pic:pic>
              </a:graphicData>
            </a:graphic>
          </wp:inline>
        </w:drawing>
      </w:r>
    </w:p>
    <w:p w14:paraId="3D9874A3" w14:textId="77777777" w:rsidR="00895047" w:rsidRDefault="00895047" w:rsidP="00895047">
      <w:pPr>
        <w:pStyle w:val="FigureTableNoteSource"/>
      </w:pPr>
      <w:r>
        <w:t xml:space="preserve">Note: Loans and lease more than 90 days past due </w:t>
      </w:r>
      <w:proofErr w:type="gramStart"/>
      <w:r>
        <w:t>at</w:t>
      </w:r>
      <w:proofErr w:type="gramEnd"/>
      <w:r>
        <w:t xml:space="preserve"> 30 June. Data for the Northern Territory is not available.</w:t>
      </w:r>
    </w:p>
    <w:p w14:paraId="1CBF78D8" w14:textId="77777777" w:rsidR="00895047" w:rsidRDefault="00895047" w:rsidP="00895047">
      <w:pPr>
        <w:pStyle w:val="FigureTableNoteSource"/>
      </w:pPr>
      <w:r>
        <w:t>Source: APRA</w:t>
      </w:r>
    </w:p>
    <w:p w14:paraId="3689A669" w14:textId="4210AF1E" w:rsidR="00445A68" w:rsidRDefault="00895047" w:rsidP="00445A68">
      <w:r>
        <w:t>While statistics relating to loans and leases in arrears suggest greater financial difficulty in the farm sector during 2019–20, the number of new instances of debt mediation was lower compared with the previous year. Specifically, there were 200 instances of new debt mediations in 2019–20, compared with 264 in 2018–19 (</w:t>
      </w:r>
      <w:r>
        <w:fldChar w:fldCharType="begin"/>
      </w:r>
      <w:r>
        <w:instrText xml:space="preserve"> REF _Ref81492363 \h </w:instrText>
      </w:r>
      <w:r>
        <w:fldChar w:fldCharType="separate"/>
      </w:r>
      <w:r w:rsidR="008A23A3">
        <w:t xml:space="preserve">Figure </w:t>
      </w:r>
      <w:r w:rsidR="008A23A3">
        <w:rPr>
          <w:noProof/>
        </w:rPr>
        <w:t>6</w:t>
      </w:r>
      <w:r>
        <w:fldChar w:fldCharType="end"/>
      </w:r>
      <w:r>
        <w:t xml:space="preserve">). Reductions in new debt mediations were </w:t>
      </w:r>
      <w:r w:rsidRPr="00A24222">
        <w:t>recorded in all states for which data are available. Note that APRA results by state or industry or state by industry are not always available due to confidentiality reasons (</w:t>
      </w:r>
      <w:hyperlink w:anchor="Appendix_A" w:history="1">
        <w:r w:rsidR="00953BA8" w:rsidRPr="001051F5">
          <w:rPr>
            <w:rStyle w:val="Hyperlink"/>
          </w:rPr>
          <w:t xml:space="preserve">Appendix </w:t>
        </w:r>
        <w:r w:rsidR="001051F5" w:rsidRPr="001051F5">
          <w:rPr>
            <w:rStyle w:val="Hyperlink"/>
          </w:rPr>
          <w:t>A</w:t>
        </w:r>
      </w:hyperlink>
      <w:r w:rsidRPr="00A24222">
        <w:t>).</w:t>
      </w:r>
    </w:p>
    <w:p w14:paraId="727AC1FD" w14:textId="70C196A9" w:rsidR="00445A68" w:rsidRDefault="00445A68" w:rsidP="00445A68">
      <w:r>
        <w:t>The number of new foreclosures increased from 31 cases in 2018–19 to 37 cases in 2019–20.</w:t>
      </w:r>
    </w:p>
    <w:p w14:paraId="34F0E842" w14:textId="24DBE32B" w:rsidR="00895047" w:rsidRPr="0056040F" w:rsidRDefault="003002A7" w:rsidP="00895047">
      <w:pPr>
        <w:pStyle w:val="Caption"/>
      </w:pPr>
      <w:bookmarkStart w:id="52" w:name="_Ref81492363"/>
      <w:bookmarkStart w:id="53" w:name="_Toc81924835"/>
      <w:bookmarkStart w:id="54" w:name="_Toc87345853"/>
      <w:r>
        <w:t>Figure</w:t>
      </w:r>
      <w:r w:rsidR="00895047">
        <w:t xml:space="preserve"> </w:t>
      </w:r>
      <w:fldSimple w:instr=" SEQ Figure \* ARABIC ">
        <w:r w:rsidR="008A23A3">
          <w:rPr>
            <w:noProof/>
          </w:rPr>
          <w:t>6</w:t>
        </w:r>
      </w:fldSimple>
      <w:bookmarkEnd w:id="52"/>
      <w:r w:rsidR="00895047">
        <w:t xml:space="preserve"> New instances of l</w:t>
      </w:r>
      <w:r w:rsidR="00895047" w:rsidRPr="008C625C">
        <w:t xml:space="preserve">oans and leases </w:t>
      </w:r>
      <w:r w:rsidR="00895047">
        <w:t>under mediation and new farm foreclosures, Australia, 2016–17 to 2019–20</w:t>
      </w:r>
      <w:bookmarkEnd w:id="53"/>
      <w:bookmarkEnd w:id="54"/>
    </w:p>
    <w:p w14:paraId="190B02E5" w14:textId="77777777" w:rsidR="00895047" w:rsidRDefault="00895047" w:rsidP="00895047">
      <w:pPr>
        <w:pStyle w:val="FigureTableNoteSource"/>
      </w:pPr>
      <w:r w:rsidRPr="0056040F">
        <w:rPr>
          <w:noProof/>
        </w:rPr>
        <w:drawing>
          <wp:inline distT="0" distB="0" distL="0" distR="0" wp14:anchorId="2FED1863" wp14:editId="351B5090">
            <wp:extent cx="5721241" cy="2538919"/>
            <wp:effectExtent l="0" t="0" r="0" b="0"/>
            <wp:docPr id="22" name="Picture 22" descr="In addition to the key data outlined in the previous paragraph, this comparative column chart shows a fall in the aggregate level of farm debt mediations in 2019–20 compared with a 3-year high in 2018–19. The value of foreclosures in 2019–20 was in line with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 addition to the key data outlined in the previous paragraph, this comparative column chart shows a fall in the aggregate level of farm debt mediations in 2019–20 compared with a 3-year high in 2018–19. The value of foreclosures in 2019–20 was in line with 2018–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4791" cy="2562683"/>
                    </a:xfrm>
                    <a:prstGeom prst="rect">
                      <a:avLst/>
                    </a:prstGeom>
                    <a:noFill/>
                    <a:ln>
                      <a:noFill/>
                    </a:ln>
                  </pic:spPr>
                </pic:pic>
              </a:graphicData>
            </a:graphic>
          </wp:inline>
        </w:drawing>
      </w:r>
    </w:p>
    <w:p w14:paraId="567AD9A4" w14:textId="77777777" w:rsidR="00895047" w:rsidRDefault="00895047" w:rsidP="00895047">
      <w:pPr>
        <w:pStyle w:val="FigureTableNoteSource"/>
      </w:pPr>
      <w:r>
        <w:t>Note: New instances of mediation or foreclosure in each financial year.</w:t>
      </w:r>
    </w:p>
    <w:p w14:paraId="41FC493C" w14:textId="77777777" w:rsidR="00895047" w:rsidRDefault="00895047" w:rsidP="00895047">
      <w:pPr>
        <w:pStyle w:val="FigureTableNoteSource"/>
      </w:pPr>
      <w:r>
        <w:t>Source: APRA</w:t>
      </w:r>
    </w:p>
    <w:p w14:paraId="39CA55F0" w14:textId="65B51227" w:rsidR="00895047" w:rsidRPr="00CC743F" w:rsidRDefault="00895047" w:rsidP="00895047">
      <w:pPr>
        <w:pStyle w:val="Heading3"/>
        <w:numPr>
          <w:ilvl w:val="0"/>
          <w:numId w:val="0"/>
        </w:numPr>
        <w:ind w:left="964" w:hanging="964"/>
      </w:pPr>
      <w:bookmarkStart w:id="55" w:name="_Toc81924821"/>
      <w:bookmarkStart w:id="56" w:name="_Toc84434488"/>
      <w:r w:rsidRPr="00CC743F">
        <w:lastRenderedPageBreak/>
        <w:t>Debt servicing</w:t>
      </w:r>
      <w:bookmarkEnd w:id="55"/>
      <w:bookmarkEnd w:id="56"/>
    </w:p>
    <w:p w14:paraId="224FA225" w14:textId="29DA7AEF" w:rsidR="00895047" w:rsidRDefault="00895047" w:rsidP="00895047">
      <w:r>
        <w:t>By some metrics the capacity of the farm sector to service outstanding debt improved in 2019</w:t>
      </w:r>
      <w:r w:rsidR="00541556">
        <w:t>–</w:t>
      </w:r>
      <w:r>
        <w:t>20 compared with the previous year, despite the increase in overall lending to the sector. For example, the total interest paid on agricultural loans decreased by an estimated 23% in 2019–20</w:t>
      </w:r>
      <w:r w:rsidR="00694CF0">
        <w:t xml:space="preserve">, </w:t>
      </w:r>
      <w:r>
        <w:t>from $1.93</w:t>
      </w:r>
      <w:r w:rsidR="007F1A21">
        <w:t> </w:t>
      </w:r>
      <w:r>
        <w:t>b</w:t>
      </w:r>
      <w:r w:rsidR="007F1A21">
        <w:t>illion</w:t>
      </w:r>
      <w:r>
        <w:t xml:space="preserve"> in 2018–19 to $1.48</w:t>
      </w:r>
      <w:r w:rsidR="007F1A21">
        <w:t> </w:t>
      </w:r>
      <w:r>
        <w:t>b</w:t>
      </w:r>
      <w:r w:rsidR="007F1A21">
        <w:t>illion</w:t>
      </w:r>
      <w:r>
        <w:t xml:space="preserve"> in 2019–20 (</w:t>
      </w:r>
      <w:r>
        <w:fldChar w:fldCharType="begin"/>
      </w:r>
      <w:r>
        <w:instrText xml:space="preserve"> REF _Ref81209406 \h </w:instrText>
      </w:r>
      <w:r>
        <w:fldChar w:fldCharType="separate"/>
      </w:r>
      <w:r w:rsidR="008A23A3">
        <w:t xml:space="preserve">Figure </w:t>
      </w:r>
      <w:r w:rsidR="008A23A3">
        <w:rPr>
          <w:noProof/>
        </w:rPr>
        <w:t>7</w:t>
      </w:r>
      <w:r>
        <w:fldChar w:fldCharType="end"/>
      </w:r>
      <w:r>
        <w:t>).</w:t>
      </w:r>
    </w:p>
    <w:p w14:paraId="640C23A1" w14:textId="4D2A7CA2" w:rsidR="00895047" w:rsidRDefault="003002A7" w:rsidP="00895047">
      <w:pPr>
        <w:pStyle w:val="Caption"/>
      </w:pPr>
      <w:bookmarkStart w:id="57" w:name="_Ref81209406"/>
      <w:bookmarkStart w:id="58" w:name="_Toc81924836"/>
      <w:bookmarkStart w:id="59" w:name="_Toc87345854"/>
      <w:r>
        <w:t>Figure</w:t>
      </w:r>
      <w:r w:rsidR="00895047">
        <w:t xml:space="preserve"> </w:t>
      </w:r>
      <w:fldSimple w:instr=" SEQ Figure \* ARABIC ">
        <w:r w:rsidR="008A23A3">
          <w:rPr>
            <w:noProof/>
          </w:rPr>
          <w:t>7</w:t>
        </w:r>
      </w:fldSimple>
      <w:bookmarkEnd w:id="57"/>
      <w:r w:rsidR="00895047">
        <w:t xml:space="preserve"> Aggregate interest payments by the farm sector, Australia, 1995–96 to 2019–20</w:t>
      </w:r>
      <w:bookmarkEnd w:id="58"/>
      <w:bookmarkEnd w:id="59"/>
    </w:p>
    <w:p w14:paraId="40BFCE8D" w14:textId="77777777" w:rsidR="00895047" w:rsidRPr="00D9312C" w:rsidRDefault="00895047" w:rsidP="00895047">
      <w:pPr>
        <w:pStyle w:val="FigureTableNoteSource"/>
      </w:pPr>
      <w:r w:rsidRPr="00497533">
        <w:rPr>
          <w:noProof/>
        </w:rPr>
        <w:drawing>
          <wp:inline distT="0" distB="0" distL="0" distR="0" wp14:anchorId="1FCFCCA7" wp14:editId="13D76F92">
            <wp:extent cx="5759450" cy="2628265"/>
            <wp:effectExtent l="0" t="0" r="0" b="635"/>
            <wp:docPr id="3" name="Picture 3" descr="In addition to the key data outlined in the previous paragraph, this column chart shows aggregate interest payments peaked in 2006–07 at nearly $3 billion. From 2006–07, interest payments showed a downward trend to a low of $1.48 billion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 addition to the key data outlined in the previous paragraph, this column chart shows aggregate interest payments peaked in 2006–07 at nearly $3 billion. From 2006–07, interest payments showed a downward trend to a low of $1.48 billion in 2019–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628265"/>
                    </a:xfrm>
                    <a:prstGeom prst="rect">
                      <a:avLst/>
                    </a:prstGeom>
                    <a:noFill/>
                    <a:ln>
                      <a:noFill/>
                    </a:ln>
                  </pic:spPr>
                </pic:pic>
              </a:graphicData>
            </a:graphic>
          </wp:inline>
        </w:drawing>
      </w:r>
    </w:p>
    <w:p w14:paraId="1963C2C1" w14:textId="77777777" w:rsidR="00895047" w:rsidRDefault="00895047" w:rsidP="00895047">
      <w:pPr>
        <w:pStyle w:val="FigureTableNoteSource"/>
      </w:pPr>
      <w:r>
        <w:t>Note: Data converted to 2019–20 dollars.</w:t>
      </w:r>
    </w:p>
    <w:p w14:paraId="23331D30" w14:textId="77777777" w:rsidR="00895047" w:rsidRDefault="00895047" w:rsidP="00895047">
      <w:pPr>
        <w:pStyle w:val="FigureTableNoteSource"/>
      </w:pPr>
      <w:r>
        <w:t>Source: ABARES (2021)</w:t>
      </w:r>
    </w:p>
    <w:p w14:paraId="7AF38151" w14:textId="05CF62BC" w:rsidR="00895047" w:rsidRDefault="00895047" w:rsidP="00895047">
      <w:r>
        <w:t xml:space="preserve">The reduction in total interest paid by the </w:t>
      </w:r>
      <w:r w:rsidR="00226F34">
        <w:t xml:space="preserve">agricultural </w:t>
      </w:r>
      <w:r>
        <w:t>sector in 2019–20 reflects a substantial decrease in the average rate of interest applying to agricultural loans and leases, which more than offset the increase in total borrowing. For example, among broadacre and dairy farms, the average rate of interest paid on agricultural loans and leases fell from 4.6% in 2018–19 to 3.9% in 2019–20</w:t>
      </w:r>
      <w:r w:rsidR="00694CF0">
        <w:t xml:space="preserve">, </w:t>
      </w:r>
      <w:r>
        <w:t>a reduction of 14%.</w:t>
      </w:r>
    </w:p>
    <w:p w14:paraId="1E485A86" w14:textId="1CE58350" w:rsidR="00B93796" w:rsidRDefault="00895047" w:rsidP="00B93796">
      <w:r>
        <w:t xml:space="preserve">Another indicator suggesting improved debt servicing in the rural sector in 2019–20 was an increase in the ratio of aggregate farm sector profit to total debt, with growth in profit (up </w:t>
      </w:r>
      <w:r w:rsidR="002E42EA">
        <w:t>23</w:t>
      </w:r>
      <w:r>
        <w:t xml:space="preserve">%) outstripping the increase in total debt (up </w:t>
      </w:r>
      <w:r w:rsidR="002E42EA">
        <w:t>7</w:t>
      </w:r>
      <w:r>
        <w:t>%).</w:t>
      </w:r>
      <w:bookmarkStart w:id="60" w:name="_Ref81910853"/>
      <w:bookmarkStart w:id="61" w:name="_Toc81911073"/>
      <w:bookmarkStart w:id="62" w:name="_Toc84406554"/>
    </w:p>
    <w:p w14:paraId="3BEEBD5C" w14:textId="29DA9815" w:rsidR="00895047" w:rsidRPr="00B94983" w:rsidRDefault="00895047" w:rsidP="001D67DF">
      <w:pPr>
        <w:pStyle w:val="Caption"/>
      </w:pPr>
      <w:r>
        <w:lastRenderedPageBreak/>
        <w:t xml:space="preserve">Box </w:t>
      </w:r>
      <w:fldSimple w:instr=" SEQ Box \* ARABIC ">
        <w:r w:rsidR="008A23A3">
          <w:rPr>
            <w:noProof/>
          </w:rPr>
          <w:t>1</w:t>
        </w:r>
      </w:fldSimple>
      <w:bookmarkEnd w:id="60"/>
      <w:r>
        <w:t xml:space="preserve"> ABARES farm surveys data</w:t>
      </w:r>
      <w:bookmarkEnd w:id="61"/>
      <w:bookmarkEnd w:id="62"/>
    </w:p>
    <w:p w14:paraId="50E3358F" w14:textId="030041F6" w:rsidR="00895047" w:rsidRDefault="00895047" w:rsidP="00D21EE0">
      <w:pPr>
        <w:pStyle w:val="BoxText"/>
        <w:keepNext/>
        <w:keepLines/>
      </w:pPr>
      <w:r>
        <w:t xml:space="preserve">Some of the data in this report are drawn from </w:t>
      </w:r>
      <w:r w:rsidR="00481279">
        <w:t>2</w:t>
      </w:r>
      <w:r>
        <w:t xml:space="preserve"> long-standing farm surveys conducted by ABARES: the Australian Agricultural and Grazing Industries Survey (AAGIS); and Australian Dairy Industry Survey (ADIS).</w:t>
      </w:r>
    </w:p>
    <w:p w14:paraId="573E8F9B" w14:textId="77777777" w:rsidR="00895047" w:rsidRDefault="00895047" w:rsidP="00D21EE0">
      <w:pPr>
        <w:pStyle w:val="BoxText"/>
        <w:keepNext/>
        <w:keepLines/>
      </w:pPr>
      <w:r>
        <w:t>AAGIS and ADIS are conducted annually and provide representative estimates of farm business physical and financial performance. AAGIS covers broadacre farms with an estimated value of agricultural operations (EVAO) greater than $40,000 and includes the following industries:</w:t>
      </w:r>
    </w:p>
    <w:p w14:paraId="16182379" w14:textId="77777777" w:rsidR="00895047" w:rsidRDefault="00895047" w:rsidP="00D21EE0">
      <w:pPr>
        <w:pStyle w:val="BoxTextBullet"/>
        <w:keepNext/>
        <w:keepLines/>
      </w:pPr>
      <w:r>
        <w:t>Beef cattle farming (specialised)</w:t>
      </w:r>
    </w:p>
    <w:p w14:paraId="37159D98" w14:textId="77777777" w:rsidR="00895047" w:rsidRDefault="00895047" w:rsidP="00D21EE0">
      <w:pPr>
        <w:pStyle w:val="BoxTextBullet"/>
        <w:keepNext/>
        <w:keepLines/>
      </w:pPr>
      <w:r>
        <w:t>Grain-sheep or grain-beef cattle farming</w:t>
      </w:r>
    </w:p>
    <w:p w14:paraId="534B9261" w14:textId="77777777" w:rsidR="00895047" w:rsidRDefault="00895047" w:rsidP="00D21EE0">
      <w:pPr>
        <w:pStyle w:val="BoxTextBullet"/>
        <w:keepNext/>
        <w:keepLines/>
      </w:pPr>
      <w:r>
        <w:t>Other grain growing</w:t>
      </w:r>
    </w:p>
    <w:p w14:paraId="153B7BFE" w14:textId="77777777" w:rsidR="00895047" w:rsidRDefault="00895047" w:rsidP="00D21EE0">
      <w:pPr>
        <w:pStyle w:val="BoxTextBullet"/>
        <w:keepNext/>
        <w:keepLines/>
      </w:pPr>
      <w:r>
        <w:t>Sheep farming (specialised)</w:t>
      </w:r>
    </w:p>
    <w:p w14:paraId="26107034" w14:textId="77777777" w:rsidR="00895047" w:rsidRDefault="00895047" w:rsidP="00D21EE0">
      <w:pPr>
        <w:pStyle w:val="BoxTextBullet"/>
        <w:keepNext/>
        <w:keepLines/>
      </w:pPr>
      <w:r>
        <w:t>Sheep-beef cattle farming.</w:t>
      </w:r>
    </w:p>
    <w:p w14:paraId="5FAD45D1" w14:textId="77777777" w:rsidR="00895047" w:rsidRDefault="00895047" w:rsidP="00D21EE0">
      <w:pPr>
        <w:pStyle w:val="BoxText"/>
        <w:keepNext/>
        <w:keepLines/>
      </w:pPr>
      <w:r>
        <w:t>ADIS covers dairy farms with an estimated value of agricultural operations (EVAO) greater than $40,000.</w:t>
      </w:r>
    </w:p>
    <w:p w14:paraId="1242D276" w14:textId="77777777" w:rsidR="00895047" w:rsidRDefault="00895047" w:rsidP="00D21EE0">
      <w:pPr>
        <w:pStyle w:val="BoxText"/>
        <w:keepNext/>
        <w:keepLines/>
      </w:pPr>
      <w:r>
        <w:t>AAGIS and ADIS include detailed questions about farm debt, including amounts borrowed by purpose of loan and source of loan, as well as reasons for any changes in debt during the year.</w:t>
      </w:r>
    </w:p>
    <w:p w14:paraId="4FC64DEF" w14:textId="7B50E853" w:rsidR="00895047" w:rsidRDefault="00895047" w:rsidP="00D21EE0">
      <w:pPr>
        <w:pStyle w:val="BoxText"/>
        <w:keepNext/>
        <w:keepLines/>
      </w:pPr>
      <w:r>
        <w:t xml:space="preserve">Further information on </w:t>
      </w:r>
      <w:r w:rsidR="00D23CB2">
        <w:t>the</w:t>
      </w:r>
      <w:r w:rsidR="00FE5B54">
        <w:t xml:space="preserve"> farm survey</w:t>
      </w:r>
      <w:r w:rsidR="00820463">
        <w:t>s</w:t>
      </w:r>
      <w:r w:rsidR="00D23CB2">
        <w:t xml:space="preserve"> </w:t>
      </w:r>
      <w:hyperlink r:id="rId32" w:history="1">
        <w:r w:rsidR="00FE5B54">
          <w:rPr>
            <w:rStyle w:val="Hyperlink"/>
          </w:rPr>
          <w:t>definitions and methods</w:t>
        </w:r>
      </w:hyperlink>
      <w:r>
        <w:t xml:space="preserve"> can be found </w:t>
      </w:r>
      <w:r w:rsidR="00680D65">
        <w:t xml:space="preserve">on the ABARES </w:t>
      </w:r>
      <w:r w:rsidR="00721927" w:rsidRPr="00721927">
        <w:t>website</w:t>
      </w:r>
      <w:r w:rsidRPr="00721927">
        <w:t>.</w:t>
      </w:r>
      <w:r w:rsidR="00D23CB2" w:rsidRPr="00721927">
        <w:t xml:space="preserve"> </w:t>
      </w:r>
      <w:r w:rsidR="00574463">
        <w:t xml:space="preserve">Detailed </w:t>
      </w:r>
      <w:hyperlink r:id="rId33" w:history="1">
        <w:r w:rsidR="00574463">
          <w:rPr>
            <w:rStyle w:val="Hyperlink"/>
          </w:rPr>
          <w:t>f</w:t>
        </w:r>
        <w:r w:rsidR="00721927" w:rsidRPr="00574463">
          <w:rPr>
            <w:rStyle w:val="Hyperlink"/>
          </w:rPr>
          <w:t xml:space="preserve">arm survey </w:t>
        </w:r>
        <w:r w:rsidR="00574463">
          <w:rPr>
            <w:rStyle w:val="Hyperlink"/>
          </w:rPr>
          <w:t>results</w:t>
        </w:r>
      </w:hyperlink>
      <w:r w:rsidR="00D23CB2">
        <w:t xml:space="preserve"> can be accessed via the </w:t>
      </w:r>
      <w:proofErr w:type="spellStart"/>
      <w:r w:rsidR="00574463" w:rsidRPr="00574463">
        <w:t>AgSurf</w:t>
      </w:r>
      <w:proofErr w:type="spellEnd"/>
      <w:r w:rsidR="00D23CB2">
        <w:t xml:space="preserve"> interface.</w:t>
      </w:r>
    </w:p>
    <w:p w14:paraId="05A8B7BF" w14:textId="1B867953" w:rsidR="00895047" w:rsidRPr="000774E1" w:rsidRDefault="00895047" w:rsidP="00895047">
      <w:pPr>
        <w:pStyle w:val="Heading2"/>
        <w:numPr>
          <w:ilvl w:val="0"/>
          <w:numId w:val="0"/>
        </w:numPr>
        <w:ind w:left="720" w:hanging="720"/>
      </w:pPr>
      <w:bookmarkStart w:id="63" w:name="_Toc81924822"/>
      <w:bookmarkStart w:id="64" w:name="_Toc84434489"/>
      <w:r w:rsidRPr="000774E1">
        <w:lastRenderedPageBreak/>
        <w:t>Long</w:t>
      </w:r>
      <w:r w:rsidR="00680D65">
        <w:t>-</w:t>
      </w:r>
      <w:r w:rsidRPr="000774E1">
        <w:t>term trends</w:t>
      </w:r>
      <w:r>
        <w:t xml:space="preserve"> in debt</w:t>
      </w:r>
      <w:bookmarkEnd w:id="63"/>
      <w:bookmarkEnd w:id="64"/>
    </w:p>
    <w:p w14:paraId="349DDFC5" w14:textId="32BADE75" w:rsidR="00895047" w:rsidRDefault="00895047" w:rsidP="00895047">
      <w:r>
        <w:t>Long</w:t>
      </w:r>
      <w:r w:rsidR="00680D65">
        <w:t>-</w:t>
      </w:r>
      <w:r>
        <w:t xml:space="preserve">term trends in lending to the farm sector continue to be influenced by changes in the farm sector’s profitability. In general, agricultural lending tends to increase during periods when the profitability of farming is below average, and vice versa. </w:t>
      </w:r>
      <w:r w:rsidR="00023964">
        <w:t>From</w:t>
      </w:r>
      <w:r w:rsidR="004712E7">
        <w:t xml:space="preserve"> 2002 </w:t>
      </w:r>
      <w:r w:rsidR="00023964">
        <w:t>to</w:t>
      </w:r>
      <w:r w:rsidR="004712E7">
        <w:t xml:space="preserve"> 2009 (the millennium drought period)</w:t>
      </w:r>
      <w:r w:rsidR="00023964">
        <w:t>,</w:t>
      </w:r>
      <w:r>
        <w:t xml:space="preserve"> profitability of the farm sector declined considerably, </w:t>
      </w:r>
      <w:r w:rsidR="00694CF0">
        <w:t>coinciding with an</w:t>
      </w:r>
      <w:r>
        <w:t xml:space="preserve"> increase in lending</w:t>
      </w:r>
      <w:r w:rsidR="00694CF0">
        <w:t xml:space="preserve">, </w:t>
      </w:r>
      <w:r>
        <w:t>particularly for working capital purposes. After the millennium drought broke there was a sustained period of higher farm profitability, and aggregate lending to the sector declined as many loans were repaid (</w:t>
      </w:r>
      <w:r>
        <w:fldChar w:fldCharType="begin"/>
      </w:r>
      <w:r>
        <w:instrText xml:space="preserve"> REF _Ref81311539 \h </w:instrText>
      </w:r>
      <w:r>
        <w:fldChar w:fldCharType="separate"/>
      </w:r>
      <w:r w:rsidR="008A23A3">
        <w:t xml:space="preserve">Figure </w:t>
      </w:r>
      <w:r w:rsidR="008A23A3">
        <w:rPr>
          <w:noProof/>
        </w:rPr>
        <w:t>8</w:t>
      </w:r>
      <w:r>
        <w:fldChar w:fldCharType="end"/>
      </w:r>
      <w:r>
        <w:t>).</w:t>
      </w:r>
    </w:p>
    <w:p w14:paraId="279E6A0D" w14:textId="2113E881" w:rsidR="00895047" w:rsidRDefault="003002A7" w:rsidP="00895047">
      <w:pPr>
        <w:pStyle w:val="Caption"/>
      </w:pPr>
      <w:bookmarkStart w:id="65" w:name="_Ref81311539"/>
      <w:bookmarkStart w:id="66" w:name="_Toc81924837"/>
      <w:bookmarkStart w:id="67" w:name="_Toc87345855"/>
      <w:r>
        <w:t>Figure</w:t>
      </w:r>
      <w:r w:rsidR="00895047">
        <w:t xml:space="preserve"> </w:t>
      </w:r>
      <w:fldSimple w:instr=" SEQ Figure \* ARABIC ">
        <w:r w:rsidR="008A23A3">
          <w:rPr>
            <w:noProof/>
          </w:rPr>
          <w:t>8</w:t>
        </w:r>
      </w:fldSimple>
      <w:bookmarkEnd w:id="65"/>
      <w:r w:rsidR="00895047">
        <w:t xml:space="preserve"> Net value of farm production and rural debt, Australia, 1995–96 to 2019–20</w:t>
      </w:r>
      <w:bookmarkEnd w:id="66"/>
      <w:bookmarkEnd w:id="67"/>
    </w:p>
    <w:p w14:paraId="03573444" w14:textId="77777777" w:rsidR="00895047" w:rsidRPr="00D9312C" w:rsidRDefault="00895047" w:rsidP="00895047">
      <w:pPr>
        <w:pStyle w:val="FigureTableNoteSource"/>
      </w:pPr>
      <w:r w:rsidRPr="000F537D">
        <w:rPr>
          <w:noProof/>
        </w:rPr>
        <w:drawing>
          <wp:inline distT="0" distB="0" distL="0" distR="0" wp14:anchorId="2DCC2593" wp14:editId="5F7EFB6A">
            <wp:extent cx="5759450" cy="2630805"/>
            <wp:effectExtent l="0" t="0" r="0" b="0"/>
            <wp:docPr id="25" name="Picture 25" descr="Key data presented in the column and line chart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Key data presented in the column and line chart are covered in the previous paragrap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630805"/>
                    </a:xfrm>
                    <a:prstGeom prst="rect">
                      <a:avLst/>
                    </a:prstGeom>
                    <a:noFill/>
                    <a:ln>
                      <a:noFill/>
                    </a:ln>
                  </pic:spPr>
                </pic:pic>
              </a:graphicData>
            </a:graphic>
          </wp:inline>
        </w:drawing>
      </w:r>
    </w:p>
    <w:p w14:paraId="437CC961" w14:textId="77777777" w:rsidR="00895047" w:rsidRDefault="00895047" w:rsidP="00895047">
      <w:pPr>
        <w:pStyle w:val="FigureTableNoteSource"/>
      </w:pPr>
      <w:r>
        <w:t>Note: Data converted to 2019–20 dollars.</w:t>
      </w:r>
    </w:p>
    <w:p w14:paraId="25465C51" w14:textId="77777777" w:rsidR="00895047" w:rsidRDefault="00895047" w:rsidP="00895047">
      <w:pPr>
        <w:pStyle w:val="FigureTableNoteSource"/>
      </w:pPr>
      <w:r>
        <w:t>Source: ABARES (2021); RBA (2021)</w:t>
      </w:r>
    </w:p>
    <w:p w14:paraId="17504D3F" w14:textId="6211E564" w:rsidR="00895047" w:rsidRDefault="00895047" w:rsidP="00895047">
      <w:r>
        <w:t xml:space="preserve">Debt financing remains of critical importance to the farm sector, both to fund new investment and to help manage temporal variability in farm revenue and profit. ABARES farm surveys data show that, among broadacre and dairy farms (which collectively account for around 65% of the value of farm output), the </w:t>
      </w:r>
      <w:r w:rsidR="00481279">
        <w:t>2</w:t>
      </w:r>
      <w:r>
        <w:t xml:space="preserve"> main reasons for borrowing are to fund land purchase and for working capital. On average, these </w:t>
      </w:r>
      <w:r w:rsidR="00481279">
        <w:t>2</w:t>
      </w:r>
      <w:r>
        <w:t xml:space="preserve"> uses account for around 80% of total farm sector borrowing in these industries.</w:t>
      </w:r>
    </w:p>
    <w:p w14:paraId="7EB017BD" w14:textId="639A194C" w:rsidR="00895047" w:rsidRDefault="00895047" w:rsidP="00895047">
      <w:r>
        <w:t xml:space="preserve">Farmers also access finance from a wide range of providers. For example, the agricultural lending statistics collected by APRA show that farmers collectively accessed 88 different finance providers during 2019–20, ranging </w:t>
      </w:r>
      <w:proofErr w:type="gramStart"/>
      <w:r>
        <w:t>from small, locally owned and operated credit unions,</w:t>
      </w:r>
      <w:proofErr w:type="gramEnd"/>
      <w:r>
        <w:t xml:space="preserve"> to the finance arms of major vehicle and farm-machinery suppliers, to the major retail and commercial banks.</w:t>
      </w:r>
    </w:p>
    <w:p w14:paraId="448BB428" w14:textId="5E0043B4" w:rsidR="00895047" w:rsidRDefault="00895047" w:rsidP="00895047">
      <w:pPr>
        <w:pStyle w:val="Heading3"/>
        <w:numPr>
          <w:ilvl w:val="0"/>
          <w:numId w:val="0"/>
        </w:numPr>
        <w:ind w:left="964" w:hanging="964"/>
      </w:pPr>
      <w:bookmarkStart w:id="68" w:name="_Toc81924823"/>
      <w:bookmarkStart w:id="69" w:name="_Toc84434490"/>
      <w:r>
        <w:t>Land values, farm equity and the distribution of debt</w:t>
      </w:r>
      <w:bookmarkEnd w:id="68"/>
      <w:bookmarkEnd w:id="69"/>
    </w:p>
    <w:p w14:paraId="3E8B3E2B" w14:textId="2272B302" w:rsidR="00895047" w:rsidRDefault="00895047" w:rsidP="00895047">
      <w:r>
        <w:t xml:space="preserve">Lending to the farm sector in recent years has been supported by continued growth in agricultural land values and comparatively high farm equity. For example, ABARES farm survey data show that the </w:t>
      </w:r>
      <w:r w:rsidR="00FD7A05">
        <w:t xml:space="preserve">farmer-estimated </w:t>
      </w:r>
      <w:r>
        <w:t xml:space="preserve">average value of broadacre and dairy farms (on a per hectare basis) increased by around </w:t>
      </w:r>
      <w:r w:rsidR="00AD41B5">
        <w:t>3</w:t>
      </w:r>
      <w:r>
        <w:t>% in 2019–20</w:t>
      </w:r>
      <w:r w:rsidR="00694CF0">
        <w:t>. However,</w:t>
      </w:r>
      <w:r>
        <w:t xml:space="preserve"> the average equity ratio across </w:t>
      </w:r>
      <w:r>
        <w:lastRenderedPageBreak/>
        <w:t>this group of farms</w:t>
      </w:r>
      <w:r w:rsidR="00694CF0">
        <w:t xml:space="preserve"> – </w:t>
      </w:r>
      <w:r>
        <w:t>that is, the ratio of owned capital to total capital</w:t>
      </w:r>
      <w:r w:rsidR="00694CF0">
        <w:t xml:space="preserve"> – </w:t>
      </w:r>
      <w:r>
        <w:t>was largely unchanged (</w:t>
      </w:r>
      <w:r>
        <w:fldChar w:fldCharType="begin"/>
      </w:r>
      <w:r>
        <w:instrText xml:space="preserve"> REF _Ref81570794 \h </w:instrText>
      </w:r>
      <w:r>
        <w:fldChar w:fldCharType="separate"/>
      </w:r>
      <w:r w:rsidR="008A23A3">
        <w:t xml:space="preserve">Figure </w:t>
      </w:r>
      <w:r w:rsidR="008A23A3">
        <w:rPr>
          <w:noProof/>
        </w:rPr>
        <w:t>9</w:t>
      </w:r>
      <w:r>
        <w:fldChar w:fldCharType="end"/>
      </w:r>
      <w:r>
        <w:t>).</w:t>
      </w:r>
    </w:p>
    <w:p w14:paraId="7EDCD714" w14:textId="2F942E39" w:rsidR="00895047" w:rsidRDefault="003002A7" w:rsidP="00895047">
      <w:pPr>
        <w:pStyle w:val="Caption"/>
      </w:pPr>
      <w:bookmarkStart w:id="70" w:name="_Ref81570794"/>
      <w:bookmarkStart w:id="71" w:name="_Toc81924838"/>
      <w:bookmarkStart w:id="72" w:name="_Toc87345856"/>
      <w:r>
        <w:t>Figure</w:t>
      </w:r>
      <w:r w:rsidR="00895047">
        <w:t xml:space="preserve"> </w:t>
      </w:r>
      <w:fldSimple w:instr=" SEQ Figure \* ARABIC ">
        <w:r w:rsidR="008A23A3">
          <w:rPr>
            <w:noProof/>
          </w:rPr>
          <w:t>9</w:t>
        </w:r>
      </w:fldSimple>
      <w:bookmarkEnd w:id="70"/>
      <w:r w:rsidR="00895047">
        <w:t xml:space="preserve"> </w:t>
      </w:r>
      <w:r w:rsidR="00895047" w:rsidRPr="0072160F">
        <w:t xml:space="preserve">Farm business </w:t>
      </w:r>
      <w:r w:rsidR="00895047">
        <w:t>equity</w:t>
      </w:r>
      <w:r w:rsidR="00895047" w:rsidRPr="0072160F">
        <w:t>,</w:t>
      </w:r>
      <w:r w:rsidR="00895047">
        <w:t xml:space="preserve"> </w:t>
      </w:r>
      <w:proofErr w:type="gramStart"/>
      <w:r w:rsidR="00895047">
        <w:t>debt</w:t>
      </w:r>
      <w:proofErr w:type="gramEnd"/>
      <w:r w:rsidR="00895047" w:rsidRPr="0072160F">
        <w:t xml:space="preserve"> and equity ratio</w:t>
      </w:r>
      <w:r w:rsidR="00895047">
        <w:t xml:space="preserve">, </w:t>
      </w:r>
      <w:r w:rsidR="00895047" w:rsidRPr="0072160F">
        <w:t xml:space="preserve">broadacre </w:t>
      </w:r>
      <w:r w:rsidR="00895047">
        <w:t xml:space="preserve">and dairy </w:t>
      </w:r>
      <w:r w:rsidR="00895047" w:rsidRPr="0072160F">
        <w:t>farms, Australia, 199</w:t>
      </w:r>
      <w:r w:rsidR="00895047">
        <w:t>5</w:t>
      </w:r>
      <w:r w:rsidR="00895047" w:rsidRPr="0072160F">
        <w:t>–9</w:t>
      </w:r>
      <w:r w:rsidR="00895047">
        <w:t>6</w:t>
      </w:r>
      <w:r w:rsidR="00895047" w:rsidRPr="0072160F">
        <w:t xml:space="preserve"> to 20</w:t>
      </w:r>
      <w:r w:rsidR="00895047">
        <w:t>19</w:t>
      </w:r>
      <w:r w:rsidR="00895047" w:rsidRPr="0072160F">
        <w:t>–</w:t>
      </w:r>
      <w:r w:rsidR="00895047">
        <w:t>20</w:t>
      </w:r>
      <w:bookmarkEnd w:id="71"/>
      <w:r w:rsidR="000D4C0A">
        <w:t xml:space="preserve"> (average per farm)</w:t>
      </w:r>
      <w:bookmarkEnd w:id="72"/>
    </w:p>
    <w:p w14:paraId="5B842665" w14:textId="77777777" w:rsidR="00895047" w:rsidRDefault="00895047" w:rsidP="00895047">
      <w:pPr>
        <w:pStyle w:val="FigureTableNoteSource"/>
      </w:pPr>
      <w:r w:rsidRPr="00AE6DAF">
        <w:rPr>
          <w:noProof/>
        </w:rPr>
        <w:drawing>
          <wp:inline distT="0" distB="0" distL="0" distR="0" wp14:anchorId="68F91D45" wp14:editId="4B7898B8">
            <wp:extent cx="5759450" cy="2961640"/>
            <wp:effectExtent l="0" t="0" r="5080" b="0"/>
            <wp:docPr id="26" name="Picture 26" descr="Key data presented in the composite column and line chart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ey data presented in the composite column and line chart are covered in the previous paragrap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961640"/>
                    </a:xfrm>
                    <a:prstGeom prst="rect">
                      <a:avLst/>
                    </a:prstGeom>
                    <a:noFill/>
                    <a:ln>
                      <a:noFill/>
                    </a:ln>
                  </pic:spPr>
                </pic:pic>
              </a:graphicData>
            </a:graphic>
          </wp:inline>
        </w:drawing>
      </w:r>
    </w:p>
    <w:p w14:paraId="77C1E20E" w14:textId="35499F0B" w:rsidR="00895047" w:rsidRDefault="00895047" w:rsidP="00895047">
      <w:pPr>
        <w:pStyle w:val="FigureTableNoteSource"/>
      </w:pPr>
      <w:r>
        <w:t xml:space="preserve">Note: Equity and debt </w:t>
      </w:r>
      <w:proofErr w:type="gramStart"/>
      <w:r>
        <w:t>at</w:t>
      </w:r>
      <w:proofErr w:type="gramEnd"/>
      <w:r>
        <w:t xml:space="preserve"> 30 June. Equity ratio is the ratio of owned capital to total capital.</w:t>
      </w:r>
    </w:p>
    <w:p w14:paraId="646731AD" w14:textId="4DED4BEF" w:rsidR="007318CA" w:rsidRPr="007318CA" w:rsidRDefault="007318CA" w:rsidP="007318CA">
      <w:pPr>
        <w:pStyle w:val="FigureTableNoteSource"/>
      </w:pPr>
      <w:r>
        <w:t>Source: ABARES Australian Agricultural and Grazing Industries Survey and Australian Dairy Industry Survey</w:t>
      </w:r>
    </w:p>
    <w:p w14:paraId="7558DB52" w14:textId="77777777" w:rsidR="00895047" w:rsidRPr="00833921" w:rsidRDefault="00895047" w:rsidP="00895047">
      <w:pPr>
        <w:pStyle w:val="Heading4"/>
        <w:numPr>
          <w:ilvl w:val="0"/>
          <w:numId w:val="0"/>
        </w:numPr>
        <w:ind w:left="964" w:hanging="964"/>
      </w:pPr>
      <w:r w:rsidRPr="00833921">
        <w:t>The distribution of debt across farms</w:t>
      </w:r>
    </w:p>
    <w:p w14:paraId="6CE2CFEC" w14:textId="25E6E574" w:rsidR="00895047" w:rsidRDefault="00694CF0" w:rsidP="00895047">
      <w:r>
        <w:t>D</w:t>
      </w:r>
      <w:r w:rsidR="00895047">
        <w:t>ebt financing is common in Australian agriculture</w:t>
      </w:r>
      <w:r>
        <w:t xml:space="preserve"> – </w:t>
      </w:r>
      <w:r w:rsidR="00895047">
        <w:t xml:space="preserve">both as a </w:t>
      </w:r>
      <w:r w:rsidR="00241721">
        <w:t>way for</w:t>
      </w:r>
      <w:r w:rsidR="00895047">
        <w:t xml:space="preserve"> farmers enter the sector or expand their operations, and to help farmers manage fluctuations in revenue within or between years</w:t>
      </w:r>
      <w:r>
        <w:t xml:space="preserve">. However, </w:t>
      </w:r>
      <w:r w:rsidR="00895047">
        <w:t>in any given year many farms have little to no debt.</w:t>
      </w:r>
    </w:p>
    <w:p w14:paraId="544F89BE" w14:textId="136DAB13" w:rsidR="00895047" w:rsidRDefault="00023964" w:rsidP="00895047">
      <w:r>
        <w:t>I</w:t>
      </w:r>
      <w:r w:rsidR="00895047">
        <w:t>n 2019–20, 25% of broadacre and dairy farms had no debt, another 25% of farms had debt between $0 and $75,000, the next 25% had debt between $75,000 and $730,000, and the final 25% had debt greater than $730,000 (</w:t>
      </w:r>
      <w:r w:rsidR="00895047">
        <w:fldChar w:fldCharType="begin"/>
      </w:r>
      <w:r w:rsidR="00895047">
        <w:instrText xml:space="preserve"> REF _Ref81573163 \h </w:instrText>
      </w:r>
      <w:r w:rsidR="00895047">
        <w:fldChar w:fldCharType="separate"/>
      </w:r>
      <w:r w:rsidR="008A23A3">
        <w:t xml:space="preserve">Figure </w:t>
      </w:r>
      <w:r w:rsidR="008A23A3">
        <w:rPr>
          <w:noProof/>
        </w:rPr>
        <w:t>10</w:t>
      </w:r>
      <w:r w:rsidR="00895047">
        <w:fldChar w:fldCharType="end"/>
      </w:r>
      <w:r w:rsidR="00895047">
        <w:t>).</w:t>
      </w:r>
    </w:p>
    <w:p w14:paraId="0A64255A" w14:textId="6CE4517A" w:rsidR="00895047" w:rsidRDefault="003002A7" w:rsidP="00895047">
      <w:pPr>
        <w:pStyle w:val="Caption"/>
      </w:pPr>
      <w:bookmarkStart w:id="73" w:name="_Ref81573163"/>
      <w:bookmarkStart w:id="74" w:name="_Toc81924839"/>
      <w:bookmarkStart w:id="75" w:name="_Toc87345857"/>
      <w:r>
        <w:t>Figure</w:t>
      </w:r>
      <w:r w:rsidR="00895047">
        <w:t xml:space="preserve"> </w:t>
      </w:r>
      <w:fldSimple w:instr=" SEQ Figure \* ARABIC ">
        <w:r w:rsidR="008A23A3">
          <w:rPr>
            <w:noProof/>
          </w:rPr>
          <w:t>10</w:t>
        </w:r>
      </w:fldSimple>
      <w:bookmarkEnd w:id="73"/>
      <w:r w:rsidR="00895047">
        <w:t xml:space="preserve"> Distribution of f</w:t>
      </w:r>
      <w:r w:rsidR="00895047" w:rsidRPr="0072160F">
        <w:t>arm business debt</w:t>
      </w:r>
      <w:r w:rsidR="00895047">
        <w:t xml:space="preserve"> on </w:t>
      </w:r>
      <w:r w:rsidR="00895047" w:rsidRPr="0072160F">
        <w:t xml:space="preserve">broadacre </w:t>
      </w:r>
      <w:r w:rsidR="00895047">
        <w:t xml:space="preserve">and dairy </w:t>
      </w:r>
      <w:r w:rsidR="00895047" w:rsidRPr="0072160F">
        <w:t>farms</w:t>
      </w:r>
      <w:r w:rsidR="00895047">
        <w:t xml:space="preserve">, Australia, </w:t>
      </w:r>
      <w:r w:rsidR="00895047" w:rsidRPr="0072160F">
        <w:t>20</w:t>
      </w:r>
      <w:r w:rsidR="00895047">
        <w:t>19</w:t>
      </w:r>
      <w:r w:rsidR="00895047" w:rsidRPr="0072160F">
        <w:t>–</w:t>
      </w:r>
      <w:r w:rsidR="00895047">
        <w:t>20</w:t>
      </w:r>
      <w:bookmarkEnd w:id="74"/>
      <w:r w:rsidR="000D4C0A">
        <w:t xml:space="preserve"> (average debt per farm)</w:t>
      </w:r>
      <w:bookmarkEnd w:id="75"/>
    </w:p>
    <w:p w14:paraId="0C6EE6B7" w14:textId="77777777" w:rsidR="00895047" w:rsidRPr="00D9312C" w:rsidRDefault="00895047" w:rsidP="00895047">
      <w:pPr>
        <w:pStyle w:val="FigureTableNoteSource"/>
      </w:pPr>
      <w:r w:rsidRPr="00453AE2">
        <w:rPr>
          <w:noProof/>
        </w:rPr>
        <w:drawing>
          <wp:inline distT="0" distB="0" distL="0" distR="0" wp14:anchorId="5EFE90F5" wp14:editId="4E53B107">
            <wp:extent cx="5759450" cy="2208530"/>
            <wp:effectExtent l="0" t="0" r="0" b="1270"/>
            <wp:docPr id="28" name="Picture 28" descr="Key data presented in the line chart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Key data presented in the line chart are covered in the previous paragrap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208530"/>
                    </a:xfrm>
                    <a:prstGeom prst="rect">
                      <a:avLst/>
                    </a:prstGeom>
                    <a:noFill/>
                    <a:ln>
                      <a:noFill/>
                    </a:ln>
                  </pic:spPr>
                </pic:pic>
              </a:graphicData>
            </a:graphic>
          </wp:inline>
        </w:drawing>
      </w:r>
    </w:p>
    <w:p w14:paraId="1595BF6B" w14:textId="65A4C64D" w:rsidR="00895047" w:rsidRDefault="00176A0E" w:rsidP="00895047">
      <w:pPr>
        <w:pStyle w:val="FigureTableNoteSource"/>
      </w:pPr>
      <w:r>
        <w:t xml:space="preserve">Source: ABARES Australian </w:t>
      </w:r>
      <w:r w:rsidR="007318CA">
        <w:t>Agricultural and Grazing Industries Survey and Australian Dairy Industry Survey</w:t>
      </w:r>
    </w:p>
    <w:p w14:paraId="2CDD238B" w14:textId="4F15D217" w:rsidR="00895047" w:rsidRDefault="00895047" w:rsidP="00895047">
      <w:pPr>
        <w:pStyle w:val="Heading2"/>
        <w:numPr>
          <w:ilvl w:val="0"/>
          <w:numId w:val="0"/>
        </w:numPr>
        <w:ind w:left="720" w:hanging="720"/>
      </w:pPr>
      <w:bookmarkStart w:id="76" w:name="_Toc81924824"/>
      <w:bookmarkStart w:id="77" w:name="_Toc84434491"/>
      <w:r>
        <w:lastRenderedPageBreak/>
        <w:t>Agricultural lending in 2020–21</w:t>
      </w:r>
      <w:bookmarkEnd w:id="76"/>
      <w:bookmarkEnd w:id="77"/>
    </w:p>
    <w:p w14:paraId="3AA963C3" w14:textId="18602510" w:rsidR="00895047" w:rsidRDefault="00895047" w:rsidP="00895047">
      <w:r>
        <w:t>Some early insights into agricultural lending in 2020–21 can be found in a new monthly series published by the R</w:t>
      </w:r>
      <w:r w:rsidR="002619F7">
        <w:t>BA</w:t>
      </w:r>
      <w:r>
        <w:t xml:space="preserve"> covering lending to businesses in the ‘agricultural, forestry and fisheries’ sector (RBA 2021). This series tracks monthly lending to the sector from July 2019 to June 2021.</w:t>
      </w:r>
    </w:p>
    <w:p w14:paraId="0F6508A2" w14:textId="4D46248F" w:rsidR="00895047" w:rsidRDefault="00895047" w:rsidP="00895047">
      <w:r>
        <w:t>It is important to note that the RBA series differs from APRA data in several ways</w:t>
      </w:r>
      <w:r w:rsidR="00694CF0">
        <w:t xml:space="preserve"> – </w:t>
      </w:r>
      <w:r>
        <w:t>not least being RBA’s inclusion of businesses in the forestry and fisheries sectors (</w:t>
      </w:r>
      <w:hyperlink w:anchor="_Appendix_B:_Other" w:history="1">
        <w:r w:rsidR="00680D65" w:rsidRPr="001051F5">
          <w:rPr>
            <w:rStyle w:val="Hyperlink"/>
          </w:rPr>
          <w:t xml:space="preserve">Appendix </w:t>
        </w:r>
        <w:r w:rsidR="001051F5" w:rsidRPr="001051F5">
          <w:rPr>
            <w:rStyle w:val="Hyperlink"/>
          </w:rPr>
          <w:t>B</w:t>
        </w:r>
      </w:hyperlink>
      <w:r>
        <w:t>). Nevertheless, the RBA series provides a guide to the likely changes to expect in APRA’s aggregate lending data for 2020–21 when it is available.</w:t>
      </w:r>
    </w:p>
    <w:p w14:paraId="3208EBB2" w14:textId="1E08C553" w:rsidR="00895047" w:rsidRDefault="003067FB" w:rsidP="00895047">
      <w:r>
        <w:t>Aggregate debt continued to increase in 2020–21, albeit at a slower rate than the previous year. The</w:t>
      </w:r>
      <w:r w:rsidR="00895047">
        <w:t xml:space="preserve"> RBA series shows a 7.1% increase in lending to businesses in the agriculture, </w:t>
      </w:r>
      <w:proofErr w:type="gramStart"/>
      <w:r w:rsidR="00895047">
        <w:t>forestry</w:t>
      </w:r>
      <w:proofErr w:type="gramEnd"/>
      <w:r w:rsidR="00895047">
        <w:t xml:space="preserve"> and fishing sector during 2020–21 (</w:t>
      </w:r>
      <w:r w:rsidR="00895047">
        <w:fldChar w:fldCharType="begin"/>
      </w:r>
      <w:r w:rsidR="00895047">
        <w:instrText xml:space="preserve"> REF _Ref81574653 \h </w:instrText>
      </w:r>
      <w:r w:rsidR="00895047">
        <w:fldChar w:fldCharType="separate"/>
      </w:r>
      <w:r w:rsidR="008A23A3">
        <w:t xml:space="preserve">Figure </w:t>
      </w:r>
      <w:r w:rsidR="008A23A3">
        <w:rPr>
          <w:noProof/>
        </w:rPr>
        <w:t>11</w:t>
      </w:r>
      <w:r w:rsidR="00895047">
        <w:fldChar w:fldCharType="end"/>
      </w:r>
      <w:r w:rsidR="00895047">
        <w:t>). This compares with an increase in</w:t>
      </w:r>
      <w:r>
        <w:t xml:space="preserve"> </w:t>
      </w:r>
      <w:r w:rsidR="00895047">
        <w:t xml:space="preserve">debt the previous year (2019–20) of 10%. </w:t>
      </w:r>
    </w:p>
    <w:p w14:paraId="1B46D206" w14:textId="3E617E02" w:rsidR="00895047" w:rsidRDefault="003002A7" w:rsidP="00895047">
      <w:pPr>
        <w:pStyle w:val="Caption"/>
      </w:pPr>
      <w:bookmarkStart w:id="78" w:name="_Ref81574653"/>
      <w:bookmarkStart w:id="79" w:name="_Toc81924840"/>
      <w:bookmarkStart w:id="80" w:name="_Toc87345858"/>
      <w:r>
        <w:t>Figure</w:t>
      </w:r>
      <w:r w:rsidR="00895047">
        <w:t xml:space="preserve"> </w:t>
      </w:r>
      <w:fldSimple w:instr=" SEQ Figure \* ARABIC ">
        <w:r w:rsidR="008A23A3">
          <w:rPr>
            <w:noProof/>
          </w:rPr>
          <w:t>11</w:t>
        </w:r>
      </w:fldSimple>
      <w:bookmarkEnd w:id="78"/>
      <w:r w:rsidR="00895047">
        <w:t xml:space="preserve"> Lending to businesses</w:t>
      </w:r>
      <w:r w:rsidR="00694CF0">
        <w:t xml:space="preserve"> – </w:t>
      </w:r>
      <w:r w:rsidR="00895047">
        <w:t>agriculture, forestry and fishing, Australia, July 2019 to June 2021</w:t>
      </w:r>
      <w:bookmarkEnd w:id="79"/>
      <w:bookmarkEnd w:id="80"/>
    </w:p>
    <w:p w14:paraId="06F3F92A" w14:textId="77777777" w:rsidR="00895047" w:rsidRDefault="00895047" w:rsidP="00895047">
      <w:pPr>
        <w:pStyle w:val="FigureTableNoteSource"/>
      </w:pPr>
      <w:r w:rsidRPr="009514BE">
        <w:rPr>
          <w:noProof/>
        </w:rPr>
        <w:drawing>
          <wp:inline distT="0" distB="0" distL="0" distR="0" wp14:anchorId="500515E3" wp14:editId="57C6073D">
            <wp:extent cx="5759450" cy="2541270"/>
            <wp:effectExtent l="0" t="0" r="0" b="0"/>
            <wp:docPr id="29" name="Picture 29" descr="Key data presented in the line chart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Key data presented in the line chart are covered in the previous paragrap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2541270"/>
                    </a:xfrm>
                    <a:prstGeom prst="rect">
                      <a:avLst/>
                    </a:prstGeom>
                    <a:noFill/>
                    <a:ln>
                      <a:noFill/>
                    </a:ln>
                  </pic:spPr>
                </pic:pic>
              </a:graphicData>
            </a:graphic>
          </wp:inline>
        </w:drawing>
      </w:r>
    </w:p>
    <w:p w14:paraId="58AA7096" w14:textId="77777777" w:rsidR="00895047" w:rsidRDefault="00895047" w:rsidP="00895047">
      <w:pPr>
        <w:pStyle w:val="FigureTableNoteSource"/>
      </w:pPr>
      <w:r>
        <w:t>Note: Each column shows the value of loans outstanding at the end of each month.</w:t>
      </w:r>
    </w:p>
    <w:p w14:paraId="1DAE0A67" w14:textId="77777777" w:rsidR="00895047" w:rsidRDefault="00895047" w:rsidP="00895047">
      <w:pPr>
        <w:pStyle w:val="FigureTableNoteSource"/>
      </w:pPr>
      <w:r>
        <w:t>Source: RBA (2021)</w:t>
      </w:r>
    </w:p>
    <w:p w14:paraId="38D1D813" w14:textId="476B07CD" w:rsidR="00895047" w:rsidRPr="00FE1F31" w:rsidRDefault="00895047" w:rsidP="00895047">
      <w:pPr>
        <w:pStyle w:val="Heading3"/>
        <w:numPr>
          <w:ilvl w:val="0"/>
          <w:numId w:val="0"/>
        </w:numPr>
        <w:ind w:left="964" w:hanging="964"/>
      </w:pPr>
      <w:bookmarkStart w:id="81" w:name="_Toc81924825"/>
      <w:bookmarkStart w:id="82" w:name="_Toc84434492"/>
      <w:r w:rsidRPr="00FE1F31">
        <w:t>R</w:t>
      </w:r>
      <w:r>
        <w:t>egional Investment Corporation</w:t>
      </w:r>
      <w:r w:rsidRPr="00FE1F31">
        <w:t xml:space="preserve"> lending in 2020</w:t>
      </w:r>
      <w:r>
        <w:t>–</w:t>
      </w:r>
      <w:r w:rsidRPr="00FE1F31">
        <w:t>21</w:t>
      </w:r>
      <w:bookmarkEnd w:id="81"/>
      <w:bookmarkEnd w:id="82"/>
    </w:p>
    <w:p w14:paraId="655B35C1" w14:textId="05942B07" w:rsidR="00895047" w:rsidRDefault="00895047" w:rsidP="00895047">
      <w:r>
        <w:t>Another source of information on agricultural lending trends in 2020–21 is the</w:t>
      </w:r>
      <w:r w:rsidR="00DB54A6">
        <w:t xml:space="preserve"> Regional Investment Corporation</w:t>
      </w:r>
      <w:r>
        <w:t xml:space="preserve"> </w:t>
      </w:r>
      <w:r w:rsidR="00DB54A6">
        <w:t>(</w:t>
      </w:r>
      <w:r>
        <w:t>RIC</w:t>
      </w:r>
      <w:r w:rsidR="00DB54A6">
        <w:t>)</w:t>
      </w:r>
      <w:r>
        <w:t xml:space="preserve">. </w:t>
      </w:r>
      <w:r w:rsidRPr="008A73C7">
        <w:t xml:space="preserve">The </w:t>
      </w:r>
      <w:r>
        <w:t>RIC</w:t>
      </w:r>
      <w:r w:rsidRPr="008A73C7">
        <w:t xml:space="preserve"> is an Australian Government</w:t>
      </w:r>
      <w:r>
        <w:t>-</w:t>
      </w:r>
      <w:r w:rsidRPr="008A73C7">
        <w:t>backed specialist finance provider for farmers and farm</w:t>
      </w:r>
      <w:r>
        <w:t>-</w:t>
      </w:r>
      <w:r w:rsidRPr="008A73C7">
        <w:t>related small businesses</w:t>
      </w:r>
      <w:r>
        <w:t xml:space="preserve"> (RIC 2021)</w:t>
      </w:r>
      <w:r w:rsidRPr="008A73C7">
        <w:t>.</w:t>
      </w:r>
    </w:p>
    <w:p w14:paraId="772A19AE" w14:textId="65512E8B" w:rsidR="00895047" w:rsidRDefault="00895047" w:rsidP="00895047">
      <w:r>
        <w:t xml:space="preserve">While the RIC is a new and comparatively small lender, it recorded substantial increases in lending to the farm sector during both 2019–20 and 2020–21. As </w:t>
      </w:r>
      <w:proofErr w:type="gramStart"/>
      <w:r>
        <w:t>at</w:t>
      </w:r>
      <w:proofErr w:type="gramEnd"/>
      <w:r>
        <w:t xml:space="preserve"> 30 June 2021, the RIC had loans to farmers of $</w:t>
      </w:r>
      <w:r w:rsidR="002D7058">
        <w:t xml:space="preserve">1.3 billion, </w:t>
      </w:r>
      <w:r>
        <w:t>compared with $</w:t>
      </w:r>
      <w:r w:rsidR="002D7058">
        <w:t>416</w:t>
      </w:r>
      <w:r w:rsidR="00C35DCA">
        <w:t> </w:t>
      </w:r>
      <w:r>
        <w:t>m</w:t>
      </w:r>
      <w:r w:rsidR="007F1A21">
        <w:t>illion</w:t>
      </w:r>
      <w:r>
        <w:t xml:space="preserve"> at 30 June 2020, and $28</w:t>
      </w:r>
      <w:r w:rsidR="007F1A21">
        <w:t> </w:t>
      </w:r>
      <w:r>
        <w:t>m</w:t>
      </w:r>
      <w:r w:rsidR="007F1A21">
        <w:t>illion</w:t>
      </w:r>
      <w:r>
        <w:t xml:space="preserve"> at 30 June 2019. The expansions in lending in both 2019–20 and 2020–21 were mostly in the form of ‘drought’ loans, which were concentrated in New South Wales and Queensland, and with the majority of these loans taken out by farms in </w:t>
      </w:r>
      <w:r w:rsidR="00481279">
        <w:t>3</w:t>
      </w:r>
      <w:r>
        <w:t xml:space="preserve"> industries: broadacre livestock; broadacre cropping; and </w:t>
      </w:r>
      <w:r w:rsidRPr="00574463">
        <w:t>dairy (</w:t>
      </w:r>
      <w:r w:rsidRPr="00574463">
        <w:fldChar w:fldCharType="begin"/>
      </w:r>
      <w:r w:rsidRPr="00574463">
        <w:instrText xml:space="preserve"> REF _Ref72145825 \h </w:instrText>
      </w:r>
      <w:r w:rsidR="003A6AEC" w:rsidRPr="00574463">
        <w:instrText xml:space="preserve"> \* MERGEFORMAT </w:instrText>
      </w:r>
      <w:r w:rsidRPr="00574463">
        <w:fldChar w:fldCharType="separate"/>
      </w:r>
      <w:r w:rsidR="008A23A3">
        <w:t xml:space="preserve">Table </w:t>
      </w:r>
      <w:r w:rsidR="008A23A3">
        <w:rPr>
          <w:noProof/>
        </w:rPr>
        <w:t>1</w:t>
      </w:r>
      <w:r w:rsidRPr="00574463">
        <w:fldChar w:fldCharType="end"/>
      </w:r>
      <w:r w:rsidR="00574463" w:rsidRPr="00574463">
        <w:t xml:space="preserve"> and </w:t>
      </w:r>
      <w:r w:rsidR="00917AE4">
        <w:fldChar w:fldCharType="begin"/>
      </w:r>
      <w:r w:rsidR="00917AE4">
        <w:instrText xml:space="preserve"> REF _Ref87545037 \h </w:instrText>
      </w:r>
      <w:r w:rsidR="00917AE4">
        <w:fldChar w:fldCharType="separate"/>
      </w:r>
      <w:r w:rsidR="008A23A3">
        <w:t xml:space="preserve">Table </w:t>
      </w:r>
      <w:r w:rsidR="008A23A3">
        <w:rPr>
          <w:noProof/>
        </w:rPr>
        <w:t>2</w:t>
      </w:r>
      <w:r w:rsidR="00917AE4">
        <w:fldChar w:fldCharType="end"/>
      </w:r>
      <w:r w:rsidRPr="00574463">
        <w:t>).</w:t>
      </w:r>
    </w:p>
    <w:p w14:paraId="25282FFC" w14:textId="72616F47" w:rsidR="00895047" w:rsidRPr="00A63942" w:rsidRDefault="00895047" w:rsidP="00895047">
      <w:pPr>
        <w:pStyle w:val="Caption"/>
      </w:pPr>
      <w:bookmarkStart w:id="83" w:name="_Ref72145825"/>
      <w:bookmarkStart w:id="84" w:name="_Toc81924843"/>
      <w:bookmarkStart w:id="85" w:name="_Toc85814561"/>
      <w:r>
        <w:lastRenderedPageBreak/>
        <w:t xml:space="preserve">Table </w:t>
      </w:r>
      <w:fldSimple w:instr=" SEQ Table \* ARABIC ">
        <w:r w:rsidR="008A23A3">
          <w:rPr>
            <w:noProof/>
          </w:rPr>
          <w:t>1</w:t>
        </w:r>
      </w:fldSimple>
      <w:bookmarkEnd w:id="83"/>
      <w:r>
        <w:t xml:space="preserve"> R</w:t>
      </w:r>
      <w:r w:rsidR="00A676DE">
        <w:t>IC</w:t>
      </w:r>
      <w:r>
        <w:t xml:space="preserve"> </w:t>
      </w:r>
      <w:r w:rsidR="002D7058">
        <w:t>net value of loan portfolio</w:t>
      </w:r>
      <w:r w:rsidR="003A6AEC">
        <w:t>,</w:t>
      </w:r>
      <w:r>
        <w:t xml:space="preserve"> by industry, 2018–19 to 2020–21</w:t>
      </w:r>
      <w:bookmarkEnd w:id="84"/>
      <w:bookmarkEnd w:id="8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5647"/>
        <w:gridCol w:w="1141"/>
        <w:gridCol w:w="1141"/>
        <w:gridCol w:w="1141"/>
      </w:tblGrid>
      <w:tr w:rsidR="00895047" w:rsidRPr="00C86843" w14:paraId="1C2CB2B6" w14:textId="77777777" w:rsidTr="003A6AEC">
        <w:trPr>
          <w:cantSplit/>
          <w:tblHeader/>
        </w:trPr>
        <w:tc>
          <w:tcPr>
            <w:tcW w:w="3113" w:type="pct"/>
            <w:shd w:val="clear" w:color="auto" w:fill="auto"/>
            <w:noWrap/>
            <w:vAlign w:val="center"/>
            <w:hideMark/>
          </w:tcPr>
          <w:p w14:paraId="11C58F1F" w14:textId="0301A000" w:rsidR="00895047" w:rsidRPr="00C86843" w:rsidRDefault="00F759F5" w:rsidP="00B514B1">
            <w:pPr>
              <w:pStyle w:val="TableHeading"/>
              <w:rPr>
                <w:lang w:eastAsia="en-AU"/>
              </w:rPr>
            </w:pPr>
            <w:r w:rsidRPr="00C86843">
              <w:rPr>
                <w:lang w:eastAsia="en-AU"/>
              </w:rPr>
              <w:t>L</w:t>
            </w:r>
            <w:r w:rsidR="00883706" w:rsidRPr="00C86843">
              <w:rPr>
                <w:lang w:eastAsia="en-AU"/>
              </w:rPr>
              <w:t>ending</w:t>
            </w:r>
            <w:r w:rsidRPr="00C86843">
              <w:rPr>
                <w:lang w:eastAsia="en-AU"/>
              </w:rPr>
              <w:t xml:space="preserve"> by i</w:t>
            </w:r>
            <w:r w:rsidR="00481279" w:rsidRPr="00C86843">
              <w:rPr>
                <w:lang w:eastAsia="en-AU"/>
              </w:rPr>
              <w:t>ndustry</w:t>
            </w:r>
          </w:p>
        </w:tc>
        <w:tc>
          <w:tcPr>
            <w:tcW w:w="629" w:type="pct"/>
            <w:shd w:val="clear" w:color="auto" w:fill="auto"/>
            <w:noWrap/>
            <w:vAlign w:val="center"/>
            <w:hideMark/>
          </w:tcPr>
          <w:p w14:paraId="6310510E" w14:textId="77777777" w:rsidR="00895047" w:rsidRPr="00C86843" w:rsidRDefault="00895047" w:rsidP="003A6AEC">
            <w:pPr>
              <w:pStyle w:val="TableHeading"/>
              <w:jc w:val="right"/>
              <w:rPr>
                <w:lang w:eastAsia="en-AU"/>
              </w:rPr>
            </w:pPr>
            <w:r w:rsidRPr="00C86843">
              <w:rPr>
                <w:lang w:eastAsia="en-AU"/>
              </w:rPr>
              <w:t>2018–19</w:t>
            </w:r>
          </w:p>
          <w:p w14:paraId="04027A27" w14:textId="77777777" w:rsidR="00895047" w:rsidRPr="00C86843" w:rsidRDefault="00895047" w:rsidP="003A6AEC">
            <w:pPr>
              <w:pStyle w:val="TableHeading"/>
              <w:jc w:val="right"/>
              <w:rPr>
                <w:lang w:eastAsia="en-AU"/>
              </w:rPr>
            </w:pPr>
            <w:r w:rsidRPr="00C86843">
              <w:rPr>
                <w:lang w:eastAsia="en-AU"/>
              </w:rPr>
              <w:t>($m)</w:t>
            </w:r>
          </w:p>
        </w:tc>
        <w:tc>
          <w:tcPr>
            <w:tcW w:w="629" w:type="pct"/>
            <w:shd w:val="clear" w:color="auto" w:fill="auto"/>
            <w:vAlign w:val="center"/>
          </w:tcPr>
          <w:p w14:paraId="6E14EB81" w14:textId="77777777" w:rsidR="00895047" w:rsidRPr="00C86843" w:rsidRDefault="00895047" w:rsidP="003A6AEC">
            <w:pPr>
              <w:pStyle w:val="TableHeading"/>
              <w:jc w:val="right"/>
              <w:rPr>
                <w:lang w:eastAsia="en-AU"/>
              </w:rPr>
            </w:pPr>
            <w:r w:rsidRPr="00C86843">
              <w:rPr>
                <w:lang w:eastAsia="en-AU"/>
              </w:rPr>
              <w:t>2019–20</w:t>
            </w:r>
          </w:p>
          <w:p w14:paraId="339B9CB0" w14:textId="77777777" w:rsidR="00895047" w:rsidRPr="00C86843" w:rsidRDefault="00895047" w:rsidP="003A6AEC">
            <w:pPr>
              <w:pStyle w:val="TableHeading"/>
              <w:jc w:val="right"/>
              <w:rPr>
                <w:lang w:eastAsia="en-AU"/>
              </w:rPr>
            </w:pPr>
            <w:r w:rsidRPr="00C86843">
              <w:rPr>
                <w:lang w:eastAsia="en-AU"/>
              </w:rPr>
              <w:t>($m)</w:t>
            </w:r>
          </w:p>
        </w:tc>
        <w:tc>
          <w:tcPr>
            <w:tcW w:w="629" w:type="pct"/>
            <w:shd w:val="clear" w:color="auto" w:fill="auto"/>
            <w:vAlign w:val="center"/>
          </w:tcPr>
          <w:p w14:paraId="73D6EA45" w14:textId="77777777" w:rsidR="00895047" w:rsidRPr="00C86843" w:rsidRDefault="00895047" w:rsidP="003A6AEC">
            <w:pPr>
              <w:pStyle w:val="TableHeading"/>
              <w:jc w:val="right"/>
              <w:rPr>
                <w:lang w:eastAsia="en-AU"/>
              </w:rPr>
            </w:pPr>
            <w:r w:rsidRPr="00C86843">
              <w:rPr>
                <w:lang w:eastAsia="en-AU"/>
              </w:rPr>
              <w:t>2020–21</w:t>
            </w:r>
          </w:p>
          <w:p w14:paraId="16E64D35" w14:textId="77777777" w:rsidR="00895047" w:rsidRPr="00C86843" w:rsidRDefault="00895047" w:rsidP="003A6AEC">
            <w:pPr>
              <w:pStyle w:val="TableHeading"/>
              <w:jc w:val="right"/>
              <w:rPr>
                <w:lang w:eastAsia="en-AU"/>
              </w:rPr>
            </w:pPr>
            <w:r w:rsidRPr="00C86843">
              <w:rPr>
                <w:lang w:eastAsia="en-AU"/>
              </w:rPr>
              <w:t>($m)</w:t>
            </w:r>
          </w:p>
        </w:tc>
      </w:tr>
      <w:tr w:rsidR="00310450" w:rsidRPr="00C86843" w14:paraId="04B8E6D3" w14:textId="77777777" w:rsidTr="003A6AEC">
        <w:tc>
          <w:tcPr>
            <w:tcW w:w="3113" w:type="pct"/>
            <w:shd w:val="clear" w:color="auto" w:fill="auto"/>
            <w:noWrap/>
            <w:vAlign w:val="center"/>
          </w:tcPr>
          <w:p w14:paraId="79D0BC64" w14:textId="77777777" w:rsidR="00310450" w:rsidRPr="00C86843" w:rsidRDefault="00310450" w:rsidP="00310450">
            <w:pPr>
              <w:pStyle w:val="TableText"/>
              <w:rPr>
                <w:szCs w:val="18"/>
                <w:lang w:eastAsia="en-AU"/>
              </w:rPr>
            </w:pPr>
            <w:r w:rsidRPr="00C86843">
              <w:rPr>
                <w:szCs w:val="18"/>
                <w:lang w:eastAsia="en-AU"/>
              </w:rPr>
              <w:t>Beef cattle (including beef cattle feedlots)</w:t>
            </w:r>
          </w:p>
        </w:tc>
        <w:tc>
          <w:tcPr>
            <w:tcW w:w="629" w:type="pct"/>
            <w:shd w:val="clear" w:color="auto" w:fill="auto"/>
            <w:noWrap/>
            <w:vAlign w:val="center"/>
          </w:tcPr>
          <w:p w14:paraId="57D84515" w14:textId="6F6B874D" w:rsidR="00310450" w:rsidRPr="00C86843" w:rsidRDefault="00310450" w:rsidP="00310450">
            <w:pPr>
              <w:pStyle w:val="TableText"/>
              <w:jc w:val="right"/>
              <w:rPr>
                <w:szCs w:val="18"/>
                <w:lang w:eastAsia="en-AU"/>
              </w:rPr>
            </w:pPr>
            <w:r w:rsidRPr="00C86843">
              <w:rPr>
                <w:szCs w:val="18"/>
              </w:rPr>
              <w:t>1</w:t>
            </w:r>
          </w:p>
        </w:tc>
        <w:tc>
          <w:tcPr>
            <w:tcW w:w="629" w:type="pct"/>
            <w:shd w:val="clear" w:color="auto" w:fill="auto"/>
            <w:vAlign w:val="center"/>
          </w:tcPr>
          <w:p w14:paraId="1EDF211B" w14:textId="79FC5E14" w:rsidR="00310450" w:rsidRPr="00C86843" w:rsidRDefault="00274339" w:rsidP="00310450">
            <w:pPr>
              <w:pStyle w:val="TableText"/>
              <w:jc w:val="right"/>
              <w:rPr>
                <w:szCs w:val="18"/>
                <w:lang w:eastAsia="en-AU"/>
              </w:rPr>
            </w:pPr>
            <w:r>
              <w:rPr>
                <w:szCs w:val="18"/>
              </w:rPr>
              <w:t>98</w:t>
            </w:r>
          </w:p>
        </w:tc>
        <w:tc>
          <w:tcPr>
            <w:tcW w:w="629" w:type="pct"/>
            <w:shd w:val="clear" w:color="auto" w:fill="auto"/>
            <w:vAlign w:val="center"/>
          </w:tcPr>
          <w:p w14:paraId="7105C08D" w14:textId="0A7C7C89" w:rsidR="00310450" w:rsidRPr="00C86843" w:rsidRDefault="00274339" w:rsidP="00310450">
            <w:pPr>
              <w:pStyle w:val="TableText"/>
              <w:jc w:val="right"/>
              <w:rPr>
                <w:szCs w:val="18"/>
                <w:lang w:eastAsia="en-AU"/>
              </w:rPr>
            </w:pPr>
            <w:r>
              <w:rPr>
                <w:szCs w:val="18"/>
              </w:rPr>
              <w:t>308</w:t>
            </w:r>
          </w:p>
        </w:tc>
      </w:tr>
      <w:tr w:rsidR="00310450" w:rsidRPr="00C86843" w14:paraId="4A8A5B8C" w14:textId="77777777" w:rsidTr="003A6AEC">
        <w:tc>
          <w:tcPr>
            <w:tcW w:w="3113" w:type="pct"/>
            <w:shd w:val="clear" w:color="auto" w:fill="auto"/>
            <w:noWrap/>
            <w:vAlign w:val="center"/>
          </w:tcPr>
          <w:p w14:paraId="447BDB08" w14:textId="77777777" w:rsidR="00310450" w:rsidRPr="00C86843" w:rsidRDefault="00310450" w:rsidP="00310450">
            <w:pPr>
              <w:pStyle w:val="TableText"/>
              <w:rPr>
                <w:szCs w:val="18"/>
                <w:lang w:eastAsia="en-AU"/>
              </w:rPr>
            </w:pPr>
            <w:r w:rsidRPr="00C86843">
              <w:rPr>
                <w:szCs w:val="18"/>
                <w:lang w:eastAsia="en-AU"/>
              </w:rPr>
              <w:t>Sheep and sheep–beef</w:t>
            </w:r>
          </w:p>
        </w:tc>
        <w:tc>
          <w:tcPr>
            <w:tcW w:w="629" w:type="pct"/>
            <w:shd w:val="clear" w:color="auto" w:fill="auto"/>
            <w:noWrap/>
            <w:vAlign w:val="center"/>
          </w:tcPr>
          <w:p w14:paraId="5E8EAC74" w14:textId="726E7C1A" w:rsidR="00310450" w:rsidRPr="00C86843" w:rsidRDefault="00310450" w:rsidP="00310450">
            <w:pPr>
              <w:pStyle w:val="TableText"/>
              <w:jc w:val="right"/>
              <w:rPr>
                <w:szCs w:val="18"/>
                <w:lang w:eastAsia="en-AU"/>
              </w:rPr>
            </w:pPr>
            <w:r w:rsidRPr="00C86843">
              <w:rPr>
                <w:szCs w:val="18"/>
              </w:rPr>
              <w:t>8</w:t>
            </w:r>
          </w:p>
        </w:tc>
        <w:tc>
          <w:tcPr>
            <w:tcW w:w="629" w:type="pct"/>
            <w:shd w:val="clear" w:color="auto" w:fill="auto"/>
            <w:vAlign w:val="center"/>
          </w:tcPr>
          <w:p w14:paraId="227AC339" w14:textId="0A4883AD" w:rsidR="00310450" w:rsidRPr="00C86843" w:rsidRDefault="00274339" w:rsidP="00310450">
            <w:pPr>
              <w:pStyle w:val="TableText"/>
              <w:jc w:val="right"/>
              <w:rPr>
                <w:szCs w:val="18"/>
                <w:lang w:eastAsia="en-AU"/>
              </w:rPr>
            </w:pPr>
            <w:r>
              <w:rPr>
                <w:szCs w:val="18"/>
              </w:rPr>
              <w:t>74</w:t>
            </w:r>
          </w:p>
        </w:tc>
        <w:tc>
          <w:tcPr>
            <w:tcW w:w="629" w:type="pct"/>
            <w:shd w:val="clear" w:color="auto" w:fill="auto"/>
            <w:vAlign w:val="center"/>
          </w:tcPr>
          <w:p w14:paraId="5AA01675" w14:textId="0E954529" w:rsidR="00310450" w:rsidRPr="00C86843" w:rsidRDefault="00274339" w:rsidP="00310450">
            <w:pPr>
              <w:pStyle w:val="TableText"/>
              <w:jc w:val="right"/>
              <w:rPr>
                <w:szCs w:val="18"/>
                <w:lang w:eastAsia="en-AU"/>
              </w:rPr>
            </w:pPr>
            <w:r>
              <w:rPr>
                <w:szCs w:val="18"/>
              </w:rPr>
              <w:t>218</w:t>
            </w:r>
          </w:p>
        </w:tc>
      </w:tr>
      <w:tr w:rsidR="00310450" w:rsidRPr="00C86843" w14:paraId="38770C76" w14:textId="77777777" w:rsidTr="003A6AEC">
        <w:tc>
          <w:tcPr>
            <w:tcW w:w="3113" w:type="pct"/>
            <w:shd w:val="clear" w:color="auto" w:fill="auto"/>
            <w:noWrap/>
            <w:vAlign w:val="center"/>
          </w:tcPr>
          <w:p w14:paraId="38E6E9EB" w14:textId="77777777" w:rsidR="00310450" w:rsidRPr="00C86843" w:rsidRDefault="00310450" w:rsidP="00310450">
            <w:pPr>
              <w:pStyle w:val="TableText"/>
              <w:rPr>
                <w:szCs w:val="18"/>
                <w:lang w:eastAsia="en-AU"/>
              </w:rPr>
            </w:pPr>
            <w:r w:rsidRPr="00C86843">
              <w:rPr>
                <w:szCs w:val="18"/>
                <w:lang w:eastAsia="en-AU"/>
              </w:rPr>
              <w:t>Pigs</w:t>
            </w:r>
          </w:p>
        </w:tc>
        <w:tc>
          <w:tcPr>
            <w:tcW w:w="629" w:type="pct"/>
            <w:shd w:val="clear" w:color="auto" w:fill="auto"/>
            <w:noWrap/>
            <w:vAlign w:val="center"/>
          </w:tcPr>
          <w:p w14:paraId="0DA8B0F8" w14:textId="40071D06"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1B99D058" w14:textId="20F008FC"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76DA86EC" w14:textId="05E9DCEB" w:rsidR="00310450" w:rsidRPr="00C86843" w:rsidRDefault="00310450" w:rsidP="00310450">
            <w:pPr>
              <w:pStyle w:val="TableText"/>
              <w:jc w:val="right"/>
              <w:rPr>
                <w:szCs w:val="18"/>
                <w:lang w:eastAsia="en-AU"/>
              </w:rPr>
            </w:pPr>
            <w:r w:rsidRPr="00C86843">
              <w:rPr>
                <w:szCs w:val="18"/>
              </w:rPr>
              <w:t>1</w:t>
            </w:r>
          </w:p>
        </w:tc>
      </w:tr>
      <w:tr w:rsidR="00310450" w:rsidRPr="00C86843" w14:paraId="2583C547" w14:textId="77777777" w:rsidTr="003A6AEC">
        <w:tc>
          <w:tcPr>
            <w:tcW w:w="3113" w:type="pct"/>
            <w:shd w:val="clear" w:color="auto" w:fill="auto"/>
            <w:noWrap/>
            <w:vAlign w:val="center"/>
          </w:tcPr>
          <w:p w14:paraId="4A25E71B" w14:textId="77777777" w:rsidR="00310450" w:rsidRPr="00C86843" w:rsidRDefault="00310450" w:rsidP="00310450">
            <w:pPr>
              <w:pStyle w:val="TableText"/>
              <w:rPr>
                <w:szCs w:val="18"/>
                <w:lang w:eastAsia="en-AU"/>
              </w:rPr>
            </w:pPr>
            <w:r w:rsidRPr="00C86843">
              <w:rPr>
                <w:szCs w:val="18"/>
                <w:lang w:eastAsia="en-AU"/>
              </w:rPr>
              <w:t>Dairy</w:t>
            </w:r>
          </w:p>
        </w:tc>
        <w:tc>
          <w:tcPr>
            <w:tcW w:w="629" w:type="pct"/>
            <w:shd w:val="clear" w:color="auto" w:fill="auto"/>
            <w:noWrap/>
            <w:vAlign w:val="center"/>
          </w:tcPr>
          <w:p w14:paraId="2B1FC14A" w14:textId="05F4072D" w:rsidR="00310450" w:rsidRPr="00C86843" w:rsidRDefault="00310450" w:rsidP="00310450">
            <w:pPr>
              <w:pStyle w:val="TableText"/>
              <w:jc w:val="right"/>
              <w:rPr>
                <w:szCs w:val="18"/>
                <w:lang w:eastAsia="en-AU"/>
              </w:rPr>
            </w:pPr>
            <w:r w:rsidRPr="00C86843">
              <w:rPr>
                <w:szCs w:val="18"/>
              </w:rPr>
              <w:t>1</w:t>
            </w:r>
          </w:p>
        </w:tc>
        <w:tc>
          <w:tcPr>
            <w:tcW w:w="629" w:type="pct"/>
            <w:shd w:val="clear" w:color="auto" w:fill="auto"/>
            <w:vAlign w:val="center"/>
          </w:tcPr>
          <w:p w14:paraId="7C46FC7C" w14:textId="610D7D53" w:rsidR="00310450" w:rsidRPr="00C86843" w:rsidRDefault="00C35DCA" w:rsidP="00310450">
            <w:pPr>
              <w:pStyle w:val="TableText"/>
              <w:jc w:val="right"/>
              <w:rPr>
                <w:szCs w:val="18"/>
                <w:lang w:eastAsia="en-AU"/>
              </w:rPr>
            </w:pPr>
            <w:r>
              <w:rPr>
                <w:szCs w:val="18"/>
              </w:rPr>
              <w:t>1</w:t>
            </w:r>
            <w:r w:rsidR="00274339">
              <w:rPr>
                <w:szCs w:val="18"/>
              </w:rPr>
              <w:t>9</w:t>
            </w:r>
          </w:p>
        </w:tc>
        <w:tc>
          <w:tcPr>
            <w:tcW w:w="629" w:type="pct"/>
            <w:shd w:val="clear" w:color="auto" w:fill="auto"/>
            <w:vAlign w:val="center"/>
          </w:tcPr>
          <w:p w14:paraId="4A5121A0" w14:textId="24E3F4BA" w:rsidR="00310450" w:rsidRPr="00C86843" w:rsidRDefault="00274339" w:rsidP="00310450">
            <w:pPr>
              <w:pStyle w:val="TableText"/>
              <w:jc w:val="right"/>
              <w:rPr>
                <w:szCs w:val="18"/>
                <w:lang w:eastAsia="en-AU"/>
              </w:rPr>
            </w:pPr>
            <w:r>
              <w:rPr>
                <w:szCs w:val="18"/>
              </w:rPr>
              <w:t>66</w:t>
            </w:r>
          </w:p>
        </w:tc>
      </w:tr>
      <w:tr w:rsidR="00310450" w:rsidRPr="00C86843" w14:paraId="066B0846" w14:textId="77777777" w:rsidTr="003A6AEC">
        <w:tc>
          <w:tcPr>
            <w:tcW w:w="3113" w:type="pct"/>
            <w:shd w:val="clear" w:color="auto" w:fill="auto"/>
            <w:noWrap/>
            <w:vAlign w:val="center"/>
          </w:tcPr>
          <w:p w14:paraId="4B33F994" w14:textId="77777777" w:rsidR="00310450" w:rsidRPr="00C86843" w:rsidRDefault="00310450" w:rsidP="00310450">
            <w:pPr>
              <w:pStyle w:val="TableText"/>
              <w:rPr>
                <w:szCs w:val="18"/>
                <w:lang w:eastAsia="en-AU"/>
              </w:rPr>
            </w:pPr>
            <w:r w:rsidRPr="00C86843">
              <w:rPr>
                <w:szCs w:val="18"/>
                <w:lang w:eastAsia="en-AU"/>
              </w:rPr>
              <w:t>Poultry (meat and eggs)</w:t>
            </w:r>
          </w:p>
        </w:tc>
        <w:tc>
          <w:tcPr>
            <w:tcW w:w="629" w:type="pct"/>
            <w:shd w:val="clear" w:color="auto" w:fill="auto"/>
            <w:noWrap/>
            <w:vAlign w:val="center"/>
          </w:tcPr>
          <w:p w14:paraId="23FA72DE" w14:textId="0670A394"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5A1568CB" w14:textId="75EF2B36"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02620BCA" w14:textId="2F1BD4BE" w:rsidR="00310450" w:rsidRPr="00C86843" w:rsidRDefault="00310450" w:rsidP="00310450">
            <w:pPr>
              <w:pStyle w:val="TableText"/>
              <w:jc w:val="right"/>
              <w:rPr>
                <w:szCs w:val="18"/>
                <w:lang w:eastAsia="en-AU"/>
              </w:rPr>
            </w:pPr>
            <w:r w:rsidRPr="00C86843">
              <w:rPr>
                <w:szCs w:val="18"/>
              </w:rPr>
              <w:t>3</w:t>
            </w:r>
          </w:p>
        </w:tc>
      </w:tr>
      <w:tr w:rsidR="00310450" w:rsidRPr="00C86843" w14:paraId="1A2C74C8" w14:textId="77777777" w:rsidTr="003A6AEC">
        <w:tc>
          <w:tcPr>
            <w:tcW w:w="3113" w:type="pct"/>
            <w:shd w:val="clear" w:color="auto" w:fill="auto"/>
            <w:noWrap/>
            <w:vAlign w:val="center"/>
          </w:tcPr>
          <w:p w14:paraId="53290846" w14:textId="77777777" w:rsidR="00310450" w:rsidRPr="00C86843" w:rsidRDefault="00310450" w:rsidP="00310450">
            <w:pPr>
              <w:pStyle w:val="TableText"/>
              <w:rPr>
                <w:szCs w:val="18"/>
                <w:lang w:eastAsia="en-AU"/>
              </w:rPr>
            </w:pPr>
            <w:r w:rsidRPr="00C86843">
              <w:rPr>
                <w:szCs w:val="18"/>
                <w:lang w:eastAsia="en-AU"/>
              </w:rPr>
              <w:t>Other livestock (horses, deer, beekeeping, other livestock)</w:t>
            </w:r>
          </w:p>
        </w:tc>
        <w:tc>
          <w:tcPr>
            <w:tcW w:w="629" w:type="pct"/>
            <w:shd w:val="clear" w:color="auto" w:fill="auto"/>
            <w:noWrap/>
            <w:vAlign w:val="center"/>
          </w:tcPr>
          <w:p w14:paraId="682F41A8" w14:textId="5BD2B2D1"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77F6AB96" w14:textId="58303B9E" w:rsidR="00310450" w:rsidRPr="00C86843" w:rsidRDefault="00274339" w:rsidP="00310450">
            <w:pPr>
              <w:pStyle w:val="TableText"/>
              <w:jc w:val="right"/>
              <w:rPr>
                <w:szCs w:val="18"/>
                <w:lang w:eastAsia="en-AU"/>
              </w:rPr>
            </w:pPr>
            <w:r>
              <w:rPr>
                <w:szCs w:val="18"/>
              </w:rPr>
              <w:t>1</w:t>
            </w:r>
          </w:p>
        </w:tc>
        <w:tc>
          <w:tcPr>
            <w:tcW w:w="629" w:type="pct"/>
            <w:shd w:val="clear" w:color="auto" w:fill="auto"/>
            <w:vAlign w:val="center"/>
          </w:tcPr>
          <w:p w14:paraId="4D21865D" w14:textId="4D6BF124" w:rsidR="00310450" w:rsidRPr="00C86843" w:rsidRDefault="00274339" w:rsidP="00310450">
            <w:pPr>
              <w:pStyle w:val="TableText"/>
              <w:jc w:val="right"/>
              <w:rPr>
                <w:szCs w:val="18"/>
                <w:lang w:eastAsia="en-AU"/>
              </w:rPr>
            </w:pPr>
            <w:r>
              <w:rPr>
                <w:szCs w:val="18"/>
              </w:rPr>
              <w:t>3</w:t>
            </w:r>
          </w:p>
        </w:tc>
      </w:tr>
      <w:tr w:rsidR="00310450" w:rsidRPr="00C86843" w14:paraId="042CB288" w14:textId="77777777" w:rsidTr="003A6AEC">
        <w:tc>
          <w:tcPr>
            <w:tcW w:w="3113" w:type="pct"/>
            <w:shd w:val="clear" w:color="auto" w:fill="auto"/>
            <w:noWrap/>
            <w:vAlign w:val="center"/>
          </w:tcPr>
          <w:p w14:paraId="320CAA05" w14:textId="77777777" w:rsidR="00310450" w:rsidRPr="00C86843" w:rsidRDefault="00310450" w:rsidP="00310450">
            <w:pPr>
              <w:pStyle w:val="TableText"/>
              <w:rPr>
                <w:szCs w:val="18"/>
                <w:lang w:eastAsia="en-AU"/>
              </w:rPr>
            </w:pPr>
            <w:r w:rsidRPr="00C86843">
              <w:rPr>
                <w:szCs w:val="18"/>
                <w:lang w:eastAsia="en-AU"/>
              </w:rPr>
              <w:t>Grain growing and mixed grains–livestock</w:t>
            </w:r>
          </w:p>
        </w:tc>
        <w:tc>
          <w:tcPr>
            <w:tcW w:w="629" w:type="pct"/>
            <w:shd w:val="clear" w:color="auto" w:fill="auto"/>
            <w:noWrap/>
            <w:vAlign w:val="center"/>
          </w:tcPr>
          <w:p w14:paraId="2AE3604D" w14:textId="52C0D125" w:rsidR="00310450" w:rsidRPr="00C86843" w:rsidRDefault="00310450" w:rsidP="00310450">
            <w:pPr>
              <w:pStyle w:val="TableText"/>
              <w:jc w:val="right"/>
              <w:rPr>
                <w:szCs w:val="18"/>
                <w:lang w:eastAsia="en-AU"/>
              </w:rPr>
            </w:pPr>
            <w:r w:rsidRPr="00C86843">
              <w:rPr>
                <w:szCs w:val="18"/>
              </w:rPr>
              <w:t>17</w:t>
            </w:r>
          </w:p>
        </w:tc>
        <w:tc>
          <w:tcPr>
            <w:tcW w:w="629" w:type="pct"/>
            <w:shd w:val="clear" w:color="auto" w:fill="auto"/>
            <w:vAlign w:val="center"/>
          </w:tcPr>
          <w:p w14:paraId="6FF245AF" w14:textId="7232CB33" w:rsidR="00310450" w:rsidRPr="00C86843" w:rsidRDefault="00274339" w:rsidP="00310450">
            <w:pPr>
              <w:pStyle w:val="TableText"/>
              <w:jc w:val="right"/>
              <w:rPr>
                <w:szCs w:val="18"/>
                <w:lang w:eastAsia="en-AU"/>
              </w:rPr>
            </w:pPr>
            <w:r>
              <w:rPr>
                <w:szCs w:val="18"/>
              </w:rPr>
              <w:t>191</w:t>
            </w:r>
          </w:p>
        </w:tc>
        <w:tc>
          <w:tcPr>
            <w:tcW w:w="629" w:type="pct"/>
            <w:shd w:val="clear" w:color="auto" w:fill="auto"/>
            <w:vAlign w:val="center"/>
          </w:tcPr>
          <w:p w14:paraId="3C683100" w14:textId="20F1AC69" w:rsidR="00310450" w:rsidRPr="00C86843" w:rsidRDefault="00274339" w:rsidP="00310450">
            <w:pPr>
              <w:pStyle w:val="TableText"/>
              <w:jc w:val="right"/>
              <w:rPr>
                <w:szCs w:val="18"/>
                <w:lang w:eastAsia="en-AU"/>
              </w:rPr>
            </w:pPr>
            <w:r>
              <w:rPr>
                <w:szCs w:val="18"/>
              </w:rPr>
              <w:t>620</w:t>
            </w:r>
          </w:p>
        </w:tc>
      </w:tr>
      <w:tr w:rsidR="00310450" w:rsidRPr="00C86843" w14:paraId="20AB1374" w14:textId="77777777" w:rsidTr="003A6AEC">
        <w:tc>
          <w:tcPr>
            <w:tcW w:w="3113" w:type="pct"/>
            <w:shd w:val="clear" w:color="auto" w:fill="auto"/>
            <w:noWrap/>
            <w:vAlign w:val="center"/>
          </w:tcPr>
          <w:p w14:paraId="41C9C39A" w14:textId="77777777" w:rsidR="00310450" w:rsidRPr="00C86843" w:rsidRDefault="00310450" w:rsidP="00310450">
            <w:pPr>
              <w:pStyle w:val="TableText"/>
              <w:rPr>
                <w:szCs w:val="18"/>
                <w:lang w:eastAsia="en-AU"/>
              </w:rPr>
            </w:pPr>
            <w:r w:rsidRPr="00C86843">
              <w:rPr>
                <w:szCs w:val="18"/>
                <w:lang w:eastAsia="en-AU"/>
              </w:rPr>
              <w:t>Cotton</w:t>
            </w:r>
          </w:p>
        </w:tc>
        <w:tc>
          <w:tcPr>
            <w:tcW w:w="629" w:type="pct"/>
            <w:shd w:val="clear" w:color="auto" w:fill="auto"/>
            <w:noWrap/>
            <w:vAlign w:val="center"/>
          </w:tcPr>
          <w:p w14:paraId="7461CD9F" w14:textId="399FD176"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671A556E" w14:textId="6D92F100" w:rsidR="00310450" w:rsidRPr="00C86843" w:rsidRDefault="00310450" w:rsidP="00310450">
            <w:pPr>
              <w:pStyle w:val="TableText"/>
              <w:jc w:val="right"/>
              <w:rPr>
                <w:szCs w:val="18"/>
                <w:lang w:eastAsia="en-AU"/>
              </w:rPr>
            </w:pPr>
            <w:r w:rsidRPr="00C86843">
              <w:rPr>
                <w:szCs w:val="18"/>
              </w:rPr>
              <w:t>7</w:t>
            </w:r>
          </w:p>
        </w:tc>
        <w:tc>
          <w:tcPr>
            <w:tcW w:w="629" w:type="pct"/>
            <w:shd w:val="clear" w:color="auto" w:fill="auto"/>
            <w:vAlign w:val="center"/>
          </w:tcPr>
          <w:p w14:paraId="784C42C9" w14:textId="4B9D99B3" w:rsidR="00310450" w:rsidRPr="00C86843" w:rsidRDefault="00274339" w:rsidP="00310450">
            <w:pPr>
              <w:pStyle w:val="TableText"/>
              <w:jc w:val="right"/>
              <w:rPr>
                <w:szCs w:val="18"/>
                <w:lang w:eastAsia="en-AU"/>
              </w:rPr>
            </w:pPr>
            <w:r>
              <w:rPr>
                <w:szCs w:val="18"/>
              </w:rPr>
              <w:t>24</w:t>
            </w:r>
          </w:p>
        </w:tc>
      </w:tr>
      <w:tr w:rsidR="00310450" w:rsidRPr="00C86843" w14:paraId="2685B9B8" w14:textId="77777777" w:rsidTr="003A6AEC">
        <w:tc>
          <w:tcPr>
            <w:tcW w:w="3113" w:type="pct"/>
            <w:shd w:val="clear" w:color="auto" w:fill="auto"/>
            <w:noWrap/>
            <w:vAlign w:val="center"/>
          </w:tcPr>
          <w:p w14:paraId="5E161B7C" w14:textId="77777777" w:rsidR="00310450" w:rsidRPr="00C86843" w:rsidRDefault="00310450" w:rsidP="00310450">
            <w:pPr>
              <w:pStyle w:val="TableText"/>
              <w:rPr>
                <w:szCs w:val="18"/>
                <w:lang w:eastAsia="en-AU"/>
              </w:rPr>
            </w:pPr>
            <w:r w:rsidRPr="00C86843">
              <w:rPr>
                <w:szCs w:val="18"/>
                <w:lang w:eastAsia="en-AU"/>
              </w:rPr>
              <w:t>Sugar cane</w:t>
            </w:r>
          </w:p>
        </w:tc>
        <w:tc>
          <w:tcPr>
            <w:tcW w:w="629" w:type="pct"/>
            <w:shd w:val="clear" w:color="auto" w:fill="auto"/>
            <w:noWrap/>
            <w:vAlign w:val="center"/>
          </w:tcPr>
          <w:p w14:paraId="112955CB" w14:textId="55ED626E"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79CCF5E1" w14:textId="01C99BD4" w:rsidR="00310450" w:rsidRPr="00C86843" w:rsidRDefault="00310450" w:rsidP="00310450">
            <w:pPr>
              <w:pStyle w:val="TableText"/>
              <w:jc w:val="right"/>
              <w:rPr>
                <w:szCs w:val="18"/>
                <w:lang w:eastAsia="en-AU"/>
              </w:rPr>
            </w:pPr>
            <w:r w:rsidRPr="00C86843">
              <w:rPr>
                <w:szCs w:val="18"/>
              </w:rPr>
              <w:t>2</w:t>
            </w:r>
          </w:p>
        </w:tc>
        <w:tc>
          <w:tcPr>
            <w:tcW w:w="629" w:type="pct"/>
            <w:shd w:val="clear" w:color="auto" w:fill="auto"/>
            <w:vAlign w:val="center"/>
          </w:tcPr>
          <w:p w14:paraId="4701AE3A" w14:textId="3C3EEE68" w:rsidR="00310450" w:rsidRPr="00C86843" w:rsidRDefault="00274339" w:rsidP="00310450">
            <w:pPr>
              <w:pStyle w:val="TableText"/>
              <w:jc w:val="right"/>
              <w:rPr>
                <w:szCs w:val="18"/>
                <w:lang w:eastAsia="en-AU"/>
              </w:rPr>
            </w:pPr>
            <w:r>
              <w:rPr>
                <w:szCs w:val="18"/>
              </w:rPr>
              <w:t>3</w:t>
            </w:r>
          </w:p>
        </w:tc>
      </w:tr>
      <w:tr w:rsidR="00310450" w:rsidRPr="00C86843" w14:paraId="5028DB74" w14:textId="77777777" w:rsidTr="003A6AEC">
        <w:tc>
          <w:tcPr>
            <w:tcW w:w="3113" w:type="pct"/>
            <w:shd w:val="clear" w:color="auto" w:fill="auto"/>
            <w:noWrap/>
            <w:vAlign w:val="center"/>
          </w:tcPr>
          <w:p w14:paraId="733288BB" w14:textId="77777777" w:rsidR="00310450" w:rsidRPr="00C86843" w:rsidRDefault="00310450" w:rsidP="00310450">
            <w:pPr>
              <w:pStyle w:val="TableText"/>
              <w:rPr>
                <w:szCs w:val="18"/>
                <w:lang w:eastAsia="en-AU"/>
              </w:rPr>
            </w:pPr>
            <w:r w:rsidRPr="00C86843">
              <w:rPr>
                <w:szCs w:val="18"/>
                <w:lang w:eastAsia="en-AU"/>
              </w:rPr>
              <w:t>Vegetables (including mushrooms)</w:t>
            </w:r>
          </w:p>
        </w:tc>
        <w:tc>
          <w:tcPr>
            <w:tcW w:w="629" w:type="pct"/>
            <w:shd w:val="clear" w:color="auto" w:fill="auto"/>
            <w:noWrap/>
            <w:vAlign w:val="center"/>
          </w:tcPr>
          <w:p w14:paraId="74B4534F" w14:textId="25EE1FFE"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44ECF4C3" w14:textId="6C1E8DBE" w:rsidR="00310450" w:rsidRPr="00C86843" w:rsidRDefault="00310450" w:rsidP="00310450">
            <w:pPr>
              <w:pStyle w:val="TableText"/>
              <w:jc w:val="right"/>
              <w:rPr>
                <w:szCs w:val="18"/>
                <w:lang w:eastAsia="en-AU"/>
              </w:rPr>
            </w:pPr>
            <w:r w:rsidRPr="00C86843">
              <w:rPr>
                <w:szCs w:val="18"/>
              </w:rPr>
              <w:t>2</w:t>
            </w:r>
          </w:p>
        </w:tc>
        <w:tc>
          <w:tcPr>
            <w:tcW w:w="629" w:type="pct"/>
            <w:shd w:val="clear" w:color="auto" w:fill="auto"/>
            <w:vAlign w:val="center"/>
          </w:tcPr>
          <w:p w14:paraId="5176A871" w14:textId="0187DCA5" w:rsidR="00310450" w:rsidRPr="00C86843" w:rsidRDefault="00274339" w:rsidP="00310450">
            <w:pPr>
              <w:pStyle w:val="TableText"/>
              <w:jc w:val="right"/>
              <w:rPr>
                <w:szCs w:val="18"/>
                <w:lang w:eastAsia="en-AU"/>
              </w:rPr>
            </w:pPr>
            <w:r>
              <w:rPr>
                <w:szCs w:val="18"/>
              </w:rPr>
              <w:t>4</w:t>
            </w:r>
          </w:p>
        </w:tc>
      </w:tr>
      <w:tr w:rsidR="00310450" w:rsidRPr="00C86843" w14:paraId="4BDA81D6" w14:textId="77777777" w:rsidTr="003A6AEC">
        <w:tc>
          <w:tcPr>
            <w:tcW w:w="3113" w:type="pct"/>
            <w:shd w:val="clear" w:color="auto" w:fill="auto"/>
            <w:noWrap/>
            <w:vAlign w:val="center"/>
          </w:tcPr>
          <w:p w14:paraId="4A77DA44" w14:textId="77777777" w:rsidR="00310450" w:rsidRPr="00C86843" w:rsidRDefault="00310450" w:rsidP="00310450">
            <w:pPr>
              <w:pStyle w:val="TableText"/>
              <w:rPr>
                <w:szCs w:val="18"/>
                <w:lang w:eastAsia="en-AU"/>
              </w:rPr>
            </w:pPr>
            <w:r w:rsidRPr="00C86843">
              <w:rPr>
                <w:szCs w:val="18"/>
                <w:lang w:eastAsia="en-AU"/>
              </w:rPr>
              <w:t>Grape growing</w:t>
            </w:r>
          </w:p>
        </w:tc>
        <w:tc>
          <w:tcPr>
            <w:tcW w:w="629" w:type="pct"/>
            <w:shd w:val="clear" w:color="auto" w:fill="auto"/>
            <w:noWrap/>
            <w:vAlign w:val="center"/>
          </w:tcPr>
          <w:p w14:paraId="72FD3678" w14:textId="3D6B2E25"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771F9CA4" w14:textId="77B668D1" w:rsidR="00310450" w:rsidRPr="00C86843" w:rsidRDefault="00310450" w:rsidP="00310450">
            <w:pPr>
              <w:pStyle w:val="TableText"/>
              <w:jc w:val="right"/>
              <w:rPr>
                <w:szCs w:val="18"/>
                <w:lang w:eastAsia="en-AU"/>
              </w:rPr>
            </w:pPr>
            <w:r w:rsidRPr="00C86843">
              <w:rPr>
                <w:szCs w:val="18"/>
              </w:rPr>
              <w:t>3</w:t>
            </w:r>
          </w:p>
        </w:tc>
        <w:tc>
          <w:tcPr>
            <w:tcW w:w="629" w:type="pct"/>
            <w:shd w:val="clear" w:color="auto" w:fill="auto"/>
            <w:vAlign w:val="center"/>
          </w:tcPr>
          <w:p w14:paraId="12C933F2" w14:textId="2BCFE5FA" w:rsidR="00310450" w:rsidRPr="00C86843" w:rsidRDefault="00274339" w:rsidP="00310450">
            <w:pPr>
              <w:pStyle w:val="TableText"/>
              <w:jc w:val="right"/>
              <w:rPr>
                <w:szCs w:val="18"/>
                <w:lang w:eastAsia="en-AU"/>
              </w:rPr>
            </w:pPr>
            <w:r>
              <w:rPr>
                <w:szCs w:val="18"/>
              </w:rPr>
              <w:t>7</w:t>
            </w:r>
          </w:p>
        </w:tc>
      </w:tr>
      <w:tr w:rsidR="00310450" w:rsidRPr="00C86843" w14:paraId="59CC6D5A" w14:textId="77777777" w:rsidTr="003A6AEC">
        <w:tc>
          <w:tcPr>
            <w:tcW w:w="3113" w:type="pct"/>
            <w:shd w:val="clear" w:color="auto" w:fill="auto"/>
            <w:noWrap/>
            <w:vAlign w:val="center"/>
          </w:tcPr>
          <w:p w14:paraId="18B3CE0E" w14:textId="77777777" w:rsidR="00310450" w:rsidRPr="00C86843" w:rsidRDefault="00310450" w:rsidP="00310450">
            <w:pPr>
              <w:pStyle w:val="TableText"/>
              <w:rPr>
                <w:szCs w:val="18"/>
                <w:lang w:eastAsia="en-AU"/>
              </w:rPr>
            </w:pPr>
            <w:r w:rsidRPr="00C86843">
              <w:rPr>
                <w:szCs w:val="18"/>
                <w:lang w:eastAsia="en-AU"/>
              </w:rPr>
              <w:t>Fruit and nuts</w:t>
            </w:r>
          </w:p>
        </w:tc>
        <w:tc>
          <w:tcPr>
            <w:tcW w:w="629" w:type="pct"/>
            <w:shd w:val="clear" w:color="auto" w:fill="auto"/>
            <w:noWrap/>
            <w:vAlign w:val="center"/>
          </w:tcPr>
          <w:p w14:paraId="44F4A45C" w14:textId="55E1C1D9"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78523CE1" w14:textId="05098461" w:rsidR="00310450" w:rsidRPr="00C86843" w:rsidRDefault="00310450" w:rsidP="00310450">
            <w:pPr>
              <w:pStyle w:val="TableText"/>
              <w:jc w:val="right"/>
              <w:rPr>
                <w:szCs w:val="18"/>
                <w:lang w:eastAsia="en-AU"/>
              </w:rPr>
            </w:pPr>
            <w:r w:rsidRPr="00C86843">
              <w:rPr>
                <w:szCs w:val="18"/>
              </w:rPr>
              <w:t>8</w:t>
            </w:r>
          </w:p>
        </w:tc>
        <w:tc>
          <w:tcPr>
            <w:tcW w:w="629" w:type="pct"/>
            <w:shd w:val="clear" w:color="auto" w:fill="auto"/>
            <w:vAlign w:val="center"/>
          </w:tcPr>
          <w:p w14:paraId="05F66D51" w14:textId="2DCA8DE9" w:rsidR="00310450" w:rsidRPr="00C86843" w:rsidRDefault="00274339" w:rsidP="00310450">
            <w:pPr>
              <w:pStyle w:val="TableText"/>
              <w:jc w:val="right"/>
              <w:rPr>
                <w:szCs w:val="18"/>
                <w:lang w:eastAsia="en-AU"/>
              </w:rPr>
            </w:pPr>
            <w:r>
              <w:rPr>
                <w:szCs w:val="18"/>
              </w:rPr>
              <w:t>21</w:t>
            </w:r>
          </w:p>
        </w:tc>
      </w:tr>
      <w:tr w:rsidR="00310450" w:rsidRPr="00C86843" w14:paraId="6571E647" w14:textId="77777777" w:rsidTr="003A6AEC">
        <w:tc>
          <w:tcPr>
            <w:tcW w:w="3113" w:type="pct"/>
            <w:shd w:val="clear" w:color="auto" w:fill="auto"/>
            <w:noWrap/>
            <w:vAlign w:val="center"/>
          </w:tcPr>
          <w:p w14:paraId="69FA006C" w14:textId="77777777" w:rsidR="00310450" w:rsidRPr="00C86843" w:rsidRDefault="00310450" w:rsidP="00310450">
            <w:pPr>
              <w:pStyle w:val="TableText"/>
              <w:rPr>
                <w:szCs w:val="18"/>
                <w:lang w:eastAsia="en-AU"/>
              </w:rPr>
            </w:pPr>
            <w:proofErr w:type="gramStart"/>
            <w:r w:rsidRPr="00C86843">
              <w:rPr>
                <w:szCs w:val="18"/>
                <w:lang w:eastAsia="en-AU"/>
              </w:rPr>
              <w:t>Other</w:t>
            </w:r>
            <w:proofErr w:type="gramEnd"/>
            <w:r w:rsidRPr="00C86843">
              <w:rPr>
                <w:szCs w:val="18"/>
                <w:lang w:eastAsia="en-AU"/>
              </w:rPr>
              <w:t xml:space="preserve"> crop growing</w:t>
            </w:r>
          </w:p>
        </w:tc>
        <w:tc>
          <w:tcPr>
            <w:tcW w:w="629" w:type="pct"/>
            <w:shd w:val="clear" w:color="auto" w:fill="auto"/>
            <w:noWrap/>
            <w:vAlign w:val="center"/>
          </w:tcPr>
          <w:p w14:paraId="36EF16DC" w14:textId="32719151"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0D4CD7C8" w14:textId="29F05DA6" w:rsidR="00310450" w:rsidRPr="00C86843" w:rsidRDefault="00310450" w:rsidP="00310450">
            <w:pPr>
              <w:pStyle w:val="TableText"/>
              <w:jc w:val="right"/>
              <w:rPr>
                <w:szCs w:val="18"/>
                <w:lang w:eastAsia="en-AU"/>
              </w:rPr>
            </w:pPr>
            <w:r w:rsidRPr="00C86843">
              <w:rPr>
                <w:szCs w:val="18"/>
              </w:rPr>
              <w:t>10</w:t>
            </w:r>
          </w:p>
        </w:tc>
        <w:tc>
          <w:tcPr>
            <w:tcW w:w="629" w:type="pct"/>
            <w:shd w:val="clear" w:color="auto" w:fill="auto"/>
            <w:vAlign w:val="center"/>
          </w:tcPr>
          <w:p w14:paraId="57FECFAC" w14:textId="4046972A" w:rsidR="00310450" w:rsidRPr="00C86843" w:rsidRDefault="00274339" w:rsidP="00310450">
            <w:pPr>
              <w:pStyle w:val="TableText"/>
              <w:jc w:val="right"/>
              <w:rPr>
                <w:szCs w:val="18"/>
                <w:lang w:eastAsia="en-AU"/>
              </w:rPr>
            </w:pPr>
            <w:r>
              <w:rPr>
                <w:szCs w:val="18"/>
              </w:rPr>
              <w:t>12</w:t>
            </w:r>
          </w:p>
        </w:tc>
      </w:tr>
      <w:tr w:rsidR="00274339" w:rsidRPr="00C86843" w14:paraId="047E6F55" w14:textId="77777777" w:rsidTr="003A6AEC">
        <w:tc>
          <w:tcPr>
            <w:tcW w:w="3113" w:type="pct"/>
            <w:shd w:val="clear" w:color="auto" w:fill="auto"/>
            <w:noWrap/>
            <w:vAlign w:val="center"/>
          </w:tcPr>
          <w:p w14:paraId="27578BD4" w14:textId="0E2350C9" w:rsidR="00274339" w:rsidRPr="00C86843" w:rsidRDefault="00274339" w:rsidP="00310450">
            <w:pPr>
              <w:pStyle w:val="TableText"/>
              <w:rPr>
                <w:szCs w:val="18"/>
                <w:lang w:eastAsia="en-AU"/>
              </w:rPr>
            </w:pPr>
            <w:r>
              <w:rPr>
                <w:szCs w:val="18"/>
                <w:lang w:eastAsia="en-AU"/>
              </w:rPr>
              <w:t>Other</w:t>
            </w:r>
          </w:p>
        </w:tc>
        <w:tc>
          <w:tcPr>
            <w:tcW w:w="629" w:type="pct"/>
            <w:shd w:val="clear" w:color="auto" w:fill="auto"/>
            <w:noWrap/>
            <w:vAlign w:val="center"/>
          </w:tcPr>
          <w:p w14:paraId="649C1469" w14:textId="47A8FD0B" w:rsidR="00274339" w:rsidRPr="00C86843" w:rsidRDefault="00274339" w:rsidP="00310450">
            <w:pPr>
              <w:pStyle w:val="TableText"/>
              <w:jc w:val="right"/>
              <w:rPr>
                <w:szCs w:val="18"/>
              </w:rPr>
            </w:pPr>
            <w:r w:rsidRPr="00C86843">
              <w:rPr>
                <w:szCs w:val="18"/>
              </w:rPr>
              <w:t>–</w:t>
            </w:r>
          </w:p>
        </w:tc>
        <w:tc>
          <w:tcPr>
            <w:tcW w:w="629" w:type="pct"/>
            <w:shd w:val="clear" w:color="auto" w:fill="auto"/>
            <w:vAlign w:val="center"/>
          </w:tcPr>
          <w:p w14:paraId="52C7FC86" w14:textId="2942EA43" w:rsidR="00274339" w:rsidRPr="00C86843" w:rsidRDefault="00274339" w:rsidP="00310450">
            <w:pPr>
              <w:pStyle w:val="TableText"/>
              <w:jc w:val="right"/>
              <w:rPr>
                <w:szCs w:val="18"/>
              </w:rPr>
            </w:pPr>
            <w:r w:rsidRPr="00C86843">
              <w:rPr>
                <w:szCs w:val="18"/>
              </w:rPr>
              <w:t>–</w:t>
            </w:r>
          </w:p>
        </w:tc>
        <w:tc>
          <w:tcPr>
            <w:tcW w:w="629" w:type="pct"/>
            <w:shd w:val="clear" w:color="auto" w:fill="auto"/>
            <w:vAlign w:val="center"/>
          </w:tcPr>
          <w:p w14:paraId="5D2F8E99" w14:textId="19A80A53" w:rsidR="00274339" w:rsidDel="00274339" w:rsidRDefault="00274339" w:rsidP="00310450">
            <w:pPr>
              <w:pStyle w:val="TableText"/>
              <w:jc w:val="right"/>
              <w:rPr>
                <w:szCs w:val="18"/>
              </w:rPr>
            </w:pPr>
            <w:r>
              <w:rPr>
                <w:szCs w:val="18"/>
              </w:rPr>
              <w:t>2</w:t>
            </w:r>
          </w:p>
        </w:tc>
      </w:tr>
      <w:tr w:rsidR="00274339" w:rsidRPr="00C86843" w14:paraId="656FA85F" w14:textId="77777777" w:rsidTr="003A6AEC">
        <w:tc>
          <w:tcPr>
            <w:tcW w:w="3113" w:type="pct"/>
            <w:shd w:val="clear" w:color="auto" w:fill="auto"/>
            <w:noWrap/>
            <w:vAlign w:val="center"/>
          </w:tcPr>
          <w:p w14:paraId="5D337A39" w14:textId="60D9638B" w:rsidR="00274339" w:rsidRDefault="00274339" w:rsidP="00310450">
            <w:pPr>
              <w:pStyle w:val="TableText"/>
              <w:rPr>
                <w:szCs w:val="18"/>
                <w:lang w:eastAsia="en-AU"/>
              </w:rPr>
            </w:pPr>
            <w:r>
              <w:rPr>
                <w:szCs w:val="18"/>
                <w:lang w:eastAsia="en-AU"/>
              </w:rPr>
              <w:t>Non-primary production</w:t>
            </w:r>
          </w:p>
        </w:tc>
        <w:tc>
          <w:tcPr>
            <w:tcW w:w="629" w:type="pct"/>
            <w:shd w:val="clear" w:color="auto" w:fill="auto"/>
            <w:noWrap/>
            <w:vAlign w:val="center"/>
          </w:tcPr>
          <w:p w14:paraId="1AE4D2A6" w14:textId="53C2C8F0" w:rsidR="00274339" w:rsidRPr="00C86843" w:rsidRDefault="00274339" w:rsidP="00310450">
            <w:pPr>
              <w:pStyle w:val="TableText"/>
              <w:jc w:val="right"/>
              <w:rPr>
                <w:szCs w:val="18"/>
              </w:rPr>
            </w:pPr>
            <w:r w:rsidRPr="00C86843">
              <w:rPr>
                <w:szCs w:val="18"/>
              </w:rPr>
              <w:t>–</w:t>
            </w:r>
          </w:p>
        </w:tc>
        <w:tc>
          <w:tcPr>
            <w:tcW w:w="629" w:type="pct"/>
            <w:shd w:val="clear" w:color="auto" w:fill="auto"/>
            <w:vAlign w:val="center"/>
          </w:tcPr>
          <w:p w14:paraId="5771DA08" w14:textId="343C2C52" w:rsidR="00274339" w:rsidRPr="00C86843" w:rsidRDefault="00274339" w:rsidP="00310450">
            <w:pPr>
              <w:pStyle w:val="TableText"/>
              <w:jc w:val="right"/>
              <w:rPr>
                <w:szCs w:val="18"/>
              </w:rPr>
            </w:pPr>
            <w:r w:rsidRPr="00C86843">
              <w:rPr>
                <w:szCs w:val="18"/>
              </w:rPr>
              <w:t>–</w:t>
            </w:r>
          </w:p>
        </w:tc>
        <w:tc>
          <w:tcPr>
            <w:tcW w:w="629" w:type="pct"/>
            <w:shd w:val="clear" w:color="auto" w:fill="auto"/>
            <w:vAlign w:val="center"/>
          </w:tcPr>
          <w:p w14:paraId="45C659CB" w14:textId="5CF3E57D" w:rsidR="00274339" w:rsidRDefault="00274339" w:rsidP="00310450">
            <w:pPr>
              <w:pStyle w:val="TableText"/>
              <w:jc w:val="right"/>
              <w:rPr>
                <w:szCs w:val="18"/>
              </w:rPr>
            </w:pPr>
            <w:r>
              <w:rPr>
                <w:szCs w:val="18"/>
              </w:rPr>
              <w:t>15</w:t>
            </w:r>
          </w:p>
        </w:tc>
      </w:tr>
      <w:tr w:rsidR="00481279" w:rsidRPr="00C86843" w14:paraId="174E3041" w14:textId="77777777" w:rsidTr="003A6AEC">
        <w:tc>
          <w:tcPr>
            <w:tcW w:w="3113" w:type="pct"/>
            <w:shd w:val="clear" w:color="auto" w:fill="auto"/>
            <w:noWrap/>
            <w:vAlign w:val="center"/>
          </w:tcPr>
          <w:p w14:paraId="4A95C94B" w14:textId="37B682A1" w:rsidR="00481279" w:rsidRPr="00C86843" w:rsidRDefault="00481279" w:rsidP="00310450">
            <w:pPr>
              <w:pStyle w:val="TableText"/>
              <w:rPr>
                <w:b/>
                <w:bCs/>
                <w:szCs w:val="18"/>
                <w:lang w:eastAsia="en-AU"/>
              </w:rPr>
            </w:pPr>
            <w:r w:rsidRPr="00C86843">
              <w:rPr>
                <w:b/>
                <w:bCs/>
                <w:szCs w:val="18"/>
                <w:lang w:eastAsia="en-AU"/>
              </w:rPr>
              <w:t>All industries</w:t>
            </w:r>
          </w:p>
        </w:tc>
        <w:tc>
          <w:tcPr>
            <w:tcW w:w="629" w:type="pct"/>
            <w:shd w:val="clear" w:color="auto" w:fill="auto"/>
            <w:noWrap/>
            <w:vAlign w:val="center"/>
          </w:tcPr>
          <w:p w14:paraId="6F582AFE" w14:textId="3C2F573B" w:rsidR="00481279" w:rsidRPr="007500DC" w:rsidRDefault="00481279" w:rsidP="00310450">
            <w:pPr>
              <w:pStyle w:val="TableText"/>
              <w:jc w:val="right"/>
              <w:rPr>
                <w:b/>
                <w:bCs/>
                <w:szCs w:val="18"/>
              </w:rPr>
            </w:pPr>
            <w:r w:rsidRPr="007500DC">
              <w:rPr>
                <w:b/>
                <w:bCs/>
                <w:szCs w:val="18"/>
              </w:rPr>
              <w:t>28</w:t>
            </w:r>
          </w:p>
        </w:tc>
        <w:tc>
          <w:tcPr>
            <w:tcW w:w="629" w:type="pct"/>
            <w:shd w:val="clear" w:color="auto" w:fill="auto"/>
            <w:vAlign w:val="center"/>
          </w:tcPr>
          <w:p w14:paraId="24764FEE" w14:textId="04FD812F" w:rsidR="00481279" w:rsidRPr="007500DC" w:rsidRDefault="00274339" w:rsidP="00310450">
            <w:pPr>
              <w:pStyle w:val="TableText"/>
              <w:jc w:val="right"/>
              <w:rPr>
                <w:b/>
                <w:bCs/>
                <w:szCs w:val="18"/>
              </w:rPr>
            </w:pPr>
            <w:r>
              <w:rPr>
                <w:b/>
                <w:bCs/>
                <w:szCs w:val="18"/>
              </w:rPr>
              <w:t>416</w:t>
            </w:r>
          </w:p>
        </w:tc>
        <w:tc>
          <w:tcPr>
            <w:tcW w:w="629" w:type="pct"/>
            <w:shd w:val="clear" w:color="auto" w:fill="auto"/>
            <w:vAlign w:val="center"/>
          </w:tcPr>
          <w:p w14:paraId="69E52876" w14:textId="2FACDA36" w:rsidR="00481279" w:rsidRPr="007500DC" w:rsidRDefault="00274339" w:rsidP="00310450">
            <w:pPr>
              <w:pStyle w:val="TableText"/>
              <w:jc w:val="right"/>
              <w:rPr>
                <w:b/>
                <w:bCs/>
                <w:szCs w:val="18"/>
              </w:rPr>
            </w:pPr>
            <w:r>
              <w:rPr>
                <w:b/>
                <w:bCs/>
                <w:szCs w:val="18"/>
              </w:rPr>
              <w:t>1,308</w:t>
            </w:r>
          </w:p>
        </w:tc>
      </w:tr>
    </w:tbl>
    <w:p w14:paraId="507DD65D" w14:textId="11EAAAF2" w:rsidR="003A6AEC" w:rsidRDefault="003A6AEC" w:rsidP="003A6AEC">
      <w:pPr>
        <w:pStyle w:val="FigureTableNoteSource"/>
      </w:pPr>
      <w:r>
        <w:t xml:space="preserve">Note: </w:t>
      </w:r>
      <w:r w:rsidR="002D7058">
        <w:t>Calculated as total value of settled loans minus value of repaid loans</w:t>
      </w:r>
      <w:r w:rsidR="003A57C8">
        <w:t xml:space="preserve"> in the portfolio </w:t>
      </w:r>
      <w:proofErr w:type="gramStart"/>
      <w:r w:rsidR="003A57C8">
        <w:t>at</w:t>
      </w:r>
      <w:proofErr w:type="gramEnd"/>
      <w:r w:rsidR="003A57C8">
        <w:t xml:space="preserve"> 30 June each year</w:t>
      </w:r>
      <w:r w:rsidR="002D7058">
        <w:t xml:space="preserve">. </w:t>
      </w:r>
      <w:r>
        <w:t>Data for New South Wales includes the Australian Capital Territory. Data rounded to the nearest million. Columns may not sum due to rounding.</w:t>
      </w:r>
    </w:p>
    <w:p w14:paraId="0695889A" w14:textId="50508A14" w:rsidR="003A6AEC" w:rsidRPr="00A7698A" w:rsidRDefault="003A6AEC" w:rsidP="003A6AEC">
      <w:pPr>
        <w:pStyle w:val="FigureTableNoteSource"/>
      </w:pPr>
      <w:r>
        <w:t>Source: Regional Investment Corporation</w:t>
      </w:r>
    </w:p>
    <w:p w14:paraId="38B8694D" w14:textId="12E62B67" w:rsidR="003A6AEC" w:rsidRDefault="003A6AEC" w:rsidP="003A6AEC">
      <w:pPr>
        <w:pStyle w:val="Caption"/>
      </w:pPr>
      <w:bookmarkStart w:id="86" w:name="_Toc85814562"/>
      <w:bookmarkStart w:id="87" w:name="_Ref87545037"/>
      <w:r>
        <w:t xml:space="preserve">Table </w:t>
      </w:r>
      <w:fldSimple w:instr=" SEQ Table \* ARABIC ">
        <w:r w:rsidR="008A23A3">
          <w:rPr>
            <w:noProof/>
          </w:rPr>
          <w:t>2</w:t>
        </w:r>
      </w:fldSimple>
      <w:bookmarkEnd w:id="87"/>
      <w:r>
        <w:t xml:space="preserve"> RIC </w:t>
      </w:r>
      <w:r w:rsidR="00D21EE0">
        <w:t>net value of loan portfolio</w:t>
      </w:r>
      <w:r>
        <w:t>, by state, 2018–19 to 2020–21</w:t>
      </w:r>
      <w:bookmarkEnd w:id="8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5647"/>
        <w:gridCol w:w="1141"/>
        <w:gridCol w:w="1141"/>
        <w:gridCol w:w="1141"/>
      </w:tblGrid>
      <w:tr w:rsidR="003A6AEC" w:rsidRPr="00C86843" w14:paraId="4AB50AAB" w14:textId="77777777" w:rsidTr="003A6AEC">
        <w:tc>
          <w:tcPr>
            <w:tcW w:w="3113" w:type="pct"/>
            <w:shd w:val="clear" w:color="auto" w:fill="auto"/>
            <w:noWrap/>
            <w:vAlign w:val="center"/>
          </w:tcPr>
          <w:p w14:paraId="32318EE0" w14:textId="44289DF0" w:rsidR="003A6AEC" w:rsidRPr="00C86843" w:rsidRDefault="003A6AEC" w:rsidP="003A6AEC">
            <w:pPr>
              <w:pStyle w:val="TableText"/>
              <w:rPr>
                <w:szCs w:val="18"/>
                <w:lang w:eastAsia="en-AU"/>
              </w:rPr>
            </w:pPr>
            <w:r w:rsidRPr="00C86843">
              <w:rPr>
                <w:b/>
                <w:bCs/>
                <w:szCs w:val="18"/>
                <w:lang w:eastAsia="en-AU"/>
              </w:rPr>
              <w:t xml:space="preserve">Lending by </w:t>
            </w:r>
            <w:r>
              <w:rPr>
                <w:b/>
                <w:bCs/>
                <w:szCs w:val="18"/>
                <w:lang w:eastAsia="en-AU"/>
              </w:rPr>
              <w:t>s</w:t>
            </w:r>
            <w:r w:rsidRPr="00C86843">
              <w:rPr>
                <w:b/>
                <w:bCs/>
                <w:szCs w:val="18"/>
                <w:lang w:eastAsia="en-AU"/>
              </w:rPr>
              <w:t>tate/</w:t>
            </w:r>
            <w:r>
              <w:rPr>
                <w:b/>
                <w:bCs/>
                <w:szCs w:val="18"/>
                <w:lang w:eastAsia="en-AU"/>
              </w:rPr>
              <w:t>t</w:t>
            </w:r>
            <w:r w:rsidRPr="00C86843">
              <w:rPr>
                <w:b/>
                <w:bCs/>
                <w:szCs w:val="18"/>
                <w:lang w:eastAsia="en-AU"/>
              </w:rPr>
              <w:t>erritory</w:t>
            </w:r>
          </w:p>
        </w:tc>
        <w:tc>
          <w:tcPr>
            <w:tcW w:w="629" w:type="pct"/>
            <w:shd w:val="clear" w:color="auto" w:fill="auto"/>
            <w:noWrap/>
            <w:vAlign w:val="center"/>
          </w:tcPr>
          <w:p w14:paraId="4E4C7D8D" w14:textId="77777777" w:rsidR="003A6AEC" w:rsidRPr="00C86843" w:rsidRDefault="003A6AEC" w:rsidP="003A6AEC">
            <w:pPr>
              <w:pStyle w:val="TableHeading"/>
              <w:jc w:val="right"/>
              <w:rPr>
                <w:lang w:eastAsia="en-AU"/>
              </w:rPr>
            </w:pPr>
            <w:r w:rsidRPr="00C86843">
              <w:rPr>
                <w:lang w:eastAsia="en-AU"/>
              </w:rPr>
              <w:t>2018–19</w:t>
            </w:r>
          </w:p>
          <w:p w14:paraId="3242FBAC" w14:textId="67797166" w:rsidR="003A6AEC" w:rsidRPr="00C86843" w:rsidRDefault="003A6AEC" w:rsidP="003A6AEC">
            <w:pPr>
              <w:pStyle w:val="TableText"/>
              <w:jc w:val="right"/>
              <w:rPr>
                <w:szCs w:val="18"/>
              </w:rPr>
            </w:pPr>
            <w:r w:rsidRPr="00C86843">
              <w:rPr>
                <w:b/>
                <w:lang w:eastAsia="en-AU"/>
              </w:rPr>
              <w:t>($m)</w:t>
            </w:r>
          </w:p>
        </w:tc>
        <w:tc>
          <w:tcPr>
            <w:tcW w:w="629" w:type="pct"/>
            <w:shd w:val="clear" w:color="auto" w:fill="auto"/>
            <w:vAlign w:val="center"/>
          </w:tcPr>
          <w:p w14:paraId="39003477" w14:textId="77777777" w:rsidR="003A6AEC" w:rsidRPr="00C86843" w:rsidRDefault="003A6AEC" w:rsidP="003A6AEC">
            <w:pPr>
              <w:pStyle w:val="TableHeading"/>
              <w:jc w:val="right"/>
              <w:rPr>
                <w:lang w:eastAsia="en-AU"/>
              </w:rPr>
            </w:pPr>
            <w:r w:rsidRPr="00C86843">
              <w:rPr>
                <w:lang w:eastAsia="en-AU"/>
              </w:rPr>
              <w:t>2019–20</w:t>
            </w:r>
          </w:p>
          <w:p w14:paraId="4EBDB639" w14:textId="57E98DF9" w:rsidR="003A6AEC" w:rsidRPr="00C86843" w:rsidRDefault="003A6AEC" w:rsidP="003A6AEC">
            <w:pPr>
              <w:pStyle w:val="TableText"/>
              <w:jc w:val="right"/>
              <w:rPr>
                <w:szCs w:val="18"/>
              </w:rPr>
            </w:pPr>
            <w:r w:rsidRPr="00C86843">
              <w:rPr>
                <w:b/>
                <w:lang w:eastAsia="en-AU"/>
              </w:rPr>
              <w:t>($m)</w:t>
            </w:r>
          </w:p>
        </w:tc>
        <w:tc>
          <w:tcPr>
            <w:tcW w:w="629" w:type="pct"/>
            <w:shd w:val="clear" w:color="auto" w:fill="auto"/>
            <w:vAlign w:val="center"/>
          </w:tcPr>
          <w:p w14:paraId="35F87402" w14:textId="77777777" w:rsidR="003A6AEC" w:rsidRPr="00C86843" w:rsidRDefault="003A6AEC" w:rsidP="003A6AEC">
            <w:pPr>
              <w:pStyle w:val="TableHeading"/>
              <w:jc w:val="right"/>
              <w:rPr>
                <w:lang w:eastAsia="en-AU"/>
              </w:rPr>
            </w:pPr>
            <w:r w:rsidRPr="00C86843">
              <w:rPr>
                <w:lang w:eastAsia="en-AU"/>
              </w:rPr>
              <w:t>2020–21</w:t>
            </w:r>
          </w:p>
          <w:p w14:paraId="5F048026" w14:textId="17872F72" w:rsidR="003A6AEC" w:rsidRPr="00C86843" w:rsidRDefault="003A6AEC" w:rsidP="003A6AEC">
            <w:pPr>
              <w:pStyle w:val="TableText"/>
              <w:jc w:val="right"/>
              <w:rPr>
                <w:szCs w:val="18"/>
              </w:rPr>
            </w:pPr>
            <w:r w:rsidRPr="00C86843">
              <w:rPr>
                <w:b/>
                <w:lang w:eastAsia="en-AU"/>
              </w:rPr>
              <w:t>($m)</w:t>
            </w:r>
          </w:p>
        </w:tc>
      </w:tr>
      <w:tr w:rsidR="00310450" w:rsidRPr="00C86843" w14:paraId="0FF1B770" w14:textId="77777777" w:rsidTr="003A6AEC">
        <w:tc>
          <w:tcPr>
            <w:tcW w:w="3113" w:type="pct"/>
            <w:shd w:val="clear" w:color="auto" w:fill="auto"/>
            <w:noWrap/>
            <w:vAlign w:val="center"/>
          </w:tcPr>
          <w:p w14:paraId="2145026E" w14:textId="73944AAD" w:rsidR="00310450" w:rsidRPr="00C86843" w:rsidRDefault="00310450" w:rsidP="00310450">
            <w:pPr>
              <w:pStyle w:val="TableText"/>
              <w:rPr>
                <w:szCs w:val="18"/>
                <w:lang w:eastAsia="en-AU"/>
              </w:rPr>
            </w:pPr>
            <w:r w:rsidRPr="00C86843">
              <w:rPr>
                <w:szCs w:val="18"/>
                <w:lang w:eastAsia="en-AU"/>
              </w:rPr>
              <w:t>New South Wales</w:t>
            </w:r>
          </w:p>
        </w:tc>
        <w:tc>
          <w:tcPr>
            <w:tcW w:w="629" w:type="pct"/>
            <w:shd w:val="clear" w:color="auto" w:fill="auto"/>
            <w:noWrap/>
            <w:vAlign w:val="center"/>
          </w:tcPr>
          <w:p w14:paraId="6F7B05C2" w14:textId="319DA1F6" w:rsidR="00310450" w:rsidRPr="00C86843" w:rsidRDefault="00310450" w:rsidP="00310450">
            <w:pPr>
              <w:pStyle w:val="TableText"/>
              <w:jc w:val="right"/>
              <w:rPr>
                <w:szCs w:val="18"/>
                <w:lang w:eastAsia="en-AU"/>
              </w:rPr>
            </w:pPr>
            <w:r w:rsidRPr="00C86843">
              <w:rPr>
                <w:szCs w:val="18"/>
              </w:rPr>
              <w:t>21</w:t>
            </w:r>
          </w:p>
        </w:tc>
        <w:tc>
          <w:tcPr>
            <w:tcW w:w="629" w:type="pct"/>
            <w:shd w:val="clear" w:color="auto" w:fill="auto"/>
            <w:vAlign w:val="center"/>
          </w:tcPr>
          <w:p w14:paraId="5D98CE79" w14:textId="3F55A8B9" w:rsidR="00310450" w:rsidRPr="00C86843" w:rsidRDefault="00C35DCA" w:rsidP="00310450">
            <w:pPr>
              <w:pStyle w:val="TableText"/>
              <w:jc w:val="right"/>
              <w:rPr>
                <w:szCs w:val="18"/>
                <w:lang w:eastAsia="en-AU"/>
              </w:rPr>
            </w:pPr>
            <w:r>
              <w:rPr>
                <w:szCs w:val="18"/>
              </w:rPr>
              <w:t>2</w:t>
            </w:r>
            <w:r w:rsidR="00274339">
              <w:rPr>
                <w:szCs w:val="18"/>
              </w:rPr>
              <w:t>6</w:t>
            </w:r>
            <w:r>
              <w:rPr>
                <w:szCs w:val="18"/>
              </w:rPr>
              <w:t>4</w:t>
            </w:r>
          </w:p>
        </w:tc>
        <w:tc>
          <w:tcPr>
            <w:tcW w:w="629" w:type="pct"/>
            <w:shd w:val="clear" w:color="auto" w:fill="auto"/>
            <w:vAlign w:val="center"/>
          </w:tcPr>
          <w:p w14:paraId="4A35E07B" w14:textId="4DD34C5C" w:rsidR="00310450" w:rsidRPr="00C86843" w:rsidRDefault="00274339" w:rsidP="00310450">
            <w:pPr>
              <w:pStyle w:val="TableText"/>
              <w:jc w:val="right"/>
              <w:rPr>
                <w:szCs w:val="18"/>
                <w:lang w:eastAsia="en-AU"/>
              </w:rPr>
            </w:pPr>
            <w:r>
              <w:rPr>
                <w:szCs w:val="18"/>
              </w:rPr>
              <w:t>765</w:t>
            </w:r>
          </w:p>
        </w:tc>
      </w:tr>
      <w:tr w:rsidR="00310450" w:rsidRPr="00C86843" w14:paraId="70696370" w14:textId="77777777" w:rsidTr="003A6AEC">
        <w:tc>
          <w:tcPr>
            <w:tcW w:w="3113" w:type="pct"/>
            <w:shd w:val="clear" w:color="auto" w:fill="auto"/>
            <w:noWrap/>
            <w:vAlign w:val="center"/>
          </w:tcPr>
          <w:p w14:paraId="4716F49E" w14:textId="77777777" w:rsidR="00310450" w:rsidRPr="00C86843" w:rsidRDefault="00310450" w:rsidP="00310450">
            <w:pPr>
              <w:pStyle w:val="TableText"/>
              <w:rPr>
                <w:szCs w:val="18"/>
                <w:lang w:eastAsia="en-AU"/>
              </w:rPr>
            </w:pPr>
            <w:r w:rsidRPr="00C86843">
              <w:rPr>
                <w:szCs w:val="18"/>
                <w:lang w:eastAsia="en-AU"/>
              </w:rPr>
              <w:t>Victoria</w:t>
            </w:r>
          </w:p>
        </w:tc>
        <w:tc>
          <w:tcPr>
            <w:tcW w:w="629" w:type="pct"/>
            <w:shd w:val="clear" w:color="auto" w:fill="auto"/>
            <w:noWrap/>
            <w:vAlign w:val="center"/>
          </w:tcPr>
          <w:p w14:paraId="56B31C53" w14:textId="640B8C31" w:rsidR="00310450" w:rsidRPr="00C86843" w:rsidRDefault="00310450" w:rsidP="00310450">
            <w:pPr>
              <w:pStyle w:val="TableText"/>
              <w:jc w:val="right"/>
              <w:rPr>
                <w:szCs w:val="18"/>
                <w:lang w:eastAsia="en-AU"/>
              </w:rPr>
            </w:pPr>
            <w:r w:rsidRPr="00C86843">
              <w:rPr>
                <w:szCs w:val="18"/>
              </w:rPr>
              <w:t>1</w:t>
            </w:r>
          </w:p>
        </w:tc>
        <w:tc>
          <w:tcPr>
            <w:tcW w:w="629" w:type="pct"/>
            <w:shd w:val="clear" w:color="auto" w:fill="auto"/>
            <w:vAlign w:val="center"/>
          </w:tcPr>
          <w:p w14:paraId="30528E92" w14:textId="5C81FFE9" w:rsidR="00310450" w:rsidRPr="00C86843" w:rsidRDefault="00310450" w:rsidP="00310450">
            <w:pPr>
              <w:pStyle w:val="TableText"/>
              <w:jc w:val="right"/>
              <w:rPr>
                <w:szCs w:val="18"/>
                <w:lang w:eastAsia="en-AU"/>
              </w:rPr>
            </w:pPr>
            <w:r w:rsidRPr="00C86843">
              <w:rPr>
                <w:szCs w:val="18"/>
              </w:rPr>
              <w:t>3</w:t>
            </w:r>
            <w:r w:rsidR="00274339">
              <w:rPr>
                <w:szCs w:val="18"/>
              </w:rPr>
              <w:t>7</w:t>
            </w:r>
          </w:p>
        </w:tc>
        <w:tc>
          <w:tcPr>
            <w:tcW w:w="629" w:type="pct"/>
            <w:shd w:val="clear" w:color="auto" w:fill="auto"/>
            <w:vAlign w:val="center"/>
          </w:tcPr>
          <w:p w14:paraId="6A343886" w14:textId="13CCD474" w:rsidR="00310450" w:rsidRPr="00C86843" w:rsidRDefault="00274339" w:rsidP="00310450">
            <w:pPr>
              <w:pStyle w:val="TableText"/>
              <w:jc w:val="right"/>
              <w:rPr>
                <w:szCs w:val="18"/>
                <w:lang w:eastAsia="en-AU"/>
              </w:rPr>
            </w:pPr>
            <w:r>
              <w:rPr>
                <w:szCs w:val="18"/>
              </w:rPr>
              <w:t>91</w:t>
            </w:r>
          </w:p>
        </w:tc>
      </w:tr>
      <w:tr w:rsidR="00310450" w:rsidRPr="00C86843" w14:paraId="1C32CC06" w14:textId="77777777" w:rsidTr="003A6AEC">
        <w:tc>
          <w:tcPr>
            <w:tcW w:w="3113" w:type="pct"/>
            <w:shd w:val="clear" w:color="auto" w:fill="auto"/>
            <w:noWrap/>
            <w:vAlign w:val="center"/>
          </w:tcPr>
          <w:p w14:paraId="1618BC12" w14:textId="77777777" w:rsidR="00310450" w:rsidRPr="00C86843" w:rsidRDefault="00310450" w:rsidP="00310450">
            <w:pPr>
              <w:pStyle w:val="TableText"/>
              <w:rPr>
                <w:szCs w:val="18"/>
                <w:lang w:eastAsia="en-AU"/>
              </w:rPr>
            </w:pPr>
            <w:r w:rsidRPr="00C86843">
              <w:rPr>
                <w:szCs w:val="18"/>
                <w:lang w:eastAsia="en-AU"/>
              </w:rPr>
              <w:t>Queensland</w:t>
            </w:r>
          </w:p>
        </w:tc>
        <w:tc>
          <w:tcPr>
            <w:tcW w:w="629" w:type="pct"/>
            <w:shd w:val="clear" w:color="auto" w:fill="auto"/>
            <w:noWrap/>
            <w:vAlign w:val="center"/>
          </w:tcPr>
          <w:p w14:paraId="4DF3C618" w14:textId="16E7A4C6" w:rsidR="00310450" w:rsidRPr="00C86843" w:rsidRDefault="000A2F99" w:rsidP="00310450">
            <w:pPr>
              <w:pStyle w:val="TableText"/>
              <w:jc w:val="right"/>
              <w:rPr>
                <w:szCs w:val="18"/>
                <w:lang w:eastAsia="en-AU"/>
              </w:rPr>
            </w:pPr>
            <w:r>
              <w:rPr>
                <w:szCs w:val="18"/>
              </w:rPr>
              <w:t>3</w:t>
            </w:r>
          </w:p>
        </w:tc>
        <w:tc>
          <w:tcPr>
            <w:tcW w:w="629" w:type="pct"/>
            <w:shd w:val="clear" w:color="auto" w:fill="auto"/>
            <w:vAlign w:val="center"/>
          </w:tcPr>
          <w:p w14:paraId="1C037278" w14:textId="0D553658" w:rsidR="00310450" w:rsidRPr="00C86843" w:rsidRDefault="00274339" w:rsidP="00310450">
            <w:pPr>
              <w:pStyle w:val="TableText"/>
              <w:jc w:val="right"/>
              <w:rPr>
                <w:szCs w:val="18"/>
                <w:lang w:eastAsia="en-AU"/>
              </w:rPr>
            </w:pPr>
            <w:r>
              <w:rPr>
                <w:szCs w:val="18"/>
              </w:rPr>
              <w:t>88</w:t>
            </w:r>
          </w:p>
        </w:tc>
        <w:tc>
          <w:tcPr>
            <w:tcW w:w="629" w:type="pct"/>
            <w:shd w:val="clear" w:color="auto" w:fill="auto"/>
            <w:vAlign w:val="center"/>
          </w:tcPr>
          <w:p w14:paraId="4B4B20B6" w14:textId="563DBFFB" w:rsidR="00310450" w:rsidRPr="00C86843" w:rsidRDefault="00274339" w:rsidP="00310450">
            <w:pPr>
              <w:pStyle w:val="TableText"/>
              <w:jc w:val="right"/>
              <w:rPr>
                <w:szCs w:val="18"/>
                <w:lang w:eastAsia="en-AU"/>
              </w:rPr>
            </w:pPr>
            <w:r>
              <w:rPr>
                <w:szCs w:val="18"/>
              </w:rPr>
              <w:t>335</w:t>
            </w:r>
          </w:p>
        </w:tc>
      </w:tr>
      <w:tr w:rsidR="00310450" w:rsidRPr="00C86843" w14:paraId="7325AAC1" w14:textId="77777777" w:rsidTr="003A6AEC">
        <w:tc>
          <w:tcPr>
            <w:tcW w:w="3113" w:type="pct"/>
            <w:shd w:val="clear" w:color="auto" w:fill="auto"/>
            <w:noWrap/>
            <w:vAlign w:val="center"/>
          </w:tcPr>
          <w:p w14:paraId="63C9B6DA" w14:textId="77777777" w:rsidR="00310450" w:rsidRPr="00C86843" w:rsidRDefault="00310450" w:rsidP="00310450">
            <w:pPr>
              <w:pStyle w:val="TableText"/>
              <w:rPr>
                <w:szCs w:val="18"/>
                <w:lang w:eastAsia="en-AU"/>
              </w:rPr>
            </w:pPr>
            <w:r w:rsidRPr="00C86843">
              <w:rPr>
                <w:szCs w:val="18"/>
                <w:lang w:eastAsia="en-AU"/>
              </w:rPr>
              <w:t>South Australia</w:t>
            </w:r>
          </w:p>
        </w:tc>
        <w:tc>
          <w:tcPr>
            <w:tcW w:w="629" w:type="pct"/>
            <w:shd w:val="clear" w:color="auto" w:fill="auto"/>
            <w:noWrap/>
            <w:vAlign w:val="center"/>
          </w:tcPr>
          <w:p w14:paraId="4C78BDA2" w14:textId="30288A14" w:rsidR="00310450" w:rsidRPr="00C86843" w:rsidRDefault="00310450" w:rsidP="00310450">
            <w:pPr>
              <w:pStyle w:val="TableText"/>
              <w:jc w:val="right"/>
              <w:rPr>
                <w:szCs w:val="18"/>
                <w:lang w:eastAsia="en-AU"/>
              </w:rPr>
            </w:pPr>
            <w:r w:rsidRPr="00C86843">
              <w:rPr>
                <w:szCs w:val="18"/>
              </w:rPr>
              <w:t>2</w:t>
            </w:r>
          </w:p>
        </w:tc>
        <w:tc>
          <w:tcPr>
            <w:tcW w:w="629" w:type="pct"/>
            <w:shd w:val="clear" w:color="auto" w:fill="auto"/>
            <w:vAlign w:val="center"/>
          </w:tcPr>
          <w:p w14:paraId="4F0FD408" w14:textId="377EE18A" w:rsidR="00310450" w:rsidRPr="00C86843" w:rsidRDefault="00310450" w:rsidP="00310450">
            <w:pPr>
              <w:pStyle w:val="TableText"/>
              <w:jc w:val="right"/>
              <w:rPr>
                <w:szCs w:val="18"/>
                <w:lang w:eastAsia="en-AU"/>
              </w:rPr>
            </w:pPr>
            <w:r w:rsidRPr="00C86843">
              <w:rPr>
                <w:szCs w:val="18"/>
              </w:rPr>
              <w:t>2</w:t>
            </w:r>
            <w:r w:rsidR="00274339">
              <w:rPr>
                <w:szCs w:val="18"/>
              </w:rPr>
              <w:t>2</w:t>
            </w:r>
          </w:p>
        </w:tc>
        <w:tc>
          <w:tcPr>
            <w:tcW w:w="629" w:type="pct"/>
            <w:shd w:val="clear" w:color="auto" w:fill="auto"/>
            <w:vAlign w:val="center"/>
          </w:tcPr>
          <w:p w14:paraId="2D460B21" w14:textId="49A29689" w:rsidR="00310450" w:rsidRPr="00C86843" w:rsidRDefault="00274339" w:rsidP="00310450">
            <w:pPr>
              <w:pStyle w:val="TableText"/>
              <w:jc w:val="right"/>
              <w:rPr>
                <w:szCs w:val="18"/>
                <w:lang w:eastAsia="en-AU"/>
              </w:rPr>
            </w:pPr>
            <w:r>
              <w:rPr>
                <w:szCs w:val="18"/>
              </w:rPr>
              <w:t>83</w:t>
            </w:r>
          </w:p>
        </w:tc>
      </w:tr>
      <w:tr w:rsidR="00310450" w:rsidRPr="00C86843" w14:paraId="64052FB8" w14:textId="77777777" w:rsidTr="003A6AEC">
        <w:tc>
          <w:tcPr>
            <w:tcW w:w="3113" w:type="pct"/>
            <w:shd w:val="clear" w:color="auto" w:fill="auto"/>
            <w:noWrap/>
            <w:vAlign w:val="center"/>
          </w:tcPr>
          <w:p w14:paraId="0714B00B" w14:textId="77777777" w:rsidR="00310450" w:rsidRPr="00C86843" w:rsidRDefault="00310450" w:rsidP="00310450">
            <w:pPr>
              <w:pStyle w:val="TableText"/>
              <w:rPr>
                <w:szCs w:val="18"/>
                <w:lang w:eastAsia="en-AU"/>
              </w:rPr>
            </w:pPr>
            <w:r w:rsidRPr="00C86843">
              <w:rPr>
                <w:szCs w:val="18"/>
                <w:lang w:eastAsia="en-AU"/>
              </w:rPr>
              <w:t>Western Australia</w:t>
            </w:r>
          </w:p>
        </w:tc>
        <w:tc>
          <w:tcPr>
            <w:tcW w:w="629" w:type="pct"/>
            <w:shd w:val="clear" w:color="auto" w:fill="auto"/>
            <w:noWrap/>
            <w:vAlign w:val="center"/>
          </w:tcPr>
          <w:p w14:paraId="3FB24846" w14:textId="378969B5"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358B7AB3" w14:textId="4C74B9FA" w:rsidR="00310450" w:rsidRPr="00C86843" w:rsidRDefault="00310450" w:rsidP="00310450">
            <w:pPr>
              <w:pStyle w:val="TableText"/>
              <w:jc w:val="right"/>
              <w:rPr>
                <w:szCs w:val="18"/>
                <w:lang w:eastAsia="en-AU"/>
              </w:rPr>
            </w:pPr>
            <w:r w:rsidRPr="00C86843">
              <w:rPr>
                <w:szCs w:val="18"/>
              </w:rPr>
              <w:t>1</w:t>
            </w:r>
          </w:p>
        </w:tc>
        <w:tc>
          <w:tcPr>
            <w:tcW w:w="629" w:type="pct"/>
            <w:shd w:val="clear" w:color="auto" w:fill="auto"/>
            <w:vAlign w:val="center"/>
          </w:tcPr>
          <w:p w14:paraId="42EEF3A1" w14:textId="417DB301" w:rsidR="00310450" w:rsidRPr="00C86843" w:rsidRDefault="00C35DCA" w:rsidP="00310450">
            <w:pPr>
              <w:pStyle w:val="TableText"/>
              <w:jc w:val="right"/>
              <w:rPr>
                <w:szCs w:val="18"/>
                <w:lang w:eastAsia="en-AU"/>
              </w:rPr>
            </w:pPr>
            <w:r>
              <w:rPr>
                <w:szCs w:val="18"/>
              </w:rPr>
              <w:t>2</w:t>
            </w:r>
            <w:r w:rsidR="00274339">
              <w:rPr>
                <w:szCs w:val="18"/>
              </w:rPr>
              <w:t>1</w:t>
            </w:r>
          </w:p>
        </w:tc>
      </w:tr>
      <w:tr w:rsidR="00310450" w:rsidRPr="00C86843" w14:paraId="176BB4C2" w14:textId="77777777" w:rsidTr="003A6AEC">
        <w:tc>
          <w:tcPr>
            <w:tcW w:w="3113" w:type="pct"/>
            <w:shd w:val="clear" w:color="auto" w:fill="auto"/>
            <w:noWrap/>
            <w:vAlign w:val="center"/>
          </w:tcPr>
          <w:p w14:paraId="36048394" w14:textId="77777777" w:rsidR="00310450" w:rsidRPr="00C86843" w:rsidRDefault="00310450" w:rsidP="00310450">
            <w:pPr>
              <w:pStyle w:val="TableText"/>
              <w:rPr>
                <w:szCs w:val="18"/>
                <w:lang w:eastAsia="en-AU"/>
              </w:rPr>
            </w:pPr>
            <w:r w:rsidRPr="00C86843">
              <w:rPr>
                <w:szCs w:val="18"/>
                <w:lang w:eastAsia="en-AU"/>
              </w:rPr>
              <w:t>Tasmania</w:t>
            </w:r>
          </w:p>
        </w:tc>
        <w:tc>
          <w:tcPr>
            <w:tcW w:w="629" w:type="pct"/>
            <w:shd w:val="clear" w:color="auto" w:fill="auto"/>
            <w:noWrap/>
            <w:vAlign w:val="center"/>
          </w:tcPr>
          <w:p w14:paraId="6638A785" w14:textId="77E2D62A" w:rsidR="00310450" w:rsidRPr="00C86843" w:rsidRDefault="00310450" w:rsidP="00310450">
            <w:pPr>
              <w:pStyle w:val="TableText"/>
              <w:jc w:val="right"/>
              <w:rPr>
                <w:szCs w:val="18"/>
                <w:lang w:eastAsia="en-AU"/>
              </w:rPr>
            </w:pPr>
            <w:bookmarkStart w:id="88" w:name="OLE_LINK1"/>
            <w:r w:rsidRPr="00C86843">
              <w:rPr>
                <w:szCs w:val="18"/>
              </w:rPr>
              <w:t>–</w:t>
            </w:r>
            <w:bookmarkEnd w:id="88"/>
          </w:p>
        </w:tc>
        <w:tc>
          <w:tcPr>
            <w:tcW w:w="629" w:type="pct"/>
            <w:shd w:val="clear" w:color="auto" w:fill="auto"/>
            <w:vAlign w:val="center"/>
          </w:tcPr>
          <w:p w14:paraId="267F8298" w14:textId="5152AADD" w:rsidR="00310450" w:rsidRPr="00C86843" w:rsidRDefault="000A2F99" w:rsidP="00310450">
            <w:pPr>
              <w:pStyle w:val="TableText"/>
              <w:jc w:val="right"/>
              <w:rPr>
                <w:szCs w:val="18"/>
                <w:lang w:eastAsia="en-AU"/>
              </w:rPr>
            </w:pPr>
            <w:r>
              <w:rPr>
                <w:szCs w:val="18"/>
              </w:rPr>
              <w:t>1</w:t>
            </w:r>
          </w:p>
        </w:tc>
        <w:tc>
          <w:tcPr>
            <w:tcW w:w="629" w:type="pct"/>
            <w:shd w:val="clear" w:color="auto" w:fill="auto"/>
            <w:vAlign w:val="center"/>
          </w:tcPr>
          <w:p w14:paraId="04C1BC91" w14:textId="3FB48697" w:rsidR="00310450" w:rsidRPr="00C86843" w:rsidRDefault="00274339" w:rsidP="00310450">
            <w:pPr>
              <w:pStyle w:val="TableText"/>
              <w:jc w:val="right"/>
              <w:rPr>
                <w:szCs w:val="18"/>
                <w:lang w:eastAsia="en-AU"/>
              </w:rPr>
            </w:pPr>
            <w:r>
              <w:rPr>
                <w:szCs w:val="18"/>
              </w:rPr>
              <w:t>1</w:t>
            </w:r>
          </w:p>
        </w:tc>
      </w:tr>
      <w:tr w:rsidR="00310450" w:rsidRPr="00C86843" w14:paraId="398B1DD9" w14:textId="77777777" w:rsidTr="003A6AEC">
        <w:tc>
          <w:tcPr>
            <w:tcW w:w="3113" w:type="pct"/>
            <w:shd w:val="clear" w:color="auto" w:fill="auto"/>
            <w:noWrap/>
            <w:vAlign w:val="center"/>
          </w:tcPr>
          <w:p w14:paraId="1A024527" w14:textId="77777777" w:rsidR="00310450" w:rsidRPr="00C86843" w:rsidRDefault="00310450" w:rsidP="00310450">
            <w:pPr>
              <w:pStyle w:val="TableText"/>
              <w:rPr>
                <w:szCs w:val="18"/>
                <w:lang w:eastAsia="en-AU"/>
              </w:rPr>
            </w:pPr>
            <w:r w:rsidRPr="00C86843">
              <w:rPr>
                <w:szCs w:val="18"/>
                <w:lang w:eastAsia="en-AU"/>
              </w:rPr>
              <w:t>Northern Territory</w:t>
            </w:r>
          </w:p>
        </w:tc>
        <w:tc>
          <w:tcPr>
            <w:tcW w:w="629" w:type="pct"/>
            <w:shd w:val="clear" w:color="auto" w:fill="auto"/>
            <w:noWrap/>
            <w:vAlign w:val="center"/>
          </w:tcPr>
          <w:p w14:paraId="6423B85E" w14:textId="397F509E" w:rsidR="00310450" w:rsidRPr="00C86843" w:rsidRDefault="00310450" w:rsidP="00310450">
            <w:pPr>
              <w:pStyle w:val="TableText"/>
              <w:jc w:val="right"/>
              <w:rPr>
                <w:szCs w:val="18"/>
                <w:lang w:eastAsia="en-AU"/>
              </w:rPr>
            </w:pPr>
            <w:r w:rsidRPr="00C86843">
              <w:rPr>
                <w:szCs w:val="18"/>
              </w:rPr>
              <w:t>–</w:t>
            </w:r>
          </w:p>
        </w:tc>
        <w:tc>
          <w:tcPr>
            <w:tcW w:w="629" w:type="pct"/>
            <w:shd w:val="clear" w:color="auto" w:fill="auto"/>
            <w:vAlign w:val="center"/>
          </w:tcPr>
          <w:p w14:paraId="4964C7C3" w14:textId="33A1F0E8" w:rsidR="00310450" w:rsidRPr="00C86843" w:rsidRDefault="00310450" w:rsidP="00310450">
            <w:pPr>
              <w:pStyle w:val="TableText"/>
              <w:jc w:val="right"/>
              <w:rPr>
                <w:szCs w:val="18"/>
                <w:lang w:eastAsia="en-AU"/>
              </w:rPr>
            </w:pPr>
            <w:r w:rsidRPr="00C86843">
              <w:rPr>
                <w:szCs w:val="18"/>
              </w:rPr>
              <w:t>2</w:t>
            </w:r>
          </w:p>
        </w:tc>
        <w:tc>
          <w:tcPr>
            <w:tcW w:w="629" w:type="pct"/>
            <w:shd w:val="clear" w:color="auto" w:fill="auto"/>
            <w:vAlign w:val="center"/>
          </w:tcPr>
          <w:p w14:paraId="3A5066F8" w14:textId="12B78E22" w:rsidR="00310450" w:rsidRPr="00C86843" w:rsidRDefault="00310450" w:rsidP="00310450">
            <w:pPr>
              <w:pStyle w:val="TableText"/>
              <w:jc w:val="right"/>
              <w:rPr>
                <w:szCs w:val="18"/>
                <w:lang w:eastAsia="en-AU"/>
              </w:rPr>
            </w:pPr>
            <w:r w:rsidRPr="00C86843">
              <w:rPr>
                <w:szCs w:val="18"/>
              </w:rPr>
              <w:t>1</w:t>
            </w:r>
            <w:r w:rsidR="00274339">
              <w:rPr>
                <w:szCs w:val="18"/>
              </w:rPr>
              <w:t>2</w:t>
            </w:r>
          </w:p>
        </w:tc>
      </w:tr>
      <w:tr w:rsidR="00481279" w:rsidRPr="00C86843" w14:paraId="23B5286C" w14:textId="77777777" w:rsidTr="003A6AEC">
        <w:tc>
          <w:tcPr>
            <w:tcW w:w="3113" w:type="pct"/>
            <w:shd w:val="clear" w:color="auto" w:fill="auto"/>
            <w:noWrap/>
            <w:vAlign w:val="center"/>
          </w:tcPr>
          <w:p w14:paraId="2958646E" w14:textId="5B0D1885" w:rsidR="00481279" w:rsidRPr="00C86843" w:rsidRDefault="003668EA" w:rsidP="00481279">
            <w:pPr>
              <w:pStyle w:val="TableText"/>
              <w:rPr>
                <w:szCs w:val="18"/>
                <w:lang w:eastAsia="en-AU"/>
              </w:rPr>
            </w:pPr>
            <w:r w:rsidRPr="00C86843">
              <w:rPr>
                <w:b/>
                <w:bCs/>
                <w:szCs w:val="18"/>
                <w:lang w:eastAsia="en-AU"/>
              </w:rPr>
              <w:t xml:space="preserve">All </w:t>
            </w:r>
            <w:r w:rsidR="003A6AEC">
              <w:rPr>
                <w:b/>
                <w:bCs/>
                <w:szCs w:val="18"/>
                <w:lang w:eastAsia="en-AU"/>
              </w:rPr>
              <w:t>s</w:t>
            </w:r>
            <w:r w:rsidRPr="00C86843">
              <w:rPr>
                <w:b/>
                <w:bCs/>
                <w:szCs w:val="18"/>
                <w:lang w:eastAsia="en-AU"/>
              </w:rPr>
              <w:t>tates/</w:t>
            </w:r>
            <w:r w:rsidR="003A6AEC">
              <w:rPr>
                <w:b/>
                <w:bCs/>
                <w:szCs w:val="18"/>
                <w:lang w:eastAsia="en-AU"/>
              </w:rPr>
              <w:t>t</w:t>
            </w:r>
            <w:r w:rsidRPr="00C86843">
              <w:rPr>
                <w:b/>
                <w:bCs/>
                <w:szCs w:val="18"/>
                <w:lang w:eastAsia="en-AU"/>
              </w:rPr>
              <w:t>erritories</w:t>
            </w:r>
          </w:p>
        </w:tc>
        <w:tc>
          <w:tcPr>
            <w:tcW w:w="629" w:type="pct"/>
            <w:shd w:val="clear" w:color="auto" w:fill="auto"/>
            <w:noWrap/>
            <w:vAlign w:val="center"/>
          </w:tcPr>
          <w:p w14:paraId="3F119F63" w14:textId="4C18FFB6" w:rsidR="00481279" w:rsidRPr="007500DC" w:rsidRDefault="00481279" w:rsidP="00481279">
            <w:pPr>
              <w:pStyle w:val="TableText"/>
              <w:jc w:val="right"/>
              <w:rPr>
                <w:b/>
                <w:bCs/>
                <w:szCs w:val="18"/>
              </w:rPr>
            </w:pPr>
            <w:r w:rsidRPr="007500DC">
              <w:rPr>
                <w:b/>
                <w:bCs/>
                <w:szCs w:val="18"/>
              </w:rPr>
              <w:t>28</w:t>
            </w:r>
          </w:p>
        </w:tc>
        <w:tc>
          <w:tcPr>
            <w:tcW w:w="629" w:type="pct"/>
            <w:shd w:val="clear" w:color="auto" w:fill="auto"/>
            <w:vAlign w:val="center"/>
          </w:tcPr>
          <w:p w14:paraId="221C611F" w14:textId="75AC3B99" w:rsidR="00481279" w:rsidRPr="007500DC" w:rsidRDefault="00274339" w:rsidP="00481279">
            <w:pPr>
              <w:pStyle w:val="TableText"/>
              <w:jc w:val="right"/>
              <w:rPr>
                <w:b/>
                <w:bCs/>
                <w:szCs w:val="18"/>
              </w:rPr>
            </w:pPr>
            <w:r>
              <w:rPr>
                <w:b/>
                <w:bCs/>
                <w:szCs w:val="18"/>
              </w:rPr>
              <w:t>416</w:t>
            </w:r>
          </w:p>
        </w:tc>
        <w:tc>
          <w:tcPr>
            <w:tcW w:w="629" w:type="pct"/>
            <w:shd w:val="clear" w:color="auto" w:fill="auto"/>
            <w:vAlign w:val="center"/>
          </w:tcPr>
          <w:p w14:paraId="35C6B908" w14:textId="3BA6B336" w:rsidR="00481279" w:rsidRPr="007500DC" w:rsidRDefault="00274339" w:rsidP="00481279">
            <w:pPr>
              <w:pStyle w:val="TableText"/>
              <w:jc w:val="right"/>
              <w:rPr>
                <w:b/>
                <w:bCs/>
                <w:szCs w:val="18"/>
              </w:rPr>
            </w:pPr>
            <w:r>
              <w:rPr>
                <w:b/>
                <w:bCs/>
                <w:szCs w:val="18"/>
              </w:rPr>
              <w:t>1,308</w:t>
            </w:r>
          </w:p>
        </w:tc>
      </w:tr>
    </w:tbl>
    <w:p w14:paraId="00085126" w14:textId="2396430A" w:rsidR="00895047" w:rsidRDefault="00895047" w:rsidP="00895047">
      <w:pPr>
        <w:pStyle w:val="FigureTableNoteSource"/>
      </w:pPr>
      <w:r>
        <w:t xml:space="preserve">Note: </w:t>
      </w:r>
      <w:r w:rsidR="007669F2">
        <w:t>Calculated as total value of settled loans minus value of repaid loans</w:t>
      </w:r>
      <w:r w:rsidR="003A57C8">
        <w:t xml:space="preserve"> in the portfolio </w:t>
      </w:r>
      <w:proofErr w:type="gramStart"/>
      <w:r w:rsidR="003A57C8">
        <w:t>at</w:t>
      </w:r>
      <w:proofErr w:type="gramEnd"/>
      <w:r w:rsidR="003A57C8">
        <w:t xml:space="preserve"> 30 June each year</w:t>
      </w:r>
      <w:r w:rsidR="007669F2">
        <w:t xml:space="preserve">. </w:t>
      </w:r>
      <w:r>
        <w:t>Data for New South Wales includes the Australian Capital Territory. Data rounded to the nearest million</w:t>
      </w:r>
      <w:r w:rsidR="00481279">
        <w:t>. Columns may not sum due to rounding.</w:t>
      </w:r>
    </w:p>
    <w:p w14:paraId="5A1DCDC9" w14:textId="31A6351E" w:rsidR="00895047" w:rsidRPr="00A7698A" w:rsidRDefault="00895047" w:rsidP="00895047">
      <w:pPr>
        <w:pStyle w:val="FigureTableNoteSource"/>
      </w:pPr>
      <w:r>
        <w:t>Source: Regional Investment Corporation</w:t>
      </w:r>
    </w:p>
    <w:p w14:paraId="446C6D97" w14:textId="15044C90" w:rsidR="00895047" w:rsidRPr="007F4BED" w:rsidRDefault="00895047" w:rsidP="00895047">
      <w:r>
        <w:t>Next year’s APRA data will allow the regional and industry dimensions of agricultural lending in 2020–21 to be explored in greater detail.</w:t>
      </w:r>
      <w:bookmarkStart w:id="89" w:name="_Ref68084334"/>
      <w:bookmarkStart w:id="90" w:name="_Toc66709022"/>
      <w:bookmarkStart w:id="91" w:name="_Toc66709044"/>
    </w:p>
    <w:p w14:paraId="3BD3D5EE" w14:textId="041B2CD7" w:rsidR="00BB632E" w:rsidRDefault="00BB632E" w:rsidP="00BB632E">
      <w:pPr>
        <w:pStyle w:val="Heading2"/>
        <w:numPr>
          <w:ilvl w:val="0"/>
          <w:numId w:val="0"/>
        </w:numPr>
        <w:ind w:left="720" w:hanging="720"/>
      </w:pPr>
      <w:bookmarkStart w:id="92" w:name="Appendix_A"/>
      <w:bookmarkStart w:id="93" w:name="_Appendix_A:_Background"/>
      <w:bookmarkStart w:id="94" w:name="_Toc84434493"/>
      <w:bookmarkEnd w:id="89"/>
      <w:bookmarkEnd w:id="90"/>
      <w:bookmarkEnd w:id="91"/>
      <w:bookmarkEnd w:id="92"/>
      <w:bookmarkEnd w:id="93"/>
      <w:r>
        <w:lastRenderedPageBreak/>
        <w:t>Appendix A: Background to APRA data</w:t>
      </w:r>
      <w:bookmarkEnd w:id="94"/>
    </w:p>
    <w:p w14:paraId="48C2EFA4" w14:textId="77777777" w:rsidR="00BB632E" w:rsidRPr="009D0172" w:rsidRDefault="00BB632E" w:rsidP="00BB632E">
      <w:pPr>
        <w:pStyle w:val="Heading3"/>
        <w:numPr>
          <w:ilvl w:val="0"/>
          <w:numId w:val="0"/>
        </w:numPr>
        <w:ind w:left="964" w:hanging="964"/>
      </w:pPr>
      <w:bookmarkStart w:id="95" w:name="_Toc55480432"/>
      <w:bookmarkStart w:id="96" w:name="_Toc84434494"/>
      <w:r w:rsidRPr="009D0172">
        <w:t>Data collection</w:t>
      </w:r>
      <w:bookmarkEnd w:id="95"/>
      <w:bookmarkEnd w:id="96"/>
    </w:p>
    <w:p w14:paraId="79703ACB" w14:textId="77777777" w:rsidR="00BB632E" w:rsidRPr="009D0172" w:rsidRDefault="00BB632E" w:rsidP="00BB632E">
      <w:r w:rsidRPr="009D0172">
        <w:t xml:space="preserve">Under the </w:t>
      </w:r>
      <w:r w:rsidRPr="009D0172">
        <w:rPr>
          <w:i/>
        </w:rPr>
        <w:t>Financial Sector (Collection of Data) Act 2001</w:t>
      </w:r>
      <w:r w:rsidRPr="009D0172">
        <w:t xml:space="preserve"> (FSCODA), APRA is authorised to collect information from financial sector entities. The latter submit agricultural lending data to APRA using forms specified under the </w:t>
      </w:r>
      <w:r w:rsidRPr="009D0172">
        <w:rPr>
          <w:i/>
        </w:rPr>
        <w:t>Corporations Act 2001</w:t>
      </w:r>
      <w:r w:rsidRPr="009D0172">
        <w:t xml:space="preserve">. Blank copies of reporting form </w:t>
      </w:r>
      <w:hyperlink r:id="rId38" w:history="1">
        <w:r w:rsidRPr="009D0172">
          <w:rPr>
            <w:rStyle w:val="Hyperlink"/>
          </w:rPr>
          <w:t>ARS 750.0 Agricultural Lending</w:t>
        </w:r>
      </w:hyperlink>
      <w:r w:rsidRPr="009D0172">
        <w:t xml:space="preserve"> and associated instructions are available on the APRA website.</w:t>
      </w:r>
    </w:p>
    <w:p w14:paraId="618C843E" w14:textId="77777777" w:rsidR="00BB632E" w:rsidRPr="009D0172" w:rsidRDefault="00BB632E" w:rsidP="00BB632E">
      <w:r w:rsidRPr="009D0172">
        <w:t>Financial sector entities that provide data to APRA are:</w:t>
      </w:r>
    </w:p>
    <w:p w14:paraId="66BA1A29" w14:textId="77777777" w:rsidR="00BB632E" w:rsidRPr="009D0172" w:rsidRDefault="00BB632E" w:rsidP="00BB632E">
      <w:pPr>
        <w:pStyle w:val="ListBullet"/>
      </w:pPr>
      <w:r w:rsidRPr="009D0172">
        <w:t>Authorised deposit-taking institutions (ADIs), excluding Payment Facility Providers</w:t>
      </w:r>
    </w:p>
    <w:p w14:paraId="0C8A765B" w14:textId="77777777" w:rsidR="00BB632E" w:rsidRPr="009D0172" w:rsidRDefault="00BB632E" w:rsidP="00BB632E">
      <w:pPr>
        <w:pStyle w:val="ListBullet"/>
      </w:pPr>
      <w:r w:rsidRPr="009D0172">
        <w:t>Registered financial corporations (RFCs).</w:t>
      </w:r>
    </w:p>
    <w:p w14:paraId="36EB4445" w14:textId="77777777" w:rsidR="00BB632E" w:rsidRPr="009D0172" w:rsidRDefault="00BB632E" w:rsidP="00BB632E">
      <w:r w:rsidRPr="009D0172">
        <w:t xml:space="preserve">The FSCODA authorises APRA to share this data with DAWE for the purposes of producing this publication and </w:t>
      </w:r>
      <w:r>
        <w:t xml:space="preserve">the </w:t>
      </w:r>
      <w:r w:rsidRPr="009D0172">
        <w:t xml:space="preserve">data dashboard. The information may also be used by APRA, the </w:t>
      </w:r>
      <w:proofErr w:type="gramStart"/>
      <w:r w:rsidRPr="009D0172">
        <w:t>A</w:t>
      </w:r>
      <w:r>
        <w:t>BS</w:t>
      </w:r>
      <w:proofErr w:type="gramEnd"/>
      <w:r w:rsidRPr="009D0172">
        <w:t xml:space="preserve"> or the R</w:t>
      </w:r>
      <w:r>
        <w:t>BA</w:t>
      </w:r>
      <w:r w:rsidRPr="009D0172">
        <w:t>.</w:t>
      </w:r>
    </w:p>
    <w:p w14:paraId="7AA6E248" w14:textId="59E2FBF7" w:rsidR="00BB632E" w:rsidRPr="009D0172" w:rsidRDefault="00BB632E" w:rsidP="00BB632E">
      <w:r w:rsidRPr="009D0172">
        <w:t xml:space="preserve">This report and the associated data dashboard should be read in conjunction with the </w:t>
      </w:r>
      <w:hyperlink w:anchor="Appendix_B" w:history="1">
        <w:r w:rsidR="003224B8" w:rsidRPr="003224B8">
          <w:rPr>
            <w:rStyle w:val="Hyperlink"/>
          </w:rPr>
          <w:t>Glossary</w:t>
        </w:r>
      </w:hyperlink>
      <w:r w:rsidRPr="009D0172">
        <w:t>, which contains definitions and other important information relating to the rules and processes governing the collection of the lending data.</w:t>
      </w:r>
    </w:p>
    <w:p w14:paraId="6F43CE7A" w14:textId="77777777" w:rsidR="00BB632E" w:rsidRPr="009D0172" w:rsidRDefault="00BB632E" w:rsidP="00BB632E">
      <w:pPr>
        <w:pStyle w:val="Heading3"/>
        <w:numPr>
          <w:ilvl w:val="0"/>
          <w:numId w:val="0"/>
        </w:numPr>
        <w:ind w:left="964" w:hanging="964"/>
      </w:pPr>
      <w:bookmarkStart w:id="97" w:name="_Toc55480433"/>
      <w:bookmarkStart w:id="98" w:name="_Toc84434495"/>
      <w:r w:rsidRPr="009D0172">
        <w:t>Confidentiality requirements</w:t>
      </w:r>
      <w:bookmarkEnd w:id="97"/>
      <w:bookmarkEnd w:id="98"/>
    </w:p>
    <w:p w14:paraId="175514EF" w14:textId="77777777" w:rsidR="00BB632E" w:rsidRPr="009D0172" w:rsidRDefault="00BB632E" w:rsidP="00BB632E">
      <w:r w:rsidRPr="009D0172">
        <w:t xml:space="preserve">Lending data collected from individual </w:t>
      </w:r>
      <w:proofErr w:type="gramStart"/>
      <w:r w:rsidRPr="009D0172">
        <w:t>ADIs</w:t>
      </w:r>
      <w:proofErr w:type="gramEnd"/>
      <w:r w:rsidRPr="009D0172">
        <w:t xml:space="preserve"> and RFCs is subject to confidentiality requirements outlined in the </w:t>
      </w:r>
      <w:r w:rsidRPr="009D0172">
        <w:rPr>
          <w:i/>
        </w:rPr>
        <w:t>Australian Prudential Regulation Authority Act 1998</w:t>
      </w:r>
      <w:r w:rsidRPr="009D0172">
        <w:t>. In most circumstances, aggregation of data maintains confidentiality. Any items in this dashboard that are outside confidentiality protection measures relating to aggregation of data are masked.</w:t>
      </w:r>
    </w:p>
    <w:p w14:paraId="3610DCFB" w14:textId="77777777" w:rsidR="00BB632E" w:rsidRPr="009D0172" w:rsidRDefault="00BB632E" w:rsidP="00BB632E">
      <w:pPr>
        <w:pStyle w:val="Heading3"/>
        <w:numPr>
          <w:ilvl w:val="0"/>
          <w:numId w:val="0"/>
        </w:numPr>
        <w:ind w:left="964" w:hanging="964"/>
      </w:pPr>
      <w:bookmarkStart w:id="99" w:name="_Toc84434496"/>
      <w:r w:rsidRPr="009D0172">
        <w:t>Scope of data</w:t>
      </w:r>
      <w:bookmarkEnd w:id="99"/>
    </w:p>
    <w:p w14:paraId="3FFA5FF3" w14:textId="1D790D99" w:rsidR="00BB632E" w:rsidRPr="009D0172" w:rsidRDefault="00BB632E" w:rsidP="00BB632E">
      <w:r w:rsidRPr="009D0172">
        <w:t xml:space="preserve">Data collected by APRA covers lending to businesses in the </w:t>
      </w:r>
      <w:r w:rsidR="00226F34">
        <w:t>agricultural sector</w:t>
      </w:r>
      <w:r w:rsidRPr="009D0172">
        <w:t>, which comprises agricultural subdivision 01 code of the Australian and New Zealand Standard Industrial Classification (ANZSIC) system.</w:t>
      </w:r>
      <w:r>
        <w:t xml:space="preserve"> </w:t>
      </w:r>
      <w:r w:rsidRPr="009D0172">
        <w:t xml:space="preserve">The collection does not include lending to businesses in the fishing/aquaculture, forestry, hunting and trapping, or support services to agriculture, </w:t>
      </w:r>
      <w:proofErr w:type="gramStart"/>
      <w:r w:rsidRPr="009D0172">
        <w:t>forestry</w:t>
      </w:r>
      <w:proofErr w:type="gramEnd"/>
      <w:r w:rsidRPr="009D0172">
        <w:t xml:space="preserve"> and fishing sectors (ANZSIC subdivision codes 02 to 05).</w:t>
      </w:r>
    </w:p>
    <w:p w14:paraId="033FD428" w14:textId="77777777" w:rsidR="00BB632E" w:rsidRPr="009D0172" w:rsidRDefault="00BB632E" w:rsidP="00BB632E">
      <w:pPr>
        <w:tabs>
          <w:tab w:val="left" w:pos="2712"/>
        </w:tabs>
      </w:pPr>
      <w:r w:rsidRPr="009D0172">
        <w:t>Data collected include:</w:t>
      </w:r>
    </w:p>
    <w:p w14:paraId="42BAC511" w14:textId="77777777" w:rsidR="00BB632E" w:rsidRPr="009D0172" w:rsidRDefault="00BB632E" w:rsidP="00BB632E">
      <w:pPr>
        <w:pStyle w:val="ListBullet"/>
      </w:pPr>
      <w:r w:rsidRPr="009D0172">
        <w:t>total credit outstanding on loans and leases</w:t>
      </w:r>
    </w:p>
    <w:p w14:paraId="12270269" w14:textId="77777777" w:rsidR="00BB632E" w:rsidRPr="009D0172" w:rsidRDefault="00BB632E" w:rsidP="00BB632E">
      <w:pPr>
        <w:pStyle w:val="ListBullet"/>
      </w:pPr>
      <w:r w:rsidRPr="009D0172">
        <w:t>total credit limits on loans and leases</w:t>
      </w:r>
    </w:p>
    <w:p w14:paraId="7D942978" w14:textId="77777777" w:rsidR="00BB632E" w:rsidRPr="009D0172" w:rsidRDefault="00BB632E" w:rsidP="00BB632E">
      <w:pPr>
        <w:pStyle w:val="ListBullet"/>
      </w:pPr>
      <w:r w:rsidRPr="009D0172">
        <w:t>total credit outstanding on loans and leases more than 90 days past due</w:t>
      </w:r>
    </w:p>
    <w:p w14:paraId="3807CAB1" w14:textId="77777777" w:rsidR="00BB632E" w:rsidRPr="009D0172" w:rsidRDefault="00BB632E" w:rsidP="00BB632E">
      <w:pPr>
        <w:pStyle w:val="ListBullet"/>
      </w:pPr>
      <w:r w:rsidRPr="009D0172">
        <w:t>number of new instances of farm debt mediations</w:t>
      </w:r>
    </w:p>
    <w:p w14:paraId="1DF7C9EF" w14:textId="77777777" w:rsidR="00BB632E" w:rsidRPr="009D0172" w:rsidRDefault="00BB632E" w:rsidP="00BB632E">
      <w:pPr>
        <w:pStyle w:val="ListBullet"/>
      </w:pPr>
      <w:r w:rsidRPr="009D0172">
        <w:t>number of new farm foreclosures</w:t>
      </w:r>
    </w:p>
    <w:p w14:paraId="460AA34D" w14:textId="77777777" w:rsidR="00BB632E" w:rsidRPr="009D0172" w:rsidRDefault="00BB632E" w:rsidP="00BB632E">
      <w:pPr>
        <w:pStyle w:val="ListBullet"/>
      </w:pPr>
      <w:r w:rsidRPr="009D0172">
        <w:t>total credit outstanding on loans and leases for any new farm foreclosures.</w:t>
      </w:r>
    </w:p>
    <w:p w14:paraId="212793C5" w14:textId="77777777" w:rsidR="00BB632E" w:rsidRPr="009D0172" w:rsidRDefault="00BB632E" w:rsidP="00BB632E">
      <w:pPr>
        <w:pStyle w:val="ListBullet"/>
      </w:pPr>
      <w:r w:rsidRPr="009D0172">
        <w:t>number of farm business entities with credit outstanding for loans and leases</w:t>
      </w:r>
    </w:p>
    <w:p w14:paraId="065CBB65" w14:textId="77777777" w:rsidR="00BB632E" w:rsidRPr="009D0172" w:rsidRDefault="00BB632E" w:rsidP="00BB632E">
      <w:pPr>
        <w:pStyle w:val="ListBullet"/>
      </w:pPr>
      <w:r w:rsidRPr="009D0172">
        <w:lastRenderedPageBreak/>
        <w:t>number of farm business entities with credit outstanding that is more than 90 days past due</w:t>
      </w:r>
      <w:r>
        <w:t>.</w:t>
      </w:r>
    </w:p>
    <w:p w14:paraId="2E8DC877" w14:textId="77777777" w:rsidR="00BB632E" w:rsidRPr="009D0172" w:rsidRDefault="00BB632E" w:rsidP="00BB632E">
      <w:r w:rsidRPr="009D0172">
        <w:t>If only a portion of a loan or lease relates to an agricultural activity, APRA will only collect data for those loans or leases where the majority (</w:t>
      </w:r>
      <w:proofErr w:type="gramStart"/>
      <w:r w:rsidRPr="009D0172">
        <w:t>whether or not</w:t>
      </w:r>
      <w:proofErr w:type="gramEnd"/>
      <w:r w:rsidRPr="009D0172">
        <w:t xml:space="preserve"> drawn down) is for the purpose of agricultural activities. This may result in a slight over-reporting of agricultural lending.</w:t>
      </w:r>
    </w:p>
    <w:p w14:paraId="10504E9B" w14:textId="77777777" w:rsidR="00BB632E" w:rsidRPr="009D0172" w:rsidRDefault="00BB632E" w:rsidP="00BB632E">
      <w:pPr>
        <w:pStyle w:val="Heading3"/>
        <w:numPr>
          <w:ilvl w:val="0"/>
          <w:numId w:val="0"/>
        </w:numPr>
        <w:ind w:left="964" w:hanging="964"/>
      </w:pPr>
      <w:bookmarkStart w:id="100" w:name="_Toc55480436"/>
      <w:bookmarkStart w:id="101" w:name="_Toc84434497"/>
      <w:r w:rsidRPr="009D0172">
        <w:t>Lenders covered – financial sector reporting entities</w:t>
      </w:r>
      <w:bookmarkEnd w:id="100"/>
      <w:bookmarkEnd w:id="101"/>
    </w:p>
    <w:p w14:paraId="73E44DD2" w14:textId="77777777" w:rsidR="00BB632E" w:rsidRPr="009D0172" w:rsidRDefault="00BB632E" w:rsidP="00BB632E">
      <w:r w:rsidRPr="009D0172">
        <w:t xml:space="preserve">It is mandatory for all ADIs to provide agricultural lending data to APRA. RFCs with assets (loans, </w:t>
      </w:r>
      <w:proofErr w:type="gramStart"/>
      <w:r w:rsidRPr="009D0172">
        <w:t>advances</w:t>
      </w:r>
      <w:proofErr w:type="gramEnd"/>
      <w:r w:rsidRPr="009D0172">
        <w:t xml:space="preserve"> and lending facilities) valued at less than $50 million, either as a single entity or for combined related bodies corporate, are not required to report to APRA. This may result in some under-reporting of lending to farm business entities.</w:t>
      </w:r>
    </w:p>
    <w:p w14:paraId="188A765D" w14:textId="77777777" w:rsidR="00BB632E" w:rsidRPr="009D0172" w:rsidRDefault="00BB632E" w:rsidP="00BB632E">
      <w:pPr>
        <w:pStyle w:val="Heading3"/>
        <w:numPr>
          <w:ilvl w:val="0"/>
          <w:numId w:val="0"/>
        </w:numPr>
        <w:ind w:left="964" w:hanging="964"/>
      </w:pPr>
      <w:bookmarkStart w:id="102" w:name="_Toc55480437"/>
      <w:bookmarkStart w:id="103" w:name="_Toc84434498"/>
      <w:r w:rsidRPr="009D0172">
        <w:t>Types of debt reported</w:t>
      </w:r>
      <w:bookmarkEnd w:id="102"/>
      <w:bookmarkEnd w:id="103"/>
    </w:p>
    <w:p w14:paraId="12EB980B" w14:textId="480B5F61" w:rsidR="00BB632E" w:rsidRPr="009D0172" w:rsidRDefault="00BB632E" w:rsidP="00BB632E">
      <w:r w:rsidRPr="009D0172">
        <w:t xml:space="preserve">APRA collects data about business lending (loans and leases) by reporting entities to farm business entities in the </w:t>
      </w:r>
      <w:r w:rsidR="00226F34">
        <w:t>agricultural sector</w:t>
      </w:r>
      <w:r w:rsidRPr="009D0172">
        <w:t>. APRA does not collect data about personal loans (secured or unsecured), personal leases and personal credit card debt. Some major credit card providers may provide cards to businesses, but they do not classify this as business lending.</w:t>
      </w:r>
    </w:p>
    <w:p w14:paraId="733491B2" w14:textId="7756D9F0" w:rsidR="00BB632E" w:rsidRPr="009D0172" w:rsidRDefault="00BB632E" w:rsidP="00BB632E">
      <w:r w:rsidRPr="009D0172">
        <w:t xml:space="preserve">APRA does not collect data about loans from government agencies, other business entities, vendor financiers, </w:t>
      </w:r>
      <w:proofErr w:type="gramStart"/>
      <w:r w:rsidRPr="009D0172">
        <w:t>family</w:t>
      </w:r>
      <w:proofErr w:type="gramEnd"/>
      <w:r w:rsidRPr="009D0172">
        <w:t xml:space="preserve"> or others external to the farm business entity, and sundry creditors (mainly input suppliers). This may result in an understatement of loan funds available to the </w:t>
      </w:r>
      <w:r w:rsidR="00226F34">
        <w:t>agricultural sector</w:t>
      </w:r>
      <w:r w:rsidRPr="009D0172">
        <w:t>.</w:t>
      </w:r>
    </w:p>
    <w:p w14:paraId="42C6403E" w14:textId="77777777" w:rsidR="00BB632E" w:rsidRPr="009D0172" w:rsidRDefault="00BB632E" w:rsidP="00BB632E">
      <w:pPr>
        <w:pStyle w:val="Heading3"/>
        <w:numPr>
          <w:ilvl w:val="0"/>
          <w:numId w:val="0"/>
        </w:numPr>
        <w:ind w:left="964" w:hanging="964"/>
      </w:pPr>
      <w:bookmarkStart w:id="104" w:name="_Toc55480438"/>
      <w:bookmarkStart w:id="105" w:name="_Toc84434499"/>
      <w:r w:rsidRPr="009D0172">
        <w:t>Data collection period</w:t>
      </w:r>
      <w:bookmarkEnd w:id="104"/>
      <w:bookmarkEnd w:id="105"/>
    </w:p>
    <w:p w14:paraId="4A9B57A0" w14:textId="77777777" w:rsidR="00BB632E" w:rsidRPr="009D0172" w:rsidRDefault="00BB632E" w:rsidP="00BB632E">
      <w:r w:rsidRPr="009D0172">
        <w:t xml:space="preserve">Lending data is presented as </w:t>
      </w:r>
      <w:proofErr w:type="gramStart"/>
      <w:r w:rsidRPr="009D0172">
        <w:t>at</w:t>
      </w:r>
      <w:proofErr w:type="gramEnd"/>
      <w:r w:rsidRPr="009D0172">
        <w:t xml:space="preserve"> 30 June each financial year. New incidents of farm debt mediations and farm foreclosures are reported for the full financial year.</w:t>
      </w:r>
    </w:p>
    <w:p w14:paraId="447D6B71" w14:textId="77777777" w:rsidR="00BB632E" w:rsidRPr="009D0172" w:rsidRDefault="00BB632E" w:rsidP="00BB632E">
      <w:pPr>
        <w:pStyle w:val="Heading3"/>
        <w:numPr>
          <w:ilvl w:val="0"/>
          <w:numId w:val="0"/>
        </w:numPr>
        <w:ind w:left="964" w:hanging="964"/>
      </w:pPr>
      <w:bookmarkStart w:id="106" w:name="_Toc84434500"/>
      <w:r w:rsidRPr="009D0172">
        <w:t>Future data collection and revisions</w:t>
      </w:r>
      <w:bookmarkEnd w:id="106"/>
    </w:p>
    <w:p w14:paraId="1A8FB17C" w14:textId="77777777" w:rsidR="00BB632E" w:rsidRPr="009D0172" w:rsidRDefault="00BB632E" w:rsidP="00BB632E">
      <w:r w:rsidRPr="009D0172">
        <w:t>APRA will continue to collect data under the same parameters as those used for the 2017, 2018, 2019 and 2020 collections. Future publications may also contain revisions to previously published data to reflect resubmissions from reporting entities or corrections to compilation errors. APRA regularly analyses past revisions to identify potential improvements to source data and statistical compilation techniques. This helps minimise the frequency and scale of any future revisions. Significant revisions (variances of at least 10% or $10 million) will be identified.</w:t>
      </w:r>
    </w:p>
    <w:p w14:paraId="159896F3" w14:textId="77777777" w:rsidR="00BB632E" w:rsidRPr="009D0172" w:rsidRDefault="00BB632E" w:rsidP="00BB632E">
      <w:pPr>
        <w:pStyle w:val="Heading3"/>
        <w:numPr>
          <w:ilvl w:val="0"/>
          <w:numId w:val="0"/>
        </w:numPr>
        <w:ind w:left="964" w:hanging="964"/>
      </w:pPr>
      <w:bookmarkStart w:id="107" w:name="_Toc55480440"/>
      <w:bookmarkStart w:id="108" w:name="_Toc84434501"/>
      <w:r w:rsidRPr="009D0172">
        <w:t>Data presentation and interpretation</w:t>
      </w:r>
      <w:bookmarkEnd w:id="107"/>
      <w:bookmarkEnd w:id="108"/>
    </w:p>
    <w:p w14:paraId="19E3A4E6" w14:textId="77777777" w:rsidR="00BB632E" w:rsidRPr="009D0172" w:rsidRDefault="00BB632E" w:rsidP="00BB632E">
      <w:r w:rsidRPr="009D0172">
        <w:t>Amounts are expressed in Australian dollars. In some cases, data may not sum exactly to total figures due to rounding. If an item is masked to meet confidentiality requirements, other data items may also be masked so the value of the primary masked data item cannot be otherwise derived from totals.</w:t>
      </w:r>
      <w:r>
        <w:t xml:space="preserve"> </w:t>
      </w:r>
      <w:r w:rsidRPr="009D0172">
        <w:t>The term ‘n/a’ will be used to indicate where data have been masked to maintain confidentiality. Values shown as ‘</w:t>
      </w:r>
      <w:r>
        <w:t>–</w:t>
      </w:r>
      <w:r w:rsidRPr="009D0172">
        <w:t>’ represent nil values. Numbers rounded to 0 represent values under $0.5 million.</w:t>
      </w:r>
    </w:p>
    <w:p w14:paraId="4D39BD02" w14:textId="77777777" w:rsidR="00BB632E" w:rsidRPr="009D0172" w:rsidRDefault="00BB632E" w:rsidP="00BB632E">
      <w:pPr>
        <w:pStyle w:val="Heading3"/>
        <w:numPr>
          <w:ilvl w:val="0"/>
          <w:numId w:val="0"/>
        </w:numPr>
        <w:ind w:left="964" w:hanging="964"/>
      </w:pPr>
      <w:bookmarkStart w:id="109" w:name="_Toc55480441"/>
      <w:bookmarkStart w:id="110" w:name="_Toc84434502"/>
      <w:r w:rsidRPr="009D0172">
        <w:t>Data categories</w:t>
      </w:r>
      <w:bookmarkEnd w:id="109"/>
      <w:bookmarkEnd w:id="110"/>
    </w:p>
    <w:p w14:paraId="3B14CB12" w14:textId="06659648" w:rsidR="00BB632E" w:rsidRDefault="00BB632E" w:rsidP="00BB632E">
      <w:r w:rsidRPr="009D0172">
        <w:t xml:space="preserve">Data are presented for 14 agricultural </w:t>
      </w:r>
      <w:proofErr w:type="gramStart"/>
      <w:r w:rsidRPr="009D0172">
        <w:t>industry</w:t>
      </w:r>
      <w:proofErr w:type="gramEnd"/>
      <w:r w:rsidRPr="009D0172">
        <w:t xml:space="preserve"> ‘groups’, based on 4-digit level ANZSIC </w:t>
      </w:r>
      <w:r w:rsidRPr="007D50B6">
        <w:t>classification codes</w:t>
      </w:r>
      <w:r>
        <w:t xml:space="preserve"> (</w:t>
      </w:r>
      <w:r w:rsidR="00C21E04">
        <w:fldChar w:fldCharType="begin"/>
      </w:r>
      <w:r w:rsidR="00C21E04">
        <w:instrText xml:space="preserve"> REF _Ref84599967 \h </w:instrText>
      </w:r>
      <w:r w:rsidR="00C21E04">
        <w:fldChar w:fldCharType="separate"/>
      </w:r>
      <w:r w:rsidR="008A23A3">
        <w:t>Table A</w:t>
      </w:r>
      <w:r w:rsidR="008A23A3">
        <w:rPr>
          <w:noProof/>
        </w:rPr>
        <w:t>1</w:t>
      </w:r>
      <w:r w:rsidR="00C21E04">
        <w:fldChar w:fldCharType="end"/>
      </w:r>
      <w:r>
        <w:t>).</w:t>
      </w:r>
    </w:p>
    <w:p w14:paraId="27BF471C" w14:textId="08567910" w:rsidR="00BB632E" w:rsidRPr="007D50B6" w:rsidRDefault="00C21E04" w:rsidP="00C21E04">
      <w:pPr>
        <w:pStyle w:val="Caption"/>
        <w:rPr>
          <w:rFonts w:ascii="Trebuchet MS" w:hAnsi="Trebuchet MS"/>
          <w:lang w:eastAsia="en-AU"/>
        </w:rPr>
      </w:pPr>
      <w:bookmarkStart w:id="111" w:name="_Ref84599967"/>
      <w:bookmarkStart w:id="112" w:name="_Toc84600034"/>
      <w:r>
        <w:lastRenderedPageBreak/>
        <w:t>Table A</w:t>
      </w:r>
      <w:fldSimple w:instr=" SEQ Table_A \* ARABIC ">
        <w:r w:rsidR="008A23A3">
          <w:rPr>
            <w:noProof/>
          </w:rPr>
          <w:t>1</w:t>
        </w:r>
      </w:fldSimple>
      <w:bookmarkEnd w:id="111"/>
      <w:r>
        <w:t xml:space="preserve"> </w:t>
      </w:r>
      <w:r w:rsidR="00BB632E">
        <w:t>Agricultural industry classification codes, Australia</w:t>
      </w:r>
      <w:bookmarkEnd w:id="112"/>
    </w:p>
    <w:tbl>
      <w:tblPr>
        <w:tblW w:w="5000" w:type="pct"/>
        <w:tblCellMar>
          <w:left w:w="0" w:type="dxa"/>
          <w:right w:w="0" w:type="dxa"/>
        </w:tblCellMar>
        <w:tblLook w:val="04A0" w:firstRow="1" w:lastRow="0" w:firstColumn="1" w:lastColumn="0" w:noHBand="0" w:noVBand="1"/>
      </w:tblPr>
      <w:tblGrid>
        <w:gridCol w:w="1985"/>
        <w:gridCol w:w="4593"/>
        <w:gridCol w:w="2492"/>
      </w:tblGrid>
      <w:tr w:rsidR="002C1F3B" w:rsidRPr="004740E6" w14:paraId="00C2A0F1" w14:textId="77777777" w:rsidTr="002C1F3B">
        <w:trPr>
          <w:cantSplit/>
          <w:tblHeader/>
        </w:trPr>
        <w:tc>
          <w:tcPr>
            <w:tcW w:w="1094" w:type="pct"/>
            <w:tcBorders>
              <w:top w:val="single" w:sz="4" w:space="0" w:color="auto"/>
            </w:tcBorders>
            <w:vAlign w:val="center"/>
          </w:tcPr>
          <w:p w14:paraId="0C73E676" w14:textId="1170C909" w:rsidR="002C1F3B" w:rsidRDefault="002C1F3B" w:rsidP="002C1F3B">
            <w:pPr>
              <w:pStyle w:val="TableHeading"/>
              <w:rPr>
                <w:lang w:eastAsia="en-AU"/>
              </w:rPr>
            </w:pPr>
            <w:r>
              <w:rPr>
                <w:lang w:eastAsia="en-AU"/>
              </w:rPr>
              <w:t>Category</w:t>
            </w:r>
          </w:p>
        </w:tc>
        <w:tc>
          <w:tcPr>
            <w:tcW w:w="2532" w:type="pct"/>
            <w:tcBorders>
              <w:top w:val="single" w:sz="4" w:space="0" w:color="auto"/>
            </w:tcBorders>
            <w:shd w:val="clear" w:color="auto" w:fill="auto"/>
            <w:tcMar>
              <w:top w:w="0" w:type="dxa"/>
              <w:left w:w="108" w:type="dxa"/>
              <w:bottom w:w="0" w:type="dxa"/>
              <w:right w:w="108" w:type="dxa"/>
            </w:tcMar>
            <w:vAlign w:val="center"/>
            <w:hideMark/>
          </w:tcPr>
          <w:p w14:paraId="7017C147" w14:textId="4E0EBC5A" w:rsidR="002C1F3B" w:rsidRPr="002C1F3B" w:rsidRDefault="002C1F3B" w:rsidP="002C1F3B">
            <w:pPr>
              <w:pStyle w:val="TableHeading"/>
            </w:pPr>
            <w:r w:rsidRPr="002C1F3B">
              <w:t>Industry</w:t>
            </w:r>
          </w:p>
        </w:tc>
        <w:tc>
          <w:tcPr>
            <w:tcW w:w="1374" w:type="pct"/>
            <w:tcBorders>
              <w:top w:val="single" w:sz="4" w:space="0" w:color="auto"/>
            </w:tcBorders>
            <w:shd w:val="clear" w:color="auto" w:fill="auto"/>
            <w:tcMar>
              <w:top w:w="0" w:type="dxa"/>
              <w:left w:w="108" w:type="dxa"/>
              <w:bottom w:w="0" w:type="dxa"/>
              <w:right w:w="108" w:type="dxa"/>
            </w:tcMar>
            <w:vAlign w:val="center"/>
            <w:hideMark/>
          </w:tcPr>
          <w:p w14:paraId="5A5EC544" w14:textId="77777777" w:rsidR="002C1F3B" w:rsidRPr="004740E6" w:rsidRDefault="002C1F3B" w:rsidP="002C1F3B">
            <w:pPr>
              <w:pStyle w:val="TableHeading"/>
              <w:rPr>
                <w:rFonts w:ascii="Trebuchet MS" w:hAnsi="Trebuchet MS" w:cs="Open Sans"/>
                <w:lang w:eastAsia="en-AU"/>
              </w:rPr>
            </w:pPr>
            <w:r w:rsidRPr="004740E6">
              <w:rPr>
                <w:lang w:eastAsia="en-AU"/>
              </w:rPr>
              <w:t>ANZSIC 2006 class or classes</w:t>
            </w:r>
          </w:p>
        </w:tc>
      </w:tr>
      <w:tr w:rsidR="002C1F3B" w:rsidRPr="004740E6" w14:paraId="08867762" w14:textId="77777777" w:rsidTr="002C1F3B">
        <w:tc>
          <w:tcPr>
            <w:tcW w:w="1094" w:type="pct"/>
            <w:vMerge w:val="restart"/>
          </w:tcPr>
          <w:p w14:paraId="693DF47C" w14:textId="5A1B9E1C" w:rsidR="002C1F3B" w:rsidRPr="009D0172" w:rsidRDefault="002C1F3B" w:rsidP="00D21EE0">
            <w:pPr>
              <w:pStyle w:val="TableText"/>
              <w:rPr>
                <w:lang w:eastAsia="en-AU"/>
              </w:rPr>
            </w:pPr>
            <w:r>
              <w:rPr>
                <w:b/>
                <w:lang w:eastAsia="en-AU"/>
              </w:rPr>
              <w:t>Livestock industries</w:t>
            </w:r>
          </w:p>
        </w:tc>
        <w:tc>
          <w:tcPr>
            <w:tcW w:w="2532" w:type="pct"/>
            <w:tcBorders>
              <w:bottom w:val="single" w:sz="4" w:space="0" w:color="auto"/>
            </w:tcBorders>
            <w:shd w:val="clear" w:color="auto" w:fill="auto"/>
            <w:tcMar>
              <w:top w:w="0" w:type="dxa"/>
              <w:left w:w="108" w:type="dxa"/>
              <w:bottom w:w="0" w:type="dxa"/>
              <w:right w:w="108" w:type="dxa"/>
            </w:tcMar>
            <w:vAlign w:val="center"/>
            <w:hideMark/>
          </w:tcPr>
          <w:p w14:paraId="45A4EBDB" w14:textId="555CEEB2" w:rsidR="002C1F3B" w:rsidRPr="009D0172" w:rsidRDefault="002C1F3B" w:rsidP="002C1F3B">
            <w:pPr>
              <w:pStyle w:val="TableText"/>
              <w:rPr>
                <w:rFonts w:ascii="Trebuchet MS" w:hAnsi="Trebuchet MS" w:cs="Open Sans"/>
                <w:lang w:eastAsia="en-AU"/>
              </w:rPr>
            </w:pPr>
            <w:r w:rsidRPr="009D0172">
              <w:rPr>
                <w:lang w:eastAsia="en-AU"/>
              </w:rPr>
              <w:t>Beef cattle</w:t>
            </w:r>
          </w:p>
        </w:tc>
        <w:tc>
          <w:tcPr>
            <w:tcW w:w="1374" w:type="pct"/>
            <w:tcBorders>
              <w:bottom w:val="single" w:sz="4" w:space="0" w:color="auto"/>
            </w:tcBorders>
            <w:shd w:val="clear" w:color="auto" w:fill="auto"/>
            <w:tcMar>
              <w:top w:w="0" w:type="dxa"/>
              <w:left w:w="108" w:type="dxa"/>
              <w:bottom w:w="0" w:type="dxa"/>
              <w:right w:w="108" w:type="dxa"/>
            </w:tcMar>
            <w:vAlign w:val="center"/>
            <w:hideMark/>
          </w:tcPr>
          <w:p w14:paraId="62F91423" w14:textId="77777777" w:rsidR="002C1F3B" w:rsidRPr="009D0172" w:rsidRDefault="002C1F3B" w:rsidP="002C1F3B">
            <w:pPr>
              <w:pStyle w:val="TableText"/>
              <w:rPr>
                <w:rFonts w:ascii="Trebuchet MS" w:hAnsi="Trebuchet MS" w:cs="Open Sans"/>
                <w:lang w:eastAsia="en-AU"/>
              </w:rPr>
            </w:pPr>
            <w:r w:rsidRPr="009D0172">
              <w:rPr>
                <w:lang w:eastAsia="en-AU"/>
              </w:rPr>
              <w:t>0142, 0143</w:t>
            </w:r>
          </w:p>
        </w:tc>
      </w:tr>
      <w:tr w:rsidR="002C1F3B" w:rsidRPr="004740E6" w14:paraId="06DE22F8" w14:textId="77777777" w:rsidTr="002C1F3B">
        <w:tc>
          <w:tcPr>
            <w:tcW w:w="1094" w:type="pct"/>
            <w:vMerge/>
          </w:tcPr>
          <w:p w14:paraId="0CBBC8DD"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299E96F6" w14:textId="08D92060" w:rsidR="002C1F3B" w:rsidRPr="009D0172" w:rsidRDefault="002C1F3B" w:rsidP="002C1F3B">
            <w:pPr>
              <w:pStyle w:val="TableText"/>
              <w:rPr>
                <w:rFonts w:ascii="Trebuchet MS" w:hAnsi="Trebuchet MS" w:cs="Open Sans"/>
                <w:lang w:eastAsia="en-AU"/>
              </w:rPr>
            </w:pPr>
            <w:r w:rsidRPr="009D0172">
              <w:rPr>
                <w:lang w:eastAsia="en-AU"/>
              </w:rPr>
              <w:t>Sheep and sheep-beef</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44122339" w14:textId="77777777" w:rsidR="002C1F3B" w:rsidRPr="009D0172" w:rsidRDefault="002C1F3B" w:rsidP="002C1F3B">
            <w:pPr>
              <w:pStyle w:val="TableText"/>
              <w:rPr>
                <w:rFonts w:ascii="Trebuchet MS" w:hAnsi="Trebuchet MS" w:cs="Open Sans"/>
                <w:lang w:eastAsia="en-AU"/>
              </w:rPr>
            </w:pPr>
            <w:r w:rsidRPr="009D0172">
              <w:rPr>
                <w:lang w:eastAsia="en-AU"/>
              </w:rPr>
              <w:t>0141, 0144</w:t>
            </w:r>
          </w:p>
        </w:tc>
      </w:tr>
      <w:tr w:rsidR="002C1F3B" w:rsidRPr="004740E6" w14:paraId="08F02969" w14:textId="77777777" w:rsidTr="002C1F3B">
        <w:tc>
          <w:tcPr>
            <w:tcW w:w="1094" w:type="pct"/>
            <w:vMerge/>
          </w:tcPr>
          <w:p w14:paraId="1FED5689"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12F02EBB" w14:textId="1B156C6D" w:rsidR="002C1F3B" w:rsidRPr="009D0172" w:rsidRDefault="002C1F3B" w:rsidP="002C1F3B">
            <w:pPr>
              <w:pStyle w:val="TableText"/>
              <w:rPr>
                <w:rFonts w:ascii="Trebuchet MS" w:hAnsi="Trebuchet MS" w:cs="Open Sans"/>
                <w:lang w:eastAsia="en-AU"/>
              </w:rPr>
            </w:pPr>
            <w:r w:rsidRPr="009D0172">
              <w:rPr>
                <w:lang w:eastAsia="en-AU"/>
              </w:rPr>
              <w:t>Pigs</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233D7CF9" w14:textId="77777777" w:rsidR="002C1F3B" w:rsidRPr="009D0172" w:rsidRDefault="002C1F3B" w:rsidP="002C1F3B">
            <w:pPr>
              <w:pStyle w:val="TableText"/>
              <w:rPr>
                <w:rFonts w:ascii="Trebuchet MS" w:hAnsi="Trebuchet MS" w:cs="Open Sans"/>
                <w:lang w:eastAsia="en-AU"/>
              </w:rPr>
            </w:pPr>
            <w:r w:rsidRPr="009D0172">
              <w:rPr>
                <w:lang w:eastAsia="en-AU"/>
              </w:rPr>
              <w:t>0192</w:t>
            </w:r>
          </w:p>
        </w:tc>
      </w:tr>
      <w:tr w:rsidR="002C1F3B" w:rsidRPr="004740E6" w14:paraId="46A7C836" w14:textId="77777777" w:rsidTr="002C1F3B">
        <w:tc>
          <w:tcPr>
            <w:tcW w:w="1094" w:type="pct"/>
            <w:vMerge/>
          </w:tcPr>
          <w:p w14:paraId="59623051"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00716988" w14:textId="6F1D7D70" w:rsidR="002C1F3B" w:rsidRPr="009D0172" w:rsidRDefault="002C1F3B" w:rsidP="002C1F3B">
            <w:pPr>
              <w:pStyle w:val="TableText"/>
              <w:rPr>
                <w:rFonts w:ascii="Trebuchet MS" w:hAnsi="Trebuchet MS" w:cs="Open Sans"/>
                <w:lang w:eastAsia="en-AU"/>
              </w:rPr>
            </w:pPr>
            <w:r w:rsidRPr="009D0172">
              <w:rPr>
                <w:lang w:eastAsia="en-AU"/>
              </w:rPr>
              <w:t>Dairy</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19EA255B" w14:textId="77777777" w:rsidR="002C1F3B" w:rsidRPr="009D0172" w:rsidRDefault="002C1F3B" w:rsidP="002C1F3B">
            <w:pPr>
              <w:pStyle w:val="TableText"/>
              <w:rPr>
                <w:rFonts w:ascii="Trebuchet MS" w:hAnsi="Trebuchet MS" w:cs="Open Sans"/>
                <w:lang w:eastAsia="en-AU"/>
              </w:rPr>
            </w:pPr>
            <w:r w:rsidRPr="009D0172">
              <w:rPr>
                <w:lang w:eastAsia="en-AU"/>
              </w:rPr>
              <w:t>0160</w:t>
            </w:r>
          </w:p>
        </w:tc>
      </w:tr>
      <w:tr w:rsidR="002C1F3B" w:rsidRPr="004740E6" w14:paraId="6A2AE940" w14:textId="77777777" w:rsidTr="002C1F3B">
        <w:tc>
          <w:tcPr>
            <w:tcW w:w="1094" w:type="pct"/>
            <w:vMerge/>
          </w:tcPr>
          <w:p w14:paraId="241E1CEE"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2DB88EC8" w14:textId="26E46C5E" w:rsidR="002C1F3B" w:rsidRPr="009D0172" w:rsidRDefault="002C1F3B" w:rsidP="002C1F3B">
            <w:pPr>
              <w:pStyle w:val="TableText"/>
              <w:rPr>
                <w:rFonts w:ascii="Trebuchet MS" w:hAnsi="Trebuchet MS" w:cs="Open Sans"/>
                <w:lang w:eastAsia="en-AU"/>
              </w:rPr>
            </w:pPr>
            <w:r w:rsidRPr="009D0172">
              <w:rPr>
                <w:lang w:eastAsia="en-AU"/>
              </w:rPr>
              <w:t>Poultry (meat and eggs)</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1C4A51A5" w14:textId="77777777" w:rsidR="002C1F3B" w:rsidRPr="009D0172" w:rsidRDefault="002C1F3B" w:rsidP="002C1F3B">
            <w:pPr>
              <w:pStyle w:val="TableText"/>
              <w:rPr>
                <w:rFonts w:ascii="Trebuchet MS" w:hAnsi="Trebuchet MS" w:cs="Open Sans"/>
                <w:lang w:eastAsia="en-AU"/>
              </w:rPr>
            </w:pPr>
            <w:r w:rsidRPr="009D0172">
              <w:rPr>
                <w:lang w:eastAsia="en-AU"/>
              </w:rPr>
              <w:t>0171, 0172</w:t>
            </w:r>
          </w:p>
        </w:tc>
      </w:tr>
      <w:tr w:rsidR="002C1F3B" w:rsidRPr="004740E6" w14:paraId="7ADE1FD6" w14:textId="77777777" w:rsidTr="002C1F3B">
        <w:tc>
          <w:tcPr>
            <w:tcW w:w="1094" w:type="pct"/>
            <w:vMerge/>
            <w:tcBorders>
              <w:bottom w:val="single" w:sz="4" w:space="0" w:color="auto"/>
            </w:tcBorders>
          </w:tcPr>
          <w:p w14:paraId="2578BB7F"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0B4332F1" w14:textId="32489494" w:rsidR="002C1F3B" w:rsidRPr="009D0172" w:rsidRDefault="002C1F3B" w:rsidP="002C1F3B">
            <w:pPr>
              <w:pStyle w:val="TableText"/>
              <w:rPr>
                <w:rFonts w:ascii="Trebuchet MS" w:hAnsi="Trebuchet MS" w:cs="Open Sans"/>
                <w:lang w:eastAsia="en-AU"/>
              </w:rPr>
            </w:pPr>
            <w:r w:rsidRPr="009D0172">
              <w:rPr>
                <w:lang w:eastAsia="en-AU"/>
              </w:rPr>
              <w:t>Other livestock (horses, deer, beekeeping, other livestock)</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2C05F03D" w14:textId="77777777" w:rsidR="002C1F3B" w:rsidRPr="009D0172" w:rsidRDefault="002C1F3B" w:rsidP="002C1F3B">
            <w:pPr>
              <w:pStyle w:val="TableText"/>
              <w:rPr>
                <w:rFonts w:ascii="Trebuchet MS" w:hAnsi="Trebuchet MS" w:cs="Open Sans"/>
                <w:lang w:eastAsia="en-AU"/>
              </w:rPr>
            </w:pPr>
            <w:r w:rsidRPr="009D0172">
              <w:rPr>
                <w:lang w:eastAsia="en-AU"/>
              </w:rPr>
              <w:t>0180, 0191, 0193, 0199</w:t>
            </w:r>
          </w:p>
        </w:tc>
      </w:tr>
      <w:tr w:rsidR="002C1F3B" w:rsidRPr="004740E6" w14:paraId="1AA175E5" w14:textId="77777777" w:rsidTr="002C1F3B">
        <w:tc>
          <w:tcPr>
            <w:tcW w:w="1094" w:type="pct"/>
            <w:vMerge w:val="restart"/>
            <w:tcBorders>
              <w:top w:val="single" w:sz="4" w:space="0" w:color="auto"/>
            </w:tcBorders>
          </w:tcPr>
          <w:p w14:paraId="09A904E9" w14:textId="3E39DEA5" w:rsidR="002C1F3B" w:rsidRPr="009D0172" w:rsidRDefault="002C1F3B" w:rsidP="00D21EE0">
            <w:pPr>
              <w:pStyle w:val="TableText"/>
              <w:rPr>
                <w:lang w:eastAsia="en-AU"/>
              </w:rPr>
            </w:pPr>
            <w:r w:rsidRPr="004740E6">
              <w:rPr>
                <w:b/>
                <w:bCs/>
                <w:lang w:eastAsia="en-AU"/>
              </w:rPr>
              <w:t>Cropping industries</w:t>
            </w: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4B1FCB26" w14:textId="4043F208" w:rsidR="002C1F3B" w:rsidRPr="009D0172" w:rsidRDefault="002C1F3B" w:rsidP="002C1F3B">
            <w:pPr>
              <w:pStyle w:val="TableText"/>
              <w:rPr>
                <w:rFonts w:ascii="Trebuchet MS" w:hAnsi="Trebuchet MS" w:cs="Open Sans"/>
                <w:lang w:eastAsia="en-AU"/>
              </w:rPr>
            </w:pPr>
            <w:r w:rsidRPr="009D0172">
              <w:rPr>
                <w:lang w:eastAsia="en-AU"/>
              </w:rPr>
              <w:t>Grain growing and mixed grains-livestock</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1DC145DA" w14:textId="77777777" w:rsidR="002C1F3B" w:rsidRPr="007D50B6" w:rsidRDefault="002C1F3B" w:rsidP="002C1F3B">
            <w:pPr>
              <w:pStyle w:val="TableText"/>
              <w:rPr>
                <w:rFonts w:ascii="Trebuchet MS" w:hAnsi="Trebuchet MS" w:cs="Open Sans"/>
                <w:lang w:eastAsia="en-AU"/>
              </w:rPr>
            </w:pPr>
            <w:r w:rsidRPr="007D50B6">
              <w:rPr>
                <w:lang w:eastAsia="en-AU"/>
              </w:rPr>
              <w:t>0146, 0149, 0145</w:t>
            </w:r>
          </w:p>
        </w:tc>
      </w:tr>
      <w:tr w:rsidR="002C1F3B" w:rsidRPr="004740E6" w14:paraId="2714CACA" w14:textId="77777777" w:rsidTr="002C1F3B">
        <w:tc>
          <w:tcPr>
            <w:tcW w:w="1094" w:type="pct"/>
            <w:vMerge/>
          </w:tcPr>
          <w:p w14:paraId="6726792C"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3F34806C" w14:textId="342E169E" w:rsidR="002C1F3B" w:rsidRPr="009D0172" w:rsidRDefault="002C1F3B" w:rsidP="002C1F3B">
            <w:pPr>
              <w:pStyle w:val="TableText"/>
              <w:rPr>
                <w:rFonts w:ascii="Trebuchet MS" w:hAnsi="Trebuchet MS" w:cs="Open Sans"/>
                <w:lang w:eastAsia="en-AU"/>
              </w:rPr>
            </w:pPr>
            <w:r w:rsidRPr="009D0172">
              <w:rPr>
                <w:lang w:eastAsia="en-AU"/>
              </w:rPr>
              <w:t>Cotton</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5C2F8BD8" w14:textId="77777777" w:rsidR="002C1F3B" w:rsidRPr="007D50B6" w:rsidRDefault="002C1F3B" w:rsidP="002C1F3B">
            <w:pPr>
              <w:pStyle w:val="TableText"/>
              <w:rPr>
                <w:rFonts w:ascii="Trebuchet MS" w:hAnsi="Trebuchet MS" w:cs="Open Sans"/>
                <w:lang w:eastAsia="en-AU"/>
              </w:rPr>
            </w:pPr>
            <w:r w:rsidRPr="007D50B6">
              <w:rPr>
                <w:lang w:eastAsia="en-AU"/>
              </w:rPr>
              <w:t>0152</w:t>
            </w:r>
          </w:p>
        </w:tc>
      </w:tr>
      <w:tr w:rsidR="002C1F3B" w:rsidRPr="004740E6" w14:paraId="6C68FCDC" w14:textId="77777777" w:rsidTr="002C1F3B">
        <w:tc>
          <w:tcPr>
            <w:tcW w:w="1094" w:type="pct"/>
            <w:vMerge/>
          </w:tcPr>
          <w:p w14:paraId="02AB9A60"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63B481BF" w14:textId="4A037BA7" w:rsidR="002C1F3B" w:rsidRPr="009D0172" w:rsidRDefault="002C1F3B" w:rsidP="002C1F3B">
            <w:pPr>
              <w:pStyle w:val="TableText"/>
              <w:rPr>
                <w:rFonts w:ascii="Trebuchet MS" w:hAnsi="Trebuchet MS" w:cs="Open Sans"/>
                <w:lang w:eastAsia="en-AU"/>
              </w:rPr>
            </w:pPr>
            <w:r w:rsidRPr="009D0172">
              <w:rPr>
                <w:lang w:eastAsia="en-AU"/>
              </w:rPr>
              <w:t>Sugar cane</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1EE2587A" w14:textId="77777777" w:rsidR="002C1F3B" w:rsidRPr="007D50B6" w:rsidRDefault="002C1F3B" w:rsidP="002C1F3B">
            <w:pPr>
              <w:pStyle w:val="TableText"/>
              <w:rPr>
                <w:rFonts w:ascii="Trebuchet MS" w:hAnsi="Trebuchet MS" w:cs="Open Sans"/>
                <w:lang w:eastAsia="en-AU"/>
              </w:rPr>
            </w:pPr>
            <w:r w:rsidRPr="007D50B6">
              <w:rPr>
                <w:lang w:eastAsia="en-AU"/>
              </w:rPr>
              <w:t>0151</w:t>
            </w:r>
          </w:p>
        </w:tc>
      </w:tr>
      <w:tr w:rsidR="002C1F3B" w:rsidRPr="004740E6" w14:paraId="02EA26FE" w14:textId="77777777" w:rsidTr="002C1F3B">
        <w:tc>
          <w:tcPr>
            <w:tcW w:w="1094" w:type="pct"/>
            <w:vMerge/>
          </w:tcPr>
          <w:p w14:paraId="295B2E18"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12B97B23" w14:textId="0C4E0D26" w:rsidR="002C1F3B" w:rsidRPr="009D0172" w:rsidRDefault="002C1F3B" w:rsidP="002C1F3B">
            <w:pPr>
              <w:pStyle w:val="TableText"/>
              <w:rPr>
                <w:rFonts w:ascii="Trebuchet MS" w:hAnsi="Trebuchet MS" w:cs="Open Sans"/>
                <w:lang w:eastAsia="en-AU"/>
              </w:rPr>
            </w:pPr>
            <w:r w:rsidRPr="009D0172">
              <w:rPr>
                <w:lang w:eastAsia="en-AU"/>
              </w:rPr>
              <w:t>Vegetables (incl. mushrooms)</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70B5A0E3" w14:textId="77777777" w:rsidR="002C1F3B" w:rsidRPr="007D50B6" w:rsidRDefault="002C1F3B" w:rsidP="002C1F3B">
            <w:pPr>
              <w:pStyle w:val="TableText"/>
              <w:rPr>
                <w:rFonts w:ascii="Trebuchet MS" w:hAnsi="Trebuchet MS" w:cs="Open Sans"/>
                <w:lang w:eastAsia="en-AU"/>
              </w:rPr>
            </w:pPr>
            <w:r w:rsidRPr="007D50B6">
              <w:rPr>
                <w:lang w:eastAsia="en-AU"/>
              </w:rPr>
              <w:t>0122, 0123, 0121</w:t>
            </w:r>
          </w:p>
        </w:tc>
      </w:tr>
      <w:tr w:rsidR="002C1F3B" w:rsidRPr="004740E6" w14:paraId="51212C16" w14:textId="77777777" w:rsidTr="002C1F3B">
        <w:tc>
          <w:tcPr>
            <w:tcW w:w="1094" w:type="pct"/>
            <w:vMerge/>
          </w:tcPr>
          <w:p w14:paraId="7AEDDEA7"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6BE6A1EE" w14:textId="2A041D89" w:rsidR="002C1F3B" w:rsidRPr="009D0172" w:rsidRDefault="002C1F3B" w:rsidP="002C1F3B">
            <w:pPr>
              <w:pStyle w:val="TableText"/>
              <w:rPr>
                <w:rFonts w:ascii="Trebuchet MS" w:hAnsi="Trebuchet MS" w:cs="Open Sans"/>
                <w:lang w:eastAsia="en-AU"/>
              </w:rPr>
            </w:pPr>
            <w:r w:rsidRPr="009D0172">
              <w:rPr>
                <w:lang w:eastAsia="en-AU"/>
              </w:rPr>
              <w:t>Grape growing</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09DF287E" w14:textId="77777777" w:rsidR="002C1F3B" w:rsidRPr="007D50B6" w:rsidRDefault="002C1F3B" w:rsidP="002C1F3B">
            <w:pPr>
              <w:pStyle w:val="TableText"/>
              <w:rPr>
                <w:rFonts w:ascii="Trebuchet MS" w:hAnsi="Trebuchet MS" w:cs="Open Sans"/>
                <w:lang w:eastAsia="en-AU"/>
              </w:rPr>
            </w:pPr>
            <w:r w:rsidRPr="007D50B6">
              <w:rPr>
                <w:lang w:eastAsia="en-AU"/>
              </w:rPr>
              <w:t>0131</w:t>
            </w:r>
          </w:p>
        </w:tc>
      </w:tr>
      <w:tr w:rsidR="002C1F3B" w:rsidRPr="004740E6" w14:paraId="7372D5FF" w14:textId="77777777" w:rsidTr="002C1F3B">
        <w:tc>
          <w:tcPr>
            <w:tcW w:w="1094" w:type="pct"/>
            <w:vMerge/>
          </w:tcPr>
          <w:p w14:paraId="625BF3E8"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00A51852" w14:textId="1283B8F9" w:rsidR="002C1F3B" w:rsidRPr="009D0172" w:rsidRDefault="002C1F3B" w:rsidP="002C1F3B">
            <w:pPr>
              <w:pStyle w:val="TableText"/>
              <w:rPr>
                <w:rFonts w:ascii="Trebuchet MS" w:hAnsi="Trebuchet MS" w:cs="Open Sans"/>
                <w:lang w:eastAsia="en-AU"/>
              </w:rPr>
            </w:pPr>
            <w:r w:rsidRPr="009D0172">
              <w:rPr>
                <w:lang w:eastAsia="en-AU"/>
              </w:rPr>
              <w:t>Fruit and nuts</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58A2AA79" w14:textId="77777777" w:rsidR="002C1F3B" w:rsidRPr="007D50B6" w:rsidRDefault="002C1F3B" w:rsidP="002C1F3B">
            <w:pPr>
              <w:pStyle w:val="TableText"/>
              <w:rPr>
                <w:rFonts w:ascii="Trebuchet MS" w:hAnsi="Trebuchet MS" w:cs="Open Sans"/>
                <w:lang w:eastAsia="en-AU"/>
              </w:rPr>
            </w:pPr>
            <w:r w:rsidRPr="007D50B6">
              <w:rPr>
                <w:lang w:eastAsia="en-AU"/>
              </w:rPr>
              <w:t>0132, 0133, 0134, 0135, 0136, 0137, 0139</w:t>
            </w:r>
          </w:p>
        </w:tc>
      </w:tr>
      <w:tr w:rsidR="002C1F3B" w:rsidRPr="004740E6" w14:paraId="4C3A8B17" w14:textId="77777777" w:rsidTr="002C1F3B">
        <w:tc>
          <w:tcPr>
            <w:tcW w:w="1094" w:type="pct"/>
            <w:vMerge/>
          </w:tcPr>
          <w:p w14:paraId="7BA90B89"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17888E7A" w14:textId="7CA9081C" w:rsidR="002C1F3B" w:rsidRPr="009D0172" w:rsidRDefault="002C1F3B" w:rsidP="002C1F3B">
            <w:pPr>
              <w:pStyle w:val="TableText"/>
              <w:rPr>
                <w:rFonts w:ascii="Trebuchet MS" w:hAnsi="Trebuchet MS" w:cs="Open Sans"/>
                <w:lang w:eastAsia="en-AU"/>
              </w:rPr>
            </w:pPr>
            <w:r w:rsidRPr="009D0172">
              <w:rPr>
                <w:lang w:eastAsia="en-AU"/>
              </w:rPr>
              <w:t>Nursery and floriculture</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6CCE9517" w14:textId="77777777" w:rsidR="002C1F3B" w:rsidRPr="007D50B6" w:rsidRDefault="002C1F3B" w:rsidP="002C1F3B">
            <w:pPr>
              <w:pStyle w:val="TableText"/>
              <w:rPr>
                <w:rFonts w:ascii="Trebuchet MS" w:hAnsi="Trebuchet MS" w:cs="Open Sans"/>
                <w:lang w:eastAsia="en-AU"/>
              </w:rPr>
            </w:pPr>
            <w:r w:rsidRPr="007D50B6">
              <w:rPr>
                <w:lang w:eastAsia="en-AU"/>
              </w:rPr>
              <w:t>0111, 0112, 0113, 0114, 0115</w:t>
            </w:r>
          </w:p>
        </w:tc>
      </w:tr>
      <w:tr w:rsidR="002C1F3B" w:rsidRPr="007D50B6" w14:paraId="51544269" w14:textId="77777777" w:rsidTr="002C1F3B">
        <w:tc>
          <w:tcPr>
            <w:tcW w:w="1094" w:type="pct"/>
            <w:vMerge/>
            <w:tcBorders>
              <w:bottom w:val="single" w:sz="4" w:space="0" w:color="auto"/>
            </w:tcBorders>
          </w:tcPr>
          <w:p w14:paraId="09401BD9" w14:textId="77777777" w:rsidR="002C1F3B" w:rsidRPr="009D0172" w:rsidRDefault="002C1F3B" w:rsidP="00D21EE0">
            <w:pPr>
              <w:pStyle w:val="TableText"/>
              <w:rPr>
                <w:lang w:eastAsia="en-AU"/>
              </w:rPr>
            </w:pPr>
          </w:p>
        </w:tc>
        <w:tc>
          <w:tcPr>
            <w:tcW w:w="2532"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7CF6D562" w14:textId="1F2C803B" w:rsidR="002C1F3B" w:rsidRPr="009D0172" w:rsidRDefault="002C1F3B" w:rsidP="002C1F3B">
            <w:pPr>
              <w:pStyle w:val="TableText"/>
              <w:rPr>
                <w:rFonts w:ascii="Trebuchet MS" w:hAnsi="Trebuchet MS" w:cs="Open Sans"/>
                <w:lang w:eastAsia="en-AU"/>
              </w:rPr>
            </w:pPr>
            <w:proofErr w:type="gramStart"/>
            <w:r w:rsidRPr="009D0172">
              <w:rPr>
                <w:lang w:eastAsia="en-AU"/>
              </w:rPr>
              <w:t>Other</w:t>
            </w:r>
            <w:proofErr w:type="gramEnd"/>
            <w:r w:rsidRPr="009D0172">
              <w:rPr>
                <w:lang w:eastAsia="en-AU"/>
              </w:rPr>
              <w:t xml:space="preserve"> crop growing</w:t>
            </w:r>
          </w:p>
        </w:tc>
        <w:tc>
          <w:tcPr>
            <w:tcW w:w="1374" w:type="pc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2464FD40" w14:textId="77777777" w:rsidR="002C1F3B" w:rsidRPr="007D50B6" w:rsidRDefault="002C1F3B" w:rsidP="002C1F3B">
            <w:pPr>
              <w:pStyle w:val="TableText"/>
              <w:rPr>
                <w:rFonts w:ascii="Trebuchet MS" w:hAnsi="Trebuchet MS" w:cs="Open Sans"/>
                <w:lang w:eastAsia="en-AU"/>
              </w:rPr>
            </w:pPr>
            <w:r w:rsidRPr="007D50B6">
              <w:rPr>
                <w:lang w:eastAsia="en-AU"/>
              </w:rPr>
              <w:t>0159</w:t>
            </w:r>
          </w:p>
        </w:tc>
      </w:tr>
    </w:tbl>
    <w:p w14:paraId="28849EE5" w14:textId="77777777" w:rsidR="00BB632E" w:rsidRPr="007D50B6" w:rsidRDefault="00BB632E" w:rsidP="00BB632E">
      <w:pPr>
        <w:pStyle w:val="FigureTableNoteSource"/>
      </w:pPr>
      <w:r>
        <w:rPr>
          <w:lang w:eastAsia="en-AU"/>
        </w:rPr>
        <w:t xml:space="preserve">Source: </w:t>
      </w:r>
      <w:hyperlink r:id="rId39" w:history="1">
        <w:r>
          <w:rPr>
            <w:rStyle w:val="Hyperlink"/>
          </w:rPr>
          <w:t>Financial Sector (Collection of Data) (reporting standard) determination No. 18 of 2017 (legislation.gov.au)</w:t>
        </w:r>
      </w:hyperlink>
    </w:p>
    <w:p w14:paraId="02D08E7D" w14:textId="77777777" w:rsidR="00BB632E" w:rsidRPr="009D0172" w:rsidRDefault="00BB632E" w:rsidP="00BB632E">
      <w:r w:rsidRPr="007D50B6">
        <w:t>Industry-level results are also available by state (including for the Northern Territory), although in some cases, state and territory data may need to be merged to maintain data confidentiality</w:t>
      </w:r>
      <w:r w:rsidRPr="009D0172">
        <w:t>.</w:t>
      </w:r>
    </w:p>
    <w:p w14:paraId="15F6F5FA" w14:textId="77777777" w:rsidR="00BB632E" w:rsidRPr="009D0172" w:rsidRDefault="00BB632E" w:rsidP="00BB632E">
      <w:pPr>
        <w:pStyle w:val="Heading3"/>
        <w:numPr>
          <w:ilvl w:val="0"/>
          <w:numId w:val="0"/>
        </w:numPr>
        <w:ind w:left="964" w:hanging="964"/>
      </w:pPr>
      <w:bookmarkStart w:id="113" w:name="_Toc55480442"/>
      <w:bookmarkStart w:id="114" w:name="_Toc84434503"/>
      <w:r w:rsidRPr="009D0172">
        <w:t>Farm business entities</w:t>
      </w:r>
      <w:bookmarkEnd w:id="113"/>
      <w:r w:rsidRPr="009D0172">
        <w:t xml:space="preserve"> and the number of borrowers</w:t>
      </w:r>
      <w:bookmarkEnd w:id="114"/>
    </w:p>
    <w:p w14:paraId="3E4743E0" w14:textId="77777777" w:rsidR="00BB632E" w:rsidRPr="009D0172" w:rsidRDefault="00BB632E" w:rsidP="00BB632E">
      <w:r w:rsidRPr="009D0172">
        <w:t>The agricultural lending statistics collected by APRA include the number of agricultural borrowers (business entities) associated with the loans and leases that have been taken out. However</w:t>
      </w:r>
      <w:r>
        <w:t>,</w:t>
      </w:r>
      <w:r w:rsidRPr="009D0172">
        <w:t xml:space="preserve"> it is important to note that the aggregate of the number of borrowers reported by APRA can double-counts individual farm business entities </w:t>
      </w:r>
      <w:r>
        <w:t>where they</w:t>
      </w:r>
      <w:r w:rsidRPr="009D0172">
        <w:t xml:space="preserve"> have multiple loans or leases across different lenders. For example, an individual farm with a land loan with a major bank, a separate working capital facility with the same bank or a different lender, and a lease over a tractor with a different lender again would represent </w:t>
      </w:r>
      <w:r>
        <w:t>3</w:t>
      </w:r>
      <w:r w:rsidRPr="009D0172">
        <w:t xml:space="preserve"> ‘borrowers’ in the APRA data base. Hence, the </w:t>
      </w:r>
      <w:r>
        <w:t xml:space="preserve">total </w:t>
      </w:r>
      <w:r w:rsidRPr="009D0172">
        <w:t xml:space="preserve">‘borrower’ numbers in the APRA data base are well </w:t>
      </w:r>
      <w:proofErr w:type="gramStart"/>
      <w:r w:rsidRPr="009D0172">
        <w:t>in excess of</w:t>
      </w:r>
      <w:proofErr w:type="gramEnd"/>
      <w:r w:rsidRPr="009D0172">
        <w:t xml:space="preserve"> the total number of farms in Australia.</w:t>
      </w:r>
    </w:p>
    <w:p w14:paraId="4F03C0DD" w14:textId="77777777" w:rsidR="00BB632E" w:rsidRPr="009D0172" w:rsidRDefault="00BB632E" w:rsidP="00BB632E">
      <w:r w:rsidRPr="009D0172">
        <w:t xml:space="preserve">As a result, interpreting year on year changes in the </w:t>
      </w:r>
      <w:r>
        <w:t>number of borrowers reported in the APRA data</w:t>
      </w:r>
      <w:r w:rsidRPr="009D0172">
        <w:t xml:space="preserve"> is challenging. Aggregate borrower numbers in the database would fall, for example, if the hypothetical borrower described above rationalised or consolidated its </w:t>
      </w:r>
      <w:r>
        <w:t>3</w:t>
      </w:r>
      <w:r w:rsidRPr="009D0172">
        <w:t xml:space="preserve"> loans into one. Care should therefore be taken when interpreting changes in the borrower numbers over time.</w:t>
      </w:r>
    </w:p>
    <w:p w14:paraId="5E0ACBFB" w14:textId="77777777" w:rsidR="00BB632E" w:rsidRPr="009D0172" w:rsidRDefault="00BB632E" w:rsidP="00BB632E">
      <w:pPr>
        <w:pStyle w:val="Heading3"/>
        <w:numPr>
          <w:ilvl w:val="0"/>
          <w:numId w:val="0"/>
        </w:numPr>
        <w:ind w:left="964" w:hanging="964"/>
      </w:pPr>
      <w:bookmarkStart w:id="115" w:name="_Toc55480443"/>
      <w:bookmarkStart w:id="116" w:name="_Toc84434504"/>
      <w:r w:rsidRPr="009D0172">
        <w:t>Assigning loans and leases to different industries</w:t>
      </w:r>
      <w:bookmarkEnd w:id="115"/>
      <w:bookmarkEnd w:id="116"/>
    </w:p>
    <w:p w14:paraId="5F403306" w14:textId="77777777" w:rsidR="00BB632E" w:rsidRPr="009D0172" w:rsidRDefault="00BB632E" w:rsidP="00BB632E">
      <w:r w:rsidRPr="009D0172">
        <w:t xml:space="preserve">Farm business entities (borrowers) are assigned to one of the 14 industry groups based on their predominant agricultural activity (ANZSIC code). Where a farm business entity has a loan or </w:t>
      </w:r>
      <w:r w:rsidRPr="009D0172">
        <w:lastRenderedPageBreak/>
        <w:t xml:space="preserve">lease directed to agricultural activities across multiple industries, the loan or lease is attributed to the industry in which </w:t>
      </w:r>
      <w:proofErr w:type="gramStart"/>
      <w:r w:rsidRPr="009D0172">
        <w:t>the majority of</w:t>
      </w:r>
      <w:proofErr w:type="gramEnd"/>
      <w:r w:rsidRPr="009D0172">
        <w:t xml:space="preserve"> the activity is undertaken.</w:t>
      </w:r>
    </w:p>
    <w:p w14:paraId="3CF25B06" w14:textId="77777777" w:rsidR="00BB632E" w:rsidRPr="009D0172" w:rsidRDefault="00BB632E" w:rsidP="00BB632E">
      <w:pPr>
        <w:pStyle w:val="Heading3"/>
        <w:numPr>
          <w:ilvl w:val="0"/>
          <w:numId w:val="0"/>
        </w:numPr>
        <w:ind w:left="964" w:hanging="964"/>
      </w:pPr>
      <w:bookmarkStart w:id="117" w:name="_Toc55480444"/>
      <w:bookmarkStart w:id="118" w:name="_Toc84434505"/>
      <w:r w:rsidRPr="009D0172">
        <w:t>Farm business entity locations</w:t>
      </w:r>
      <w:bookmarkEnd w:id="117"/>
      <w:bookmarkEnd w:id="118"/>
    </w:p>
    <w:p w14:paraId="389AD9F6" w14:textId="77777777" w:rsidR="00BB632E" w:rsidRDefault="00BB632E" w:rsidP="00BB632E">
      <w:r w:rsidRPr="009D0172">
        <w:t xml:space="preserve">Farm business entities are assigned to the state or territory in which they undertake their agricultural activity and derive their revenue. Where a farm business entity has a loan or lease directed to agricultural activities across multiple states and territories, the loan or lease is attributed to the state or territory where </w:t>
      </w:r>
      <w:proofErr w:type="gramStart"/>
      <w:r w:rsidRPr="009D0172">
        <w:t>the majority of</w:t>
      </w:r>
      <w:proofErr w:type="gramEnd"/>
      <w:r w:rsidRPr="009D0172">
        <w:t xml:space="preserve"> the revenue is derived.</w:t>
      </w:r>
    </w:p>
    <w:p w14:paraId="086B5662" w14:textId="3693E649" w:rsidR="00B3168F" w:rsidRDefault="00B3168F" w:rsidP="00B3168F">
      <w:pPr>
        <w:pStyle w:val="Heading2"/>
        <w:numPr>
          <w:ilvl w:val="0"/>
          <w:numId w:val="0"/>
        </w:numPr>
      </w:pPr>
      <w:bookmarkStart w:id="119" w:name="_Appendix_B:_Other"/>
      <w:bookmarkStart w:id="120" w:name="_Toc84434506"/>
      <w:bookmarkEnd w:id="119"/>
      <w:r>
        <w:lastRenderedPageBreak/>
        <w:t xml:space="preserve">Appendix </w:t>
      </w:r>
      <w:bookmarkEnd w:id="9"/>
      <w:bookmarkEnd w:id="10"/>
      <w:r w:rsidR="00BB632E">
        <w:t>B</w:t>
      </w:r>
      <w:r>
        <w:t>: Other sources of agricultural lending data</w:t>
      </w:r>
      <w:bookmarkStart w:id="121" w:name="_Toc430782162"/>
      <w:bookmarkEnd w:id="11"/>
      <w:bookmarkEnd w:id="120"/>
    </w:p>
    <w:p w14:paraId="18DDAF2B" w14:textId="50BCE1EE" w:rsidR="00B3168F" w:rsidRDefault="00B3168F" w:rsidP="00B3168F">
      <w:pPr>
        <w:spacing w:after="160" w:line="256" w:lineRule="auto"/>
        <w:jc w:val="both"/>
      </w:pPr>
      <w:r>
        <w:t>The R</w:t>
      </w:r>
      <w:r w:rsidR="002619F7">
        <w:t>BA</w:t>
      </w:r>
      <w:r>
        <w:t xml:space="preserve"> currently publish </w:t>
      </w:r>
      <w:r w:rsidR="00481279">
        <w:t>2</w:t>
      </w:r>
      <w:r>
        <w:t xml:space="preserve"> major series on aggregate lending to the rural sector:</w:t>
      </w:r>
    </w:p>
    <w:p w14:paraId="0B95B5A1" w14:textId="0985CE18" w:rsidR="00B3168F" w:rsidRDefault="00B3168F" w:rsidP="00B3168F">
      <w:pPr>
        <w:pStyle w:val="ListNumber"/>
        <w:numPr>
          <w:ilvl w:val="0"/>
          <w:numId w:val="34"/>
        </w:numPr>
      </w:pPr>
      <w:r>
        <w:t>‘Rural debt by lender’, which is an active annual series available from 1994–95 to 2019</w:t>
      </w:r>
      <w:r w:rsidR="00E17961">
        <w:noBreakHyphen/>
      </w:r>
      <w:r>
        <w:t>20 (RBA table D9)</w:t>
      </w:r>
    </w:p>
    <w:p w14:paraId="09658D06" w14:textId="77777777" w:rsidR="00B3168F" w:rsidRDefault="00B3168F" w:rsidP="00B3168F">
      <w:pPr>
        <w:pStyle w:val="ListNumber"/>
        <w:numPr>
          <w:ilvl w:val="0"/>
          <w:numId w:val="34"/>
        </w:numPr>
      </w:pPr>
      <w:r>
        <w:rPr>
          <w:lang w:val="en-US"/>
        </w:rPr>
        <w:t>‘Lending to business’, an active monthly series running from July 2019 to June 2021. This table includes lending to businesses in the ‘Agricultural, forestry and fishing’ sector, by size of business (RBA table D14.1).</w:t>
      </w:r>
    </w:p>
    <w:p w14:paraId="17DFE71D" w14:textId="77777777" w:rsidR="00B3168F" w:rsidRDefault="00B3168F" w:rsidP="00B3168F">
      <w:pPr>
        <w:spacing w:after="160" w:line="256" w:lineRule="auto"/>
        <w:rPr>
          <w:lang w:val="en-US"/>
        </w:rPr>
      </w:pPr>
      <w:r>
        <w:rPr>
          <w:lang w:val="en-US"/>
        </w:rPr>
        <w:t>The RBA previously published a quarterly series on lending to ‘Agricultural, forestry and fishing’ businesses, covering the period from the December quarter 1993 to the September quarter 2019 (RBA table D7.3).</w:t>
      </w:r>
    </w:p>
    <w:p w14:paraId="03B20567" w14:textId="77777777" w:rsidR="00B3168F" w:rsidRDefault="00B3168F" w:rsidP="00B3168F">
      <w:pPr>
        <w:pStyle w:val="Heading3"/>
        <w:numPr>
          <w:ilvl w:val="0"/>
          <w:numId w:val="0"/>
        </w:numPr>
        <w:ind w:left="964" w:hanging="964"/>
        <w:rPr>
          <w:lang w:val="en-US"/>
        </w:rPr>
      </w:pPr>
      <w:bookmarkStart w:id="122" w:name="_Toc81924828"/>
      <w:bookmarkStart w:id="123" w:name="_Toc84434507"/>
      <w:r>
        <w:rPr>
          <w:lang w:val="en-US"/>
        </w:rPr>
        <w:t>Timeliness and coverage</w:t>
      </w:r>
      <w:bookmarkEnd w:id="122"/>
      <w:bookmarkEnd w:id="123"/>
    </w:p>
    <w:p w14:paraId="5F85E6EE" w14:textId="77777777" w:rsidR="00B3168F" w:rsidRDefault="00B3168F" w:rsidP="00B3168F">
      <w:pPr>
        <w:spacing w:after="160" w:line="256" w:lineRule="auto"/>
        <w:rPr>
          <w:lang w:val="en-US"/>
        </w:rPr>
      </w:pPr>
      <w:r>
        <w:rPr>
          <w:lang w:val="en-US"/>
        </w:rPr>
        <w:t xml:space="preserve">The aggregate lending data in RBA table D14.1 are considerably more up to date than the APRA data. The RBA table show lending </w:t>
      </w:r>
      <w:proofErr w:type="gramStart"/>
      <w:r>
        <w:rPr>
          <w:lang w:val="en-US"/>
        </w:rPr>
        <w:t>at</w:t>
      </w:r>
      <w:proofErr w:type="gramEnd"/>
      <w:r>
        <w:rPr>
          <w:lang w:val="en-US"/>
        </w:rPr>
        <w:t xml:space="preserve"> 30 June 2021, versus lending at 30 June 2020 in the latest APRA tables. However, the RBA data are not available at the state and/or industry levels, and the RBA data are limited to ‘loans outstanding’. In short, the data collected by APRA is more disaggregated than the RBA </w:t>
      </w:r>
      <w:proofErr w:type="gramStart"/>
      <w:r>
        <w:rPr>
          <w:lang w:val="en-US"/>
        </w:rPr>
        <w:t>data, and</w:t>
      </w:r>
      <w:proofErr w:type="gramEnd"/>
      <w:r>
        <w:rPr>
          <w:lang w:val="en-US"/>
        </w:rPr>
        <w:t xml:space="preserve"> includes more than just aggregate lending.</w:t>
      </w:r>
    </w:p>
    <w:p w14:paraId="2EF9203D" w14:textId="77777777" w:rsidR="00B3168F" w:rsidRDefault="00B3168F" w:rsidP="00B3168F">
      <w:pPr>
        <w:pStyle w:val="Heading3"/>
        <w:numPr>
          <w:ilvl w:val="0"/>
          <w:numId w:val="0"/>
        </w:numPr>
        <w:ind w:left="964" w:hanging="964"/>
        <w:rPr>
          <w:lang w:val="en-US"/>
        </w:rPr>
      </w:pPr>
      <w:bookmarkStart w:id="124" w:name="_Toc81924829"/>
      <w:bookmarkStart w:id="125" w:name="_Toc84434508"/>
      <w:r>
        <w:rPr>
          <w:lang w:val="en-US"/>
        </w:rPr>
        <w:t>Comparability</w:t>
      </w:r>
      <w:bookmarkEnd w:id="124"/>
      <w:bookmarkEnd w:id="125"/>
    </w:p>
    <w:p w14:paraId="26568D97" w14:textId="0AD09925" w:rsidR="00B3168F" w:rsidRDefault="00B3168F" w:rsidP="00B3168F">
      <w:pPr>
        <w:spacing w:after="160" w:line="256" w:lineRule="auto"/>
        <w:rPr>
          <w:lang w:val="en-US"/>
        </w:rPr>
      </w:pPr>
      <w:r>
        <w:rPr>
          <w:lang w:val="en-US"/>
        </w:rPr>
        <w:t xml:space="preserve">The RBA and APRA statistics relating to aggregate lending are not directly comparable. One important difference is that the APRA data only include lending to businesses in the </w:t>
      </w:r>
      <w:r w:rsidR="00226F34">
        <w:rPr>
          <w:lang w:val="en-US"/>
        </w:rPr>
        <w:t>agricultural sector</w:t>
      </w:r>
      <w:r>
        <w:rPr>
          <w:lang w:val="en-US"/>
        </w:rPr>
        <w:t xml:space="preserve">, whereas the RBA data also include lending to businesses in the forestry and fisheries sectors. Based on Australian Bureau of Statistics data (ABS 2021), output from the ‘agriculture’ sector accounted for around 85% of the total ‘agriculture, forestry and fishing’ output over the last </w:t>
      </w:r>
      <w:r w:rsidR="00481279">
        <w:rPr>
          <w:lang w:val="en-US"/>
        </w:rPr>
        <w:t>5</w:t>
      </w:r>
      <w:r>
        <w:rPr>
          <w:lang w:val="en-US"/>
        </w:rPr>
        <w:t xml:space="preserve"> years.</w:t>
      </w:r>
    </w:p>
    <w:p w14:paraId="40EEE7B8" w14:textId="5566867F" w:rsidR="00895047" w:rsidRDefault="00895047" w:rsidP="00895047">
      <w:pPr>
        <w:spacing w:after="160" w:line="259" w:lineRule="auto"/>
        <w:rPr>
          <w:lang w:val="en-US"/>
        </w:rPr>
      </w:pPr>
      <w:r>
        <w:rPr>
          <w:lang w:val="en-US"/>
        </w:rPr>
        <w:t xml:space="preserve">Another difference between the </w:t>
      </w:r>
      <w:r w:rsidR="00481279">
        <w:rPr>
          <w:lang w:val="en-US"/>
        </w:rPr>
        <w:t>2</w:t>
      </w:r>
      <w:r>
        <w:rPr>
          <w:lang w:val="en-US"/>
        </w:rPr>
        <w:t xml:space="preserve"> data sources is that t</w:t>
      </w:r>
      <w:r w:rsidRPr="0079794C">
        <w:rPr>
          <w:lang w:val="en-US"/>
        </w:rPr>
        <w:t>he aggregate lending threshold for institutions reporting in the R</w:t>
      </w:r>
      <w:r w:rsidR="002619F7">
        <w:rPr>
          <w:lang w:val="en-US"/>
        </w:rPr>
        <w:t>BA</w:t>
      </w:r>
      <w:r w:rsidRPr="0079794C">
        <w:rPr>
          <w:lang w:val="en-US"/>
        </w:rPr>
        <w:t xml:space="preserve"> data is higher than </w:t>
      </w:r>
      <w:r>
        <w:rPr>
          <w:lang w:val="en-US"/>
        </w:rPr>
        <w:t>it is for the APRA collection</w:t>
      </w:r>
      <w:r w:rsidRPr="0079794C">
        <w:rPr>
          <w:lang w:val="en-US"/>
        </w:rPr>
        <w:t>.</w:t>
      </w:r>
      <w:r>
        <w:rPr>
          <w:lang w:val="en-US"/>
        </w:rPr>
        <w:t xml:space="preserve"> This would tend to make RBA estimates of aggregate agricultural lending </w:t>
      </w:r>
      <w:r w:rsidR="009121B7">
        <w:rPr>
          <w:lang w:val="en-US"/>
        </w:rPr>
        <w:t xml:space="preserve">smaller </w:t>
      </w:r>
      <w:r>
        <w:rPr>
          <w:lang w:val="en-US"/>
        </w:rPr>
        <w:t>than APRA estimates.</w:t>
      </w:r>
    </w:p>
    <w:p w14:paraId="6E4004D1" w14:textId="21ADE3C9" w:rsidR="00B3168F" w:rsidRDefault="00B3168F" w:rsidP="00B3168F">
      <w:pPr>
        <w:spacing w:after="160" w:line="256" w:lineRule="auto"/>
        <w:rPr>
          <w:lang w:val="en-US"/>
        </w:rPr>
      </w:pPr>
      <w:r>
        <w:rPr>
          <w:lang w:val="en-US"/>
        </w:rPr>
        <w:t xml:space="preserve">Notwithstanding these differences, comparing the </w:t>
      </w:r>
      <w:r w:rsidR="00481279">
        <w:rPr>
          <w:lang w:val="en-US"/>
        </w:rPr>
        <w:t>2</w:t>
      </w:r>
      <w:r>
        <w:rPr>
          <w:lang w:val="en-US"/>
        </w:rPr>
        <w:t xml:space="preserve"> sources</w:t>
      </w:r>
      <w:r w:rsidR="005F4061">
        <w:rPr>
          <w:lang w:val="en-US"/>
        </w:rPr>
        <w:t xml:space="preserve"> in</w:t>
      </w:r>
      <w:r>
        <w:rPr>
          <w:lang w:val="en-US"/>
        </w:rPr>
        <w:t xml:space="preserve"> </w:t>
      </w:r>
      <w:r w:rsidR="005F4061">
        <w:rPr>
          <w:lang w:val="en-US"/>
        </w:rPr>
        <w:fldChar w:fldCharType="begin"/>
      </w:r>
      <w:r w:rsidR="005F4061">
        <w:rPr>
          <w:lang w:val="en-US"/>
        </w:rPr>
        <w:instrText xml:space="preserve"> REF _Ref84600294 \h </w:instrText>
      </w:r>
      <w:r w:rsidR="005F4061">
        <w:rPr>
          <w:lang w:val="en-US"/>
        </w:rPr>
      </w:r>
      <w:r w:rsidR="005F4061">
        <w:rPr>
          <w:lang w:val="en-US"/>
        </w:rPr>
        <w:fldChar w:fldCharType="separate"/>
      </w:r>
      <w:r w:rsidR="008A23A3">
        <w:t>Figure B</w:t>
      </w:r>
      <w:r w:rsidR="008A23A3">
        <w:rPr>
          <w:noProof/>
        </w:rPr>
        <w:t>1</w:t>
      </w:r>
      <w:r w:rsidR="005F4061">
        <w:rPr>
          <w:lang w:val="en-US"/>
        </w:rPr>
        <w:fldChar w:fldCharType="end"/>
      </w:r>
      <w:r w:rsidR="00E86D97">
        <w:rPr>
          <w:lang w:val="en-US"/>
        </w:rPr>
        <w:t xml:space="preserve"> </w:t>
      </w:r>
      <w:r>
        <w:rPr>
          <w:lang w:val="en-US"/>
        </w:rPr>
        <w:t>and</w:t>
      </w:r>
      <w:r w:rsidR="005F4061">
        <w:rPr>
          <w:lang w:val="en-US"/>
        </w:rPr>
        <w:t xml:space="preserve"> </w:t>
      </w:r>
      <w:r w:rsidR="005F4061">
        <w:rPr>
          <w:lang w:val="en-US"/>
        </w:rPr>
        <w:fldChar w:fldCharType="begin"/>
      </w:r>
      <w:r w:rsidR="005F4061">
        <w:rPr>
          <w:lang w:val="en-US"/>
        </w:rPr>
        <w:instrText xml:space="preserve"> REF _Ref84600393 \h </w:instrText>
      </w:r>
      <w:r w:rsidR="005F4061">
        <w:rPr>
          <w:lang w:val="en-US"/>
        </w:rPr>
      </w:r>
      <w:r w:rsidR="005F4061">
        <w:rPr>
          <w:lang w:val="en-US"/>
        </w:rPr>
        <w:fldChar w:fldCharType="separate"/>
      </w:r>
      <w:r w:rsidR="008A23A3">
        <w:t>Figure B</w:t>
      </w:r>
      <w:r w:rsidR="008A23A3">
        <w:rPr>
          <w:noProof/>
        </w:rPr>
        <w:t>2</w:t>
      </w:r>
      <w:r w:rsidR="005F4061">
        <w:rPr>
          <w:lang w:val="en-US"/>
        </w:rPr>
        <w:fldChar w:fldCharType="end"/>
      </w:r>
      <w:r>
        <w:rPr>
          <w:lang w:val="en-US"/>
        </w:rPr>
        <w:t xml:space="preserve"> shows that:</w:t>
      </w:r>
    </w:p>
    <w:p w14:paraId="2905B532" w14:textId="77777777" w:rsidR="00B3168F" w:rsidRDefault="00B3168F" w:rsidP="00B3168F">
      <w:pPr>
        <w:pStyle w:val="ListBullet"/>
        <w:numPr>
          <w:ilvl w:val="0"/>
          <w:numId w:val="31"/>
        </w:numPr>
        <w:rPr>
          <w:lang w:val="en-US"/>
        </w:rPr>
      </w:pPr>
      <w:r>
        <w:rPr>
          <w:lang w:val="en-US"/>
        </w:rPr>
        <w:t xml:space="preserve">RBA estimates of aggregate lending in table D14.1 are </w:t>
      </w:r>
      <w:proofErr w:type="gramStart"/>
      <w:r>
        <w:rPr>
          <w:lang w:val="en-US"/>
        </w:rPr>
        <w:t>similar to</w:t>
      </w:r>
      <w:proofErr w:type="gramEnd"/>
      <w:r>
        <w:rPr>
          <w:lang w:val="en-US"/>
        </w:rPr>
        <w:t xml:space="preserve"> those reported in RBA table D9, and to the numbers reported in (the now discontinued) table D7.3</w:t>
      </w:r>
    </w:p>
    <w:p w14:paraId="5281E584" w14:textId="77777777" w:rsidR="000E68AC" w:rsidRDefault="00B3168F" w:rsidP="00B3168F">
      <w:pPr>
        <w:pStyle w:val="ListBullet"/>
        <w:numPr>
          <w:ilvl w:val="0"/>
          <w:numId w:val="31"/>
        </w:numPr>
        <w:rPr>
          <w:lang w:val="en-US"/>
        </w:rPr>
      </w:pPr>
      <w:r>
        <w:rPr>
          <w:lang w:val="en-US"/>
        </w:rPr>
        <w:t>RBA estimates of rural lending are consistently higher than APRA estimates</w:t>
      </w:r>
    </w:p>
    <w:p w14:paraId="6C1BDE5D" w14:textId="5AAF4E0A" w:rsidR="00B3168F" w:rsidRDefault="00B3168F" w:rsidP="00B3168F">
      <w:pPr>
        <w:pStyle w:val="ListBullet"/>
        <w:numPr>
          <w:ilvl w:val="0"/>
          <w:numId w:val="31"/>
        </w:numPr>
        <w:rPr>
          <w:lang w:val="en-US"/>
        </w:rPr>
      </w:pPr>
      <w:r>
        <w:rPr>
          <w:lang w:val="en-US"/>
        </w:rPr>
        <w:t>movements over time in the APRA and RBA series are very consistent – that is, relativities between the different series are largely maintained over time, at least for the period covered i</w:t>
      </w:r>
      <w:r w:rsidR="00A47A34">
        <w:rPr>
          <w:lang w:val="en-US"/>
        </w:rPr>
        <w:t>n</w:t>
      </w:r>
      <w:r w:rsidR="005F4061">
        <w:rPr>
          <w:lang w:val="en-US"/>
        </w:rPr>
        <w:t xml:space="preserve"> </w:t>
      </w:r>
      <w:r w:rsidR="005F4061">
        <w:rPr>
          <w:lang w:val="en-US"/>
        </w:rPr>
        <w:fldChar w:fldCharType="begin"/>
      </w:r>
      <w:r w:rsidR="005F4061">
        <w:rPr>
          <w:lang w:val="en-US"/>
        </w:rPr>
        <w:instrText xml:space="preserve"> REF _Ref84600294 \h </w:instrText>
      </w:r>
      <w:r w:rsidR="005F4061">
        <w:rPr>
          <w:lang w:val="en-US"/>
        </w:rPr>
      </w:r>
      <w:r w:rsidR="005F4061">
        <w:rPr>
          <w:lang w:val="en-US"/>
        </w:rPr>
        <w:fldChar w:fldCharType="separate"/>
      </w:r>
      <w:r w:rsidR="008A23A3">
        <w:t>Figure B</w:t>
      </w:r>
      <w:r w:rsidR="008A23A3">
        <w:rPr>
          <w:noProof/>
        </w:rPr>
        <w:t>1</w:t>
      </w:r>
      <w:r w:rsidR="005F4061">
        <w:rPr>
          <w:lang w:val="en-US"/>
        </w:rPr>
        <w:fldChar w:fldCharType="end"/>
      </w:r>
      <w:r>
        <w:rPr>
          <w:lang w:val="en-US"/>
        </w:rPr>
        <w:t>.</w:t>
      </w:r>
    </w:p>
    <w:p w14:paraId="042E7E50" w14:textId="7663D828" w:rsidR="00B3168F" w:rsidRDefault="005F4061" w:rsidP="005F4061">
      <w:pPr>
        <w:pStyle w:val="Caption"/>
      </w:pPr>
      <w:bookmarkStart w:id="126" w:name="_Ref84600294"/>
      <w:bookmarkStart w:id="127" w:name="_Toc81924841"/>
      <w:bookmarkStart w:id="128" w:name="_Toc84604161"/>
      <w:r>
        <w:lastRenderedPageBreak/>
        <w:t>Figure B</w:t>
      </w:r>
      <w:fldSimple w:instr=" SEQ Figure_B \* ARABIC ">
        <w:r w:rsidR="008A23A3">
          <w:rPr>
            <w:noProof/>
          </w:rPr>
          <w:t>1</w:t>
        </w:r>
      </w:fldSimple>
      <w:bookmarkEnd w:id="126"/>
      <w:r>
        <w:t xml:space="preserve"> </w:t>
      </w:r>
      <w:r w:rsidR="00B3168F">
        <w:t>APRA and RBA data on rural lending, Australia,</w:t>
      </w:r>
      <w:r w:rsidR="00D37BE6">
        <w:t> </w:t>
      </w:r>
      <w:r w:rsidR="00B3168F">
        <w:t>2016–17 to</w:t>
      </w:r>
      <w:r w:rsidR="00DB5C29">
        <w:t xml:space="preserve"> </w:t>
      </w:r>
      <w:r w:rsidR="00B3168F">
        <w:t>2020–21</w:t>
      </w:r>
      <w:bookmarkEnd w:id="127"/>
      <w:bookmarkEnd w:id="128"/>
    </w:p>
    <w:p w14:paraId="06B08587" w14:textId="56968935" w:rsidR="00B3168F" w:rsidRDefault="00B3168F" w:rsidP="00B3168F">
      <w:pPr>
        <w:pStyle w:val="FigureTableNoteSource"/>
      </w:pPr>
      <w:r>
        <w:rPr>
          <w:noProof/>
        </w:rPr>
        <w:drawing>
          <wp:inline distT="0" distB="0" distL="0" distR="0" wp14:anchorId="25BD9878" wp14:editId="39823948">
            <wp:extent cx="5753735" cy="2998470"/>
            <wp:effectExtent l="0" t="0" r="0" b="0"/>
            <wp:docPr id="21" name="Picture 21" descr="Key data presented in the line chat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ey data presented in the line chat are covered in the previous paragrap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735" cy="2998470"/>
                    </a:xfrm>
                    <a:prstGeom prst="rect">
                      <a:avLst/>
                    </a:prstGeom>
                    <a:noFill/>
                    <a:ln>
                      <a:noFill/>
                    </a:ln>
                  </pic:spPr>
                </pic:pic>
              </a:graphicData>
            </a:graphic>
          </wp:inline>
        </w:drawing>
      </w:r>
    </w:p>
    <w:p w14:paraId="3CFF43F1" w14:textId="77777777" w:rsidR="00B3168F" w:rsidRDefault="00B3168F" w:rsidP="00B3168F">
      <w:pPr>
        <w:pStyle w:val="FigureTableNoteSource"/>
      </w:pPr>
      <w:r>
        <w:t>Note: Each column shows the value of loans outstanding at the end of each financial year.</w:t>
      </w:r>
    </w:p>
    <w:p w14:paraId="27DE3B5C" w14:textId="77777777" w:rsidR="00B3168F" w:rsidRDefault="00B3168F" w:rsidP="00B3168F">
      <w:pPr>
        <w:pStyle w:val="FigureTableNoteSource"/>
      </w:pPr>
      <w:r>
        <w:t>Source: APRA; RBA (2021)</w:t>
      </w:r>
    </w:p>
    <w:p w14:paraId="139804DA" w14:textId="2F85B0D5" w:rsidR="00B3168F" w:rsidRDefault="005F4061" w:rsidP="005F4061">
      <w:pPr>
        <w:pStyle w:val="Caption"/>
      </w:pPr>
      <w:bookmarkStart w:id="129" w:name="_Ref84600393"/>
      <w:bookmarkStart w:id="130" w:name="_Toc81924842"/>
      <w:bookmarkStart w:id="131" w:name="_Toc84604162"/>
      <w:r>
        <w:t>Figure B</w:t>
      </w:r>
      <w:fldSimple w:instr=" SEQ Figure_B \* ARABIC ">
        <w:r w:rsidR="008A23A3">
          <w:rPr>
            <w:noProof/>
          </w:rPr>
          <w:t>2</w:t>
        </w:r>
      </w:fldSimple>
      <w:bookmarkEnd w:id="129"/>
      <w:r>
        <w:t xml:space="preserve"> </w:t>
      </w:r>
      <w:r w:rsidR="007E0295">
        <w:t>Y</w:t>
      </w:r>
      <w:r w:rsidR="00B3168F">
        <w:t>ear-on-year change in loans outstanding, APRA and RBA data on rural lending, Australia, 2017–18 to 2020–21</w:t>
      </w:r>
      <w:bookmarkEnd w:id="130"/>
      <w:bookmarkEnd w:id="131"/>
    </w:p>
    <w:p w14:paraId="49FEDD29" w14:textId="681AA765" w:rsidR="00B3168F" w:rsidRDefault="00B3168F" w:rsidP="00B3168F">
      <w:pPr>
        <w:pStyle w:val="FigureTableNoteSource"/>
        <w:rPr>
          <w:lang w:val="en-US"/>
        </w:rPr>
      </w:pPr>
      <w:r>
        <w:rPr>
          <w:noProof/>
        </w:rPr>
        <w:drawing>
          <wp:inline distT="0" distB="0" distL="0" distR="0" wp14:anchorId="758EF574" wp14:editId="5B0E4029">
            <wp:extent cx="5759450" cy="2865120"/>
            <wp:effectExtent l="0" t="0" r="0" b="0"/>
            <wp:docPr id="20" name="Picture 20" descr="Key data presented in the line chart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Key data presented in the line chart are covered in the previous paragrap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865120"/>
                    </a:xfrm>
                    <a:prstGeom prst="rect">
                      <a:avLst/>
                    </a:prstGeom>
                    <a:noFill/>
                    <a:ln>
                      <a:noFill/>
                    </a:ln>
                  </pic:spPr>
                </pic:pic>
              </a:graphicData>
            </a:graphic>
          </wp:inline>
        </w:drawing>
      </w:r>
    </w:p>
    <w:p w14:paraId="5177500D" w14:textId="5B92C612" w:rsidR="00B3168F" w:rsidRDefault="00B3168F" w:rsidP="00B3168F">
      <w:pPr>
        <w:pStyle w:val="FigureTableNoteSource"/>
      </w:pPr>
      <w:r>
        <w:t>Source: APRA; RBA (2021)</w:t>
      </w:r>
    </w:p>
    <w:p w14:paraId="0B7E6155" w14:textId="464F4F32" w:rsidR="00A24E89" w:rsidRDefault="00A24E89" w:rsidP="00A24E89">
      <w:pPr>
        <w:pStyle w:val="Heading2"/>
        <w:numPr>
          <w:ilvl w:val="0"/>
          <w:numId w:val="0"/>
        </w:numPr>
        <w:ind w:left="720" w:hanging="720"/>
      </w:pPr>
      <w:bookmarkStart w:id="132" w:name="Appendix_B"/>
      <w:bookmarkStart w:id="133" w:name="_Appendix_B:_Background"/>
      <w:bookmarkStart w:id="134" w:name="_Glossary"/>
      <w:bookmarkStart w:id="135" w:name="_Toc84434509"/>
      <w:bookmarkEnd w:id="132"/>
      <w:bookmarkEnd w:id="133"/>
      <w:bookmarkEnd w:id="134"/>
      <w:r>
        <w:lastRenderedPageBreak/>
        <w:t>Glossary</w:t>
      </w:r>
      <w:bookmarkEnd w:id="135"/>
    </w:p>
    <w:tbl>
      <w:tblPr>
        <w:tblW w:w="4878" w:type="pct"/>
        <w:tblBorders>
          <w:top w:val="single" w:sz="4" w:space="0" w:color="auto"/>
          <w:bottom w:val="single" w:sz="4" w:space="0" w:color="auto"/>
        </w:tblBorders>
        <w:tblLook w:val="04A0" w:firstRow="1" w:lastRow="0" w:firstColumn="1" w:lastColumn="0" w:noHBand="0" w:noVBand="1"/>
      </w:tblPr>
      <w:tblGrid>
        <w:gridCol w:w="1796"/>
        <w:gridCol w:w="7053"/>
      </w:tblGrid>
      <w:tr w:rsidR="00324E96" w:rsidRPr="00A24E89" w14:paraId="18ED1A7C" w14:textId="77777777" w:rsidTr="00324E96">
        <w:trPr>
          <w:trHeight w:val="20"/>
        </w:trPr>
        <w:tc>
          <w:tcPr>
            <w:tcW w:w="1015" w:type="pct"/>
            <w:shd w:val="clear" w:color="auto" w:fill="auto"/>
            <w:vAlign w:val="center"/>
          </w:tcPr>
          <w:p w14:paraId="401BEA0A" w14:textId="509BF721" w:rsidR="00324E96" w:rsidRPr="009D0172" w:rsidRDefault="00324E96" w:rsidP="00A24E89">
            <w:pPr>
              <w:pStyle w:val="TableText"/>
              <w:rPr>
                <w:b/>
                <w:bCs/>
                <w:lang w:eastAsia="en-AU"/>
              </w:rPr>
            </w:pPr>
            <w:r w:rsidRPr="009D0172">
              <w:rPr>
                <w:b/>
                <w:bCs/>
                <w:lang w:eastAsia="en-AU"/>
              </w:rPr>
              <w:t>Term</w:t>
            </w:r>
          </w:p>
        </w:tc>
        <w:tc>
          <w:tcPr>
            <w:tcW w:w="3985" w:type="pct"/>
            <w:shd w:val="clear" w:color="auto" w:fill="auto"/>
            <w:vAlign w:val="center"/>
          </w:tcPr>
          <w:p w14:paraId="09EE6032" w14:textId="308F456C" w:rsidR="00324E96" w:rsidRPr="009D0172" w:rsidRDefault="00324E96" w:rsidP="009D0172">
            <w:pPr>
              <w:pStyle w:val="TableText"/>
              <w:rPr>
                <w:b/>
                <w:bCs/>
                <w:lang w:eastAsia="en-AU"/>
              </w:rPr>
            </w:pPr>
            <w:r w:rsidRPr="009D0172">
              <w:rPr>
                <w:b/>
                <w:bCs/>
                <w:lang w:eastAsia="en-AU"/>
              </w:rPr>
              <w:t>Definition</w:t>
            </w:r>
          </w:p>
        </w:tc>
      </w:tr>
      <w:tr w:rsidR="00324E96" w:rsidRPr="00A24E89" w14:paraId="375AC20B" w14:textId="77777777" w:rsidTr="00324E96">
        <w:trPr>
          <w:trHeight w:val="2880"/>
        </w:trPr>
        <w:tc>
          <w:tcPr>
            <w:tcW w:w="1015" w:type="pct"/>
            <w:shd w:val="clear" w:color="auto" w:fill="auto"/>
            <w:vAlign w:val="center"/>
            <w:hideMark/>
          </w:tcPr>
          <w:p w14:paraId="18B44BF2" w14:textId="2FD7FCA9" w:rsidR="00324E96" w:rsidRPr="00A24E89" w:rsidRDefault="00324E96" w:rsidP="009D0172">
            <w:pPr>
              <w:pStyle w:val="TableText"/>
              <w:rPr>
                <w:lang w:eastAsia="en-AU"/>
              </w:rPr>
            </w:pPr>
            <w:r w:rsidRPr="00A24E89">
              <w:rPr>
                <w:lang w:eastAsia="en-AU"/>
              </w:rPr>
              <w:t>90 days past due</w:t>
            </w:r>
            <w:r w:rsidR="002C1F3B">
              <w:rPr>
                <w:lang w:eastAsia="en-AU"/>
              </w:rPr>
              <w:t xml:space="preserve"> </w:t>
            </w:r>
            <w:r w:rsidRPr="00A24E89">
              <w:rPr>
                <w:lang w:eastAsia="en-AU"/>
              </w:rPr>
              <w:t>(in arrears)</w:t>
            </w:r>
          </w:p>
        </w:tc>
        <w:tc>
          <w:tcPr>
            <w:tcW w:w="3985" w:type="pct"/>
            <w:shd w:val="clear" w:color="auto" w:fill="auto"/>
            <w:vAlign w:val="center"/>
            <w:hideMark/>
          </w:tcPr>
          <w:p w14:paraId="1AB9867D" w14:textId="68798117" w:rsidR="00F75F79" w:rsidRDefault="00324E96" w:rsidP="009D0172">
            <w:pPr>
              <w:pStyle w:val="TableText"/>
              <w:rPr>
                <w:lang w:eastAsia="en-AU"/>
              </w:rPr>
            </w:pPr>
            <w:r w:rsidRPr="00A24E89">
              <w:rPr>
                <w:lang w:eastAsia="en-AU"/>
              </w:rPr>
              <w:t>A loan or lease arrangement that is not subject to a regular repayment schedule is considered 90 days past due when it has remained continuously outside contractual or approved arrangements for 90 days.</w:t>
            </w:r>
          </w:p>
          <w:p w14:paraId="7805B866" w14:textId="185A3A81" w:rsidR="00F75F79" w:rsidRDefault="00324E96" w:rsidP="009D0172">
            <w:pPr>
              <w:pStyle w:val="TableText"/>
              <w:rPr>
                <w:lang w:eastAsia="en-AU"/>
              </w:rPr>
            </w:pPr>
            <w:r w:rsidRPr="00A24E89">
              <w:rPr>
                <w:lang w:eastAsia="en-AU"/>
              </w:rPr>
              <w:t>A loan or lease arrangement that is subject to a regular repayment schedule is considered 90 days past due when:</w:t>
            </w:r>
          </w:p>
          <w:p w14:paraId="3E2B65CA" w14:textId="588336F6" w:rsidR="00F75F79" w:rsidRDefault="00324E96" w:rsidP="009D0172">
            <w:pPr>
              <w:pStyle w:val="TableText"/>
              <w:rPr>
                <w:lang w:eastAsia="en-AU"/>
              </w:rPr>
            </w:pPr>
            <w:r w:rsidRPr="00A24E89">
              <w:rPr>
                <w:lang w:eastAsia="en-AU"/>
              </w:rPr>
              <w:t>a) at least 90 calendar days have elapsed since the due date of a contractual payment that has not been met in full</w:t>
            </w:r>
          </w:p>
          <w:p w14:paraId="57615D6A" w14:textId="3CE05BE0" w:rsidR="00F75F79" w:rsidRDefault="00324E96" w:rsidP="009D0172">
            <w:pPr>
              <w:pStyle w:val="TableText"/>
              <w:rPr>
                <w:lang w:eastAsia="en-AU"/>
              </w:rPr>
            </w:pPr>
            <w:r w:rsidRPr="00A24E89">
              <w:rPr>
                <w:lang w:eastAsia="en-AU"/>
              </w:rPr>
              <w:t>b) the total amount outside contractual arrangements is equivalent to at least 90 days’ worth of contractual payments.</w:t>
            </w:r>
          </w:p>
          <w:p w14:paraId="57D23C28" w14:textId="172A934B" w:rsidR="00324E96" w:rsidRPr="00A24E89" w:rsidRDefault="00324E96" w:rsidP="009D0172">
            <w:pPr>
              <w:pStyle w:val="TableText"/>
              <w:rPr>
                <w:lang w:eastAsia="en-AU"/>
              </w:rPr>
            </w:pPr>
            <w:r w:rsidRPr="00A24E89">
              <w:rPr>
                <w:lang w:eastAsia="en-AU"/>
              </w:rPr>
              <w:t>Reporting entities provide APRA with the total values of loans greater than 90 days past due and the number of business entities with loans greater than 90 days past due. Reporting entities supply data as at the end of the reporting period.</w:t>
            </w:r>
          </w:p>
        </w:tc>
      </w:tr>
      <w:tr w:rsidR="00324E96" w:rsidRPr="00A24E89" w14:paraId="43B5B9C0" w14:textId="77777777" w:rsidTr="00324E96">
        <w:trPr>
          <w:trHeight w:val="300"/>
        </w:trPr>
        <w:tc>
          <w:tcPr>
            <w:tcW w:w="1015" w:type="pct"/>
            <w:shd w:val="clear" w:color="auto" w:fill="auto"/>
            <w:vAlign w:val="center"/>
            <w:hideMark/>
          </w:tcPr>
          <w:p w14:paraId="2FD2EEF9" w14:textId="77777777" w:rsidR="00324E96" w:rsidRPr="00A24E89" w:rsidRDefault="00324E96" w:rsidP="009D0172">
            <w:pPr>
              <w:pStyle w:val="TableText"/>
              <w:rPr>
                <w:lang w:eastAsia="en-AU"/>
              </w:rPr>
            </w:pPr>
            <w:r w:rsidRPr="00A24E89">
              <w:rPr>
                <w:lang w:eastAsia="en-AU"/>
              </w:rPr>
              <w:t>ABARES</w:t>
            </w:r>
          </w:p>
        </w:tc>
        <w:tc>
          <w:tcPr>
            <w:tcW w:w="3985" w:type="pct"/>
            <w:shd w:val="clear" w:color="auto" w:fill="auto"/>
            <w:vAlign w:val="center"/>
            <w:hideMark/>
          </w:tcPr>
          <w:p w14:paraId="4A268B2A" w14:textId="77777777" w:rsidR="00324E96" w:rsidRPr="00A24E89" w:rsidRDefault="00324E96" w:rsidP="009D0172">
            <w:pPr>
              <w:pStyle w:val="TableText"/>
              <w:rPr>
                <w:lang w:eastAsia="en-AU"/>
              </w:rPr>
            </w:pPr>
            <w:r w:rsidRPr="00A24E89">
              <w:rPr>
                <w:lang w:eastAsia="en-AU"/>
              </w:rPr>
              <w:t>Australian Bureau of Agricultural and Resource Economics and Sciences</w:t>
            </w:r>
          </w:p>
        </w:tc>
      </w:tr>
      <w:tr w:rsidR="00324E96" w:rsidRPr="00A24E89" w14:paraId="36AE82B0" w14:textId="77777777" w:rsidTr="00324E96">
        <w:trPr>
          <w:trHeight w:val="300"/>
        </w:trPr>
        <w:tc>
          <w:tcPr>
            <w:tcW w:w="1015" w:type="pct"/>
            <w:shd w:val="clear" w:color="auto" w:fill="auto"/>
            <w:vAlign w:val="center"/>
            <w:hideMark/>
          </w:tcPr>
          <w:p w14:paraId="2DA3DF61" w14:textId="77777777" w:rsidR="00324E96" w:rsidRPr="00A24E89" w:rsidRDefault="00324E96" w:rsidP="009D0172">
            <w:pPr>
              <w:pStyle w:val="TableText"/>
              <w:rPr>
                <w:lang w:eastAsia="en-AU"/>
              </w:rPr>
            </w:pPr>
            <w:r w:rsidRPr="00A24E89">
              <w:rPr>
                <w:lang w:eastAsia="en-AU"/>
              </w:rPr>
              <w:t>ADI</w:t>
            </w:r>
          </w:p>
        </w:tc>
        <w:tc>
          <w:tcPr>
            <w:tcW w:w="3985" w:type="pct"/>
            <w:shd w:val="clear" w:color="auto" w:fill="auto"/>
            <w:vAlign w:val="center"/>
            <w:hideMark/>
          </w:tcPr>
          <w:p w14:paraId="02BD63E9" w14:textId="77777777" w:rsidR="00324E96" w:rsidRPr="00A24E89" w:rsidRDefault="00324E96" w:rsidP="009D0172">
            <w:pPr>
              <w:pStyle w:val="TableText"/>
              <w:rPr>
                <w:lang w:eastAsia="en-AU"/>
              </w:rPr>
            </w:pPr>
            <w:r w:rsidRPr="00A24E89">
              <w:rPr>
                <w:lang w:eastAsia="en-AU"/>
              </w:rPr>
              <w:t xml:space="preserve">Authorised deposit-taking institution (as defined in the </w:t>
            </w:r>
            <w:r w:rsidRPr="00A24E89">
              <w:rPr>
                <w:i/>
                <w:iCs/>
                <w:lang w:eastAsia="en-AU"/>
              </w:rPr>
              <w:t>Banking Act 1959</w:t>
            </w:r>
            <w:r w:rsidRPr="00A24E89">
              <w:rPr>
                <w:lang w:eastAsia="en-AU"/>
              </w:rPr>
              <w:t>)</w:t>
            </w:r>
          </w:p>
        </w:tc>
      </w:tr>
      <w:tr w:rsidR="00324E96" w:rsidRPr="00A24E89" w14:paraId="00C0C3A0" w14:textId="77777777" w:rsidTr="00324E96">
        <w:trPr>
          <w:trHeight w:val="480"/>
        </w:trPr>
        <w:tc>
          <w:tcPr>
            <w:tcW w:w="1015" w:type="pct"/>
            <w:shd w:val="clear" w:color="auto" w:fill="auto"/>
            <w:vAlign w:val="center"/>
            <w:hideMark/>
          </w:tcPr>
          <w:p w14:paraId="5FD877C0" w14:textId="77777777" w:rsidR="00324E96" w:rsidRPr="00A24E89" w:rsidRDefault="00324E96" w:rsidP="009D0172">
            <w:pPr>
              <w:pStyle w:val="TableText"/>
              <w:rPr>
                <w:lang w:eastAsia="en-AU"/>
              </w:rPr>
            </w:pPr>
            <w:r w:rsidRPr="00A24E89">
              <w:rPr>
                <w:lang w:eastAsia="en-AU"/>
              </w:rPr>
              <w:t>APRA</w:t>
            </w:r>
          </w:p>
        </w:tc>
        <w:tc>
          <w:tcPr>
            <w:tcW w:w="3985" w:type="pct"/>
            <w:shd w:val="clear" w:color="auto" w:fill="auto"/>
            <w:vAlign w:val="center"/>
            <w:hideMark/>
          </w:tcPr>
          <w:p w14:paraId="0E76DB1E" w14:textId="77777777" w:rsidR="00324E96" w:rsidRPr="00A24E89" w:rsidRDefault="00324E96" w:rsidP="009D0172">
            <w:pPr>
              <w:pStyle w:val="TableText"/>
              <w:rPr>
                <w:lang w:eastAsia="en-AU"/>
              </w:rPr>
            </w:pPr>
            <w:r w:rsidRPr="00A24E89">
              <w:rPr>
                <w:lang w:eastAsia="en-AU"/>
              </w:rPr>
              <w:t xml:space="preserve">Australian Prudential Regulation Authority, established under the </w:t>
            </w:r>
            <w:r w:rsidRPr="00A24E89">
              <w:rPr>
                <w:i/>
                <w:iCs/>
                <w:lang w:eastAsia="en-AU"/>
              </w:rPr>
              <w:t>Australian Prudential Regulation Authority Act 1998.</w:t>
            </w:r>
          </w:p>
        </w:tc>
      </w:tr>
      <w:tr w:rsidR="00324E96" w:rsidRPr="00A24E89" w14:paraId="3615742C" w14:textId="77777777" w:rsidTr="00324E96">
        <w:trPr>
          <w:trHeight w:val="300"/>
        </w:trPr>
        <w:tc>
          <w:tcPr>
            <w:tcW w:w="1015" w:type="pct"/>
            <w:shd w:val="clear" w:color="auto" w:fill="auto"/>
            <w:vAlign w:val="center"/>
            <w:hideMark/>
          </w:tcPr>
          <w:p w14:paraId="7E1D8DAA" w14:textId="77777777" w:rsidR="00324E96" w:rsidRPr="00A24E89" w:rsidRDefault="00324E96" w:rsidP="009D0172">
            <w:pPr>
              <w:pStyle w:val="TableText"/>
              <w:rPr>
                <w:lang w:eastAsia="en-AU"/>
              </w:rPr>
            </w:pPr>
            <w:r w:rsidRPr="00A24E89">
              <w:rPr>
                <w:lang w:eastAsia="en-AU"/>
              </w:rPr>
              <w:t>borrower</w:t>
            </w:r>
          </w:p>
        </w:tc>
        <w:tc>
          <w:tcPr>
            <w:tcW w:w="3985" w:type="pct"/>
            <w:shd w:val="clear" w:color="auto" w:fill="auto"/>
            <w:vAlign w:val="center"/>
            <w:hideMark/>
          </w:tcPr>
          <w:p w14:paraId="4ED0A9F8" w14:textId="77777777" w:rsidR="00324E96" w:rsidRPr="00A24E89" w:rsidRDefault="00324E96" w:rsidP="009D0172">
            <w:pPr>
              <w:pStyle w:val="TableText"/>
              <w:rPr>
                <w:lang w:eastAsia="en-AU"/>
              </w:rPr>
            </w:pPr>
            <w:r w:rsidRPr="00A24E89">
              <w:rPr>
                <w:lang w:eastAsia="en-AU"/>
              </w:rPr>
              <w:t>See farm business entity</w:t>
            </w:r>
          </w:p>
        </w:tc>
      </w:tr>
      <w:tr w:rsidR="00324E96" w:rsidRPr="00A24E89" w14:paraId="3E46FEC2" w14:textId="77777777" w:rsidTr="00324E96">
        <w:trPr>
          <w:trHeight w:val="960"/>
        </w:trPr>
        <w:tc>
          <w:tcPr>
            <w:tcW w:w="1015" w:type="pct"/>
            <w:shd w:val="clear" w:color="auto" w:fill="auto"/>
            <w:vAlign w:val="center"/>
            <w:hideMark/>
          </w:tcPr>
          <w:p w14:paraId="70169718" w14:textId="77777777" w:rsidR="00324E96" w:rsidRPr="00A24E89" w:rsidRDefault="00324E96" w:rsidP="009D0172">
            <w:pPr>
              <w:pStyle w:val="TableText"/>
              <w:rPr>
                <w:lang w:eastAsia="en-AU"/>
              </w:rPr>
            </w:pPr>
            <w:r w:rsidRPr="00A24E89">
              <w:rPr>
                <w:lang w:eastAsia="en-AU"/>
              </w:rPr>
              <w:t>credit limit (total)</w:t>
            </w:r>
          </w:p>
        </w:tc>
        <w:tc>
          <w:tcPr>
            <w:tcW w:w="3985" w:type="pct"/>
            <w:shd w:val="clear" w:color="auto" w:fill="auto"/>
            <w:vAlign w:val="center"/>
            <w:hideMark/>
          </w:tcPr>
          <w:p w14:paraId="2DAF6F21" w14:textId="77777777" w:rsidR="00324E96" w:rsidRPr="00A24E89" w:rsidRDefault="00324E96" w:rsidP="009D0172">
            <w:pPr>
              <w:pStyle w:val="TableText"/>
              <w:rPr>
                <w:lang w:eastAsia="en-AU"/>
              </w:rPr>
            </w:pPr>
            <w:r w:rsidRPr="00A24E89">
              <w:rPr>
                <w:lang w:eastAsia="en-AU"/>
              </w:rPr>
              <w:t>Means the maximum amount of funds available to the farm business entity without additional authorisation or approval. This amount includes outstanding credit (including capitalised interest or fees) and any other funds that can be drawn without additional approval by the reporting entity. Reporting entities supply data as at the end of the reporting period.</w:t>
            </w:r>
          </w:p>
        </w:tc>
      </w:tr>
      <w:tr w:rsidR="00324E96" w:rsidRPr="00A24E89" w14:paraId="72CC5EF4" w14:textId="77777777" w:rsidTr="00324E96">
        <w:trPr>
          <w:trHeight w:val="960"/>
        </w:trPr>
        <w:tc>
          <w:tcPr>
            <w:tcW w:w="1015" w:type="pct"/>
            <w:shd w:val="clear" w:color="auto" w:fill="auto"/>
            <w:vAlign w:val="center"/>
            <w:hideMark/>
          </w:tcPr>
          <w:p w14:paraId="44A8340A" w14:textId="77777777" w:rsidR="00324E96" w:rsidRPr="00A24E89" w:rsidRDefault="00324E96" w:rsidP="009D0172">
            <w:pPr>
              <w:pStyle w:val="TableText"/>
              <w:rPr>
                <w:lang w:eastAsia="en-AU"/>
              </w:rPr>
            </w:pPr>
            <w:r w:rsidRPr="00A24E89">
              <w:rPr>
                <w:lang w:eastAsia="en-AU"/>
              </w:rPr>
              <w:t>credit outstanding (total)</w:t>
            </w:r>
          </w:p>
        </w:tc>
        <w:tc>
          <w:tcPr>
            <w:tcW w:w="3985" w:type="pct"/>
            <w:shd w:val="clear" w:color="auto" w:fill="auto"/>
            <w:vAlign w:val="center"/>
            <w:hideMark/>
          </w:tcPr>
          <w:p w14:paraId="03E13C21" w14:textId="77777777" w:rsidR="00324E96" w:rsidRPr="00A24E89" w:rsidRDefault="00324E96" w:rsidP="009D0172">
            <w:pPr>
              <w:pStyle w:val="TableText"/>
              <w:rPr>
                <w:lang w:eastAsia="en-AU"/>
              </w:rPr>
            </w:pPr>
            <w:r w:rsidRPr="00A24E89">
              <w:rPr>
                <w:lang w:eastAsia="en-AU"/>
              </w:rPr>
              <w:t>Credit outstanding is the original loan and/or lease amount less any repayments, including any redraw facilities drawn. Outstanding amounts are reported gross of provisions. Deposit balances in offset accounts are not netted against the outstanding credit amount. Finance that has been written off has been excluded. Reporting entities supply data as at the end of the reporting period.</w:t>
            </w:r>
          </w:p>
        </w:tc>
      </w:tr>
      <w:tr w:rsidR="00324E96" w:rsidRPr="00A24E89" w14:paraId="3746E8B6" w14:textId="77777777" w:rsidTr="00324E96">
        <w:trPr>
          <w:trHeight w:val="720"/>
        </w:trPr>
        <w:tc>
          <w:tcPr>
            <w:tcW w:w="1015" w:type="pct"/>
            <w:shd w:val="clear" w:color="auto" w:fill="auto"/>
            <w:vAlign w:val="center"/>
            <w:hideMark/>
          </w:tcPr>
          <w:p w14:paraId="2563B3D9" w14:textId="77777777" w:rsidR="00324E96" w:rsidRPr="00A24E89" w:rsidRDefault="00324E96" w:rsidP="009D0172">
            <w:pPr>
              <w:pStyle w:val="TableText"/>
              <w:rPr>
                <w:lang w:eastAsia="en-AU"/>
              </w:rPr>
            </w:pPr>
            <w:r w:rsidRPr="00A24E89">
              <w:rPr>
                <w:lang w:eastAsia="en-AU"/>
              </w:rPr>
              <w:t xml:space="preserve">Department of Agriculture, </w:t>
            </w:r>
            <w:proofErr w:type="gramStart"/>
            <w:r w:rsidRPr="00A24E89">
              <w:rPr>
                <w:lang w:eastAsia="en-AU"/>
              </w:rPr>
              <w:t>Water</w:t>
            </w:r>
            <w:proofErr w:type="gramEnd"/>
            <w:r w:rsidRPr="00A24E89">
              <w:rPr>
                <w:lang w:eastAsia="en-AU"/>
              </w:rPr>
              <w:t xml:space="preserve"> and the Environment</w:t>
            </w:r>
          </w:p>
        </w:tc>
        <w:tc>
          <w:tcPr>
            <w:tcW w:w="3985" w:type="pct"/>
            <w:shd w:val="clear" w:color="auto" w:fill="auto"/>
            <w:vAlign w:val="center"/>
            <w:hideMark/>
          </w:tcPr>
          <w:p w14:paraId="7CF75363" w14:textId="77777777" w:rsidR="00324E96" w:rsidRPr="00A24E89" w:rsidRDefault="00324E96" w:rsidP="009D0172">
            <w:pPr>
              <w:pStyle w:val="TableText"/>
              <w:rPr>
                <w:lang w:eastAsia="en-AU"/>
              </w:rPr>
            </w:pPr>
            <w:r w:rsidRPr="00A24E89">
              <w:rPr>
                <w:lang w:eastAsia="en-AU"/>
              </w:rPr>
              <w:t xml:space="preserve">Department of Agriculture, </w:t>
            </w:r>
            <w:proofErr w:type="gramStart"/>
            <w:r w:rsidRPr="00A24E89">
              <w:rPr>
                <w:lang w:eastAsia="en-AU"/>
              </w:rPr>
              <w:t>Water</w:t>
            </w:r>
            <w:proofErr w:type="gramEnd"/>
            <w:r w:rsidRPr="00A24E89">
              <w:rPr>
                <w:lang w:eastAsia="en-AU"/>
              </w:rPr>
              <w:t xml:space="preserve"> and the Environment, including the Australian Bureau of Agricultural and Resource Economics and Sciences (ABARES), or any Australian Government department that assumes or succeeds to its functions.</w:t>
            </w:r>
          </w:p>
        </w:tc>
      </w:tr>
      <w:tr w:rsidR="00324E96" w:rsidRPr="00A24E89" w14:paraId="66F611DD" w14:textId="77777777" w:rsidTr="00324E96">
        <w:trPr>
          <w:trHeight w:val="960"/>
        </w:trPr>
        <w:tc>
          <w:tcPr>
            <w:tcW w:w="1015" w:type="pct"/>
            <w:vMerge w:val="restart"/>
            <w:shd w:val="clear" w:color="auto" w:fill="auto"/>
            <w:vAlign w:val="center"/>
            <w:hideMark/>
          </w:tcPr>
          <w:p w14:paraId="365A6FC0" w14:textId="77777777" w:rsidR="00324E96" w:rsidRPr="00A24E89" w:rsidRDefault="00324E96" w:rsidP="009D0172">
            <w:pPr>
              <w:pStyle w:val="TableText"/>
              <w:rPr>
                <w:lang w:eastAsia="en-AU"/>
              </w:rPr>
            </w:pPr>
            <w:r w:rsidRPr="00A24E89">
              <w:rPr>
                <w:lang w:eastAsia="en-AU"/>
              </w:rPr>
              <w:t>farm business entity</w:t>
            </w:r>
          </w:p>
        </w:tc>
        <w:tc>
          <w:tcPr>
            <w:tcW w:w="3985" w:type="pct"/>
            <w:vMerge w:val="restart"/>
            <w:shd w:val="clear" w:color="auto" w:fill="auto"/>
            <w:vAlign w:val="center"/>
            <w:hideMark/>
          </w:tcPr>
          <w:p w14:paraId="4F815DF3" w14:textId="77777777" w:rsidR="002C1F3B" w:rsidRDefault="00324E96" w:rsidP="009D0172">
            <w:pPr>
              <w:pStyle w:val="TableText"/>
              <w:rPr>
                <w:lang w:eastAsia="en-AU"/>
              </w:rPr>
            </w:pPr>
            <w:r w:rsidRPr="00A24E89">
              <w:rPr>
                <w:lang w:eastAsia="en-AU"/>
              </w:rPr>
              <w:t xml:space="preserve">An entity (company, trust, partnership, incorporated entity, sole </w:t>
            </w:r>
            <w:proofErr w:type="gramStart"/>
            <w:r w:rsidRPr="00A24E89">
              <w:rPr>
                <w:lang w:eastAsia="en-AU"/>
              </w:rPr>
              <w:t>trader</w:t>
            </w:r>
            <w:proofErr w:type="gramEnd"/>
            <w:r w:rsidRPr="00A24E89">
              <w:rPr>
                <w:lang w:eastAsia="en-AU"/>
              </w:rPr>
              <w:t xml:space="preserve"> or joint venture) that undertakes productive agricultural activities that constitute the entity’s primary source of income. A farm business entity may comprise a group of related business entities. A group of related business entities are reported as one farm business entity.</w:t>
            </w:r>
          </w:p>
          <w:p w14:paraId="467DE63A" w14:textId="2B574F13" w:rsidR="00324E96" w:rsidRPr="00A24E89" w:rsidRDefault="00324E96" w:rsidP="009D0172">
            <w:pPr>
              <w:pStyle w:val="TableText"/>
              <w:rPr>
                <w:lang w:eastAsia="en-AU"/>
              </w:rPr>
            </w:pPr>
            <w:r w:rsidRPr="00A24E89">
              <w:rPr>
                <w:lang w:eastAsia="en-AU"/>
              </w:rPr>
              <w:t>Related business entities include the parent entity, controlled entities, associated entities, joint venture entities and any other entity under the same parent entity. A farm business entity is effectively ‘one borrower’.</w:t>
            </w:r>
          </w:p>
        </w:tc>
      </w:tr>
      <w:tr w:rsidR="00324E96" w:rsidRPr="00A24E89" w14:paraId="2DD54F3D" w14:textId="77777777" w:rsidTr="00324E96">
        <w:trPr>
          <w:trHeight w:val="480"/>
        </w:trPr>
        <w:tc>
          <w:tcPr>
            <w:tcW w:w="1015" w:type="pct"/>
            <w:vMerge/>
            <w:vAlign w:val="center"/>
            <w:hideMark/>
          </w:tcPr>
          <w:p w14:paraId="0918407A" w14:textId="77777777" w:rsidR="00324E96" w:rsidRPr="00A24E89" w:rsidRDefault="00324E96" w:rsidP="009D0172">
            <w:pPr>
              <w:pStyle w:val="TableText"/>
              <w:rPr>
                <w:lang w:eastAsia="en-AU"/>
              </w:rPr>
            </w:pPr>
          </w:p>
        </w:tc>
        <w:tc>
          <w:tcPr>
            <w:tcW w:w="3985" w:type="pct"/>
            <w:vMerge/>
            <w:vAlign w:val="center"/>
            <w:hideMark/>
          </w:tcPr>
          <w:p w14:paraId="026E3F19" w14:textId="77777777" w:rsidR="00324E96" w:rsidRPr="00A24E89" w:rsidRDefault="00324E96" w:rsidP="009D0172">
            <w:pPr>
              <w:pStyle w:val="TableText"/>
              <w:rPr>
                <w:lang w:eastAsia="en-AU"/>
              </w:rPr>
            </w:pPr>
          </w:p>
        </w:tc>
      </w:tr>
      <w:tr w:rsidR="00324E96" w:rsidRPr="00A24E89" w14:paraId="364393F5" w14:textId="77777777" w:rsidTr="00324E96">
        <w:trPr>
          <w:trHeight w:val="1440"/>
        </w:trPr>
        <w:tc>
          <w:tcPr>
            <w:tcW w:w="1015" w:type="pct"/>
            <w:shd w:val="clear" w:color="auto" w:fill="auto"/>
            <w:vAlign w:val="center"/>
            <w:hideMark/>
          </w:tcPr>
          <w:p w14:paraId="6B4DA682" w14:textId="77777777" w:rsidR="00324E96" w:rsidRPr="00A24E89" w:rsidRDefault="00324E96" w:rsidP="009D0172">
            <w:pPr>
              <w:pStyle w:val="TableText"/>
              <w:rPr>
                <w:lang w:eastAsia="en-AU"/>
              </w:rPr>
            </w:pPr>
            <w:r w:rsidRPr="00A24E89">
              <w:rPr>
                <w:lang w:eastAsia="en-AU"/>
              </w:rPr>
              <w:t>farm debt mediation</w:t>
            </w:r>
          </w:p>
        </w:tc>
        <w:tc>
          <w:tcPr>
            <w:tcW w:w="3985" w:type="pct"/>
            <w:shd w:val="clear" w:color="auto" w:fill="auto"/>
            <w:vAlign w:val="center"/>
            <w:hideMark/>
          </w:tcPr>
          <w:p w14:paraId="1CF9B0C8" w14:textId="77777777" w:rsidR="00324E96" w:rsidRPr="00A24E89" w:rsidRDefault="00324E96" w:rsidP="009D0172">
            <w:pPr>
              <w:pStyle w:val="TableText"/>
              <w:rPr>
                <w:lang w:eastAsia="en-AU"/>
              </w:rPr>
            </w:pPr>
            <w:r w:rsidRPr="00A24E89">
              <w:rPr>
                <w:lang w:eastAsia="en-AU"/>
              </w:rPr>
              <w:t>A structured negotiation process where a neutral and independent mediator helps the farm business entity and the reporting entity reach agreement about current and future debt arrangements. Some states and territories require that farm debt mediation occurs before the reporting entity is allowed to undertake foreclosure action. A new instance of farm debt mediation is considered by reporting entities to have commenced when the first meeting of the mediating parties has taken place. Reporting entities supply data to APRA on new instances of farm debt mediation for the reporting period.</w:t>
            </w:r>
          </w:p>
        </w:tc>
      </w:tr>
      <w:tr w:rsidR="00324E96" w:rsidRPr="00A24E89" w14:paraId="2528A710" w14:textId="77777777" w:rsidTr="00324E96">
        <w:trPr>
          <w:trHeight w:val="1200"/>
        </w:trPr>
        <w:tc>
          <w:tcPr>
            <w:tcW w:w="1015" w:type="pct"/>
            <w:shd w:val="clear" w:color="auto" w:fill="auto"/>
            <w:vAlign w:val="center"/>
            <w:hideMark/>
          </w:tcPr>
          <w:p w14:paraId="598FDBD2" w14:textId="77777777" w:rsidR="00324E96" w:rsidRPr="00A24E89" w:rsidRDefault="00324E96" w:rsidP="009D0172">
            <w:pPr>
              <w:pStyle w:val="TableText"/>
              <w:rPr>
                <w:lang w:eastAsia="en-AU"/>
              </w:rPr>
            </w:pPr>
            <w:r w:rsidRPr="00A24E89">
              <w:rPr>
                <w:lang w:eastAsia="en-AU"/>
              </w:rPr>
              <w:t>foreclosure</w:t>
            </w:r>
          </w:p>
        </w:tc>
        <w:tc>
          <w:tcPr>
            <w:tcW w:w="3985" w:type="pct"/>
            <w:shd w:val="clear" w:color="auto" w:fill="auto"/>
            <w:vAlign w:val="center"/>
            <w:hideMark/>
          </w:tcPr>
          <w:p w14:paraId="7EF0DB81" w14:textId="77777777" w:rsidR="00324E96" w:rsidRPr="00A24E89" w:rsidRDefault="00324E96" w:rsidP="009D0172">
            <w:pPr>
              <w:pStyle w:val="TableText"/>
              <w:rPr>
                <w:lang w:eastAsia="en-AU"/>
              </w:rPr>
            </w:pPr>
            <w:r w:rsidRPr="00A24E89">
              <w:rPr>
                <w:lang w:eastAsia="en-AU"/>
              </w:rPr>
              <w:t>A proceeding in which a reporting entity may take possession of a property used to secure a loan or lease. A new instance of a foreclosure is considered by a reporting entity to have commenced when a reporting entity, or a receiver or administrator appointed by the reporting entity, takes possession of a mortgaged property. Reporting entities supply data to APRA on new instances of farm foreclosures, and the total credit outstanding for new farm foreclosures to APRA for the reporting period.</w:t>
            </w:r>
          </w:p>
        </w:tc>
      </w:tr>
      <w:tr w:rsidR="00324E96" w:rsidRPr="00A24E89" w14:paraId="0541B089" w14:textId="77777777" w:rsidTr="00324E96">
        <w:trPr>
          <w:trHeight w:val="300"/>
        </w:trPr>
        <w:tc>
          <w:tcPr>
            <w:tcW w:w="1015" w:type="pct"/>
            <w:shd w:val="clear" w:color="auto" w:fill="auto"/>
            <w:vAlign w:val="center"/>
            <w:hideMark/>
          </w:tcPr>
          <w:p w14:paraId="239DC9FC" w14:textId="77777777" w:rsidR="00324E96" w:rsidRPr="00A24E89" w:rsidRDefault="00324E96" w:rsidP="009D0172">
            <w:pPr>
              <w:pStyle w:val="TableText"/>
              <w:rPr>
                <w:lang w:eastAsia="en-AU"/>
              </w:rPr>
            </w:pPr>
            <w:r w:rsidRPr="00A24E89">
              <w:rPr>
                <w:lang w:eastAsia="en-AU"/>
              </w:rPr>
              <w:t>FSCODA</w:t>
            </w:r>
          </w:p>
        </w:tc>
        <w:tc>
          <w:tcPr>
            <w:tcW w:w="3985" w:type="pct"/>
            <w:shd w:val="clear" w:color="auto" w:fill="auto"/>
            <w:vAlign w:val="center"/>
            <w:hideMark/>
          </w:tcPr>
          <w:p w14:paraId="775A92B9" w14:textId="77777777" w:rsidR="00324E96" w:rsidRPr="00A24E89" w:rsidRDefault="00324E96" w:rsidP="009D0172">
            <w:pPr>
              <w:pStyle w:val="TableText"/>
              <w:rPr>
                <w:i/>
                <w:iCs/>
                <w:lang w:eastAsia="en-AU"/>
              </w:rPr>
            </w:pPr>
            <w:r w:rsidRPr="00A24E89">
              <w:rPr>
                <w:i/>
                <w:iCs/>
                <w:lang w:eastAsia="en-AU"/>
              </w:rPr>
              <w:t>Financial Sector (Collection of Data) Act 2001</w:t>
            </w:r>
          </w:p>
        </w:tc>
      </w:tr>
      <w:tr w:rsidR="00324E96" w:rsidRPr="00A24E89" w14:paraId="43BC4B00" w14:textId="77777777" w:rsidTr="00324E96">
        <w:trPr>
          <w:trHeight w:val="960"/>
        </w:trPr>
        <w:tc>
          <w:tcPr>
            <w:tcW w:w="1015" w:type="pct"/>
            <w:shd w:val="clear" w:color="auto" w:fill="auto"/>
            <w:vAlign w:val="center"/>
            <w:hideMark/>
          </w:tcPr>
          <w:p w14:paraId="441E2507" w14:textId="77777777" w:rsidR="00324E96" w:rsidRPr="00A24E89" w:rsidRDefault="00324E96" w:rsidP="009D0172">
            <w:pPr>
              <w:pStyle w:val="TableText"/>
              <w:rPr>
                <w:lang w:eastAsia="en-AU"/>
              </w:rPr>
            </w:pPr>
            <w:r w:rsidRPr="00A24E89">
              <w:rPr>
                <w:lang w:eastAsia="en-AU"/>
              </w:rPr>
              <w:lastRenderedPageBreak/>
              <w:t>Industry</w:t>
            </w:r>
          </w:p>
        </w:tc>
        <w:tc>
          <w:tcPr>
            <w:tcW w:w="3985" w:type="pct"/>
            <w:shd w:val="clear" w:color="auto" w:fill="auto"/>
            <w:vAlign w:val="center"/>
            <w:hideMark/>
          </w:tcPr>
          <w:p w14:paraId="537F4C4B" w14:textId="77777777" w:rsidR="00324E96" w:rsidRPr="00A24E89" w:rsidRDefault="00324E96" w:rsidP="009D0172">
            <w:pPr>
              <w:pStyle w:val="TableText"/>
              <w:rPr>
                <w:lang w:eastAsia="en-AU"/>
              </w:rPr>
            </w:pPr>
            <w:r w:rsidRPr="00A24E89">
              <w:rPr>
                <w:lang w:eastAsia="en-AU"/>
              </w:rPr>
              <w:t>An individual farm business entity is assigned to an industry based on its predominant agricultural activity. The industry classification used in this publication is based on the 1993 and 2006 Australian and New Zealand Standard Industrial Classification (ANZSIC) classes. For confidentiality purposes, some of these classes were amalgamated with others to form an industry group.</w:t>
            </w:r>
          </w:p>
        </w:tc>
      </w:tr>
      <w:tr w:rsidR="00324E96" w:rsidRPr="00A24E89" w14:paraId="202D1A1C" w14:textId="77777777" w:rsidTr="00324E96">
        <w:trPr>
          <w:trHeight w:val="2640"/>
        </w:trPr>
        <w:tc>
          <w:tcPr>
            <w:tcW w:w="1015" w:type="pct"/>
            <w:shd w:val="clear" w:color="auto" w:fill="auto"/>
            <w:vAlign w:val="center"/>
            <w:hideMark/>
          </w:tcPr>
          <w:p w14:paraId="29962282" w14:textId="77777777" w:rsidR="00324E96" w:rsidRPr="00A24E89" w:rsidRDefault="00324E96" w:rsidP="009D0172">
            <w:pPr>
              <w:pStyle w:val="TableText"/>
              <w:rPr>
                <w:lang w:eastAsia="en-AU"/>
              </w:rPr>
            </w:pPr>
            <w:r w:rsidRPr="00A24E89">
              <w:rPr>
                <w:lang w:eastAsia="en-AU"/>
              </w:rPr>
              <w:t>loans and leases</w:t>
            </w:r>
          </w:p>
        </w:tc>
        <w:tc>
          <w:tcPr>
            <w:tcW w:w="3985" w:type="pct"/>
            <w:shd w:val="clear" w:color="auto" w:fill="auto"/>
            <w:vAlign w:val="center"/>
            <w:hideMark/>
          </w:tcPr>
          <w:p w14:paraId="67CA1339" w14:textId="77777777" w:rsidR="002C1F3B" w:rsidRDefault="00324E96" w:rsidP="009D0172">
            <w:pPr>
              <w:pStyle w:val="TableText"/>
              <w:rPr>
                <w:lang w:eastAsia="en-AU"/>
              </w:rPr>
            </w:pPr>
            <w:r w:rsidRPr="00A24E89">
              <w:rPr>
                <w:lang w:eastAsia="en-AU"/>
              </w:rPr>
              <w:t>Amounts owing to a reporting entity by a farm business entity evidenced by non-negotiable documents, including:</w:t>
            </w:r>
          </w:p>
          <w:p w14:paraId="556847BC" w14:textId="544B7FBA" w:rsidR="002C1F3B" w:rsidRPr="002C1F3B" w:rsidRDefault="00324E96" w:rsidP="002C1F3B">
            <w:pPr>
              <w:pStyle w:val="TableBullet1"/>
            </w:pPr>
            <w:r w:rsidRPr="002C1F3B">
              <w:t>advances</w:t>
            </w:r>
          </w:p>
          <w:p w14:paraId="2D5B2AE6" w14:textId="31A3D71A" w:rsidR="002C1F3B" w:rsidRPr="002C1F3B" w:rsidRDefault="00324E96" w:rsidP="002C1F3B">
            <w:pPr>
              <w:pStyle w:val="TableBullet1"/>
            </w:pPr>
            <w:r w:rsidRPr="002C1F3B">
              <w:t>secured and unsecured loans</w:t>
            </w:r>
          </w:p>
          <w:p w14:paraId="2FBD3FC7" w14:textId="435F05C8" w:rsidR="002C1F3B" w:rsidRPr="002C1F3B" w:rsidRDefault="00324E96" w:rsidP="002C1F3B">
            <w:pPr>
              <w:pStyle w:val="TableBullet1"/>
            </w:pPr>
            <w:r w:rsidRPr="002C1F3B">
              <w:t>mortgages</w:t>
            </w:r>
          </w:p>
          <w:p w14:paraId="094D8193" w14:textId="19DBAB32" w:rsidR="002C1F3B" w:rsidRPr="002C1F3B" w:rsidRDefault="00324E96" w:rsidP="002C1F3B">
            <w:pPr>
              <w:pStyle w:val="TableBullet1"/>
            </w:pPr>
            <w:r w:rsidRPr="002C1F3B">
              <w:t>commercial loans</w:t>
            </w:r>
          </w:p>
          <w:p w14:paraId="3C9E2992" w14:textId="7FE9BBB6" w:rsidR="002C1F3B" w:rsidRPr="002C1F3B" w:rsidRDefault="00324E96" w:rsidP="002C1F3B">
            <w:pPr>
              <w:pStyle w:val="TableBullet1"/>
            </w:pPr>
            <w:r w:rsidRPr="002C1F3B">
              <w:t>redeemable preference share finance not evidenced by a security</w:t>
            </w:r>
          </w:p>
          <w:p w14:paraId="37453C12" w14:textId="77C244BD" w:rsidR="002C1F3B" w:rsidRPr="002C1F3B" w:rsidRDefault="00324E96" w:rsidP="002C1F3B">
            <w:pPr>
              <w:pStyle w:val="TableBullet1"/>
            </w:pPr>
            <w:r w:rsidRPr="002C1F3B">
              <w:t>lease arrangements</w:t>
            </w:r>
          </w:p>
          <w:p w14:paraId="0D2DFDE1" w14:textId="47AB658D" w:rsidR="002C1F3B" w:rsidRPr="002C1F3B" w:rsidRDefault="00324E96" w:rsidP="002C1F3B">
            <w:pPr>
              <w:pStyle w:val="TableBullet1"/>
            </w:pPr>
            <w:r w:rsidRPr="002C1F3B">
              <w:t>equity participation in leveraged leases.</w:t>
            </w:r>
          </w:p>
          <w:p w14:paraId="7FB69117" w14:textId="060BC916" w:rsidR="00324E96" w:rsidRPr="00A24E89" w:rsidRDefault="00324E96" w:rsidP="009D0172">
            <w:pPr>
              <w:pStyle w:val="TableText"/>
              <w:rPr>
                <w:lang w:eastAsia="en-AU"/>
              </w:rPr>
            </w:pPr>
            <w:r w:rsidRPr="00A24E89">
              <w:rPr>
                <w:lang w:eastAsia="en-AU"/>
              </w:rPr>
              <w:t>Only those loans where half or more than half of the loan limit is for the purpose of agricultural activities and leases, whether drawn down or not, are reported to APRA.</w:t>
            </w:r>
          </w:p>
        </w:tc>
      </w:tr>
      <w:tr w:rsidR="00324E96" w:rsidRPr="00A24E89" w14:paraId="4F9541BB" w14:textId="77777777" w:rsidTr="00324E96">
        <w:trPr>
          <w:trHeight w:val="480"/>
        </w:trPr>
        <w:tc>
          <w:tcPr>
            <w:tcW w:w="1015" w:type="pct"/>
            <w:shd w:val="clear" w:color="auto" w:fill="auto"/>
            <w:vAlign w:val="center"/>
            <w:hideMark/>
          </w:tcPr>
          <w:p w14:paraId="7D4F5D90" w14:textId="77777777" w:rsidR="00324E96" w:rsidRPr="00A24E89" w:rsidRDefault="00324E96" w:rsidP="009D0172">
            <w:pPr>
              <w:pStyle w:val="TableText"/>
              <w:rPr>
                <w:lang w:eastAsia="en-AU"/>
              </w:rPr>
            </w:pPr>
            <w:r w:rsidRPr="00A24E89">
              <w:rPr>
                <w:lang w:eastAsia="en-AU"/>
              </w:rPr>
              <w:t>related parties</w:t>
            </w:r>
          </w:p>
        </w:tc>
        <w:tc>
          <w:tcPr>
            <w:tcW w:w="3985" w:type="pct"/>
            <w:shd w:val="clear" w:color="auto" w:fill="auto"/>
            <w:vAlign w:val="center"/>
            <w:hideMark/>
          </w:tcPr>
          <w:p w14:paraId="68C562C2" w14:textId="77777777" w:rsidR="00324E96" w:rsidRPr="00A24E89" w:rsidRDefault="00324E96" w:rsidP="009D0172">
            <w:pPr>
              <w:pStyle w:val="TableText"/>
              <w:rPr>
                <w:lang w:eastAsia="en-AU"/>
              </w:rPr>
            </w:pPr>
            <w:r w:rsidRPr="00A24E89">
              <w:rPr>
                <w:lang w:eastAsia="en-AU"/>
              </w:rPr>
              <w:t>Related parties of the reporting entity include the parent entity, controlled entities, associated entities, joint venture entities and other branches under the same parent entity.</w:t>
            </w:r>
          </w:p>
        </w:tc>
      </w:tr>
      <w:tr w:rsidR="00324E96" w:rsidRPr="00A24E89" w14:paraId="78BB37DA" w14:textId="77777777" w:rsidTr="00324E96">
        <w:trPr>
          <w:trHeight w:val="300"/>
        </w:trPr>
        <w:tc>
          <w:tcPr>
            <w:tcW w:w="1015" w:type="pct"/>
            <w:shd w:val="clear" w:color="auto" w:fill="auto"/>
            <w:vAlign w:val="center"/>
            <w:hideMark/>
          </w:tcPr>
          <w:p w14:paraId="2C078744" w14:textId="77777777" w:rsidR="00324E96" w:rsidRPr="00A24E89" w:rsidRDefault="00324E96" w:rsidP="009D0172">
            <w:pPr>
              <w:pStyle w:val="TableText"/>
              <w:rPr>
                <w:lang w:eastAsia="en-AU"/>
              </w:rPr>
            </w:pPr>
            <w:r w:rsidRPr="00A24E89">
              <w:rPr>
                <w:lang w:eastAsia="en-AU"/>
              </w:rPr>
              <w:t>reporting entity</w:t>
            </w:r>
          </w:p>
        </w:tc>
        <w:tc>
          <w:tcPr>
            <w:tcW w:w="3985" w:type="pct"/>
            <w:shd w:val="clear" w:color="auto" w:fill="auto"/>
            <w:vAlign w:val="center"/>
            <w:hideMark/>
          </w:tcPr>
          <w:p w14:paraId="37DCF77F" w14:textId="77777777" w:rsidR="00324E96" w:rsidRPr="00A24E89" w:rsidRDefault="00324E96" w:rsidP="009D0172">
            <w:pPr>
              <w:pStyle w:val="TableText"/>
              <w:rPr>
                <w:lang w:eastAsia="en-AU"/>
              </w:rPr>
            </w:pPr>
            <w:r w:rsidRPr="00A24E89">
              <w:rPr>
                <w:lang w:eastAsia="en-AU"/>
              </w:rPr>
              <w:t>An ADI or RFC to which the reporting form ARF 750.0 (DAWR Agricultural Lending) applies.</w:t>
            </w:r>
          </w:p>
        </w:tc>
      </w:tr>
      <w:tr w:rsidR="00324E96" w:rsidRPr="00A24E89" w14:paraId="59E77EC6" w14:textId="77777777" w:rsidTr="00324E96">
        <w:trPr>
          <w:trHeight w:val="480"/>
        </w:trPr>
        <w:tc>
          <w:tcPr>
            <w:tcW w:w="1015" w:type="pct"/>
            <w:shd w:val="clear" w:color="auto" w:fill="auto"/>
            <w:vAlign w:val="center"/>
            <w:hideMark/>
          </w:tcPr>
          <w:p w14:paraId="415A9E02" w14:textId="77777777" w:rsidR="00324E96" w:rsidRPr="00A24E89" w:rsidRDefault="00324E96" w:rsidP="009D0172">
            <w:pPr>
              <w:pStyle w:val="TableText"/>
              <w:rPr>
                <w:lang w:eastAsia="en-AU"/>
              </w:rPr>
            </w:pPr>
            <w:r w:rsidRPr="00A24E89">
              <w:rPr>
                <w:lang w:eastAsia="en-AU"/>
              </w:rPr>
              <w:t>RFC</w:t>
            </w:r>
          </w:p>
        </w:tc>
        <w:tc>
          <w:tcPr>
            <w:tcW w:w="3985" w:type="pct"/>
            <w:shd w:val="clear" w:color="auto" w:fill="auto"/>
            <w:vAlign w:val="center"/>
            <w:hideMark/>
          </w:tcPr>
          <w:p w14:paraId="4C6C7749" w14:textId="77777777" w:rsidR="00324E96" w:rsidRPr="00A24E89" w:rsidRDefault="00324E96" w:rsidP="009D0172">
            <w:pPr>
              <w:pStyle w:val="TableText"/>
              <w:rPr>
                <w:lang w:eastAsia="en-AU"/>
              </w:rPr>
            </w:pPr>
            <w:r w:rsidRPr="00A24E89">
              <w:rPr>
                <w:lang w:eastAsia="en-AU"/>
              </w:rPr>
              <w:t xml:space="preserve">Registered financial corporation that is a registered entity under the </w:t>
            </w:r>
            <w:r w:rsidRPr="00A24E89">
              <w:rPr>
                <w:i/>
                <w:iCs/>
                <w:lang w:eastAsia="en-AU"/>
              </w:rPr>
              <w:t>Financial Sector (Collection of Data) Act 2001.</w:t>
            </w:r>
          </w:p>
        </w:tc>
      </w:tr>
      <w:tr w:rsidR="00324E96" w:rsidRPr="00A24E89" w14:paraId="603EB6BE" w14:textId="77777777" w:rsidTr="00324E96">
        <w:trPr>
          <w:trHeight w:val="960"/>
        </w:trPr>
        <w:tc>
          <w:tcPr>
            <w:tcW w:w="1015" w:type="pct"/>
            <w:shd w:val="clear" w:color="auto" w:fill="auto"/>
            <w:vAlign w:val="center"/>
            <w:hideMark/>
          </w:tcPr>
          <w:p w14:paraId="20F748EC" w14:textId="77777777" w:rsidR="00324E96" w:rsidRPr="00A24E89" w:rsidRDefault="00324E96" w:rsidP="009D0172">
            <w:pPr>
              <w:pStyle w:val="TableText"/>
              <w:rPr>
                <w:lang w:eastAsia="en-AU"/>
              </w:rPr>
            </w:pPr>
            <w:r w:rsidRPr="00A24E89">
              <w:rPr>
                <w:lang w:eastAsia="en-AU"/>
              </w:rPr>
              <w:t>Region</w:t>
            </w:r>
          </w:p>
        </w:tc>
        <w:tc>
          <w:tcPr>
            <w:tcW w:w="3985" w:type="pct"/>
            <w:shd w:val="clear" w:color="auto" w:fill="auto"/>
            <w:vAlign w:val="center"/>
            <w:hideMark/>
          </w:tcPr>
          <w:p w14:paraId="49B55B27" w14:textId="77777777" w:rsidR="00324E96" w:rsidRPr="00A24E89" w:rsidRDefault="00324E96" w:rsidP="009D0172">
            <w:pPr>
              <w:pStyle w:val="TableText"/>
              <w:rPr>
                <w:lang w:eastAsia="en-AU"/>
              </w:rPr>
            </w:pPr>
            <w:r w:rsidRPr="00A24E89">
              <w:rPr>
                <w:lang w:eastAsia="en-AU"/>
              </w:rPr>
              <w:t xml:space="preserve">Farm business entities are assigned to the state or territory in which they undertake their agricultural activity and derive their revenue. Where a farm business entity has a loan or lease directed to agricultural activities across multiple states and territories, the loan or lease is attributed to the state or territory where </w:t>
            </w:r>
            <w:proofErr w:type="gramStart"/>
            <w:r w:rsidRPr="00A24E89">
              <w:rPr>
                <w:lang w:eastAsia="en-AU"/>
              </w:rPr>
              <w:t>the majority of</w:t>
            </w:r>
            <w:proofErr w:type="gramEnd"/>
            <w:r w:rsidRPr="00A24E89">
              <w:rPr>
                <w:lang w:eastAsia="en-AU"/>
              </w:rPr>
              <w:t xml:space="preserve"> the revenue is derived.</w:t>
            </w:r>
          </w:p>
        </w:tc>
      </w:tr>
    </w:tbl>
    <w:p w14:paraId="4975B353" w14:textId="594400D5" w:rsidR="00B3168F" w:rsidRDefault="00B3168F" w:rsidP="00B3168F">
      <w:pPr>
        <w:pStyle w:val="Heading2"/>
        <w:numPr>
          <w:ilvl w:val="0"/>
          <w:numId w:val="0"/>
        </w:numPr>
        <w:ind w:left="720" w:hanging="720"/>
      </w:pPr>
      <w:bookmarkStart w:id="136" w:name="_Toc81924826"/>
      <w:bookmarkStart w:id="137" w:name="_Toc84434510"/>
      <w:bookmarkEnd w:id="121"/>
      <w:r>
        <w:lastRenderedPageBreak/>
        <w:t>References</w:t>
      </w:r>
      <w:bookmarkEnd w:id="136"/>
      <w:bookmarkEnd w:id="137"/>
    </w:p>
    <w:p w14:paraId="7A737866" w14:textId="7E1E54FD" w:rsidR="00C86001" w:rsidRDefault="00A45A65" w:rsidP="00B3168F">
      <w:r w:rsidRPr="00A45A65">
        <w:t xml:space="preserve">ABARES 2021, Agricultural commodities: September quarter 2021, Australian Bureau of Agricultural and Resource Economics and Sciences, Canberra, </w:t>
      </w:r>
      <w:r w:rsidR="000D5ABF">
        <w:t>September</w:t>
      </w:r>
      <w:r w:rsidRPr="00A45A65">
        <w:t xml:space="preserve">. CC BY 4.0. </w:t>
      </w:r>
      <w:hyperlink r:id="rId42" w:history="1">
        <w:r w:rsidR="00176A0E" w:rsidRPr="00D45C31">
          <w:rPr>
            <w:rStyle w:val="Hyperlink"/>
          </w:rPr>
          <w:t>https://doi.org/10.25814/ac89-vr35</w:t>
        </w:r>
      </w:hyperlink>
    </w:p>
    <w:p w14:paraId="436D5E07" w14:textId="7EC22E34" w:rsidR="00B3168F" w:rsidRDefault="00B3168F" w:rsidP="00B3168F">
      <w:r>
        <w:t xml:space="preserve">Australian Bureau of Statistics (ABS) 2021, </w:t>
      </w:r>
      <w:hyperlink r:id="rId43" w:history="1">
        <w:r>
          <w:rPr>
            <w:rStyle w:val="Hyperlink"/>
          </w:rPr>
          <w:t>Value of Agricultural Commodities Produced, Australia</w:t>
        </w:r>
      </w:hyperlink>
      <w:r>
        <w:t xml:space="preserve"> , cat no. 7503.0, Canberra, May.</w:t>
      </w:r>
    </w:p>
    <w:p w14:paraId="55BD1B71" w14:textId="06FDC39F" w:rsidR="00B3168F" w:rsidRDefault="00B3168F" w:rsidP="00B3168F">
      <w:r>
        <w:t xml:space="preserve">Dairy Australia 2021, </w:t>
      </w:r>
      <w:hyperlink r:id="rId44" w:anchor=":~:text=One%20factor%20contributing%20to%20this,attempt%20to%20stabilise%20farm%20income" w:history="1">
        <w:r w:rsidR="007D1BE2">
          <w:rPr>
            <w:rStyle w:val="Hyperlink"/>
          </w:rPr>
          <w:t>Cow and farm data</w:t>
        </w:r>
      </w:hyperlink>
      <w:r>
        <w:t>.</w:t>
      </w:r>
      <w:r w:rsidR="007D1BE2">
        <w:t xml:space="preserve"> Accessed 1 September 2021.</w:t>
      </w:r>
    </w:p>
    <w:p w14:paraId="52D2A347" w14:textId="0DDB07E9" w:rsidR="00B3168F" w:rsidRDefault="00B3168F" w:rsidP="00B3168F">
      <w:r>
        <w:t xml:space="preserve">Regional Investment Corporation (RIC) 2021, </w:t>
      </w:r>
      <w:hyperlink r:id="rId45" w:history="1">
        <w:r w:rsidR="007D1BE2">
          <w:rPr>
            <w:rStyle w:val="Hyperlink"/>
          </w:rPr>
          <w:t>About us</w:t>
        </w:r>
      </w:hyperlink>
      <w:r w:rsidR="007D1BE2">
        <w:t>. Accessed 1 September 2021.</w:t>
      </w:r>
    </w:p>
    <w:p w14:paraId="75CEC3D7" w14:textId="04CF01AF" w:rsidR="00B3168F" w:rsidRDefault="00B3168F" w:rsidP="00B3168F">
      <w:r>
        <w:t xml:space="preserve">Reserve Bank of Australia (RBA) 2021, </w:t>
      </w:r>
      <w:hyperlink r:id="rId46" w:history="1">
        <w:r w:rsidR="007D1BE2">
          <w:rPr>
            <w:rStyle w:val="Hyperlink"/>
          </w:rPr>
          <w:t>Statistical tables</w:t>
        </w:r>
      </w:hyperlink>
      <w:r w:rsidR="007D1BE2">
        <w:t xml:space="preserve">, Table D14.1, </w:t>
      </w:r>
      <w:r w:rsidR="007D1BE2" w:rsidRPr="007D1BE2">
        <w:t>Lending to Business – Business Finance Outstanding by Business Size and Industry</w:t>
      </w:r>
      <w:r w:rsidR="007D1BE2">
        <w:t>. Accessed 1 September 2021.</w:t>
      </w:r>
    </w:p>
    <w:sectPr w:rsidR="00B3168F" w:rsidSect="009D0F6E">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225BD" w14:textId="77777777" w:rsidR="00F33AF4" w:rsidRDefault="00F33AF4">
      <w:r>
        <w:separator/>
      </w:r>
    </w:p>
    <w:p w14:paraId="29BE908A" w14:textId="77777777" w:rsidR="00F33AF4" w:rsidRDefault="00F33AF4"/>
    <w:p w14:paraId="0EBBBF8C" w14:textId="77777777" w:rsidR="00F33AF4" w:rsidRDefault="00F33AF4"/>
  </w:endnote>
  <w:endnote w:type="continuationSeparator" w:id="0">
    <w:p w14:paraId="27E01C06" w14:textId="77777777" w:rsidR="00F33AF4" w:rsidRDefault="00F33AF4">
      <w:r>
        <w:continuationSeparator/>
      </w:r>
    </w:p>
    <w:p w14:paraId="5B9FD95C" w14:textId="77777777" w:rsidR="00F33AF4" w:rsidRDefault="00F33AF4"/>
    <w:p w14:paraId="1E628DB1" w14:textId="77777777" w:rsidR="00F33AF4" w:rsidRDefault="00F33AF4"/>
  </w:endnote>
  <w:endnote w:type="continuationNotice" w:id="1">
    <w:p w14:paraId="1F95BD36" w14:textId="77777777" w:rsidR="00F33AF4" w:rsidRDefault="00F33AF4">
      <w:pPr>
        <w:pStyle w:val="Footer"/>
      </w:pPr>
    </w:p>
    <w:p w14:paraId="4E8886E6" w14:textId="77777777" w:rsidR="00F33AF4" w:rsidRDefault="00F33AF4"/>
    <w:p w14:paraId="66AC0DEE" w14:textId="77777777" w:rsidR="00F33AF4" w:rsidRDefault="00F33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BA7C" w14:textId="77777777" w:rsidR="0099340D" w:rsidRDefault="00993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288087"/>
      <w:docPartObj>
        <w:docPartGallery w:val="Page Numbers (Bottom of Page)"/>
        <w:docPartUnique/>
      </w:docPartObj>
    </w:sdtPr>
    <w:sdtEndPr>
      <w:rPr>
        <w:noProof/>
      </w:rPr>
    </w:sdtEndPr>
    <w:sdtContent>
      <w:p w14:paraId="412CF938" w14:textId="77777777" w:rsidR="0099340D" w:rsidRDefault="0099340D" w:rsidP="0099340D">
        <w:pPr>
          <w:pStyle w:val="Footer"/>
        </w:pPr>
        <w:r>
          <w:t xml:space="preserve">Department of Agriculture, </w:t>
        </w:r>
        <w:proofErr w:type="gramStart"/>
        <w:r>
          <w:t>Water</w:t>
        </w:r>
        <w:proofErr w:type="gramEnd"/>
        <w:r>
          <w:t xml:space="preserve"> and the Environment</w:t>
        </w:r>
      </w:p>
      <w:p w14:paraId="66B9505C" w14:textId="732DBAF9" w:rsidR="0099340D" w:rsidRPr="0099340D" w:rsidRDefault="0099340D" w:rsidP="0099340D">
        <w:pPr>
          <w:pStyle w:val="Footer"/>
          <w:rPr>
            <w:rFonts w:ascii="Cambria" w:hAnsi="Cambria"/>
            <w:noProof/>
            <w:sz w:val="22"/>
          </w:rPr>
        </w:pPr>
        <w:r>
          <w:fldChar w:fldCharType="begin"/>
        </w:r>
        <w:r>
          <w:instrText xml:space="preserve"> PAGE   \* MERGEFORMAT </w:instrText>
        </w:r>
        <w:r>
          <w:fldChar w:fldCharType="separate"/>
        </w:r>
        <w: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4DDF" w14:textId="77777777" w:rsidR="0099340D" w:rsidRDefault="00993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65FE5" w14:textId="77777777" w:rsidR="00F33AF4" w:rsidRDefault="00F33AF4">
      <w:r>
        <w:separator/>
      </w:r>
    </w:p>
    <w:p w14:paraId="5CF9D837" w14:textId="77777777" w:rsidR="00F33AF4" w:rsidRDefault="00F33AF4"/>
    <w:p w14:paraId="77E891EA" w14:textId="77777777" w:rsidR="00F33AF4" w:rsidRDefault="00F33AF4"/>
  </w:footnote>
  <w:footnote w:type="continuationSeparator" w:id="0">
    <w:p w14:paraId="24FD17D9" w14:textId="77777777" w:rsidR="00F33AF4" w:rsidRDefault="00F33AF4">
      <w:r>
        <w:continuationSeparator/>
      </w:r>
    </w:p>
    <w:p w14:paraId="1C88A01F" w14:textId="77777777" w:rsidR="00F33AF4" w:rsidRDefault="00F33AF4"/>
    <w:p w14:paraId="40739942" w14:textId="77777777" w:rsidR="00F33AF4" w:rsidRDefault="00F33AF4"/>
  </w:footnote>
  <w:footnote w:type="continuationNotice" w:id="1">
    <w:p w14:paraId="6A0466D0" w14:textId="77777777" w:rsidR="00F33AF4" w:rsidRDefault="00F33AF4">
      <w:pPr>
        <w:pStyle w:val="Footer"/>
      </w:pPr>
    </w:p>
    <w:p w14:paraId="45E9374B" w14:textId="77777777" w:rsidR="00F33AF4" w:rsidRDefault="00F33AF4"/>
    <w:p w14:paraId="1EFB0A25" w14:textId="77777777" w:rsidR="00F33AF4" w:rsidRDefault="00F33A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987E" w14:textId="77777777" w:rsidR="0099340D" w:rsidRDefault="009934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1A07" w14:textId="72CB744B" w:rsidR="0099340D" w:rsidRDefault="0099340D" w:rsidP="0099340D">
    <w:pPr>
      <w:pStyle w:val="Header"/>
    </w:pPr>
    <w:r>
      <w:t>Agricultural lending data 2019–20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DE81" w14:textId="541FD1C6" w:rsidR="00512D03" w:rsidRDefault="00291D5D" w:rsidP="00291D5D">
    <w:pPr>
      <w:pStyle w:val="Header"/>
      <w:jc w:val="left"/>
    </w:pPr>
    <w:r>
      <w:rPr>
        <w:noProof/>
      </w:rPr>
      <w:drawing>
        <wp:inline distT="0" distB="0" distL="0" distR="0" wp14:anchorId="63BF893F" wp14:editId="46011A71">
          <wp:extent cx="2274570" cy="694707"/>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
                    <a:extLst>
                      <a:ext uri="{28A0092B-C50C-407E-A947-70E740481C1C}">
                        <a14:useLocalDpi xmlns:a14="http://schemas.microsoft.com/office/drawing/2010/main" val="0"/>
                      </a:ext>
                    </a:extLst>
                  </a:blip>
                  <a:srcRect b="18417"/>
                  <a:stretch/>
                </pic:blipFill>
                <pic:spPr bwMode="auto">
                  <a:xfrm>
                    <a:off x="0" y="0"/>
                    <a:ext cx="2274570" cy="69470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5234EC1"/>
    <w:multiLevelType w:val="hybridMultilevel"/>
    <w:tmpl w:val="D318C3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67414D"/>
    <w:multiLevelType w:val="hybridMultilevel"/>
    <w:tmpl w:val="2280F0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3D4248C8"/>
    <w:multiLevelType w:val="hybridMultilevel"/>
    <w:tmpl w:val="D318C3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4F4729"/>
    <w:multiLevelType w:val="multilevel"/>
    <w:tmpl w:val="A0241B28"/>
    <w:numStyleLink w:val="List1"/>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92B17AC"/>
    <w:multiLevelType w:val="hybridMultilevel"/>
    <w:tmpl w:val="92E02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AE77D07"/>
    <w:multiLevelType w:val="hybridMultilevel"/>
    <w:tmpl w:val="8E4EB428"/>
    <w:lvl w:ilvl="0" w:tplc="301AC67C">
      <w:start w:val="1"/>
      <w:numFmt w:val="bullet"/>
      <w:pStyle w:val="bullet"/>
      <w:lvlText w:val=""/>
      <w:lvlJc w:val="left"/>
      <w:pPr>
        <w:tabs>
          <w:tab w:val="num" w:pos="360"/>
        </w:tabs>
        <w:ind w:left="73" w:hanging="73"/>
      </w:pPr>
      <w:rPr>
        <w:rFonts w:ascii="Wingdings" w:hAnsi="Wingdings" w:hint="default"/>
        <w:position w:val="-6"/>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8C10A1"/>
    <w:multiLevelType w:val="multilevel"/>
    <w:tmpl w:val="BE78A4F8"/>
    <w:numStyleLink w:val="Numberlist"/>
  </w:abstractNum>
  <w:abstractNum w:abstractNumId="32" w15:restartNumberingAfterBreak="0">
    <w:nsid w:val="733934B7"/>
    <w:multiLevelType w:val="multilevel"/>
    <w:tmpl w:val="A0241B28"/>
    <w:numStyleLink w:val="List1"/>
  </w:abstractNum>
  <w:num w:numId="1">
    <w:abstractNumId w:val="6"/>
  </w:num>
  <w:num w:numId="2">
    <w:abstractNumId w:val="20"/>
  </w:num>
  <w:num w:numId="3">
    <w:abstractNumId w:val="21"/>
  </w:num>
  <w:num w:numId="4">
    <w:abstractNumId w:val="12"/>
  </w:num>
  <w:num w:numId="5">
    <w:abstractNumId w:val="27"/>
  </w:num>
  <w:num w:numId="6">
    <w:abstractNumId w:val="28"/>
  </w:num>
  <w:num w:numId="7">
    <w:abstractNumId w:val="9"/>
  </w:num>
  <w:num w:numId="8">
    <w:abstractNumId w:val="15"/>
  </w:num>
  <w:num w:numId="9">
    <w:abstractNumId w:val="17"/>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
  </w:num>
  <w:num w:numId="20">
    <w:abstractNumId w:val="0"/>
  </w:num>
  <w:num w:numId="21">
    <w:abstractNumId w:val="16"/>
  </w:num>
  <w:num w:numId="22">
    <w:abstractNumId w:val="22"/>
  </w:num>
  <w:num w:numId="23">
    <w:abstractNumId w:val="31"/>
  </w:num>
  <w:num w:numId="24">
    <w:abstractNumId w:val="1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23"/>
  </w:num>
  <w:num w:numId="29">
    <w:abstractNumId w:val="26"/>
  </w:num>
  <w:num w:numId="30">
    <w:abstractNumId w:val="11"/>
  </w:num>
  <w:num w:numId="31">
    <w:abstractNumId w:val="27"/>
  </w:num>
  <w:num w:numId="32">
    <w:abstractNumId w:val="21"/>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8"/>
  </w:num>
  <w:num w:numId="37">
    <w:abstractNumId w:val="30"/>
  </w:num>
  <w:num w:numId="38">
    <w:abstractNumId w:val="7"/>
  </w:num>
  <w:num w:numId="39">
    <w:abstractNumId w:val="18"/>
  </w:num>
  <w:num w:numId="40">
    <w:abstractNumId w:val="25"/>
  </w:num>
  <w:num w:numId="4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F4"/>
    <w:rsid w:val="00001944"/>
    <w:rsid w:val="0000281D"/>
    <w:rsid w:val="00012D82"/>
    <w:rsid w:val="00023964"/>
    <w:rsid w:val="00036A5D"/>
    <w:rsid w:val="000373AF"/>
    <w:rsid w:val="000869AB"/>
    <w:rsid w:val="00097FA8"/>
    <w:rsid w:val="000A2F99"/>
    <w:rsid w:val="000A7AAF"/>
    <w:rsid w:val="000B7503"/>
    <w:rsid w:val="000C1F5E"/>
    <w:rsid w:val="000D4C0A"/>
    <w:rsid w:val="000D50F5"/>
    <w:rsid w:val="000D5ABF"/>
    <w:rsid w:val="000D69B1"/>
    <w:rsid w:val="000E68AC"/>
    <w:rsid w:val="00100941"/>
    <w:rsid w:val="00100CA3"/>
    <w:rsid w:val="001051F5"/>
    <w:rsid w:val="00110865"/>
    <w:rsid w:val="001108B5"/>
    <w:rsid w:val="00133A53"/>
    <w:rsid w:val="00135FDD"/>
    <w:rsid w:val="00147524"/>
    <w:rsid w:val="00155496"/>
    <w:rsid w:val="00157B63"/>
    <w:rsid w:val="001609F1"/>
    <w:rsid w:val="00167604"/>
    <w:rsid w:val="00176934"/>
    <w:rsid w:val="0017699C"/>
    <w:rsid w:val="00176A0E"/>
    <w:rsid w:val="00176E7C"/>
    <w:rsid w:val="00184988"/>
    <w:rsid w:val="001C6BA6"/>
    <w:rsid w:val="001D67DF"/>
    <w:rsid w:val="00214990"/>
    <w:rsid w:val="00222137"/>
    <w:rsid w:val="00225723"/>
    <w:rsid w:val="00226F34"/>
    <w:rsid w:val="002402EA"/>
    <w:rsid w:val="00241721"/>
    <w:rsid w:val="00255035"/>
    <w:rsid w:val="002619F7"/>
    <w:rsid w:val="002704F4"/>
    <w:rsid w:val="0027131D"/>
    <w:rsid w:val="002721D8"/>
    <w:rsid w:val="00273F09"/>
    <w:rsid w:val="00274339"/>
    <w:rsid w:val="00276B0B"/>
    <w:rsid w:val="00277A16"/>
    <w:rsid w:val="00281BB6"/>
    <w:rsid w:val="00284D14"/>
    <w:rsid w:val="00286307"/>
    <w:rsid w:val="00291D5D"/>
    <w:rsid w:val="00291FF4"/>
    <w:rsid w:val="002C1F3B"/>
    <w:rsid w:val="002C6C01"/>
    <w:rsid w:val="002D7058"/>
    <w:rsid w:val="002E42EA"/>
    <w:rsid w:val="002E78D7"/>
    <w:rsid w:val="002F2BFE"/>
    <w:rsid w:val="002F4CB1"/>
    <w:rsid w:val="003002A7"/>
    <w:rsid w:val="003024BD"/>
    <w:rsid w:val="003067FB"/>
    <w:rsid w:val="00307366"/>
    <w:rsid w:val="00310450"/>
    <w:rsid w:val="003224B8"/>
    <w:rsid w:val="00324E96"/>
    <w:rsid w:val="003427A4"/>
    <w:rsid w:val="003467A1"/>
    <w:rsid w:val="00356AA4"/>
    <w:rsid w:val="003668EA"/>
    <w:rsid w:val="00373E3A"/>
    <w:rsid w:val="003770CF"/>
    <w:rsid w:val="003926D8"/>
    <w:rsid w:val="003A0D35"/>
    <w:rsid w:val="003A21A0"/>
    <w:rsid w:val="003A57C8"/>
    <w:rsid w:val="003A6AEC"/>
    <w:rsid w:val="003B6DE3"/>
    <w:rsid w:val="003C7738"/>
    <w:rsid w:val="003D3394"/>
    <w:rsid w:val="003D70C0"/>
    <w:rsid w:val="003E58D8"/>
    <w:rsid w:val="003F1ECC"/>
    <w:rsid w:val="003F591E"/>
    <w:rsid w:val="003F5CE0"/>
    <w:rsid w:val="00410B27"/>
    <w:rsid w:val="004119A5"/>
    <w:rsid w:val="004212CC"/>
    <w:rsid w:val="00445A68"/>
    <w:rsid w:val="00457B2A"/>
    <w:rsid w:val="00462EA2"/>
    <w:rsid w:val="00467301"/>
    <w:rsid w:val="004712E7"/>
    <w:rsid w:val="004740E6"/>
    <w:rsid w:val="004749E2"/>
    <w:rsid w:val="00480DAA"/>
    <w:rsid w:val="00481279"/>
    <w:rsid w:val="00491E5F"/>
    <w:rsid w:val="004B1D54"/>
    <w:rsid w:val="004B449F"/>
    <w:rsid w:val="004E1B92"/>
    <w:rsid w:val="0050060B"/>
    <w:rsid w:val="005043EB"/>
    <w:rsid w:val="00512D03"/>
    <w:rsid w:val="0051649B"/>
    <w:rsid w:val="00524431"/>
    <w:rsid w:val="005329F7"/>
    <w:rsid w:val="00541556"/>
    <w:rsid w:val="00544E1A"/>
    <w:rsid w:val="00561591"/>
    <w:rsid w:val="00574463"/>
    <w:rsid w:val="005A49C3"/>
    <w:rsid w:val="005B0A35"/>
    <w:rsid w:val="005D38D6"/>
    <w:rsid w:val="005D6EE2"/>
    <w:rsid w:val="005E25BD"/>
    <w:rsid w:val="005E5151"/>
    <w:rsid w:val="005F4061"/>
    <w:rsid w:val="005F5F00"/>
    <w:rsid w:val="005F6EEE"/>
    <w:rsid w:val="006138D1"/>
    <w:rsid w:val="00615E1E"/>
    <w:rsid w:val="00621363"/>
    <w:rsid w:val="006319B7"/>
    <w:rsid w:val="006459FC"/>
    <w:rsid w:val="00664D87"/>
    <w:rsid w:val="00680D65"/>
    <w:rsid w:val="00681919"/>
    <w:rsid w:val="00687AC6"/>
    <w:rsid w:val="00694CF0"/>
    <w:rsid w:val="00696242"/>
    <w:rsid w:val="006973CE"/>
    <w:rsid w:val="006B23E5"/>
    <w:rsid w:val="006C16FF"/>
    <w:rsid w:val="006C5145"/>
    <w:rsid w:val="006C6035"/>
    <w:rsid w:val="006E14A1"/>
    <w:rsid w:val="006E1C01"/>
    <w:rsid w:val="006E60C5"/>
    <w:rsid w:val="006F254B"/>
    <w:rsid w:val="00702A93"/>
    <w:rsid w:val="00712AB9"/>
    <w:rsid w:val="00721830"/>
    <w:rsid w:val="00721927"/>
    <w:rsid w:val="00721EDD"/>
    <w:rsid w:val="00726B3C"/>
    <w:rsid w:val="007318CA"/>
    <w:rsid w:val="007500DC"/>
    <w:rsid w:val="00763FA6"/>
    <w:rsid w:val="00764D6A"/>
    <w:rsid w:val="007669F2"/>
    <w:rsid w:val="00773056"/>
    <w:rsid w:val="0078717F"/>
    <w:rsid w:val="007A011A"/>
    <w:rsid w:val="007C3177"/>
    <w:rsid w:val="007C358A"/>
    <w:rsid w:val="007D1BE2"/>
    <w:rsid w:val="007D50B6"/>
    <w:rsid w:val="007E0295"/>
    <w:rsid w:val="007F0B99"/>
    <w:rsid w:val="007F1A21"/>
    <w:rsid w:val="00811DA7"/>
    <w:rsid w:val="00820463"/>
    <w:rsid w:val="008454B2"/>
    <w:rsid w:val="00852691"/>
    <w:rsid w:val="00877E4E"/>
    <w:rsid w:val="00883706"/>
    <w:rsid w:val="00891568"/>
    <w:rsid w:val="00895047"/>
    <w:rsid w:val="008A23A3"/>
    <w:rsid w:val="008D619B"/>
    <w:rsid w:val="008F2C0C"/>
    <w:rsid w:val="00906300"/>
    <w:rsid w:val="009121B7"/>
    <w:rsid w:val="00917AE4"/>
    <w:rsid w:val="00952915"/>
    <w:rsid w:val="00953BA8"/>
    <w:rsid w:val="00966AD6"/>
    <w:rsid w:val="00974D56"/>
    <w:rsid w:val="009873E8"/>
    <w:rsid w:val="0099340D"/>
    <w:rsid w:val="00993515"/>
    <w:rsid w:val="009A2D7E"/>
    <w:rsid w:val="009A7CDC"/>
    <w:rsid w:val="009C473B"/>
    <w:rsid w:val="009C67EE"/>
    <w:rsid w:val="009D0172"/>
    <w:rsid w:val="009D0F6E"/>
    <w:rsid w:val="009D2B3E"/>
    <w:rsid w:val="009D5007"/>
    <w:rsid w:val="00A117FD"/>
    <w:rsid w:val="00A17C6B"/>
    <w:rsid w:val="00A24E89"/>
    <w:rsid w:val="00A31E5F"/>
    <w:rsid w:val="00A34B6D"/>
    <w:rsid w:val="00A41B18"/>
    <w:rsid w:val="00A45A65"/>
    <w:rsid w:val="00A47A34"/>
    <w:rsid w:val="00A50141"/>
    <w:rsid w:val="00A61414"/>
    <w:rsid w:val="00A676DE"/>
    <w:rsid w:val="00A77464"/>
    <w:rsid w:val="00A95A00"/>
    <w:rsid w:val="00AB5F4D"/>
    <w:rsid w:val="00AC35F5"/>
    <w:rsid w:val="00AD41B5"/>
    <w:rsid w:val="00AE4237"/>
    <w:rsid w:val="00AE45E2"/>
    <w:rsid w:val="00AF688D"/>
    <w:rsid w:val="00B3168F"/>
    <w:rsid w:val="00B514B1"/>
    <w:rsid w:val="00B51B4B"/>
    <w:rsid w:val="00B5740E"/>
    <w:rsid w:val="00B61725"/>
    <w:rsid w:val="00B726A0"/>
    <w:rsid w:val="00B80BBC"/>
    <w:rsid w:val="00B816F1"/>
    <w:rsid w:val="00B83A33"/>
    <w:rsid w:val="00B861B4"/>
    <w:rsid w:val="00B874CE"/>
    <w:rsid w:val="00B93796"/>
    <w:rsid w:val="00B945F7"/>
    <w:rsid w:val="00B97E61"/>
    <w:rsid w:val="00BB3813"/>
    <w:rsid w:val="00BB5A55"/>
    <w:rsid w:val="00BB632E"/>
    <w:rsid w:val="00BC1616"/>
    <w:rsid w:val="00BC64DA"/>
    <w:rsid w:val="00BD7DAF"/>
    <w:rsid w:val="00BE07CA"/>
    <w:rsid w:val="00BE561A"/>
    <w:rsid w:val="00BF184E"/>
    <w:rsid w:val="00BF6A92"/>
    <w:rsid w:val="00C003C5"/>
    <w:rsid w:val="00C01DE6"/>
    <w:rsid w:val="00C02519"/>
    <w:rsid w:val="00C12ACE"/>
    <w:rsid w:val="00C2167D"/>
    <w:rsid w:val="00C21E04"/>
    <w:rsid w:val="00C22287"/>
    <w:rsid w:val="00C2770E"/>
    <w:rsid w:val="00C304D6"/>
    <w:rsid w:val="00C30C9E"/>
    <w:rsid w:val="00C33358"/>
    <w:rsid w:val="00C35DCA"/>
    <w:rsid w:val="00C379E1"/>
    <w:rsid w:val="00C416EC"/>
    <w:rsid w:val="00C536E0"/>
    <w:rsid w:val="00C61B14"/>
    <w:rsid w:val="00C85C62"/>
    <w:rsid w:val="00C86001"/>
    <w:rsid w:val="00C86843"/>
    <w:rsid w:val="00CB1A6A"/>
    <w:rsid w:val="00CC6BE9"/>
    <w:rsid w:val="00CD7E10"/>
    <w:rsid w:val="00CF255F"/>
    <w:rsid w:val="00D00466"/>
    <w:rsid w:val="00D007FA"/>
    <w:rsid w:val="00D01C1D"/>
    <w:rsid w:val="00D21EE0"/>
    <w:rsid w:val="00D23CB2"/>
    <w:rsid w:val="00D37BE6"/>
    <w:rsid w:val="00D47121"/>
    <w:rsid w:val="00D6626A"/>
    <w:rsid w:val="00D74272"/>
    <w:rsid w:val="00D86CA9"/>
    <w:rsid w:val="00D96FD8"/>
    <w:rsid w:val="00DA5CEB"/>
    <w:rsid w:val="00DB54A6"/>
    <w:rsid w:val="00DB5C29"/>
    <w:rsid w:val="00DD3157"/>
    <w:rsid w:val="00DD6F2C"/>
    <w:rsid w:val="00E00E97"/>
    <w:rsid w:val="00E0438E"/>
    <w:rsid w:val="00E123CD"/>
    <w:rsid w:val="00E17961"/>
    <w:rsid w:val="00E20810"/>
    <w:rsid w:val="00E320C7"/>
    <w:rsid w:val="00E33395"/>
    <w:rsid w:val="00E35AB1"/>
    <w:rsid w:val="00E36F4C"/>
    <w:rsid w:val="00E378A5"/>
    <w:rsid w:val="00E41976"/>
    <w:rsid w:val="00E61712"/>
    <w:rsid w:val="00E6333B"/>
    <w:rsid w:val="00E7713B"/>
    <w:rsid w:val="00E86D97"/>
    <w:rsid w:val="00E91D72"/>
    <w:rsid w:val="00EA13DF"/>
    <w:rsid w:val="00EB3955"/>
    <w:rsid w:val="00ED198E"/>
    <w:rsid w:val="00EF55CC"/>
    <w:rsid w:val="00F040BA"/>
    <w:rsid w:val="00F04729"/>
    <w:rsid w:val="00F06B67"/>
    <w:rsid w:val="00F12993"/>
    <w:rsid w:val="00F2168F"/>
    <w:rsid w:val="00F2193F"/>
    <w:rsid w:val="00F33AF4"/>
    <w:rsid w:val="00F3674D"/>
    <w:rsid w:val="00F72096"/>
    <w:rsid w:val="00F73F04"/>
    <w:rsid w:val="00F74098"/>
    <w:rsid w:val="00F759F5"/>
    <w:rsid w:val="00F75F79"/>
    <w:rsid w:val="00F77370"/>
    <w:rsid w:val="00F913CB"/>
    <w:rsid w:val="00F92545"/>
    <w:rsid w:val="00F937C2"/>
    <w:rsid w:val="00FA2743"/>
    <w:rsid w:val="00FB0552"/>
    <w:rsid w:val="00FB34AB"/>
    <w:rsid w:val="00FC1759"/>
    <w:rsid w:val="00FD7A05"/>
    <w:rsid w:val="00FE274C"/>
    <w:rsid w:val="00FE5B54"/>
    <w:rsid w:val="00FF4FC8"/>
    <w:rsid w:val="00FF5C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93B7EB9"/>
  <w15:docId w15:val="{AE7D2990-B58F-4DD8-878B-4BE4A980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3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0D50F5"/>
    <w:rPr>
      <w:color w:val="605E5C"/>
      <w:shd w:val="clear" w:color="auto" w:fill="E1DFDD"/>
    </w:rPr>
  </w:style>
  <w:style w:type="paragraph" w:customStyle="1" w:styleId="BoxTextNumbered">
    <w:name w:val="Box Text Numbered"/>
    <w:basedOn w:val="Normal"/>
    <w:qFormat/>
    <w:rsid w:val="00176E7C"/>
    <w:pPr>
      <w:numPr>
        <w:numId w:val="33"/>
      </w:numPr>
      <w:pBdr>
        <w:top w:val="single" w:sz="4" w:space="10" w:color="auto"/>
        <w:left w:val="single" w:sz="4" w:space="10" w:color="auto"/>
        <w:bottom w:val="single" w:sz="4" w:space="10" w:color="auto"/>
        <w:right w:val="single" w:sz="4" w:space="10" w:color="auto"/>
      </w:pBdr>
      <w:shd w:val="clear" w:color="auto" w:fill="FFFFFF" w:themeFill="background1"/>
      <w:spacing w:before="120" w:after="120"/>
      <w:contextualSpacing/>
    </w:pPr>
    <w:rPr>
      <w:sz w:val="20"/>
    </w:rPr>
  </w:style>
  <w:style w:type="paragraph" w:customStyle="1" w:styleId="Organisation">
    <w:name w:val="Organisation"/>
    <w:basedOn w:val="Normal"/>
    <w:next w:val="Normal"/>
    <w:uiPriority w:val="25"/>
    <w:qFormat/>
    <w:rsid w:val="00895047"/>
    <w:pPr>
      <w:spacing w:after="120"/>
    </w:pPr>
    <w:rPr>
      <w:rFonts w:asciiTheme="minorHAnsi" w:hAnsiTheme="minorHAnsi"/>
    </w:rPr>
  </w:style>
  <w:style w:type="paragraph" w:customStyle="1" w:styleId="TableBullet">
    <w:name w:val="Table Bullet"/>
    <w:basedOn w:val="TableText"/>
    <w:uiPriority w:val="15"/>
    <w:qFormat/>
    <w:rsid w:val="00895047"/>
    <w:pPr>
      <w:ind w:left="284" w:hanging="284"/>
    </w:pPr>
  </w:style>
  <w:style w:type="paragraph" w:styleId="Date">
    <w:name w:val="Date"/>
    <w:basedOn w:val="Normal"/>
    <w:next w:val="Normal"/>
    <w:link w:val="DateChar"/>
    <w:uiPriority w:val="99"/>
    <w:unhideWhenUsed/>
    <w:rsid w:val="00895047"/>
  </w:style>
  <w:style w:type="character" w:customStyle="1" w:styleId="DateChar">
    <w:name w:val="Date Char"/>
    <w:basedOn w:val="DefaultParagraphFont"/>
    <w:link w:val="Date"/>
    <w:uiPriority w:val="99"/>
    <w:rsid w:val="00895047"/>
    <w:rPr>
      <w:rFonts w:eastAsiaTheme="minorHAnsi" w:cstheme="minorBidi"/>
      <w:sz w:val="22"/>
      <w:szCs w:val="22"/>
      <w:lang w:eastAsia="en-US"/>
    </w:rPr>
  </w:style>
  <w:style w:type="character" w:styleId="SubtleReference">
    <w:name w:val="Subtle Reference"/>
    <w:uiPriority w:val="31"/>
    <w:qFormat/>
    <w:rsid w:val="00895047"/>
    <w:rPr>
      <w:sz w:val="24"/>
      <w:szCs w:val="24"/>
    </w:rPr>
  </w:style>
  <w:style w:type="paragraph" w:customStyle="1" w:styleId="Publicationseries">
    <w:name w:val="Publication series"/>
    <w:basedOn w:val="Normal"/>
    <w:qFormat/>
    <w:rsid w:val="00895047"/>
    <w:pPr>
      <w:spacing w:after="0"/>
    </w:pPr>
  </w:style>
  <w:style w:type="paragraph" w:styleId="ListParagraph">
    <w:name w:val="List Paragraph"/>
    <w:basedOn w:val="Normal"/>
    <w:uiPriority w:val="34"/>
    <w:qFormat/>
    <w:rsid w:val="00895047"/>
    <w:pPr>
      <w:ind w:left="720"/>
      <w:contextualSpacing/>
    </w:pPr>
  </w:style>
  <w:style w:type="character" w:customStyle="1" w:styleId="Dummytext">
    <w:name w:val="Dummy text"/>
    <w:uiPriority w:val="64"/>
    <w:qFormat/>
    <w:rsid w:val="00895047"/>
    <w:rPr>
      <w:color w:val="auto"/>
      <w:u w:val="none"/>
      <w:bdr w:val="none" w:sz="0" w:space="0" w:color="auto"/>
      <w:shd w:val="clear" w:color="auto" w:fill="FFFF00"/>
    </w:rPr>
  </w:style>
  <w:style w:type="paragraph" w:customStyle="1" w:styleId="BodyText1">
    <w:name w:val="Body Text1"/>
    <w:uiPriority w:val="9"/>
    <w:qFormat/>
    <w:rsid w:val="00895047"/>
    <w:pPr>
      <w:spacing w:after="200" w:line="280" w:lineRule="atLeast"/>
    </w:pPr>
    <w:rPr>
      <w:rFonts w:eastAsia="Calibri"/>
      <w:color w:val="000000" w:themeColor="text1"/>
      <w:sz w:val="22"/>
      <w:szCs w:val="22"/>
      <w:lang w:eastAsia="en-US"/>
    </w:rPr>
  </w:style>
  <w:style w:type="character" w:customStyle="1" w:styleId="UnresolvedMention1">
    <w:name w:val="Unresolved Mention1"/>
    <w:basedOn w:val="DefaultParagraphFont"/>
    <w:uiPriority w:val="99"/>
    <w:semiHidden/>
    <w:unhideWhenUsed/>
    <w:rsid w:val="00895047"/>
    <w:rPr>
      <w:color w:val="605E5C"/>
      <w:shd w:val="clear" w:color="auto" w:fill="E1DFDD"/>
    </w:rPr>
  </w:style>
  <w:style w:type="paragraph" w:customStyle="1" w:styleId="bullet">
    <w:name w:val="bullet"/>
    <w:basedOn w:val="Normal"/>
    <w:rsid w:val="00895047"/>
    <w:pPr>
      <w:numPr>
        <w:numId w:val="37"/>
      </w:numPr>
      <w:overflowPunct w:val="0"/>
      <w:autoSpaceDE w:val="0"/>
      <w:autoSpaceDN w:val="0"/>
      <w:adjustRightInd w:val="0"/>
      <w:spacing w:after="180" w:line="260" w:lineRule="exact"/>
      <w:ind w:left="357" w:hanging="357"/>
      <w:jc w:val="both"/>
      <w:textAlignment w:val="baseline"/>
    </w:pPr>
    <w:rPr>
      <w:rFonts w:ascii="Times" w:eastAsia="Times New Roman" w:hAnsi="Times" w:cs="Times New Roman"/>
      <w:sz w:val="24"/>
      <w:szCs w:val="20"/>
    </w:rPr>
  </w:style>
  <w:style w:type="paragraph" w:customStyle="1" w:styleId="Char">
    <w:name w:val="Char"/>
    <w:basedOn w:val="Normal"/>
    <w:rsid w:val="00895047"/>
    <w:pPr>
      <w:spacing w:after="160" w:line="240" w:lineRule="exact"/>
    </w:pPr>
    <w:rPr>
      <w:rFonts w:ascii="Verdana" w:eastAsia="Times New Roman" w:hAnsi="Verdana" w:cs="Times New Roman"/>
      <w:sz w:val="20"/>
      <w:szCs w:val="24"/>
      <w:lang w:val="en-US"/>
    </w:rPr>
  </w:style>
  <w:style w:type="paragraph" w:customStyle="1" w:styleId="CharCharChar">
    <w:name w:val="Char Char Char"/>
    <w:basedOn w:val="Normal"/>
    <w:rsid w:val="00895047"/>
    <w:pPr>
      <w:spacing w:after="160" w:line="240" w:lineRule="exact"/>
    </w:pPr>
    <w:rPr>
      <w:rFonts w:ascii="Verdana" w:eastAsia="Times New Roman" w:hAnsi="Verdana" w:cs="Times New Roman"/>
      <w:sz w:val="20"/>
      <w:szCs w:val="24"/>
      <w:lang w:val="en-US"/>
    </w:rPr>
  </w:style>
  <w:style w:type="paragraph" w:customStyle="1" w:styleId="CharCharCharCharCharCharChar">
    <w:name w:val="Char Char Char Char Char Char Char"/>
    <w:basedOn w:val="Normal"/>
    <w:rsid w:val="00895047"/>
    <w:pPr>
      <w:spacing w:after="160" w:line="240" w:lineRule="exact"/>
    </w:pPr>
    <w:rPr>
      <w:rFonts w:ascii="Verdana" w:eastAsia="Times New Roman" w:hAnsi="Verdana" w:cs="Times New Roman"/>
      <w:sz w:val="20"/>
      <w:szCs w:val="24"/>
      <w:lang w:val="en-US"/>
    </w:rPr>
  </w:style>
  <w:style w:type="paragraph" w:customStyle="1" w:styleId="CharCharCharCharCharCharChar1">
    <w:name w:val="Char Char Char Char Char Char Char1"/>
    <w:basedOn w:val="Normal"/>
    <w:rsid w:val="00895047"/>
    <w:pPr>
      <w:spacing w:after="160" w:line="240" w:lineRule="exact"/>
    </w:pPr>
    <w:rPr>
      <w:rFonts w:ascii="Verdana" w:eastAsia="Times New Roman" w:hAnsi="Verdana" w:cs="Times New Roman"/>
      <w:sz w:val="20"/>
      <w:szCs w:val="24"/>
      <w:lang w:val="en-US"/>
    </w:rPr>
  </w:style>
  <w:style w:type="paragraph" w:styleId="Revision">
    <w:name w:val="Revision"/>
    <w:hidden/>
    <w:uiPriority w:val="99"/>
    <w:semiHidden/>
    <w:rsid w:val="00895047"/>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760827">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236630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2258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62649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7696102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55025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870326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hyperlink" Target="https://www.legislation.gov.au/Details/F2017L01315"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emf"/><Relationship Id="rId42" Type="http://schemas.openxmlformats.org/officeDocument/2006/relationships/hyperlink" Target="https://doi.org/10.25814/ac89-vr35"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hyperlink" Target="http://apps.agriculture.gov.au/agsurf/" TargetMode="External"/><Relationship Id="rId38" Type="http://schemas.openxmlformats.org/officeDocument/2006/relationships/hyperlink" Target="https://www.apra.gov.au/agricultural-lending-data-collection" TargetMode="External"/><Relationship Id="rId46" Type="http://schemas.openxmlformats.org/officeDocument/2006/relationships/hyperlink" Target="https://www.rba.gov.au/statistics/tables/"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griculture.gov.au/abares/research-topics/surveys/farm-debt" TargetMode="External"/><Relationship Id="rId32" Type="http://schemas.openxmlformats.org/officeDocument/2006/relationships/hyperlink" Target="https://www.agriculture.gov.au/abares/research-topics/surveys/farm-definitions-methods" TargetMode="External"/><Relationship Id="rId37" Type="http://schemas.openxmlformats.org/officeDocument/2006/relationships/image" Target="media/image14.emf"/><Relationship Id="rId40" Type="http://schemas.openxmlformats.org/officeDocument/2006/relationships/image" Target="media/image15.emf"/><Relationship Id="rId45" Type="http://schemas.openxmlformats.org/officeDocument/2006/relationships/hyperlink" Target="https://www.ric.gov.au/about" TargetMode="External"/><Relationship Id="rId5" Type="http://schemas.openxmlformats.org/officeDocument/2006/relationships/numbering" Target="numbering.xml"/><Relationship Id="rId15" Type="http://schemas.openxmlformats.org/officeDocument/2006/relationships/hyperlink" Target="https://www.agriculture.gov.au/ag-farm-food/drought/agricultural-lending-data" TargetMode="External"/><Relationship Id="rId23" Type="http://schemas.openxmlformats.org/officeDocument/2006/relationships/hyperlink" Target="https://www.agriculture.gov.au/ag-farm-food/drought/agricultural-lending-data" TargetMode="External"/><Relationship Id="rId28" Type="http://schemas.openxmlformats.org/officeDocument/2006/relationships/image" Target="media/image7.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yperlink" Target="https://www.dairyaustralia.com.au/subtropical-dairy/industry-statistics/cow-and-farms-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hyperlink" Target="https://www.abs.gov.au/statistics/industry/agriculture/value-agricultural-commodities-produced-australia/latest-release" TargetMode="Externa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a87d787-0c89-40d5-bbfb-be767bc14863"/>
    <ff31a84d4fbc41fa9a69e30de6eaee2d xmlns="67b9edc4-e3a8-4496-a90f-2b9854fe35c2">
      <Terms xmlns="http://schemas.microsoft.com/office/infopath/2007/PartnerControls">
        <TermInfo xmlns="http://schemas.microsoft.com/office/infopath/2007/PartnerControls">
          <TermName xmlns="http://schemas.microsoft.com/office/infopath/2007/PartnerControls">Producing materials</TermName>
          <TermId xmlns="http://schemas.microsoft.com/office/infopath/2007/PartnerControls">beb6dc92-c563-4210-bba1-1e3436ed4519</TermId>
        </TermInfo>
      </Terms>
    </ff31a84d4fbc41fa9a69e30de6eaee2d>
    <Purpose xmlns="67b9edc4-e3a8-4496-a90f-2b9854fe35c2">Template</Purpose>
    <Status xmlns="67b9edc4-e3a8-4496-a90f-2b9854fe35c2">Final</Status>
    <c9855bf3401b484e8340b5b8eb40b69e xmlns="67b9edc4-e3a8-4496-a90f-2b9854fe35c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12cafea6-325a-4b57-9617-7aee99b0bb8e</TermId>
        </TermInfo>
      </Terms>
    </c9855bf3401b484e8340b5b8eb40b69e>
    <Owner xmlns="67b9edc4-e3a8-4496-a90f-2b9854fe35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FEE32792156D4AAEB6C213DF3076FB" ma:contentTypeVersion="13" ma:contentTypeDescription="Create a new document." ma:contentTypeScope="" ma:versionID="f868a18221709ff6291f6c6e7ae5421a">
  <xsd:schema xmlns:xsd="http://www.w3.org/2001/XMLSchema" xmlns:xs="http://www.w3.org/2001/XMLSchema" xmlns:p="http://schemas.microsoft.com/office/2006/metadata/properties" xmlns:ns2="67b9edc4-e3a8-4496-a90f-2b9854fe35c2" xmlns:ns3="da87d787-0c89-40d5-bbfb-be767bc14863" targetNamespace="http://schemas.microsoft.com/office/2006/metadata/properties" ma:root="true" ma:fieldsID="29ad829025c5e0150dc8deaf97068757" ns2:_="" ns3:_="">
    <xsd:import namespace="67b9edc4-e3a8-4496-a90f-2b9854fe35c2"/>
    <xsd:import namespace="da87d787-0c89-40d5-bbfb-be767bc14863"/>
    <xsd:element name="properties">
      <xsd:complexType>
        <xsd:sequence>
          <xsd:element name="documentManagement">
            <xsd:complexType>
              <xsd:all>
                <xsd:element ref="ns2:Purpose" minOccurs="0"/>
                <xsd:element ref="ns2:MediaServiceMetadata" minOccurs="0"/>
                <xsd:element ref="ns2:MediaServiceFastMetadata" minOccurs="0"/>
                <xsd:element ref="ns2:c9855bf3401b484e8340b5b8eb40b69e" minOccurs="0"/>
                <xsd:element ref="ns3:TaxCatchAll" minOccurs="0"/>
                <xsd:element ref="ns2:ff31a84d4fbc41fa9a69e30de6eaee2d" minOccurs="0"/>
                <xsd:element ref="ns2:Owner" minOccurs="0"/>
                <xsd:element ref="ns2: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9edc4-e3a8-4496-a90f-2b9854fe35c2" elementFormDefault="qualified">
    <xsd:import namespace="http://schemas.microsoft.com/office/2006/documentManagement/types"/>
    <xsd:import namespace="http://schemas.microsoft.com/office/infopath/2007/PartnerControls"/>
    <xsd:element name="Purpose" ma:index="8" nillable="true" ma:displayName="Purpose" ma:format="Dropdown" ma:internalName="Purpose">
      <xsd:simpleType>
        <xsd:restriction base="dms:Choice">
          <xsd:enumeration value="Form"/>
          <xsd:enumeration value="Template"/>
          <xsd:enumeration value="Image asse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c9855bf3401b484e8340b5b8eb40b69e" ma:index="12" nillable="true" ma:taxonomy="true" ma:internalName="c9855bf3401b484e8340b5b8eb40b69e" ma:taxonomyFieldName="Topic" ma:displayName="Topic" ma:default="" ma:fieldId="{c9855bf3-401b-484e-8340-b5b8eb40b69e}"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ff31a84d4fbc41fa9a69e30de6eaee2d" ma:index="15" nillable="true" ma:taxonomy="true" ma:internalName="ff31a84d4fbc41fa9a69e30de6eaee2d" ma:taxonomyFieldName="Sub_x002d_topic" ma:displayName="Sub-topic" ma:default="" ma:fieldId="{ff31a84d-4fbc-41fa-9a69-e30de6eaee2d}"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Owner" ma:index="16" nillable="true" ma:displayName="Owner (Section)" ma:description="Name of Section responsible for this content" ma:format="Dropdown" ma:internalName="Owner">
      <xsd:simpleType>
        <xsd:restriction base="dms:Text">
          <xsd:maxLength value="255"/>
        </xsd:restriction>
      </xsd:simpleType>
    </xsd:element>
    <xsd:element name="Status" ma:index="17" nillable="true" ma:displayName="Status" ma:default="Interim" ma:format="Dropdown" ma:internalName="Status">
      <xsd:simpleType>
        <xsd:restriction base="dms:Choice">
          <xsd:enumeration value="Interim"/>
          <xsd:enumeration value="Final"/>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7d787-0c89-40d5-bbfb-be767bc148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0ff2cd0-6dd7-406c-888e-0bcfa46ad602}" ma:internalName="TaxCatchAll" ma:showField="CatchAllData" ma:web="da87d787-0c89-40d5-bbfb-be767bc14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infopath/2007/PartnerControls"/>
    <ds:schemaRef ds:uri="http://purl.org/dc/elements/1.1/"/>
    <ds:schemaRef ds:uri="http://schemas.microsoft.com/office/2006/metadata/properties"/>
    <ds:schemaRef ds:uri="67b9edc4-e3a8-4496-a90f-2b9854fe35c2"/>
    <ds:schemaRef ds:uri="http://purl.org/dc/terms/"/>
    <ds:schemaRef ds:uri="http://schemas.openxmlformats.org/package/2006/metadata/core-properties"/>
    <ds:schemaRef ds:uri="http://schemas.microsoft.com/office/2006/documentManagement/types"/>
    <ds:schemaRef ds:uri="da87d787-0c89-40d5-bbfb-be767bc14863"/>
    <ds:schemaRef ds:uri="http://www.w3.org/XML/1998/namespace"/>
    <ds:schemaRef ds:uri="http://purl.org/dc/dcmitype/"/>
  </ds:schemaRefs>
</ds:datastoreItem>
</file>

<file path=customXml/itemProps3.xml><?xml version="1.0" encoding="utf-8"?>
<ds:datastoreItem xmlns:ds="http://schemas.openxmlformats.org/officeDocument/2006/customXml" ds:itemID="{052B03BF-06E0-43F9-9071-7B9BC6469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9edc4-e3a8-4496-a90f-2b9854fe35c2"/>
    <ds:schemaRef ds:uri="da87d787-0c89-40d5-bbfb-be767bc14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28</Pages>
  <Words>8271</Words>
  <Characters>47150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Agricultural lending data 2019-20</vt:lpstr>
    </vt:vector>
  </TitlesOfParts>
  <Company/>
  <LinksUpToDate>false</LinksUpToDate>
  <CharactersWithSpaces>55311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lending data 2019-20</dc:title>
  <dc:subject/>
  <dc:creator>Department of Agriculture, Water and the Environment</dc:creator>
  <cp:keywords/>
  <dc:description/>
  <cp:lastModifiedBy>Gloag, Stephen</cp:lastModifiedBy>
  <cp:revision>14</cp:revision>
  <cp:lastPrinted>2021-11-11T06:49:00Z</cp:lastPrinted>
  <dcterms:created xsi:type="dcterms:W3CDTF">2021-10-24T23:58:00Z</dcterms:created>
  <dcterms:modified xsi:type="dcterms:W3CDTF">2021-11-11T08:41:00Z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0x01010098FEE32792156D4AAEB6C213DF3076FB</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DocType">
    <vt:lpwstr>Office</vt:lpwstr>
  </property>
</Properties>
</file>