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4DB" w:rsidRPr="0054282F" w:rsidRDefault="00E07B5A" w:rsidP="0054282F">
      <w:pPr>
        <w:pStyle w:val="Heading1"/>
      </w:pPr>
      <w:r w:rsidRPr="0054282F">
        <w:t>Achieving Ecological Outcomes for Black Box Vegetation</w:t>
      </w:r>
    </w:p>
    <w:p w:rsidR="00E07B5A" w:rsidRPr="00D956B4" w:rsidRDefault="00467F0E" w:rsidP="00D956B4">
      <w:r w:rsidRPr="00D956B4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2526030</wp:posOffset>
            </wp:positionH>
            <wp:positionV relativeFrom="paragraph">
              <wp:posOffset>88900</wp:posOffset>
            </wp:positionV>
            <wp:extent cx="3323590" cy="3314700"/>
            <wp:effectExtent l="0" t="0" r="0" b="0"/>
            <wp:wrapSquare wrapText="bothSides"/>
            <wp:docPr id="2" name="Picture 2" descr="1. Condition assessment&#10;2. Analysis of stressors&#10;3. Vulnerability assessment&#10;4. Objectives and targets&#10;5. Actions and Options&#10;6. Identify feasible options&#10;7. Benefit and risk assessment&#10;8. Monitoring plan&#10;9. Plan of management" title="Steps presented in the Black Box Management Fra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6B4">
        <w:t>The Black Box Management Framework aims to provide a guide for practitioners targeting th</w:t>
      </w:r>
      <w:bookmarkStart w:id="0" w:name="_GoBack"/>
      <w:bookmarkEnd w:id="0"/>
      <w:r w:rsidRPr="00D956B4">
        <w:t xml:space="preserve">e long term Black Box vegetation outcomes of the Murray-Darling Basin Plan, with an emphasis on complementary water and land management. </w:t>
      </w:r>
      <w:r w:rsidR="00E07B5A" w:rsidRPr="00D956B4">
        <w:t>The Framework:</w:t>
      </w:r>
    </w:p>
    <w:p w:rsidR="00467F0E" w:rsidRPr="00D956B4" w:rsidRDefault="00467F0E" w:rsidP="00D956B4">
      <w:r w:rsidRPr="00D956B4">
        <w:t>The Framework:</w:t>
      </w:r>
    </w:p>
    <w:p w:rsidR="00467F0E" w:rsidRPr="00D956B4" w:rsidRDefault="00467F0E" w:rsidP="00D956B4">
      <w:pPr>
        <w:pStyle w:val="ListParagraph"/>
        <w:numPr>
          <w:ilvl w:val="0"/>
          <w:numId w:val="8"/>
        </w:numPr>
        <w:ind w:left="284" w:hanging="284"/>
      </w:pPr>
      <w:r w:rsidRPr="00D956B4">
        <w:t>Guides evidence based decision-making to support achievement of targeted ecological outcomes for Black Box communities.</w:t>
      </w:r>
    </w:p>
    <w:p w:rsidR="00467F0E" w:rsidRPr="00D956B4" w:rsidRDefault="00467F0E" w:rsidP="00D956B4">
      <w:pPr>
        <w:pStyle w:val="ListParagraph"/>
        <w:numPr>
          <w:ilvl w:val="0"/>
          <w:numId w:val="8"/>
        </w:numPr>
        <w:ind w:left="284" w:hanging="284"/>
      </w:pPr>
      <w:r w:rsidRPr="00D956B4">
        <w:t xml:space="preserve">Presents an adaptable set of planning processes, tools and management options applicable to guiding effective Black Box management. </w:t>
      </w:r>
    </w:p>
    <w:p w:rsidR="00467F0E" w:rsidRPr="00D956B4" w:rsidRDefault="00467F0E" w:rsidP="00D956B4">
      <w:pPr>
        <w:pStyle w:val="ListParagraph"/>
        <w:numPr>
          <w:ilvl w:val="0"/>
          <w:numId w:val="8"/>
        </w:numPr>
        <w:ind w:left="284" w:hanging="284"/>
      </w:pPr>
      <w:r w:rsidRPr="00D956B4">
        <w:t xml:space="preserve">Provides basin and regional scale context to support site management planning. </w:t>
      </w:r>
    </w:p>
    <w:p w:rsidR="00467F0E" w:rsidRPr="00D956B4" w:rsidRDefault="00467F0E" w:rsidP="00D956B4">
      <w:pPr>
        <w:pStyle w:val="ListParagraph"/>
        <w:numPr>
          <w:ilvl w:val="0"/>
          <w:numId w:val="8"/>
        </w:numPr>
        <w:ind w:left="284" w:hanging="284"/>
      </w:pPr>
      <w:r w:rsidRPr="00D956B4">
        <w:t>Informs floodplain, region and basin scale planning and the prioritisation of resources.</w:t>
      </w:r>
    </w:p>
    <w:p w:rsidR="00467F0E" w:rsidRPr="00467F0E" w:rsidRDefault="00467F0E" w:rsidP="00467F0E">
      <w:pPr>
        <w:pStyle w:val="Default"/>
        <w:rPr>
          <w:rFonts w:ascii="Arial" w:hAnsi="Arial"/>
          <w:lang w:eastAsia="en-US"/>
        </w:rPr>
      </w:pPr>
    </w:p>
    <w:p w:rsidR="00467F0E" w:rsidRPr="00467F0E" w:rsidRDefault="00467F0E" w:rsidP="0054282F">
      <w:pPr>
        <w:pStyle w:val="Heading2"/>
        <w:rPr>
          <w:b w:val="0"/>
        </w:rPr>
      </w:pPr>
      <w:r w:rsidRPr="00467F0E">
        <w:t>THE NEED TO MANAGE BLACK BOX VEGETATION</w:t>
      </w:r>
    </w:p>
    <w:p w:rsidR="00467F0E" w:rsidRPr="00467F0E" w:rsidRDefault="00467F0E" w:rsidP="00D956B4">
      <w:pPr>
        <w:pStyle w:val="ListBullet"/>
        <w:ind w:left="284" w:hanging="284"/>
      </w:pPr>
      <w:r w:rsidRPr="00467F0E">
        <w:t>Black Box (</w:t>
      </w:r>
      <w:r w:rsidRPr="00D956B4">
        <w:rPr>
          <w:i/>
        </w:rPr>
        <w:t xml:space="preserve">Eucalyptus </w:t>
      </w:r>
      <w:proofErr w:type="spellStart"/>
      <w:r w:rsidRPr="00D956B4">
        <w:rPr>
          <w:i/>
        </w:rPr>
        <w:t>largiflorens</w:t>
      </w:r>
      <w:proofErr w:type="spellEnd"/>
      <w:r w:rsidRPr="00467F0E">
        <w:t>) trees provide high value habitat for a range of flora and fauna and provide ecosystem services throughout the Murray-Darling Basin.</w:t>
      </w:r>
    </w:p>
    <w:p w:rsidR="00467F0E" w:rsidRPr="00467F0E" w:rsidRDefault="00467F0E" w:rsidP="00D956B4">
      <w:pPr>
        <w:pStyle w:val="ListBullet"/>
        <w:ind w:left="284" w:hanging="284"/>
      </w:pPr>
      <w:r w:rsidRPr="00467F0E">
        <w:t xml:space="preserve">Black Box condition has been declining across the basin due to a combination of stressors including; reduced flooding frequency, elevated groundwater and soil salinity levels, reduced fresh groundwater levels, grazing pressure, and tree clearing. </w:t>
      </w:r>
    </w:p>
    <w:p w:rsidR="00467F0E" w:rsidRPr="00467F0E" w:rsidRDefault="00467F0E" w:rsidP="00D956B4">
      <w:pPr>
        <w:pStyle w:val="ListBullet"/>
        <w:ind w:left="284" w:hanging="284"/>
      </w:pPr>
      <w:r w:rsidRPr="00467F0E">
        <w:t xml:space="preserve">Continued degradation of Black Box populations will have far reaching impacts to associated ecosystems. </w:t>
      </w:r>
    </w:p>
    <w:p w:rsidR="00467F0E" w:rsidRPr="00467F0E" w:rsidRDefault="00467F0E" w:rsidP="00D956B4">
      <w:pPr>
        <w:pStyle w:val="ListBullet"/>
        <w:ind w:left="284" w:hanging="284"/>
      </w:pPr>
      <w:r w:rsidRPr="00467F0E">
        <w:t>Long term outcomes for Black Box focus on maintaining the current extent, arresting the decline in condition, and improving recruitment opportunities, as stated in the Basin-wide Environmental Watering Strategy.</w:t>
      </w:r>
    </w:p>
    <w:p w:rsidR="00467F0E" w:rsidRPr="00467F0E" w:rsidRDefault="00467F0E" w:rsidP="00467F0E">
      <w:pPr>
        <w:pStyle w:val="Default"/>
        <w:rPr>
          <w:rFonts w:ascii="Arial" w:hAnsi="Arial"/>
          <w:lang w:eastAsia="en-US"/>
        </w:rPr>
      </w:pPr>
    </w:p>
    <w:p w:rsidR="00E07B5A" w:rsidRDefault="00E07B5A" w:rsidP="00E07B5A">
      <w:pPr>
        <w:pStyle w:val="Default"/>
        <w:rPr>
          <w:color w:val="auto"/>
          <w:sz w:val="20"/>
          <w:szCs w:val="20"/>
        </w:rPr>
      </w:pPr>
    </w:p>
    <w:p w:rsidR="00E07B5A" w:rsidRDefault="00E07B5A" w:rsidP="00E07B5A">
      <w:pPr>
        <w:pStyle w:val="Default"/>
        <w:rPr>
          <w:color w:val="auto"/>
          <w:sz w:val="20"/>
          <w:szCs w:val="20"/>
        </w:rPr>
      </w:pPr>
    </w:p>
    <w:p w:rsidR="00E07B5A" w:rsidRDefault="00E07B5A" w:rsidP="00E07B5A">
      <w:pPr>
        <w:pStyle w:val="Default"/>
        <w:rPr>
          <w:color w:val="auto"/>
          <w:sz w:val="20"/>
          <w:szCs w:val="20"/>
        </w:rPr>
      </w:pPr>
    </w:p>
    <w:p w:rsidR="00E07B5A" w:rsidRPr="0054282F" w:rsidRDefault="00E07B5A" w:rsidP="0054282F">
      <w:pPr>
        <w:pStyle w:val="Heading2"/>
      </w:pPr>
      <w:r w:rsidRPr="0054282F">
        <w:lastRenderedPageBreak/>
        <w:t>TREE CONDITION RESPONSE TO MANAGEMENT</w:t>
      </w:r>
    </w:p>
    <w:p w:rsidR="00E07B5A" w:rsidRDefault="00E07B5A" w:rsidP="00467F0E">
      <w:pPr>
        <w:pStyle w:val="ListBullet"/>
        <w:numPr>
          <w:ilvl w:val="0"/>
          <w:numId w:val="0"/>
        </w:numPr>
        <w:rPr>
          <w:lang w:eastAsia="en-AU"/>
        </w:rPr>
      </w:pPr>
      <w:r w:rsidRPr="00E07B5A">
        <w:rPr>
          <w:lang w:eastAsia="en-AU"/>
        </w:rPr>
        <w:t>The Floodplain Response Conceptual Model illustrates the key relati</w:t>
      </w:r>
      <w:r>
        <w:rPr>
          <w:lang w:eastAsia="en-AU"/>
        </w:rPr>
        <w:t xml:space="preserve">onships between groundwater and </w:t>
      </w:r>
      <w:r w:rsidRPr="00E07B5A">
        <w:rPr>
          <w:lang w:eastAsia="en-AU"/>
        </w:rPr>
        <w:t>surface water management, soil and groundwater salinity, and tree health response.</w:t>
      </w:r>
    </w:p>
    <w:p w:rsidR="00467F0E" w:rsidRDefault="00467F0E" w:rsidP="00467F0E">
      <w:pPr>
        <w:pStyle w:val="ListBullet"/>
        <w:numPr>
          <w:ilvl w:val="0"/>
          <w:numId w:val="0"/>
        </w:numPr>
        <w:rPr>
          <w:lang w:eastAsia="en-AU"/>
        </w:rPr>
      </w:pPr>
      <w:r>
        <w:rPr>
          <w:lang w:eastAsia="en-AU"/>
        </w:rPr>
        <w:t>A) Unsaturated zone soil water availability</w:t>
      </w:r>
    </w:p>
    <w:p w:rsidR="00467F0E" w:rsidRDefault="00467F0E" w:rsidP="00467F0E">
      <w:pPr>
        <w:pStyle w:val="ListBullet"/>
        <w:numPr>
          <w:ilvl w:val="0"/>
          <w:numId w:val="0"/>
        </w:numPr>
        <w:rPr>
          <w:lang w:eastAsia="en-AU"/>
        </w:rPr>
      </w:pPr>
      <w:r>
        <w:rPr>
          <w:lang w:eastAsia="en-AU"/>
        </w:rPr>
        <w:t>B) River management to produce lateral recharge and lower salinity</w:t>
      </w:r>
    </w:p>
    <w:p w:rsidR="00467F0E" w:rsidRDefault="00467F0E" w:rsidP="00467F0E">
      <w:pPr>
        <w:pStyle w:val="ListBullet"/>
        <w:numPr>
          <w:ilvl w:val="0"/>
          <w:numId w:val="0"/>
        </w:numPr>
        <w:rPr>
          <w:lang w:eastAsia="en-AU"/>
        </w:rPr>
      </w:pPr>
      <w:r>
        <w:rPr>
          <w:lang w:eastAsia="en-AU"/>
        </w:rPr>
        <w:t>C) Groundwater lowering to allow more space in the unsaturated zone for low salinity water (or raise groundwater in the case of freshwater areas)</w:t>
      </w:r>
    </w:p>
    <w:p w:rsidR="00467F0E" w:rsidRDefault="00467F0E" w:rsidP="00467F0E">
      <w:pPr>
        <w:pStyle w:val="ListBullet"/>
        <w:numPr>
          <w:ilvl w:val="0"/>
          <w:numId w:val="0"/>
        </w:numPr>
        <w:rPr>
          <w:lang w:eastAsia="en-AU"/>
        </w:rPr>
      </w:pPr>
      <w:r>
        <w:rPr>
          <w:lang w:eastAsia="en-AU"/>
        </w:rPr>
        <w:t>D) Natural or managed surface watering to provide soil moisture and seed dispersal and germination</w:t>
      </w:r>
    </w:p>
    <w:p w:rsidR="00E07B5A" w:rsidRPr="00E07B5A" w:rsidRDefault="00467F0E" w:rsidP="00467F0E">
      <w:pPr>
        <w:pStyle w:val="ListBullet"/>
        <w:numPr>
          <w:ilvl w:val="0"/>
          <w:numId w:val="0"/>
        </w:numPr>
        <w:rPr>
          <w:lang w:eastAsia="en-AU"/>
        </w:rPr>
      </w:pPr>
      <w:r>
        <w:rPr>
          <w:lang w:eastAsia="en-AU"/>
        </w:rPr>
        <w:t>E) Surface watering potentially creating low salinity water lenses</w:t>
      </w:r>
    </w:p>
    <w:p w:rsidR="00467F0E" w:rsidRDefault="00467F0E" w:rsidP="00E07B5A">
      <w:pPr>
        <w:autoSpaceDE w:val="0"/>
        <w:autoSpaceDN w:val="0"/>
        <w:adjustRightInd w:val="0"/>
        <w:spacing w:after="160" w:line="241" w:lineRule="atLeast"/>
        <w:rPr>
          <w:rFonts w:ascii="Century Gothic" w:hAnsi="Century Gothic" w:cs="Century Gothic"/>
          <w:b/>
          <w:bCs/>
          <w:sz w:val="20"/>
          <w:szCs w:val="20"/>
          <w:lang w:eastAsia="en-AU"/>
        </w:rPr>
      </w:pPr>
      <w:r>
        <w:rPr>
          <w:noProof/>
          <w:lang w:eastAsia="en-AU"/>
        </w:rPr>
        <w:drawing>
          <wp:inline distT="0" distB="0" distL="0" distR="0" wp14:anchorId="0BF11DA6" wp14:editId="5875B316">
            <wp:extent cx="5076825" cy="2628900"/>
            <wp:effectExtent l="0" t="0" r="9525" b="0"/>
            <wp:docPr id="6" name="Picture 6" title="Tree health 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A" w:rsidRPr="0054282F" w:rsidRDefault="00E07B5A" w:rsidP="0054282F">
      <w:pPr>
        <w:pStyle w:val="Heading2"/>
      </w:pPr>
      <w:r w:rsidRPr="0054282F">
        <w:t>MANAGEMENT OF BLACK BOX AT DIFFERENT SCALES</w:t>
      </w:r>
    </w:p>
    <w:p w:rsidR="00E07B5A" w:rsidRDefault="00E07B5A" w:rsidP="00E07B5A">
      <w:pPr>
        <w:autoSpaceDE w:val="0"/>
        <w:autoSpaceDN w:val="0"/>
        <w:adjustRightInd w:val="0"/>
        <w:spacing w:after="160" w:line="241" w:lineRule="atLeast"/>
        <w:rPr>
          <w:rFonts w:ascii="Century Gothic" w:hAnsi="Century Gothic" w:cs="Century Gothic"/>
          <w:sz w:val="20"/>
          <w:szCs w:val="20"/>
          <w:lang w:eastAsia="en-AU"/>
        </w:rPr>
      </w:pPr>
      <w:r w:rsidRPr="00E07B5A">
        <w:rPr>
          <w:rFonts w:ascii="Century Gothic" w:hAnsi="Century Gothic" w:cs="Century Gothic"/>
          <w:sz w:val="20"/>
          <w:szCs w:val="20"/>
          <w:lang w:eastAsia="en-AU"/>
        </w:rPr>
        <w:t xml:space="preserve">The Framework provides insights and discusses issues that differ when considering management of Black Box at different scales. </w:t>
      </w:r>
    </w:p>
    <w:p w:rsidR="00BC0796" w:rsidRDefault="00BC0796" w:rsidP="00E07B5A">
      <w:pPr>
        <w:autoSpaceDE w:val="0"/>
        <w:autoSpaceDN w:val="0"/>
        <w:adjustRightInd w:val="0"/>
        <w:spacing w:after="160" w:line="241" w:lineRule="atLeast"/>
        <w:rPr>
          <w:rFonts w:ascii="Century Gothic" w:hAnsi="Century Gothic" w:cs="Century Gothic"/>
          <w:sz w:val="20"/>
          <w:szCs w:val="20"/>
          <w:lang w:eastAsia="en-AU"/>
        </w:rPr>
      </w:pPr>
      <w:r>
        <w:rPr>
          <w:noProof/>
          <w:lang w:eastAsia="en-AU"/>
        </w:rPr>
        <w:drawing>
          <wp:inline distT="0" distB="0" distL="0" distR="0" wp14:anchorId="6289989C" wp14:editId="7F7759ED">
            <wp:extent cx="5943600" cy="1879836"/>
            <wp:effectExtent l="0" t="0" r="0" b="6350"/>
            <wp:docPr id="1" name="Picture 1" descr="Floodplain &#10;Reach/region&#10;Murray Darling Basin" title="Management of black box at different s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154" cy="18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96" w:rsidRPr="00E07B5A" w:rsidRDefault="00BC0796" w:rsidP="00E07B5A">
      <w:pPr>
        <w:autoSpaceDE w:val="0"/>
        <w:autoSpaceDN w:val="0"/>
        <w:adjustRightInd w:val="0"/>
        <w:spacing w:after="160" w:line="241" w:lineRule="atLeast"/>
        <w:rPr>
          <w:rFonts w:ascii="Century Gothic" w:hAnsi="Century Gothic" w:cs="Century Gothic"/>
          <w:sz w:val="20"/>
          <w:szCs w:val="20"/>
          <w:lang w:eastAsia="en-AU"/>
        </w:rPr>
      </w:pPr>
    </w:p>
    <w:p w:rsidR="00BC0796" w:rsidRDefault="00BC0796" w:rsidP="00E07B5A">
      <w:pPr>
        <w:autoSpaceDE w:val="0"/>
        <w:autoSpaceDN w:val="0"/>
        <w:adjustRightInd w:val="0"/>
        <w:spacing w:after="160" w:line="241" w:lineRule="atLeast"/>
        <w:rPr>
          <w:rFonts w:ascii="Century Gothic" w:hAnsi="Century Gothic" w:cs="Century Gothic"/>
          <w:b/>
          <w:bCs/>
          <w:sz w:val="20"/>
          <w:szCs w:val="20"/>
          <w:lang w:eastAsia="en-AU"/>
        </w:rPr>
      </w:pPr>
    </w:p>
    <w:p w:rsidR="00BC0796" w:rsidRDefault="00BC0796" w:rsidP="00E07B5A">
      <w:pPr>
        <w:autoSpaceDE w:val="0"/>
        <w:autoSpaceDN w:val="0"/>
        <w:adjustRightInd w:val="0"/>
        <w:spacing w:after="160" w:line="241" w:lineRule="atLeast"/>
        <w:rPr>
          <w:rFonts w:ascii="Century Gothic" w:hAnsi="Century Gothic" w:cs="Century Gothic"/>
          <w:b/>
          <w:bCs/>
          <w:sz w:val="20"/>
          <w:szCs w:val="20"/>
          <w:lang w:eastAsia="en-AU"/>
        </w:rPr>
      </w:pPr>
    </w:p>
    <w:p w:rsidR="00E07B5A" w:rsidRPr="0054282F" w:rsidRDefault="00E07B5A" w:rsidP="0054282F">
      <w:pPr>
        <w:pStyle w:val="Heading2"/>
      </w:pPr>
      <w:r w:rsidRPr="0054282F">
        <w:lastRenderedPageBreak/>
        <w:t>KEY PRINCIPLES FOR MANAGEMENT OF BLACK BOX</w:t>
      </w:r>
    </w:p>
    <w:p w:rsidR="00467F0E" w:rsidRPr="00467F0E" w:rsidRDefault="00467F0E" w:rsidP="00467F0E">
      <w:pPr>
        <w:pStyle w:val="ListBullet"/>
      </w:pPr>
      <w:r w:rsidRPr="00467F0E">
        <w:t>Tree health is reliant on both groundwater and surface water management. Management at multiple scales – site, region and basin – is required to combat the underlying causes of Black Box decline.</w:t>
      </w:r>
    </w:p>
    <w:p w:rsidR="00467F0E" w:rsidRPr="00467F0E" w:rsidRDefault="00467F0E" w:rsidP="00467F0E">
      <w:pPr>
        <w:pStyle w:val="ListBullet"/>
      </w:pPr>
      <w:r w:rsidRPr="00467F0E">
        <w:t>Achieving sustainable outcomes for Black Box populations requires complementary land and water management interventions.</w:t>
      </w:r>
    </w:p>
    <w:p w:rsidR="00467F0E" w:rsidRPr="00467F0E" w:rsidRDefault="00467F0E" w:rsidP="00467F0E">
      <w:pPr>
        <w:pStyle w:val="ListBullet"/>
      </w:pPr>
      <w:r w:rsidRPr="00467F0E">
        <w:t>As a long-lived and slow-growing tree, Black Box take several years to transition between states of condition. Multi-year commitments of sustained intervention are required to realise improvements.</w:t>
      </w:r>
    </w:p>
    <w:p w:rsidR="00467F0E" w:rsidRPr="00467F0E" w:rsidRDefault="00467F0E" w:rsidP="00467F0E">
      <w:pPr>
        <w:pStyle w:val="ListBullet"/>
      </w:pPr>
      <w:r w:rsidRPr="00467F0E">
        <w:t>Due to the complex interdependencies of groundwater, surface water and salinity affecting Black Box condition, decisions to implement management options require a level of confidence in the stressors impacting Black Box to justify an effective use of resources.</w:t>
      </w:r>
    </w:p>
    <w:p w:rsidR="00BC0796" w:rsidRPr="00467F0E" w:rsidRDefault="00467F0E" w:rsidP="00467F0E">
      <w:pPr>
        <w:pStyle w:val="ListBullet"/>
      </w:pPr>
      <w:r w:rsidRPr="00467F0E">
        <w:t>Vulnerability is a key factor when prioritising resources for Black Box management. Vulnerability is a combination of condition, stressors, and the likelihood of decline and provides a means of setting objectives and outcomes that are realistic and achievable.</w:t>
      </w:r>
    </w:p>
    <w:p w:rsidR="00467F0E" w:rsidRPr="00467F0E" w:rsidRDefault="00467F0E" w:rsidP="00467F0E">
      <w:pPr>
        <w:pBdr>
          <w:bottom w:val="single" w:sz="6" w:space="1" w:color="auto"/>
        </w:pBdr>
        <w:autoSpaceDE w:val="0"/>
        <w:autoSpaceDN w:val="0"/>
        <w:adjustRightInd w:val="0"/>
        <w:spacing w:after="220" w:line="241" w:lineRule="atLeast"/>
        <w:rPr>
          <w:rFonts w:ascii="Century Gothic" w:hAnsi="Century Gothic"/>
          <w:bCs/>
          <w:sz w:val="20"/>
          <w:szCs w:val="20"/>
          <w:lang w:eastAsia="en-AU"/>
        </w:rPr>
      </w:pPr>
    </w:p>
    <w:p w:rsidR="00E07B5A" w:rsidRPr="00E07B5A" w:rsidRDefault="00E07B5A" w:rsidP="00E07B5A">
      <w:pPr>
        <w:autoSpaceDE w:val="0"/>
        <w:autoSpaceDN w:val="0"/>
        <w:adjustRightInd w:val="0"/>
        <w:spacing w:after="160" w:line="241" w:lineRule="atLeast"/>
        <w:rPr>
          <w:rFonts w:ascii="Century Gothic" w:hAnsi="Century Gothic" w:cs="Century Gothic"/>
          <w:sz w:val="18"/>
          <w:szCs w:val="18"/>
          <w:lang w:eastAsia="en-AU"/>
        </w:rPr>
      </w:pPr>
      <w:r w:rsidRPr="00E07B5A">
        <w:rPr>
          <w:rFonts w:ascii="Century Gothic" w:hAnsi="Century Gothic" w:cs="Century Gothic"/>
          <w:sz w:val="18"/>
          <w:szCs w:val="18"/>
          <w:lang w:eastAsia="en-AU"/>
        </w:rPr>
        <w:t>The Black Box Management Framework has been developed through a collaborative process. The CEWO would like to acknowledge significant contributions from a range of stakeholders, especially from the Black Box Working Group.</w:t>
      </w:r>
    </w:p>
    <w:p w:rsidR="00E07B5A" w:rsidRDefault="00E07B5A" w:rsidP="00E07B5A">
      <w:pPr>
        <w:pStyle w:val="Default"/>
        <w:rPr>
          <w:b/>
          <w:bCs/>
          <w:color w:val="auto"/>
          <w:sz w:val="23"/>
          <w:szCs w:val="23"/>
        </w:rPr>
      </w:pPr>
      <w:r w:rsidRPr="00E07B5A">
        <w:rPr>
          <w:b/>
          <w:bCs/>
          <w:color w:val="auto"/>
          <w:sz w:val="23"/>
          <w:szCs w:val="23"/>
        </w:rPr>
        <w:t>For more information</w:t>
      </w:r>
    </w:p>
    <w:p w:rsidR="00BC0796" w:rsidRDefault="00D956B4" w:rsidP="00E07B5A">
      <w:pPr>
        <w:pStyle w:val="Default"/>
        <w:rPr>
          <w:b/>
          <w:bCs/>
          <w:color w:val="auto"/>
          <w:sz w:val="23"/>
          <w:szCs w:val="23"/>
        </w:rPr>
      </w:pPr>
      <w:hyperlink r:id="rId10" w:history="1">
        <w:r w:rsidR="00BC0796" w:rsidRPr="00D53C31">
          <w:rPr>
            <w:rStyle w:val="Hyperlink"/>
            <w:b/>
            <w:bCs/>
            <w:sz w:val="23"/>
            <w:szCs w:val="23"/>
          </w:rPr>
          <w:t>ewater@environment.gov.au</w:t>
        </w:r>
      </w:hyperlink>
    </w:p>
    <w:p w:rsidR="00BC0796" w:rsidRDefault="00D956B4" w:rsidP="00E07B5A">
      <w:pPr>
        <w:pStyle w:val="Default"/>
        <w:rPr>
          <w:b/>
          <w:bCs/>
          <w:color w:val="auto"/>
          <w:sz w:val="23"/>
          <w:szCs w:val="23"/>
        </w:rPr>
      </w:pPr>
      <w:hyperlink r:id="rId11" w:history="1">
        <w:r w:rsidR="00BC0796" w:rsidRPr="00D53C31">
          <w:rPr>
            <w:rStyle w:val="Hyperlink"/>
            <w:b/>
            <w:bCs/>
            <w:sz w:val="23"/>
            <w:szCs w:val="23"/>
          </w:rPr>
          <w:t>www.environment.gov.au/water/cewo</w:t>
        </w:r>
      </w:hyperlink>
    </w:p>
    <w:p w:rsidR="00BC0796" w:rsidRDefault="00BC0796" w:rsidP="00E07B5A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3"/>
          <w:szCs w:val="23"/>
        </w:rPr>
        <w:t>Twitter: @</w:t>
      </w:r>
      <w:proofErr w:type="spellStart"/>
      <w:r>
        <w:rPr>
          <w:b/>
          <w:bCs/>
          <w:color w:val="auto"/>
          <w:sz w:val="23"/>
          <w:szCs w:val="23"/>
        </w:rPr>
        <w:t>theCEWH</w:t>
      </w:r>
      <w:proofErr w:type="spellEnd"/>
    </w:p>
    <w:sectPr w:rsidR="00BC0796" w:rsidSect="00FA4CF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276" w:bottom="567" w:left="1418" w:header="425" w:footer="42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B5A" w:rsidRDefault="00E07B5A" w:rsidP="00A60185">
      <w:pPr>
        <w:spacing w:after="0" w:line="240" w:lineRule="auto"/>
      </w:pPr>
      <w:r>
        <w:separator/>
      </w:r>
    </w:p>
  </w:endnote>
  <w:endnote w:type="continuationSeparator" w:id="0">
    <w:p w:rsidR="00E07B5A" w:rsidRDefault="00E07B5A" w:rsidP="00A6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82F" w:rsidRDefault="0054282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43830"/>
      <w:docPartObj>
        <w:docPartGallery w:val="Page Numbers (Bottom of Page)"/>
        <w:docPartUnique/>
      </w:docPartObj>
    </w:sdtPr>
    <w:sdtEndPr/>
    <w:sdtContent>
      <w:p w:rsidR="00100BEF" w:rsidRDefault="00522E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6B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879AA" w:rsidRDefault="003879A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B5A" w:rsidRPr="00EF53FF" w:rsidRDefault="00E07B5A" w:rsidP="00E07B5A">
    <w:r>
      <w:rPr>
        <w:rStyle w:val="A3"/>
      </w:rPr>
      <w:t xml:space="preserve">Ref: Overton IC, Coff B, Mollison D, </w:t>
    </w:r>
    <w:proofErr w:type="spellStart"/>
    <w:r>
      <w:rPr>
        <w:rStyle w:val="A3"/>
      </w:rPr>
      <w:t>Barling</w:t>
    </w:r>
    <w:proofErr w:type="spellEnd"/>
    <w:r>
      <w:rPr>
        <w:rStyle w:val="A3"/>
      </w:rPr>
      <w:t xml:space="preserve"> R, </w:t>
    </w:r>
    <w:proofErr w:type="spellStart"/>
    <w:r>
      <w:rPr>
        <w:rStyle w:val="A3"/>
      </w:rPr>
      <w:t>Fels</w:t>
    </w:r>
    <w:proofErr w:type="spellEnd"/>
    <w:r>
      <w:rPr>
        <w:rStyle w:val="A3"/>
      </w:rPr>
      <w:t xml:space="preserve"> K and Boyd A (2018) Black Box Management Framework: A Framework for Managing Floodplain and Wetland Black Box Eucalypts in the Murray-Darling Basin. Prepared by Jacobs Group (Australia) Pty Ltd for the Commonwealth Environmental Water Office, Australian Department of the Environment and Energy.</w:t>
    </w:r>
  </w:p>
  <w:p w:rsidR="00100BEF" w:rsidRDefault="00100B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B5A" w:rsidRDefault="00E07B5A" w:rsidP="00A60185">
      <w:pPr>
        <w:spacing w:after="0" w:line="240" w:lineRule="auto"/>
      </w:pPr>
      <w:r>
        <w:separator/>
      </w:r>
    </w:p>
  </w:footnote>
  <w:footnote w:type="continuationSeparator" w:id="0">
    <w:p w:rsidR="00E07B5A" w:rsidRDefault="00E07B5A" w:rsidP="00A6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82F" w:rsidRDefault="0054282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82F" w:rsidRDefault="0054282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82F" w:rsidRDefault="005428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32DB9"/>
    <w:multiLevelType w:val="multilevel"/>
    <w:tmpl w:val="E5E89F92"/>
    <w:styleLink w:val="BulletList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pStyle w:val="ListBullet2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pStyle w:val="ListBullet4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pStyle w:val="ListBullet5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" w15:restartNumberingAfterBreak="0">
    <w:nsid w:val="1F745BC2"/>
    <w:multiLevelType w:val="multilevel"/>
    <w:tmpl w:val="E5E89F92"/>
    <w:numStyleLink w:val="BulletList"/>
  </w:abstractNum>
  <w:abstractNum w:abstractNumId="2" w15:restartNumberingAfterBreak="0">
    <w:nsid w:val="3098052F"/>
    <w:multiLevelType w:val="multilevel"/>
    <w:tmpl w:val="473EA67C"/>
    <w:lvl w:ilvl="0">
      <w:start w:val="1"/>
      <w:numFmt w:val="decimal"/>
      <w:pStyle w:val="ListParagraph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5606A39"/>
    <w:multiLevelType w:val="hybridMultilevel"/>
    <w:tmpl w:val="C75823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65456429"/>
    <w:multiLevelType w:val="multilevel"/>
    <w:tmpl w:val="E898CC72"/>
    <w:numStyleLink w:val="KeyPoints"/>
  </w:abstractNum>
  <w:abstractNum w:abstractNumId="6" w15:restartNumberingAfterBreak="0">
    <w:nsid w:val="762964D5"/>
    <w:multiLevelType w:val="multilevel"/>
    <w:tmpl w:val="E898CC72"/>
    <w:styleLink w:val="KeyPoints"/>
    <w:lvl w:ilvl="0">
      <w:start w:val="1"/>
      <w:numFmt w:val="decimal"/>
      <w:pStyle w:val="ListNumber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pStyle w:val="ListNumber2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pStyle w:val="ListNumber4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7" w15:restartNumberingAfterBreak="0">
    <w:nsid w:val="7AC8175F"/>
    <w:multiLevelType w:val="hybridMultilevel"/>
    <w:tmpl w:val="A648B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7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ecurityClassificationInHeader" w:val="False"/>
  </w:docVars>
  <w:rsids>
    <w:rsidRoot w:val="00E07B5A"/>
    <w:rsid w:val="00004AEE"/>
    <w:rsid w:val="00005CAA"/>
    <w:rsid w:val="00010210"/>
    <w:rsid w:val="00012D66"/>
    <w:rsid w:val="00015ADA"/>
    <w:rsid w:val="00020C99"/>
    <w:rsid w:val="0002707B"/>
    <w:rsid w:val="0005148E"/>
    <w:rsid w:val="00072C5A"/>
    <w:rsid w:val="000759E5"/>
    <w:rsid w:val="00084AC6"/>
    <w:rsid w:val="00091608"/>
    <w:rsid w:val="0009333C"/>
    <w:rsid w:val="0009704F"/>
    <w:rsid w:val="000A0F11"/>
    <w:rsid w:val="000A125A"/>
    <w:rsid w:val="000A57CD"/>
    <w:rsid w:val="000B3758"/>
    <w:rsid w:val="000B7681"/>
    <w:rsid w:val="000B7B42"/>
    <w:rsid w:val="000C02B7"/>
    <w:rsid w:val="000C5100"/>
    <w:rsid w:val="000C5342"/>
    <w:rsid w:val="000C706A"/>
    <w:rsid w:val="000D2887"/>
    <w:rsid w:val="000D6D63"/>
    <w:rsid w:val="000E0081"/>
    <w:rsid w:val="000E07CF"/>
    <w:rsid w:val="000E31C1"/>
    <w:rsid w:val="000F2CF2"/>
    <w:rsid w:val="00100BEF"/>
    <w:rsid w:val="00111326"/>
    <w:rsid w:val="0011498E"/>
    <w:rsid w:val="00117A45"/>
    <w:rsid w:val="001224AE"/>
    <w:rsid w:val="001337D4"/>
    <w:rsid w:val="00147C12"/>
    <w:rsid w:val="001527A1"/>
    <w:rsid w:val="001530DC"/>
    <w:rsid w:val="00154989"/>
    <w:rsid w:val="00155A9F"/>
    <w:rsid w:val="00160262"/>
    <w:rsid w:val="0016780A"/>
    <w:rsid w:val="001713FA"/>
    <w:rsid w:val="00173EBF"/>
    <w:rsid w:val="00175ED3"/>
    <w:rsid w:val="001842A2"/>
    <w:rsid w:val="00187FA8"/>
    <w:rsid w:val="00192F5E"/>
    <w:rsid w:val="00197772"/>
    <w:rsid w:val="001A51C8"/>
    <w:rsid w:val="001B4CA8"/>
    <w:rsid w:val="001B5EA1"/>
    <w:rsid w:val="001C4F3D"/>
    <w:rsid w:val="001D0CDC"/>
    <w:rsid w:val="001D1D82"/>
    <w:rsid w:val="001E1182"/>
    <w:rsid w:val="00202C90"/>
    <w:rsid w:val="00213DE8"/>
    <w:rsid w:val="00216118"/>
    <w:rsid w:val="002209AB"/>
    <w:rsid w:val="002251E3"/>
    <w:rsid w:val="00227A95"/>
    <w:rsid w:val="002316BD"/>
    <w:rsid w:val="002473FC"/>
    <w:rsid w:val="00252E3C"/>
    <w:rsid w:val="00262198"/>
    <w:rsid w:val="00285F1B"/>
    <w:rsid w:val="00292B81"/>
    <w:rsid w:val="002B18AE"/>
    <w:rsid w:val="002C1C93"/>
    <w:rsid w:val="002C5066"/>
    <w:rsid w:val="002C5813"/>
    <w:rsid w:val="002D4AAC"/>
    <w:rsid w:val="002F045A"/>
    <w:rsid w:val="0030039D"/>
    <w:rsid w:val="0030326F"/>
    <w:rsid w:val="00310701"/>
    <w:rsid w:val="00315980"/>
    <w:rsid w:val="00316F7F"/>
    <w:rsid w:val="003218E8"/>
    <w:rsid w:val="00325E34"/>
    <w:rsid w:val="00330DCE"/>
    <w:rsid w:val="00331E11"/>
    <w:rsid w:val="00334761"/>
    <w:rsid w:val="00337EBC"/>
    <w:rsid w:val="00341DCD"/>
    <w:rsid w:val="0034563E"/>
    <w:rsid w:val="00347EC2"/>
    <w:rsid w:val="003518D6"/>
    <w:rsid w:val="0035460C"/>
    <w:rsid w:val="003556BD"/>
    <w:rsid w:val="00365147"/>
    <w:rsid w:val="0037016E"/>
    <w:rsid w:val="00372908"/>
    <w:rsid w:val="00383020"/>
    <w:rsid w:val="003879AA"/>
    <w:rsid w:val="00394D7E"/>
    <w:rsid w:val="003975FD"/>
    <w:rsid w:val="003B057D"/>
    <w:rsid w:val="003B093A"/>
    <w:rsid w:val="003B60CC"/>
    <w:rsid w:val="003B6945"/>
    <w:rsid w:val="003C1B25"/>
    <w:rsid w:val="003C2443"/>
    <w:rsid w:val="003C5DA3"/>
    <w:rsid w:val="003D4BCD"/>
    <w:rsid w:val="003D6C2B"/>
    <w:rsid w:val="003E01D8"/>
    <w:rsid w:val="003E2100"/>
    <w:rsid w:val="003F6F5B"/>
    <w:rsid w:val="0040342D"/>
    <w:rsid w:val="0041192D"/>
    <w:rsid w:val="00413EE1"/>
    <w:rsid w:val="0042128E"/>
    <w:rsid w:val="00432B60"/>
    <w:rsid w:val="00440698"/>
    <w:rsid w:val="004540E2"/>
    <w:rsid w:val="00454454"/>
    <w:rsid w:val="00467924"/>
    <w:rsid w:val="00467F0E"/>
    <w:rsid w:val="004712A5"/>
    <w:rsid w:val="0047266F"/>
    <w:rsid w:val="00476D6B"/>
    <w:rsid w:val="00492C16"/>
    <w:rsid w:val="004A0678"/>
    <w:rsid w:val="004A48A3"/>
    <w:rsid w:val="004B0D92"/>
    <w:rsid w:val="004B0EC0"/>
    <w:rsid w:val="004B66F1"/>
    <w:rsid w:val="004C3EA0"/>
    <w:rsid w:val="004F7169"/>
    <w:rsid w:val="00500D66"/>
    <w:rsid w:val="00514C8E"/>
    <w:rsid w:val="00522ECB"/>
    <w:rsid w:val="00531DBF"/>
    <w:rsid w:val="0054282F"/>
    <w:rsid w:val="00545759"/>
    <w:rsid w:val="00545BE0"/>
    <w:rsid w:val="00546930"/>
    <w:rsid w:val="00554C6A"/>
    <w:rsid w:val="00562E85"/>
    <w:rsid w:val="0056332F"/>
    <w:rsid w:val="005719B3"/>
    <w:rsid w:val="0057295E"/>
    <w:rsid w:val="00581C39"/>
    <w:rsid w:val="005903B6"/>
    <w:rsid w:val="005A0247"/>
    <w:rsid w:val="005A126E"/>
    <w:rsid w:val="005A452F"/>
    <w:rsid w:val="005B140D"/>
    <w:rsid w:val="005C1FEA"/>
    <w:rsid w:val="005C3495"/>
    <w:rsid w:val="005E3DFC"/>
    <w:rsid w:val="005E5942"/>
    <w:rsid w:val="005E60AF"/>
    <w:rsid w:val="005F1DEA"/>
    <w:rsid w:val="00607FC9"/>
    <w:rsid w:val="00622FE1"/>
    <w:rsid w:val="0062521C"/>
    <w:rsid w:val="00630A2B"/>
    <w:rsid w:val="00632DC7"/>
    <w:rsid w:val="006357FB"/>
    <w:rsid w:val="006406FC"/>
    <w:rsid w:val="00640E57"/>
    <w:rsid w:val="00646122"/>
    <w:rsid w:val="00653E16"/>
    <w:rsid w:val="00657220"/>
    <w:rsid w:val="00657362"/>
    <w:rsid w:val="0066104B"/>
    <w:rsid w:val="006655EE"/>
    <w:rsid w:val="00667C10"/>
    <w:rsid w:val="00667EF4"/>
    <w:rsid w:val="00676FCA"/>
    <w:rsid w:val="00677177"/>
    <w:rsid w:val="0068612E"/>
    <w:rsid w:val="00687C92"/>
    <w:rsid w:val="0069534E"/>
    <w:rsid w:val="0069669C"/>
    <w:rsid w:val="006A1200"/>
    <w:rsid w:val="006A4F4E"/>
    <w:rsid w:val="006A6C23"/>
    <w:rsid w:val="006B14DB"/>
    <w:rsid w:val="006B21C4"/>
    <w:rsid w:val="006C4A1A"/>
    <w:rsid w:val="006D0393"/>
    <w:rsid w:val="006D1A83"/>
    <w:rsid w:val="006E1CFE"/>
    <w:rsid w:val="006F10C4"/>
    <w:rsid w:val="006F40E9"/>
    <w:rsid w:val="006F5603"/>
    <w:rsid w:val="006F7B87"/>
    <w:rsid w:val="00701400"/>
    <w:rsid w:val="007037CF"/>
    <w:rsid w:val="007167C0"/>
    <w:rsid w:val="00720481"/>
    <w:rsid w:val="00733193"/>
    <w:rsid w:val="00744DDA"/>
    <w:rsid w:val="00745E03"/>
    <w:rsid w:val="0075732A"/>
    <w:rsid w:val="007600F8"/>
    <w:rsid w:val="00760262"/>
    <w:rsid w:val="0076310C"/>
    <w:rsid w:val="0076744F"/>
    <w:rsid w:val="00767BCE"/>
    <w:rsid w:val="00767EFC"/>
    <w:rsid w:val="007707DE"/>
    <w:rsid w:val="00770B5D"/>
    <w:rsid w:val="007752F1"/>
    <w:rsid w:val="00776768"/>
    <w:rsid w:val="0078187A"/>
    <w:rsid w:val="00794ED8"/>
    <w:rsid w:val="007A2573"/>
    <w:rsid w:val="007B106C"/>
    <w:rsid w:val="007B1A4E"/>
    <w:rsid w:val="007B3D05"/>
    <w:rsid w:val="007B5503"/>
    <w:rsid w:val="007C179C"/>
    <w:rsid w:val="007C6BB3"/>
    <w:rsid w:val="007D14B4"/>
    <w:rsid w:val="007D3AD7"/>
    <w:rsid w:val="007E24F6"/>
    <w:rsid w:val="00800F64"/>
    <w:rsid w:val="00801050"/>
    <w:rsid w:val="00802F0B"/>
    <w:rsid w:val="00810A67"/>
    <w:rsid w:val="00833CF7"/>
    <w:rsid w:val="00834CDE"/>
    <w:rsid w:val="00842464"/>
    <w:rsid w:val="00845601"/>
    <w:rsid w:val="00855C5C"/>
    <w:rsid w:val="008A3C96"/>
    <w:rsid w:val="008B4019"/>
    <w:rsid w:val="008B65C9"/>
    <w:rsid w:val="008C2D4A"/>
    <w:rsid w:val="008D3900"/>
    <w:rsid w:val="008D6E1D"/>
    <w:rsid w:val="008F39B4"/>
    <w:rsid w:val="008F4162"/>
    <w:rsid w:val="00903E02"/>
    <w:rsid w:val="00913175"/>
    <w:rsid w:val="00916EDB"/>
    <w:rsid w:val="00920861"/>
    <w:rsid w:val="00922B13"/>
    <w:rsid w:val="009242EF"/>
    <w:rsid w:val="00932291"/>
    <w:rsid w:val="00932861"/>
    <w:rsid w:val="0093408E"/>
    <w:rsid w:val="00952DDF"/>
    <w:rsid w:val="009610A3"/>
    <w:rsid w:val="00963B6A"/>
    <w:rsid w:val="00970950"/>
    <w:rsid w:val="009812D4"/>
    <w:rsid w:val="009920D8"/>
    <w:rsid w:val="009952F5"/>
    <w:rsid w:val="009A6DB7"/>
    <w:rsid w:val="009B38BE"/>
    <w:rsid w:val="009C3D0F"/>
    <w:rsid w:val="009E1B19"/>
    <w:rsid w:val="009F35E2"/>
    <w:rsid w:val="009F65F9"/>
    <w:rsid w:val="009F68BA"/>
    <w:rsid w:val="00A06277"/>
    <w:rsid w:val="00A079DC"/>
    <w:rsid w:val="00A111C2"/>
    <w:rsid w:val="00A338E7"/>
    <w:rsid w:val="00A35CAA"/>
    <w:rsid w:val="00A36E7F"/>
    <w:rsid w:val="00A41E65"/>
    <w:rsid w:val="00A43E0A"/>
    <w:rsid w:val="00A530C7"/>
    <w:rsid w:val="00A55F5B"/>
    <w:rsid w:val="00A60185"/>
    <w:rsid w:val="00A661EA"/>
    <w:rsid w:val="00A830E5"/>
    <w:rsid w:val="00A87135"/>
    <w:rsid w:val="00A93280"/>
    <w:rsid w:val="00A951EA"/>
    <w:rsid w:val="00AA2548"/>
    <w:rsid w:val="00AA58C4"/>
    <w:rsid w:val="00AA7003"/>
    <w:rsid w:val="00AB11C8"/>
    <w:rsid w:val="00AC08A8"/>
    <w:rsid w:val="00AD56C8"/>
    <w:rsid w:val="00AD58F2"/>
    <w:rsid w:val="00B0512A"/>
    <w:rsid w:val="00B0529F"/>
    <w:rsid w:val="00B1418B"/>
    <w:rsid w:val="00B21195"/>
    <w:rsid w:val="00B24B22"/>
    <w:rsid w:val="00B25310"/>
    <w:rsid w:val="00B32F8F"/>
    <w:rsid w:val="00B3492A"/>
    <w:rsid w:val="00B54DE9"/>
    <w:rsid w:val="00B553EC"/>
    <w:rsid w:val="00B55E3F"/>
    <w:rsid w:val="00B63C1E"/>
    <w:rsid w:val="00B93DD0"/>
    <w:rsid w:val="00B97732"/>
    <w:rsid w:val="00BA65A8"/>
    <w:rsid w:val="00BA6D19"/>
    <w:rsid w:val="00BA7461"/>
    <w:rsid w:val="00BA7DA9"/>
    <w:rsid w:val="00BC0796"/>
    <w:rsid w:val="00BC4215"/>
    <w:rsid w:val="00BD1A6F"/>
    <w:rsid w:val="00BE6D3C"/>
    <w:rsid w:val="00BE7852"/>
    <w:rsid w:val="00BF7CEE"/>
    <w:rsid w:val="00C03880"/>
    <w:rsid w:val="00C135CF"/>
    <w:rsid w:val="00C2683F"/>
    <w:rsid w:val="00C3184D"/>
    <w:rsid w:val="00C4714E"/>
    <w:rsid w:val="00C51CCA"/>
    <w:rsid w:val="00C5504F"/>
    <w:rsid w:val="00C57B55"/>
    <w:rsid w:val="00C63376"/>
    <w:rsid w:val="00C74F97"/>
    <w:rsid w:val="00C8276E"/>
    <w:rsid w:val="00C842AC"/>
    <w:rsid w:val="00C96688"/>
    <w:rsid w:val="00CA0723"/>
    <w:rsid w:val="00CB1690"/>
    <w:rsid w:val="00CC4365"/>
    <w:rsid w:val="00CD11B0"/>
    <w:rsid w:val="00CE71C2"/>
    <w:rsid w:val="00CF34E9"/>
    <w:rsid w:val="00CF42D5"/>
    <w:rsid w:val="00CF4EDA"/>
    <w:rsid w:val="00D021CB"/>
    <w:rsid w:val="00D10F1A"/>
    <w:rsid w:val="00D116F8"/>
    <w:rsid w:val="00D17596"/>
    <w:rsid w:val="00D21D54"/>
    <w:rsid w:val="00D22640"/>
    <w:rsid w:val="00D26D3A"/>
    <w:rsid w:val="00D45EE3"/>
    <w:rsid w:val="00D50618"/>
    <w:rsid w:val="00D509E9"/>
    <w:rsid w:val="00D53B1C"/>
    <w:rsid w:val="00D956B4"/>
    <w:rsid w:val="00DA1B12"/>
    <w:rsid w:val="00DA54C9"/>
    <w:rsid w:val="00DA6739"/>
    <w:rsid w:val="00DA6CAE"/>
    <w:rsid w:val="00DB1A9E"/>
    <w:rsid w:val="00DB31D6"/>
    <w:rsid w:val="00DB4005"/>
    <w:rsid w:val="00DC34EB"/>
    <w:rsid w:val="00DF1E5B"/>
    <w:rsid w:val="00DF2275"/>
    <w:rsid w:val="00DF3F5E"/>
    <w:rsid w:val="00DF5653"/>
    <w:rsid w:val="00E0596E"/>
    <w:rsid w:val="00E06F66"/>
    <w:rsid w:val="00E07B5A"/>
    <w:rsid w:val="00E356E5"/>
    <w:rsid w:val="00E36F81"/>
    <w:rsid w:val="00E45765"/>
    <w:rsid w:val="00E5098C"/>
    <w:rsid w:val="00E60213"/>
    <w:rsid w:val="00E661B2"/>
    <w:rsid w:val="00E74D29"/>
    <w:rsid w:val="00E83C74"/>
    <w:rsid w:val="00E83CEE"/>
    <w:rsid w:val="00E91F18"/>
    <w:rsid w:val="00E9226D"/>
    <w:rsid w:val="00EA416C"/>
    <w:rsid w:val="00EA5941"/>
    <w:rsid w:val="00EB60CE"/>
    <w:rsid w:val="00EB7D53"/>
    <w:rsid w:val="00EE3146"/>
    <w:rsid w:val="00EF50BB"/>
    <w:rsid w:val="00EF53FF"/>
    <w:rsid w:val="00F00192"/>
    <w:rsid w:val="00F01DF6"/>
    <w:rsid w:val="00F0340D"/>
    <w:rsid w:val="00F059A6"/>
    <w:rsid w:val="00F23756"/>
    <w:rsid w:val="00F2523A"/>
    <w:rsid w:val="00F25FFA"/>
    <w:rsid w:val="00F310D2"/>
    <w:rsid w:val="00F36F3D"/>
    <w:rsid w:val="00F477BD"/>
    <w:rsid w:val="00F53491"/>
    <w:rsid w:val="00F65A1C"/>
    <w:rsid w:val="00F66F50"/>
    <w:rsid w:val="00F82FF8"/>
    <w:rsid w:val="00F8330D"/>
    <w:rsid w:val="00F84305"/>
    <w:rsid w:val="00F8485C"/>
    <w:rsid w:val="00F87149"/>
    <w:rsid w:val="00F87FFE"/>
    <w:rsid w:val="00F954C9"/>
    <w:rsid w:val="00FA4CF0"/>
    <w:rsid w:val="00FA61AA"/>
    <w:rsid w:val="00FA69A4"/>
    <w:rsid w:val="00FB1279"/>
    <w:rsid w:val="00FB1495"/>
    <w:rsid w:val="00FD1694"/>
    <w:rsid w:val="00FD7636"/>
    <w:rsid w:val="00FE3229"/>
    <w:rsid w:val="00FE74C3"/>
    <w:rsid w:val="00FF215C"/>
    <w:rsid w:val="00FF49E8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CFD0CA34-745C-466B-A443-885D407F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AD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56B4"/>
    <w:pPr>
      <w:keepNext/>
      <w:outlineLvl w:val="0"/>
    </w:pPr>
    <w:rPr>
      <w:rFonts w:cs="Arial"/>
      <w:b/>
      <w:sz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0E31C1"/>
    <w:pPr>
      <w:keepNext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0E31C1"/>
    <w:pPr>
      <w:keepNext/>
      <w:outlineLvl w:val="2"/>
    </w:pPr>
    <w:rPr>
      <w:rFonts w:cs="Arial"/>
      <w:b/>
      <w:i/>
    </w:rPr>
  </w:style>
  <w:style w:type="paragraph" w:styleId="Heading4">
    <w:name w:val="heading 4"/>
    <w:basedOn w:val="Normal"/>
    <w:next w:val="Normal"/>
    <w:link w:val="Heading4Char"/>
    <w:uiPriority w:val="9"/>
    <w:qFormat/>
    <w:rsid w:val="000E31C1"/>
    <w:pPr>
      <w:keepNext/>
      <w:outlineLvl w:val="3"/>
    </w:pPr>
    <w:rPr>
      <w:rFonts w:cs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185"/>
  </w:style>
  <w:style w:type="paragraph" w:styleId="Footer">
    <w:name w:val="footer"/>
    <w:basedOn w:val="Normal"/>
    <w:link w:val="Foot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185"/>
  </w:style>
  <w:style w:type="paragraph" w:styleId="BalloonText">
    <w:name w:val="Balloon Text"/>
    <w:basedOn w:val="Normal"/>
    <w:link w:val="BalloonTextChar"/>
    <w:uiPriority w:val="99"/>
    <w:semiHidden/>
    <w:unhideWhenUsed/>
    <w:rsid w:val="00A6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85"/>
    <w:rPr>
      <w:rFonts w:ascii="Tahoma" w:hAnsi="Tahoma" w:cs="Tahoma"/>
      <w:sz w:val="16"/>
      <w:szCs w:val="16"/>
    </w:rPr>
  </w:style>
  <w:style w:type="numbering" w:customStyle="1" w:styleId="KeyPoints">
    <w:name w:val="Key Points"/>
    <w:basedOn w:val="NoList"/>
    <w:uiPriority w:val="99"/>
    <w:rsid w:val="00005CAA"/>
    <w:pPr>
      <w:numPr>
        <w:numId w:val="1"/>
      </w:numPr>
    </w:pPr>
  </w:style>
  <w:style w:type="paragraph" w:customStyle="1" w:styleId="1NumberedPointsStyle">
    <w:name w:val="1. Numbered Points Style"/>
    <w:basedOn w:val="ListParagraph"/>
    <w:rsid w:val="00BD1A6F"/>
    <w:pPr>
      <w:numPr>
        <w:numId w:val="0"/>
      </w:numPr>
    </w:pPr>
  </w:style>
  <w:style w:type="numbering" w:customStyle="1" w:styleId="BulletList">
    <w:name w:val="Bullet List"/>
    <w:uiPriority w:val="99"/>
    <w:rsid w:val="00091608"/>
    <w:pPr>
      <w:numPr>
        <w:numId w:val="2"/>
      </w:numPr>
    </w:pPr>
  </w:style>
  <w:style w:type="paragraph" w:customStyle="1" w:styleId="1BulletStyleList">
    <w:name w:val="1. Bullet Style List"/>
    <w:basedOn w:val="Normal"/>
    <w:rsid w:val="00CE71C2"/>
    <w:pPr>
      <w:spacing w:line="240" w:lineRule="auto"/>
    </w:pPr>
    <w:rPr>
      <w:rFonts w:eastAsia="Times New Roman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D956B4"/>
    <w:rPr>
      <w:rFonts w:cs="Arial"/>
      <w:b/>
      <w:sz w:val="40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E31C1"/>
    <w:rPr>
      <w:rFonts w:cs="Arial"/>
      <w:b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E31C1"/>
    <w:rPr>
      <w:rFonts w:cs="Arial"/>
      <w:b/>
      <w:i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E31C1"/>
    <w:rPr>
      <w:rFonts w:cs="Arial"/>
      <w:i/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091608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091608"/>
    <w:pPr>
      <w:numPr>
        <w:ilvl w:val="1"/>
        <w:numId w:val="6"/>
      </w:numPr>
    </w:pPr>
  </w:style>
  <w:style w:type="paragraph" w:styleId="ListBullet3">
    <w:name w:val="List Bullet 3"/>
    <w:basedOn w:val="Normal"/>
    <w:uiPriority w:val="99"/>
    <w:unhideWhenUsed/>
    <w:rsid w:val="00091608"/>
    <w:pPr>
      <w:numPr>
        <w:ilvl w:val="2"/>
        <w:numId w:val="6"/>
      </w:numPr>
    </w:pPr>
  </w:style>
  <w:style w:type="paragraph" w:styleId="ListBullet4">
    <w:name w:val="List Bullet 4"/>
    <w:basedOn w:val="Normal"/>
    <w:uiPriority w:val="99"/>
    <w:unhideWhenUsed/>
    <w:rsid w:val="00091608"/>
    <w:pPr>
      <w:numPr>
        <w:ilvl w:val="3"/>
        <w:numId w:val="6"/>
      </w:numPr>
    </w:pPr>
  </w:style>
  <w:style w:type="paragraph" w:styleId="ListBullet5">
    <w:name w:val="List Bullet 5"/>
    <w:basedOn w:val="Normal"/>
    <w:uiPriority w:val="99"/>
    <w:unhideWhenUsed/>
    <w:rsid w:val="00091608"/>
    <w:pPr>
      <w:numPr>
        <w:ilvl w:val="4"/>
        <w:numId w:val="6"/>
      </w:numPr>
    </w:pPr>
  </w:style>
  <w:style w:type="numbering" w:customStyle="1" w:styleId="Attach">
    <w:name w:val="Attach"/>
    <w:basedOn w:val="NoList"/>
    <w:uiPriority w:val="99"/>
    <w:rsid w:val="00607FC9"/>
    <w:pPr>
      <w:numPr>
        <w:numId w:val="3"/>
      </w:numPr>
    </w:pPr>
  </w:style>
  <w:style w:type="paragraph" w:customStyle="1" w:styleId="Classification">
    <w:name w:val="Classification"/>
    <w:basedOn w:val="Normal"/>
    <w:uiPriority w:val="10"/>
    <w:qFormat/>
    <w:rsid w:val="00646122"/>
    <w:pPr>
      <w:tabs>
        <w:tab w:val="center" w:pos="4536"/>
        <w:tab w:val="center" w:pos="4819"/>
        <w:tab w:val="right" w:pos="9356"/>
      </w:tabs>
      <w:spacing w:after="240"/>
      <w:jc w:val="center"/>
    </w:pPr>
    <w:rPr>
      <w:rFonts w:eastAsia="Times New Roman" w:cs="Arial"/>
      <w:color w:val="FF0000"/>
      <w:sz w:val="28"/>
      <w:szCs w:val="28"/>
      <w:lang w:eastAsia="en-AU"/>
    </w:rPr>
  </w:style>
  <w:style w:type="paragraph" w:styleId="ListParagraph">
    <w:name w:val="List Paragraph"/>
    <w:basedOn w:val="Normal"/>
    <w:uiPriority w:val="34"/>
    <w:rsid w:val="00D956B4"/>
    <w:pPr>
      <w:numPr>
        <w:numId w:val="4"/>
      </w:numPr>
      <w:ind w:left="113" w:hanging="113"/>
    </w:pPr>
  </w:style>
  <w:style w:type="character" w:styleId="BookTitle">
    <w:name w:val="Book Title"/>
    <w:basedOn w:val="DefaultParagraphFont"/>
    <w:uiPriority w:val="33"/>
    <w:rsid w:val="00383020"/>
    <w:rPr>
      <w:bCs/>
      <w:i/>
      <w:smallCaps/>
      <w:spacing w:val="5"/>
    </w:rPr>
  </w:style>
  <w:style w:type="paragraph" w:styleId="ListNumber">
    <w:name w:val="List Number"/>
    <w:basedOn w:val="Normal"/>
    <w:uiPriority w:val="99"/>
    <w:qFormat/>
    <w:rsid w:val="00005CAA"/>
    <w:pPr>
      <w:numPr>
        <w:numId w:val="5"/>
      </w:numPr>
    </w:pPr>
  </w:style>
  <w:style w:type="paragraph" w:styleId="ListNumber2">
    <w:name w:val="List Number 2"/>
    <w:basedOn w:val="Normal"/>
    <w:uiPriority w:val="99"/>
    <w:rsid w:val="00005CAA"/>
    <w:pPr>
      <w:numPr>
        <w:ilvl w:val="1"/>
        <w:numId w:val="5"/>
      </w:numPr>
    </w:pPr>
  </w:style>
  <w:style w:type="paragraph" w:styleId="ListNumber3">
    <w:name w:val="List Number 3"/>
    <w:basedOn w:val="Normal"/>
    <w:uiPriority w:val="99"/>
    <w:rsid w:val="00005CAA"/>
    <w:pPr>
      <w:numPr>
        <w:ilvl w:val="2"/>
        <w:numId w:val="5"/>
      </w:numPr>
    </w:pPr>
  </w:style>
  <w:style w:type="paragraph" w:styleId="ListNumber4">
    <w:name w:val="List Number 4"/>
    <w:basedOn w:val="Normal"/>
    <w:uiPriority w:val="99"/>
    <w:rsid w:val="00005CAA"/>
    <w:pPr>
      <w:numPr>
        <w:ilvl w:val="3"/>
        <w:numId w:val="5"/>
      </w:numPr>
    </w:pPr>
  </w:style>
  <w:style w:type="paragraph" w:styleId="ListNumber5">
    <w:name w:val="List Number 5"/>
    <w:basedOn w:val="Normal"/>
    <w:uiPriority w:val="99"/>
    <w:rsid w:val="00005CAA"/>
    <w:pPr>
      <w:numPr>
        <w:ilvl w:val="4"/>
        <w:numId w:val="5"/>
      </w:numPr>
    </w:pPr>
  </w:style>
  <w:style w:type="paragraph" w:customStyle="1" w:styleId="Footerclassification">
    <w:name w:val="Footer classification"/>
    <w:basedOn w:val="Classification"/>
    <w:rsid w:val="00D021CB"/>
    <w:pPr>
      <w:spacing w:before="240" w:after="0"/>
    </w:pPr>
  </w:style>
  <w:style w:type="table" w:styleId="TableGrid">
    <w:name w:val="Table Grid"/>
    <w:basedOn w:val="TableNormal"/>
    <w:uiPriority w:val="59"/>
    <w:rsid w:val="00100BE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la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band1Horz">
      <w:pPr>
        <w:wordWrap/>
        <w:spacing w:beforeLines="0" w:beforeAutospacing="0" w:afterLines="0" w:afterAutospacing="0" w:line="240" w:lineRule="auto"/>
        <w:contextualSpacing w:val="0"/>
        <w:mirrorIndents w:val="0"/>
      </w:pPr>
      <w:rPr>
        <w:rFonts w:ascii="Arial" w:hAnsi="Arial"/>
        <w:sz w:val="20"/>
      </w:rPr>
    </w:tblStylePr>
    <w:tblStylePr w:type="band2Horz">
      <w:pPr>
        <w:wordWrap/>
        <w:spacing w:beforeLines="0" w:beforeAutospacing="0" w:afterLines="0" w:afterAutospacing="0"/>
        <w:contextualSpacing w:val="0"/>
        <w:mirrorIndents w:val="0"/>
      </w:pPr>
      <w:rPr>
        <w:rFonts w:ascii="Arial" w:hAnsi="Arial"/>
        <w:sz w:val="20"/>
      </w:rPr>
    </w:tblStylePr>
  </w:style>
  <w:style w:type="paragraph" w:customStyle="1" w:styleId="Tabletext">
    <w:name w:val="Table text"/>
    <w:basedOn w:val="Normal"/>
    <w:uiPriority w:val="9"/>
    <w:qFormat/>
    <w:rsid w:val="005A126E"/>
    <w:pPr>
      <w:spacing w:after="0"/>
    </w:pPr>
  </w:style>
  <w:style w:type="paragraph" w:customStyle="1" w:styleId="Classificationsensitivity">
    <w:name w:val="Classification sensitivity"/>
    <w:basedOn w:val="Classification"/>
    <w:rsid w:val="002C5813"/>
    <w:rPr>
      <w:sz w:val="22"/>
    </w:rPr>
  </w:style>
  <w:style w:type="paragraph" w:customStyle="1" w:styleId="Default">
    <w:name w:val="Default"/>
    <w:rsid w:val="00E07B5A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A1">
    <w:name w:val="A1"/>
    <w:uiPriority w:val="99"/>
    <w:rsid w:val="00D956B4"/>
    <w:rPr>
      <w:rFonts w:cs="Century Gothic"/>
      <w:color w:val="221E1F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E07B5A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E07B5A"/>
    <w:rPr>
      <w:rFonts w:cs="Century Gothic"/>
      <w:color w:val="000000"/>
      <w:sz w:val="14"/>
      <w:szCs w:val="14"/>
    </w:rPr>
  </w:style>
  <w:style w:type="paragraph" w:customStyle="1" w:styleId="Pa5">
    <w:name w:val="Pa5"/>
    <w:basedOn w:val="Default"/>
    <w:next w:val="Default"/>
    <w:uiPriority w:val="99"/>
    <w:rsid w:val="00E07B5A"/>
    <w:pPr>
      <w:spacing w:line="241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E07B5A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E07B5A"/>
    <w:rPr>
      <w:rFonts w:cs="Century Gothic"/>
      <w:color w:val="000000"/>
      <w:sz w:val="16"/>
      <w:szCs w:val="16"/>
    </w:rPr>
  </w:style>
  <w:style w:type="character" w:customStyle="1" w:styleId="A6">
    <w:name w:val="A6"/>
    <w:uiPriority w:val="99"/>
    <w:rsid w:val="00E07B5A"/>
    <w:rPr>
      <w:rFonts w:cs="Century Gothic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07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nvironment.gov.au/water/cewo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ewater@environment.gov.a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B4E1F3AD.dotm</Template>
  <TotalTime>1</TotalTime>
  <Pages>3</Pages>
  <Words>573</Words>
  <Characters>3271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Achieving Ecological Outcomes for Black Box Vegetation</dc:title>
  <dc:subject/>
  <dc:creator>Commonwealth Environmental Water Office</dc:creator>
  <cp:keywords/>
  <dc:description/>
  <cp:lastModifiedBy>Durack, Bec</cp:lastModifiedBy>
  <cp:revision>2</cp:revision>
  <dcterms:created xsi:type="dcterms:W3CDTF">2018-07-13T01:27:00Z</dcterms:created>
  <dcterms:modified xsi:type="dcterms:W3CDTF">2018-07-13T01:27:00Z</dcterms:modified>
</cp:coreProperties>
</file>