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77777777" w:rsidR="00ED0614" w:rsidRPr="00513425" w:rsidRDefault="00E260DC">
      <w:pPr>
        <w:pStyle w:val="Heading1"/>
      </w:pPr>
      <w:r>
        <w:t xml:space="preserve">Abalone viral </w:t>
      </w:r>
      <w:proofErr w:type="spellStart"/>
      <w:r>
        <w:t>ganglioneuritis</w:t>
      </w:r>
      <w:proofErr w:type="spellEnd"/>
      <w:r>
        <w:t xml:space="preserve"> (AVG)</w:t>
      </w:r>
    </w:p>
    <w:p w14:paraId="7EC99733" w14:textId="235528EB" w:rsidR="00ED0614" w:rsidRDefault="00E260DC">
      <w:pPr>
        <w:pStyle w:val="Subtitle"/>
      </w:pPr>
      <w:r>
        <w:rPr>
          <w:sz w:val="24"/>
          <w:szCs w:val="24"/>
        </w:rPr>
        <w:t>Also known as infection with abalone herpesvirus (</w:t>
      </w:r>
      <w:proofErr w:type="spellStart"/>
      <w:r>
        <w:rPr>
          <w:sz w:val="24"/>
          <w:szCs w:val="24"/>
        </w:rPr>
        <w:t>AbHV</w:t>
      </w:r>
      <w:proofErr w:type="spellEnd"/>
      <w:r>
        <w:rPr>
          <w:sz w:val="24"/>
          <w:szCs w:val="24"/>
        </w:rPr>
        <w:t>)</w:t>
      </w:r>
      <w:r w:rsidR="007633C3">
        <w:rPr>
          <w:sz w:val="24"/>
          <w:szCs w:val="24"/>
        </w:rPr>
        <w:t>, infection with haliotid </w:t>
      </w:r>
      <w:r w:rsidR="007633C3" w:rsidRPr="007633C3">
        <w:rPr>
          <w:sz w:val="24"/>
          <w:szCs w:val="24"/>
        </w:rPr>
        <w:t xml:space="preserve">herpesvirus 1 </w:t>
      </w:r>
      <w:r w:rsidR="007633C3">
        <w:rPr>
          <w:sz w:val="24"/>
          <w:szCs w:val="24"/>
        </w:rPr>
        <w:t>(</w:t>
      </w:r>
      <w:r w:rsidR="007633C3" w:rsidRPr="007633C3">
        <w:rPr>
          <w:sz w:val="24"/>
          <w:szCs w:val="24"/>
        </w:rPr>
        <w:t>HaHV-1</w:t>
      </w:r>
      <w:r w:rsidR="007633C3">
        <w:rPr>
          <w:sz w:val="24"/>
          <w:szCs w:val="24"/>
        </w:rPr>
        <w:t>)</w:t>
      </w:r>
      <w:r>
        <w:rPr>
          <w:sz w:val="24"/>
          <w:szCs w:val="24"/>
        </w:rPr>
        <w:t xml:space="preserve"> and abalone viral mortality</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6D35A147"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207965">
        <w:rPr>
          <w:noProof/>
        </w:rPr>
        <w:t>1</w:t>
      </w:r>
      <w:r>
        <w:rPr>
          <w:noProof/>
        </w:rPr>
        <w:fldChar w:fldCharType="end"/>
      </w:r>
      <w:r>
        <w:t xml:space="preserve"> </w:t>
      </w:r>
      <w:proofErr w:type="spellStart"/>
      <w:r>
        <w:t>Greenlip</w:t>
      </w:r>
      <w:proofErr w:type="spellEnd"/>
      <w:r>
        <w:t xml:space="preserve"> abalone (</w:t>
      </w:r>
      <w:proofErr w:type="spellStart"/>
      <w:r>
        <w:rPr>
          <w:rStyle w:val="Emphasis"/>
        </w:rPr>
        <w:t>Haliotis</w:t>
      </w:r>
      <w:proofErr w:type="spellEnd"/>
      <w:r>
        <w:rPr>
          <w:rStyle w:val="Emphasis"/>
        </w:rPr>
        <w:t xml:space="preserve"> laevigata</w:t>
      </w:r>
      <w:r>
        <w:t xml:space="preserve">) with </w:t>
      </w:r>
      <w:r w:rsidR="007425E1">
        <w:t>AVG</w:t>
      </w:r>
    </w:p>
    <w:p w14:paraId="0EFF3543" w14:textId="77777777" w:rsidR="00ED0614" w:rsidRPr="00513425" w:rsidRDefault="00E260DC">
      <w:r>
        <w:rPr>
          <w:noProof/>
          <w:lang w:eastAsia="en-AU"/>
        </w:rPr>
        <w:drawing>
          <wp:inline distT="0" distB="0" distL="0" distR="0" wp14:anchorId="25180D6A" wp14:editId="26C760D1">
            <wp:extent cx="3960000" cy="2728800"/>
            <wp:effectExtent l="0" t="0" r="254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Victorian DPI.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960000" cy="2728800"/>
                    </a:xfrm>
                    <a:prstGeom prst="rect">
                      <a:avLst/>
                    </a:prstGeom>
                    <a:ln>
                      <a:noFill/>
                    </a:ln>
                    <a:extLst>
                      <a:ext uri="{53640926-AAD7-44D8-BBD7-CCE9431645EC}">
                        <a14:shadowObscured xmlns:a14="http://schemas.microsoft.com/office/drawing/2010/main"/>
                      </a:ext>
                    </a:extLst>
                  </pic:spPr>
                </pic:pic>
              </a:graphicData>
            </a:graphic>
          </wp:inline>
        </w:drawing>
      </w:r>
    </w:p>
    <w:p w14:paraId="6FAB0B8D" w14:textId="430B691B" w:rsidR="00ED0614" w:rsidRDefault="00E260DC">
      <w:pPr>
        <w:pStyle w:val="FigureTableNoteSource"/>
      </w:pPr>
      <w:r>
        <w:t>Note: Swollen and protruding mouth parts, particularly the prominent radula (toothed chitinous ribbon). The retracted (curled) foot margins expose bare shell beneath.</w:t>
      </w:r>
    </w:p>
    <w:p w14:paraId="0FE7139E" w14:textId="77777777" w:rsidR="00ED0614" w:rsidRPr="00513425" w:rsidRDefault="00E260DC">
      <w:pPr>
        <w:pStyle w:val="FigureTableNoteSource"/>
      </w:pPr>
      <w:r>
        <w:t>Source: Victorian Department of Primary Industries</w:t>
      </w:r>
    </w:p>
    <w:p w14:paraId="2EE83D63" w14:textId="611715D3" w:rsidR="00ED0614" w:rsidRPr="00513425"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207965">
        <w:rPr>
          <w:noProof/>
        </w:rPr>
        <w:t>2</w:t>
      </w:r>
      <w:r>
        <w:rPr>
          <w:noProof/>
        </w:rPr>
        <w:fldChar w:fldCharType="end"/>
      </w:r>
      <w:r>
        <w:t xml:space="preserve"> Healthy </w:t>
      </w:r>
      <w:proofErr w:type="spellStart"/>
      <w:r>
        <w:t>greenlip</w:t>
      </w:r>
      <w:proofErr w:type="spellEnd"/>
      <w:r>
        <w:t xml:space="preserve"> abalone (</w:t>
      </w:r>
      <w:proofErr w:type="spellStart"/>
      <w:r>
        <w:rPr>
          <w:rStyle w:val="Emphasis"/>
        </w:rPr>
        <w:t>Haliotis</w:t>
      </w:r>
      <w:proofErr w:type="spellEnd"/>
      <w:r>
        <w:rPr>
          <w:rStyle w:val="Emphasis"/>
        </w:rPr>
        <w:t xml:space="preserve"> laevigata</w:t>
      </w:r>
      <w:r>
        <w:t>)</w:t>
      </w:r>
    </w:p>
    <w:p w14:paraId="1E87C028" w14:textId="77777777" w:rsidR="00ED0614" w:rsidRPr="00513425" w:rsidRDefault="00E260DC">
      <w:r>
        <w:rPr>
          <w:noProof/>
          <w:lang w:eastAsia="en-AU"/>
        </w:rPr>
        <w:drawing>
          <wp:inline distT="0" distB="0" distL="0" distR="0" wp14:anchorId="49DA0C70" wp14:editId="4D1C0EB6">
            <wp:extent cx="3960000" cy="2923200"/>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 ab.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960000" cy="2923200"/>
                    </a:xfrm>
                    <a:prstGeom prst="rect">
                      <a:avLst/>
                    </a:prstGeom>
                    <a:ln>
                      <a:noFill/>
                    </a:ln>
                    <a:extLst>
                      <a:ext uri="{53640926-AAD7-44D8-BBD7-CCE9431645EC}">
                        <a14:shadowObscured xmlns:a14="http://schemas.microsoft.com/office/drawing/2010/main"/>
                      </a:ext>
                    </a:extLst>
                  </pic:spPr>
                </pic:pic>
              </a:graphicData>
            </a:graphic>
          </wp:inline>
        </w:drawing>
      </w:r>
    </w:p>
    <w:p w14:paraId="58E3730E" w14:textId="27CBF7EB" w:rsidR="00ED0614" w:rsidRDefault="00E260DC">
      <w:pPr>
        <w:pStyle w:val="FigureTableNoteSource"/>
      </w:pPr>
      <w:r>
        <w:t>Note: No evidence of any protruding mouth parts or foot curl.</w:t>
      </w:r>
    </w:p>
    <w:p w14:paraId="28C1C697" w14:textId="77777777" w:rsidR="00ED0614" w:rsidRDefault="00E260DC">
      <w:pPr>
        <w:pStyle w:val="FigureTableNoteSource"/>
      </w:pPr>
      <w:r>
        <w:t>Source: Victorian Department of Primary Industries</w:t>
      </w:r>
    </w:p>
    <w:p w14:paraId="2CEC54EA" w14:textId="427DFE8C" w:rsidR="00ED0614" w:rsidRDefault="00E260DC">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207965">
        <w:rPr>
          <w:noProof/>
        </w:rPr>
        <w:t>3</w:t>
      </w:r>
      <w:r>
        <w:rPr>
          <w:noProof/>
        </w:rPr>
        <w:fldChar w:fldCharType="end"/>
      </w:r>
      <w:r>
        <w:t xml:space="preserve"> Foot of tiger hybrid </w:t>
      </w:r>
      <w:proofErr w:type="spellStart"/>
      <w:r>
        <w:t>greenlip</w:t>
      </w:r>
      <w:proofErr w:type="spellEnd"/>
      <w:r>
        <w:t xml:space="preserve"> </w:t>
      </w:r>
      <w:r w:rsidR="00A563EE" w:rsidRPr="00273FEF">
        <w:t>×</w:t>
      </w:r>
      <w:r>
        <w:t xml:space="preserve"> </w:t>
      </w:r>
      <w:proofErr w:type="spellStart"/>
      <w:r>
        <w:t>blacklip</w:t>
      </w:r>
      <w:proofErr w:type="spellEnd"/>
      <w:r>
        <w:t xml:space="preserve"> abalone (</w:t>
      </w:r>
      <w:proofErr w:type="spellStart"/>
      <w:r>
        <w:rPr>
          <w:rStyle w:val="Emphasis"/>
        </w:rPr>
        <w:t>Haliotis</w:t>
      </w:r>
      <w:proofErr w:type="spellEnd"/>
      <w:r>
        <w:rPr>
          <w:rStyle w:val="Emphasis"/>
        </w:rPr>
        <w:t xml:space="preserve"> rubra</w:t>
      </w:r>
      <w:r>
        <w:t xml:space="preserve"> </w:t>
      </w:r>
      <w:r w:rsidR="00A563EE" w:rsidRPr="00273FEF">
        <w:t>×</w:t>
      </w:r>
      <w:r>
        <w:t xml:space="preserve"> </w:t>
      </w:r>
      <w:r w:rsidR="00A563EE">
        <w:rPr>
          <w:rStyle w:val="Emphasis"/>
        </w:rPr>
        <w:t>H. l</w:t>
      </w:r>
      <w:r>
        <w:rPr>
          <w:rStyle w:val="Emphasis"/>
        </w:rPr>
        <w:t>aevigata</w:t>
      </w:r>
      <w:r>
        <w:t>) with AVG</w:t>
      </w:r>
    </w:p>
    <w:p w14:paraId="0182687B" w14:textId="77777777" w:rsidR="00ED0614" w:rsidRDefault="00E260DC">
      <w:r>
        <w:rPr>
          <w:noProof/>
          <w:lang w:eastAsia="en-AU"/>
        </w:rPr>
        <w:drawing>
          <wp:inline distT="0" distB="0" distL="0" distR="0" wp14:anchorId="486D36C8" wp14:editId="20DB6841">
            <wp:extent cx="4320000" cy="3258000"/>
            <wp:effectExtent l="0" t="0" r="4445" b="0"/>
            <wp:docPr id="6" name="Picture 2" descr="Blistering of the foot in a tiger hybrid greenlip x blacklip abalone (Haliotis rubra x laevigata) with AVG. Source: CSIRO Australian Animal Health Laboratory, L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BlisterAAHL LWilliams.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320000" cy="3258000"/>
                    </a:xfrm>
                    <a:prstGeom prst="rect">
                      <a:avLst/>
                    </a:prstGeom>
                    <a:ln>
                      <a:noFill/>
                    </a:ln>
                    <a:extLst>
                      <a:ext uri="{53640926-AAD7-44D8-BBD7-CCE9431645EC}">
                        <a14:shadowObscured xmlns:a14="http://schemas.microsoft.com/office/drawing/2010/main"/>
                      </a:ext>
                    </a:extLst>
                  </pic:spPr>
                </pic:pic>
              </a:graphicData>
            </a:graphic>
          </wp:inline>
        </w:drawing>
      </w:r>
    </w:p>
    <w:p w14:paraId="02EEF780" w14:textId="75614BD7" w:rsidR="00ED0614" w:rsidRDefault="00E260DC">
      <w:pPr>
        <w:pStyle w:val="FigureTableNoteSource"/>
      </w:pPr>
      <w:r>
        <w:t>Note: Blistering of foot (lesion near forceps).</w:t>
      </w:r>
    </w:p>
    <w:p w14:paraId="2499A18D" w14:textId="77777777" w:rsidR="00ED0614" w:rsidRDefault="00E260DC">
      <w:pPr>
        <w:pStyle w:val="FigureTableNoteSource"/>
      </w:pPr>
      <w:r>
        <w:t>Source: L Williams, CSIRO Australian Animal Health Laboratory</w:t>
      </w:r>
    </w:p>
    <w:p w14:paraId="34D7581A" w14:textId="77777777" w:rsidR="00ED0614" w:rsidRDefault="00E260DC">
      <w:pPr>
        <w:pStyle w:val="Heading2"/>
      </w:pPr>
      <w:r>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6C4A78F6" w14:textId="30A76840" w:rsidR="00ED0614" w:rsidRDefault="00E260DC">
      <w:pPr>
        <w:pStyle w:val="ListBullet"/>
        <w:rPr>
          <w:lang w:eastAsia="ja-JP"/>
        </w:rPr>
      </w:pPr>
      <w:r>
        <w:rPr>
          <w:lang w:eastAsia="ja-JP"/>
        </w:rPr>
        <w:t>rapid and high cumulative mortality of up to 90%</w:t>
      </w:r>
    </w:p>
    <w:p w14:paraId="677DE911" w14:textId="77777777" w:rsidR="00ED0614" w:rsidRDefault="00E260DC">
      <w:pPr>
        <w:pStyle w:val="ListBullet"/>
        <w:rPr>
          <w:lang w:eastAsia="ja-JP"/>
        </w:rPr>
      </w:pPr>
      <w:r>
        <w:rPr>
          <w:lang w:eastAsia="ja-JP"/>
        </w:rPr>
        <w:t>inability to adhere to the substrate</w:t>
      </w:r>
    </w:p>
    <w:p w14:paraId="64631B6C" w14:textId="77777777" w:rsidR="00ED0614" w:rsidRDefault="00E260DC">
      <w:pPr>
        <w:pStyle w:val="ListBullet"/>
        <w:rPr>
          <w:lang w:eastAsia="ja-JP"/>
        </w:rPr>
      </w:pPr>
      <w:r>
        <w:rPr>
          <w:lang w:eastAsia="ja-JP"/>
        </w:rPr>
        <w:t>inability of individuals to right themselves when upside down.</w:t>
      </w:r>
    </w:p>
    <w:p w14:paraId="491FFB70" w14:textId="77777777" w:rsidR="00ED0614" w:rsidRDefault="00E260DC">
      <w:pPr>
        <w:rPr>
          <w:lang w:eastAsia="ja-JP"/>
        </w:rPr>
      </w:pPr>
      <w:r>
        <w:rPr>
          <w:lang w:eastAsia="ja-JP"/>
        </w:rPr>
        <w:t>Gross pathological signs are:</w:t>
      </w:r>
    </w:p>
    <w:p w14:paraId="6AFDE588" w14:textId="77777777" w:rsidR="00ED0614" w:rsidRDefault="00E260DC">
      <w:pPr>
        <w:pStyle w:val="ListBullet"/>
        <w:rPr>
          <w:lang w:eastAsia="ja-JP"/>
        </w:rPr>
      </w:pPr>
      <w:r>
        <w:rPr>
          <w:lang w:eastAsia="ja-JP"/>
        </w:rPr>
        <w:t>swollen and protruding mouth parts</w:t>
      </w:r>
    </w:p>
    <w:p w14:paraId="295B7730" w14:textId="77777777" w:rsidR="00ED0614" w:rsidRDefault="00E260DC">
      <w:pPr>
        <w:pStyle w:val="ListBullet"/>
        <w:rPr>
          <w:lang w:eastAsia="ja-JP"/>
        </w:rPr>
      </w:pPr>
      <w:r>
        <w:rPr>
          <w:lang w:eastAsia="ja-JP"/>
        </w:rPr>
        <w:t>reduced activity of the pedal muscle</w:t>
      </w:r>
    </w:p>
    <w:p w14:paraId="34F82BC1" w14:textId="77777777" w:rsidR="00ED0614" w:rsidRDefault="00E260DC">
      <w:pPr>
        <w:pStyle w:val="ListBullet"/>
        <w:rPr>
          <w:lang w:eastAsia="ja-JP"/>
        </w:rPr>
      </w:pPr>
      <w:r>
        <w:rPr>
          <w:lang w:eastAsia="ja-JP"/>
        </w:rPr>
        <w:t>edges of the foot curled inwards, leading to exposure of clean, shiny shell</w:t>
      </w:r>
    </w:p>
    <w:p w14:paraId="2FB3513F" w14:textId="77777777" w:rsidR="00ED0614" w:rsidRDefault="00E260DC">
      <w:pPr>
        <w:pStyle w:val="ListBullet"/>
        <w:rPr>
          <w:lang w:eastAsia="ja-JP"/>
        </w:rPr>
      </w:pPr>
      <w:r>
        <w:rPr>
          <w:lang w:eastAsia="ja-JP"/>
        </w:rPr>
        <w:t>tetany or 'hard foot', sometimes with blistering</w:t>
      </w:r>
    </w:p>
    <w:p w14:paraId="0D40B854" w14:textId="77777777" w:rsidR="00ED0614" w:rsidRDefault="00E260DC">
      <w:pPr>
        <w:pStyle w:val="ListBullet"/>
        <w:rPr>
          <w:lang w:eastAsia="ja-JP"/>
        </w:rPr>
      </w:pPr>
      <w:r>
        <w:rPr>
          <w:lang w:eastAsia="ja-JP"/>
        </w:rPr>
        <w:t>excessive mucous production</w:t>
      </w:r>
    </w:p>
    <w:p w14:paraId="06EC2B36" w14:textId="77777777" w:rsidR="00ED0614" w:rsidRDefault="00E260DC">
      <w:pPr>
        <w:pStyle w:val="ListBullet"/>
        <w:rPr>
          <w:lang w:eastAsia="ja-JP"/>
        </w:rPr>
      </w:pPr>
      <w:r>
        <w:rPr>
          <w:lang w:eastAsia="ja-JP"/>
        </w:rPr>
        <w:t>abnormal spawning and bloating.</w:t>
      </w:r>
    </w:p>
    <w:p w14:paraId="2D426F0A" w14:textId="77777777" w:rsidR="00ED0614" w:rsidRDefault="00E260DC">
      <w:pPr>
        <w:rPr>
          <w:lang w:eastAsia="ja-JP"/>
        </w:rPr>
      </w:pPr>
      <w:r>
        <w:rPr>
          <w:lang w:eastAsia="ja-JP"/>
        </w:rPr>
        <w:t>Microscopic pathological signs are:</w:t>
      </w:r>
    </w:p>
    <w:p w14:paraId="68AAA3DA" w14:textId="77777777" w:rsidR="00ED0614" w:rsidRDefault="00E260DC">
      <w:pPr>
        <w:pStyle w:val="ListBullet"/>
        <w:rPr>
          <w:lang w:val="en-US"/>
        </w:rPr>
      </w:pPr>
      <w:r>
        <w:rPr>
          <w:lang w:val="en-US"/>
        </w:rPr>
        <w:t>inflammation and necrosis of neural tissue.</w:t>
      </w:r>
    </w:p>
    <w:p w14:paraId="755CDE80" w14:textId="77777777" w:rsidR="00ED0614" w:rsidRDefault="00E260DC">
      <w:pPr>
        <w:pStyle w:val="Heading2"/>
      </w:pPr>
      <w:r>
        <w:lastRenderedPageBreak/>
        <w:t>Disease agent</w:t>
      </w:r>
    </w:p>
    <w:p w14:paraId="06D0BB75" w14:textId="6E67232A" w:rsidR="00ED0614" w:rsidRDefault="00E260DC">
      <w:r>
        <w:t>AVG is caused by infection with abalone herpesvirus (</w:t>
      </w:r>
      <w:proofErr w:type="spellStart"/>
      <w:r>
        <w:t>AbHV</w:t>
      </w:r>
      <w:proofErr w:type="spellEnd"/>
      <w:r>
        <w:t xml:space="preserve">), also known as haliotid herpesvirus 1 or HaHV-1. The virus is a member of the </w:t>
      </w:r>
      <w:proofErr w:type="spellStart"/>
      <w:r>
        <w:rPr>
          <w:rStyle w:val="Emphasis"/>
        </w:rPr>
        <w:t>Haliotivirus</w:t>
      </w:r>
      <w:proofErr w:type="spellEnd"/>
      <w:r>
        <w:t xml:space="preserve"> genus in the family </w:t>
      </w:r>
      <w:proofErr w:type="spellStart"/>
      <w:r>
        <w:rPr>
          <w:rStyle w:val="Emphasis"/>
        </w:rPr>
        <w:t>Malacoherpesviridae</w:t>
      </w:r>
      <w:proofErr w:type="spellEnd"/>
      <w:r>
        <w:t>.</w:t>
      </w:r>
    </w:p>
    <w:p w14:paraId="10B41ACC" w14:textId="77777777" w:rsidR="00ED0614" w:rsidRDefault="00E260DC">
      <w:pPr>
        <w:pStyle w:val="Heading2"/>
        <w:keepLines/>
      </w:pPr>
      <w:r>
        <w:t>Host range</w:t>
      </w:r>
    </w:p>
    <w:p w14:paraId="6874CCCA" w14:textId="5AAA85BA" w:rsidR="00ED0614" w:rsidRDefault="00E260DC">
      <w:r>
        <w:t xml:space="preserve">Several species of abalone are known to be susceptible to infection with </w:t>
      </w:r>
      <w:proofErr w:type="spellStart"/>
      <w:r>
        <w:t>AbHV</w:t>
      </w:r>
      <w:proofErr w:type="spellEnd"/>
      <w:r>
        <w:t>. However, the New Zealand paua (</w:t>
      </w:r>
      <w:proofErr w:type="spellStart"/>
      <w:r>
        <w:rPr>
          <w:rStyle w:val="Emphasis"/>
        </w:rPr>
        <w:t>Haliotis</w:t>
      </w:r>
      <w:proofErr w:type="spellEnd"/>
      <w:r>
        <w:rPr>
          <w:rStyle w:val="Emphasis"/>
        </w:rPr>
        <w:t xml:space="preserve"> iris</w:t>
      </w:r>
      <w:r>
        <w:t>) appears highly resistant to infection.</w:t>
      </w:r>
    </w:p>
    <w:p w14:paraId="63E14290" w14:textId="640A6C3A" w:rsidR="00ED0614" w:rsidRDefault="00E260DC">
      <w:pPr>
        <w:pStyle w:val="Caption"/>
      </w:pPr>
      <w:r>
        <w:t xml:space="preserve">Table </w:t>
      </w:r>
      <w:r>
        <w:rPr>
          <w:noProof/>
        </w:rPr>
        <w:fldChar w:fldCharType="begin"/>
      </w:r>
      <w:r>
        <w:rPr>
          <w:noProof/>
        </w:rPr>
        <w:instrText xml:space="preserve"> SEQ Table \* ARABIC </w:instrText>
      </w:r>
      <w:r>
        <w:rPr>
          <w:noProof/>
        </w:rPr>
        <w:fldChar w:fldCharType="separate"/>
      </w:r>
      <w:r w:rsidR="00207965">
        <w:rPr>
          <w:noProof/>
        </w:rPr>
        <w:t>1</w:t>
      </w:r>
      <w:r>
        <w:rPr>
          <w:noProof/>
        </w:rPr>
        <w:fldChar w:fldCharType="end"/>
      </w:r>
      <w:r>
        <w:t xml:space="preserve"> Species known to be naturally susceptible to infection with </w:t>
      </w:r>
      <w:proofErr w:type="spellStart"/>
      <w:r>
        <w:t>AbHV</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ED0614" w14:paraId="3B818FD2" w14:textId="77777777">
        <w:trPr>
          <w:cantSplit/>
          <w:trHeight w:val="315"/>
        </w:trPr>
        <w:tc>
          <w:tcPr>
            <w:tcW w:w="2500" w:type="pct"/>
            <w:tcBorders>
              <w:top w:val="single" w:sz="4" w:space="0" w:color="auto"/>
            </w:tcBorders>
            <w:noWrap/>
          </w:tcPr>
          <w:p w14:paraId="2F3C0965" w14:textId="77777777" w:rsidR="00ED0614" w:rsidRDefault="00E260DC">
            <w:pPr>
              <w:pStyle w:val="TableText"/>
            </w:pPr>
            <w:proofErr w:type="spellStart"/>
            <w:r>
              <w:t>Blacklip</w:t>
            </w:r>
            <w:proofErr w:type="spellEnd"/>
            <w:r>
              <w:t xml:space="preserve"> </w:t>
            </w:r>
            <w:proofErr w:type="spellStart"/>
            <w:r>
              <w:t>abalone</w:t>
            </w:r>
            <w:r>
              <w:rPr>
                <w:vertAlign w:val="superscript"/>
              </w:rPr>
              <w:t>a</w:t>
            </w:r>
            <w:proofErr w:type="spellEnd"/>
          </w:p>
        </w:tc>
        <w:tc>
          <w:tcPr>
            <w:tcW w:w="2500" w:type="pct"/>
            <w:tcBorders>
              <w:top w:val="single" w:sz="4" w:space="0" w:color="auto"/>
            </w:tcBorders>
            <w:noWrap/>
          </w:tcPr>
          <w:p w14:paraId="2D4141AF" w14:textId="77777777" w:rsidR="00ED0614" w:rsidRDefault="00E260DC">
            <w:pPr>
              <w:pStyle w:val="TableText"/>
              <w:rPr>
                <w:rStyle w:val="Emphasis"/>
              </w:rPr>
            </w:pPr>
            <w:proofErr w:type="spellStart"/>
            <w:r>
              <w:rPr>
                <w:rStyle w:val="Emphasis"/>
              </w:rPr>
              <w:t>Haliotis</w:t>
            </w:r>
            <w:proofErr w:type="spellEnd"/>
            <w:r>
              <w:rPr>
                <w:rStyle w:val="Emphasis"/>
              </w:rPr>
              <w:t xml:space="preserve"> rubra</w:t>
            </w:r>
          </w:p>
        </w:tc>
      </w:tr>
      <w:tr w:rsidR="00ED0614" w14:paraId="163A359F" w14:textId="77777777">
        <w:trPr>
          <w:cantSplit/>
          <w:trHeight w:val="315"/>
        </w:trPr>
        <w:tc>
          <w:tcPr>
            <w:tcW w:w="2500" w:type="pct"/>
            <w:noWrap/>
          </w:tcPr>
          <w:p w14:paraId="74773C6F" w14:textId="77777777" w:rsidR="00ED0614" w:rsidRDefault="00E260DC">
            <w:pPr>
              <w:pStyle w:val="TableText"/>
            </w:pPr>
            <w:proofErr w:type="spellStart"/>
            <w:r>
              <w:t>Brownlip</w:t>
            </w:r>
            <w:proofErr w:type="spellEnd"/>
            <w:r>
              <w:t xml:space="preserve"> abalone</w:t>
            </w:r>
          </w:p>
        </w:tc>
        <w:tc>
          <w:tcPr>
            <w:tcW w:w="2500" w:type="pct"/>
            <w:noWrap/>
          </w:tcPr>
          <w:p w14:paraId="1D5663AA" w14:textId="77777777" w:rsidR="00ED0614" w:rsidRDefault="00E260DC">
            <w:pPr>
              <w:pStyle w:val="TableText"/>
              <w:rPr>
                <w:rStyle w:val="Emphasis"/>
                <w:rFonts w:eastAsia="SimSun"/>
              </w:rPr>
            </w:pPr>
            <w:proofErr w:type="spellStart"/>
            <w:r>
              <w:rPr>
                <w:rStyle w:val="Emphasis"/>
              </w:rPr>
              <w:t>Haliotis</w:t>
            </w:r>
            <w:proofErr w:type="spellEnd"/>
            <w:r>
              <w:rPr>
                <w:rStyle w:val="Emphasis"/>
              </w:rPr>
              <w:t xml:space="preserve"> </w:t>
            </w:r>
            <w:proofErr w:type="spellStart"/>
            <w:r>
              <w:rPr>
                <w:rStyle w:val="Emphasis"/>
              </w:rPr>
              <w:t>conicopora</w:t>
            </w:r>
            <w:proofErr w:type="spellEnd"/>
          </w:p>
        </w:tc>
      </w:tr>
      <w:tr w:rsidR="00ED0614" w14:paraId="5C3B7FD0" w14:textId="77777777">
        <w:trPr>
          <w:cantSplit/>
          <w:trHeight w:val="315"/>
        </w:trPr>
        <w:tc>
          <w:tcPr>
            <w:tcW w:w="2500" w:type="pct"/>
            <w:noWrap/>
          </w:tcPr>
          <w:p w14:paraId="5227C577" w14:textId="77777777" w:rsidR="00ED0614" w:rsidRDefault="00E260DC">
            <w:pPr>
              <w:pStyle w:val="TableText"/>
            </w:pPr>
            <w:r>
              <w:t xml:space="preserve">Disc </w:t>
            </w:r>
            <w:proofErr w:type="spellStart"/>
            <w:r>
              <w:t>abalone</w:t>
            </w:r>
            <w:r>
              <w:rPr>
                <w:vertAlign w:val="superscript"/>
              </w:rPr>
              <w:t>a</w:t>
            </w:r>
            <w:proofErr w:type="spellEnd"/>
          </w:p>
        </w:tc>
        <w:tc>
          <w:tcPr>
            <w:tcW w:w="2500" w:type="pct"/>
            <w:noWrap/>
          </w:tcPr>
          <w:p w14:paraId="5ACF429E" w14:textId="77777777" w:rsidR="00ED0614" w:rsidRDefault="00E260DC">
            <w:pPr>
              <w:pStyle w:val="TableText"/>
              <w:rPr>
                <w:rStyle w:val="Emphasis"/>
                <w:rFonts w:eastAsia="SimSun"/>
              </w:rPr>
            </w:pPr>
            <w:proofErr w:type="spellStart"/>
            <w:r>
              <w:rPr>
                <w:rStyle w:val="Emphasis"/>
              </w:rPr>
              <w:t>Haliotis</w:t>
            </w:r>
            <w:proofErr w:type="spellEnd"/>
            <w:r>
              <w:rPr>
                <w:rStyle w:val="Emphasis"/>
              </w:rPr>
              <w:t xml:space="preserve"> discus </w:t>
            </w:r>
            <w:proofErr w:type="spellStart"/>
            <w:r>
              <w:rPr>
                <w:rStyle w:val="Emphasis"/>
              </w:rPr>
              <w:t>hannai</w:t>
            </w:r>
            <w:proofErr w:type="spellEnd"/>
          </w:p>
        </w:tc>
      </w:tr>
      <w:tr w:rsidR="00ED0614" w14:paraId="42EB7617" w14:textId="77777777">
        <w:trPr>
          <w:cantSplit/>
          <w:trHeight w:val="315"/>
        </w:trPr>
        <w:tc>
          <w:tcPr>
            <w:tcW w:w="2500" w:type="pct"/>
            <w:noWrap/>
          </w:tcPr>
          <w:p w14:paraId="71A33549" w14:textId="77777777" w:rsidR="00ED0614" w:rsidRDefault="00E260DC">
            <w:pPr>
              <w:pStyle w:val="TableText"/>
            </w:pPr>
            <w:proofErr w:type="spellStart"/>
            <w:r>
              <w:t>Diversicolor</w:t>
            </w:r>
            <w:proofErr w:type="spellEnd"/>
            <w:r>
              <w:t xml:space="preserve"> or </w:t>
            </w:r>
            <w:proofErr w:type="spellStart"/>
            <w:r>
              <w:t>jiukong</w:t>
            </w:r>
            <w:proofErr w:type="spellEnd"/>
            <w:r>
              <w:t xml:space="preserve"> </w:t>
            </w:r>
            <w:proofErr w:type="spellStart"/>
            <w:r>
              <w:t>abalone</w:t>
            </w:r>
            <w:r>
              <w:rPr>
                <w:vertAlign w:val="superscript"/>
              </w:rPr>
              <w:t>a</w:t>
            </w:r>
            <w:proofErr w:type="spellEnd"/>
          </w:p>
        </w:tc>
        <w:tc>
          <w:tcPr>
            <w:tcW w:w="2500" w:type="pct"/>
            <w:noWrap/>
          </w:tcPr>
          <w:p w14:paraId="1D4032D9" w14:textId="77777777" w:rsidR="00ED0614" w:rsidRDefault="00E260DC">
            <w:pPr>
              <w:pStyle w:val="TableText"/>
              <w:rPr>
                <w:rStyle w:val="Emphasis"/>
                <w:rFonts w:eastAsia="SimSun"/>
              </w:rPr>
            </w:pPr>
            <w:proofErr w:type="spellStart"/>
            <w:r>
              <w:rPr>
                <w:rStyle w:val="Emphasis"/>
              </w:rPr>
              <w:t>Haliotis</w:t>
            </w:r>
            <w:proofErr w:type="spellEnd"/>
            <w:r>
              <w:rPr>
                <w:rStyle w:val="Emphasis"/>
              </w:rPr>
              <w:t xml:space="preserve"> </w:t>
            </w:r>
            <w:proofErr w:type="spellStart"/>
            <w:r>
              <w:rPr>
                <w:rStyle w:val="Emphasis"/>
              </w:rPr>
              <w:t>diversicolor</w:t>
            </w:r>
            <w:proofErr w:type="spellEnd"/>
          </w:p>
        </w:tc>
      </w:tr>
      <w:tr w:rsidR="00ED0614" w14:paraId="2B6394AD" w14:textId="77777777">
        <w:trPr>
          <w:cantSplit/>
          <w:trHeight w:val="315"/>
        </w:trPr>
        <w:tc>
          <w:tcPr>
            <w:tcW w:w="2500" w:type="pct"/>
            <w:noWrap/>
          </w:tcPr>
          <w:p w14:paraId="5E1E203A" w14:textId="77777777" w:rsidR="00ED0614" w:rsidRDefault="00E260DC">
            <w:pPr>
              <w:pStyle w:val="TableText"/>
            </w:pPr>
            <w:proofErr w:type="spellStart"/>
            <w:r>
              <w:t>Greenlip</w:t>
            </w:r>
            <w:proofErr w:type="spellEnd"/>
            <w:r>
              <w:t xml:space="preserve"> </w:t>
            </w:r>
            <w:proofErr w:type="spellStart"/>
            <w:r>
              <w:t>abalone</w:t>
            </w:r>
            <w:r>
              <w:rPr>
                <w:vertAlign w:val="superscript"/>
              </w:rPr>
              <w:t>a</w:t>
            </w:r>
            <w:proofErr w:type="spellEnd"/>
          </w:p>
        </w:tc>
        <w:tc>
          <w:tcPr>
            <w:tcW w:w="2500" w:type="pct"/>
            <w:noWrap/>
          </w:tcPr>
          <w:p w14:paraId="44C74309" w14:textId="77777777" w:rsidR="00ED0614" w:rsidRDefault="00E260DC">
            <w:pPr>
              <w:pStyle w:val="TableText"/>
              <w:rPr>
                <w:rStyle w:val="Emphasis"/>
              </w:rPr>
            </w:pPr>
            <w:proofErr w:type="spellStart"/>
            <w:r>
              <w:rPr>
                <w:rStyle w:val="Emphasis"/>
              </w:rPr>
              <w:t>Haliotis</w:t>
            </w:r>
            <w:proofErr w:type="spellEnd"/>
            <w:r>
              <w:rPr>
                <w:rStyle w:val="Emphasis"/>
              </w:rPr>
              <w:t xml:space="preserve"> laevigata</w:t>
            </w:r>
          </w:p>
        </w:tc>
      </w:tr>
      <w:tr w:rsidR="00ED0614" w14:paraId="6920FABC" w14:textId="77777777">
        <w:trPr>
          <w:cantSplit/>
          <w:trHeight w:val="315"/>
        </w:trPr>
        <w:tc>
          <w:tcPr>
            <w:tcW w:w="2500" w:type="pct"/>
            <w:noWrap/>
          </w:tcPr>
          <w:p w14:paraId="264B739C" w14:textId="77777777" w:rsidR="00ED0614" w:rsidRDefault="00E260DC">
            <w:pPr>
              <w:pStyle w:val="TableText"/>
            </w:pPr>
            <w:r>
              <w:t>Pink abalone</w:t>
            </w:r>
          </w:p>
        </w:tc>
        <w:tc>
          <w:tcPr>
            <w:tcW w:w="2500" w:type="pct"/>
            <w:noWrap/>
          </w:tcPr>
          <w:p w14:paraId="379EFB71" w14:textId="77777777" w:rsidR="00ED0614" w:rsidRDefault="00E260DC">
            <w:pPr>
              <w:pStyle w:val="TableText"/>
              <w:rPr>
                <w:rStyle w:val="Emphasis"/>
              </w:rPr>
            </w:pPr>
            <w:proofErr w:type="spellStart"/>
            <w:r>
              <w:rPr>
                <w:rStyle w:val="Emphasis"/>
              </w:rPr>
              <w:t>Haliotis</w:t>
            </w:r>
            <w:proofErr w:type="spellEnd"/>
            <w:r>
              <w:rPr>
                <w:rStyle w:val="Emphasis"/>
              </w:rPr>
              <w:t xml:space="preserve"> </w:t>
            </w:r>
            <w:proofErr w:type="spellStart"/>
            <w:r>
              <w:rPr>
                <w:rStyle w:val="Emphasis"/>
              </w:rPr>
              <w:t>corrugata</w:t>
            </w:r>
            <w:proofErr w:type="spellEnd"/>
          </w:p>
        </w:tc>
      </w:tr>
      <w:tr w:rsidR="00ED0614" w14:paraId="23BC1AC3" w14:textId="77777777">
        <w:trPr>
          <w:cantSplit/>
          <w:trHeight w:val="315"/>
        </w:trPr>
        <w:tc>
          <w:tcPr>
            <w:tcW w:w="2500" w:type="pct"/>
            <w:noWrap/>
          </w:tcPr>
          <w:p w14:paraId="313FF296" w14:textId="77777777" w:rsidR="00ED0614" w:rsidRDefault="00E260DC">
            <w:pPr>
              <w:pStyle w:val="TableText"/>
            </w:pPr>
            <w:r>
              <w:t xml:space="preserve">Tiger </w:t>
            </w:r>
            <w:proofErr w:type="spellStart"/>
            <w:r>
              <w:t>abalone</w:t>
            </w:r>
            <w:r>
              <w:rPr>
                <w:vertAlign w:val="superscript"/>
              </w:rPr>
              <w:t>a</w:t>
            </w:r>
            <w:proofErr w:type="spellEnd"/>
          </w:p>
        </w:tc>
        <w:tc>
          <w:tcPr>
            <w:tcW w:w="2500" w:type="pct"/>
            <w:noWrap/>
          </w:tcPr>
          <w:p w14:paraId="7D4A3ABB" w14:textId="0A563B76" w:rsidR="00ED0614" w:rsidRDefault="00E260DC">
            <w:pPr>
              <w:pStyle w:val="TableText"/>
              <w:rPr>
                <w:rStyle w:val="Emphasis"/>
              </w:rPr>
            </w:pPr>
            <w:proofErr w:type="spellStart"/>
            <w:r>
              <w:rPr>
                <w:rStyle w:val="Emphasis"/>
              </w:rPr>
              <w:t>Haliotis</w:t>
            </w:r>
            <w:proofErr w:type="spellEnd"/>
            <w:r>
              <w:rPr>
                <w:rStyle w:val="Emphasis"/>
              </w:rPr>
              <w:t xml:space="preserve"> rubra </w:t>
            </w:r>
            <w:r w:rsidR="00A563EE" w:rsidRPr="00273FEF">
              <w:t>×</w:t>
            </w:r>
            <w:r>
              <w:rPr>
                <w:rStyle w:val="Emphasis"/>
              </w:rPr>
              <w:t xml:space="preserve"> </w:t>
            </w:r>
            <w:r w:rsidR="00A563EE">
              <w:rPr>
                <w:rStyle w:val="Emphasis"/>
              </w:rPr>
              <w:t>H. </w:t>
            </w:r>
            <w:r>
              <w:rPr>
                <w:rStyle w:val="Emphasis"/>
              </w:rPr>
              <w:t>laevigata</w:t>
            </w:r>
          </w:p>
        </w:tc>
      </w:tr>
    </w:tbl>
    <w:p w14:paraId="025B6404" w14:textId="54AD6197" w:rsidR="00ED0614" w:rsidRDefault="00E260DC">
      <w:pPr>
        <w:pStyle w:val="FigureTableNoteSource"/>
      </w:pPr>
      <w:r>
        <w:rPr>
          <w:rStyle w:val="Strong"/>
        </w:rPr>
        <w:t>a</w:t>
      </w:r>
      <w:r>
        <w:t xml:space="preserve"> Naturally susceptible. Note: Other species have been shown to be experimentally susceptible.</w:t>
      </w:r>
    </w:p>
    <w:p w14:paraId="07189146" w14:textId="77777777" w:rsidR="00ED0614" w:rsidRDefault="00E260DC">
      <w:pPr>
        <w:pStyle w:val="Heading2"/>
      </w:pPr>
      <w:r>
        <w:t>Presence in Australia</w:t>
      </w:r>
    </w:p>
    <w:p w14:paraId="5489D72A" w14:textId="1A85BE4A" w:rsidR="00ED0614" w:rsidRDefault="00E260DC" w:rsidP="007B5A6A">
      <w:pPr>
        <w:keepLines/>
      </w:pPr>
      <w:r>
        <w:t>Victoria and Tasmania have officially reported the presence of AVG. In Victoria, AVG has been observed in farmed and wild abalone.</w:t>
      </w:r>
    </w:p>
    <w:p w14:paraId="47104196" w14:textId="14F9D819" w:rsidR="00ED0614" w:rsidRDefault="00E260DC" w:rsidP="007B5A6A">
      <w:r>
        <w:t xml:space="preserve">In Tasmania, the disease has not been observed in wild abalone populations. However, </w:t>
      </w:r>
      <w:proofErr w:type="spellStart"/>
      <w:r>
        <w:t>AbHV</w:t>
      </w:r>
      <w:proofErr w:type="spellEnd"/>
      <w:r>
        <w:t xml:space="preserve"> has been detected in wild abalone and the disease has been observed in abalone held in holding facilities and aquaculture</w:t>
      </w:r>
      <w:r w:rsidR="007B5A6A">
        <w:t xml:space="preserve"> facilities</w:t>
      </w:r>
      <w:r>
        <w:t>.</w:t>
      </w:r>
    </w:p>
    <w:p w14:paraId="55B0F228" w14:textId="05BA85E6"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207965">
        <w:rPr>
          <w:noProof/>
        </w:rPr>
        <w:t>1</w:t>
      </w:r>
      <w:r>
        <w:rPr>
          <w:noProof/>
        </w:rPr>
        <w:fldChar w:fldCharType="end"/>
      </w:r>
      <w:r>
        <w:t xml:space="preserve"> Presence of </w:t>
      </w:r>
      <w:proofErr w:type="spellStart"/>
      <w:r>
        <w:t>AbHV</w:t>
      </w:r>
      <w:proofErr w:type="spellEnd"/>
      <w:r>
        <w:t>, by jurisdiction</w:t>
      </w:r>
    </w:p>
    <w:p w14:paraId="0046BA22" w14:textId="77777777" w:rsidR="00ED0614" w:rsidRDefault="00E260DC">
      <w:r>
        <w:rPr>
          <w:noProof/>
          <w:lang w:eastAsia="en-AU"/>
        </w:rPr>
        <w:drawing>
          <wp:inline distT="0" distB="0" distL="0" distR="0" wp14:anchorId="1C3B5809" wp14:editId="2BAD239E">
            <wp:extent cx="4142057" cy="2949462"/>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4" cstate="print">
                      <a:extLst>
                        <a:ext uri="{28A0092B-C50C-407E-A947-70E740481C1C}">
                          <a14:useLocalDpi xmlns:a14="http://schemas.microsoft.com/office/drawing/2010/main"/>
                        </a:ext>
                      </a:extLst>
                    </a:blip>
                    <a:stretch>
                      <a:fillRect/>
                    </a:stretch>
                  </pic:blipFill>
                  <pic:spPr>
                    <a:xfrm>
                      <a:off x="0" y="0"/>
                      <a:ext cx="4142057" cy="2949462"/>
                    </a:xfrm>
                    <a:prstGeom prst="rect">
                      <a:avLst/>
                    </a:prstGeom>
                  </pic:spPr>
                </pic:pic>
              </a:graphicData>
            </a:graphic>
          </wp:inline>
        </w:drawing>
      </w:r>
    </w:p>
    <w:p w14:paraId="345F5669" w14:textId="77777777" w:rsidR="00ED0614" w:rsidRDefault="00E260DC">
      <w:pPr>
        <w:pStyle w:val="Heading2"/>
        <w:keepLines/>
      </w:pPr>
      <w:r>
        <w:lastRenderedPageBreak/>
        <w:t>Epidemiology</w:t>
      </w:r>
    </w:p>
    <w:p w14:paraId="4882CC7E" w14:textId="77777777" w:rsidR="00ED0614" w:rsidRDefault="00E260DC">
      <w:pPr>
        <w:pStyle w:val="ListBullet"/>
        <w:keepNext/>
      </w:pPr>
      <w:r>
        <w:t>AVG affects the nervous system of abalone.</w:t>
      </w:r>
    </w:p>
    <w:p w14:paraId="5CEBD789" w14:textId="5AF1ED7D" w:rsidR="00ED0614" w:rsidRDefault="00E260DC">
      <w:pPr>
        <w:pStyle w:val="ListBullet"/>
      </w:pPr>
      <w:r>
        <w:t>AVG affects abalone of all ages.</w:t>
      </w:r>
    </w:p>
    <w:p w14:paraId="5EB893D6" w14:textId="77777777" w:rsidR="00ED0614" w:rsidRDefault="00E260DC">
      <w:pPr>
        <w:pStyle w:val="ListBullet"/>
      </w:pPr>
      <w:r>
        <w:t>Horizontal transmission has been demonstrated by:</w:t>
      </w:r>
    </w:p>
    <w:p w14:paraId="6A0C5640" w14:textId="77777777" w:rsidR="00ED0614" w:rsidRDefault="00E260DC">
      <w:pPr>
        <w:pStyle w:val="ListBullet2"/>
      </w:pPr>
      <w:r>
        <w:t>exposing healthy abalone to water containing diseased abalone in the same tank, but without direct contact between the diseased and healthy abalone</w:t>
      </w:r>
    </w:p>
    <w:p w14:paraId="7655C976" w14:textId="77777777" w:rsidR="00ED0614" w:rsidRDefault="00E260DC">
      <w:pPr>
        <w:pStyle w:val="ListBullet2"/>
      </w:pPr>
      <w:r>
        <w:t>placing healthy abalone in water that was previously inhabited by diseased abalone</w:t>
      </w:r>
    </w:p>
    <w:p w14:paraId="541EA981" w14:textId="77777777" w:rsidR="00ED0614" w:rsidRDefault="00E260DC">
      <w:pPr>
        <w:pStyle w:val="ListBullet2"/>
      </w:pPr>
      <w:r>
        <w:t>intramuscular injection of healthy abalone with a filtered tissue homogenate from diseased abalone.</w:t>
      </w:r>
    </w:p>
    <w:p w14:paraId="37599A99" w14:textId="72FB9E3D" w:rsidR="00ED0614" w:rsidRDefault="00E260DC">
      <w:pPr>
        <w:pStyle w:val="ListBullet"/>
      </w:pPr>
      <w:r>
        <w:t>Mortality can occur within 4 days of infection and within 1 to 2 days following the onset of clinical signs.</w:t>
      </w:r>
    </w:p>
    <w:p w14:paraId="038CA62B" w14:textId="74331141" w:rsidR="00ED0614" w:rsidRDefault="00E260DC">
      <w:pPr>
        <w:pStyle w:val="ListBullet"/>
      </w:pPr>
      <w:r>
        <w:t>Apparently healthy wild-caught abalone subjected to sensitive molecular diagnostic tests have tested positive for the virus.</w:t>
      </w:r>
    </w:p>
    <w:p w14:paraId="45CF7725" w14:textId="5728C430" w:rsidR="00ED0614" w:rsidRDefault="00E260DC">
      <w:pPr>
        <w:pStyle w:val="ListBullet"/>
      </w:pPr>
      <w:r>
        <w:t xml:space="preserve">At least 5 variants of </w:t>
      </w:r>
      <w:proofErr w:type="spellStart"/>
      <w:r>
        <w:t>AbHV</w:t>
      </w:r>
      <w:proofErr w:type="spellEnd"/>
      <w:r>
        <w:t xml:space="preserve"> have been identified: Vic1, Tas1, Tas2, Tas3 and Tas4. All virus variants cause disease and mortality in all Australian native abalone stocks tested to date.</w:t>
      </w:r>
    </w:p>
    <w:p w14:paraId="431A90C5" w14:textId="77777777" w:rsidR="00ED0614" w:rsidRDefault="00E260DC">
      <w:pPr>
        <w:pStyle w:val="Heading2"/>
      </w:pPr>
      <w:r>
        <w:t>Differential diagnosis</w:t>
      </w:r>
    </w:p>
    <w:p w14:paraId="00D9EE0B" w14:textId="372AF5A3"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2D26BD" w:rsidRPr="002D26BD">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0" w:name="_Similar_diseases"/>
      <w:bookmarkEnd w:id="0"/>
      <w:r>
        <w:t>Similar diseases</w:t>
      </w:r>
    </w:p>
    <w:p w14:paraId="3085BBD7" w14:textId="34C5D3F5" w:rsidR="00ED0614" w:rsidRDefault="00E260DC">
      <w:r>
        <w:t xml:space="preserve">No diseases in this field guide are similar to </w:t>
      </w:r>
      <w:r w:rsidR="00C36630">
        <w:t xml:space="preserve">Abalone viral </w:t>
      </w:r>
      <w:proofErr w:type="spellStart"/>
      <w:r w:rsidR="00C36630">
        <w:t>ganglioneuritis</w:t>
      </w:r>
      <w:proofErr w:type="spellEnd"/>
      <w:r>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742BD5A1" w14:textId="70C1627E" w:rsidR="00ED0614" w:rsidRDefault="00E260DC">
      <w:r>
        <w:t xml:space="preserve">Call the Emergency Animal Disease Watch Hotline on </w:t>
      </w:r>
      <w:r w:rsidR="00193BBC">
        <w:rPr>
          <w:rStyle w:val="Strong"/>
        </w:rPr>
        <w:t>1800 675 888</w:t>
      </w:r>
      <w:r>
        <w:t>. They will refer you to the right state or territory agency.</w:t>
      </w:r>
    </w:p>
    <w:p w14:paraId="65126BF8" w14:textId="6C2F12CD" w:rsidR="00ED0614" w:rsidRDefault="00E260DC">
      <w:pPr>
        <w:pStyle w:val="Heading2"/>
      </w:pPr>
      <w:r>
        <w:lastRenderedPageBreak/>
        <w:t>Microscope images</w:t>
      </w:r>
    </w:p>
    <w:p w14:paraId="49E59072" w14:textId="579B56BE"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207965">
        <w:rPr>
          <w:noProof/>
        </w:rPr>
        <w:t>4</w:t>
      </w:r>
      <w:r>
        <w:rPr>
          <w:noProof/>
        </w:rPr>
        <w:fldChar w:fldCharType="end"/>
      </w:r>
      <w:r>
        <w:t xml:space="preserve"> Electron micrograph of </w:t>
      </w:r>
      <w:proofErr w:type="spellStart"/>
      <w:r>
        <w:t>AbHV</w:t>
      </w:r>
      <w:proofErr w:type="spellEnd"/>
      <w:r>
        <w:t xml:space="preserve"> responsible for causing AVG</w:t>
      </w:r>
    </w:p>
    <w:p w14:paraId="06E34181" w14:textId="77777777" w:rsidR="00ED0614" w:rsidRDefault="00E260DC">
      <w:r>
        <w:rPr>
          <w:noProof/>
          <w:lang w:eastAsia="en-AU"/>
        </w:rPr>
        <w:drawing>
          <wp:inline distT="0" distB="0" distL="0" distR="0" wp14:anchorId="08819EE0" wp14:editId="6FB8A3A8">
            <wp:extent cx="4320000" cy="3135600"/>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EMcsiro.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320000" cy="3135600"/>
                    </a:xfrm>
                    <a:prstGeom prst="rect">
                      <a:avLst/>
                    </a:prstGeom>
                    <a:ln>
                      <a:noFill/>
                    </a:ln>
                    <a:extLst>
                      <a:ext uri="{53640926-AAD7-44D8-BBD7-CCE9431645EC}">
                        <a14:shadowObscured xmlns:a14="http://schemas.microsoft.com/office/drawing/2010/main"/>
                      </a:ext>
                    </a:extLst>
                  </pic:spPr>
                </pic:pic>
              </a:graphicData>
            </a:graphic>
          </wp:inline>
        </w:drawing>
      </w:r>
    </w:p>
    <w:p w14:paraId="5754AE67" w14:textId="2DED5180" w:rsidR="00ED0614" w:rsidRDefault="00E260DC">
      <w:pPr>
        <w:pStyle w:val="FigureTableNoteSource"/>
      </w:pPr>
      <w:r>
        <w:t>Note: Several enveloped herpesvirus particles are visible.</w:t>
      </w:r>
    </w:p>
    <w:p w14:paraId="66B39CA0" w14:textId="77777777" w:rsidR="00ED0614" w:rsidRDefault="00E260DC">
      <w:pPr>
        <w:pStyle w:val="FigureTableNoteSource"/>
      </w:pPr>
      <w:r>
        <w:t>Source: CSIRO Australian Animal Health Laboratory</w:t>
      </w:r>
    </w:p>
    <w:p w14:paraId="138CA5F5" w14:textId="2F505152" w:rsidR="00ED0614" w:rsidRDefault="00E260DC">
      <w:pPr>
        <w:pStyle w:val="Caption"/>
      </w:pPr>
      <w:bookmarkStart w:id="1" w:name="_Ref11924270"/>
      <w:r>
        <w:t xml:space="preserve">Figure </w:t>
      </w:r>
      <w:r>
        <w:rPr>
          <w:noProof/>
        </w:rPr>
        <w:fldChar w:fldCharType="begin"/>
      </w:r>
      <w:r>
        <w:rPr>
          <w:noProof/>
        </w:rPr>
        <w:instrText xml:space="preserve"> SEQ Figure \* ARABIC </w:instrText>
      </w:r>
      <w:r>
        <w:rPr>
          <w:noProof/>
        </w:rPr>
        <w:fldChar w:fldCharType="separate"/>
      </w:r>
      <w:r w:rsidR="00207965">
        <w:rPr>
          <w:noProof/>
        </w:rPr>
        <w:t>5</w:t>
      </w:r>
      <w:r>
        <w:rPr>
          <w:noProof/>
        </w:rPr>
        <w:fldChar w:fldCharType="end"/>
      </w:r>
      <w:bookmarkEnd w:id="1"/>
      <w:r>
        <w:t xml:space="preserve"> Histological section of foot of abalone with clinical AVG</w:t>
      </w:r>
    </w:p>
    <w:p w14:paraId="15C756D6" w14:textId="77777777" w:rsidR="00ED0614" w:rsidRDefault="00E260DC">
      <w:r>
        <w:rPr>
          <w:noProof/>
          <w:lang w:eastAsia="en-AU"/>
        </w:rPr>
        <w:drawing>
          <wp:inline distT="0" distB="0" distL="0" distR="0" wp14:anchorId="196B4B49" wp14:editId="4433EEAF">
            <wp:extent cx="4320000" cy="2851200"/>
            <wp:effectExtent l="0" t="0" r="4445" b="635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histocsiro.jpg"/>
                    <pic:cNvPicPr/>
                  </pic:nvPicPr>
                  <pic:blipFill>
                    <a:blip r:embed="rId16" cstate="print">
                      <a:extLst>
                        <a:ext uri="{28A0092B-C50C-407E-A947-70E740481C1C}">
                          <a14:useLocalDpi xmlns:a14="http://schemas.microsoft.com/office/drawing/2010/main"/>
                        </a:ext>
                      </a:extLst>
                    </a:blip>
                    <a:stretch>
                      <a:fillRect/>
                    </a:stretch>
                  </pic:blipFill>
                  <pic:spPr>
                    <a:xfrm>
                      <a:off x="0" y="0"/>
                      <a:ext cx="4320000" cy="2851200"/>
                    </a:xfrm>
                    <a:prstGeom prst="rect">
                      <a:avLst/>
                    </a:prstGeom>
                  </pic:spPr>
                </pic:pic>
              </a:graphicData>
            </a:graphic>
          </wp:inline>
        </w:drawing>
      </w:r>
    </w:p>
    <w:p w14:paraId="1B5B1760" w14:textId="238B6AC3" w:rsidR="00ED0614" w:rsidRDefault="00E260DC">
      <w:pPr>
        <w:pStyle w:val="FigureTableNoteSource"/>
      </w:pPr>
      <w:r>
        <w:t>Note: Florid inflammatory response (darker spots) around the nerve ganglia is typical of clinical AVG.</w:t>
      </w:r>
    </w:p>
    <w:p w14:paraId="109C8A3B" w14:textId="77777777" w:rsidR="00ED0614" w:rsidRDefault="00E260DC">
      <w:pPr>
        <w:pStyle w:val="FigureTableNoteSource"/>
      </w:pPr>
      <w:r>
        <w:t>Source: Victorian Department of Primary Industries</w:t>
      </w:r>
    </w:p>
    <w:p w14:paraId="606FB06E" w14:textId="515AEAEF" w:rsidR="00ED0614" w:rsidRDefault="00E260DC">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207965">
        <w:rPr>
          <w:noProof/>
        </w:rPr>
        <w:t>6</w:t>
      </w:r>
      <w:r>
        <w:rPr>
          <w:noProof/>
        </w:rPr>
        <w:fldChar w:fldCharType="end"/>
      </w:r>
      <w:r>
        <w:t xml:space="preserve"> Higher magnification histological section of foot of abalone with clinical AVG</w:t>
      </w:r>
    </w:p>
    <w:p w14:paraId="37D0523D" w14:textId="77777777" w:rsidR="00ED0614" w:rsidRDefault="00E260DC">
      <w:r>
        <w:rPr>
          <w:noProof/>
          <w:lang w:eastAsia="en-AU"/>
        </w:rPr>
        <w:drawing>
          <wp:inline distT="0" distB="0" distL="0" distR="0" wp14:anchorId="17588E23" wp14:editId="3B519108">
            <wp:extent cx="4320000" cy="2851200"/>
            <wp:effectExtent l="0" t="0" r="4445" b="635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histo2csiro.jpg"/>
                    <pic:cNvPicPr/>
                  </pic:nvPicPr>
                  <pic:blipFill>
                    <a:blip r:embed="rId17" cstate="print">
                      <a:extLst>
                        <a:ext uri="{28A0092B-C50C-407E-A947-70E740481C1C}">
                          <a14:useLocalDpi xmlns:a14="http://schemas.microsoft.com/office/drawing/2010/main"/>
                        </a:ext>
                      </a:extLst>
                    </a:blip>
                    <a:stretch>
                      <a:fillRect/>
                    </a:stretch>
                  </pic:blipFill>
                  <pic:spPr>
                    <a:xfrm>
                      <a:off x="0" y="0"/>
                      <a:ext cx="4320000" cy="2851200"/>
                    </a:xfrm>
                    <a:prstGeom prst="rect">
                      <a:avLst/>
                    </a:prstGeom>
                  </pic:spPr>
                </pic:pic>
              </a:graphicData>
            </a:graphic>
          </wp:inline>
        </w:drawing>
      </w:r>
    </w:p>
    <w:p w14:paraId="4DEFC5AD" w14:textId="14FD5AF8" w:rsidR="00ED0614" w:rsidRDefault="00E260DC">
      <w:pPr>
        <w:pStyle w:val="FigureTableNoteSource"/>
      </w:pPr>
      <w:r>
        <w:t xml:space="preserve">Note: Higher magnification of bottom left quadrant of </w:t>
      </w:r>
      <w:r>
        <w:fldChar w:fldCharType="begin"/>
      </w:r>
      <w:r>
        <w:instrText xml:space="preserve"> REF _Ref11924270 \h </w:instrText>
      </w:r>
      <w:r>
        <w:fldChar w:fldCharType="separate"/>
      </w:r>
      <w:r w:rsidR="00207965">
        <w:t xml:space="preserve">Figure </w:t>
      </w:r>
      <w:r w:rsidR="00207965">
        <w:rPr>
          <w:noProof/>
        </w:rPr>
        <w:t>5</w:t>
      </w:r>
      <w:r>
        <w:fldChar w:fldCharType="end"/>
      </w:r>
      <w:r>
        <w:t>. Shows numerous inflammatory cells surrounding the affected nerve ganglion.</w:t>
      </w:r>
    </w:p>
    <w:p w14:paraId="027F5DAF" w14:textId="77777777" w:rsidR="00ED0614" w:rsidRDefault="00E260DC">
      <w:pPr>
        <w:pStyle w:val="FigureTableNoteSource"/>
      </w:pPr>
      <w:r>
        <w:t>Source: Victorian Department of Primary Industries</w:t>
      </w:r>
    </w:p>
    <w:p w14:paraId="6B39C243" w14:textId="77777777" w:rsidR="00ED0614" w:rsidRDefault="00E260DC">
      <w:pPr>
        <w:pStyle w:val="Heading2"/>
        <w:keepLines/>
        <w:rPr>
          <w:rFonts w:ascii="Cambria" w:eastAsiaTheme="minorHAnsi" w:hAnsi="Cambria"/>
          <w:b w:val="0"/>
          <w:bCs w:val="0"/>
          <w:color w:val="auto"/>
          <w:sz w:val="22"/>
          <w:szCs w:val="22"/>
          <w:lang w:eastAsia="en-US"/>
        </w:rPr>
      </w:pPr>
      <w:r>
        <w:t>Further reading</w:t>
      </w:r>
    </w:p>
    <w:p w14:paraId="21DE6D52" w14:textId="77777777" w:rsidR="00ED0614" w:rsidRDefault="00E260DC">
      <w:pPr>
        <w:rPr>
          <w:rFonts w:cs="Arial"/>
          <w:color w:val="333333"/>
        </w:rPr>
      </w:pPr>
      <w:r>
        <w:t>CEFAS International Database on Aquatic Animal Diseases</w:t>
      </w:r>
      <w:r>
        <w:rPr>
          <w:rFonts w:cs="Arial"/>
          <w:color w:val="333333"/>
        </w:rPr>
        <w:t xml:space="preserve"> </w:t>
      </w:r>
      <w:hyperlink r:id="rId18" w:history="1">
        <w:r>
          <w:rPr>
            <w:rStyle w:val="Hyperlink"/>
            <w:rFonts w:cs="Arial"/>
          </w:rPr>
          <w:t>Infection with abalone herpesvirus</w:t>
        </w:r>
      </w:hyperlink>
    </w:p>
    <w:p w14:paraId="6D149942" w14:textId="73C8DA7C" w:rsidR="00ED0614" w:rsidRPr="00513425" w:rsidRDefault="00207965">
      <w:r>
        <w:t>Department of Agriculture, Water and the Environment</w:t>
      </w:r>
      <w:r w:rsidR="00E260DC">
        <w:t xml:space="preserve"> </w:t>
      </w:r>
      <w:hyperlink r:id="rId19" w:history="1">
        <w:r w:rsidR="00E260DC">
          <w:rPr>
            <w:rStyle w:val="Hyperlink"/>
            <w:lang w:val="en-US"/>
          </w:rPr>
          <w:t xml:space="preserve">AQUAVETPLAN </w:t>
        </w:r>
        <w:r w:rsidR="00FD6EBE">
          <w:rPr>
            <w:rStyle w:val="Hyperlink"/>
            <w:lang w:val="en-US"/>
          </w:rPr>
          <w:t>d</w:t>
        </w:r>
        <w:r w:rsidR="00E260DC">
          <w:rPr>
            <w:rStyle w:val="Hyperlink"/>
            <w:lang w:val="en-US"/>
          </w:rPr>
          <w:t xml:space="preserve">isease </w:t>
        </w:r>
        <w:r w:rsidR="00FD6EBE">
          <w:rPr>
            <w:rStyle w:val="Hyperlink"/>
            <w:lang w:val="en-US"/>
          </w:rPr>
          <w:t>s</w:t>
        </w:r>
        <w:r w:rsidR="00E260DC">
          <w:rPr>
            <w:rStyle w:val="Hyperlink"/>
            <w:lang w:val="en-US"/>
          </w:rPr>
          <w:t>trategy</w:t>
        </w:r>
        <w:r w:rsidR="00FD6EBE">
          <w:rPr>
            <w:rStyle w:val="Hyperlink"/>
            <w:lang w:val="en-US"/>
          </w:rPr>
          <w:t xml:space="preserve"> manual</w:t>
        </w:r>
        <w:r w:rsidR="00E260DC">
          <w:rPr>
            <w:rStyle w:val="Hyperlink"/>
            <w:lang w:val="en-US"/>
          </w:rPr>
          <w:t xml:space="preserve">: </w:t>
        </w:r>
        <w:r w:rsidR="00E260DC">
          <w:rPr>
            <w:rStyle w:val="Hyperlink"/>
          </w:rPr>
          <w:t xml:space="preserve">Abalone viral </w:t>
        </w:r>
        <w:proofErr w:type="spellStart"/>
        <w:r w:rsidR="00E260DC">
          <w:rPr>
            <w:rStyle w:val="Hyperlink"/>
          </w:rPr>
          <w:t>ganglioneuritis</w:t>
        </w:r>
        <w:proofErr w:type="spellEnd"/>
      </w:hyperlink>
    </w:p>
    <w:p w14:paraId="4A487B34" w14:textId="2C64294F" w:rsidR="00ED0614" w:rsidRDefault="00E260DC">
      <w:r>
        <w:t xml:space="preserve">World Organisation for Animal Health </w:t>
      </w:r>
      <w:hyperlink r:id="rId20" w:history="1">
        <w:r>
          <w:rPr>
            <w:rStyle w:val="Hyperlink"/>
            <w:rFonts w:ascii="Calibri" w:hAnsi="Calibri" w:cs="Arial"/>
          </w:rPr>
          <w:t>Manual of diagnostic tests for aquatic animals</w:t>
        </w:r>
      </w:hyperlink>
    </w:p>
    <w:p w14:paraId="59AB480A" w14:textId="77777777" w:rsidR="00ED0614" w:rsidRDefault="00E260DC">
      <w:r>
        <w:t>These hyperlinks were correct at the time of publication.</w:t>
      </w:r>
    </w:p>
    <w:p w14:paraId="1AF792C8" w14:textId="77777777" w:rsidR="00ED0614" w:rsidRDefault="00E260DC">
      <w:pPr>
        <w:pStyle w:val="Heading2"/>
        <w:ind w:left="0" w:firstLine="0"/>
      </w:pPr>
      <w:r>
        <w:t>Contact details</w:t>
      </w:r>
    </w:p>
    <w:p w14:paraId="26C6D2C2" w14:textId="77777777" w:rsidR="00ED0614" w:rsidRDefault="00E260DC">
      <w:pPr>
        <w:spacing w:after="0"/>
      </w:pPr>
      <w:r>
        <w:t>Emergency Animal Disease Watch Hotline 1800 675 888</w:t>
      </w:r>
    </w:p>
    <w:p w14:paraId="3490169F" w14:textId="77777777" w:rsidR="00ED0614" w:rsidRDefault="00E260DC">
      <w:r>
        <w:t xml:space="preserve">Email </w:t>
      </w:r>
      <w:hyperlink r:id="rId21" w:history="1">
        <w:r>
          <w:rPr>
            <w:rStyle w:val="Hyperlink"/>
          </w:rPr>
          <w:t>AAH@agriculture.gov.au</w:t>
        </w:r>
      </w:hyperlink>
      <w:r>
        <w:cr/>
        <w:t xml:space="preserve">Website </w:t>
      </w:r>
      <w:hyperlink r:id="rId22" w:history="1">
        <w:r>
          <w:rPr>
            <w:rStyle w:val="Hyperlink"/>
          </w:rPr>
          <w:t>agriculture.gov.au/pests-diseases-weeds/aquatic</w:t>
        </w:r>
      </w:hyperlink>
    </w:p>
    <w:p w14:paraId="16C0A9CE" w14:textId="02BC8EA0" w:rsidR="00ED0614" w:rsidRDefault="00E260DC">
      <w:pPr>
        <w:pStyle w:val="Normalsmall"/>
      </w:pPr>
      <w:r>
        <w:t>© Commonwealth of Australia 20</w:t>
      </w:r>
      <w:r w:rsidR="00207965">
        <w:t>20</w:t>
      </w:r>
      <w:bookmarkStart w:id="2" w:name="_GoBack"/>
      <w:bookmarkEnd w:id="2"/>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p>
    <w:sectPr w:rsidR="00ED0614">
      <w:headerReference w:type="default" r:id="rId23"/>
      <w:footerReference w:type="default" r:id="rId24"/>
      <w:headerReference w:type="first" r:id="rId25"/>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7B6A09FB" w:rsidR="00ED0614" w:rsidRDefault="00207965">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621C7C">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77777777" w:rsidR="00ED0614" w:rsidRDefault="00E260DC">
    <w:pPr>
      <w:pStyle w:val="Header"/>
    </w:pPr>
    <w:r>
      <w:t xml:space="preserve">Abalone viral </w:t>
    </w:r>
    <w:proofErr w:type="spellStart"/>
    <w:r>
      <w:t>ganglioneuritis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5F222147">
          <wp:simplePos x="0" y="0"/>
          <wp:positionH relativeFrom="column">
            <wp:posOffset>-900429</wp:posOffset>
          </wp:positionH>
          <wp:positionV relativeFrom="paragraph">
            <wp:posOffset>-353695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193BBC"/>
    <w:rsid w:val="00207965"/>
    <w:rsid w:val="00274A52"/>
    <w:rsid w:val="002D26BD"/>
    <w:rsid w:val="00513425"/>
    <w:rsid w:val="00621C7C"/>
    <w:rsid w:val="006E6B3E"/>
    <w:rsid w:val="00742002"/>
    <w:rsid w:val="007425E1"/>
    <w:rsid w:val="007633C3"/>
    <w:rsid w:val="007B5A6A"/>
    <w:rsid w:val="007F5908"/>
    <w:rsid w:val="009C7070"/>
    <w:rsid w:val="00A563EE"/>
    <w:rsid w:val="00BF42C7"/>
    <w:rsid w:val="00C36630"/>
    <w:rsid w:val="00E260DC"/>
    <w:rsid w:val="00ED0614"/>
    <w:rsid w:val="00F03FC2"/>
    <w:rsid w:val="00FD6E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efas.co.uk/international-database-on-aquatic-animal-diseases/disease-data/?id=41"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AH@agriculture.gov.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oie.int/en/international-standard-setting/aquatic-manual/access-onl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griculture.gov.au/animal/aquatic/aquavetplan/abalone-viral-ganglioneurit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griculture.gov.au/pests-diseases-weeds/aquatic"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FE3FD3-6117-40D3-814C-7B2B9067C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7</TotalTime>
  <Pages>6</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Abalone viral ganglioneuritis (AVG)</vt:lpstr>
    </vt:vector>
  </TitlesOfParts>
  <Company>Department of Agriculture Fisheries &amp; Forestry</Company>
  <LinksUpToDate>false</LinksUpToDate>
  <CharactersWithSpaces>7136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Abalone viral ganglioneuritis (AVG)</dc:title>
  <dc:creator>Department of Agriculture</dc:creator>
  <cp:lastModifiedBy>Foster-Thorpe, Cian</cp:lastModifiedBy>
  <cp:revision>11</cp:revision>
  <cp:lastPrinted>2020-03-12T05:35:00Z</cp:lastPrinted>
  <dcterms:created xsi:type="dcterms:W3CDTF">2019-09-05T06:13:00Z</dcterms:created>
  <dcterms:modified xsi:type="dcterms:W3CDTF">2020-03-12T05:42:00Z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