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ECAF" w14:textId="77777777" w:rsidR="006B7F4B" w:rsidRDefault="006B7F4B" w:rsidP="006B7F4B">
      <w:pPr>
        <w:spacing w:after="32" w:line="259" w:lineRule="auto"/>
        <w:ind w:left="102"/>
        <w:jc w:val="center"/>
      </w:pPr>
    </w:p>
    <w:p w14:paraId="3924BA94" w14:textId="4E6A566A" w:rsidR="006B7F4B" w:rsidRDefault="006B7F4B" w:rsidP="006B7F4B">
      <w:pPr>
        <w:spacing w:line="259" w:lineRule="auto"/>
        <w:ind w:right="9"/>
        <w:jc w:val="center"/>
      </w:pPr>
      <w:r>
        <w:rPr>
          <w:rFonts w:ascii="Calibri" w:hAnsi="Calibri" w:cs="Calibri"/>
          <w:b/>
          <w:sz w:val="56"/>
        </w:rPr>
        <w:t xml:space="preserve">Scientific Advisory Group Review  </w:t>
      </w:r>
    </w:p>
    <w:p w14:paraId="4A29C7BD" w14:textId="6B7E76F6" w:rsidR="006B7F4B" w:rsidRPr="006B7F4B" w:rsidRDefault="009876E7" w:rsidP="006B7F4B">
      <w:pPr>
        <w:spacing w:line="259" w:lineRule="auto"/>
        <w:ind w:right="7"/>
        <w:jc w:val="center"/>
        <w:rPr>
          <w:b/>
          <w:bCs/>
        </w:rPr>
      </w:pPr>
      <w:r>
        <w:rPr>
          <w:b/>
          <w:bCs/>
          <w:sz w:val="32"/>
        </w:rPr>
        <w:t>12 D</w:t>
      </w:r>
      <w:r w:rsidR="001C76B8">
        <w:rPr>
          <w:b/>
          <w:bCs/>
          <w:sz w:val="32"/>
        </w:rPr>
        <w:t xml:space="preserve">ecember </w:t>
      </w:r>
      <w:r w:rsidR="006B7F4B" w:rsidRPr="006B7F4B">
        <w:rPr>
          <w:b/>
          <w:bCs/>
          <w:sz w:val="32"/>
        </w:rPr>
        <w:t xml:space="preserve">2023 </w:t>
      </w:r>
    </w:p>
    <w:p w14:paraId="51169D80" w14:textId="3FE08C54" w:rsidR="006B7F4B" w:rsidRDefault="006B7F4B" w:rsidP="006B7F4B">
      <w:pPr>
        <w:spacing w:line="259" w:lineRule="auto"/>
      </w:pPr>
    </w:p>
    <w:p w14:paraId="6BA51A41" w14:textId="77777777" w:rsidR="006B7F4B" w:rsidRDefault="006B7F4B" w:rsidP="006B7F4B">
      <w:pPr>
        <w:spacing w:after="244" w:line="259" w:lineRule="auto"/>
      </w:pPr>
      <w:r>
        <w:t xml:space="preserve"> </w:t>
      </w:r>
    </w:p>
    <w:p w14:paraId="76317135" w14:textId="77777777" w:rsidR="006B7F4B" w:rsidRDefault="006B7F4B" w:rsidP="006B7F4B">
      <w:pPr>
        <w:spacing w:after="244" w:line="259" w:lineRule="auto"/>
      </w:pPr>
    </w:p>
    <w:p w14:paraId="1E42DDFB" w14:textId="77777777" w:rsidR="006B7F4B" w:rsidRDefault="006B7F4B" w:rsidP="006B7F4B">
      <w:pPr>
        <w:spacing w:line="259" w:lineRule="auto"/>
        <w:ind w:left="6"/>
        <w:jc w:val="center"/>
        <w:rPr>
          <w:rFonts w:ascii="Calibri" w:hAnsi="Calibri" w:cs="Calibri"/>
          <w:sz w:val="52"/>
        </w:rPr>
      </w:pPr>
    </w:p>
    <w:p w14:paraId="37ED18E3" w14:textId="24745739" w:rsidR="006B7F4B" w:rsidRPr="006B7F4B" w:rsidRDefault="006B7F4B" w:rsidP="006B7F4B">
      <w:pPr>
        <w:spacing w:line="259" w:lineRule="auto"/>
        <w:ind w:left="6"/>
        <w:jc w:val="center"/>
        <w:rPr>
          <w:color w:val="0070C0"/>
        </w:rPr>
      </w:pPr>
      <w:r w:rsidRPr="006B7F4B">
        <w:rPr>
          <w:rFonts w:ascii="Calibri" w:hAnsi="Calibri" w:cs="Calibri"/>
          <w:color w:val="0070C0"/>
          <w:sz w:val="52"/>
        </w:rPr>
        <w:t>Provisional BIRA Report –2023</w:t>
      </w:r>
      <w:r w:rsidRPr="006B7F4B">
        <w:rPr>
          <w:color w:val="0070C0"/>
          <w:sz w:val="52"/>
        </w:rPr>
        <w:t xml:space="preserve"> </w:t>
      </w:r>
    </w:p>
    <w:p w14:paraId="1DE09E40" w14:textId="77777777" w:rsidR="006B7F4B" w:rsidRPr="006B7F4B" w:rsidRDefault="006B7F4B" w:rsidP="006B7F4B">
      <w:pPr>
        <w:spacing w:line="259" w:lineRule="auto"/>
        <w:ind w:right="6"/>
        <w:jc w:val="center"/>
        <w:rPr>
          <w:color w:val="0070C0"/>
        </w:rPr>
      </w:pPr>
      <w:r w:rsidRPr="006B7F4B">
        <w:rPr>
          <w:color w:val="0070C0"/>
          <w:sz w:val="36"/>
        </w:rPr>
        <w:t xml:space="preserve">Department of Agriculture, Fisheries and Forestry </w:t>
      </w:r>
    </w:p>
    <w:p w14:paraId="7EFCE0E1" w14:textId="1153B439" w:rsidR="006B7F4B" w:rsidRPr="006B7F4B" w:rsidRDefault="006B7F4B" w:rsidP="006B7F4B">
      <w:pPr>
        <w:spacing w:line="259" w:lineRule="auto"/>
        <w:rPr>
          <w:color w:val="0070C0"/>
        </w:rPr>
      </w:pPr>
      <w:r w:rsidRPr="006B7F4B">
        <w:rPr>
          <w:color w:val="0070C0"/>
        </w:rPr>
        <w:t xml:space="preserve">  </w:t>
      </w:r>
    </w:p>
    <w:p w14:paraId="6081937D" w14:textId="1D0B44D7" w:rsidR="006B7F4B" w:rsidRDefault="006B7F4B" w:rsidP="006B7F4B">
      <w:pPr>
        <w:spacing w:line="259" w:lineRule="auto"/>
        <w:ind w:left="255"/>
      </w:pPr>
      <w:r>
        <w:rPr>
          <w:rFonts w:ascii="Calibri" w:hAnsi="Calibri" w:cs="Calibri"/>
          <w:i/>
          <w:color w:val="0070C0"/>
          <w:sz w:val="52"/>
        </w:rPr>
        <w:t xml:space="preserve">Import of live sturgeon for aquaculture </w:t>
      </w:r>
      <w:r w:rsidRPr="006B7F4B">
        <w:rPr>
          <w:rFonts w:ascii="Calibri" w:hAnsi="Calibri" w:cs="Calibri"/>
          <w:i/>
          <w:color w:val="0070C0"/>
          <w:sz w:val="40"/>
          <w:szCs w:val="40"/>
        </w:rPr>
        <w:t>Provisional biosecurity import risk analysis</w:t>
      </w:r>
      <w:r w:rsidRPr="006B7F4B">
        <w:rPr>
          <w:rFonts w:ascii="Calibri" w:hAnsi="Calibri" w:cs="Calibri"/>
          <w:i/>
          <w:sz w:val="52"/>
        </w:rPr>
        <w:t xml:space="preserve"> </w:t>
      </w:r>
    </w:p>
    <w:p w14:paraId="6604174C" w14:textId="77777777" w:rsidR="006B7F4B" w:rsidRDefault="006B7F4B" w:rsidP="006B7F4B">
      <w:pPr>
        <w:spacing w:line="259" w:lineRule="auto"/>
      </w:pPr>
      <w:r>
        <w:t xml:space="preserve"> </w:t>
      </w:r>
    </w:p>
    <w:p w14:paraId="3C7A1C9F" w14:textId="77777777" w:rsidR="006B7F4B" w:rsidRDefault="006B7F4B" w:rsidP="006B7F4B">
      <w:pPr>
        <w:spacing w:line="259" w:lineRule="auto"/>
      </w:pPr>
    </w:p>
    <w:p w14:paraId="719C4480" w14:textId="77777777" w:rsidR="006B7F4B" w:rsidRDefault="006B7F4B" w:rsidP="006B7F4B">
      <w:pPr>
        <w:spacing w:line="259" w:lineRule="auto"/>
      </w:pPr>
    </w:p>
    <w:p w14:paraId="08615E49" w14:textId="77777777" w:rsidR="006B7F4B" w:rsidRDefault="006B7F4B" w:rsidP="006B7F4B">
      <w:pPr>
        <w:spacing w:line="259" w:lineRule="auto"/>
      </w:pPr>
    </w:p>
    <w:p w14:paraId="0D753194" w14:textId="77777777" w:rsidR="006B7F4B" w:rsidRDefault="006B7F4B" w:rsidP="006B7F4B">
      <w:pPr>
        <w:spacing w:line="259" w:lineRule="auto"/>
      </w:pPr>
    </w:p>
    <w:p w14:paraId="45FEA63C" w14:textId="77777777" w:rsidR="006B7F4B" w:rsidRDefault="006B7F4B" w:rsidP="006B7F4B">
      <w:pPr>
        <w:spacing w:after="54" w:line="259" w:lineRule="auto"/>
      </w:pPr>
      <w:r>
        <w:t xml:space="preserve"> </w:t>
      </w:r>
    </w:p>
    <w:p w14:paraId="00B0420E" w14:textId="6B3CAA07" w:rsidR="006B7F4B" w:rsidRDefault="006B7F4B" w:rsidP="006B7F4B">
      <w:pPr>
        <w:spacing w:line="259" w:lineRule="auto"/>
        <w:ind w:right="11"/>
        <w:jc w:val="center"/>
      </w:pPr>
      <w:r>
        <w:rPr>
          <w:rFonts w:ascii="Calibri" w:hAnsi="Calibri" w:cs="Calibri"/>
          <w:b/>
          <w:sz w:val="32"/>
        </w:rPr>
        <w:t xml:space="preserve">Expert Panel  </w:t>
      </w:r>
    </w:p>
    <w:p w14:paraId="04E2B329" w14:textId="77777777" w:rsidR="006B7F4B" w:rsidRPr="006B7F4B" w:rsidRDefault="006B7F4B" w:rsidP="006B7F4B">
      <w:pPr>
        <w:spacing w:line="259" w:lineRule="auto"/>
        <w:ind w:right="6"/>
        <w:jc w:val="center"/>
      </w:pPr>
      <w:r w:rsidRPr="006B7F4B">
        <w:rPr>
          <w:sz w:val="32"/>
        </w:rPr>
        <w:t xml:space="preserve">Joanne Daly (Chair) </w:t>
      </w:r>
    </w:p>
    <w:p w14:paraId="07FFD57C" w14:textId="77777777" w:rsidR="006B7F4B" w:rsidRPr="006B7F4B" w:rsidRDefault="006B7F4B" w:rsidP="006B7F4B">
      <w:pPr>
        <w:spacing w:line="259" w:lineRule="auto"/>
        <w:ind w:right="3"/>
        <w:jc w:val="center"/>
      </w:pPr>
      <w:r w:rsidRPr="006B7F4B">
        <w:rPr>
          <w:sz w:val="32"/>
        </w:rPr>
        <w:t xml:space="preserve">Stephen McCutcheon </w:t>
      </w:r>
    </w:p>
    <w:p w14:paraId="7CADADC1" w14:textId="77777777" w:rsidR="006B7F4B" w:rsidRPr="006B7F4B" w:rsidRDefault="006B7F4B" w:rsidP="006B7F4B">
      <w:pPr>
        <w:spacing w:line="259" w:lineRule="auto"/>
        <w:ind w:right="5"/>
        <w:jc w:val="center"/>
      </w:pPr>
      <w:r w:rsidRPr="006B7F4B">
        <w:rPr>
          <w:sz w:val="32"/>
        </w:rPr>
        <w:t xml:space="preserve">Will Zacharin </w:t>
      </w:r>
    </w:p>
    <w:p w14:paraId="2DEFB40C" w14:textId="77777777" w:rsidR="006B7F4B" w:rsidRPr="006B7F4B" w:rsidRDefault="006B7F4B" w:rsidP="006B7F4B">
      <w:pPr>
        <w:spacing w:line="259" w:lineRule="auto"/>
        <w:ind w:left="65"/>
        <w:jc w:val="center"/>
      </w:pPr>
      <w:r w:rsidRPr="006B7F4B">
        <w:rPr>
          <w:sz w:val="32"/>
        </w:rPr>
        <w:t xml:space="preserve"> </w:t>
      </w:r>
    </w:p>
    <w:p w14:paraId="5FDAF3DE" w14:textId="77777777" w:rsidR="006B7F4B" w:rsidRPr="006B7F4B" w:rsidRDefault="006B7F4B" w:rsidP="006B7F4B">
      <w:pPr>
        <w:spacing w:line="259" w:lineRule="auto"/>
        <w:ind w:left="65"/>
        <w:jc w:val="center"/>
      </w:pPr>
      <w:r w:rsidRPr="006B7F4B">
        <w:rPr>
          <w:sz w:val="32"/>
        </w:rPr>
        <w:t xml:space="preserve"> </w:t>
      </w:r>
    </w:p>
    <w:p w14:paraId="0C6CF281" w14:textId="1A238360" w:rsidR="006B7F4B" w:rsidRDefault="006B7F4B" w:rsidP="006B7F4B">
      <w:pPr>
        <w:spacing w:line="259" w:lineRule="auto"/>
        <w:ind w:left="65"/>
        <w:jc w:val="center"/>
      </w:pPr>
    </w:p>
    <w:p w14:paraId="45F129D8" w14:textId="77777777" w:rsidR="006B7F4B" w:rsidRPr="006B7F4B" w:rsidRDefault="006B7F4B" w:rsidP="006B7F4B"/>
    <w:sdt>
      <w:sdtPr>
        <w:rPr>
          <w:rFonts w:asciiTheme="minorHAnsi" w:eastAsia="Calibri" w:hAnsiTheme="minorHAnsi" w:cs="Times New Roman"/>
          <w:b w:val="0"/>
          <w:bCs w:val="0"/>
          <w:color w:val="auto"/>
          <w:sz w:val="24"/>
          <w:szCs w:val="22"/>
          <w:lang w:val="en-AU"/>
        </w:rPr>
        <w:id w:val="-782031924"/>
        <w:docPartObj>
          <w:docPartGallery w:val="Table of Contents"/>
          <w:docPartUnique/>
        </w:docPartObj>
      </w:sdtPr>
      <w:sdtEndPr>
        <w:rPr>
          <w:noProof/>
        </w:rPr>
      </w:sdtEndPr>
      <w:sdtContent>
        <w:p w14:paraId="59942AE5" w14:textId="77777777" w:rsidR="00AF6E4C" w:rsidRDefault="00AF6E4C">
          <w:pPr>
            <w:pStyle w:val="TOCHeading"/>
            <w:rPr>
              <w:rFonts w:asciiTheme="minorHAnsi" w:eastAsia="Calibri" w:hAnsiTheme="minorHAnsi" w:cs="Times New Roman"/>
              <w:b w:val="0"/>
              <w:bCs w:val="0"/>
              <w:color w:val="auto"/>
              <w:sz w:val="24"/>
              <w:szCs w:val="22"/>
              <w:lang w:val="en-AU"/>
            </w:rPr>
          </w:pPr>
        </w:p>
        <w:p w14:paraId="08FDE830" w14:textId="77777777" w:rsidR="00AF6E4C" w:rsidRDefault="00AF6E4C">
          <w:pPr>
            <w:pStyle w:val="TOCHeading"/>
            <w:rPr>
              <w:rFonts w:asciiTheme="minorHAnsi" w:eastAsia="Calibri" w:hAnsiTheme="minorHAnsi" w:cs="Times New Roman"/>
              <w:b w:val="0"/>
              <w:bCs w:val="0"/>
              <w:color w:val="auto"/>
              <w:sz w:val="24"/>
              <w:szCs w:val="22"/>
              <w:lang w:val="en-AU"/>
            </w:rPr>
          </w:pPr>
        </w:p>
        <w:p w14:paraId="533523BA" w14:textId="243E66E3" w:rsidR="006B7F4B" w:rsidRDefault="006B7F4B">
          <w:pPr>
            <w:pStyle w:val="TOCHeading"/>
          </w:pPr>
          <w:r>
            <w:t>Table of Contents</w:t>
          </w:r>
        </w:p>
        <w:p w14:paraId="73F298E4" w14:textId="6CD00D64" w:rsidR="000F3753" w:rsidRDefault="006B7F4B">
          <w:pPr>
            <w:pStyle w:val="TOC2"/>
            <w:rPr>
              <w:rFonts w:eastAsiaTheme="minorEastAsia" w:cstheme="minorBidi"/>
              <w:b w:val="0"/>
              <w:bCs w:val="0"/>
              <w:noProof/>
              <w:kern w:val="2"/>
              <w:szCs w:val="24"/>
              <w:lang w:eastAsia="en-GB"/>
              <w14:ligatures w14:val="standardContextual"/>
            </w:rPr>
          </w:pPr>
          <w:r>
            <w:fldChar w:fldCharType="begin"/>
          </w:r>
          <w:r>
            <w:instrText xml:space="preserve"> TOC \o "1-3" \h \z \u </w:instrText>
          </w:r>
          <w:r>
            <w:fldChar w:fldCharType="separate"/>
          </w:r>
          <w:hyperlink w:anchor="_Toc150862449" w:history="1">
            <w:r w:rsidR="000F3753" w:rsidRPr="000E522C">
              <w:rPr>
                <w:rStyle w:val="Hyperlink"/>
                <w:noProof/>
              </w:rPr>
              <w:t>Summary</w:t>
            </w:r>
            <w:r w:rsidR="000F3753">
              <w:rPr>
                <w:noProof/>
                <w:webHidden/>
              </w:rPr>
              <w:tab/>
            </w:r>
            <w:r w:rsidR="000F3753">
              <w:rPr>
                <w:noProof/>
                <w:webHidden/>
              </w:rPr>
              <w:fldChar w:fldCharType="begin"/>
            </w:r>
            <w:r w:rsidR="000F3753">
              <w:rPr>
                <w:noProof/>
                <w:webHidden/>
              </w:rPr>
              <w:instrText xml:space="preserve"> PAGEREF _Toc150862449 \h </w:instrText>
            </w:r>
            <w:r w:rsidR="000F3753">
              <w:rPr>
                <w:noProof/>
                <w:webHidden/>
              </w:rPr>
            </w:r>
            <w:r w:rsidR="000F3753">
              <w:rPr>
                <w:noProof/>
                <w:webHidden/>
              </w:rPr>
              <w:fldChar w:fldCharType="separate"/>
            </w:r>
            <w:r w:rsidR="00854F8F">
              <w:rPr>
                <w:noProof/>
                <w:webHidden/>
              </w:rPr>
              <w:t>2</w:t>
            </w:r>
            <w:r w:rsidR="000F3753">
              <w:rPr>
                <w:noProof/>
                <w:webHidden/>
              </w:rPr>
              <w:fldChar w:fldCharType="end"/>
            </w:r>
          </w:hyperlink>
        </w:p>
        <w:p w14:paraId="3CE0570B" w14:textId="2A623543" w:rsidR="000F3753" w:rsidRDefault="00854F8F">
          <w:pPr>
            <w:pStyle w:val="TOC2"/>
            <w:rPr>
              <w:rFonts w:eastAsiaTheme="minorEastAsia" w:cstheme="minorBidi"/>
              <w:b w:val="0"/>
              <w:bCs w:val="0"/>
              <w:noProof/>
              <w:kern w:val="2"/>
              <w:szCs w:val="24"/>
              <w:lang w:eastAsia="en-GB"/>
              <w14:ligatures w14:val="standardContextual"/>
            </w:rPr>
          </w:pPr>
          <w:hyperlink w:anchor="_Toc150862450" w:history="1">
            <w:r w:rsidR="000F3753" w:rsidRPr="000E522C">
              <w:rPr>
                <w:rStyle w:val="Hyperlink"/>
                <w:noProof/>
              </w:rPr>
              <w:t>Introduction</w:t>
            </w:r>
            <w:r w:rsidR="000F3753">
              <w:rPr>
                <w:noProof/>
                <w:webHidden/>
              </w:rPr>
              <w:tab/>
            </w:r>
            <w:r w:rsidR="000F3753">
              <w:rPr>
                <w:noProof/>
                <w:webHidden/>
              </w:rPr>
              <w:fldChar w:fldCharType="begin"/>
            </w:r>
            <w:r w:rsidR="000F3753">
              <w:rPr>
                <w:noProof/>
                <w:webHidden/>
              </w:rPr>
              <w:instrText xml:space="preserve"> PAGEREF _Toc150862450 \h </w:instrText>
            </w:r>
            <w:r w:rsidR="000F3753">
              <w:rPr>
                <w:noProof/>
                <w:webHidden/>
              </w:rPr>
            </w:r>
            <w:r w:rsidR="000F3753">
              <w:rPr>
                <w:noProof/>
                <w:webHidden/>
              </w:rPr>
              <w:fldChar w:fldCharType="separate"/>
            </w:r>
            <w:r>
              <w:rPr>
                <w:noProof/>
                <w:webHidden/>
              </w:rPr>
              <w:t>3</w:t>
            </w:r>
            <w:r w:rsidR="000F3753">
              <w:rPr>
                <w:noProof/>
                <w:webHidden/>
              </w:rPr>
              <w:fldChar w:fldCharType="end"/>
            </w:r>
          </w:hyperlink>
        </w:p>
        <w:p w14:paraId="05781059" w14:textId="285FCB14" w:rsidR="000F3753" w:rsidRDefault="00854F8F">
          <w:pPr>
            <w:pStyle w:val="TOC2"/>
            <w:rPr>
              <w:rFonts w:eastAsiaTheme="minorEastAsia" w:cstheme="minorBidi"/>
              <w:b w:val="0"/>
              <w:bCs w:val="0"/>
              <w:noProof/>
              <w:kern w:val="2"/>
              <w:szCs w:val="24"/>
              <w:lang w:eastAsia="en-GB"/>
              <w14:ligatures w14:val="standardContextual"/>
            </w:rPr>
          </w:pPr>
          <w:hyperlink w:anchor="_Toc150862451" w:history="1">
            <w:r w:rsidR="000F3753" w:rsidRPr="000E522C">
              <w:rPr>
                <w:rStyle w:val="Hyperlink"/>
                <w:noProof/>
              </w:rPr>
              <w:t>SAG Observations</w:t>
            </w:r>
            <w:r w:rsidR="000F3753">
              <w:rPr>
                <w:noProof/>
                <w:webHidden/>
              </w:rPr>
              <w:tab/>
            </w:r>
            <w:r w:rsidR="000F3753">
              <w:rPr>
                <w:noProof/>
                <w:webHidden/>
              </w:rPr>
              <w:fldChar w:fldCharType="begin"/>
            </w:r>
            <w:r w:rsidR="000F3753">
              <w:rPr>
                <w:noProof/>
                <w:webHidden/>
              </w:rPr>
              <w:instrText xml:space="preserve"> PAGEREF _Toc150862451 \h </w:instrText>
            </w:r>
            <w:r w:rsidR="000F3753">
              <w:rPr>
                <w:noProof/>
                <w:webHidden/>
              </w:rPr>
            </w:r>
            <w:r w:rsidR="000F3753">
              <w:rPr>
                <w:noProof/>
                <w:webHidden/>
              </w:rPr>
              <w:fldChar w:fldCharType="separate"/>
            </w:r>
            <w:r>
              <w:rPr>
                <w:noProof/>
                <w:webHidden/>
              </w:rPr>
              <w:t>3</w:t>
            </w:r>
            <w:r w:rsidR="000F3753">
              <w:rPr>
                <w:noProof/>
                <w:webHidden/>
              </w:rPr>
              <w:fldChar w:fldCharType="end"/>
            </w:r>
          </w:hyperlink>
        </w:p>
        <w:p w14:paraId="6A17E784" w14:textId="29076D89" w:rsidR="000F3753" w:rsidRDefault="00854F8F">
          <w:pPr>
            <w:pStyle w:val="TOC2"/>
            <w:rPr>
              <w:rFonts w:eastAsiaTheme="minorEastAsia" w:cstheme="minorBidi"/>
              <w:b w:val="0"/>
              <w:bCs w:val="0"/>
              <w:noProof/>
              <w:kern w:val="2"/>
              <w:szCs w:val="24"/>
              <w:lang w:eastAsia="en-GB"/>
              <w14:ligatures w14:val="standardContextual"/>
            </w:rPr>
          </w:pPr>
          <w:hyperlink w:anchor="_Toc150862452" w:history="1">
            <w:r w:rsidR="000F3753" w:rsidRPr="000E522C">
              <w:rPr>
                <w:rStyle w:val="Hyperlink"/>
                <w:noProof/>
              </w:rPr>
              <w:t>Issues to be Addressed</w:t>
            </w:r>
            <w:r w:rsidR="000F3753">
              <w:rPr>
                <w:noProof/>
                <w:webHidden/>
              </w:rPr>
              <w:tab/>
            </w:r>
            <w:r w:rsidR="000F3753">
              <w:rPr>
                <w:noProof/>
                <w:webHidden/>
              </w:rPr>
              <w:fldChar w:fldCharType="begin"/>
            </w:r>
            <w:r w:rsidR="000F3753">
              <w:rPr>
                <w:noProof/>
                <w:webHidden/>
              </w:rPr>
              <w:instrText xml:space="preserve"> PAGEREF _Toc150862452 \h </w:instrText>
            </w:r>
            <w:r w:rsidR="000F3753">
              <w:rPr>
                <w:noProof/>
                <w:webHidden/>
              </w:rPr>
            </w:r>
            <w:r w:rsidR="000F3753">
              <w:rPr>
                <w:noProof/>
                <w:webHidden/>
              </w:rPr>
              <w:fldChar w:fldCharType="separate"/>
            </w:r>
            <w:r>
              <w:rPr>
                <w:noProof/>
                <w:webHidden/>
              </w:rPr>
              <w:t>4</w:t>
            </w:r>
            <w:r w:rsidR="000F3753">
              <w:rPr>
                <w:noProof/>
                <w:webHidden/>
              </w:rPr>
              <w:fldChar w:fldCharType="end"/>
            </w:r>
          </w:hyperlink>
        </w:p>
        <w:p w14:paraId="3219B435" w14:textId="6FCA0669" w:rsidR="000F3753" w:rsidRDefault="00854F8F">
          <w:pPr>
            <w:pStyle w:val="TOC2"/>
            <w:rPr>
              <w:rFonts w:eastAsiaTheme="minorEastAsia" w:cstheme="minorBidi"/>
              <w:b w:val="0"/>
              <w:bCs w:val="0"/>
              <w:noProof/>
              <w:kern w:val="2"/>
              <w:szCs w:val="24"/>
              <w:lang w:eastAsia="en-GB"/>
              <w14:ligatures w14:val="standardContextual"/>
            </w:rPr>
          </w:pPr>
          <w:hyperlink w:anchor="_Toc150862453" w:history="1">
            <w:r w:rsidR="000F3753" w:rsidRPr="000E522C">
              <w:rPr>
                <w:rStyle w:val="Hyperlink"/>
                <w:noProof/>
              </w:rPr>
              <w:t>Table 1.  Response of Scientific Advisory Group to the Department’s Response to Stakeholder Submissions</w:t>
            </w:r>
            <w:r w:rsidR="000F3753">
              <w:rPr>
                <w:noProof/>
                <w:webHidden/>
              </w:rPr>
              <w:tab/>
            </w:r>
            <w:r w:rsidR="000F3753">
              <w:rPr>
                <w:noProof/>
                <w:webHidden/>
              </w:rPr>
              <w:fldChar w:fldCharType="begin"/>
            </w:r>
            <w:r w:rsidR="000F3753">
              <w:rPr>
                <w:noProof/>
                <w:webHidden/>
              </w:rPr>
              <w:instrText xml:space="preserve"> PAGEREF _Toc150862453 \h </w:instrText>
            </w:r>
            <w:r w:rsidR="000F3753">
              <w:rPr>
                <w:noProof/>
                <w:webHidden/>
              </w:rPr>
            </w:r>
            <w:r w:rsidR="000F3753">
              <w:rPr>
                <w:noProof/>
                <w:webHidden/>
              </w:rPr>
              <w:fldChar w:fldCharType="separate"/>
            </w:r>
            <w:r>
              <w:rPr>
                <w:noProof/>
                <w:webHidden/>
              </w:rPr>
              <w:t>6</w:t>
            </w:r>
            <w:r w:rsidR="000F3753">
              <w:rPr>
                <w:noProof/>
                <w:webHidden/>
              </w:rPr>
              <w:fldChar w:fldCharType="end"/>
            </w:r>
          </w:hyperlink>
        </w:p>
        <w:p w14:paraId="38A88B16" w14:textId="1F231565" w:rsidR="006B7F4B" w:rsidRDefault="006B7F4B">
          <w:r>
            <w:rPr>
              <w:b/>
              <w:bCs/>
              <w:noProof/>
            </w:rPr>
            <w:fldChar w:fldCharType="end"/>
          </w:r>
        </w:p>
      </w:sdtContent>
    </w:sdt>
    <w:p w14:paraId="0A924AC1" w14:textId="77777777" w:rsidR="008801A3" w:rsidRDefault="008801A3" w:rsidP="00E81A0F">
      <w:pPr>
        <w:pStyle w:val="Heading2"/>
      </w:pPr>
    </w:p>
    <w:p w14:paraId="193811F7" w14:textId="77777777" w:rsidR="00AF6E4C" w:rsidRDefault="00AF6E4C" w:rsidP="00AF6E4C"/>
    <w:p w14:paraId="3D8EAA9D" w14:textId="77777777" w:rsidR="00AF6E4C" w:rsidRPr="00AF6E4C" w:rsidRDefault="00AF6E4C" w:rsidP="00AF6E4C"/>
    <w:p w14:paraId="2D00B102" w14:textId="77777777" w:rsidR="008801A3" w:rsidRDefault="008801A3" w:rsidP="00E81A0F">
      <w:pPr>
        <w:pStyle w:val="Heading2"/>
      </w:pPr>
    </w:p>
    <w:p w14:paraId="4F6A70E0" w14:textId="294A9346" w:rsidR="006B7F4B" w:rsidRDefault="00E81A0F" w:rsidP="00E81A0F">
      <w:pPr>
        <w:pStyle w:val="Heading2"/>
      </w:pPr>
      <w:bookmarkStart w:id="0" w:name="_Toc150862449"/>
      <w:r>
        <w:t>Summary</w:t>
      </w:r>
      <w:bookmarkEnd w:id="0"/>
    </w:p>
    <w:p w14:paraId="1E591A0C" w14:textId="5DE6395B" w:rsidR="00225D59" w:rsidRPr="00717ED5" w:rsidRDefault="00E81A0F" w:rsidP="00717ED5">
      <w:r>
        <w:t xml:space="preserve">This </w:t>
      </w:r>
      <w:r w:rsidR="00717ED5">
        <w:t>r</w:t>
      </w:r>
      <w:r>
        <w:t>eview provides advice to the Department of Agriculture, Fisheries and Forestry (DAFF</w:t>
      </w:r>
      <w:r w:rsidR="00DB0F56">
        <w:t xml:space="preserve"> or the department</w:t>
      </w:r>
      <w:r>
        <w:t xml:space="preserve">) </w:t>
      </w:r>
      <w:r w:rsidR="009E25AA">
        <w:t xml:space="preserve">from the Scientific Advisory Group (SAG) </w:t>
      </w:r>
      <w:r>
        <w:t xml:space="preserve">on </w:t>
      </w:r>
      <w:r w:rsidR="009E25AA">
        <w:t xml:space="preserve">the DAFF </w:t>
      </w:r>
      <w:r>
        <w:t xml:space="preserve">Provisional Report </w:t>
      </w:r>
      <w:r w:rsidR="009E25AA">
        <w:t xml:space="preserve">‘Import of live sturgeon for aquaculture </w:t>
      </w:r>
      <w:r w:rsidR="00225D59">
        <w:t>- provisional</w:t>
      </w:r>
      <w:r>
        <w:t xml:space="preserve"> biosecurity import risk analysis</w:t>
      </w:r>
      <w:r w:rsidR="009E25AA">
        <w:t>’</w:t>
      </w:r>
      <w:r w:rsidR="00225D59">
        <w:t xml:space="preserve"> (2023).</w:t>
      </w:r>
      <w:r>
        <w:t xml:space="preserve">  </w:t>
      </w:r>
    </w:p>
    <w:p w14:paraId="0ADE1F22" w14:textId="7FB9EC20" w:rsidR="00717ED5" w:rsidRDefault="00225D59" w:rsidP="002E40E9">
      <w:r>
        <w:t>The SAG commends t</w:t>
      </w:r>
      <w:r w:rsidRPr="00225D59">
        <w:t>he department on its</w:t>
      </w:r>
      <w:r w:rsidRPr="00A423A7">
        <w:rPr>
          <w:lang w:eastAsia="en-GB"/>
        </w:rPr>
        <w:t xml:space="preserve"> excellent </w:t>
      </w:r>
      <w:r>
        <w:rPr>
          <w:lang w:eastAsia="en-GB"/>
        </w:rPr>
        <w:t xml:space="preserve">response to </w:t>
      </w:r>
      <w:r w:rsidRPr="00A423A7">
        <w:rPr>
          <w:lang w:eastAsia="en-GB"/>
        </w:rPr>
        <w:t xml:space="preserve">the issues raised </w:t>
      </w:r>
      <w:r w:rsidR="005A4D01">
        <w:rPr>
          <w:lang w:eastAsia="en-GB"/>
        </w:rPr>
        <w:t xml:space="preserve">by the four </w:t>
      </w:r>
      <w:r w:rsidRPr="00A423A7">
        <w:rPr>
          <w:lang w:eastAsia="en-GB"/>
        </w:rPr>
        <w:t xml:space="preserve">submissions that were received in response to the </w:t>
      </w:r>
      <w:r w:rsidR="00AF6E4C">
        <w:rPr>
          <w:lang w:eastAsia="en-GB"/>
        </w:rPr>
        <w:t>d</w:t>
      </w:r>
      <w:r w:rsidRPr="00A423A7">
        <w:rPr>
          <w:lang w:eastAsia="en-GB"/>
        </w:rPr>
        <w:t xml:space="preserve">raft BIRA report (the </w:t>
      </w:r>
      <w:r w:rsidR="00DB0F56">
        <w:rPr>
          <w:lang w:eastAsia="en-GB"/>
        </w:rPr>
        <w:t>d</w:t>
      </w:r>
      <w:r w:rsidRPr="00A423A7">
        <w:rPr>
          <w:lang w:eastAsia="en-GB"/>
        </w:rPr>
        <w:t xml:space="preserve">raft </w:t>
      </w:r>
      <w:r w:rsidR="00DB0F56">
        <w:rPr>
          <w:lang w:eastAsia="en-GB"/>
        </w:rPr>
        <w:t>r</w:t>
      </w:r>
      <w:r w:rsidRPr="00A423A7">
        <w:rPr>
          <w:lang w:eastAsia="en-GB"/>
        </w:rPr>
        <w:t>eport).</w:t>
      </w:r>
      <w:r>
        <w:rPr>
          <w:lang w:eastAsia="en-GB"/>
        </w:rPr>
        <w:t xml:space="preserve">  Overall, </w:t>
      </w:r>
      <w:r w:rsidR="00826380">
        <w:rPr>
          <w:lang w:eastAsia="en-GB"/>
        </w:rPr>
        <w:t xml:space="preserve">the SAG finds that </w:t>
      </w:r>
      <w:r>
        <w:rPr>
          <w:lang w:eastAsia="en-GB"/>
        </w:rPr>
        <w:t xml:space="preserve">the </w:t>
      </w:r>
      <w:r w:rsidR="00826380">
        <w:rPr>
          <w:lang w:eastAsia="en-GB"/>
        </w:rPr>
        <w:t>department has</w:t>
      </w:r>
      <w:r w:rsidR="00717ED5">
        <w:rPr>
          <w:lang w:eastAsia="en-GB"/>
        </w:rPr>
        <w:t xml:space="preserve"> met its obligations to consider stakeholder submissions; to include appropriate scientific evidence; and to apply appropriate methodologies.  It clearly </w:t>
      </w:r>
      <w:r w:rsidR="00717ED5">
        <w:t xml:space="preserve">sets out the supporting evidence for the biosecurity measures that should reduce the biosecurity import risk to an acceptable level of protection.  </w:t>
      </w:r>
    </w:p>
    <w:p w14:paraId="675FCB82" w14:textId="1AA1AE42" w:rsidR="00826380" w:rsidRDefault="00826380" w:rsidP="002E40E9">
      <w:r>
        <w:t xml:space="preserve">Most of the SAG’s comments </w:t>
      </w:r>
      <w:r w:rsidR="006C6BE5">
        <w:t xml:space="preserve">are suggestions for small edits in the text to </w:t>
      </w:r>
      <w:r>
        <w:t>improv</w:t>
      </w:r>
      <w:r w:rsidR="006C6BE5">
        <w:t>e its</w:t>
      </w:r>
      <w:r>
        <w:t xml:space="preserve"> clarity</w:t>
      </w:r>
      <w:r w:rsidR="006C6BE5">
        <w:t>.</w:t>
      </w:r>
      <w:r>
        <w:t xml:space="preserve"> </w:t>
      </w:r>
      <w:r w:rsidR="006C6BE5">
        <w:t>Further, i</w:t>
      </w:r>
      <w:r w:rsidR="008801A3">
        <w:t>t</w:t>
      </w:r>
      <w:r>
        <w:t xml:space="preserve"> would be helpful if the BIRA is placed </w:t>
      </w:r>
      <w:r w:rsidR="00717ED5">
        <w:t xml:space="preserve">more </w:t>
      </w:r>
      <w:r w:rsidR="00AF6E4C">
        <w:t xml:space="preserve">explicitly </w:t>
      </w:r>
      <w:r>
        <w:t xml:space="preserve">within a framework that acknowledges the ‘whole of government’ approach for importation of sturgeon that </w:t>
      </w:r>
      <w:r w:rsidR="006F596B">
        <w:t xml:space="preserve">entails </w:t>
      </w:r>
      <w:r>
        <w:t>a range of legislation</w:t>
      </w:r>
      <w:r w:rsidR="006F596B">
        <w:t>,</w:t>
      </w:r>
      <w:r>
        <w:t xml:space="preserve"> in addition to the Biosecurity Act (</w:t>
      </w:r>
      <w:r w:rsidR="005A4D01">
        <w:t>2015</w:t>
      </w:r>
      <w:r>
        <w:t xml:space="preserve">).  </w:t>
      </w:r>
      <w:r w:rsidR="00AF6E4C">
        <w:t xml:space="preserve">Several stakeholder concerns related more to this broader context outside the BIRA than to the BIRA itself.  The SAG suggests the addition of a flow diagram to show the various stages that are involved in permission to import and cultivate sturgeon.  </w:t>
      </w:r>
    </w:p>
    <w:p w14:paraId="6A2E1CAB" w14:textId="77777777" w:rsidR="00225D59" w:rsidRDefault="00225D59" w:rsidP="00225D59"/>
    <w:p w14:paraId="59904B2E" w14:textId="77777777" w:rsidR="002E40E9" w:rsidRDefault="002E40E9" w:rsidP="00225D59"/>
    <w:p w14:paraId="2ED57444" w14:textId="77777777" w:rsidR="002E40E9" w:rsidRDefault="002E40E9" w:rsidP="00225D59"/>
    <w:p w14:paraId="7880576F" w14:textId="77777777" w:rsidR="002E40E9" w:rsidRDefault="002E40E9" w:rsidP="00225D59"/>
    <w:p w14:paraId="709BFD33" w14:textId="77777777" w:rsidR="002E40E9" w:rsidRPr="00225D59" w:rsidRDefault="002E40E9" w:rsidP="00225D59"/>
    <w:p w14:paraId="1E9BEB22" w14:textId="174FF17A" w:rsidR="00826380" w:rsidRPr="00AD0B03" w:rsidRDefault="00826380" w:rsidP="00AD0B03">
      <w:pPr>
        <w:pStyle w:val="Heading2"/>
      </w:pPr>
      <w:bookmarkStart w:id="1" w:name="_Toc150862450"/>
      <w:r w:rsidRPr="00AD0B03">
        <w:lastRenderedPageBreak/>
        <w:t>Introduction</w:t>
      </w:r>
      <w:bookmarkEnd w:id="1"/>
    </w:p>
    <w:p w14:paraId="569F60BD" w14:textId="40B15D1A" w:rsidR="00FE4229" w:rsidRDefault="006C6BE5" w:rsidP="005A4D01">
      <w:r w:rsidRPr="005A4D01">
        <w:t xml:space="preserve">The sturgeon </w:t>
      </w:r>
      <w:r>
        <w:t xml:space="preserve">biosecurity </w:t>
      </w:r>
      <w:r w:rsidR="009876E7">
        <w:t xml:space="preserve">import </w:t>
      </w:r>
      <w:r>
        <w:t>risk assessment (BIRA)</w:t>
      </w:r>
      <w:r w:rsidRPr="005A4D01">
        <w:t xml:space="preserve"> is in relation to the importation of </w:t>
      </w:r>
      <w:r w:rsidRPr="005A4D01">
        <w:rPr>
          <w:i/>
          <w:iCs/>
        </w:rPr>
        <w:t>Acipenser</w:t>
      </w:r>
      <w:r w:rsidRPr="005A4D01">
        <w:t xml:space="preserve"> and </w:t>
      </w:r>
      <w:r w:rsidRPr="005A4D01">
        <w:rPr>
          <w:i/>
          <w:iCs/>
        </w:rPr>
        <w:t>Huso</w:t>
      </w:r>
      <w:r w:rsidRPr="005A4D01">
        <w:t xml:space="preserve"> sturgeon into Australia for aquaculture purposes. </w:t>
      </w:r>
      <w:r w:rsidR="00826380">
        <w:t xml:space="preserve">Sturgeon </w:t>
      </w:r>
      <w:r w:rsidR="00914CE6">
        <w:t>is</w:t>
      </w:r>
      <w:r w:rsidR="00826380">
        <w:t xml:space="preserve"> valued for </w:t>
      </w:r>
      <w:r>
        <w:t xml:space="preserve">its </w:t>
      </w:r>
      <w:r w:rsidR="00826380">
        <w:t>roe, better known as caviar.  At present</w:t>
      </w:r>
      <w:r w:rsidR="00DB0F56">
        <w:t>,</w:t>
      </w:r>
      <w:r w:rsidR="00826380">
        <w:t xml:space="preserve"> Australia imports</w:t>
      </w:r>
      <w:r w:rsidR="005A4D01">
        <w:t xml:space="preserve"> all its </w:t>
      </w:r>
      <w:r w:rsidR="00717ED5">
        <w:t xml:space="preserve">sturgeon </w:t>
      </w:r>
      <w:r w:rsidR="005A4D01">
        <w:t xml:space="preserve">caviar.  </w:t>
      </w:r>
    </w:p>
    <w:p w14:paraId="21C09361" w14:textId="1210CF8B" w:rsidR="005A4D01" w:rsidRPr="00FE4229" w:rsidRDefault="005A4D01" w:rsidP="00FE4229">
      <w:r>
        <w:t xml:space="preserve">A </w:t>
      </w:r>
      <w:r w:rsidR="00FE4229">
        <w:t>BIRA is a mandated</w:t>
      </w:r>
      <w:r>
        <w:t xml:space="preserve"> requirement for importation of live animals under the Biosecurity Act (</w:t>
      </w:r>
      <w:r w:rsidR="00FE4229">
        <w:t>2015</w:t>
      </w:r>
      <w:r>
        <w:t xml:space="preserve">).  A critical part of the BIRA process </w:t>
      </w:r>
      <w:r w:rsidR="00FE4229">
        <w:t xml:space="preserve">is that the BIRA is reviewed by a Scientific Advisory Group (SAG), </w:t>
      </w:r>
      <w:r>
        <w:t xml:space="preserve">as regulated under the </w:t>
      </w:r>
      <w:r w:rsidRPr="00FE4229">
        <w:rPr>
          <w:rFonts w:cstheme="minorHAnsi"/>
        </w:rPr>
        <w:t xml:space="preserve">Biosecurity Act </w:t>
      </w:r>
      <w:r w:rsidR="00FE4229" w:rsidRPr="00FE4229">
        <w:rPr>
          <w:rFonts w:cstheme="minorHAnsi"/>
        </w:rPr>
        <w:t>(</w:t>
      </w:r>
      <w:r w:rsidRPr="00FE4229">
        <w:rPr>
          <w:rFonts w:cstheme="minorHAnsi"/>
        </w:rPr>
        <w:t>2015</w:t>
      </w:r>
      <w:r w:rsidR="00FE4229" w:rsidRPr="00FE4229">
        <w:rPr>
          <w:rFonts w:cstheme="minorHAnsi"/>
        </w:rPr>
        <w:t>)</w:t>
      </w:r>
      <w:r>
        <w:rPr>
          <w:rFonts w:ascii="CIDFont+F3" w:hAnsi="CIDFont+F3"/>
        </w:rPr>
        <w:t xml:space="preserve"> </w:t>
      </w:r>
      <w:r>
        <w:rPr>
          <w:rFonts w:ascii="CIDFont+F4" w:hAnsi="CIDFont+F4"/>
          <w:shd w:val="clear" w:color="auto" w:fill="FFFFFF"/>
        </w:rPr>
        <w:t xml:space="preserve">and the </w:t>
      </w:r>
      <w:r>
        <w:rPr>
          <w:shd w:val="clear" w:color="auto" w:fill="FFFFFF"/>
        </w:rPr>
        <w:t xml:space="preserve">Biosecurity Regulation </w:t>
      </w:r>
      <w:r w:rsidR="00FE4229">
        <w:rPr>
          <w:shd w:val="clear" w:color="auto" w:fill="FFFFFF"/>
        </w:rPr>
        <w:t>(</w:t>
      </w:r>
      <w:r>
        <w:rPr>
          <w:shd w:val="clear" w:color="auto" w:fill="FFFFFF"/>
        </w:rPr>
        <w:t>2016</w:t>
      </w:r>
      <w:r w:rsidR="00FE4229">
        <w:rPr>
          <w:shd w:val="clear" w:color="auto" w:fill="FFFFFF"/>
        </w:rPr>
        <w:t>)</w:t>
      </w:r>
      <w:r>
        <w:t xml:space="preserve">, and as per </w:t>
      </w:r>
      <w:r w:rsidR="00717ED5">
        <w:t xml:space="preserve">the </w:t>
      </w:r>
      <w:r>
        <w:t xml:space="preserve">Biosecurity Import Risk Analysis Guidelines </w:t>
      </w:r>
      <w:r w:rsidR="00FE4229">
        <w:t>(</w:t>
      </w:r>
      <w:r>
        <w:t>2016</w:t>
      </w:r>
      <w:r w:rsidR="00FE4229">
        <w:t>).</w:t>
      </w:r>
    </w:p>
    <w:p w14:paraId="736F1E69" w14:textId="24D2DCE2" w:rsidR="005A4D01" w:rsidRDefault="005A4D01" w:rsidP="00826380">
      <w:r>
        <w:t xml:space="preserve">The SAG </w:t>
      </w:r>
      <w:r w:rsidR="00FE4229">
        <w:t xml:space="preserve">was contracted to review the </w:t>
      </w:r>
      <w:r w:rsidR="00AF6E4C">
        <w:t>p</w:t>
      </w:r>
      <w:r w:rsidR="00FE4229">
        <w:t xml:space="preserve">rovisional </w:t>
      </w:r>
      <w:r w:rsidR="00AF6E4C">
        <w:t>r</w:t>
      </w:r>
      <w:r w:rsidR="00FE4229">
        <w:t xml:space="preserve">eport </w:t>
      </w:r>
      <w:r w:rsidR="00AF6E4C">
        <w:t>on ‘Import of live sturgeon for aquaculture - provisional biosecurity import risk analysis’ (2023</w:t>
      </w:r>
      <w:r w:rsidR="00045E8A">
        <w:t xml:space="preserve">) </w:t>
      </w:r>
      <w:r w:rsidR="00FE4229">
        <w:t xml:space="preserve">against terms of reference that assessed if the </w:t>
      </w:r>
      <w:r w:rsidR="00DB0F56">
        <w:t>d</w:t>
      </w:r>
      <w:r w:rsidR="00FE4229">
        <w:t>epartment had</w:t>
      </w:r>
      <w:r w:rsidR="00CE2FD5">
        <w:t>:</w:t>
      </w:r>
    </w:p>
    <w:p w14:paraId="7C35D4D4" w14:textId="5C482477" w:rsidR="00FE4229" w:rsidRDefault="00FE4229" w:rsidP="00FE4229">
      <w:pPr>
        <w:ind w:left="720"/>
        <w:rPr>
          <w:rFonts w:eastAsia="Times New Roman"/>
          <w:szCs w:val="24"/>
        </w:rPr>
      </w:pPr>
      <w:r>
        <w:t>• appropriately considered the stakeholder submissions received in response to the draft report</w:t>
      </w:r>
      <w:r w:rsidR="0064429F">
        <w:t>;</w:t>
      </w:r>
      <w:r>
        <w:t xml:space="preserve"> </w:t>
      </w:r>
    </w:p>
    <w:p w14:paraId="3832B3F0" w14:textId="17D6B5A8" w:rsidR="00FE4229" w:rsidRDefault="00FE4229" w:rsidP="00FE4229">
      <w:pPr>
        <w:ind w:left="720"/>
      </w:pPr>
      <w:r>
        <w:t>• included and properly considered scientific evidence relating to the environment and the conclusions of the provisional final report are scientifically reasonable and based on the material presented and available</w:t>
      </w:r>
      <w:r w:rsidR="00CE2FD5">
        <w:t>; and</w:t>
      </w:r>
      <w:r>
        <w:t xml:space="preserve"> </w:t>
      </w:r>
    </w:p>
    <w:p w14:paraId="0C2DDFD3" w14:textId="77777777" w:rsidR="00FE4229" w:rsidRDefault="00FE4229" w:rsidP="00FE4229">
      <w:pPr>
        <w:ind w:left="720"/>
      </w:pPr>
      <w:r>
        <w:t>• appropriately applied its methodologies for completing a biosecurity import risk analysis.</w:t>
      </w:r>
      <w:r>
        <w:br/>
      </w:r>
    </w:p>
    <w:p w14:paraId="01597F23" w14:textId="5DFC4DB0" w:rsidR="00285F99" w:rsidRDefault="005A4D01" w:rsidP="00FE4229">
      <w:r>
        <w:t xml:space="preserve">The </w:t>
      </w:r>
      <w:r w:rsidR="00045E8A">
        <w:t>p</w:t>
      </w:r>
      <w:r>
        <w:t xml:space="preserve">rovisional </w:t>
      </w:r>
      <w:r w:rsidR="00045E8A">
        <w:t>r</w:t>
      </w:r>
      <w:r>
        <w:t xml:space="preserve">eport </w:t>
      </w:r>
      <w:r w:rsidR="00285F99">
        <w:t>was provided to the SAG</w:t>
      </w:r>
      <w:r w:rsidR="000F3753">
        <w:t xml:space="preserve"> for review</w:t>
      </w:r>
      <w:r w:rsidR="00285F99">
        <w:t xml:space="preserve"> in late October 2023.  </w:t>
      </w:r>
      <w:r w:rsidR="000F3753">
        <w:t xml:space="preserve">It </w:t>
      </w:r>
      <w:r>
        <w:t xml:space="preserve">is an updated version of the </w:t>
      </w:r>
      <w:r w:rsidR="00AF6E4C">
        <w:t>d</w:t>
      </w:r>
      <w:r>
        <w:t xml:space="preserve">raft </w:t>
      </w:r>
      <w:r w:rsidR="00AF6E4C">
        <w:t>r</w:t>
      </w:r>
      <w:r>
        <w:t xml:space="preserve">eport </w:t>
      </w:r>
      <w:r w:rsidR="006C6BE5">
        <w:t xml:space="preserve">that had been </w:t>
      </w:r>
      <w:r>
        <w:t xml:space="preserve">released for public comment on 11 July 2023.  </w:t>
      </w:r>
      <w:r w:rsidR="00285F99">
        <w:t xml:space="preserve"> </w:t>
      </w:r>
      <w:r w:rsidR="006C6BE5">
        <w:t xml:space="preserve">The draft report itself was preceded by a short issues paper published for public comment on 21 June 2022.  </w:t>
      </w:r>
      <w:r w:rsidR="00285F99">
        <w:t xml:space="preserve">The updates in </w:t>
      </w:r>
      <w:r w:rsidR="009876E7">
        <w:t xml:space="preserve">the </w:t>
      </w:r>
      <w:r w:rsidR="00285F99">
        <w:t xml:space="preserve">provisional report are in response to input from the four stakeholder submissions to the draft report.  Additional recent scientific references have also been added.    </w:t>
      </w:r>
    </w:p>
    <w:p w14:paraId="2AB18D95" w14:textId="40FCCF64" w:rsidR="00FE4229" w:rsidRDefault="005A4D01" w:rsidP="00FE4229">
      <w:r>
        <w:t xml:space="preserve">The SAG considered both the </w:t>
      </w:r>
      <w:r w:rsidR="00045E8A">
        <w:t>d</w:t>
      </w:r>
      <w:r>
        <w:t xml:space="preserve">raft and </w:t>
      </w:r>
      <w:r w:rsidR="00045E8A">
        <w:t>p</w:t>
      </w:r>
      <w:r w:rsidR="002E40E9">
        <w:t>r</w:t>
      </w:r>
      <w:r>
        <w:t xml:space="preserve">ovisional </w:t>
      </w:r>
      <w:r w:rsidR="00045E8A">
        <w:t>r</w:t>
      </w:r>
      <w:r>
        <w:t xml:space="preserve">eports plus the seven submissions to the short </w:t>
      </w:r>
      <w:r w:rsidR="00045E8A">
        <w:t>i</w:t>
      </w:r>
      <w:r>
        <w:t xml:space="preserve">ssues </w:t>
      </w:r>
      <w:r w:rsidR="00045E8A">
        <w:t>p</w:t>
      </w:r>
      <w:r>
        <w:t xml:space="preserve">aper and the four stakeholder submissions to </w:t>
      </w:r>
      <w:r w:rsidR="00045E8A">
        <w:t>d</w:t>
      </w:r>
      <w:r>
        <w:t xml:space="preserve">raft </w:t>
      </w:r>
      <w:r w:rsidR="00045E8A">
        <w:t>r</w:t>
      </w:r>
      <w:r>
        <w:t xml:space="preserve">eport. The SAG met virtually with the DAFF Animal Branch team on 13 September 2023 to discuss the work.  </w:t>
      </w:r>
      <w:r w:rsidR="00AD0B03">
        <w:t>T</w:t>
      </w:r>
      <w:r w:rsidR="00717672">
        <w:t xml:space="preserve">he SAG </w:t>
      </w:r>
      <w:r w:rsidR="00DB0F56">
        <w:t xml:space="preserve">was </w:t>
      </w:r>
      <w:r w:rsidR="00717672">
        <w:t xml:space="preserve">also </w:t>
      </w:r>
      <w:r w:rsidR="00DB0F56">
        <w:t>offered</w:t>
      </w:r>
      <w:r w:rsidR="00717672">
        <w:t xml:space="preserve"> the opportunity to meet or consult with credentialed experts in aquatic diseases</w:t>
      </w:r>
      <w:r w:rsidR="00AD0B03">
        <w:t>.  This was not deemed necessary (see below).</w:t>
      </w:r>
      <w:r w:rsidR="001C76B8">
        <w:t xml:space="preserve"> The SAG provided the department with a copy of the penultimate version of this review to enable the department to highlight any factual errors made by the SAG.  None were</w:t>
      </w:r>
      <w:r w:rsidR="009876E7">
        <w:t xml:space="preserve"> identified.</w:t>
      </w:r>
      <w:r w:rsidR="001C76B8">
        <w:t xml:space="preserve">  </w:t>
      </w:r>
    </w:p>
    <w:p w14:paraId="13392471" w14:textId="77777777" w:rsidR="00826380" w:rsidRDefault="00826380" w:rsidP="00D60428">
      <w:pPr>
        <w:pStyle w:val="Heading2"/>
      </w:pPr>
    </w:p>
    <w:p w14:paraId="4BA2B2E4" w14:textId="369EAD31" w:rsidR="00717672" w:rsidRPr="00AD0B03" w:rsidRDefault="00717672" w:rsidP="00AD0B03">
      <w:pPr>
        <w:pStyle w:val="Heading2"/>
      </w:pPr>
      <w:bookmarkStart w:id="2" w:name="_Toc150862451"/>
      <w:r w:rsidRPr="00AD0B03">
        <w:t>SAG Observations</w:t>
      </w:r>
      <w:bookmarkEnd w:id="2"/>
    </w:p>
    <w:p w14:paraId="14617665" w14:textId="7179D9AA" w:rsidR="002E40E9" w:rsidRDefault="002E40E9" w:rsidP="002E40E9">
      <w:pPr>
        <w:rPr>
          <w:lang w:eastAsia="en-GB"/>
        </w:rPr>
      </w:pPr>
      <w:r w:rsidRPr="00A423A7">
        <w:t xml:space="preserve">The department has </w:t>
      </w:r>
      <w:r w:rsidRPr="00A423A7">
        <w:rPr>
          <w:lang w:eastAsia="en-GB"/>
        </w:rPr>
        <w:t xml:space="preserve">done an excellent job in considering the issues raised in the very few submissions that were received in response to the </w:t>
      </w:r>
      <w:r w:rsidR="00045E8A">
        <w:rPr>
          <w:lang w:eastAsia="en-GB"/>
        </w:rPr>
        <w:t>d</w:t>
      </w:r>
      <w:r w:rsidRPr="00A423A7">
        <w:rPr>
          <w:lang w:eastAsia="en-GB"/>
        </w:rPr>
        <w:t xml:space="preserve">raft BIRA </w:t>
      </w:r>
      <w:r w:rsidR="00045E8A">
        <w:rPr>
          <w:lang w:eastAsia="en-GB"/>
        </w:rPr>
        <w:t>r</w:t>
      </w:r>
      <w:r w:rsidRPr="00A423A7">
        <w:rPr>
          <w:lang w:eastAsia="en-GB"/>
        </w:rPr>
        <w:t xml:space="preserve">eport. Moreover, the approach taken by the </w:t>
      </w:r>
      <w:r w:rsidR="00045E8A">
        <w:rPr>
          <w:lang w:eastAsia="en-GB"/>
        </w:rPr>
        <w:t>d</w:t>
      </w:r>
      <w:r w:rsidRPr="00A423A7">
        <w:rPr>
          <w:lang w:eastAsia="en-GB"/>
        </w:rPr>
        <w:t>epartment to tabulate its response to these submissions</w:t>
      </w:r>
      <w:r>
        <w:rPr>
          <w:lang w:eastAsia="en-GB"/>
        </w:rPr>
        <w:t>,</w:t>
      </w:r>
      <w:r w:rsidRPr="00A423A7">
        <w:rPr>
          <w:lang w:eastAsia="en-GB"/>
        </w:rPr>
        <w:t xml:space="preserve"> as well as preparing an additional document that identifies all the changes made between the </w:t>
      </w:r>
      <w:r w:rsidR="00045E8A">
        <w:rPr>
          <w:lang w:eastAsia="en-GB"/>
        </w:rPr>
        <w:t>d</w:t>
      </w:r>
      <w:r w:rsidRPr="00A423A7">
        <w:rPr>
          <w:lang w:eastAsia="en-GB"/>
        </w:rPr>
        <w:t xml:space="preserve">raft and </w:t>
      </w:r>
      <w:r w:rsidR="00045E8A">
        <w:rPr>
          <w:lang w:eastAsia="en-GB"/>
        </w:rPr>
        <w:t>p</w:t>
      </w:r>
      <w:r w:rsidRPr="00A423A7">
        <w:rPr>
          <w:lang w:eastAsia="en-GB"/>
        </w:rPr>
        <w:t>rovisional </w:t>
      </w:r>
      <w:r w:rsidR="00045E8A">
        <w:rPr>
          <w:lang w:eastAsia="en-GB"/>
        </w:rPr>
        <w:t>r</w:t>
      </w:r>
      <w:r w:rsidRPr="00A423A7">
        <w:rPr>
          <w:lang w:eastAsia="en-GB"/>
        </w:rPr>
        <w:t>eport</w:t>
      </w:r>
      <w:r w:rsidR="00045E8A">
        <w:rPr>
          <w:lang w:eastAsia="en-GB"/>
        </w:rPr>
        <w:t>s</w:t>
      </w:r>
      <w:r>
        <w:rPr>
          <w:lang w:eastAsia="en-GB"/>
        </w:rPr>
        <w:t xml:space="preserve">, was </w:t>
      </w:r>
      <w:r w:rsidRPr="00A423A7">
        <w:rPr>
          <w:lang w:eastAsia="en-GB"/>
        </w:rPr>
        <w:t>very helpful and transparent.</w:t>
      </w:r>
    </w:p>
    <w:p w14:paraId="53FEE214" w14:textId="151A5536" w:rsidR="00CE2FD5" w:rsidRPr="00A423A7" w:rsidRDefault="00BE5034" w:rsidP="002E40E9">
      <w:pPr>
        <w:rPr>
          <w:lang w:eastAsia="en-GB"/>
        </w:rPr>
      </w:pPr>
      <w:r>
        <w:rPr>
          <w:lang w:eastAsia="en-GB"/>
        </w:rPr>
        <w:t xml:space="preserve">The SAG has </w:t>
      </w:r>
      <w:r w:rsidR="00CE2FD5">
        <w:rPr>
          <w:lang w:eastAsia="en-GB"/>
        </w:rPr>
        <w:t xml:space="preserve">a few suggestions for improvements to the </w:t>
      </w:r>
      <w:r w:rsidR="00045E8A">
        <w:rPr>
          <w:lang w:eastAsia="en-GB"/>
        </w:rPr>
        <w:t>p</w:t>
      </w:r>
      <w:r w:rsidR="00CE2FD5">
        <w:rPr>
          <w:lang w:eastAsia="en-GB"/>
        </w:rPr>
        <w:t xml:space="preserve">rovisional </w:t>
      </w:r>
      <w:r w:rsidR="00045E8A">
        <w:rPr>
          <w:lang w:eastAsia="en-GB"/>
        </w:rPr>
        <w:t>r</w:t>
      </w:r>
      <w:r w:rsidR="00CE2FD5">
        <w:rPr>
          <w:lang w:eastAsia="en-GB"/>
        </w:rPr>
        <w:t>eport that should assist the reader navigate through th</w:t>
      </w:r>
      <w:r>
        <w:rPr>
          <w:lang w:eastAsia="en-GB"/>
        </w:rPr>
        <w:t>e</w:t>
      </w:r>
      <w:r w:rsidR="00CE2FD5">
        <w:rPr>
          <w:lang w:eastAsia="en-GB"/>
        </w:rPr>
        <w:t xml:space="preserve"> complex </w:t>
      </w:r>
      <w:r>
        <w:rPr>
          <w:lang w:eastAsia="en-GB"/>
        </w:rPr>
        <w:t xml:space="preserve">BIRA </w:t>
      </w:r>
      <w:r w:rsidR="00CE2FD5">
        <w:rPr>
          <w:lang w:eastAsia="en-GB"/>
        </w:rPr>
        <w:t xml:space="preserve">process.  Table 1 (see below page 6) gives specific comments by the SAG on the </w:t>
      </w:r>
      <w:r w:rsidR="00045E8A">
        <w:rPr>
          <w:lang w:eastAsia="en-GB"/>
        </w:rPr>
        <w:t>d</w:t>
      </w:r>
      <w:r w:rsidR="00CE2FD5">
        <w:rPr>
          <w:lang w:eastAsia="en-GB"/>
        </w:rPr>
        <w:t>epartment’s response</w:t>
      </w:r>
      <w:r w:rsidR="00045E8A">
        <w:rPr>
          <w:lang w:eastAsia="en-GB"/>
        </w:rPr>
        <w:t>s</w:t>
      </w:r>
      <w:r w:rsidR="00CE2FD5">
        <w:rPr>
          <w:lang w:eastAsia="en-GB"/>
        </w:rPr>
        <w:t xml:space="preserve"> to stakeholder submissions.  </w:t>
      </w:r>
    </w:p>
    <w:p w14:paraId="03400089" w14:textId="77777777" w:rsidR="00AD0B03" w:rsidRPr="00717672" w:rsidRDefault="00AD0B03" w:rsidP="00717672"/>
    <w:p w14:paraId="63D5F9AB" w14:textId="7C6DFE09" w:rsidR="00717672" w:rsidRDefault="00717672" w:rsidP="00AD0B03">
      <w:pPr>
        <w:pStyle w:val="Heading2"/>
      </w:pPr>
      <w:bookmarkStart w:id="3" w:name="_Toc150862452"/>
      <w:r>
        <w:t>Issues to be Addressed</w:t>
      </w:r>
      <w:bookmarkEnd w:id="3"/>
      <w:r>
        <w:t xml:space="preserve"> </w:t>
      </w:r>
    </w:p>
    <w:p w14:paraId="760B863E" w14:textId="47B0CD59" w:rsidR="00BE5034" w:rsidRPr="00285F99" w:rsidRDefault="006F596B" w:rsidP="00285F99">
      <w:pPr>
        <w:pStyle w:val="ListParagraph"/>
        <w:numPr>
          <w:ilvl w:val="0"/>
          <w:numId w:val="10"/>
        </w:numPr>
        <w:rPr>
          <w:rFonts w:cstheme="minorHAnsi"/>
        </w:rPr>
      </w:pPr>
      <w:r>
        <w:t xml:space="preserve">Several comments in the submissions have been addressed fully or partially in the provisional report.  However, the length of the report and its fine detail make it hard for the reader to keep all salient factors in mind when assessing the residual risk of a disease incursion with the importation of sturgeon.  </w:t>
      </w:r>
    </w:p>
    <w:p w14:paraId="50F425C0" w14:textId="35CCC3FA" w:rsidR="006F596B" w:rsidRPr="00BE5034" w:rsidRDefault="006F596B" w:rsidP="00BE5034">
      <w:pPr>
        <w:ind w:left="720"/>
        <w:rPr>
          <w:rFonts w:cstheme="minorHAnsi"/>
        </w:rPr>
      </w:pPr>
      <w:r>
        <w:t>The SAG considers that stakeholders assume a ‘whole of government approach’ to importation</w:t>
      </w:r>
      <w:r w:rsidR="00BE5034">
        <w:t xml:space="preserve"> of new species of animals</w:t>
      </w:r>
      <w:r>
        <w:t>.</w:t>
      </w:r>
      <w:r w:rsidR="00BE5034">
        <w:t xml:space="preserve">  Submissions did not always focus on issues associated with the BIRA (the subject of the draft report) but </w:t>
      </w:r>
      <w:r w:rsidR="00914CE6">
        <w:t>alluded</w:t>
      </w:r>
      <w:r w:rsidR="00BE5034">
        <w:t xml:space="preserve"> to other matters such as the potential ‘</w:t>
      </w:r>
      <w:proofErr w:type="spellStart"/>
      <w:r w:rsidR="00BE5034">
        <w:t>pestiness</w:t>
      </w:r>
      <w:proofErr w:type="spellEnd"/>
      <w:r w:rsidR="00BE5034">
        <w:t>’ of the imported fish</w:t>
      </w:r>
      <w:r w:rsidR="000F3753">
        <w:t xml:space="preserve"> or the definitions of a RAS (recirculating aquaculture system)</w:t>
      </w:r>
      <w:r w:rsidR="00BE5034">
        <w:t>.</w:t>
      </w:r>
      <w:r>
        <w:t xml:space="preserve">  </w:t>
      </w:r>
      <w:r w:rsidR="000F3753">
        <w:br/>
      </w:r>
      <w:r w:rsidR="000F3753">
        <w:br/>
      </w:r>
      <w:r w:rsidR="00BE5034">
        <w:t xml:space="preserve">We note that there appear to </w:t>
      </w:r>
      <w:r>
        <w:t>be three areas of government and legislation involved:</w:t>
      </w:r>
    </w:p>
    <w:p w14:paraId="39645F3F" w14:textId="77777777" w:rsidR="006F596B" w:rsidRPr="006F596B" w:rsidRDefault="006F596B" w:rsidP="006F596B">
      <w:pPr>
        <w:pStyle w:val="ListParagraph"/>
        <w:rPr>
          <w:rFonts w:cstheme="minorHAnsi"/>
        </w:rPr>
      </w:pPr>
    </w:p>
    <w:tbl>
      <w:tblPr>
        <w:tblStyle w:val="TableGrid"/>
        <w:tblW w:w="0" w:type="auto"/>
        <w:tblInd w:w="704" w:type="dxa"/>
        <w:tblLook w:val="04A0" w:firstRow="1" w:lastRow="0" w:firstColumn="1" w:lastColumn="0" w:noHBand="0" w:noVBand="1"/>
      </w:tblPr>
      <w:tblGrid>
        <w:gridCol w:w="1673"/>
        <w:gridCol w:w="3917"/>
        <w:gridCol w:w="2722"/>
      </w:tblGrid>
      <w:tr w:rsidR="006F596B" w:rsidRPr="005102C1" w14:paraId="303409D5" w14:textId="77777777" w:rsidTr="009C1CCC">
        <w:tc>
          <w:tcPr>
            <w:tcW w:w="1276" w:type="dxa"/>
          </w:tcPr>
          <w:p w14:paraId="41591DA0" w14:textId="77777777" w:rsidR="006F596B" w:rsidRPr="005102C1" w:rsidRDefault="006F596B" w:rsidP="009C1CCC">
            <w:pPr>
              <w:rPr>
                <w:rFonts w:asciiTheme="minorHAnsi" w:hAnsiTheme="minorHAnsi" w:cstheme="minorHAnsi"/>
                <w:b/>
                <w:bCs/>
                <w:sz w:val="24"/>
                <w:szCs w:val="24"/>
              </w:rPr>
            </w:pPr>
            <w:r w:rsidRPr="005102C1">
              <w:rPr>
                <w:rFonts w:asciiTheme="minorHAnsi" w:hAnsiTheme="minorHAnsi" w:cstheme="minorHAnsi"/>
                <w:b/>
                <w:bCs/>
                <w:sz w:val="24"/>
                <w:szCs w:val="24"/>
              </w:rPr>
              <w:t xml:space="preserve">Legislation </w:t>
            </w:r>
          </w:p>
        </w:tc>
        <w:tc>
          <w:tcPr>
            <w:tcW w:w="4111" w:type="dxa"/>
          </w:tcPr>
          <w:p w14:paraId="12D26C07" w14:textId="77777777" w:rsidR="006F596B" w:rsidRPr="005102C1" w:rsidRDefault="006F596B" w:rsidP="009C1CCC">
            <w:pPr>
              <w:rPr>
                <w:rFonts w:asciiTheme="minorHAnsi" w:hAnsiTheme="minorHAnsi" w:cstheme="minorHAnsi"/>
                <w:b/>
                <w:bCs/>
                <w:sz w:val="24"/>
                <w:szCs w:val="24"/>
              </w:rPr>
            </w:pPr>
            <w:r w:rsidRPr="005102C1">
              <w:rPr>
                <w:rFonts w:asciiTheme="minorHAnsi" w:hAnsiTheme="minorHAnsi" w:cstheme="minorHAnsi"/>
                <w:b/>
                <w:bCs/>
                <w:sz w:val="24"/>
                <w:szCs w:val="24"/>
              </w:rPr>
              <w:t xml:space="preserve">Purpose </w:t>
            </w:r>
          </w:p>
        </w:tc>
        <w:tc>
          <w:tcPr>
            <w:tcW w:w="2835" w:type="dxa"/>
          </w:tcPr>
          <w:p w14:paraId="2D870769" w14:textId="77777777" w:rsidR="006F596B" w:rsidRPr="005102C1" w:rsidRDefault="006F596B" w:rsidP="009C1CCC">
            <w:pPr>
              <w:rPr>
                <w:rFonts w:asciiTheme="minorHAnsi" w:hAnsiTheme="minorHAnsi" w:cstheme="minorHAnsi"/>
                <w:b/>
                <w:bCs/>
                <w:sz w:val="24"/>
                <w:szCs w:val="24"/>
              </w:rPr>
            </w:pPr>
            <w:r w:rsidRPr="005102C1">
              <w:rPr>
                <w:rFonts w:asciiTheme="minorHAnsi" w:hAnsiTheme="minorHAnsi" w:cstheme="minorHAnsi"/>
                <w:b/>
                <w:bCs/>
                <w:sz w:val="24"/>
                <w:szCs w:val="24"/>
              </w:rPr>
              <w:t>Responsibility</w:t>
            </w:r>
          </w:p>
        </w:tc>
      </w:tr>
      <w:tr w:rsidR="006F596B" w:rsidRPr="005102C1" w14:paraId="4E22C361" w14:textId="77777777" w:rsidTr="009C1CCC">
        <w:tc>
          <w:tcPr>
            <w:tcW w:w="1276" w:type="dxa"/>
          </w:tcPr>
          <w:p w14:paraId="5769FD2E" w14:textId="77777777" w:rsidR="006F596B" w:rsidRPr="005102C1" w:rsidRDefault="006F596B" w:rsidP="009C1CCC">
            <w:pPr>
              <w:rPr>
                <w:rFonts w:asciiTheme="minorHAnsi" w:hAnsiTheme="minorHAnsi" w:cstheme="minorHAnsi"/>
                <w:sz w:val="24"/>
                <w:szCs w:val="24"/>
              </w:rPr>
            </w:pPr>
            <w:r w:rsidRPr="005102C1">
              <w:rPr>
                <w:rFonts w:asciiTheme="minorHAnsi" w:hAnsiTheme="minorHAnsi" w:cstheme="minorHAnsi"/>
                <w:sz w:val="24"/>
                <w:szCs w:val="24"/>
              </w:rPr>
              <w:t>EPBC Act (1999)</w:t>
            </w:r>
          </w:p>
        </w:tc>
        <w:tc>
          <w:tcPr>
            <w:tcW w:w="4111" w:type="dxa"/>
          </w:tcPr>
          <w:p w14:paraId="1822AE85" w14:textId="77777777" w:rsidR="006F596B" w:rsidRPr="005102C1" w:rsidRDefault="006F596B" w:rsidP="009C1CCC">
            <w:pPr>
              <w:rPr>
                <w:rFonts w:asciiTheme="minorHAnsi" w:hAnsiTheme="minorHAnsi" w:cstheme="minorHAnsi"/>
                <w:sz w:val="24"/>
                <w:szCs w:val="24"/>
              </w:rPr>
            </w:pPr>
            <w:r w:rsidRPr="005102C1">
              <w:rPr>
                <w:rFonts w:asciiTheme="minorHAnsi" w:hAnsiTheme="minorHAnsi" w:cstheme="minorHAnsi"/>
                <w:sz w:val="24"/>
                <w:szCs w:val="24"/>
              </w:rPr>
              <w:t>Stipulates conditions for importation to reduce the risk of ‘</w:t>
            </w:r>
            <w:proofErr w:type="spellStart"/>
            <w:r w:rsidRPr="005102C1">
              <w:rPr>
                <w:rFonts w:asciiTheme="minorHAnsi" w:hAnsiTheme="minorHAnsi" w:cstheme="minorHAnsi"/>
                <w:sz w:val="24"/>
                <w:szCs w:val="24"/>
              </w:rPr>
              <w:t>pestiness</w:t>
            </w:r>
            <w:proofErr w:type="spellEnd"/>
            <w:r w:rsidRPr="005102C1">
              <w:rPr>
                <w:rFonts w:asciiTheme="minorHAnsi" w:hAnsiTheme="minorHAnsi" w:cstheme="minorHAnsi"/>
                <w:sz w:val="24"/>
                <w:szCs w:val="24"/>
              </w:rPr>
              <w:t>’ and to regulate trade in endangered and rare species.</w:t>
            </w:r>
          </w:p>
          <w:p w14:paraId="058DF1DF" w14:textId="39D2FACE" w:rsidR="006F596B" w:rsidRPr="005102C1" w:rsidRDefault="000F3753" w:rsidP="009C1CCC">
            <w:pPr>
              <w:rPr>
                <w:rFonts w:asciiTheme="minorHAnsi" w:hAnsiTheme="minorHAnsi" w:cstheme="minorHAnsi"/>
                <w:sz w:val="24"/>
                <w:szCs w:val="24"/>
              </w:rPr>
            </w:pPr>
            <w:r>
              <w:rPr>
                <w:rFonts w:asciiTheme="minorHAnsi" w:hAnsiTheme="minorHAnsi" w:cstheme="minorHAnsi"/>
                <w:sz w:val="24"/>
                <w:szCs w:val="24"/>
              </w:rPr>
              <w:t>To be imported s</w:t>
            </w:r>
            <w:r w:rsidR="006F596B" w:rsidRPr="005102C1">
              <w:rPr>
                <w:rFonts w:asciiTheme="minorHAnsi" w:hAnsiTheme="minorHAnsi" w:cstheme="minorHAnsi"/>
                <w:sz w:val="24"/>
                <w:szCs w:val="24"/>
              </w:rPr>
              <w:t>turgeon species must:</w:t>
            </w:r>
          </w:p>
          <w:p w14:paraId="3184AB6A" w14:textId="77777777" w:rsidR="006F596B" w:rsidRPr="005102C1" w:rsidRDefault="006F596B" w:rsidP="009C1CCC">
            <w:pPr>
              <w:pStyle w:val="ListParagraph"/>
              <w:numPr>
                <w:ilvl w:val="0"/>
                <w:numId w:val="12"/>
              </w:numPr>
              <w:rPr>
                <w:rFonts w:asciiTheme="minorHAnsi" w:hAnsiTheme="minorHAnsi" w:cstheme="minorHAnsi"/>
                <w:sz w:val="24"/>
                <w:szCs w:val="36"/>
              </w:rPr>
            </w:pPr>
            <w:r w:rsidRPr="005102C1">
              <w:rPr>
                <w:rFonts w:asciiTheme="minorHAnsi" w:hAnsiTheme="minorHAnsi" w:cstheme="minorHAnsi"/>
                <w:sz w:val="24"/>
                <w:szCs w:val="36"/>
              </w:rPr>
              <w:t>be on the Live Import List</w:t>
            </w:r>
          </w:p>
          <w:p w14:paraId="49B0CC36" w14:textId="77777777" w:rsidR="006F596B" w:rsidRPr="005102C1" w:rsidRDefault="006F596B" w:rsidP="009C1CCC">
            <w:pPr>
              <w:pStyle w:val="ListParagraph"/>
              <w:numPr>
                <w:ilvl w:val="0"/>
                <w:numId w:val="12"/>
              </w:numPr>
              <w:rPr>
                <w:rFonts w:asciiTheme="minorHAnsi" w:hAnsiTheme="minorHAnsi" w:cstheme="minorHAnsi"/>
                <w:sz w:val="24"/>
                <w:szCs w:val="36"/>
              </w:rPr>
            </w:pPr>
            <w:r w:rsidRPr="005102C1">
              <w:rPr>
                <w:rFonts w:asciiTheme="minorHAnsi" w:hAnsiTheme="minorHAnsi" w:cstheme="minorHAnsi"/>
                <w:sz w:val="24"/>
                <w:szCs w:val="36"/>
              </w:rPr>
              <w:t>have CITES certification</w:t>
            </w:r>
          </w:p>
          <w:p w14:paraId="266002B8" w14:textId="2F2BD3A0" w:rsidR="006F596B" w:rsidRPr="000F3753" w:rsidRDefault="006F596B" w:rsidP="009C1CCC">
            <w:pPr>
              <w:pStyle w:val="ListParagraph"/>
              <w:numPr>
                <w:ilvl w:val="0"/>
                <w:numId w:val="12"/>
              </w:numPr>
              <w:rPr>
                <w:rFonts w:cstheme="minorHAnsi"/>
                <w:szCs w:val="24"/>
              </w:rPr>
            </w:pPr>
            <w:r w:rsidRPr="005102C1">
              <w:rPr>
                <w:rFonts w:asciiTheme="minorHAnsi" w:hAnsiTheme="minorHAnsi" w:cstheme="minorHAnsi"/>
                <w:sz w:val="24"/>
                <w:szCs w:val="36"/>
              </w:rPr>
              <w:t>satisfy specific conditions for release from quarantine.  In the case of sturgeon, they must be released and reared into a RAS</w:t>
            </w:r>
            <w:r w:rsidR="001C76B8">
              <w:rPr>
                <w:rFonts w:asciiTheme="minorHAnsi" w:hAnsiTheme="minorHAnsi" w:cstheme="minorHAnsi"/>
                <w:sz w:val="24"/>
                <w:szCs w:val="36"/>
              </w:rPr>
              <w:t>.</w:t>
            </w:r>
            <w:r w:rsidRPr="005102C1">
              <w:rPr>
                <w:rFonts w:cstheme="minorHAnsi"/>
                <w:sz w:val="24"/>
                <w:szCs w:val="36"/>
              </w:rPr>
              <w:t xml:space="preserve"> </w:t>
            </w:r>
          </w:p>
          <w:p w14:paraId="1E971121" w14:textId="77777777" w:rsidR="000F3753" w:rsidRPr="000F3753" w:rsidRDefault="000F3753" w:rsidP="000F3753">
            <w:pPr>
              <w:rPr>
                <w:rFonts w:cstheme="minorHAnsi"/>
                <w:szCs w:val="24"/>
              </w:rPr>
            </w:pPr>
          </w:p>
        </w:tc>
        <w:tc>
          <w:tcPr>
            <w:tcW w:w="2835" w:type="dxa"/>
          </w:tcPr>
          <w:p w14:paraId="2478ECD7" w14:textId="77777777" w:rsidR="006F596B" w:rsidRPr="005102C1" w:rsidRDefault="006F596B" w:rsidP="009C1CCC">
            <w:pPr>
              <w:rPr>
                <w:rFonts w:asciiTheme="minorHAnsi" w:hAnsiTheme="minorHAnsi" w:cstheme="minorHAnsi"/>
                <w:sz w:val="24"/>
                <w:szCs w:val="24"/>
              </w:rPr>
            </w:pPr>
            <w:r w:rsidRPr="005102C1">
              <w:rPr>
                <w:rFonts w:asciiTheme="minorHAnsi" w:hAnsiTheme="minorHAnsi" w:cstheme="minorHAnsi"/>
                <w:sz w:val="24"/>
                <w:szCs w:val="24"/>
              </w:rPr>
              <w:t>Federal Department: DCCEEW</w:t>
            </w:r>
          </w:p>
        </w:tc>
      </w:tr>
      <w:tr w:rsidR="006F596B" w:rsidRPr="005102C1" w14:paraId="2C44303E" w14:textId="77777777" w:rsidTr="009C1CCC">
        <w:tc>
          <w:tcPr>
            <w:tcW w:w="1276" w:type="dxa"/>
          </w:tcPr>
          <w:p w14:paraId="26AE40D3" w14:textId="77777777" w:rsidR="006F596B" w:rsidRPr="005102C1" w:rsidRDefault="006F596B" w:rsidP="009C1CCC">
            <w:pPr>
              <w:rPr>
                <w:rFonts w:asciiTheme="minorHAnsi" w:hAnsiTheme="minorHAnsi" w:cstheme="minorHAnsi"/>
                <w:sz w:val="24"/>
                <w:szCs w:val="24"/>
              </w:rPr>
            </w:pPr>
            <w:r w:rsidRPr="005102C1">
              <w:rPr>
                <w:rFonts w:asciiTheme="minorHAnsi" w:hAnsiTheme="minorHAnsi" w:cstheme="minorHAnsi"/>
                <w:sz w:val="24"/>
                <w:szCs w:val="24"/>
              </w:rPr>
              <w:t>Biosecurity Act (2015)</w:t>
            </w:r>
          </w:p>
        </w:tc>
        <w:tc>
          <w:tcPr>
            <w:tcW w:w="4111" w:type="dxa"/>
          </w:tcPr>
          <w:p w14:paraId="1C712AEA" w14:textId="329592C1" w:rsidR="006F596B" w:rsidRDefault="006F596B" w:rsidP="009C1CCC">
            <w:pPr>
              <w:rPr>
                <w:rFonts w:asciiTheme="minorHAnsi" w:hAnsiTheme="minorHAnsi" w:cstheme="minorHAnsi"/>
                <w:sz w:val="24"/>
                <w:szCs w:val="24"/>
              </w:rPr>
            </w:pPr>
            <w:r w:rsidRPr="005102C1">
              <w:rPr>
                <w:rFonts w:asciiTheme="minorHAnsi" w:hAnsiTheme="minorHAnsi" w:cstheme="minorHAnsi"/>
                <w:sz w:val="24"/>
                <w:szCs w:val="24"/>
              </w:rPr>
              <w:t>Stipulates import conditions to meet appropriate level of protection (ALOP) for biosecurity to limit the incursion of diseases and parasites.  This is undertaken in a BIRA</w:t>
            </w:r>
            <w:r w:rsidR="001C76B8">
              <w:rPr>
                <w:rFonts w:asciiTheme="minorHAnsi" w:hAnsiTheme="minorHAnsi" w:cstheme="minorHAnsi"/>
                <w:sz w:val="24"/>
                <w:szCs w:val="24"/>
              </w:rPr>
              <w:t>.</w:t>
            </w:r>
          </w:p>
          <w:p w14:paraId="05F9974D" w14:textId="77777777" w:rsidR="000F3753" w:rsidRPr="005102C1" w:rsidRDefault="000F3753" w:rsidP="009C1CCC">
            <w:pPr>
              <w:rPr>
                <w:rFonts w:asciiTheme="minorHAnsi" w:hAnsiTheme="minorHAnsi" w:cstheme="minorHAnsi"/>
                <w:sz w:val="24"/>
                <w:szCs w:val="24"/>
              </w:rPr>
            </w:pPr>
          </w:p>
        </w:tc>
        <w:tc>
          <w:tcPr>
            <w:tcW w:w="2835" w:type="dxa"/>
          </w:tcPr>
          <w:p w14:paraId="532E24BC" w14:textId="77777777" w:rsidR="006F596B" w:rsidRPr="005102C1" w:rsidRDefault="006F596B" w:rsidP="009C1CCC">
            <w:pPr>
              <w:rPr>
                <w:rFonts w:asciiTheme="minorHAnsi" w:hAnsiTheme="minorHAnsi" w:cstheme="minorHAnsi"/>
                <w:sz w:val="24"/>
                <w:szCs w:val="24"/>
              </w:rPr>
            </w:pPr>
            <w:r w:rsidRPr="005102C1">
              <w:rPr>
                <w:rFonts w:asciiTheme="minorHAnsi" w:hAnsiTheme="minorHAnsi" w:cstheme="minorHAnsi"/>
                <w:sz w:val="24"/>
                <w:szCs w:val="24"/>
              </w:rPr>
              <w:t>Federal Department: DAFF</w:t>
            </w:r>
          </w:p>
        </w:tc>
      </w:tr>
      <w:tr w:rsidR="006F596B" w:rsidRPr="005102C1" w14:paraId="6BA9E820" w14:textId="77777777" w:rsidTr="009C1CCC">
        <w:tc>
          <w:tcPr>
            <w:tcW w:w="1276" w:type="dxa"/>
          </w:tcPr>
          <w:p w14:paraId="4EFB7C3C" w14:textId="1EE83BE7" w:rsidR="006F596B" w:rsidRPr="005102C1" w:rsidRDefault="006F596B" w:rsidP="009C1CCC">
            <w:pPr>
              <w:rPr>
                <w:rFonts w:asciiTheme="minorHAnsi" w:hAnsiTheme="minorHAnsi" w:cstheme="minorHAnsi"/>
                <w:sz w:val="24"/>
                <w:szCs w:val="24"/>
              </w:rPr>
            </w:pPr>
            <w:r w:rsidRPr="005102C1">
              <w:rPr>
                <w:rFonts w:asciiTheme="minorHAnsi" w:hAnsiTheme="minorHAnsi" w:cstheme="minorHAnsi"/>
                <w:sz w:val="24"/>
                <w:szCs w:val="24"/>
              </w:rPr>
              <w:t>State</w:t>
            </w:r>
            <w:r w:rsidR="009876E7">
              <w:rPr>
                <w:rFonts w:asciiTheme="minorHAnsi" w:hAnsiTheme="minorHAnsi" w:cstheme="minorHAnsi"/>
                <w:sz w:val="24"/>
                <w:szCs w:val="24"/>
              </w:rPr>
              <w:t>/Territory</w:t>
            </w:r>
            <w:r w:rsidRPr="005102C1">
              <w:rPr>
                <w:rFonts w:asciiTheme="minorHAnsi" w:hAnsiTheme="minorHAnsi" w:cstheme="minorHAnsi"/>
                <w:sz w:val="24"/>
                <w:szCs w:val="24"/>
              </w:rPr>
              <w:t xml:space="preserve"> Legislation </w:t>
            </w:r>
          </w:p>
        </w:tc>
        <w:tc>
          <w:tcPr>
            <w:tcW w:w="4111" w:type="dxa"/>
          </w:tcPr>
          <w:p w14:paraId="48FD79C3" w14:textId="5089C8A4" w:rsidR="006F596B" w:rsidRDefault="006F596B" w:rsidP="009C1CCC">
            <w:pPr>
              <w:rPr>
                <w:rFonts w:asciiTheme="minorHAnsi" w:hAnsiTheme="minorHAnsi" w:cstheme="minorHAnsi"/>
                <w:sz w:val="24"/>
                <w:szCs w:val="24"/>
              </w:rPr>
            </w:pPr>
            <w:r w:rsidRPr="005102C1">
              <w:rPr>
                <w:rFonts w:asciiTheme="minorHAnsi" w:hAnsiTheme="minorHAnsi" w:cstheme="minorHAnsi"/>
                <w:sz w:val="24"/>
                <w:szCs w:val="24"/>
              </w:rPr>
              <w:t xml:space="preserve">Sets the minimum biosecurity at each State level under their legislation. Sturgeon are currently prohibited species </w:t>
            </w:r>
            <w:r w:rsidR="009876E7">
              <w:rPr>
                <w:rFonts w:asciiTheme="minorHAnsi" w:hAnsiTheme="minorHAnsi" w:cstheme="minorHAnsi"/>
                <w:sz w:val="24"/>
                <w:szCs w:val="24"/>
              </w:rPr>
              <w:t>jurisdictions</w:t>
            </w:r>
            <w:r w:rsidRPr="005102C1">
              <w:rPr>
                <w:rFonts w:asciiTheme="minorHAnsi" w:hAnsiTheme="minorHAnsi" w:cstheme="minorHAnsi"/>
                <w:sz w:val="24"/>
                <w:szCs w:val="24"/>
              </w:rPr>
              <w:t xml:space="preserve">.   </w:t>
            </w:r>
          </w:p>
          <w:p w14:paraId="20D9EF1A" w14:textId="77777777" w:rsidR="000F3753" w:rsidRPr="005102C1" w:rsidRDefault="000F3753" w:rsidP="009C1CCC">
            <w:pPr>
              <w:rPr>
                <w:rFonts w:asciiTheme="minorHAnsi" w:hAnsiTheme="minorHAnsi" w:cstheme="minorHAnsi"/>
                <w:sz w:val="24"/>
                <w:szCs w:val="24"/>
              </w:rPr>
            </w:pPr>
          </w:p>
        </w:tc>
        <w:tc>
          <w:tcPr>
            <w:tcW w:w="2835" w:type="dxa"/>
          </w:tcPr>
          <w:p w14:paraId="63B68219" w14:textId="428FBD2B" w:rsidR="006F596B" w:rsidRPr="005102C1" w:rsidRDefault="006F596B" w:rsidP="009C1CCC">
            <w:pPr>
              <w:rPr>
                <w:rFonts w:asciiTheme="minorHAnsi" w:hAnsiTheme="minorHAnsi" w:cstheme="minorHAnsi"/>
                <w:sz w:val="24"/>
                <w:szCs w:val="24"/>
              </w:rPr>
            </w:pPr>
            <w:r w:rsidRPr="005102C1">
              <w:rPr>
                <w:rFonts w:asciiTheme="minorHAnsi" w:hAnsiTheme="minorHAnsi" w:cstheme="minorHAnsi"/>
                <w:sz w:val="24"/>
                <w:szCs w:val="24"/>
              </w:rPr>
              <w:t>Relevant State</w:t>
            </w:r>
            <w:r w:rsidR="009876E7">
              <w:rPr>
                <w:rFonts w:asciiTheme="minorHAnsi" w:hAnsiTheme="minorHAnsi" w:cstheme="minorHAnsi"/>
                <w:sz w:val="24"/>
                <w:szCs w:val="24"/>
              </w:rPr>
              <w:t>/Territory</w:t>
            </w:r>
            <w:r w:rsidRPr="005102C1">
              <w:rPr>
                <w:rFonts w:asciiTheme="minorHAnsi" w:hAnsiTheme="minorHAnsi" w:cstheme="minorHAnsi"/>
                <w:sz w:val="24"/>
                <w:szCs w:val="24"/>
              </w:rPr>
              <w:t xml:space="preserve"> authorities and State</w:t>
            </w:r>
            <w:r w:rsidR="009876E7">
              <w:rPr>
                <w:rFonts w:asciiTheme="minorHAnsi" w:hAnsiTheme="minorHAnsi" w:cstheme="minorHAnsi"/>
                <w:sz w:val="24"/>
                <w:szCs w:val="24"/>
              </w:rPr>
              <w:t xml:space="preserve">/Territory </w:t>
            </w:r>
            <w:r w:rsidRPr="005102C1">
              <w:rPr>
                <w:rFonts w:asciiTheme="minorHAnsi" w:hAnsiTheme="minorHAnsi" w:cstheme="minorHAnsi"/>
                <w:sz w:val="24"/>
                <w:szCs w:val="24"/>
              </w:rPr>
              <w:t>Chief Veterinary Officers</w:t>
            </w:r>
          </w:p>
        </w:tc>
      </w:tr>
    </w:tbl>
    <w:p w14:paraId="6FC732B4" w14:textId="4C392103" w:rsidR="006F596B" w:rsidRDefault="006F596B" w:rsidP="006F596B">
      <w:pPr>
        <w:ind w:left="720"/>
      </w:pPr>
      <w:r>
        <w:t xml:space="preserve">The Provisional Report does mention each of these steps and that sturgeon must meet all requirements.  However, it would be helpful to the reader to provide a </w:t>
      </w:r>
      <w:r>
        <w:lastRenderedPageBreak/>
        <w:t xml:space="preserve">graphical flow diagram in Chapter 1 that outlines the steps necessary to undertake importation of sturgeon and who is responsible.   This could also be repeated as a text or a diagram in Chapter 5 and then again in Chapter 20.  </w:t>
      </w:r>
    </w:p>
    <w:p w14:paraId="479FF416" w14:textId="1036E219" w:rsidR="00D2316F" w:rsidRPr="00D2316F" w:rsidRDefault="00D2316F" w:rsidP="00D2316F">
      <w:pPr>
        <w:pStyle w:val="ListParagraph"/>
        <w:numPr>
          <w:ilvl w:val="0"/>
          <w:numId w:val="10"/>
        </w:numPr>
      </w:pPr>
      <w:r>
        <w:t xml:space="preserve">The four stakeholders that responded to the </w:t>
      </w:r>
      <w:r w:rsidR="00045E8A">
        <w:t>d</w:t>
      </w:r>
      <w:r>
        <w:t xml:space="preserve">raft </w:t>
      </w:r>
      <w:r w:rsidR="00045E8A">
        <w:t>r</w:t>
      </w:r>
      <w:r>
        <w:t xml:space="preserve">eport highlighted a range of issues that have been addressed by the department.  However, in a couple of cases discussed below in Table 1, the </w:t>
      </w:r>
      <w:r w:rsidR="00DB0F56">
        <w:t>d</w:t>
      </w:r>
      <w:r>
        <w:t xml:space="preserve">epartment has not altered the text of the </w:t>
      </w:r>
      <w:r w:rsidR="00045E8A">
        <w:t>p</w:t>
      </w:r>
      <w:r>
        <w:t xml:space="preserve">rovisional </w:t>
      </w:r>
      <w:r w:rsidR="00045E8A">
        <w:t>r</w:t>
      </w:r>
      <w:r>
        <w:t xml:space="preserve">eport.  Rather its response is given in the document ‘Dept response to submissions 311023’ which will be published alongside the </w:t>
      </w:r>
      <w:r w:rsidR="00045E8A">
        <w:t>p</w:t>
      </w:r>
      <w:r>
        <w:t xml:space="preserve">rovisional </w:t>
      </w:r>
      <w:r w:rsidR="00045E8A">
        <w:t>r</w:t>
      </w:r>
      <w:r>
        <w:t>eport.  The SAG believes that some of the department’s response</w:t>
      </w:r>
      <w:r w:rsidR="00045E8A">
        <w:t>s</w:t>
      </w:r>
      <w:r>
        <w:t xml:space="preserve"> </w:t>
      </w:r>
      <w:r w:rsidR="00045E8A">
        <w:t xml:space="preserve">should </w:t>
      </w:r>
      <w:r>
        <w:t xml:space="preserve">be included in the </w:t>
      </w:r>
      <w:r w:rsidR="00045E8A">
        <w:t>p</w:t>
      </w:r>
      <w:r>
        <w:t>rovisional</w:t>
      </w:r>
      <w:r w:rsidR="00045E8A">
        <w:t xml:space="preserve"> r</w:t>
      </w:r>
      <w:r>
        <w:t xml:space="preserve">eport so that </w:t>
      </w:r>
      <w:r w:rsidR="00045E8A">
        <w:t xml:space="preserve">it </w:t>
      </w:r>
      <w:r>
        <w:t>can be viewed independently</w:t>
      </w:r>
      <w:r w:rsidR="00045E8A">
        <w:t xml:space="preserve"> as a </w:t>
      </w:r>
      <w:r w:rsidR="006F596B">
        <w:t>stand-alone</w:t>
      </w:r>
      <w:r w:rsidR="00045E8A">
        <w:t xml:space="preserve"> document. </w:t>
      </w:r>
      <w:r>
        <w:t xml:space="preserve"> </w:t>
      </w:r>
      <w:r>
        <w:br/>
      </w:r>
    </w:p>
    <w:p w14:paraId="19636995" w14:textId="41C45220" w:rsidR="00A423A7" w:rsidRPr="00AD0B03" w:rsidRDefault="001A70E0" w:rsidP="00AD0B03">
      <w:pPr>
        <w:pStyle w:val="ListParagraph"/>
        <w:numPr>
          <w:ilvl w:val="0"/>
          <w:numId w:val="10"/>
        </w:numPr>
        <w:rPr>
          <w:rFonts w:cstheme="minorHAnsi"/>
        </w:rPr>
      </w:pPr>
      <w:r w:rsidRPr="00C27A93">
        <w:t xml:space="preserve">In the </w:t>
      </w:r>
      <w:r w:rsidR="00045E8A">
        <w:t>d</w:t>
      </w:r>
      <w:r w:rsidRPr="00C27A93">
        <w:t xml:space="preserve">raft </w:t>
      </w:r>
      <w:r w:rsidR="00045E8A">
        <w:t>r</w:t>
      </w:r>
      <w:r w:rsidRPr="00C27A93">
        <w:t xml:space="preserve">eport, there is reference to consultation with the Department of Health to ensure public health considerations were included in the development of biosecurity policies. This reference has been removed from the </w:t>
      </w:r>
      <w:r w:rsidR="00045E8A">
        <w:t>p</w:t>
      </w:r>
      <w:r w:rsidRPr="00C27A93">
        <w:t>rovisional </w:t>
      </w:r>
      <w:r w:rsidR="00045E8A">
        <w:t>r</w:t>
      </w:r>
      <w:r w:rsidRPr="00C27A93">
        <w:t xml:space="preserve">eport. It should be re-inserted to ensure readers of the </w:t>
      </w:r>
      <w:r w:rsidR="00045E8A">
        <w:t>p</w:t>
      </w:r>
      <w:r w:rsidR="00CE2FD5">
        <w:t xml:space="preserve">rovisional </w:t>
      </w:r>
      <w:r w:rsidR="00045E8A">
        <w:t>r</w:t>
      </w:r>
      <w:r w:rsidRPr="00C27A93">
        <w:t>eport are given confidence that public health considerations were considered. </w:t>
      </w:r>
      <w:r w:rsidR="00AD0B03">
        <w:br/>
      </w:r>
    </w:p>
    <w:p w14:paraId="3E4C7132" w14:textId="27077EC3" w:rsidR="006F596B" w:rsidRPr="006F596B" w:rsidRDefault="00703FB3" w:rsidP="006F596B">
      <w:pPr>
        <w:pStyle w:val="ListParagraph"/>
        <w:numPr>
          <w:ilvl w:val="0"/>
          <w:numId w:val="10"/>
        </w:numPr>
        <w:rPr>
          <w:rFonts w:cstheme="minorHAnsi"/>
        </w:rPr>
      </w:pPr>
      <w:r>
        <w:t>References on</w:t>
      </w:r>
      <w:r w:rsidR="00AD0B03">
        <w:t xml:space="preserve"> page 18 of the </w:t>
      </w:r>
      <w:r w:rsidR="00045E8A">
        <w:t>p</w:t>
      </w:r>
      <w:r w:rsidR="00AD0B03">
        <w:t xml:space="preserve">rovisional </w:t>
      </w:r>
      <w:r w:rsidR="00045E8A">
        <w:t>r</w:t>
      </w:r>
      <w:r w:rsidR="00AD0B03">
        <w:t xml:space="preserve">eport </w:t>
      </w:r>
      <w:r w:rsidR="001A70E0">
        <w:t xml:space="preserve">to the SAG’s </w:t>
      </w:r>
      <w:r w:rsidR="001A70E0" w:rsidRPr="00AD0B03">
        <w:t>consultations with aquatic disease experts should be removed.  The SAG notes the extensive references</w:t>
      </w:r>
      <w:r w:rsidR="001A70E0">
        <w:t xml:space="preserve"> to up-to-date literature for finfish pathogens.  Also, no fish pathogen expert made significant comments on the draft report.  </w:t>
      </w:r>
      <w:r w:rsidR="00045E8A">
        <w:t xml:space="preserve">For these reasons, the SAG accepted that the department had considered the scientific evidence appropriately.  </w:t>
      </w:r>
      <w:r w:rsidR="006F596B">
        <w:br/>
      </w:r>
    </w:p>
    <w:p w14:paraId="4631E7E3" w14:textId="70FCAE8A" w:rsidR="006F596B" w:rsidRPr="006F596B" w:rsidRDefault="006F596B" w:rsidP="006F596B">
      <w:pPr>
        <w:pStyle w:val="ListParagraph"/>
        <w:numPr>
          <w:ilvl w:val="0"/>
          <w:numId w:val="10"/>
        </w:numPr>
        <w:rPr>
          <w:rFonts w:cstheme="minorHAnsi"/>
        </w:rPr>
      </w:pPr>
      <w:r w:rsidRPr="005102C1">
        <w:rPr>
          <w:rFonts w:cstheme="minorHAnsi"/>
        </w:rPr>
        <w:t xml:space="preserve">It is not clear why the department </w:t>
      </w:r>
      <w:r>
        <w:rPr>
          <w:rFonts w:cstheme="minorHAnsi"/>
        </w:rPr>
        <w:t xml:space="preserve">requires </w:t>
      </w:r>
      <w:r w:rsidRPr="005102C1">
        <w:rPr>
          <w:rFonts w:cstheme="minorHAnsi"/>
        </w:rPr>
        <w:t xml:space="preserve">the fish </w:t>
      </w:r>
      <w:r>
        <w:rPr>
          <w:rFonts w:cstheme="minorHAnsi"/>
        </w:rPr>
        <w:t xml:space="preserve">to be reared to a size that permits </w:t>
      </w:r>
      <w:r w:rsidRPr="005102C1">
        <w:rPr>
          <w:rFonts w:cstheme="minorHAnsi"/>
        </w:rPr>
        <w:t>visual</w:t>
      </w:r>
      <w:r>
        <w:rPr>
          <w:rFonts w:cstheme="minorHAnsi"/>
        </w:rPr>
        <w:t xml:space="preserve"> confirmation of </w:t>
      </w:r>
      <w:r w:rsidRPr="005102C1">
        <w:rPr>
          <w:rFonts w:cstheme="minorHAnsi"/>
        </w:rPr>
        <w:t>species identification (</w:t>
      </w:r>
      <w:r w:rsidR="00914CE6" w:rsidRPr="005102C1">
        <w:rPr>
          <w:rFonts w:cstheme="minorHAnsi"/>
        </w:rPr>
        <w:t>e.g.,</w:t>
      </w:r>
      <w:r w:rsidRPr="005102C1">
        <w:rPr>
          <w:rFonts w:cstheme="minorHAnsi"/>
        </w:rPr>
        <w:t xml:space="preserve"> page 276), as opposed to using DNA technology</w:t>
      </w:r>
      <w:r>
        <w:rPr>
          <w:rFonts w:cstheme="minorHAnsi"/>
        </w:rPr>
        <w:t xml:space="preserve">. A reason </w:t>
      </w:r>
      <w:r w:rsidR="000F3753">
        <w:rPr>
          <w:rFonts w:cstheme="minorHAnsi"/>
        </w:rPr>
        <w:t>f</w:t>
      </w:r>
      <w:r>
        <w:rPr>
          <w:rFonts w:cstheme="minorHAnsi"/>
        </w:rPr>
        <w:t xml:space="preserve">or visual rather than molecular identification should be commented on in the report. </w:t>
      </w:r>
      <w:r>
        <w:rPr>
          <w:rFonts w:cstheme="minorHAnsi"/>
        </w:rPr>
        <w:br/>
      </w:r>
    </w:p>
    <w:p w14:paraId="5C300B62" w14:textId="44D3EE95" w:rsidR="008801A3" w:rsidRPr="00A423A7" w:rsidRDefault="008801A3" w:rsidP="006F596B">
      <w:pPr>
        <w:pStyle w:val="ListParagraph"/>
        <w:numPr>
          <w:ilvl w:val="0"/>
          <w:numId w:val="10"/>
        </w:numPr>
        <w:rPr>
          <w:rFonts w:cstheme="minorHAnsi"/>
        </w:rPr>
      </w:pPr>
      <w:r>
        <w:rPr>
          <w:rFonts w:cstheme="minorHAnsi"/>
        </w:rPr>
        <w:t>Page viii.  Shift the whole table to a single page</w:t>
      </w:r>
      <w:r w:rsidR="006F596B">
        <w:rPr>
          <w:rFonts w:cstheme="minorHAnsi"/>
        </w:rPr>
        <w:t>.</w:t>
      </w:r>
      <w:r>
        <w:rPr>
          <w:rFonts w:cstheme="minorHAnsi"/>
        </w:rPr>
        <w:t xml:space="preserve"> </w:t>
      </w:r>
      <w:r>
        <w:rPr>
          <w:rFonts w:cstheme="minorHAnsi"/>
        </w:rPr>
        <w:br/>
      </w:r>
    </w:p>
    <w:p w14:paraId="2E59FF1E" w14:textId="435E6BC8" w:rsidR="008801A3" w:rsidRPr="008801A3" w:rsidRDefault="008801A3" w:rsidP="008801A3">
      <w:pPr>
        <w:pStyle w:val="ListParagraph"/>
        <w:numPr>
          <w:ilvl w:val="0"/>
          <w:numId w:val="10"/>
        </w:numPr>
        <w:rPr>
          <w:rFonts w:cstheme="minorHAnsi"/>
        </w:rPr>
      </w:pPr>
      <w:r w:rsidRPr="008801A3">
        <w:rPr>
          <w:rFonts w:cstheme="minorHAnsi"/>
        </w:rPr>
        <w:t>A few typographic errors remain in the text.  For example, p</w:t>
      </w:r>
      <w:r w:rsidR="002E40E9">
        <w:rPr>
          <w:rFonts w:cstheme="minorHAnsi"/>
        </w:rPr>
        <w:t>age</w:t>
      </w:r>
      <w:r w:rsidR="006F596B">
        <w:rPr>
          <w:rFonts w:cstheme="minorHAnsi"/>
        </w:rPr>
        <w:t xml:space="preserve"> </w:t>
      </w:r>
      <w:r w:rsidRPr="008801A3">
        <w:rPr>
          <w:rFonts w:cstheme="minorHAnsi"/>
        </w:rPr>
        <w:t>45, section 5.2 ‘health’ not ‘heath’</w:t>
      </w:r>
      <w:r w:rsidR="006F596B">
        <w:rPr>
          <w:rFonts w:cstheme="minorHAnsi"/>
        </w:rPr>
        <w:t>.</w:t>
      </w:r>
    </w:p>
    <w:p w14:paraId="3104133C" w14:textId="77777777" w:rsidR="008801A3" w:rsidRPr="008801A3" w:rsidRDefault="008801A3" w:rsidP="008801A3">
      <w:pPr>
        <w:rPr>
          <w:rFonts w:cstheme="minorHAnsi"/>
        </w:rPr>
      </w:pPr>
    </w:p>
    <w:p w14:paraId="0718EB7F" w14:textId="77777777" w:rsidR="005102C1" w:rsidRDefault="005102C1" w:rsidP="005102C1"/>
    <w:p w14:paraId="79EF9A05" w14:textId="77777777" w:rsidR="005102C1" w:rsidRPr="005102C1" w:rsidRDefault="005102C1" w:rsidP="005102C1"/>
    <w:p w14:paraId="7AC3F78C" w14:textId="77777777" w:rsidR="00A423A7" w:rsidRDefault="00A423A7" w:rsidP="00D60428">
      <w:pPr>
        <w:pStyle w:val="Heading2"/>
      </w:pPr>
    </w:p>
    <w:p w14:paraId="337226AB" w14:textId="77777777" w:rsidR="00C27A93" w:rsidRDefault="00C27A93">
      <w:pPr>
        <w:spacing w:before="0"/>
        <w:sectPr w:rsidR="00C27A93" w:rsidSect="00C27A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3317C4F" w14:textId="77777777" w:rsidR="00A423A7" w:rsidRDefault="00A423A7" w:rsidP="00D60428">
      <w:pPr>
        <w:pStyle w:val="Heading2"/>
      </w:pPr>
    </w:p>
    <w:p w14:paraId="5CA0B0BB" w14:textId="1E57A088" w:rsidR="009C7D95" w:rsidRPr="008801A3" w:rsidRDefault="002E40E9" w:rsidP="008801A3">
      <w:pPr>
        <w:pStyle w:val="Heading2"/>
      </w:pPr>
      <w:bookmarkStart w:id="4" w:name="_Toc150862453"/>
      <w:r>
        <w:t xml:space="preserve">Table 1.  </w:t>
      </w:r>
      <w:r w:rsidR="00D60428" w:rsidRPr="008801A3">
        <w:t xml:space="preserve">Response of Scientific Advisory </w:t>
      </w:r>
      <w:r w:rsidR="00A75399" w:rsidRPr="008801A3">
        <w:t>Group</w:t>
      </w:r>
      <w:r w:rsidR="004C79D9" w:rsidRPr="008801A3">
        <w:t xml:space="preserve"> to the Department</w:t>
      </w:r>
      <w:r>
        <w:t>’s</w:t>
      </w:r>
      <w:r w:rsidR="004C79D9" w:rsidRPr="008801A3">
        <w:t xml:space="preserve"> Response to Stakeholder Submissions</w:t>
      </w:r>
      <w:bookmarkEnd w:id="4"/>
      <w:r w:rsidR="004C79D9" w:rsidRPr="008801A3">
        <w:t xml:space="preserve"> </w:t>
      </w:r>
    </w:p>
    <w:p w14:paraId="28977741" w14:textId="77777777" w:rsidR="00D60428" w:rsidRDefault="00D60428"/>
    <w:tbl>
      <w:tblPr>
        <w:tblStyle w:val="TableGrid"/>
        <w:tblW w:w="15168" w:type="dxa"/>
        <w:tblInd w:w="-856" w:type="dxa"/>
        <w:tblLayout w:type="fixed"/>
        <w:tblLook w:val="04A0" w:firstRow="1" w:lastRow="0" w:firstColumn="1" w:lastColumn="0" w:noHBand="0" w:noVBand="1"/>
      </w:tblPr>
      <w:tblGrid>
        <w:gridCol w:w="1277"/>
        <w:gridCol w:w="1275"/>
        <w:gridCol w:w="851"/>
        <w:gridCol w:w="3260"/>
        <w:gridCol w:w="4394"/>
        <w:gridCol w:w="4111"/>
      </w:tblGrid>
      <w:tr w:rsidR="004C79D9" w:rsidRPr="00A75399" w14:paraId="18E072AA" w14:textId="77777777" w:rsidTr="004C79D9">
        <w:trPr>
          <w:cantSplit/>
          <w:tblHeader/>
        </w:trPr>
        <w:tc>
          <w:tcPr>
            <w:tcW w:w="1277" w:type="dxa"/>
          </w:tcPr>
          <w:p w14:paraId="10563F81" w14:textId="5DD2C826" w:rsidR="004C79D9" w:rsidRPr="008801A3" w:rsidRDefault="004C79D9" w:rsidP="009C1CCC">
            <w:pPr>
              <w:pStyle w:val="TableHeading"/>
              <w:rPr>
                <w:rFonts w:asciiTheme="minorHAnsi" w:hAnsiTheme="minorHAnsi" w:cstheme="minorHAnsi"/>
                <w:color w:val="0070C0"/>
                <w:sz w:val="20"/>
                <w:szCs w:val="20"/>
              </w:rPr>
            </w:pPr>
            <w:r w:rsidRPr="008801A3">
              <w:rPr>
                <w:rFonts w:asciiTheme="minorHAnsi" w:hAnsiTheme="minorHAnsi" w:cstheme="minorHAnsi"/>
                <w:color w:val="0070C0"/>
                <w:sz w:val="20"/>
                <w:szCs w:val="20"/>
              </w:rPr>
              <w:t>Submission and Issue #</w:t>
            </w:r>
          </w:p>
        </w:tc>
        <w:tc>
          <w:tcPr>
            <w:tcW w:w="1275" w:type="dxa"/>
          </w:tcPr>
          <w:p w14:paraId="38131B2F" w14:textId="77777777" w:rsidR="004C79D9" w:rsidRPr="008801A3" w:rsidRDefault="004C79D9" w:rsidP="009C1CCC">
            <w:pPr>
              <w:pStyle w:val="TableHeading"/>
              <w:rPr>
                <w:rFonts w:asciiTheme="minorHAnsi" w:hAnsiTheme="minorHAnsi" w:cstheme="minorHAnsi"/>
                <w:color w:val="0070C0"/>
                <w:sz w:val="20"/>
                <w:szCs w:val="20"/>
              </w:rPr>
            </w:pPr>
            <w:r w:rsidRPr="008801A3">
              <w:rPr>
                <w:rFonts w:asciiTheme="minorHAnsi" w:hAnsiTheme="minorHAnsi" w:cstheme="minorHAnsi"/>
                <w:color w:val="0070C0"/>
                <w:sz w:val="20"/>
                <w:szCs w:val="20"/>
              </w:rPr>
              <w:t>Section</w:t>
            </w:r>
          </w:p>
        </w:tc>
        <w:tc>
          <w:tcPr>
            <w:tcW w:w="851" w:type="dxa"/>
          </w:tcPr>
          <w:p w14:paraId="5006A9F2" w14:textId="77777777" w:rsidR="004C79D9" w:rsidRPr="008801A3" w:rsidRDefault="004C79D9" w:rsidP="009C1CCC">
            <w:pPr>
              <w:pStyle w:val="TableHeading"/>
              <w:rPr>
                <w:rFonts w:asciiTheme="minorHAnsi" w:hAnsiTheme="minorHAnsi" w:cstheme="minorHAnsi"/>
                <w:color w:val="0070C0"/>
                <w:sz w:val="20"/>
                <w:szCs w:val="20"/>
              </w:rPr>
            </w:pPr>
            <w:r w:rsidRPr="008801A3">
              <w:rPr>
                <w:rFonts w:asciiTheme="minorHAnsi" w:hAnsiTheme="minorHAnsi" w:cstheme="minorHAnsi"/>
                <w:color w:val="0070C0"/>
                <w:sz w:val="20"/>
                <w:szCs w:val="20"/>
              </w:rPr>
              <w:t>Page #</w:t>
            </w:r>
          </w:p>
        </w:tc>
        <w:tc>
          <w:tcPr>
            <w:tcW w:w="3260" w:type="dxa"/>
          </w:tcPr>
          <w:p w14:paraId="2AB29AE2" w14:textId="69665777" w:rsidR="004C79D9" w:rsidRPr="008801A3" w:rsidRDefault="004C79D9" w:rsidP="009C1CCC">
            <w:pPr>
              <w:pStyle w:val="TableHeading"/>
              <w:rPr>
                <w:rFonts w:asciiTheme="minorHAnsi" w:hAnsiTheme="minorHAnsi" w:cstheme="minorHAnsi"/>
                <w:color w:val="0070C0"/>
                <w:sz w:val="20"/>
                <w:szCs w:val="20"/>
              </w:rPr>
            </w:pPr>
            <w:r w:rsidRPr="008801A3">
              <w:rPr>
                <w:rFonts w:asciiTheme="minorHAnsi" w:hAnsiTheme="minorHAnsi" w:cstheme="minorHAnsi"/>
                <w:color w:val="0070C0"/>
                <w:sz w:val="20"/>
                <w:szCs w:val="20"/>
              </w:rPr>
              <w:t>Reviewer comment (extract)</w:t>
            </w:r>
          </w:p>
        </w:tc>
        <w:tc>
          <w:tcPr>
            <w:tcW w:w="4394" w:type="dxa"/>
          </w:tcPr>
          <w:p w14:paraId="20EC8E25" w14:textId="2844CBF0" w:rsidR="004C79D9" w:rsidRPr="008801A3" w:rsidRDefault="004C79D9" w:rsidP="009C1CCC">
            <w:pPr>
              <w:pStyle w:val="TableHeading"/>
              <w:rPr>
                <w:rFonts w:asciiTheme="minorHAnsi" w:hAnsiTheme="minorHAnsi" w:cstheme="minorHAnsi"/>
                <w:color w:val="0070C0"/>
                <w:sz w:val="20"/>
                <w:szCs w:val="20"/>
              </w:rPr>
            </w:pPr>
            <w:r w:rsidRPr="008801A3">
              <w:rPr>
                <w:rFonts w:asciiTheme="minorHAnsi" w:hAnsiTheme="minorHAnsi" w:cstheme="minorHAnsi"/>
                <w:color w:val="0070C0"/>
                <w:sz w:val="20"/>
                <w:szCs w:val="20"/>
              </w:rPr>
              <w:t>Departmental response (extract)</w:t>
            </w:r>
          </w:p>
        </w:tc>
        <w:tc>
          <w:tcPr>
            <w:tcW w:w="4111" w:type="dxa"/>
          </w:tcPr>
          <w:p w14:paraId="2E15E434" w14:textId="121DC720" w:rsidR="004C79D9" w:rsidRPr="00A75399" w:rsidRDefault="004C79D9" w:rsidP="009C1CCC">
            <w:pPr>
              <w:pStyle w:val="TableHeading"/>
              <w:rPr>
                <w:rFonts w:asciiTheme="minorHAnsi" w:hAnsiTheme="minorHAnsi" w:cstheme="minorHAnsi"/>
                <w:sz w:val="20"/>
                <w:szCs w:val="20"/>
              </w:rPr>
            </w:pPr>
            <w:r w:rsidRPr="00A75399">
              <w:rPr>
                <w:rFonts w:asciiTheme="minorHAnsi" w:hAnsiTheme="minorHAnsi" w:cstheme="minorHAnsi"/>
                <w:sz w:val="20"/>
                <w:szCs w:val="20"/>
              </w:rPr>
              <w:t xml:space="preserve">SAG response </w:t>
            </w:r>
          </w:p>
        </w:tc>
      </w:tr>
      <w:tr w:rsidR="004C79D9" w:rsidRPr="00A75399" w14:paraId="7378DEBE" w14:textId="77777777" w:rsidTr="004C79D9">
        <w:trPr>
          <w:trHeight w:val="659"/>
        </w:trPr>
        <w:tc>
          <w:tcPr>
            <w:tcW w:w="1277" w:type="dxa"/>
          </w:tcPr>
          <w:p w14:paraId="375F9F77" w14:textId="77777777"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WA DPIRD</w:t>
            </w:r>
          </w:p>
          <w:p w14:paraId="34F101DF" w14:textId="77777777" w:rsidR="004C79D9" w:rsidRPr="008801A3" w:rsidRDefault="004C79D9" w:rsidP="009C1CCC">
            <w:pPr>
              <w:pStyle w:val="TableText"/>
              <w:rPr>
                <w:rFonts w:asciiTheme="minorHAnsi" w:hAnsiTheme="minorHAnsi" w:cstheme="minorHAnsi"/>
                <w:color w:val="0070C0"/>
                <w:sz w:val="20"/>
                <w:szCs w:val="20"/>
              </w:rPr>
            </w:pPr>
          </w:p>
          <w:p w14:paraId="498FBFAC" w14:textId="447683A1" w:rsidR="001A70E0"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#17</w:t>
            </w:r>
            <w:r w:rsidR="001A70E0" w:rsidRPr="008801A3">
              <w:rPr>
                <w:rFonts w:asciiTheme="minorHAnsi" w:hAnsiTheme="minorHAnsi" w:cstheme="minorHAnsi"/>
                <w:color w:val="0070C0"/>
                <w:sz w:val="20"/>
                <w:szCs w:val="20"/>
              </w:rPr>
              <w:t xml:space="preserve"> (Sampling Strategy)</w:t>
            </w:r>
          </w:p>
        </w:tc>
        <w:tc>
          <w:tcPr>
            <w:tcW w:w="1275" w:type="dxa"/>
          </w:tcPr>
          <w:p w14:paraId="186DBC8F" w14:textId="77777777"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5.6 Batch testing for hazards</w:t>
            </w:r>
          </w:p>
          <w:p w14:paraId="44E78A0C" w14:textId="77777777"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20.2.6 (6) and 20.3.5 (8) Post-arrival quarantine (batch testing)</w:t>
            </w:r>
          </w:p>
        </w:tc>
        <w:tc>
          <w:tcPr>
            <w:tcW w:w="851" w:type="dxa"/>
          </w:tcPr>
          <w:p w14:paraId="01A7CEDF" w14:textId="77777777"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47</w:t>
            </w:r>
          </w:p>
          <w:p w14:paraId="1DB7F2B1" w14:textId="77777777"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272</w:t>
            </w:r>
          </w:p>
          <w:p w14:paraId="34E63430" w14:textId="77777777"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278</w:t>
            </w:r>
          </w:p>
        </w:tc>
        <w:tc>
          <w:tcPr>
            <w:tcW w:w="3260" w:type="dxa"/>
          </w:tcPr>
          <w:p w14:paraId="7E6CEA24" w14:textId="77777777"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The draft BIRA indicates the sampling regime should provide at least 95% confidence of detecting a hazard if it is present at a prevalence of 2%, but that these testing parameters would be determined for any hazard requiring batch testing.</w:t>
            </w:r>
          </w:p>
          <w:p w14:paraId="1F2F3C01" w14:textId="7DBC4672"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w:t>
            </w:r>
          </w:p>
          <w:p w14:paraId="6D258125" w14:textId="5BD1EAF2"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It is unclear whether 95% confidence and 2% prevalence will be the parameters used for all hazards. Additional detail on the sampling design, the samples required, the tests used (and their sensitivity and specificity), and any assumptions of the sampling model should be provided to demonstrate the sampling provides sufficient confidence of freedom.</w:t>
            </w:r>
          </w:p>
        </w:tc>
        <w:tc>
          <w:tcPr>
            <w:tcW w:w="4394" w:type="dxa"/>
          </w:tcPr>
          <w:p w14:paraId="3D20F8F4" w14:textId="77777777" w:rsidR="004C79D9" w:rsidRPr="008801A3" w:rsidRDefault="004C79D9" w:rsidP="009C1CCC">
            <w:pPr>
              <w:pStyle w:val="TableText"/>
              <w:rPr>
                <w:rFonts w:asciiTheme="minorHAnsi" w:hAnsiTheme="minorHAnsi" w:cstheme="minorHAnsi"/>
                <w:color w:val="0070C0"/>
                <w:sz w:val="20"/>
                <w:szCs w:val="20"/>
              </w:rPr>
            </w:pPr>
          </w:p>
          <w:p w14:paraId="4AB6E9BC" w14:textId="390B9268"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The department has said:</w:t>
            </w:r>
          </w:p>
          <w:p w14:paraId="7625698D" w14:textId="0FC0A9CD"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 xml:space="preserve">“the detail on the sampling design, the confidence and prevalence parameters to be applied, the samples </w:t>
            </w:r>
            <w:proofErr w:type="gramStart"/>
            <w:r w:rsidRPr="008801A3">
              <w:rPr>
                <w:rFonts w:asciiTheme="minorHAnsi" w:hAnsiTheme="minorHAnsi" w:cstheme="minorHAnsi"/>
                <w:color w:val="0070C0"/>
                <w:sz w:val="20"/>
                <w:szCs w:val="20"/>
              </w:rPr>
              <w:t>required</w:t>
            </w:r>
            <w:proofErr w:type="gramEnd"/>
            <w:r w:rsidRPr="008801A3">
              <w:rPr>
                <w:rFonts w:asciiTheme="minorHAnsi" w:hAnsiTheme="minorHAnsi" w:cstheme="minorHAnsi"/>
                <w:color w:val="0070C0"/>
                <w:sz w:val="20"/>
                <w:szCs w:val="20"/>
              </w:rPr>
              <w:t xml:space="preserve"> and the tests used (including their sensitivity and specificity) is yet to be determined. These details will be worked out in collaboration with our testing partner, the Australian Centre for Diseases Preparedness, after the final BIRA report is published.</w:t>
            </w:r>
          </w:p>
          <w:p w14:paraId="705114BE" w14:textId="77777777"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For the biosecurity measure of batch testing for hazards, this will be a lengthy process as for some hazards, particularly the sturgeon-specific hazards, we need to establish testing protocols for the first time in an Australian facility. Once these details are determined, they will be published as part of the proposed import conditions for the live sturgeon and stakeholders will have an opportunity to comment on them.”</w:t>
            </w:r>
          </w:p>
          <w:p w14:paraId="144A9CB5" w14:textId="13E5DD17" w:rsidR="004C79D9" w:rsidRPr="008801A3" w:rsidRDefault="004C79D9" w:rsidP="009C1CCC">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 xml:space="preserve">There are no proposed editorial changes to the report.  </w:t>
            </w:r>
          </w:p>
          <w:p w14:paraId="52D85A08" w14:textId="272FD337" w:rsidR="004C79D9" w:rsidRPr="008801A3" w:rsidRDefault="004C79D9" w:rsidP="009C1CCC">
            <w:pPr>
              <w:pStyle w:val="TableText"/>
              <w:rPr>
                <w:rFonts w:asciiTheme="minorHAnsi" w:hAnsiTheme="minorHAnsi" w:cstheme="minorHAnsi"/>
                <w:color w:val="0070C0"/>
                <w:sz w:val="20"/>
                <w:szCs w:val="20"/>
              </w:rPr>
            </w:pPr>
          </w:p>
        </w:tc>
        <w:tc>
          <w:tcPr>
            <w:tcW w:w="4111" w:type="dxa"/>
          </w:tcPr>
          <w:p w14:paraId="5102CCD5" w14:textId="45C4A302" w:rsidR="004C79D9" w:rsidRPr="00A75399" w:rsidRDefault="004C79D9" w:rsidP="009C1CCC">
            <w:pPr>
              <w:pStyle w:val="TableText"/>
              <w:rPr>
                <w:rFonts w:asciiTheme="minorHAnsi" w:hAnsiTheme="minorHAnsi" w:cstheme="minorHAnsi"/>
                <w:sz w:val="20"/>
                <w:szCs w:val="20"/>
              </w:rPr>
            </w:pPr>
            <w:r w:rsidRPr="00A75399">
              <w:rPr>
                <w:rFonts w:asciiTheme="minorHAnsi" w:hAnsiTheme="minorHAnsi" w:cstheme="minorHAnsi"/>
                <w:sz w:val="20"/>
                <w:szCs w:val="20"/>
              </w:rPr>
              <w:t xml:space="preserve">The SAG believes that at a minimum the </w:t>
            </w:r>
            <w:r w:rsidR="00BE5034">
              <w:rPr>
                <w:rFonts w:asciiTheme="minorHAnsi" w:hAnsiTheme="minorHAnsi" w:cstheme="minorHAnsi"/>
                <w:sz w:val="20"/>
                <w:szCs w:val="20"/>
              </w:rPr>
              <w:t>p</w:t>
            </w:r>
            <w:r w:rsidR="008801A3">
              <w:rPr>
                <w:rFonts w:asciiTheme="minorHAnsi" w:hAnsiTheme="minorHAnsi" w:cstheme="minorHAnsi"/>
                <w:sz w:val="20"/>
                <w:szCs w:val="20"/>
              </w:rPr>
              <w:t>rovisional</w:t>
            </w:r>
            <w:r w:rsidRPr="00A75399">
              <w:rPr>
                <w:rFonts w:asciiTheme="minorHAnsi" w:hAnsiTheme="minorHAnsi" w:cstheme="minorHAnsi"/>
                <w:sz w:val="20"/>
                <w:szCs w:val="20"/>
              </w:rPr>
              <w:t xml:space="preserve"> </w:t>
            </w:r>
            <w:r w:rsidR="00BE5034">
              <w:rPr>
                <w:rFonts w:asciiTheme="minorHAnsi" w:hAnsiTheme="minorHAnsi" w:cstheme="minorHAnsi"/>
                <w:sz w:val="20"/>
                <w:szCs w:val="20"/>
              </w:rPr>
              <w:t>r</w:t>
            </w:r>
            <w:r w:rsidRPr="00A75399">
              <w:rPr>
                <w:rFonts w:asciiTheme="minorHAnsi" w:hAnsiTheme="minorHAnsi" w:cstheme="minorHAnsi"/>
                <w:sz w:val="20"/>
                <w:szCs w:val="20"/>
              </w:rPr>
              <w:t xml:space="preserve">eport should include at page 270, point 6, the text </w:t>
            </w:r>
            <w:r w:rsidR="008801A3">
              <w:rPr>
                <w:rFonts w:asciiTheme="minorHAnsi" w:hAnsiTheme="minorHAnsi" w:cstheme="minorHAnsi"/>
                <w:sz w:val="20"/>
                <w:szCs w:val="20"/>
              </w:rPr>
              <w:t xml:space="preserve">of </w:t>
            </w:r>
            <w:r w:rsidRPr="00A75399">
              <w:rPr>
                <w:rFonts w:asciiTheme="minorHAnsi" w:hAnsiTheme="minorHAnsi" w:cstheme="minorHAnsi"/>
                <w:sz w:val="20"/>
                <w:szCs w:val="20"/>
              </w:rPr>
              <w:t xml:space="preserve">the </w:t>
            </w:r>
            <w:r w:rsidR="00BE5034">
              <w:rPr>
                <w:rFonts w:asciiTheme="minorHAnsi" w:hAnsiTheme="minorHAnsi" w:cstheme="minorHAnsi"/>
                <w:sz w:val="20"/>
                <w:szCs w:val="20"/>
              </w:rPr>
              <w:t>d</w:t>
            </w:r>
            <w:r w:rsidRPr="00A75399">
              <w:rPr>
                <w:rFonts w:asciiTheme="minorHAnsi" w:hAnsiTheme="minorHAnsi" w:cstheme="minorHAnsi"/>
                <w:sz w:val="20"/>
                <w:szCs w:val="20"/>
              </w:rPr>
              <w:t xml:space="preserve">epartmental </w:t>
            </w:r>
            <w:r w:rsidR="00BE5034">
              <w:rPr>
                <w:rFonts w:asciiTheme="minorHAnsi" w:hAnsiTheme="minorHAnsi" w:cstheme="minorHAnsi"/>
                <w:sz w:val="20"/>
                <w:szCs w:val="20"/>
              </w:rPr>
              <w:t>r</w:t>
            </w:r>
            <w:r w:rsidRPr="00A75399">
              <w:rPr>
                <w:rFonts w:asciiTheme="minorHAnsi" w:hAnsiTheme="minorHAnsi" w:cstheme="minorHAnsi"/>
                <w:sz w:val="20"/>
                <w:szCs w:val="20"/>
              </w:rPr>
              <w:t>esponse or a summary of th</w:t>
            </w:r>
            <w:r w:rsidR="008801A3">
              <w:rPr>
                <w:rFonts w:asciiTheme="minorHAnsi" w:hAnsiTheme="minorHAnsi" w:cstheme="minorHAnsi"/>
                <w:sz w:val="20"/>
                <w:szCs w:val="20"/>
              </w:rPr>
              <w:t>at</w:t>
            </w:r>
            <w:r w:rsidRPr="00A75399">
              <w:rPr>
                <w:rFonts w:asciiTheme="minorHAnsi" w:hAnsiTheme="minorHAnsi" w:cstheme="minorHAnsi"/>
                <w:sz w:val="20"/>
                <w:szCs w:val="20"/>
              </w:rPr>
              <w:t xml:space="preserve"> </w:t>
            </w:r>
            <w:r w:rsidR="00914CE6" w:rsidRPr="00A75399">
              <w:rPr>
                <w:rFonts w:asciiTheme="minorHAnsi" w:hAnsiTheme="minorHAnsi" w:cstheme="minorHAnsi"/>
                <w:sz w:val="20"/>
                <w:szCs w:val="20"/>
              </w:rPr>
              <w:t>text; where</w:t>
            </w:r>
            <w:r w:rsidRPr="00A75399">
              <w:rPr>
                <w:rFonts w:asciiTheme="minorHAnsi" w:hAnsiTheme="minorHAnsi" w:cstheme="minorHAnsi"/>
                <w:sz w:val="20"/>
                <w:szCs w:val="20"/>
              </w:rPr>
              <w:t xml:space="preserve"> possible, a broad reference in the appendices to the ACDP processes including design prevalence, sample size and test sensitivity could be included in the appendices.   </w:t>
            </w:r>
          </w:p>
        </w:tc>
      </w:tr>
      <w:tr w:rsidR="004C79D9" w:rsidRPr="00A75399" w14:paraId="32A714DD" w14:textId="77777777" w:rsidTr="004C79D9">
        <w:trPr>
          <w:trHeight w:val="659"/>
        </w:trPr>
        <w:tc>
          <w:tcPr>
            <w:tcW w:w="1277" w:type="dxa"/>
          </w:tcPr>
          <w:p w14:paraId="6935DA93" w14:textId="26A9FA33" w:rsidR="00A423A7" w:rsidRPr="008801A3" w:rsidRDefault="00A423A7" w:rsidP="004C79D9">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NSW DPI</w:t>
            </w:r>
          </w:p>
          <w:p w14:paraId="2C304BD8" w14:textId="16D5F65A" w:rsidR="00A423A7" w:rsidRPr="008801A3" w:rsidRDefault="00A423A7" w:rsidP="004C79D9">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#12</w:t>
            </w:r>
            <w:r w:rsidR="001A70E0" w:rsidRPr="008801A3">
              <w:rPr>
                <w:rFonts w:asciiTheme="minorHAnsi" w:hAnsiTheme="minorHAnsi" w:cstheme="minorHAnsi"/>
                <w:color w:val="0070C0"/>
                <w:sz w:val="20"/>
                <w:szCs w:val="20"/>
              </w:rPr>
              <w:t xml:space="preserve"> (RAS Systems)</w:t>
            </w:r>
          </w:p>
          <w:p w14:paraId="7F312297" w14:textId="77777777" w:rsidR="00A423A7" w:rsidRPr="008801A3" w:rsidRDefault="00A423A7" w:rsidP="004C79D9">
            <w:pPr>
              <w:pStyle w:val="TableText"/>
              <w:rPr>
                <w:rFonts w:asciiTheme="minorHAnsi" w:hAnsiTheme="minorHAnsi" w:cstheme="minorHAnsi"/>
                <w:color w:val="0070C0"/>
                <w:sz w:val="20"/>
                <w:szCs w:val="20"/>
              </w:rPr>
            </w:pPr>
          </w:p>
          <w:p w14:paraId="44A06B30" w14:textId="77777777" w:rsidR="00A423A7" w:rsidRPr="008801A3" w:rsidRDefault="00A423A7" w:rsidP="004C79D9">
            <w:pPr>
              <w:pStyle w:val="TableText"/>
              <w:rPr>
                <w:rFonts w:asciiTheme="minorHAnsi" w:hAnsiTheme="minorHAnsi" w:cstheme="minorHAnsi"/>
                <w:color w:val="0070C0"/>
                <w:sz w:val="20"/>
                <w:szCs w:val="20"/>
              </w:rPr>
            </w:pPr>
          </w:p>
          <w:p w14:paraId="131F3E82" w14:textId="77777777" w:rsidR="00A423A7" w:rsidRPr="008801A3" w:rsidRDefault="00A423A7" w:rsidP="004C79D9">
            <w:pPr>
              <w:pStyle w:val="TableText"/>
              <w:rPr>
                <w:rFonts w:asciiTheme="minorHAnsi" w:hAnsiTheme="minorHAnsi" w:cstheme="minorHAnsi"/>
                <w:color w:val="0070C0"/>
                <w:sz w:val="20"/>
                <w:szCs w:val="20"/>
              </w:rPr>
            </w:pPr>
          </w:p>
          <w:p w14:paraId="1472BE20" w14:textId="77777777" w:rsidR="00A423A7" w:rsidRPr="008801A3" w:rsidRDefault="00A423A7" w:rsidP="004C79D9">
            <w:pPr>
              <w:pStyle w:val="TableText"/>
              <w:rPr>
                <w:rFonts w:asciiTheme="minorHAnsi" w:hAnsiTheme="minorHAnsi" w:cstheme="minorHAnsi"/>
                <w:color w:val="0070C0"/>
                <w:sz w:val="20"/>
                <w:szCs w:val="20"/>
              </w:rPr>
            </w:pPr>
          </w:p>
          <w:p w14:paraId="0F276DAE" w14:textId="77777777" w:rsidR="00A423A7" w:rsidRPr="008801A3" w:rsidRDefault="00A423A7" w:rsidP="004C79D9">
            <w:pPr>
              <w:pStyle w:val="TableText"/>
              <w:rPr>
                <w:rFonts w:asciiTheme="minorHAnsi" w:hAnsiTheme="minorHAnsi" w:cstheme="minorHAnsi"/>
                <w:color w:val="0070C0"/>
                <w:sz w:val="20"/>
                <w:szCs w:val="20"/>
              </w:rPr>
            </w:pPr>
          </w:p>
          <w:p w14:paraId="118CAC64" w14:textId="77777777" w:rsidR="00A423A7" w:rsidRPr="008801A3" w:rsidRDefault="00A423A7" w:rsidP="004C79D9">
            <w:pPr>
              <w:pStyle w:val="TableText"/>
              <w:rPr>
                <w:rFonts w:asciiTheme="minorHAnsi" w:hAnsiTheme="minorHAnsi" w:cstheme="minorHAnsi"/>
                <w:color w:val="0070C0"/>
                <w:sz w:val="20"/>
                <w:szCs w:val="20"/>
              </w:rPr>
            </w:pPr>
          </w:p>
          <w:p w14:paraId="09FBE8F9" w14:textId="77777777" w:rsidR="00A423A7" w:rsidRPr="008801A3" w:rsidRDefault="00A423A7" w:rsidP="004C79D9">
            <w:pPr>
              <w:pStyle w:val="TableText"/>
              <w:rPr>
                <w:rFonts w:asciiTheme="minorHAnsi" w:hAnsiTheme="minorHAnsi" w:cstheme="minorHAnsi"/>
                <w:color w:val="0070C0"/>
                <w:sz w:val="20"/>
                <w:szCs w:val="20"/>
              </w:rPr>
            </w:pPr>
          </w:p>
          <w:p w14:paraId="51BC630C" w14:textId="77777777" w:rsidR="00A423A7" w:rsidRPr="008801A3" w:rsidRDefault="00A423A7" w:rsidP="004C79D9">
            <w:pPr>
              <w:pStyle w:val="TableText"/>
              <w:rPr>
                <w:rFonts w:asciiTheme="minorHAnsi" w:hAnsiTheme="minorHAnsi" w:cstheme="minorHAnsi"/>
                <w:color w:val="0070C0"/>
                <w:sz w:val="20"/>
                <w:szCs w:val="20"/>
              </w:rPr>
            </w:pPr>
          </w:p>
          <w:p w14:paraId="3CA3ACD6" w14:textId="77777777" w:rsidR="00A423A7" w:rsidRPr="008801A3" w:rsidRDefault="00A423A7" w:rsidP="004C79D9">
            <w:pPr>
              <w:pStyle w:val="TableText"/>
              <w:rPr>
                <w:rFonts w:asciiTheme="minorHAnsi" w:hAnsiTheme="minorHAnsi" w:cstheme="minorHAnsi"/>
                <w:color w:val="0070C0"/>
                <w:sz w:val="20"/>
                <w:szCs w:val="20"/>
              </w:rPr>
            </w:pPr>
          </w:p>
          <w:p w14:paraId="6A4DA263" w14:textId="77777777" w:rsidR="00A423A7" w:rsidRPr="008801A3" w:rsidRDefault="00A423A7" w:rsidP="004C79D9">
            <w:pPr>
              <w:pStyle w:val="TableText"/>
              <w:rPr>
                <w:rFonts w:asciiTheme="minorHAnsi" w:hAnsiTheme="minorHAnsi" w:cstheme="minorHAnsi"/>
                <w:color w:val="0070C0"/>
                <w:sz w:val="20"/>
                <w:szCs w:val="20"/>
              </w:rPr>
            </w:pPr>
          </w:p>
          <w:p w14:paraId="39320DEF" w14:textId="77777777" w:rsidR="00A423A7" w:rsidRPr="008801A3" w:rsidRDefault="00A423A7" w:rsidP="004C79D9">
            <w:pPr>
              <w:pStyle w:val="TableText"/>
              <w:rPr>
                <w:rFonts w:asciiTheme="minorHAnsi" w:hAnsiTheme="minorHAnsi" w:cstheme="minorHAnsi"/>
                <w:color w:val="0070C0"/>
                <w:sz w:val="20"/>
                <w:szCs w:val="20"/>
              </w:rPr>
            </w:pPr>
          </w:p>
          <w:p w14:paraId="7D518182" w14:textId="77777777" w:rsidR="009876E7" w:rsidRDefault="009876E7" w:rsidP="004C79D9">
            <w:pPr>
              <w:pStyle w:val="TableText"/>
              <w:rPr>
                <w:rFonts w:asciiTheme="minorHAnsi" w:hAnsiTheme="minorHAnsi" w:cstheme="minorHAnsi"/>
                <w:color w:val="0070C0"/>
                <w:sz w:val="20"/>
                <w:szCs w:val="20"/>
              </w:rPr>
            </w:pPr>
          </w:p>
          <w:p w14:paraId="168CFAF9" w14:textId="77777777" w:rsidR="009876E7" w:rsidRDefault="009876E7" w:rsidP="004C79D9">
            <w:pPr>
              <w:pStyle w:val="TableText"/>
              <w:rPr>
                <w:rFonts w:asciiTheme="minorHAnsi" w:hAnsiTheme="minorHAnsi" w:cstheme="minorHAnsi"/>
                <w:color w:val="0070C0"/>
                <w:sz w:val="20"/>
                <w:szCs w:val="20"/>
              </w:rPr>
            </w:pPr>
          </w:p>
          <w:p w14:paraId="2D776A92" w14:textId="3AE24C11" w:rsidR="004C79D9" w:rsidRPr="008801A3" w:rsidRDefault="004C79D9" w:rsidP="004C79D9">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WA DPIRD</w:t>
            </w:r>
          </w:p>
          <w:p w14:paraId="10F64F35" w14:textId="1BC03DBB" w:rsidR="004C79D9" w:rsidRPr="008801A3" w:rsidRDefault="004C79D9" w:rsidP="004C79D9">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#25</w:t>
            </w:r>
          </w:p>
          <w:p w14:paraId="26CD92A1" w14:textId="448408F8" w:rsidR="004C79D9" w:rsidRPr="008801A3" w:rsidRDefault="001A70E0" w:rsidP="004C79D9">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(RAS Systems)</w:t>
            </w:r>
          </w:p>
        </w:tc>
        <w:tc>
          <w:tcPr>
            <w:tcW w:w="1275" w:type="dxa"/>
          </w:tcPr>
          <w:p w14:paraId="1B5EAC26" w14:textId="53E4F33E" w:rsidR="00A423A7" w:rsidRPr="008801A3" w:rsidRDefault="00A423A7" w:rsidP="004C79D9">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lastRenderedPageBreak/>
              <w:t xml:space="preserve">1.3 </w:t>
            </w:r>
          </w:p>
          <w:p w14:paraId="66E96137" w14:textId="77777777" w:rsidR="00A423A7" w:rsidRPr="008801A3" w:rsidRDefault="00A423A7" w:rsidP="004C79D9">
            <w:pPr>
              <w:pStyle w:val="TableText"/>
              <w:rPr>
                <w:rFonts w:asciiTheme="minorHAnsi" w:hAnsiTheme="minorHAnsi" w:cstheme="minorHAnsi"/>
                <w:color w:val="0070C0"/>
                <w:sz w:val="20"/>
                <w:szCs w:val="20"/>
              </w:rPr>
            </w:pPr>
          </w:p>
          <w:p w14:paraId="10AE9933" w14:textId="77777777" w:rsidR="00A423A7" w:rsidRPr="008801A3" w:rsidRDefault="00A423A7" w:rsidP="004C79D9">
            <w:pPr>
              <w:pStyle w:val="TableText"/>
              <w:rPr>
                <w:rFonts w:asciiTheme="minorHAnsi" w:hAnsiTheme="minorHAnsi" w:cstheme="minorHAnsi"/>
                <w:color w:val="0070C0"/>
                <w:sz w:val="20"/>
                <w:szCs w:val="20"/>
              </w:rPr>
            </w:pPr>
          </w:p>
          <w:p w14:paraId="1E77C66F" w14:textId="77777777" w:rsidR="00A423A7" w:rsidRPr="008801A3" w:rsidRDefault="00A423A7" w:rsidP="004C79D9">
            <w:pPr>
              <w:pStyle w:val="TableText"/>
              <w:rPr>
                <w:rFonts w:asciiTheme="minorHAnsi" w:hAnsiTheme="minorHAnsi" w:cstheme="minorHAnsi"/>
                <w:color w:val="0070C0"/>
                <w:sz w:val="20"/>
                <w:szCs w:val="20"/>
              </w:rPr>
            </w:pPr>
          </w:p>
          <w:p w14:paraId="63B2553F" w14:textId="77777777" w:rsidR="00A423A7" w:rsidRPr="008801A3" w:rsidRDefault="00A423A7" w:rsidP="004C79D9">
            <w:pPr>
              <w:pStyle w:val="TableText"/>
              <w:rPr>
                <w:rFonts w:asciiTheme="minorHAnsi" w:hAnsiTheme="minorHAnsi" w:cstheme="minorHAnsi"/>
                <w:color w:val="0070C0"/>
                <w:sz w:val="20"/>
                <w:szCs w:val="20"/>
              </w:rPr>
            </w:pPr>
          </w:p>
          <w:p w14:paraId="1C9E8943" w14:textId="77777777" w:rsidR="00A423A7" w:rsidRPr="008801A3" w:rsidRDefault="00A423A7" w:rsidP="004C79D9">
            <w:pPr>
              <w:pStyle w:val="TableText"/>
              <w:rPr>
                <w:rFonts w:asciiTheme="minorHAnsi" w:hAnsiTheme="minorHAnsi" w:cstheme="minorHAnsi"/>
                <w:color w:val="0070C0"/>
                <w:sz w:val="20"/>
                <w:szCs w:val="20"/>
              </w:rPr>
            </w:pPr>
          </w:p>
          <w:p w14:paraId="44A1BAAC" w14:textId="77777777" w:rsidR="00A423A7" w:rsidRPr="008801A3" w:rsidRDefault="00A423A7" w:rsidP="004C79D9">
            <w:pPr>
              <w:pStyle w:val="TableText"/>
              <w:rPr>
                <w:rFonts w:asciiTheme="minorHAnsi" w:hAnsiTheme="minorHAnsi" w:cstheme="minorHAnsi"/>
                <w:color w:val="0070C0"/>
                <w:sz w:val="20"/>
                <w:szCs w:val="20"/>
              </w:rPr>
            </w:pPr>
          </w:p>
          <w:p w14:paraId="408DCA16" w14:textId="77777777" w:rsidR="00A423A7" w:rsidRPr="008801A3" w:rsidRDefault="00A423A7" w:rsidP="004C79D9">
            <w:pPr>
              <w:pStyle w:val="TableText"/>
              <w:rPr>
                <w:rFonts w:asciiTheme="minorHAnsi" w:hAnsiTheme="minorHAnsi" w:cstheme="minorHAnsi"/>
                <w:color w:val="0070C0"/>
                <w:sz w:val="20"/>
                <w:szCs w:val="20"/>
              </w:rPr>
            </w:pPr>
          </w:p>
          <w:p w14:paraId="69B5BFC6" w14:textId="77777777" w:rsidR="00A423A7" w:rsidRPr="008801A3" w:rsidRDefault="00A423A7" w:rsidP="004C79D9">
            <w:pPr>
              <w:pStyle w:val="TableText"/>
              <w:rPr>
                <w:rFonts w:asciiTheme="minorHAnsi" w:hAnsiTheme="minorHAnsi" w:cstheme="minorHAnsi"/>
                <w:color w:val="0070C0"/>
                <w:sz w:val="20"/>
                <w:szCs w:val="20"/>
              </w:rPr>
            </w:pPr>
          </w:p>
          <w:p w14:paraId="78B757BC" w14:textId="77777777" w:rsidR="00A423A7" w:rsidRPr="008801A3" w:rsidRDefault="00A423A7" w:rsidP="004C79D9">
            <w:pPr>
              <w:pStyle w:val="TableText"/>
              <w:rPr>
                <w:rFonts w:asciiTheme="minorHAnsi" w:hAnsiTheme="minorHAnsi" w:cstheme="minorHAnsi"/>
                <w:color w:val="0070C0"/>
                <w:sz w:val="20"/>
                <w:szCs w:val="20"/>
              </w:rPr>
            </w:pPr>
          </w:p>
          <w:p w14:paraId="2066DB49" w14:textId="77777777" w:rsidR="00A423A7" w:rsidRPr="008801A3" w:rsidRDefault="00A423A7" w:rsidP="004C79D9">
            <w:pPr>
              <w:pStyle w:val="TableText"/>
              <w:rPr>
                <w:rFonts w:asciiTheme="minorHAnsi" w:hAnsiTheme="minorHAnsi" w:cstheme="minorHAnsi"/>
                <w:color w:val="0070C0"/>
                <w:sz w:val="20"/>
                <w:szCs w:val="20"/>
              </w:rPr>
            </w:pPr>
          </w:p>
          <w:p w14:paraId="3D3DB1D9" w14:textId="77777777" w:rsidR="00A423A7" w:rsidRPr="008801A3" w:rsidRDefault="00A423A7" w:rsidP="004C79D9">
            <w:pPr>
              <w:pStyle w:val="TableText"/>
              <w:rPr>
                <w:rFonts w:asciiTheme="minorHAnsi" w:hAnsiTheme="minorHAnsi" w:cstheme="minorHAnsi"/>
                <w:color w:val="0070C0"/>
                <w:sz w:val="20"/>
                <w:szCs w:val="20"/>
              </w:rPr>
            </w:pPr>
          </w:p>
          <w:p w14:paraId="66D81579" w14:textId="77777777" w:rsidR="00A423A7" w:rsidRPr="008801A3" w:rsidRDefault="00A423A7" w:rsidP="004C79D9">
            <w:pPr>
              <w:pStyle w:val="TableText"/>
              <w:rPr>
                <w:rFonts w:asciiTheme="minorHAnsi" w:hAnsiTheme="minorHAnsi" w:cstheme="minorHAnsi"/>
                <w:color w:val="0070C0"/>
                <w:sz w:val="20"/>
                <w:szCs w:val="20"/>
              </w:rPr>
            </w:pPr>
          </w:p>
          <w:p w14:paraId="043F1F9A" w14:textId="77777777" w:rsidR="00A423A7" w:rsidRPr="008801A3" w:rsidRDefault="00A423A7" w:rsidP="004C79D9">
            <w:pPr>
              <w:pStyle w:val="TableText"/>
              <w:rPr>
                <w:rFonts w:asciiTheme="minorHAnsi" w:hAnsiTheme="minorHAnsi" w:cstheme="minorHAnsi"/>
                <w:color w:val="0070C0"/>
                <w:sz w:val="20"/>
                <w:szCs w:val="20"/>
              </w:rPr>
            </w:pPr>
          </w:p>
          <w:p w14:paraId="58439575" w14:textId="77777777" w:rsidR="00A423A7" w:rsidRPr="008801A3" w:rsidRDefault="00A423A7" w:rsidP="004C79D9">
            <w:pPr>
              <w:pStyle w:val="TableText"/>
              <w:rPr>
                <w:rFonts w:asciiTheme="minorHAnsi" w:hAnsiTheme="minorHAnsi" w:cstheme="minorHAnsi"/>
                <w:color w:val="0070C0"/>
                <w:sz w:val="20"/>
                <w:szCs w:val="20"/>
              </w:rPr>
            </w:pPr>
          </w:p>
          <w:p w14:paraId="53B264CC" w14:textId="77777777" w:rsidR="00A423A7" w:rsidRPr="008801A3" w:rsidRDefault="00A423A7" w:rsidP="004C79D9">
            <w:pPr>
              <w:pStyle w:val="TableText"/>
              <w:rPr>
                <w:rFonts w:asciiTheme="minorHAnsi" w:hAnsiTheme="minorHAnsi" w:cstheme="minorHAnsi"/>
                <w:color w:val="0070C0"/>
                <w:sz w:val="20"/>
                <w:szCs w:val="20"/>
              </w:rPr>
            </w:pPr>
          </w:p>
          <w:p w14:paraId="1BD09EFB" w14:textId="33C97C4D" w:rsidR="004C79D9" w:rsidRPr="008801A3" w:rsidRDefault="004C79D9" w:rsidP="004C79D9">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20.2.6 (11) and</w:t>
            </w:r>
          </w:p>
          <w:p w14:paraId="2D6FB23D" w14:textId="77777777" w:rsidR="004C79D9" w:rsidRPr="008801A3" w:rsidRDefault="004C79D9" w:rsidP="004C79D9">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20.3.5 (12) post-arrival quarantine</w:t>
            </w:r>
          </w:p>
        </w:tc>
        <w:tc>
          <w:tcPr>
            <w:tcW w:w="851" w:type="dxa"/>
          </w:tcPr>
          <w:p w14:paraId="0E2F5130" w14:textId="77777777" w:rsidR="00A423A7" w:rsidRPr="008801A3" w:rsidRDefault="00A423A7" w:rsidP="004C79D9">
            <w:pPr>
              <w:pStyle w:val="TableText"/>
              <w:rPr>
                <w:rFonts w:asciiTheme="minorHAnsi" w:hAnsiTheme="minorHAnsi" w:cstheme="minorHAnsi"/>
                <w:color w:val="0070C0"/>
                <w:sz w:val="20"/>
                <w:szCs w:val="20"/>
              </w:rPr>
            </w:pPr>
          </w:p>
          <w:p w14:paraId="64582525" w14:textId="77777777" w:rsidR="00A423A7" w:rsidRPr="008801A3" w:rsidRDefault="00A423A7" w:rsidP="004C79D9">
            <w:pPr>
              <w:pStyle w:val="TableText"/>
              <w:rPr>
                <w:rFonts w:asciiTheme="minorHAnsi" w:hAnsiTheme="minorHAnsi" w:cstheme="minorHAnsi"/>
                <w:color w:val="0070C0"/>
                <w:sz w:val="20"/>
                <w:szCs w:val="20"/>
              </w:rPr>
            </w:pPr>
          </w:p>
          <w:p w14:paraId="2801A383" w14:textId="77777777" w:rsidR="00A423A7" w:rsidRPr="008801A3" w:rsidRDefault="00A423A7" w:rsidP="004C79D9">
            <w:pPr>
              <w:pStyle w:val="TableText"/>
              <w:rPr>
                <w:rFonts w:asciiTheme="minorHAnsi" w:hAnsiTheme="minorHAnsi" w:cstheme="minorHAnsi"/>
                <w:color w:val="0070C0"/>
                <w:sz w:val="20"/>
                <w:szCs w:val="20"/>
              </w:rPr>
            </w:pPr>
          </w:p>
          <w:p w14:paraId="030E402C" w14:textId="77777777" w:rsidR="00A423A7" w:rsidRPr="008801A3" w:rsidRDefault="00A423A7" w:rsidP="004C79D9">
            <w:pPr>
              <w:pStyle w:val="TableText"/>
              <w:rPr>
                <w:rFonts w:asciiTheme="minorHAnsi" w:hAnsiTheme="minorHAnsi" w:cstheme="minorHAnsi"/>
                <w:color w:val="0070C0"/>
                <w:sz w:val="20"/>
                <w:szCs w:val="20"/>
              </w:rPr>
            </w:pPr>
          </w:p>
          <w:p w14:paraId="7A25FA5D" w14:textId="77777777" w:rsidR="00A423A7" w:rsidRPr="008801A3" w:rsidRDefault="00A423A7" w:rsidP="004C79D9">
            <w:pPr>
              <w:pStyle w:val="TableText"/>
              <w:rPr>
                <w:rFonts w:asciiTheme="minorHAnsi" w:hAnsiTheme="minorHAnsi" w:cstheme="minorHAnsi"/>
                <w:color w:val="0070C0"/>
                <w:sz w:val="20"/>
                <w:szCs w:val="20"/>
              </w:rPr>
            </w:pPr>
          </w:p>
          <w:p w14:paraId="6C85254F" w14:textId="77777777" w:rsidR="00A423A7" w:rsidRPr="008801A3" w:rsidRDefault="00A423A7" w:rsidP="004C79D9">
            <w:pPr>
              <w:pStyle w:val="TableText"/>
              <w:rPr>
                <w:rFonts w:asciiTheme="minorHAnsi" w:hAnsiTheme="minorHAnsi" w:cstheme="minorHAnsi"/>
                <w:color w:val="0070C0"/>
                <w:sz w:val="20"/>
                <w:szCs w:val="20"/>
              </w:rPr>
            </w:pPr>
          </w:p>
          <w:p w14:paraId="733C1942" w14:textId="77777777" w:rsidR="00A423A7" w:rsidRPr="008801A3" w:rsidRDefault="00A423A7" w:rsidP="004C79D9">
            <w:pPr>
              <w:pStyle w:val="TableText"/>
              <w:rPr>
                <w:rFonts w:asciiTheme="minorHAnsi" w:hAnsiTheme="minorHAnsi" w:cstheme="minorHAnsi"/>
                <w:color w:val="0070C0"/>
                <w:sz w:val="20"/>
                <w:szCs w:val="20"/>
              </w:rPr>
            </w:pPr>
          </w:p>
          <w:p w14:paraId="53A29C58" w14:textId="77777777" w:rsidR="00A423A7" w:rsidRPr="008801A3" w:rsidRDefault="00A423A7" w:rsidP="004C79D9">
            <w:pPr>
              <w:pStyle w:val="TableText"/>
              <w:rPr>
                <w:rFonts w:asciiTheme="minorHAnsi" w:hAnsiTheme="minorHAnsi" w:cstheme="minorHAnsi"/>
                <w:color w:val="0070C0"/>
                <w:sz w:val="20"/>
                <w:szCs w:val="20"/>
              </w:rPr>
            </w:pPr>
          </w:p>
          <w:p w14:paraId="6B8506BE" w14:textId="77777777" w:rsidR="00A423A7" w:rsidRPr="008801A3" w:rsidRDefault="00A423A7" w:rsidP="004C79D9">
            <w:pPr>
              <w:pStyle w:val="TableText"/>
              <w:rPr>
                <w:rFonts w:asciiTheme="minorHAnsi" w:hAnsiTheme="minorHAnsi" w:cstheme="minorHAnsi"/>
                <w:color w:val="0070C0"/>
                <w:sz w:val="20"/>
                <w:szCs w:val="20"/>
              </w:rPr>
            </w:pPr>
          </w:p>
          <w:p w14:paraId="38337953" w14:textId="77777777" w:rsidR="00A423A7" w:rsidRPr="008801A3" w:rsidRDefault="00A423A7" w:rsidP="004C79D9">
            <w:pPr>
              <w:pStyle w:val="TableText"/>
              <w:rPr>
                <w:rFonts w:asciiTheme="minorHAnsi" w:hAnsiTheme="minorHAnsi" w:cstheme="minorHAnsi"/>
                <w:color w:val="0070C0"/>
                <w:sz w:val="20"/>
                <w:szCs w:val="20"/>
              </w:rPr>
            </w:pPr>
          </w:p>
          <w:p w14:paraId="1D0E3B67" w14:textId="77777777" w:rsidR="00A423A7" w:rsidRPr="008801A3" w:rsidRDefault="00A423A7" w:rsidP="004C79D9">
            <w:pPr>
              <w:pStyle w:val="TableText"/>
              <w:rPr>
                <w:rFonts w:asciiTheme="minorHAnsi" w:hAnsiTheme="minorHAnsi" w:cstheme="minorHAnsi"/>
                <w:color w:val="0070C0"/>
                <w:sz w:val="20"/>
                <w:szCs w:val="20"/>
              </w:rPr>
            </w:pPr>
          </w:p>
          <w:p w14:paraId="7B734A3A" w14:textId="77777777" w:rsidR="00A423A7" w:rsidRPr="008801A3" w:rsidRDefault="00A423A7" w:rsidP="004C79D9">
            <w:pPr>
              <w:pStyle w:val="TableText"/>
              <w:rPr>
                <w:rFonts w:asciiTheme="minorHAnsi" w:hAnsiTheme="minorHAnsi" w:cstheme="minorHAnsi"/>
                <w:color w:val="0070C0"/>
                <w:sz w:val="20"/>
                <w:szCs w:val="20"/>
              </w:rPr>
            </w:pPr>
          </w:p>
          <w:p w14:paraId="69D62813" w14:textId="77777777" w:rsidR="00A423A7" w:rsidRPr="008801A3" w:rsidRDefault="00A423A7" w:rsidP="004C79D9">
            <w:pPr>
              <w:pStyle w:val="TableText"/>
              <w:rPr>
                <w:rFonts w:asciiTheme="minorHAnsi" w:hAnsiTheme="minorHAnsi" w:cstheme="minorHAnsi"/>
                <w:color w:val="0070C0"/>
                <w:sz w:val="20"/>
                <w:szCs w:val="20"/>
              </w:rPr>
            </w:pPr>
          </w:p>
          <w:p w14:paraId="56403FC8" w14:textId="77777777" w:rsidR="00A423A7" w:rsidRPr="008801A3" w:rsidRDefault="00A423A7" w:rsidP="004C79D9">
            <w:pPr>
              <w:pStyle w:val="TableText"/>
              <w:rPr>
                <w:rFonts w:asciiTheme="minorHAnsi" w:hAnsiTheme="minorHAnsi" w:cstheme="minorHAnsi"/>
                <w:color w:val="0070C0"/>
                <w:sz w:val="20"/>
                <w:szCs w:val="20"/>
              </w:rPr>
            </w:pPr>
          </w:p>
          <w:p w14:paraId="7F1060CF" w14:textId="77777777" w:rsidR="00A423A7" w:rsidRPr="008801A3" w:rsidRDefault="00A423A7" w:rsidP="004C79D9">
            <w:pPr>
              <w:pStyle w:val="TableText"/>
              <w:rPr>
                <w:rFonts w:asciiTheme="minorHAnsi" w:hAnsiTheme="minorHAnsi" w:cstheme="minorHAnsi"/>
                <w:color w:val="0070C0"/>
                <w:sz w:val="20"/>
                <w:szCs w:val="20"/>
              </w:rPr>
            </w:pPr>
          </w:p>
          <w:p w14:paraId="7FDDD7C7" w14:textId="77777777" w:rsidR="00A423A7" w:rsidRPr="008801A3" w:rsidRDefault="00A423A7" w:rsidP="004C79D9">
            <w:pPr>
              <w:pStyle w:val="TableText"/>
              <w:rPr>
                <w:rFonts w:asciiTheme="minorHAnsi" w:hAnsiTheme="minorHAnsi" w:cstheme="minorHAnsi"/>
                <w:color w:val="0070C0"/>
                <w:sz w:val="20"/>
                <w:szCs w:val="20"/>
              </w:rPr>
            </w:pPr>
          </w:p>
          <w:p w14:paraId="3115AAB3" w14:textId="325EF4B0" w:rsidR="004C79D9" w:rsidRPr="008801A3" w:rsidRDefault="004C79D9" w:rsidP="004C79D9">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273</w:t>
            </w:r>
          </w:p>
          <w:p w14:paraId="27425505" w14:textId="77777777" w:rsidR="004C79D9" w:rsidRPr="008801A3" w:rsidRDefault="004C79D9" w:rsidP="004C79D9">
            <w:pPr>
              <w:pStyle w:val="TableText"/>
              <w:rPr>
                <w:rFonts w:asciiTheme="minorHAnsi" w:hAnsiTheme="minorHAnsi" w:cstheme="minorHAnsi"/>
                <w:color w:val="0070C0"/>
                <w:sz w:val="20"/>
                <w:szCs w:val="20"/>
              </w:rPr>
            </w:pPr>
            <w:r w:rsidRPr="008801A3">
              <w:rPr>
                <w:rFonts w:asciiTheme="minorHAnsi" w:hAnsiTheme="minorHAnsi" w:cstheme="minorHAnsi"/>
                <w:color w:val="0070C0"/>
                <w:sz w:val="20"/>
                <w:szCs w:val="20"/>
              </w:rPr>
              <w:t>279</w:t>
            </w:r>
          </w:p>
        </w:tc>
        <w:tc>
          <w:tcPr>
            <w:tcW w:w="3260" w:type="dxa"/>
          </w:tcPr>
          <w:p w14:paraId="3EBA5BC1" w14:textId="4B0D5144" w:rsidR="00A423A7" w:rsidRPr="009876E7" w:rsidRDefault="00A423A7" w:rsidP="004C79D9">
            <w:pPr>
              <w:pStyle w:val="TableText"/>
              <w:rPr>
                <w:rFonts w:asciiTheme="minorHAnsi" w:hAnsiTheme="minorHAnsi" w:cstheme="minorHAnsi"/>
                <w:color w:val="0070C0"/>
                <w:sz w:val="20"/>
                <w:szCs w:val="20"/>
              </w:rPr>
            </w:pPr>
            <w:r w:rsidRPr="009876E7">
              <w:rPr>
                <w:rFonts w:asciiTheme="minorHAnsi" w:hAnsiTheme="minorHAnsi" w:cstheme="minorHAnsi"/>
                <w:color w:val="0070C0"/>
                <w:sz w:val="20"/>
                <w:szCs w:val="20"/>
              </w:rPr>
              <w:lastRenderedPageBreak/>
              <w:t xml:space="preserve">“No definition has been included of what constitutes a “secure recirculating aquaculture system”. NSW DPI considers that a specific definition is essential for adequate </w:t>
            </w:r>
            <w:r w:rsidRPr="009876E7">
              <w:rPr>
                <w:rFonts w:asciiTheme="minorHAnsi" w:hAnsiTheme="minorHAnsi" w:cstheme="minorHAnsi"/>
                <w:color w:val="0070C0"/>
                <w:sz w:val="20"/>
                <w:szCs w:val="20"/>
              </w:rPr>
              <w:lastRenderedPageBreak/>
              <w:t>mitigation of pest and disease risks, and that the definition of a “secure recirculating aquaculture system” needs to be limited to only “biosecure indoor recirculating tank-based aquaculture systems, with no discharge of untreated effluent water”, where biosecure is further defined to also include that no live products can leave the facility.”</w:t>
            </w:r>
          </w:p>
          <w:p w14:paraId="66DA4949" w14:textId="77777777" w:rsidR="00A423A7" w:rsidRPr="009876E7" w:rsidRDefault="00A423A7" w:rsidP="004C79D9">
            <w:pPr>
              <w:pStyle w:val="TableText"/>
              <w:rPr>
                <w:rFonts w:asciiTheme="minorHAnsi" w:hAnsiTheme="minorHAnsi" w:cstheme="minorHAnsi"/>
                <w:color w:val="0070C0"/>
                <w:sz w:val="20"/>
                <w:szCs w:val="20"/>
              </w:rPr>
            </w:pPr>
          </w:p>
          <w:p w14:paraId="5DA6CFB3" w14:textId="77777777" w:rsidR="00A423A7" w:rsidRPr="009876E7" w:rsidRDefault="00A423A7" w:rsidP="004C79D9">
            <w:pPr>
              <w:pStyle w:val="TableText"/>
              <w:rPr>
                <w:rFonts w:asciiTheme="minorHAnsi" w:hAnsiTheme="minorHAnsi" w:cstheme="minorHAnsi"/>
                <w:color w:val="0070C0"/>
                <w:sz w:val="20"/>
                <w:szCs w:val="20"/>
              </w:rPr>
            </w:pPr>
          </w:p>
          <w:p w14:paraId="0032480D" w14:textId="77777777" w:rsidR="00A423A7" w:rsidRPr="009876E7" w:rsidRDefault="00A423A7" w:rsidP="004C79D9">
            <w:pPr>
              <w:pStyle w:val="TableText"/>
              <w:rPr>
                <w:rFonts w:asciiTheme="minorHAnsi" w:hAnsiTheme="minorHAnsi" w:cstheme="minorHAnsi"/>
                <w:color w:val="0070C0"/>
                <w:sz w:val="20"/>
                <w:szCs w:val="20"/>
              </w:rPr>
            </w:pPr>
          </w:p>
          <w:p w14:paraId="1B066832" w14:textId="77777777" w:rsidR="00A423A7" w:rsidRPr="009876E7" w:rsidRDefault="00A423A7" w:rsidP="004C79D9">
            <w:pPr>
              <w:pStyle w:val="TableText"/>
              <w:rPr>
                <w:rFonts w:asciiTheme="minorHAnsi" w:hAnsiTheme="minorHAnsi" w:cstheme="minorHAnsi"/>
                <w:color w:val="0070C0"/>
                <w:sz w:val="20"/>
                <w:szCs w:val="20"/>
              </w:rPr>
            </w:pPr>
          </w:p>
          <w:p w14:paraId="7BC1B80C" w14:textId="77777777" w:rsidR="00A423A7" w:rsidRPr="009876E7" w:rsidRDefault="00A423A7" w:rsidP="004C79D9">
            <w:pPr>
              <w:pStyle w:val="TableText"/>
              <w:rPr>
                <w:rFonts w:asciiTheme="minorHAnsi" w:hAnsiTheme="minorHAnsi" w:cstheme="minorHAnsi"/>
                <w:color w:val="0070C0"/>
                <w:sz w:val="20"/>
                <w:szCs w:val="20"/>
              </w:rPr>
            </w:pPr>
          </w:p>
          <w:p w14:paraId="2594CAE7" w14:textId="5FD7FAE9" w:rsidR="004C79D9" w:rsidRPr="009876E7" w:rsidRDefault="004C79D9" w:rsidP="004C79D9">
            <w:pPr>
              <w:pStyle w:val="TableText"/>
              <w:rPr>
                <w:rFonts w:asciiTheme="minorHAnsi" w:hAnsiTheme="minorHAnsi" w:cstheme="minorHAnsi"/>
                <w:color w:val="0070C0"/>
                <w:sz w:val="20"/>
                <w:szCs w:val="20"/>
              </w:rPr>
            </w:pPr>
            <w:r w:rsidRPr="009876E7">
              <w:rPr>
                <w:rFonts w:asciiTheme="minorHAnsi" w:hAnsiTheme="minorHAnsi" w:cstheme="minorHAnsi"/>
                <w:color w:val="0070C0"/>
                <w:sz w:val="20"/>
                <w:szCs w:val="20"/>
              </w:rPr>
              <w:t>“</w:t>
            </w:r>
            <w:proofErr w:type="gramStart"/>
            <w:r w:rsidRPr="009876E7">
              <w:rPr>
                <w:rFonts w:asciiTheme="minorHAnsi" w:hAnsiTheme="minorHAnsi" w:cstheme="minorHAnsi"/>
                <w:color w:val="0070C0"/>
                <w:sz w:val="20"/>
                <w:szCs w:val="20"/>
              </w:rPr>
              <w:t>….the</w:t>
            </w:r>
            <w:proofErr w:type="gramEnd"/>
            <w:r w:rsidRPr="009876E7">
              <w:rPr>
                <w:rFonts w:asciiTheme="minorHAnsi" w:hAnsiTheme="minorHAnsi" w:cstheme="minorHAnsi"/>
                <w:color w:val="0070C0"/>
                <w:sz w:val="20"/>
                <w:szCs w:val="20"/>
              </w:rPr>
              <w:t xml:space="preserve"> only scenario supported by the EPBC Act is the importation of sturgeon to a secure RAS under permit, and 20.2.6(11) and 20.3.5.(12) indicate sturgeon must enter a “secure recirculating aquaculture system approved by the appropriate state or territory governments as per the import requirements under the </w:t>
            </w:r>
            <w:r w:rsidRPr="009876E7">
              <w:rPr>
                <w:rStyle w:val="Emphasis"/>
                <w:rFonts w:asciiTheme="minorHAnsi" w:hAnsiTheme="minorHAnsi" w:cstheme="minorHAnsi"/>
                <w:color w:val="0070C0"/>
                <w:sz w:val="20"/>
                <w:szCs w:val="20"/>
              </w:rPr>
              <w:t>Environment Protection and Biodiversity Conservation Act 1999</w:t>
            </w:r>
            <w:r w:rsidRPr="009876E7">
              <w:rPr>
                <w:rFonts w:asciiTheme="minorHAnsi" w:hAnsiTheme="minorHAnsi" w:cstheme="minorHAnsi"/>
                <w:color w:val="0070C0"/>
                <w:sz w:val="20"/>
                <w:szCs w:val="20"/>
              </w:rPr>
              <w:t>” once released from biosecurity control.</w:t>
            </w:r>
          </w:p>
          <w:p w14:paraId="5838BFFB" w14:textId="517D4E16" w:rsidR="004C79D9" w:rsidRPr="009876E7" w:rsidRDefault="004C79D9" w:rsidP="004C79D9">
            <w:pPr>
              <w:pStyle w:val="TableText"/>
              <w:rPr>
                <w:rFonts w:asciiTheme="minorHAnsi" w:hAnsiTheme="minorHAnsi" w:cstheme="minorHAnsi"/>
                <w:color w:val="0070C0"/>
                <w:sz w:val="20"/>
                <w:szCs w:val="20"/>
              </w:rPr>
            </w:pPr>
            <w:r w:rsidRPr="009876E7">
              <w:rPr>
                <w:rFonts w:asciiTheme="minorHAnsi" w:hAnsiTheme="minorHAnsi" w:cstheme="minorHAnsi"/>
                <w:color w:val="0070C0"/>
                <w:sz w:val="20"/>
                <w:szCs w:val="20"/>
              </w:rPr>
              <w:t>Minimum biosecurity standards for a RAS should be developed as part of the proposed risk mitigation measures….”</w:t>
            </w:r>
          </w:p>
        </w:tc>
        <w:tc>
          <w:tcPr>
            <w:tcW w:w="4394" w:type="dxa"/>
          </w:tcPr>
          <w:p w14:paraId="2239968A" w14:textId="478DD4E5" w:rsidR="004C79D9" w:rsidRPr="008801A3" w:rsidRDefault="001A70E0" w:rsidP="004C79D9">
            <w:pPr>
              <w:rPr>
                <w:rFonts w:asciiTheme="minorHAnsi" w:hAnsiTheme="minorHAnsi" w:cstheme="minorHAnsi"/>
                <w:color w:val="0070C0"/>
                <w:szCs w:val="20"/>
              </w:rPr>
            </w:pPr>
            <w:r w:rsidRPr="008801A3">
              <w:rPr>
                <w:rFonts w:asciiTheme="minorHAnsi" w:hAnsiTheme="minorHAnsi" w:cstheme="minorHAnsi"/>
                <w:color w:val="0070C0"/>
                <w:szCs w:val="20"/>
              </w:rPr>
              <w:lastRenderedPageBreak/>
              <w:t xml:space="preserve">Edits to </w:t>
            </w:r>
            <w:r w:rsidR="004C79D9" w:rsidRPr="008801A3">
              <w:rPr>
                <w:rFonts w:asciiTheme="minorHAnsi" w:hAnsiTheme="minorHAnsi" w:cstheme="minorHAnsi"/>
                <w:color w:val="0070C0"/>
                <w:szCs w:val="20"/>
              </w:rPr>
              <w:t>text</w:t>
            </w:r>
            <w:r w:rsidRPr="008801A3">
              <w:rPr>
                <w:rFonts w:asciiTheme="minorHAnsi" w:hAnsiTheme="minorHAnsi" w:cstheme="minorHAnsi"/>
                <w:color w:val="0070C0"/>
                <w:szCs w:val="20"/>
              </w:rPr>
              <w:t xml:space="preserve"> in Provisional Report</w:t>
            </w:r>
            <w:r w:rsidR="004C79D9" w:rsidRPr="008801A3">
              <w:rPr>
                <w:rFonts w:asciiTheme="minorHAnsi" w:hAnsiTheme="minorHAnsi" w:cstheme="minorHAnsi"/>
                <w:color w:val="0070C0"/>
                <w:szCs w:val="20"/>
              </w:rPr>
              <w:t>, page 271, point 11</w:t>
            </w:r>
            <w:r w:rsidR="00AF6E4C">
              <w:rPr>
                <w:rFonts w:asciiTheme="minorHAnsi" w:hAnsiTheme="minorHAnsi" w:cstheme="minorHAnsi"/>
                <w:color w:val="0070C0"/>
                <w:szCs w:val="20"/>
              </w:rPr>
              <w:t>:</w:t>
            </w:r>
            <w:r w:rsidR="004C79D9" w:rsidRPr="008801A3">
              <w:rPr>
                <w:rFonts w:asciiTheme="minorHAnsi" w:hAnsiTheme="minorHAnsi" w:cstheme="minorHAnsi"/>
                <w:color w:val="0070C0"/>
                <w:szCs w:val="20"/>
              </w:rPr>
              <w:t xml:space="preserve"> </w:t>
            </w:r>
          </w:p>
          <w:p w14:paraId="1650F8F0" w14:textId="77777777" w:rsidR="004C79D9" w:rsidRPr="008801A3" w:rsidRDefault="004C79D9" w:rsidP="004C79D9">
            <w:pPr>
              <w:rPr>
                <w:rFonts w:asciiTheme="minorHAnsi" w:hAnsiTheme="minorHAnsi" w:cstheme="minorHAnsi"/>
                <w:color w:val="0070C0"/>
                <w:szCs w:val="20"/>
              </w:rPr>
            </w:pPr>
            <w:r w:rsidRPr="008801A3">
              <w:rPr>
                <w:rFonts w:asciiTheme="minorHAnsi" w:hAnsiTheme="minorHAnsi" w:cstheme="minorHAnsi"/>
                <w:color w:val="0070C0"/>
                <w:szCs w:val="20"/>
              </w:rPr>
              <w:t xml:space="preserve">“The sturgeon must enter secure recirculating aquaculture system (RAS) approved by the </w:t>
            </w:r>
            <w:r w:rsidRPr="008801A3">
              <w:rPr>
                <w:rFonts w:asciiTheme="minorHAnsi" w:hAnsiTheme="minorHAnsi" w:cstheme="minorHAnsi"/>
                <w:color w:val="0070C0"/>
                <w:szCs w:val="20"/>
              </w:rPr>
              <w:lastRenderedPageBreak/>
              <w:t xml:space="preserve">appropriate state or territory governments as per the import requirements under the </w:t>
            </w:r>
            <w:r w:rsidRPr="008801A3">
              <w:rPr>
                <w:rFonts w:asciiTheme="minorHAnsi" w:hAnsiTheme="minorHAnsi" w:cstheme="minorHAnsi"/>
                <w:i/>
                <w:iCs/>
                <w:color w:val="0070C0"/>
                <w:szCs w:val="20"/>
              </w:rPr>
              <w:t>Environment Protection and Biodiversity Conservation Act 1999</w:t>
            </w:r>
            <w:r w:rsidRPr="008801A3">
              <w:rPr>
                <w:rFonts w:asciiTheme="minorHAnsi" w:hAnsiTheme="minorHAnsi" w:cstheme="minorHAnsi"/>
                <w:color w:val="0070C0"/>
                <w:szCs w:val="20"/>
              </w:rPr>
              <w:t>.</w:t>
            </w:r>
          </w:p>
          <w:p w14:paraId="639BB7C1" w14:textId="77777777" w:rsidR="004C79D9" w:rsidRPr="008801A3" w:rsidRDefault="004C79D9" w:rsidP="004C79D9">
            <w:pPr>
              <w:rPr>
                <w:rFonts w:asciiTheme="minorHAnsi" w:hAnsiTheme="minorHAnsi" w:cstheme="minorHAnsi"/>
                <w:color w:val="0070C0"/>
                <w:szCs w:val="20"/>
              </w:rPr>
            </w:pPr>
            <w:r w:rsidRPr="008801A3">
              <w:rPr>
                <w:rFonts w:asciiTheme="minorHAnsi" w:hAnsiTheme="minorHAnsi" w:cstheme="minorHAnsi"/>
                <w:color w:val="0070C0"/>
                <w:szCs w:val="20"/>
              </w:rPr>
              <w:t xml:space="preserve">The minimum biosecurity standards for the RAS will be determined by the </w:t>
            </w:r>
            <w:r w:rsidRPr="008801A3">
              <w:rPr>
                <w:rFonts w:asciiTheme="minorHAnsi" w:hAnsiTheme="minorHAnsi" w:cstheme="minorHAnsi"/>
                <w:color w:val="0070C0"/>
                <w:szCs w:val="20"/>
                <w:lang w:val="en-GB"/>
              </w:rPr>
              <w:t>Department of Climate Change, Energy, the Environment and Water (DCCEEW).</w:t>
            </w:r>
            <w:r w:rsidRPr="008801A3">
              <w:rPr>
                <w:rFonts w:asciiTheme="minorHAnsi" w:hAnsiTheme="minorHAnsi" w:cstheme="minorHAnsi"/>
                <w:color w:val="0070C0"/>
                <w:szCs w:val="20"/>
              </w:rPr>
              <w:t xml:space="preserve"> “</w:t>
            </w:r>
          </w:p>
          <w:p w14:paraId="6301EAE7" w14:textId="77777777" w:rsidR="004C79D9" w:rsidRPr="008801A3" w:rsidRDefault="004C79D9" w:rsidP="004C79D9">
            <w:pPr>
              <w:rPr>
                <w:rFonts w:asciiTheme="minorHAnsi" w:hAnsiTheme="minorHAnsi" w:cstheme="minorHAnsi"/>
                <w:color w:val="0070C0"/>
                <w:szCs w:val="20"/>
              </w:rPr>
            </w:pPr>
          </w:p>
          <w:p w14:paraId="265B75CF" w14:textId="4E30E175" w:rsidR="004C79D9" w:rsidRPr="008801A3" w:rsidRDefault="004C79D9" w:rsidP="004C79D9">
            <w:pPr>
              <w:rPr>
                <w:rFonts w:asciiTheme="minorHAnsi" w:hAnsiTheme="minorHAnsi" w:cstheme="minorHAnsi"/>
                <w:color w:val="0070C0"/>
                <w:szCs w:val="20"/>
              </w:rPr>
            </w:pPr>
            <w:r w:rsidRPr="008801A3">
              <w:rPr>
                <w:rFonts w:asciiTheme="minorHAnsi" w:hAnsiTheme="minorHAnsi" w:cstheme="minorHAnsi"/>
                <w:color w:val="0070C0"/>
                <w:szCs w:val="20"/>
              </w:rPr>
              <w:t xml:space="preserve">Note the departmental response incorrectly refers to this change as being on page 273.   </w:t>
            </w:r>
          </w:p>
        </w:tc>
        <w:tc>
          <w:tcPr>
            <w:tcW w:w="4111" w:type="dxa"/>
          </w:tcPr>
          <w:p w14:paraId="171BB6A1" w14:textId="23AE5254" w:rsidR="004C79D9" w:rsidRDefault="004C79D9" w:rsidP="004C79D9">
            <w:pPr>
              <w:rPr>
                <w:rFonts w:asciiTheme="minorHAnsi" w:hAnsiTheme="minorHAnsi" w:cstheme="minorHAnsi"/>
                <w:szCs w:val="20"/>
              </w:rPr>
            </w:pPr>
            <w:r w:rsidRPr="004C79D9">
              <w:rPr>
                <w:rFonts w:asciiTheme="minorHAnsi" w:hAnsiTheme="minorHAnsi" w:cstheme="minorHAnsi"/>
                <w:szCs w:val="20"/>
              </w:rPr>
              <w:lastRenderedPageBreak/>
              <w:t>There is uncertainty in relation to the minimum biosecurity standards for the RAS and why this is being set by DCCEEW</w:t>
            </w:r>
            <w:r>
              <w:rPr>
                <w:rFonts w:asciiTheme="minorHAnsi" w:hAnsiTheme="minorHAnsi" w:cstheme="minorHAnsi"/>
                <w:szCs w:val="20"/>
              </w:rPr>
              <w:t xml:space="preserve"> (</w:t>
            </w:r>
            <w:r w:rsidR="00914CE6">
              <w:rPr>
                <w:rFonts w:asciiTheme="minorHAnsi" w:hAnsiTheme="minorHAnsi" w:cstheme="minorHAnsi"/>
                <w:szCs w:val="20"/>
              </w:rPr>
              <w:t>e.g.,</w:t>
            </w:r>
            <w:r>
              <w:rPr>
                <w:rFonts w:asciiTheme="minorHAnsi" w:hAnsiTheme="minorHAnsi" w:cstheme="minorHAnsi"/>
                <w:szCs w:val="20"/>
              </w:rPr>
              <w:t xml:space="preserve"> page 263).</w:t>
            </w:r>
          </w:p>
          <w:p w14:paraId="55320950" w14:textId="1858E14C" w:rsidR="004C79D9" w:rsidRPr="004C79D9" w:rsidRDefault="004C79D9" w:rsidP="004C79D9">
            <w:pPr>
              <w:rPr>
                <w:rFonts w:asciiTheme="minorHAnsi" w:hAnsiTheme="minorHAnsi" w:cstheme="minorHAnsi"/>
                <w:szCs w:val="20"/>
              </w:rPr>
            </w:pPr>
            <w:r w:rsidRPr="004C79D9">
              <w:rPr>
                <w:rFonts w:asciiTheme="minorHAnsi" w:hAnsiTheme="minorHAnsi" w:cstheme="minorHAnsi"/>
                <w:color w:val="000000"/>
                <w:szCs w:val="20"/>
              </w:rPr>
              <w:lastRenderedPageBreak/>
              <w:t>This</w:t>
            </w:r>
            <w:r>
              <w:rPr>
                <w:rFonts w:asciiTheme="minorHAnsi" w:hAnsiTheme="minorHAnsi" w:cstheme="minorHAnsi"/>
                <w:color w:val="000000"/>
                <w:szCs w:val="20"/>
              </w:rPr>
              <w:t xml:space="preserve"> </w:t>
            </w:r>
            <w:r w:rsidRPr="004C79D9">
              <w:rPr>
                <w:rFonts w:asciiTheme="minorHAnsi" w:hAnsiTheme="minorHAnsi" w:cstheme="minorHAnsi"/>
                <w:color w:val="000000"/>
                <w:szCs w:val="20"/>
              </w:rPr>
              <w:t xml:space="preserve">conveys the impression that DCCEEW is the primary decision-maker for biosecurity whereas, in </w:t>
            </w:r>
            <w:r>
              <w:rPr>
                <w:rFonts w:asciiTheme="minorHAnsi" w:hAnsiTheme="minorHAnsi" w:cstheme="minorHAnsi"/>
                <w:color w:val="000000"/>
                <w:szCs w:val="20"/>
              </w:rPr>
              <w:t xml:space="preserve">our </w:t>
            </w:r>
            <w:r w:rsidRPr="004C79D9">
              <w:rPr>
                <w:rFonts w:asciiTheme="minorHAnsi" w:hAnsiTheme="minorHAnsi" w:cstheme="minorHAnsi"/>
                <w:color w:val="000000"/>
                <w:szCs w:val="20"/>
              </w:rPr>
              <w:t xml:space="preserve">understanding, that responsibility rests with the </w:t>
            </w:r>
            <w:r>
              <w:rPr>
                <w:rFonts w:asciiTheme="minorHAnsi" w:hAnsiTheme="minorHAnsi" w:cstheme="minorHAnsi"/>
                <w:color w:val="000000"/>
                <w:szCs w:val="20"/>
              </w:rPr>
              <w:t xml:space="preserve">DAFF </w:t>
            </w:r>
            <w:r w:rsidRPr="004C79D9">
              <w:rPr>
                <w:rFonts w:asciiTheme="minorHAnsi" w:hAnsiTheme="minorHAnsi" w:cstheme="minorHAnsi"/>
                <w:color w:val="000000"/>
                <w:szCs w:val="20"/>
              </w:rPr>
              <w:t xml:space="preserve">and its administration of the Biosecurity Act.  </w:t>
            </w:r>
            <w:r>
              <w:rPr>
                <w:rFonts w:asciiTheme="minorHAnsi" w:hAnsiTheme="minorHAnsi" w:cstheme="minorHAnsi"/>
                <w:color w:val="000000"/>
                <w:szCs w:val="20"/>
              </w:rPr>
              <w:t xml:space="preserve">If </w:t>
            </w:r>
            <w:r w:rsidRPr="004C79D9">
              <w:rPr>
                <w:rFonts w:asciiTheme="minorHAnsi" w:hAnsiTheme="minorHAnsi" w:cstheme="minorHAnsi"/>
                <w:color w:val="000000"/>
                <w:szCs w:val="20"/>
              </w:rPr>
              <w:t>the standards approved by DCCEEW to manage the pest risks associated with an RAS are sufficient to manage the risk of diseases escaping from these systems</w:t>
            </w:r>
            <w:r>
              <w:rPr>
                <w:rFonts w:asciiTheme="minorHAnsi" w:hAnsiTheme="minorHAnsi" w:cstheme="minorHAnsi"/>
                <w:color w:val="000000"/>
                <w:szCs w:val="20"/>
              </w:rPr>
              <w:t>, this should be made</w:t>
            </w:r>
            <w:r w:rsidRPr="004C79D9">
              <w:rPr>
                <w:rFonts w:asciiTheme="minorHAnsi" w:hAnsiTheme="minorHAnsi" w:cstheme="minorHAnsi"/>
                <w:color w:val="000000"/>
                <w:szCs w:val="20"/>
              </w:rPr>
              <w:t xml:space="preserve"> clearer in the Provisional report.</w:t>
            </w:r>
          </w:p>
          <w:p w14:paraId="30485575" w14:textId="2FF8A8E9" w:rsidR="004C79D9" w:rsidRPr="004C79D9" w:rsidRDefault="004C79D9" w:rsidP="004C79D9">
            <w:pPr>
              <w:rPr>
                <w:rFonts w:asciiTheme="minorHAnsi" w:hAnsiTheme="minorHAnsi" w:cstheme="minorHAnsi"/>
                <w:szCs w:val="20"/>
              </w:rPr>
            </w:pPr>
            <w:r>
              <w:rPr>
                <w:rFonts w:asciiTheme="minorHAnsi" w:hAnsiTheme="minorHAnsi" w:cstheme="minorHAnsi"/>
                <w:szCs w:val="20"/>
              </w:rPr>
              <w:t>In addition, it is our understanding that f</w:t>
            </w:r>
            <w:r w:rsidRPr="004C79D9">
              <w:rPr>
                <w:rFonts w:asciiTheme="minorHAnsi" w:hAnsiTheme="minorHAnsi" w:cstheme="minorHAnsi"/>
                <w:szCs w:val="20"/>
              </w:rPr>
              <w:t>ish are a prescribed animal for aquaculture under Fisheries and Animal Health legislation across Australian jurisdictions and therefore the minimum biosecurity standards are set by the Chief Veterinary Officer (CVO) at the Commonwealth level and the CVOs at each State level under their legislation.</w:t>
            </w:r>
          </w:p>
          <w:p w14:paraId="620338C7" w14:textId="77777777" w:rsidR="004C79D9" w:rsidRPr="004C79D9" w:rsidRDefault="004C79D9" w:rsidP="004C79D9">
            <w:pPr>
              <w:rPr>
                <w:rFonts w:asciiTheme="minorHAnsi" w:hAnsiTheme="minorHAnsi" w:cstheme="minorHAnsi"/>
                <w:szCs w:val="20"/>
              </w:rPr>
            </w:pPr>
            <w:r w:rsidRPr="004C79D9">
              <w:rPr>
                <w:rFonts w:asciiTheme="minorHAnsi" w:hAnsiTheme="minorHAnsi" w:cstheme="minorHAnsi"/>
                <w:szCs w:val="20"/>
              </w:rPr>
              <w:t>DCCEEW sets containment requirements for animal in zoos and wildlife parks, but the CVO sets the parameters for the health status of all exotic animals imported into Australia.</w:t>
            </w:r>
          </w:p>
          <w:p w14:paraId="30A60AE0" w14:textId="77777777" w:rsidR="004C79D9" w:rsidRPr="004C79D9" w:rsidRDefault="004C79D9" w:rsidP="004C79D9">
            <w:pPr>
              <w:rPr>
                <w:rFonts w:asciiTheme="minorHAnsi" w:hAnsiTheme="minorHAnsi" w:cstheme="minorHAnsi"/>
                <w:szCs w:val="20"/>
              </w:rPr>
            </w:pPr>
            <w:r w:rsidRPr="004C79D9">
              <w:rPr>
                <w:rFonts w:asciiTheme="minorHAnsi" w:hAnsiTheme="minorHAnsi" w:cstheme="minorHAnsi"/>
                <w:szCs w:val="20"/>
              </w:rPr>
              <w:t>The current proposal lacks legislative and policy consistency.</w:t>
            </w:r>
          </w:p>
          <w:p w14:paraId="6CFC1262" w14:textId="77777777" w:rsidR="004C79D9" w:rsidRPr="004C79D9" w:rsidRDefault="004C79D9" w:rsidP="004C79D9">
            <w:pPr>
              <w:rPr>
                <w:rFonts w:asciiTheme="minorHAnsi" w:hAnsiTheme="minorHAnsi" w:cstheme="minorHAnsi"/>
                <w:szCs w:val="20"/>
              </w:rPr>
            </w:pPr>
            <w:r w:rsidRPr="004C79D9">
              <w:rPr>
                <w:rFonts w:asciiTheme="minorHAnsi" w:hAnsiTheme="minorHAnsi" w:cstheme="minorHAnsi"/>
                <w:szCs w:val="20"/>
              </w:rPr>
              <w:t>Suggested approach:</w:t>
            </w:r>
          </w:p>
          <w:p w14:paraId="1704CE0C" w14:textId="77777777" w:rsidR="004C79D9" w:rsidRDefault="004C79D9" w:rsidP="004C79D9">
            <w:pPr>
              <w:pStyle w:val="TableText"/>
              <w:rPr>
                <w:rFonts w:asciiTheme="minorHAnsi" w:hAnsiTheme="minorHAnsi" w:cstheme="minorHAnsi"/>
                <w:sz w:val="20"/>
                <w:szCs w:val="20"/>
              </w:rPr>
            </w:pPr>
            <w:r w:rsidRPr="004C79D9">
              <w:rPr>
                <w:rFonts w:asciiTheme="minorHAnsi" w:hAnsiTheme="minorHAnsi" w:cstheme="minorHAnsi"/>
                <w:sz w:val="20"/>
                <w:szCs w:val="20"/>
              </w:rPr>
              <w:t>“</w:t>
            </w:r>
            <w:r w:rsidRPr="004C79D9">
              <w:rPr>
                <w:rFonts w:asciiTheme="minorHAnsi" w:hAnsiTheme="minorHAnsi" w:cstheme="minorHAnsi"/>
                <w:i/>
                <w:iCs/>
                <w:sz w:val="20"/>
                <w:szCs w:val="20"/>
              </w:rPr>
              <w:t>The minimum biosecurity standards for the RAS will be determined under State and Territory legislation in consultation with DAFF and DCCEEW</w:t>
            </w:r>
            <w:r w:rsidRPr="004C79D9">
              <w:rPr>
                <w:rFonts w:asciiTheme="minorHAnsi" w:hAnsiTheme="minorHAnsi" w:cstheme="minorHAnsi"/>
                <w:sz w:val="20"/>
                <w:szCs w:val="20"/>
              </w:rPr>
              <w:t>”</w:t>
            </w:r>
          </w:p>
          <w:p w14:paraId="6A2921C1" w14:textId="77777777" w:rsidR="004C79D9" w:rsidRDefault="004C79D9" w:rsidP="004C79D9">
            <w:pPr>
              <w:pStyle w:val="TableText"/>
              <w:rPr>
                <w:rFonts w:asciiTheme="minorHAnsi" w:hAnsiTheme="minorHAnsi" w:cstheme="minorHAnsi"/>
                <w:sz w:val="20"/>
                <w:szCs w:val="20"/>
              </w:rPr>
            </w:pPr>
          </w:p>
          <w:p w14:paraId="2117820E" w14:textId="6844ABC0" w:rsidR="001A70E0" w:rsidRDefault="001A70E0" w:rsidP="004C79D9">
            <w:pPr>
              <w:pStyle w:val="TableText"/>
              <w:rPr>
                <w:rFonts w:asciiTheme="minorHAnsi" w:hAnsiTheme="minorHAnsi" w:cstheme="minorHAnsi"/>
                <w:sz w:val="20"/>
                <w:szCs w:val="20"/>
              </w:rPr>
            </w:pPr>
            <w:r>
              <w:rPr>
                <w:rFonts w:asciiTheme="minorHAnsi" w:hAnsiTheme="minorHAnsi" w:cstheme="minorHAnsi"/>
                <w:sz w:val="20"/>
                <w:szCs w:val="20"/>
              </w:rPr>
              <w:lastRenderedPageBreak/>
              <w:t xml:space="preserve">Further, some text from the </w:t>
            </w:r>
            <w:r w:rsidR="00BE5034">
              <w:rPr>
                <w:rFonts w:asciiTheme="minorHAnsi" w:hAnsiTheme="minorHAnsi" w:cstheme="minorHAnsi"/>
                <w:sz w:val="20"/>
                <w:szCs w:val="20"/>
              </w:rPr>
              <w:t>d</w:t>
            </w:r>
            <w:r>
              <w:rPr>
                <w:rFonts w:asciiTheme="minorHAnsi" w:hAnsiTheme="minorHAnsi" w:cstheme="minorHAnsi"/>
                <w:sz w:val="20"/>
                <w:szCs w:val="20"/>
              </w:rPr>
              <w:t xml:space="preserve">epartmental </w:t>
            </w:r>
            <w:r w:rsidR="00BE5034">
              <w:rPr>
                <w:rFonts w:asciiTheme="minorHAnsi" w:hAnsiTheme="minorHAnsi" w:cstheme="minorHAnsi"/>
                <w:sz w:val="20"/>
                <w:szCs w:val="20"/>
              </w:rPr>
              <w:t>r</w:t>
            </w:r>
            <w:r>
              <w:rPr>
                <w:rFonts w:asciiTheme="minorHAnsi" w:hAnsiTheme="minorHAnsi" w:cstheme="minorHAnsi"/>
                <w:sz w:val="20"/>
                <w:szCs w:val="20"/>
              </w:rPr>
              <w:t xml:space="preserve">esponse could be included into the text of the </w:t>
            </w:r>
            <w:r w:rsidR="00BE5034">
              <w:rPr>
                <w:rFonts w:asciiTheme="minorHAnsi" w:hAnsiTheme="minorHAnsi" w:cstheme="minorHAnsi"/>
                <w:sz w:val="20"/>
                <w:szCs w:val="20"/>
              </w:rPr>
              <w:t>p</w:t>
            </w:r>
            <w:r>
              <w:rPr>
                <w:rFonts w:asciiTheme="minorHAnsi" w:hAnsiTheme="minorHAnsi" w:cstheme="minorHAnsi"/>
                <w:sz w:val="20"/>
                <w:szCs w:val="20"/>
              </w:rPr>
              <w:t xml:space="preserve">rovisional </w:t>
            </w:r>
            <w:r w:rsidR="00BE5034">
              <w:rPr>
                <w:rFonts w:asciiTheme="minorHAnsi" w:hAnsiTheme="minorHAnsi" w:cstheme="minorHAnsi"/>
                <w:sz w:val="20"/>
                <w:szCs w:val="20"/>
              </w:rPr>
              <w:t>r</w:t>
            </w:r>
            <w:r>
              <w:rPr>
                <w:rFonts w:asciiTheme="minorHAnsi" w:hAnsiTheme="minorHAnsi" w:cstheme="minorHAnsi"/>
                <w:sz w:val="20"/>
                <w:szCs w:val="20"/>
              </w:rPr>
              <w:t xml:space="preserve">eport.  </w:t>
            </w:r>
          </w:p>
          <w:p w14:paraId="57249CFA" w14:textId="271CEEDE" w:rsidR="004C79D9" w:rsidRPr="004C79D9" w:rsidRDefault="004C79D9" w:rsidP="004C79D9">
            <w:pPr>
              <w:pStyle w:val="TableText"/>
              <w:rPr>
                <w:rFonts w:asciiTheme="minorHAnsi" w:hAnsiTheme="minorHAnsi" w:cstheme="minorHAnsi"/>
                <w:sz w:val="20"/>
                <w:szCs w:val="20"/>
              </w:rPr>
            </w:pPr>
          </w:p>
        </w:tc>
      </w:tr>
    </w:tbl>
    <w:p w14:paraId="43402EF5" w14:textId="77777777" w:rsidR="00D60428" w:rsidRDefault="00D60428"/>
    <w:p w14:paraId="602D1BB0" w14:textId="77777777" w:rsidR="00A423A7" w:rsidRDefault="00A423A7"/>
    <w:p w14:paraId="5B927F12" w14:textId="77777777" w:rsidR="00A423A7" w:rsidRDefault="00A423A7">
      <w:pPr>
        <w:rPr>
          <w:rFonts w:cstheme="minorHAnsi"/>
        </w:rPr>
      </w:pPr>
    </w:p>
    <w:p w14:paraId="111D8233" w14:textId="77777777" w:rsidR="00A423A7" w:rsidRPr="00A423A7" w:rsidRDefault="00A423A7">
      <w:pPr>
        <w:rPr>
          <w:rFonts w:cstheme="minorHAnsi"/>
        </w:rPr>
      </w:pPr>
    </w:p>
    <w:sectPr w:rsidR="00A423A7" w:rsidRPr="00A423A7" w:rsidSect="00D604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946A" w14:textId="77777777" w:rsidR="004F165B" w:rsidRDefault="004F165B" w:rsidP="006B7F4B">
      <w:pPr>
        <w:spacing w:before="0"/>
      </w:pPr>
      <w:r>
        <w:separator/>
      </w:r>
    </w:p>
  </w:endnote>
  <w:endnote w:type="continuationSeparator" w:id="0">
    <w:p w14:paraId="7C39AC07" w14:textId="77777777" w:rsidR="004F165B" w:rsidRDefault="004F165B" w:rsidP="006B7F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3">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767372"/>
      <w:docPartObj>
        <w:docPartGallery w:val="Page Numbers (Bottom of Page)"/>
        <w:docPartUnique/>
      </w:docPartObj>
    </w:sdtPr>
    <w:sdtEndPr>
      <w:rPr>
        <w:rStyle w:val="PageNumber"/>
      </w:rPr>
    </w:sdtEndPr>
    <w:sdtContent>
      <w:p w14:paraId="3D649840" w14:textId="2464E93B" w:rsidR="006B7F4B" w:rsidRDefault="006B7F4B" w:rsidP="000A0C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EE6001" w14:textId="77777777" w:rsidR="006B7F4B" w:rsidRDefault="006B7F4B" w:rsidP="006B7F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7535273"/>
      <w:docPartObj>
        <w:docPartGallery w:val="Page Numbers (Bottom of Page)"/>
        <w:docPartUnique/>
      </w:docPartObj>
    </w:sdtPr>
    <w:sdtEndPr>
      <w:rPr>
        <w:rStyle w:val="PageNumber"/>
      </w:rPr>
    </w:sdtEndPr>
    <w:sdtContent>
      <w:p w14:paraId="2ED62099" w14:textId="677F51A1" w:rsidR="006B7F4B" w:rsidRDefault="006B7F4B" w:rsidP="000A0C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10C0B7" w14:textId="00567674" w:rsidR="006B7F4B" w:rsidRDefault="006B7F4B" w:rsidP="006B7F4B">
    <w:pPr>
      <w:pStyle w:val="Footer"/>
      <w:ind w:right="360"/>
    </w:pPr>
    <w:r>
      <w:t>Sturgeon BIRA Report/Response of Scientific Advisory Group</w:t>
    </w:r>
  </w:p>
  <w:p w14:paraId="1E19709C" w14:textId="77777777" w:rsidR="006B7F4B" w:rsidRDefault="006B7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0AFF" w14:textId="77777777" w:rsidR="001C76B8" w:rsidRDefault="001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8973" w14:textId="77777777" w:rsidR="004F165B" w:rsidRDefault="004F165B" w:rsidP="006B7F4B">
      <w:pPr>
        <w:spacing w:before="0"/>
      </w:pPr>
      <w:r>
        <w:separator/>
      </w:r>
    </w:p>
  </w:footnote>
  <w:footnote w:type="continuationSeparator" w:id="0">
    <w:p w14:paraId="4CC7C5E0" w14:textId="77777777" w:rsidR="004F165B" w:rsidRDefault="004F165B" w:rsidP="006B7F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3EC0" w14:textId="37A833DD" w:rsidR="006B7F4B" w:rsidRDefault="006B7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3699" w14:textId="4ADA7588" w:rsidR="006B7F4B" w:rsidRDefault="006B7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AD30" w14:textId="728D7401" w:rsidR="006B7F4B" w:rsidRDefault="006B7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FAF"/>
    <w:multiLevelType w:val="hybridMultilevel"/>
    <w:tmpl w:val="470883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D3C05"/>
    <w:multiLevelType w:val="hybridMultilevel"/>
    <w:tmpl w:val="7BE6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5619B"/>
    <w:multiLevelType w:val="hybridMultilevel"/>
    <w:tmpl w:val="74705FF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17BC4640"/>
    <w:multiLevelType w:val="hybridMultilevel"/>
    <w:tmpl w:val="6D8855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744868"/>
    <w:multiLevelType w:val="hybridMultilevel"/>
    <w:tmpl w:val="5EBE1BCC"/>
    <w:lvl w:ilvl="0" w:tplc="A596FD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B17ED"/>
    <w:multiLevelType w:val="hybridMultilevel"/>
    <w:tmpl w:val="392E0E7C"/>
    <w:lvl w:ilvl="0" w:tplc="C6727C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586F4B"/>
    <w:multiLevelType w:val="hybridMultilevel"/>
    <w:tmpl w:val="A23C4CA6"/>
    <w:lvl w:ilvl="0" w:tplc="1E5E46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15163C"/>
    <w:multiLevelType w:val="hybridMultilevel"/>
    <w:tmpl w:val="EDA4406A"/>
    <w:lvl w:ilvl="0" w:tplc="1E5E46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9C1183"/>
    <w:multiLevelType w:val="hybridMultilevel"/>
    <w:tmpl w:val="BA06E7B0"/>
    <w:lvl w:ilvl="0" w:tplc="1E5E4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A0296"/>
    <w:multiLevelType w:val="hybridMultilevel"/>
    <w:tmpl w:val="5792DA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D279C7"/>
    <w:multiLevelType w:val="hybridMultilevel"/>
    <w:tmpl w:val="74705FF8"/>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 w15:restartNumberingAfterBreak="0">
    <w:nsid w:val="5B8F3B04"/>
    <w:multiLevelType w:val="multilevel"/>
    <w:tmpl w:val="D24C5C42"/>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5301D3E"/>
    <w:multiLevelType w:val="hybridMultilevel"/>
    <w:tmpl w:val="212C03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FD1EE2"/>
    <w:multiLevelType w:val="hybridMultilevel"/>
    <w:tmpl w:val="ED7EBADA"/>
    <w:lvl w:ilvl="0" w:tplc="1E5E46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3E5A26"/>
    <w:multiLevelType w:val="hybridMultilevel"/>
    <w:tmpl w:val="FF2E3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215797">
    <w:abstractNumId w:val="11"/>
  </w:num>
  <w:num w:numId="2" w16cid:durableId="840317361">
    <w:abstractNumId w:val="2"/>
  </w:num>
  <w:num w:numId="3" w16cid:durableId="1871335158">
    <w:abstractNumId w:val="14"/>
  </w:num>
  <w:num w:numId="4" w16cid:durableId="1276866394">
    <w:abstractNumId w:val="9"/>
  </w:num>
  <w:num w:numId="5" w16cid:durableId="53085953">
    <w:abstractNumId w:val="12"/>
  </w:num>
  <w:num w:numId="6" w16cid:durableId="1150556118">
    <w:abstractNumId w:val="3"/>
  </w:num>
  <w:num w:numId="7" w16cid:durableId="1520315230">
    <w:abstractNumId w:val="5"/>
  </w:num>
  <w:num w:numId="8" w16cid:durableId="1704404959">
    <w:abstractNumId w:val="4"/>
  </w:num>
  <w:num w:numId="9" w16cid:durableId="486676724">
    <w:abstractNumId w:val="0"/>
  </w:num>
  <w:num w:numId="10" w16cid:durableId="1571424854">
    <w:abstractNumId w:val="7"/>
  </w:num>
  <w:num w:numId="11" w16cid:durableId="2052269617">
    <w:abstractNumId w:val="8"/>
  </w:num>
  <w:num w:numId="12" w16cid:durableId="1195384210">
    <w:abstractNumId w:val="1"/>
  </w:num>
  <w:num w:numId="13" w16cid:durableId="1885368877">
    <w:abstractNumId w:val="13"/>
  </w:num>
  <w:num w:numId="14" w16cid:durableId="44960582">
    <w:abstractNumId w:val="6"/>
  </w:num>
  <w:num w:numId="15" w16cid:durableId="684983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28"/>
    <w:rsid w:val="00045E8A"/>
    <w:rsid w:val="00091013"/>
    <w:rsid w:val="000F3753"/>
    <w:rsid w:val="00124630"/>
    <w:rsid w:val="001A70E0"/>
    <w:rsid w:val="001C76B8"/>
    <w:rsid w:val="00225D59"/>
    <w:rsid w:val="00280B39"/>
    <w:rsid w:val="00285F99"/>
    <w:rsid w:val="002B58A9"/>
    <w:rsid w:val="002B62C2"/>
    <w:rsid w:val="002E40E9"/>
    <w:rsid w:val="004C79D9"/>
    <w:rsid w:val="004F165B"/>
    <w:rsid w:val="005102C1"/>
    <w:rsid w:val="005860DE"/>
    <w:rsid w:val="005A4D01"/>
    <w:rsid w:val="00600B9B"/>
    <w:rsid w:val="0064429F"/>
    <w:rsid w:val="00673012"/>
    <w:rsid w:val="006B7F4B"/>
    <w:rsid w:val="006C6BE5"/>
    <w:rsid w:val="006F596B"/>
    <w:rsid w:val="00703FB3"/>
    <w:rsid w:val="00717672"/>
    <w:rsid w:val="00717ED5"/>
    <w:rsid w:val="00734946"/>
    <w:rsid w:val="007A6C34"/>
    <w:rsid w:val="00826380"/>
    <w:rsid w:val="00854F8F"/>
    <w:rsid w:val="008801A3"/>
    <w:rsid w:val="00914CE6"/>
    <w:rsid w:val="00924984"/>
    <w:rsid w:val="009876E7"/>
    <w:rsid w:val="009C7D95"/>
    <w:rsid w:val="009E25AA"/>
    <w:rsid w:val="00A05F9E"/>
    <w:rsid w:val="00A423A7"/>
    <w:rsid w:val="00A623EF"/>
    <w:rsid w:val="00A75399"/>
    <w:rsid w:val="00A8417A"/>
    <w:rsid w:val="00AD0B03"/>
    <w:rsid w:val="00AF6E4C"/>
    <w:rsid w:val="00B15031"/>
    <w:rsid w:val="00BE5034"/>
    <w:rsid w:val="00C27A93"/>
    <w:rsid w:val="00CE2FD5"/>
    <w:rsid w:val="00CF17AB"/>
    <w:rsid w:val="00D021DE"/>
    <w:rsid w:val="00D2316F"/>
    <w:rsid w:val="00D60428"/>
    <w:rsid w:val="00DB0F56"/>
    <w:rsid w:val="00E81A0F"/>
    <w:rsid w:val="00F53DB3"/>
    <w:rsid w:val="00F955DA"/>
    <w:rsid w:val="00FD0202"/>
    <w:rsid w:val="00FE4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6EDC2"/>
  <w15:chartTrackingRefBased/>
  <w15:docId w15:val="{A270D2ED-C2E6-E444-8EC1-D581622F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0F"/>
    <w:pPr>
      <w:spacing w:before="120"/>
    </w:pPr>
    <w:rPr>
      <w:rFonts w:eastAsia="Calibri" w:cs="Times New Roman"/>
      <w:kern w:val="0"/>
      <w:szCs w:val="22"/>
      <w14:ligatures w14:val="none"/>
    </w:rPr>
  </w:style>
  <w:style w:type="paragraph" w:styleId="Heading1">
    <w:name w:val="heading 1"/>
    <w:basedOn w:val="Normal"/>
    <w:next w:val="Normal"/>
    <w:link w:val="Heading1Char"/>
    <w:uiPriority w:val="9"/>
    <w:qFormat/>
    <w:rsid w:val="006B7F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0B03"/>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13"/>
    <w:qFormat/>
    <w:rsid w:val="00D60428"/>
    <w:pPr>
      <w:spacing w:before="60" w:after="60"/>
    </w:pPr>
    <w:rPr>
      <w:sz w:val="18"/>
    </w:rPr>
  </w:style>
  <w:style w:type="paragraph" w:customStyle="1" w:styleId="TableHeading">
    <w:name w:val="Table Heading"/>
    <w:basedOn w:val="TableText"/>
    <w:uiPriority w:val="14"/>
    <w:qFormat/>
    <w:rsid w:val="00D60428"/>
    <w:pPr>
      <w:keepNext/>
    </w:pPr>
    <w:rPr>
      <w:b/>
    </w:rPr>
  </w:style>
  <w:style w:type="table" w:styleId="TableGrid">
    <w:name w:val="Table Grid"/>
    <w:basedOn w:val="TableNormal"/>
    <w:uiPriority w:val="39"/>
    <w:rsid w:val="00D60428"/>
    <w:rPr>
      <w:rFonts w:ascii="Cambria" w:eastAsia="Calibri" w:hAnsi="Cambria"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0B03"/>
    <w:rPr>
      <w:rFonts w:asciiTheme="majorHAnsi" w:eastAsiaTheme="majorEastAsia" w:hAnsiTheme="majorHAnsi" w:cstheme="majorBidi"/>
      <w:b/>
      <w:color w:val="2F5496" w:themeColor="accent1" w:themeShade="BF"/>
      <w:kern w:val="0"/>
      <w:sz w:val="26"/>
      <w:szCs w:val="26"/>
      <w14:ligatures w14:val="none"/>
    </w:rPr>
  </w:style>
  <w:style w:type="character" w:styleId="Emphasis">
    <w:name w:val="Emphasis"/>
    <w:basedOn w:val="DefaultParagraphFont"/>
    <w:uiPriority w:val="99"/>
    <w:qFormat/>
    <w:rsid w:val="00D60428"/>
    <w:rPr>
      <w:i/>
      <w:iCs/>
    </w:rPr>
  </w:style>
  <w:style w:type="paragraph" w:styleId="ListNumber">
    <w:name w:val="List Number"/>
    <w:basedOn w:val="Normal"/>
    <w:uiPriority w:val="9"/>
    <w:qFormat/>
    <w:rsid w:val="00A75399"/>
    <w:pPr>
      <w:numPr>
        <w:numId w:val="1"/>
      </w:numPr>
      <w:tabs>
        <w:tab w:val="left" w:pos="142"/>
      </w:tabs>
      <w:spacing w:after="120" w:line="276" w:lineRule="auto"/>
    </w:pPr>
    <w:rPr>
      <w:rFonts w:eastAsiaTheme="minorHAnsi" w:cstheme="minorBidi"/>
    </w:rPr>
  </w:style>
  <w:style w:type="paragraph" w:styleId="ListNumber2">
    <w:name w:val="List Number 2"/>
    <w:uiPriority w:val="10"/>
    <w:qFormat/>
    <w:rsid w:val="00A75399"/>
    <w:pPr>
      <w:numPr>
        <w:ilvl w:val="1"/>
        <w:numId w:val="1"/>
      </w:numPr>
      <w:tabs>
        <w:tab w:val="left" w:pos="567"/>
      </w:tabs>
      <w:spacing w:before="120" w:after="120" w:line="264" w:lineRule="auto"/>
    </w:pPr>
    <w:rPr>
      <w:rFonts w:eastAsia="Times New Roman" w:cs="Times New Roman"/>
      <w:kern w:val="0"/>
      <w:sz w:val="22"/>
      <w14:ligatures w14:val="none"/>
    </w:rPr>
  </w:style>
  <w:style w:type="paragraph" w:styleId="ListNumber3">
    <w:name w:val="List Number 3"/>
    <w:uiPriority w:val="11"/>
    <w:qFormat/>
    <w:rsid w:val="00A75399"/>
    <w:pPr>
      <w:numPr>
        <w:ilvl w:val="2"/>
        <w:numId w:val="1"/>
      </w:numPr>
      <w:spacing w:before="120" w:after="120" w:line="264" w:lineRule="auto"/>
    </w:pPr>
    <w:rPr>
      <w:rFonts w:eastAsia="Times New Roman" w:cs="Times New Roman"/>
      <w:kern w:val="0"/>
      <w:sz w:val="22"/>
      <w14:ligatures w14:val="none"/>
    </w:rPr>
  </w:style>
  <w:style w:type="numbering" w:customStyle="1" w:styleId="Numberlist">
    <w:name w:val="Number list"/>
    <w:uiPriority w:val="99"/>
    <w:rsid w:val="00A75399"/>
    <w:pPr>
      <w:numPr>
        <w:numId w:val="1"/>
      </w:numPr>
    </w:pPr>
  </w:style>
  <w:style w:type="paragraph" w:styleId="ListParagraph">
    <w:name w:val="List Paragraph"/>
    <w:basedOn w:val="Normal"/>
    <w:uiPriority w:val="34"/>
    <w:qFormat/>
    <w:rsid w:val="00A423A7"/>
    <w:pPr>
      <w:ind w:left="720"/>
      <w:contextualSpacing/>
    </w:pPr>
  </w:style>
  <w:style w:type="character" w:customStyle="1" w:styleId="apple-converted-space">
    <w:name w:val="apple-converted-space"/>
    <w:basedOn w:val="DefaultParagraphFont"/>
    <w:rsid w:val="001A70E0"/>
  </w:style>
  <w:style w:type="paragraph" w:styleId="Header">
    <w:name w:val="header"/>
    <w:basedOn w:val="Normal"/>
    <w:link w:val="HeaderChar"/>
    <w:uiPriority w:val="99"/>
    <w:unhideWhenUsed/>
    <w:rsid w:val="006B7F4B"/>
    <w:pPr>
      <w:tabs>
        <w:tab w:val="center" w:pos="4513"/>
        <w:tab w:val="right" w:pos="9026"/>
      </w:tabs>
      <w:spacing w:before="0"/>
    </w:pPr>
  </w:style>
  <w:style w:type="character" w:customStyle="1" w:styleId="HeaderChar">
    <w:name w:val="Header Char"/>
    <w:basedOn w:val="DefaultParagraphFont"/>
    <w:link w:val="Header"/>
    <w:uiPriority w:val="99"/>
    <w:rsid w:val="006B7F4B"/>
    <w:rPr>
      <w:rFonts w:ascii="Cambria" w:eastAsia="Calibri" w:hAnsi="Cambria" w:cs="Times New Roman"/>
      <w:kern w:val="0"/>
      <w:sz w:val="22"/>
      <w:szCs w:val="22"/>
      <w14:ligatures w14:val="none"/>
    </w:rPr>
  </w:style>
  <w:style w:type="paragraph" w:styleId="Footer">
    <w:name w:val="footer"/>
    <w:basedOn w:val="Normal"/>
    <w:link w:val="FooterChar"/>
    <w:uiPriority w:val="99"/>
    <w:unhideWhenUsed/>
    <w:rsid w:val="006B7F4B"/>
    <w:pPr>
      <w:tabs>
        <w:tab w:val="center" w:pos="4513"/>
        <w:tab w:val="right" w:pos="9026"/>
      </w:tabs>
      <w:spacing w:before="0"/>
    </w:pPr>
  </w:style>
  <w:style w:type="character" w:customStyle="1" w:styleId="FooterChar">
    <w:name w:val="Footer Char"/>
    <w:basedOn w:val="DefaultParagraphFont"/>
    <w:link w:val="Footer"/>
    <w:uiPriority w:val="99"/>
    <w:rsid w:val="006B7F4B"/>
    <w:rPr>
      <w:rFonts w:ascii="Cambria" w:eastAsia="Calibri" w:hAnsi="Cambria" w:cs="Times New Roman"/>
      <w:kern w:val="0"/>
      <w:sz w:val="22"/>
      <w:szCs w:val="22"/>
      <w14:ligatures w14:val="none"/>
    </w:rPr>
  </w:style>
  <w:style w:type="character" w:styleId="PageNumber">
    <w:name w:val="page number"/>
    <w:basedOn w:val="DefaultParagraphFont"/>
    <w:uiPriority w:val="99"/>
    <w:semiHidden/>
    <w:unhideWhenUsed/>
    <w:rsid w:val="006B7F4B"/>
  </w:style>
  <w:style w:type="character" w:customStyle="1" w:styleId="Heading1Char">
    <w:name w:val="Heading 1 Char"/>
    <w:basedOn w:val="DefaultParagraphFont"/>
    <w:link w:val="Heading1"/>
    <w:uiPriority w:val="9"/>
    <w:rsid w:val="006B7F4B"/>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6B7F4B"/>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717ED5"/>
    <w:pPr>
      <w:tabs>
        <w:tab w:val="right" w:leader="dot" w:pos="9016"/>
      </w:tabs>
      <w:ind w:left="220"/>
    </w:pPr>
    <w:rPr>
      <w:rFonts w:cstheme="minorHAnsi"/>
      <w:b/>
      <w:bCs/>
    </w:rPr>
  </w:style>
  <w:style w:type="character" w:styleId="Hyperlink">
    <w:name w:val="Hyperlink"/>
    <w:basedOn w:val="DefaultParagraphFont"/>
    <w:uiPriority w:val="99"/>
    <w:unhideWhenUsed/>
    <w:rsid w:val="006B7F4B"/>
    <w:rPr>
      <w:color w:val="0563C1" w:themeColor="hyperlink"/>
      <w:u w:val="single"/>
    </w:rPr>
  </w:style>
  <w:style w:type="paragraph" w:styleId="TOC1">
    <w:name w:val="toc 1"/>
    <w:basedOn w:val="Normal"/>
    <w:next w:val="Normal"/>
    <w:autoRedefine/>
    <w:uiPriority w:val="39"/>
    <w:semiHidden/>
    <w:unhideWhenUsed/>
    <w:rsid w:val="006B7F4B"/>
    <w:rPr>
      <w:rFonts w:cstheme="minorHAnsi"/>
      <w:b/>
      <w:bCs/>
      <w:i/>
      <w:iCs/>
      <w:szCs w:val="24"/>
    </w:rPr>
  </w:style>
  <w:style w:type="paragraph" w:styleId="TOC3">
    <w:name w:val="toc 3"/>
    <w:basedOn w:val="Normal"/>
    <w:next w:val="Normal"/>
    <w:autoRedefine/>
    <w:uiPriority w:val="39"/>
    <w:semiHidden/>
    <w:unhideWhenUsed/>
    <w:rsid w:val="006B7F4B"/>
    <w:pPr>
      <w:spacing w:before="0"/>
      <w:ind w:left="440"/>
    </w:pPr>
    <w:rPr>
      <w:rFonts w:cstheme="minorHAnsi"/>
      <w:sz w:val="20"/>
      <w:szCs w:val="20"/>
    </w:rPr>
  </w:style>
  <w:style w:type="paragraph" w:styleId="TOC4">
    <w:name w:val="toc 4"/>
    <w:basedOn w:val="Normal"/>
    <w:next w:val="Normal"/>
    <w:autoRedefine/>
    <w:uiPriority w:val="39"/>
    <w:semiHidden/>
    <w:unhideWhenUsed/>
    <w:rsid w:val="006B7F4B"/>
    <w:pPr>
      <w:spacing w:before="0"/>
      <w:ind w:left="660"/>
    </w:pPr>
    <w:rPr>
      <w:rFonts w:cstheme="minorHAnsi"/>
      <w:sz w:val="20"/>
      <w:szCs w:val="20"/>
    </w:rPr>
  </w:style>
  <w:style w:type="paragraph" w:styleId="TOC5">
    <w:name w:val="toc 5"/>
    <w:basedOn w:val="Normal"/>
    <w:next w:val="Normal"/>
    <w:autoRedefine/>
    <w:uiPriority w:val="39"/>
    <w:semiHidden/>
    <w:unhideWhenUsed/>
    <w:rsid w:val="006B7F4B"/>
    <w:pPr>
      <w:spacing w:before="0"/>
      <w:ind w:left="880"/>
    </w:pPr>
    <w:rPr>
      <w:rFonts w:cstheme="minorHAnsi"/>
      <w:sz w:val="20"/>
      <w:szCs w:val="20"/>
    </w:rPr>
  </w:style>
  <w:style w:type="paragraph" w:styleId="TOC6">
    <w:name w:val="toc 6"/>
    <w:basedOn w:val="Normal"/>
    <w:next w:val="Normal"/>
    <w:autoRedefine/>
    <w:uiPriority w:val="39"/>
    <w:semiHidden/>
    <w:unhideWhenUsed/>
    <w:rsid w:val="006B7F4B"/>
    <w:pPr>
      <w:spacing w:before="0"/>
      <w:ind w:left="1100"/>
    </w:pPr>
    <w:rPr>
      <w:rFonts w:cstheme="minorHAnsi"/>
      <w:sz w:val="20"/>
      <w:szCs w:val="20"/>
    </w:rPr>
  </w:style>
  <w:style w:type="paragraph" w:styleId="TOC7">
    <w:name w:val="toc 7"/>
    <w:basedOn w:val="Normal"/>
    <w:next w:val="Normal"/>
    <w:autoRedefine/>
    <w:uiPriority w:val="39"/>
    <w:semiHidden/>
    <w:unhideWhenUsed/>
    <w:rsid w:val="006B7F4B"/>
    <w:pPr>
      <w:spacing w:before="0"/>
      <w:ind w:left="1320"/>
    </w:pPr>
    <w:rPr>
      <w:rFonts w:cstheme="minorHAnsi"/>
      <w:sz w:val="20"/>
      <w:szCs w:val="20"/>
    </w:rPr>
  </w:style>
  <w:style w:type="paragraph" w:styleId="TOC8">
    <w:name w:val="toc 8"/>
    <w:basedOn w:val="Normal"/>
    <w:next w:val="Normal"/>
    <w:autoRedefine/>
    <w:uiPriority w:val="39"/>
    <w:semiHidden/>
    <w:unhideWhenUsed/>
    <w:rsid w:val="006B7F4B"/>
    <w:pPr>
      <w:spacing w:before="0"/>
      <w:ind w:left="1540"/>
    </w:pPr>
    <w:rPr>
      <w:rFonts w:cstheme="minorHAnsi"/>
      <w:sz w:val="20"/>
      <w:szCs w:val="20"/>
    </w:rPr>
  </w:style>
  <w:style w:type="paragraph" w:styleId="TOC9">
    <w:name w:val="toc 9"/>
    <w:basedOn w:val="Normal"/>
    <w:next w:val="Normal"/>
    <w:autoRedefine/>
    <w:uiPriority w:val="39"/>
    <w:semiHidden/>
    <w:unhideWhenUsed/>
    <w:rsid w:val="006B7F4B"/>
    <w:pPr>
      <w:spacing w:before="0"/>
      <w:ind w:left="1760"/>
    </w:pPr>
    <w:rPr>
      <w:rFonts w:cstheme="minorHAnsi"/>
      <w:sz w:val="20"/>
      <w:szCs w:val="20"/>
    </w:rPr>
  </w:style>
  <w:style w:type="paragraph" w:styleId="NormalWeb">
    <w:name w:val="Normal (Web)"/>
    <w:basedOn w:val="Normal"/>
    <w:uiPriority w:val="99"/>
    <w:semiHidden/>
    <w:unhideWhenUsed/>
    <w:rsid w:val="00826380"/>
    <w:pPr>
      <w:spacing w:before="100" w:beforeAutospacing="1" w:after="100" w:afterAutospacing="1"/>
    </w:pPr>
    <w:rPr>
      <w:rFonts w:ascii="Times New Roman" w:eastAsia="Times New Roman" w:hAnsi="Times New Roman"/>
      <w:szCs w:val="24"/>
      <w:lang w:eastAsia="en-GB"/>
    </w:rPr>
  </w:style>
  <w:style w:type="paragraph" w:styleId="Revision">
    <w:name w:val="Revision"/>
    <w:hidden/>
    <w:uiPriority w:val="99"/>
    <w:semiHidden/>
    <w:rsid w:val="00DB0F56"/>
    <w:rPr>
      <w:rFonts w:eastAsia="Calibri" w:cs="Times New Roman"/>
      <w:kern w:val="0"/>
      <w:szCs w:val="22"/>
      <w14:ligatures w14:val="none"/>
    </w:rPr>
  </w:style>
  <w:style w:type="character" w:styleId="CommentReference">
    <w:name w:val="annotation reference"/>
    <w:basedOn w:val="DefaultParagraphFont"/>
    <w:uiPriority w:val="99"/>
    <w:semiHidden/>
    <w:unhideWhenUsed/>
    <w:rsid w:val="00DB0F56"/>
    <w:rPr>
      <w:sz w:val="16"/>
      <w:szCs w:val="16"/>
    </w:rPr>
  </w:style>
  <w:style w:type="paragraph" w:styleId="CommentText">
    <w:name w:val="annotation text"/>
    <w:basedOn w:val="Normal"/>
    <w:link w:val="CommentTextChar"/>
    <w:uiPriority w:val="99"/>
    <w:semiHidden/>
    <w:unhideWhenUsed/>
    <w:rsid w:val="00DB0F56"/>
    <w:rPr>
      <w:sz w:val="20"/>
      <w:szCs w:val="20"/>
    </w:rPr>
  </w:style>
  <w:style w:type="character" w:customStyle="1" w:styleId="CommentTextChar">
    <w:name w:val="Comment Text Char"/>
    <w:basedOn w:val="DefaultParagraphFont"/>
    <w:link w:val="CommentText"/>
    <w:uiPriority w:val="99"/>
    <w:semiHidden/>
    <w:rsid w:val="00DB0F56"/>
    <w:rPr>
      <w:rFonts w:eastAsia="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0F56"/>
    <w:rPr>
      <w:b/>
      <w:bCs/>
    </w:rPr>
  </w:style>
  <w:style w:type="character" w:customStyle="1" w:styleId="CommentSubjectChar">
    <w:name w:val="Comment Subject Char"/>
    <w:basedOn w:val="CommentTextChar"/>
    <w:link w:val="CommentSubject"/>
    <w:uiPriority w:val="99"/>
    <w:semiHidden/>
    <w:rsid w:val="00DB0F56"/>
    <w:rPr>
      <w:rFonts w:eastAsia="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6445">
      <w:bodyDiv w:val="1"/>
      <w:marLeft w:val="0"/>
      <w:marRight w:val="0"/>
      <w:marTop w:val="0"/>
      <w:marBottom w:val="0"/>
      <w:divBdr>
        <w:top w:val="none" w:sz="0" w:space="0" w:color="auto"/>
        <w:left w:val="none" w:sz="0" w:space="0" w:color="auto"/>
        <w:bottom w:val="none" w:sz="0" w:space="0" w:color="auto"/>
        <w:right w:val="none" w:sz="0" w:space="0" w:color="auto"/>
      </w:divBdr>
      <w:divsChild>
        <w:div w:id="1635332947">
          <w:marLeft w:val="0"/>
          <w:marRight w:val="0"/>
          <w:marTop w:val="0"/>
          <w:marBottom w:val="0"/>
          <w:divBdr>
            <w:top w:val="none" w:sz="0" w:space="0" w:color="auto"/>
            <w:left w:val="none" w:sz="0" w:space="0" w:color="auto"/>
            <w:bottom w:val="none" w:sz="0" w:space="0" w:color="auto"/>
            <w:right w:val="none" w:sz="0" w:space="0" w:color="auto"/>
          </w:divBdr>
          <w:divsChild>
            <w:div w:id="690692791">
              <w:marLeft w:val="0"/>
              <w:marRight w:val="0"/>
              <w:marTop w:val="0"/>
              <w:marBottom w:val="0"/>
              <w:divBdr>
                <w:top w:val="none" w:sz="0" w:space="0" w:color="auto"/>
                <w:left w:val="none" w:sz="0" w:space="0" w:color="auto"/>
                <w:bottom w:val="none" w:sz="0" w:space="0" w:color="auto"/>
                <w:right w:val="none" w:sz="0" w:space="0" w:color="auto"/>
              </w:divBdr>
              <w:divsChild>
                <w:div w:id="10280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736">
      <w:bodyDiv w:val="1"/>
      <w:marLeft w:val="0"/>
      <w:marRight w:val="0"/>
      <w:marTop w:val="0"/>
      <w:marBottom w:val="0"/>
      <w:divBdr>
        <w:top w:val="none" w:sz="0" w:space="0" w:color="auto"/>
        <w:left w:val="none" w:sz="0" w:space="0" w:color="auto"/>
        <w:bottom w:val="none" w:sz="0" w:space="0" w:color="auto"/>
        <w:right w:val="none" w:sz="0" w:space="0" w:color="auto"/>
      </w:divBdr>
      <w:divsChild>
        <w:div w:id="714039600">
          <w:marLeft w:val="0"/>
          <w:marRight w:val="0"/>
          <w:marTop w:val="0"/>
          <w:marBottom w:val="0"/>
          <w:divBdr>
            <w:top w:val="none" w:sz="0" w:space="0" w:color="auto"/>
            <w:left w:val="none" w:sz="0" w:space="0" w:color="auto"/>
            <w:bottom w:val="none" w:sz="0" w:space="0" w:color="auto"/>
            <w:right w:val="none" w:sz="0" w:space="0" w:color="auto"/>
          </w:divBdr>
          <w:divsChild>
            <w:div w:id="1506751182">
              <w:marLeft w:val="0"/>
              <w:marRight w:val="0"/>
              <w:marTop w:val="0"/>
              <w:marBottom w:val="0"/>
              <w:divBdr>
                <w:top w:val="none" w:sz="0" w:space="0" w:color="auto"/>
                <w:left w:val="none" w:sz="0" w:space="0" w:color="auto"/>
                <w:bottom w:val="none" w:sz="0" w:space="0" w:color="auto"/>
                <w:right w:val="none" w:sz="0" w:space="0" w:color="auto"/>
              </w:divBdr>
              <w:divsChild>
                <w:div w:id="270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2128">
      <w:bodyDiv w:val="1"/>
      <w:marLeft w:val="0"/>
      <w:marRight w:val="0"/>
      <w:marTop w:val="0"/>
      <w:marBottom w:val="0"/>
      <w:divBdr>
        <w:top w:val="none" w:sz="0" w:space="0" w:color="auto"/>
        <w:left w:val="none" w:sz="0" w:space="0" w:color="auto"/>
        <w:bottom w:val="none" w:sz="0" w:space="0" w:color="auto"/>
        <w:right w:val="none" w:sz="0" w:space="0" w:color="auto"/>
      </w:divBdr>
      <w:divsChild>
        <w:div w:id="226574435">
          <w:marLeft w:val="0"/>
          <w:marRight w:val="0"/>
          <w:marTop w:val="0"/>
          <w:marBottom w:val="0"/>
          <w:divBdr>
            <w:top w:val="none" w:sz="0" w:space="0" w:color="auto"/>
            <w:left w:val="none" w:sz="0" w:space="0" w:color="auto"/>
            <w:bottom w:val="none" w:sz="0" w:space="0" w:color="auto"/>
            <w:right w:val="none" w:sz="0" w:space="0" w:color="auto"/>
          </w:divBdr>
        </w:div>
        <w:div w:id="973826339">
          <w:marLeft w:val="0"/>
          <w:marRight w:val="0"/>
          <w:marTop w:val="0"/>
          <w:marBottom w:val="0"/>
          <w:divBdr>
            <w:top w:val="none" w:sz="0" w:space="0" w:color="auto"/>
            <w:left w:val="none" w:sz="0" w:space="0" w:color="auto"/>
            <w:bottom w:val="none" w:sz="0" w:space="0" w:color="auto"/>
            <w:right w:val="none" w:sz="0" w:space="0" w:color="auto"/>
          </w:divBdr>
        </w:div>
        <w:div w:id="2026243454">
          <w:marLeft w:val="0"/>
          <w:marRight w:val="0"/>
          <w:marTop w:val="0"/>
          <w:marBottom w:val="0"/>
          <w:divBdr>
            <w:top w:val="none" w:sz="0" w:space="0" w:color="auto"/>
            <w:left w:val="none" w:sz="0" w:space="0" w:color="auto"/>
            <w:bottom w:val="none" w:sz="0" w:space="0" w:color="auto"/>
            <w:right w:val="none" w:sz="0" w:space="0" w:color="auto"/>
          </w:divBdr>
        </w:div>
      </w:divsChild>
    </w:div>
    <w:div w:id="1544294760">
      <w:bodyDiv w:val="1"/>
      <w:marLeft w:val="0"/>
      <w:marRight w:val="0"/>
      <w:marTop w:val="0"/>
      <w:marBottom w:val="0"/>
      <w:divBdr>
        <w:top w:val="none" w:sz="0" w:space="0" w:color="auto"/>
        <w:left w:val="none" w:sz="0" w:space="0" w:color="auto"/>
        <w:bottom w:val="none" w:sz="0" w:space="0" w:color="auto"/>
        <w:right w:val="none" w:sz="0" w:space="0" w:color="auto"/>
      </w:divBdr>
      <w:divsChild>
        <w:div w:id="277488808">
          <w:marLeft w:val="0"/>
          <w:marRight w:val="0"/>
          <w:marTop w:val="0"/>
          <w:marBottom w:val="0"/>
          <w:divBdr>
            <w:top w:val="none" w:sz="0" w:space="0" w:color="auto"/>
            <w:left w:val="none" w:sz="0" w:space="0" w:color="auto"/>
            <w:bottom w:val="none" w:sz="0" w:space="0" w:color="auto"/>
            <w:right w:val="none" w:sz="0" w:space="0" w:color="auto"/>
          </w:divBdr>
          <w:divsChild>
            <w:div w:id="857280754">
              <w:marLeft w:val="0"/>
              <w:marRight w:val="0"/>
              <w:marTop w:val="0"/>
              <w:marBottom w:val="0"/>
              <w:divBdr>
                <w:top w:val="none" w:sz="0" w:space="0" w:color="auto"/>
                <w:left w:val="none" w:sz="0" w:space="0" w:color="auto"/>
                <w:bottom w:val="none" w:sz="0" w:space="0" w:color="auto"/>
                <w:right w:val="none" w:sz="0" w:space="0" w:color="auto"/>
              </w:divBdr>
              <w:divsChild>
                <w:div w:id="13729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283B1-46D3-DC46-A02B-1A844B2F737E}">
  <ds:schemaRefs>
    <ds:schemaRef ds:uri="http://schemas.openxmlformats.org/officeDocument/2006/bibliography"/>
  </ds:schemaRefs>
</ds:datastoreItem>
</file>

<file path=customXml/itemProps2.xml><?xml version="1.0" encoding="utf-8"?>
<ds:datastoreItem xmlns:ds="http://schemas.openxmlformats.org/officeDocument/2006/customXml" ds:itemID="{22C96012-69AD-4904-8FEF-BDEE69C488EC}"/>
</file>

<file path=customXml/itemProps3.xml><?xml version="1.0" encoding="utf-8"?>
<ds:datastoreItem xmlns:ds="http://schemas.openxmlformats.org/officeDocument/2006/customXml" ds:itemID="{F5843A0F-8302-49C0-94ED-EE018581E389}"/>
</file>

<file path=docProps/app.xml><?xml version="1.0" encoding="utf-8"?>
<Properties xmlns="http://schemas.openxmlformats.org/officeDocument/2006/extended-properties" xmlns:vt="http://schemas.openxmlformats.org/officeDocument/2006/docPropsVTypes">
  <Template>Normal</Template>
  <TotalTime>5</TotalTime>
  <Pages>8</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Daly</dc:creator>
  <cp:keywords/>
  <dc:description/>
  <cp:lastModifiedBy>Morahan, Belinda</cp:lastModifiedBy>
  <cp:revision>3</cp:revision>
  <cp:lastPrinted>2024-01-30T22:44:00Z</cp:lastPrinted>
  <dcterms:created xsi:type="dcterms:W3CDTF">2024-01-30T22:42:00Z</dcterms:created>
  <dcterms:modified xsi:type="dcterms:W3CDTF">2024-01-30T22:48:00Z</dcterms:modified>
</cp:coreProperties>
</file>