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CAF2" w14:textId="36D7E6AA" w:rsidR="00B57833" w:rsidRDefault="00CC1ACE" w:rsidP="00B57833">
      <w:pPr>
        <w:pStyle w:val="Header"/>
        <w:tabs>
          <w:tab w:val="clear" w:pos="9026"/>
          <w:tab w:val="right" w:pos="9615"/>
        </w:tabs>
        <w:rPr>
          <w:rFonts w:ascii="Segoe UI Light" w:hAnsi="Segoe UI Light" w:cs="Segoe UI"/>
          <w:b/>
          <w:sz w:val="22"/>
          <w:szCs w:val="22"/>
        </w:rPr>
      </w:pPr>
      <w:r>
        <w:rPr>
          <w:b/>
          <w:color w:val="FF0000"/>
        </w:rPr>
        <w:t xml:space="preserve">   </w:t>
      </w:r>
      <w:r w:rsidR="00B57833">
        <w:rPr>
          <w:b/>
          <w:color w:val="FF0000"/>
        </w:rPr>
        <w:tab/>
      </w:r>
      <w:r w:rsidR="00B57833">
        <w:rPr>
          <w:rFonts w:ascii="Segoe UI Light" w:eastAsiaTheme="minorEastAsia" w:hAnsi="Segoe UI Light" w:cs="Segoe UI"/>
          <w:b/>
          <w:bCs/>
          <w:color w:val="FF0000"/>
          <w:sz w:val="22"/>
          <w:szCs w:val="22"/>
        </w:rPr>
        <w:t>FOR OFFICIAL USE ONLY</w:t>
      </w:r>
      <w:r w:rsidR="00B57833">
        <w:rPr>
          <w:rFonts w:ascii="Segoe UI Light" w:eastAsiaTheme="minorEastAsia" w:hAnsi="Segoe UI Light" w:cs="Segoe UI"/>
          <w:b/>
          <w:bCs/>
          <w:sz w:val="22"/>
          <w:szCs w:val="22"/>
        </w:rPr>
        <w:tab/>
      </w:r>
    </w:p>
    <w:p w14:paraId="135688BF" w14:textId="77777777" w:rsidR="00B57833" w:rsidRDefault="00B57833" w:rsidP="00B57833">
      <w:pPr>
        <w:pStyle w:val="Header"/>
        <w:tabs>
          <w:tab w:val="clear" w:pos="9026"/>
          <w:tab w:val="right" w:pos="9214"/>
        </w:tabs>
        <w:rPr>
          <w:rFonts w:ascii="Segoe UI Light" w:hAnsi="Segoe UI Light" w:cs="Segoe UI"/>
          <w:b/>
          <w:sz w:val="22"/>
          <w:szCs w:val="22"/>
        </w:rPr>
      </w:pPr>
    </w:p>
    <w:p w14:paraId="79C8D143" w14:textId="77777777" w:rsidR="00B57833" w:rsidRDefault="00B57833" w:rsidP="00B57833">
      <w:pPr>
        <w:pStyle w:val="Header"/>
        <w:jc w:val="right"/>
        <w:rPr>
          <w:rFonts w:ascii="Segoe UI Light" w:hAnsi="Segoe UI Light" w:cs="Segoe UI"/>
          <w:b/>
          <w:sz w:val="22"/>
          <w:szCs w:val="22"/>
        </w:rPr>
      </w:pPr>
      <w:r>
        <w:rPr>
          <w:rFonts w:ascii="Segoe UI Light" w:hAnsi="Segoe UI Light" w:cs="Segoe UI"/>
        </w:rPr>
        <w:tab/>
      </w:r>
      <w:r>
        <w:rPr>
          <w:rFonts w:ascii="Segoe UI Light" w:eastAsiaTheme="minorEastAsia" w:hAnsi="Segoe UI Light" w:cs="Segoe UI"/>
          <w:b/>
          <w:bCs/>
        </w:rPr>
        <w:t>National Red Imported Fire Ant Eradication Program (SEQ) Steering Committee</w:t>
      </w:r>
    </w:p>
    <w:p w14:paraId="2810FB4A" w14:textId="515B0C63" w:rsidR="00B57833" w:rsidRDefault="00B57833" w:rsidP="00B57833">
      <w:pPr>
        <w:pStyle w:val="Header"/>
        <w:jc w:val="right"/>
        <w:rPr>
          <w:rFonts w:ascii="Segoe UI Light" w:hAnsi="Segoe UI Light" w:cs="Segoe UI"/>
          <w:b/>
          <w:sz w:val="22"/>
          <w:szCs w:val="22"/>
        </w:rPr>
      </w:pPr>
      <w:r>
        <w:rPr>
          <w:rFonts w:ascii="Segoe UI Light" w:hAnsi="Segoe UI Light" w:cs="Segoe UI"/>
          <w:b/>
          <w:sz w:val="22"/>
          <w:szCs w:val="22"/>
        </w:rPr>
        <w:tab/>
      </w:r>
      <w:r>
        <w:rPr>
          <w:rFonts w:ascii="Segoe UI Light" w:hAnsi="Segoe UI Light" w:cs="Segoe UI"/>
          <w:b/>
          <w:sz w:val="22"/>
          <w:szCs w:val="22"/>
        </w:rPr>
        <w:tab/>
      </w:r>
      <w:r w:rsidR="00967D3B">
        <w:rPr>
          <w:rFonts w:ascii="Segoe UI Light" w:hAnsi="Segoe UI Light" w:cs="Segoe UI"/>
          <w:b/>
          <w:sz w:val="22"/>
          <w:szCs w:val="22"/>
        </w:rPr>
        <w:t>Thursday</w:t>
      </w:r>
      <w:r>
        <w:rPr>
          <w:rFonts w:ascii="Segoe UI Light" w:hAnsi="Segoe UI Light" w:cs="Segoe UI"/>
          <w:b/>
          <w:sz w:val="22"/>
          <w:szCs w:val="22"/>
        </w:rPr>
        <w:t xml:space="preserve"> </w:t>
      </w:r>
      <w:r w:rsidR="00967D3B">
        <w:rPr>
          <w:rFonts w:ascii="Segoe UI Light" w:hAnsi="Segoe UI Light" w:cs="Segoe UI"/>
          <w:b/>
          <w:sz w:val="22"/>
          <w:szCs w:val="22"/>
        </w:rPr>
        <w:t>9 September</w:t>
      </w:r>
      <w:r>
        <w:rPr>
          <w:rFonts w:ascii="Segoe UI Light" w:hAnsi="Segoe UI Light" w:cs="Segoe UI"/>
          <w:b/>
          <w:sz w:val="22"/>
          <w:szCs w:val="22"/>
        </w:rPr>
        <w:t xml:space="preserve"> 2021</w:t>
      </w:r>
    </w:p>
    <w:p w14:paraId="2E851AC7" w14:textId="77777777" w:rsidR="00B57833" w:rsidRDefault="00B57833" w:rsidP="00B57833">
      <w:pPr>
        <w:pStyle w:val="Header"/>
        <w:tabs>
          <w:tab w:val="clear" w:pos="9026"/>
          <w:tab w:val="right" w:pos="9617"/>
        </w:tabs>
        <w:jc w:val="right"/>
        <w:rPr>
          <w:rFonts w:ascii="Segoe UI Light" w:hAnsi="Segoe UI Light" w:cs="Segoe UI"/>
          <w:b/>
          <w:sz w:val="22"/>
          <w:szCs w:val="22"/>
        </w:rPr>
      </w:pPr>
      <w:r>
        <w:rPr>
          <w:rFonts w:ascii="Segoe UI Light" w:eastAsiaTheme="minorEastAsia" w:hAnsi="Segoe UI Light" w:cs="Segoe UI"/>
          <w:b/>
          <w:bCs/>
          <w:sz w:val="22"/>
          <w:szCs w:val="22"/>
          <w:lang w:bidi="en-US"/>
        </w:rPr>
        <w:tab/>
        <w:t>Teleconference</w:t>
      </w:r>
    </w:p>
    <w:p w14:paraId="4361166A" w14:textId="3E2CB0F6" w:rsidR="00B57833" w:rsidRPr="00524597" w:rsidRDefault="00B57833" w:rsidP="00B57833">
      <w:pPr>
        <w:pStyle w:val="Header"/>
        <w:spacing w:after="60"/>
        <w:ind w:left="-567"/>
        <w:rPr>
          <w:rFonts w:ascii="Segoe UI Light" w:hAnsi="Segoe UI Light" w:cs="Segoe UI"/>
          <w:b/>
          <w:sz w:val="22"/>
          <w:szCs w:val="22"/>
        </w:rPr>
      </w:pPr>
      <w:r>
        <w:rPr>
          <w:rFonts w:ascii="Segoe UI Light" w:hAnsi="Segoe UI Light" w:cs="Segoe UI"/>
          <w:b/>
          <w:sz w:val="22"/>
          <w:szCs w:val="22"/>
        </w:rPr>
        <w:t>ATTENDANCE</w:t>
      </w:r>
      <w:r>
        <w:rPr>
          <w:rFonts w:ascii="Segoe UI Light" w:hAnsi="Segoe UI Light" w:cs="Segoe UI"/>
          <w:b/>
          <w:sz w:val="22"/>
          <w:szCs w:val="22"/>
        </w:rPr>
        <w:tab/>
      </w:r>
      <w:r>
        <w:rPr>
          <w:rFonts w:ascii="Segoe UI Light" w:hAnsi="Segoe UI Light" w:cs="Segoe UI"/>
          <w:b/>
          <w:sz w:val="22"/>
          <w:szCs w:val="22"/>
        </w:rPr>
        <w:tab/>
      </w:r>
      <w:r w:rsidR="00967D3B">
        <w:rPr>
          <w:rFonts w:ascii="Segoe UI Light" w:hAnsi="Segoe UI Light" w:cs="Segoe UI"/>
          <w:b/>
          <w:sz w:val="22"/>
          <w:szCs w:val="22"/>
        </w:rPr>
        <w:t>9.00am – 11.00am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7161"/>
      </w:tblGrid>
      <w:tr w:rsidR="00B57833" w14:paraId="31B976FF" w14:textId="77777777" w:rsidTr="00EB13BF">
        <w:trPr>
          <w:trHeight w:val="2649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BD57" w14:textId="77777777" w:rsidR="00B57833" w:rsidRDefault="00B57833" w:rsidP="00FC7AB7">
            <w:pPr>
              <w:tabs>
                <w:tab w:val="left" w:pos="709"/>
                <w:tab w:val="right" w:pos="9214"/>
              </w:tabs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Attendees</w:t>
            </w:r>
          </w:p>
        </w:tc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B4D5" w14:textId="77777777" w:rsidR="00B57833" w:rsidRDefault="00B57833" w:rsidP="00FC7AB7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 xml:space="preserve">Wendy Craik, Chair </w:t>
            </w:r>
          </w:p>
          <w:p w14:paraId="20EF1D88" w14:textId="77777777" w:rsidR="00B57833" w:rsidRDefault="00B57833" w:rsidP="00FC7AB7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 w:cs="Segoe UI"/>
                <w:lang w:bidi="en-US"/>
              </w:rPr>
              <w:t xml:space="preserve">Jo </w:t>
            </w:r>
            <w:proofErr w:type="spellStart"/>
            <w:r>
              <w:rPr>
                <w:rFonts w:ascii="Segoe UI Light" w:hAnsi="Segoe UI Light" w:cs="Segoe UI"/>
                <w:lang w:bidi="en-US"/>
              </w:rPr>
              <w:t>Laduzko</w:t>
            </w:r>
            <w:proofErr w:type="spellEnd"/>
            <w:r>
              <w:rPr>
                <w:rFonts w:ascii="Segoe UI Light" w:hAnsi="Segoe UI Light"/>
                <w:lang w:eastAsia="ja-JP"/>
              </w:rPr>
              <w:t xml:space="preserve">, Department of Agriculture, </w:t>
            </w:r>
            <w:proofErr w:type="gramStart"/>
            <w:r>
              <w:rPr>
                <w:rFonts w:ascii="Segoe UI Light" w:hAnsi="Segoe UI Light"/>
                <w:lang w:eastAsia="ja-JP"/>
              </w:rPr>
              <w:t>Water</w:t>
            </w:r>
            <w:proofErr w:type="gramEnd"/>
            <w:r>
              <w:rPr>
                <w:rFonts w:ascii="Segoe UI Light" w:hAnsi="Segoe UI Light"/>
                <w:lang w:eastAsia="ja-JP"/>
              </w:rPr>
              <w:t xml:space="preserve"> and the Environment (</w:t>
            </w:r>
            <w:proofErr w:type="spellStart"/>
            <w:r>
              <w:rPr>
                <w:rFonts w:ascii="Segoe UI Light" w:hAnsi="Segoe UI Light"/>
                <w:lang w:eastAsia="ja-JP"/>
              </w:rPr>
              <w:t>C’wealth</w:t>
            </w:r>
            <w:proofErr w:type="spellEnd"/>
            <w:r>
              <w:rPr>
                <w:rFonts w:ascii="Segoe UI Light" w:hAnsi="Segoe UI Light"/>
                <w:lang w:eastAsia="ja-JP"/>
              </w:rPr>
              <w:t>)</w:t>
            </w:r>
          </w:p>
          <w:p w14:paraId="104CAF32" w14:textId="77777777" w:rsidR="00B57833" w:rsidRDefault="00B57833" w:rsidP="00FC7AB7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Scott Charlton, Department of Primary Industries (NSW)</w:t>
            </w:r>
          </w:p>
          <w:p w14:paraId="68E9BAE6" w14:textId="77777777" w:rsidR="00B57833" w:rsidRDefault="00B57833" w:rsidP="00FC7AB7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 xml:space="preserve">Nigel Ainsworth, Department of Jobs, Precincts and Regions (VIC) </w:t>
            </w:r>
          </w:p>
          <w:p w14:paraId="36273FDB" w14:textId="77777777" w:rsidR="00B57833" w:rsidRDefault="00B57833" w:rsidP="00FC7AB7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 xml:space="preserve">John van </w:t>
            </w:r>
            <w:proofErr w:type="spellStart"/>
            <w:r>
              <w:rPr>
                <w:rFonts w:ascii="Segoe UI Light" w:hAnsi="Segoe UI Light"/>
                <w:lang w:eastAsia="ja-JP"/>
              </w:rPr>
              <w:t>Schagen</w:t>
            </w:r>
            <w:proofErr w:type="spellEnd"/>
            <w:r>
              <w:rPr>
                <w:rFonts w:ascii="Segoe UI Light" w:hAnsi="Segoe UI Light"/>
                <w:lang w:eastAsia="ja-JP"/>
              </w:rPr>
              <w:t>, Department of Primary Industries and Regional Development (WA)</w:t>
            </w:r>
          </w:p>
          <w:p w14:paraId="1AC97872" w14:textId="2223873D" w:rsidR="00B57833" w:rsidRDefault="00B57833" w:rsidP="00FC7AB7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Anne Walt</w:t>
            </w:r>
            <w:r w:rsidR="00020FB9">
              <w:rPr>
                <w:rFonts w:ascii="Segoe UI Light" w:hAnsi="Segoe UI Light"/>
                <w:lang w:eastAsia="ja-JP"/>
              </w:rPr>
              <w:t>ers</w:t>
            </w:r>
            <w:r>
              <w:rPr>
                <w:rFonts w:ascii="Segoe UI Light" w:hAnsi="Segoe UI Light"/>
                <w:lang w:eastAsia="ja-JP"/>
              </w:rPr>
              <w:t xml:space="preserve">, Department of Primary Industry and Resources (NT) </w:t>
            </w:r>
          </w:p>
          <w:p w14:paraId="3F8CAD04" w14:textId="77777777" w:rsidR="00B57833" w:rsidRDefault="00B57833" w:rsidP="00FC7AB7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John Robertson, Department of Agriculture and Fisheries (DAF) (QLD)</w:t>
            </w:r>
          </w:p>
          <w:p w14:paraId="73E75857" w14:textId="12D4FD45" w:rsidR="00681B4C" w:rsidRDefault="00681B4C" w:rsidP="00FC7AB7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Marcelle O’Brien, Department of Primary Industries, Parks, Water and Environment (TAS)</w:t>
            </w:r>
          </w:p>
          <w:p w14:paraId="1004FE2F" w14:textId="4C27D483" w:rsidR="003939D7" w:rsidRDefault="003939D7" w:rsidP="00FC7AB7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Nathan Rhodes, Department of Primary Industries and Regions (SA)</w:t>
            </w:r>
          </w:p>
          <w:p w14:paraId="3E1E769F" w14:textId="5D0B3AA0" w:rsidR="003939D7" w:rsidRDefault="003939D7" w:rsidP="00FC7AB7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Mike Richards, External Financial Consultant</w:t>
            </w:r>
          </w:p>
        </w:tc>
      </w:tr>
      <w:tr w:rsidR="00B57833" w14:paraId="2A85A979" w14:textId="77777777" w:rsidTr="00EB13BF">
        <w:trPr>
          <w:trHeight w:val="20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6247" w14:textId="77777777" w:rsidR="00B57833" w:rsidRDefault="00B57833" w:rsidP="00FC7AB7">
            <w:pPr>
              <w:tabs>
                <w:tab w:val="left" w:pos="709"/>
                <w:tab w:val="right" w:pos="9214"/>
              </w:tabs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Observers</w:t>
            </w:r>
          </w:p>
        </w:tc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F4CA" w14:textId="092E581F" w:rsidR="00B57833" w:rsidRDefault="00967D3B" w:rsidP="00FC7AB7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 xml:space="preserve">Bernadette </w:t>
            </w:r>
            <w:proofErr w:type="spellStart"/>
            <w:r>
              <w:rPr>
                <w:rFonts w:ascii="Segoe UI Light" w:hAnsi="Segoe UI Light"/>
                <w:lang w:eastAsia="ja-JP"/>
              </w:rPr>
              <w:t>Ditchfield</w:t>
            </w:r>
            <w:proofErr w:type="spellEnd"/>
            <w:r w:rsidR="00B57833">
              <w:rPr>
                <w:rFonts w:ascii="Segoe UI Light" w:hAnsi="Segoe UI Light"/>
                <w:lang w:eastAsia="ja-JP"/>
              </w:rPr>
              <w:t xml:space="preserve">, </w:t>
            </w:r>
            <w:r>
              <w:rPr>
                <w:rFonts w:ascii="Segoe UI Light" w:hAnsi="Segoe UI Light"/>
                <w:lang w:eastAsia="ja-JP"/>
              </w:rPr>
              <w:t>A/</w:t>
            </w:r>
            <w:r w:rsidR="00B57833">
              <w:rPr>
                <w:rFonts w:ascii="Segoe UI Light" w:hAnsi="Segoe UI Light"/>
                <w:lang w:eastAsia="ja-JP"/>
              </w:rPr>
              <w:t>Deputy Director-General/Chief Biosecurity Officer, Biosecurity Queensland, (DAF)</w:t>
            </w:r>
          </w:p>
          <w:p w14:paraId="2024455C" w14:textId="15E18B5B" w:rsidR="00B57833" w:rsidRPr="004F27BC" w:rsidRDefault="00681B4C" w:rsidP="00967D3B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Graeme Dudgeon, General Manager</w:t>
            </w:r>
          </w:p>
        </w:tc>
      </w:tr>
      <w:tr w:rsidR="00B57833" w14:paraId="7BE9FBB5" w14:textId="77777777" w:rsidTr="00EB13BF">
        <w:trPr>
          <w:trHeight w:val="20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52A2" w14:textId="77777777" w:rsidR="00B57833" w:rsidRDefault="00B57833" w:rsidP="00FC7AB7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Secretariat</w:t>
            </w:r>
          </w:p>
        </w:tc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FC3A" w14:textId="77777777" w:rsidR="00B57833" w:rsidRDefault="00B57833" w:rsidP="00FC7AB7">
            <w:pPr>
              <w:tabs>
                <w:tab w:val="left" w:pos="709"/>
                <w:tab w:val="right" w:pos="9214"/>
              </w:tabs>
              <w:spacing w:before="60" w:after="60" w:line="276" w:lineRule="auto"/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Kerri Nobbs, Senior Policy Officer, (NRIFAEP)</w:t>
            </w:r>
          </w:p>
        </w:tc>
      </w:tr>
      <w:tr w:rsidR="00B57833" w14:paraId="447DDC6B" w14:textId="77777777" w:rsidTr="00EB13BF">
        <w:trPr>
          <w:trHeight w:val="20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4943" w14:textId="77777777" w:rsidR="00B57833" w:rsidRDefault="00B57833" w:rsidP="00FC7AB7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Apologies</w:t>
            </w:r>
          </w:p>
        </w:tc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6895" w14:textId="43CCB333" w:rsidR="00681B4C" w:rsidRPr="00523900" w:rsidRDefault="00B57833" w:rsidP="00FC7AB7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Rae Burrows, Department of Primary Industries, Parks, Water and Environment (TAS)</w:t>
            </w:r>
          </w:p>
        </w:tc>
      </w:tr>
    </w:tbl>
    <w:p w14:paraId="2B7DC8DE" w14:textId="77777777" w:rsidR="00B57833" w:rsidRDefault="00B57833" w:rsidP="00B57833">
      <w:pPr>
        <w:rPr>
          <w:rFonts w:ascii="Segoe UI Light" w:eastAsia="Calibri,Arial" w:hAnsi="Segoe UI Light" w:cs="Segoe UI"/>
          <w:b/>
          <w:bCs/>
          <w:caps/>
          <w:kern w:val="28"/>
        </w:rPr>
      </w:pPr>
    </w:p>
    <w:p w14:paraId="74A332F8" w14:textId="77777777" w:rsidR="0091282F" w:rsidRDefault="0091282F" w:rsidP="00036B49">
      <w:pPr>
        <w:pStyle w:val="NoSpacing"/>
        <w:spacing w:after="120"/>
        <w:ind w:left="-567"/>
        <w:jc w:val="both"/>
        <w:rPr>
          <w:rFonts w:ascii="Segoe UI Light" w:hAnsi="Segoe UI Light" w:cs="Segoe UI"/>
          <w:sz w:val="22"/>
          <w:szCs w:val="22"/>
          <w:lang w:bidi="en-US"/>
        </w:rPr>
      </w:pPr>
    </w:p>
    <w:p w14:paraId="4AA86FCE" w14:textId="77777777" w:rsidR="0091282F" w:rsidRDefault="0091282F" w:rsidP="00036B49">
      <w:pPr>
        <w:pStyle w:val="NoSpacing"/>
        <w:spacing w:after="120"/>
        <w:ind w:left="-567"/>
        <w:jc w:val="both"/>
        <w:rPr>
          <w:rFonts w:ascii="Segoe UI Light" w:hAnsi="Segoe UI Light" w:cs="Segoe UI"/>
          <w:sz w:val="22"/>
          <w:szCs w:val="22"/>
          <w:lang w:bidi="en-US"/>
        </w:rPr>
      </w:pPr>
    </w:p>
    <w:p w14:paraId="402BE1CA" w14:textId="77777777" w:rsidR="0091282F" w:rsidRDefault="0091282F" w:rsidP="00036B49">
      <w:pPr>
        <w:pStyle w:val="NoSpacing"/>
        <w:spacing w:after="120"/>
        <w:ind w:left="-567"/>
        <w:jc w:val="both"/>
        <w:rPr>
          <w:rFonts w:ascii="Segoe UI Light" w:hAnsi="Segoe UI Light" w:cs="Segoe UI"/>
          <w:sz w:val="22"/>
          <w:szCs w:val="22"/>
          <w:lang w:bidi="en-US"/>
        </w:rPr>
      </w:pPr>
    </w:p>
    <w:p w14:paraId="043B474B" w14:textId="77777777" w:rsidR="0091282F" w:rsidRDefault="0091282F" w:rsidP="00036B49">
      <w:pPr>
        <w:pStyle w:val="NoSpacing"/>
        <w:spacing w:after="120"/>
        <w:ind w:left="-567"/>
        <w:jc w:val="both"/>
        <w:rPr>
          <w:rFonts w:ascii="Segoe UI Light" w:hAnsi="Segoe UI Light" w:cs="Segoe UI"/>
          <w:sz w:val="22"/>
          <w:szCs w:val="22"/>
          <w:lang w:bidi="en-US"/>
        </w:rPr>
      </w:pPr>
    </w:p>
    <w:p w14:paraId="0D821020" w14:textId="77777777" w:rsidR="0091282F" w:rsidRDefault="0091282F" w:rsidP="00036B49">
      <w:pPr>
        <w:pStyle w:val="NoSpacing"/>
        <w:spacing w:after="120"/>
        <w:ind w:left="-567"/>
        <w:jc w:val="both"/>
        <w:rPr>
          <w:rFonts w:ascii="Segoe UI Light" w:hAnsi="Segoe UI Light" w:cs="Segoe UI"/>
          <w:sz w:val="22"/>
          <w:szCs w:val="22"/>
          <w:lang w:bidi="en-US"/>
        </w:rPr>
      </w:pPr>
    </w:p>
    <w:p w14:paraId="1CE64B15" w14:textId="77777777" w:rsidR="0091282F" w:rsidRDefault="0091282F" w:rsidP="00036B49">
      <w:pPr>
        <w:pStyle w:val="NoSpacing"/>
        <w:spacing w:after="120"/>
        <w:ind w:left="-567"/>
        <w:jc w:val="both"/>
        <w:rPr>
          <w:rFonts w:ascii="Segoe UI Light" w:hAnsi="Segoe UI Light" w:cs="Segoe UI"/>
          <w:sz w:val="22"/>
          <w:szCs w:val="22"/>
          <w:lang w:bidi="en-US"/>
        </w:rPr>
      </w:pPr>
    </w:p>
    <w:p w14:paraId="766947C5" w14:textId="77777777" w:rsidR="0091282F" w:rsidRDefault="0091282F" w:rsidP="00036B49">
      <w:pPr>
        <w:pStyle w:val="NoSpacing"/>
        <w:spacing w:after="120"/>
        <w:ind w:left="-567"/>
        <w:jc w:val="both"/>
        <w:rPr>
          <w:rFonts w:ascii="Segoe UI Light" w:hAnsi="Segoe UI Light" w:cs="Segoe UI"/>
          <w:sz w:val="22"/>
          <w:szCs w:val="22"/>
          <w:lang w:bidi="en-US"/>
        </w:rPr>
      </w:pPr>
    </w:p>
    <w:p w14:paraId="722401B1" w14:textId="77777777" w:rsidR="0091282F" w:rsidRDefault="0091282F" w:rsidP="00036B49">
      <w:pPr>
        <w:pStyle w:val="NoSpacing"/>
        <w:spacing w:after="120"/>
        <w:ind w:left="-567"/>
        <w:jc w:val="both"/>
        <w:rPr>
          <w:rFonts w:ascii="Segoe UI Light" w:hAnsi="Segoe UI Light" w:cs="Segoe UI"/>
          <w:sz w:val="22"/>
          <w:szCs w:val="22"/>
          <w:lang w:bidi="en-US"/>
        </w:rPr>
      </w:pPr>
    </w:p>
    <w:p w14:paraId="48DD3820" w14:textId="77777777" w:rsidR="0091282F" w:rsidRDefault="0091282F" w:rsidP="00036B49">
      <w:pPr>
        <w:pStyle w:val="NoSpacing"/>
        <w:spacing w:after="120"/>
        <w:ind w:left="-567"/>
        <w:jc w:val="both"/>
        <w:rPr>
          <w:rFonts w:ascii="Segoe UI Light" w:hAnsi="Segoe UI Light" w:cs="Segoe UI"/>
          <w:sz w:val="22"/>
          <w:szCs w:val="22"/>
          <w:lang w:bidi="en-US"/>
        </w:rPr>
      </w:pPr>
    </w:p>
    <w:p w14:paraId="2DF29BC3" w14:textId="6A61E6B9" w:rsidR="008C17A1" w:rsidRDefault="008C17A1" w:rsidP="00036B49">
      <w:pPr>
        <w:pStyle w:val="NoSpacing"/>
        <w:spacing w:after="120"/>
        <w:ind w:left="-567"/>
        <w:jc w:val="both"/>
        <w:rPr>
          <w:rFonts w:ascii="Segoe UI Light" w:hAnsi="Segoe UI Light" w:cs="Segoe UI"/>
          <w:sz w:val="22"/>
          <w:szCs w:val="22"/>
          <w:lang w:bidi="en-US"/>
        </w:rPr>
      </w:pPr>
      <w:r>
        <w:rPr>
          <w:rFonts w:ascii="Segoe UI Light" w:hAnsi="Segoe UI Light" w:cs="Segoe UI"/>
          <w:sz w:val="22"/>
          <w:szCs w:val="22"/>
          <w:lang w:bidi="en-US"/>
        </w:rPr>
        <w:lastRenderedPageBreak/>
        <w:t xml:space="preserve">The meeting opened at </w:t>
      </w:r>
      <w:r w:rsidR="00967D3B">
        <w:rPr>
          <w:rFonts w:ascii="Segoe UI Light" w:hAnsi="Segoe UI Light" w:cs="Segoe UI"/>
          <w:sz w:val="22"/>
          <w:szCs w:val="22"/>
          <w:lang w:bidi="en-US"/>
        </w:rPr>
        <w:t>9</w:t>
      </w:r>
      <w:r>
        <w:rPr>
          <w:rFonts w:ascii="Segoe UI Light" w:hAnsi="Segoe UI Light" w:cs="Segoe UI"/>
          <w:sz w:val="22"/>
          <w:szCs w:val="22"/>
          <w:lang w:bidi="en-US"/>
        </w:rPr>
        <w:t>.00</w:t>
      </w:r>
      <w:r w:rsidR="00967D3B">
        <w:rPr>
          <w:rFonts w:ascii="Segoe UI Light" w:hAnsi="Segoe UI Light" w:cs="Segoe UI"/>
          <w:sz w:val="22"/>
          <w:szCs w:val="22"/>
          <w:lang w:bidi="en-US"/>
        </w:rPr>
        <w:t>a</w:t>
      </w:r>
      <w:r>
        <w:rPr>
          <w:rFonts w:ascii="Segoe UI Light" w:hAnsi="Segoe UI Light" w:cs="Segoe UI"/>
          <w:sz w:val="22"/>
          <w:szCs w:val="22"/>
          <w:lang w:bidi="en-US"/>
        </w:rPr>
        <w:t>m.</w:t>
      </w:r>
    </w:p>
    <w:p w14:paraId="27BFAE88" w14:textId="631AC318" w:rsidR="00D203C3" w:rsidRPr="00D203C3" w:rsidRDefault="00D203C3" w:rsidP="003939D7">
      <w:pPr>
        <w:pStyle w:val="NoSpacing"/>
        <w:spacing w:before="240" w:after="120"/>
        <w:ind w:left="-567"/>
        <w:jc w:val="both"/>
        <w:rPr>
          <w:rFonts w:ascii="Segoe UI Light" w:hAnsi="Segoe UI Light" w:cs="Segoe UI"/>
          <w:b/>
          <w:bCs/>
          <w:sz w:val="22"/>
          <w:szCs w:val="22"/>
          <w:lang w:bidi="en-US"/>
        </w:rPr>
      </w:pPr>
      <w:r w:rsidRPr="00D203C3">
        <w:rPr>
          <w:rFonts w:ascii="Segoe UI Light" w:hAnsi="Segoe UI Light" w:cs="Segoe UI"/>
          <w:b/>
          <w:bCs/>
          <w:sz w:val="22"/>
          <w:szCs w:val="22"/>
          <w:lang w:bidi="en-US"/>
        </w:rPr>
        <w:t>MAIN DISCUSSION</w:t>
      </w:r>
    </w:p>
    <w:p w14:paraId="0374DE92" w14:textId="14CE132E" w:rsidR="00967D3B" w:rsidRPr="00967D3B" w:rsidRDefault="00967D3B" w:rsidP="00036B49">
      <w:pPr>
        <w:ind w:left="-567"/>
        <w:jc w:val="both"/>
        <w:rPr>
          <w:rFonts w:ascii="Segoe UI Light" w:eastAsia="Times New Roman" w:hAnsi="Segoe UI Light" w:cs="Segoe UI"/>
          <w:lang w:eastAsia="en-AU" w:bidi="en-US"/>
        </w:rPr>
      </w:pPr>
      <w:r w:rsidRPr="00967D3B">
        <w:rPr>
          <w:rFonts w:ascii="Segoe UI Light" w:eastAsia="Times New Roman" w:hAnsi="Segoe UI Light" w:cs="Segoe UI"/>
          <w:lang w:eastAsia="en-AU" w:bidi="en-US"/>
        </w:rPr>
        <w:t>Th</w:t>
      </w:r>
      <w:r>
        <w:rPr>
          <w:rFonts w:ascii="Segoe UI Light" w:eastAsia="Times New Roman" w:hAnsi="Segoe UI Light" w:cs="Segoe UI"/>
          <w:lang w:eastAsia="en-AU" w:bidi="en-US"/>
        </w:rPr>
        <w:t>e Steering Committee</w:t>
      </w:r>
      <w:r w:rsidRPr="00967D3B">
        <w:rPr>
          <w:rFonts w:ascii="Segoe UI Light" w:eastAsia="Times New Roman" w:hAnsi="Segoe UI Light" w:cs="Segoe UI"/>
          <w:lang w:eastAsia="en-AU" w:bidi="en-US"/>
        </w:rPr>
        <w:t xml:space="preserve"> discussed the recommendations from the NRIFAEP Strategic Review and considered the </w:t>
      </w:r>
      <w:r>
        <w:rPr>
          <w:rFonts w:ascii="Segoe UI Light" w:eastAsia="Times New Roman" w:hAnsi="Segoe UI Light" w:cs="Segoe UI"/>
          <w:lang w:eastAsia="en-AU" w:bidi="en-US"/>
        </w:rPr>
        <w:t>o</w:t>
      </w:r>
      <w:r w:rsidRPr="00967D3B">
        <w:rPr>
          <w:rFonts w:ascii="Segoe UI Light" w:eastAsia="Times New Roman" w:hAnsi="Segoe UI Light" w:cs="Segoe UI"/>
          <w:lang w:eastAsia="en-AU" w:bidi="en-US"/>
        </w:rPr>
        <w:t>ptions and its approach.</w:t>
      </w:r>
    </w:p>
    <w:p w14:paraId="392B4D4F" w14:textId="62405C56" w:rsidR="00967D3B" w:rsidRPr="00967D3B" w:rsidRDefault="00967D3B" w:rsidP="00036B49">
      <w:pPr>
        <w:ind w:left="-567"/>
        <w:jc w:val="both"/>
        <w:rPr>
          <w:rFonts w:ascii="Segoe UI Light" w:eastAsia="Times New Roman" w:hAnsi="Segoe UI Light" w:cs="Segoe UI"/>
          <w:lang w:eastAsia="en-AU" w:bidi="en-US"/>
        </w:rPr>
      </w:pPr>
      <w:r w:rsidRPr="00967D3B">
        <w:rPr>
          <w:rFonts w:ascii="Segoe UI Light" w:eastAsia="Times New Roman" w:hAnsi="Segoe UI Light" w:cs="Segoe UI"/>
          <w:lang w:eastAsia="en-AU" w:bidi="en-US"/>
        </w:rPr>
        <w:t>For options A (preferred) and C, operationalising the recommendations and developing a business case will need to occur as soon as possible</w:t>
      </w:r>
      <w:r>
        <w:rPr>
          <w:rFonts w:ascii="Segoe UI Light" w:eastAsia="Times New Roman" w:hAnsi="Segoe UI Light" w:cs="Segoe UI"/>
          <w:lang w:eastAsia="en-AU" w:bidi="en-US"/>
        </w:rPr>
        <w:t>,</w:t>
      </w:r>
      <w:r w:rsidRPr="00967D3B">
        <w:rPr>
          <w:rFonts w:ascii="Segoe UI Light" w:eastAsia="Times New Roman" w:hAnsi="Segoe UI Light" w:cs="Segoe UI"/>
          <w:lang w:eastAsia="en-AU" w:bidi="en-US"/>
        </w:rPr>
        <w:t xml:space="preserve"> including ramping up, efficiencies of scale, pace of transfer to </w:t>
      </w:r>
      <w:r>
        <w:rPr>
          <w:rFonts w:ascii="Segoe UI Light" w:eastAsia="Times New Roman" w:hAnsi="Segoe UI Light" w:cs="Segoe UI"/>
          <w:lang w:eastAsia="en-AU" w:bidi="en-US"/>
        </w:rPr>
        <w:t>Queensland and</w:t>
      </w:r>
      <w:r w:rsidRPr="00967D3B">
        <w:rPr>
          <w:rFonts w:ascii="Segoe UI Light" w:eastAsia="Times New Roman" w:hAnsi="Segoe UI Light" w:cs="Segoe UI"/>
          <w:lang w:eastAsia="en-AU" w:bidi="en-US"/>
        </w:rPr>
        <w:t xml:space="preserve"> KPIs.    The case will also need to include a commitment from </w:t>
      </w:r>
      <w:r>
        <w:rPr>
          <w:rFonts w:ascii="Segoe UI Light" w:eastAsia="Times New Roman" w:hAnsi="Segoe UI Light" w:cs="Segoe UI"/>
          <w:lang w:eastAsia="en-AU" w:bidi="en-US"/>
        </w:rPr>
        <w:t>Queensland</w:t>
      </w:r>
      <w:r w:rsidRPr="00967D3B">
        <w:rPr>
          <w:rFonts w:ascii="Segoe UI Light" w:eastAsia="Times New Roman" w:hAnsi="Segoe UI Light" w:cs="Segoe UI"/>
          <w:lang w:eastAsia="en-AU" w:bidi="en-US"/>
        </w:rPr>
        <w:t xml:space="preserve"> for the Residual Area, including negotiation with </w:t>
      </w:r>
      <w:r>
        <w:rPr>
          <w:rFonts w:ascii="Segoe UI Light" w:eastAsia="Times New Roman" w:hAnsi="Segoe UI Light" w:cs="Segoe UI"/>
          <w:lang w:eastAsia="en-AU" w:bidi="en-US"/>
        </w:rPr>
        <w:t>l</w:t>
      </w:r>
      <w:r w:rsidRPr="00967D3B">
        <w:rPr>
          <w:rFonts w:ascii="Segoe UI Light" w:eastAsia="Times New Roman" w:hAnsi="Segoe UI Light" w:cs="Segoe UI"/>
          <w:lang w:eastAsia="en-AU" w:bidi="en-US"/>
        </w:rPr>
        <w:t xml:space="preserve">ocal </w:t>
      </w:r>
      <w:r>
        <w:rPr>
          <w:rFonts w:ascii="Segoe UI Light" w:eastAsia="Times New Roman" w:hAnsi="Segoe UI Light" w:cs="Segoe UI"/>
          <w:lang w:eastAsia="en-AU" w:bidi="en-US"/>
        </w:rPr>
        <w:t>g</w:t>
      </w:r>
      <w:r w:rsidRPr="00967D3B">
        <w:rPr>
          <w:rFonts w:ascii="Segoe UI Light" w:eastAsia="Times New Roman" w:hAnsi="Segoe UI Light" w:cs="Segoe UI"/>
          <w:lang w:eastAsia="en-AU" w:bidi="en-US"/>
        </w:rPr>
        <w:t>ov</w:t>
      </w:r>
      <w:r>
        <w:rPr>
          <w:rFonts w:ascii="Segoe UI Light" w:eastAsia="Times New Roman" w:hAnsi="Segoe UI Light" w:cs="Segoe UI"/>
          <w:lang w:eastAsia="en-AU" w:bidi="en-US"/>
        </w:rPr>
        <w:t>ernment regarding</w:t>
      </w:r>
      <w:r w:rsidRPr="00967D3B">
        <w:rPr>
          <w:rFonts w:ascii="Segoe UI Light" w:eastAsia="Times New Roman" w:hAnsi="Segoe UI Light" w:cs="Segoe UI"/>
          <w:lang w:eastAsia="en-AU" w:bidi="en-US"/>
        </w:rPr>
        <w:t xml:space="preserve"> ramping up etc.  </w:t>
      </w:r>
    </w:p>
    <w:p w14:paraId="67886D8A" w14:textId="77777777" w:rsidR="00967D3B" w:rsidRPr="00967D3B" w:rsidRDefault="00967D3B" w:rsidP="00036B49">
      <w:pPr>
        <w:ind w:left="-567"/>
        <w:jc w:val="both"/>
        <w:rPr>
          <w:rFonts w:ascii="Segoe UI Light" w:eastAsia="Times New Roman" w:hAnsi="Segoe UI Light" w:cs="Segoe UI"/>
          <w:lang w:eastAsia="en-AU" w:bidi="en-US"/>
        </w:rPr>
      </w:pPr>
      <w:r w:rsidRPr="00967D3B">
        <w:rPr>
          <w:rFonts w:ascii="Segoe UI Light" w:eastAsia="Times New Roman" w:hAnsi="Segoe UI Light" w:cs="Segoe UI"/>
          <w:lang w:eastAsia="en-AU" w:bidi="en-US"/>
        </w:rPr>
        <w:t>The Queensland Government to commence discussions with the local government to negotiate their participation in either option.</w:t>
      </w:r>
    </w:p>
    <w:p w14:paraId="4AC0AB6C" w14:textId="393A2391" w:rsidR="00967D3B" w:rsidRPr="00967D3B" w:rsidRDefault="00967D3B" w:rsidP="00036B49">
      <w:pPr>
        <w:ind w:left="-567"/>
        <w:jc w:val="both"/>
        <w:rPr>
          <w:rFonts w:ascii="Segoe UI Light" w:eastAsia="Times New Roman" w:hAnsi="Segoe UI Light" w:cs="Segoe UI"/>
          <w:lang w:eastAsia="en-AU" w:bidi="en-US"/>
        </w:rPr>
      </w:pPr>
      <w:r w:rsidRPr="00967D3B">
        <w:rPr>
          <w:rFonts w:ascii="Segoe UI Light" w:eastAsia="Times New Roman" w:hAnsi="Segoe UI Light" w:cs="Segoe UI"/>
          <w:lang w:eastAsia="en-AU" w:bidi="en-US"/>
        </w:rPr>
        <w:t xml:space="preserve">A draft response to the review recommendations to be prepared for the </w:t>
      </w:r>
      <w:r>
        <w:rPr>
          <w:rFonts w:ascii="Segoe UI Light" w:eastAsia="Times New Roman" w:hAnsi="Segoe UI Light" w:cs="Segoe UI"/>
          <w:lang w:eastAsia="en-AU" w:bidi="en-US"/>
        </w:rPr>
        <w:t>Steering Committee</w:t>
      </w:r>
      <w:r w:rsidRPr="00967D3B">
        <w:rPr>
          <w:rFonts w:ascii="Segoe UI Light" w:eastAsia="Times New Roman" w:hAnsi="Segoe UI Light" w:cs="Segoe UI"/>
          <w:lang w:eastAsia="en-AU" w:bidi="en-US"/>
        </w:rPr>
        <w:t>.</w:t>
      </w:r>
    </w:p>
    <w:p w14:paraId="22F952F9" w14:textId="3EE211B5" w:rsidR="00AE5D26" w:rsidRDefault="00967D3B" w:rsidP="00AE5D26">
      <w:pPr>
        <w:ind w:left="-567"/>
        <w:jc w:val="both"/>
        <w:rPr>
          <w:rFonts w:ascii="Segoe UI Light" w:eastAsia="Times New Roman" w:hAnsi="Segoe UI Light" w:cs="Segoe UI"/>
          <w:lang w:eastAsia="en-AU" w:bidi="en-US"/>
        </w:rPr>
      </w:pPr>
      <w:r w:rsidRPr="00967D3B">
        <w:rPr>
          <w:rFonts w:ascii="Segoe UI Light" w:eastAsia="Times New Roman" w:hAnsi="Segoe UI Light" w:cs="Segoe UI"/>
          <w:lang w:eastAsia="en-AU" w:bidi="en-US"/>
        </w:rPr>
        <w:t xml:space="preserve">Bring forward of funding for the </w:t>
      </w:r>
      <w:r>
        <w:rPr>
          <w:rFonts w:ascii="Segoe UI Light" w:eastAsia="Times New Roman" w:hAnsi="Segoe UI Light" w:cs="Segoe UI"/>
          <w:lang w:eastAsia="en-AU" w:bidi="en-US"/>
        </w:rPr>
        <w:t>financial year</w:t>
      </w:r>
      <w:r w:rsidRPr="00967D3B">
        <w:rPr>
          <w:rFonts w:ascii="Segoe UI Light" w:eastAsia="Times New Roman" w:hAnsi="Segoe UI Light" w:cs="Segoe UI"/>
          <w:lang w:eastAsia="en-AU" w:bidi="en-US"/>
        </w:rPr>
        <w:t xml:space="preserve"> is critical to ensure momentum is not lost and the </w:t>
      </w:r>
      <w:r>
        <w:rPr>
          <w:rFonts w:ascii="Segoe UI Light" w:eastAsia="Times New Roman" w:hAnsi="Segoe UI Light" w:cs="Segoe UI"/>
          <w:lang w:eastAsia="en-AU" w:bidi="en-US"/>
        </w:rPr>
        <w:t>P</w:t>
      </w:r>
      <w:r w:rsidRPr="00967D3B">
        <w:rPr>
          <w:rFonts w:ascii="Segoe UI Light" w:eastAsia="Times New Roman" w:hAnsi="Segoe UI Light" w:cs="Segoe UI"/>
          <w:lang w:eastAsia="en-AU" w:bidi="en-US"/>
        </w:rPr>
        <w:t>rogram experiences another hiatus.</w:t>
      </w:r>
      <w:r w:rsidR="00AE5D26" w:rsidRPr="00AE5D26">
        <w:rPr>
          <w:noProof/>
        </w:rPr>
        <w:t xml:space="preserve"> </w:t>
      </w:r>
    </w:p>
    <w:p w14:paraId="0BD28FB9" w14:textId="13B8D802" w:rsidR="008C17A1" w:rsidRDefault="008C17A1" w:rsidP="00036B49">
      <w:pPr>
        <w:pStyle w:val="NoSpacing"/>
        <w:spacing w:after="120"/>
        <w:ind w:left="-567"/>
        <w:jc w:val="both"/>
        <w:rPr>
          <w:rFonts w:ascii="Segoe UI Light" w:hAnsi="Segoe UI Light" w:cs="Segoe UI"/>
          <w:b/>
          <w:sz w:val="22"/>
          <w:szCs w:val="22"/>
          <w:lang w:bidi="en-US"/>
        </w:rPr>
      </w:pPr>
      <w:r>
        <w:rPr>
          <w:rFonts w:ascii="Segoe UI Light" w:hAnsi="Segoe UI Light" w:cs="Segoe UI"/>
          <w:b/>
          <w:sz w:val="22"/>
          <w:szCs w:val="22"/>
          <w:lang w:bidi="en-US"/>
        </w:rPr>
        <w:t>The Steering Committee:</w:t>
      </w:r>
    </w:p>
    <w:p w14:paraId="41D02ED1" w14:textId="2826089B" w:rsidR="00392D62" w:rsidRDefault="008C17A1" w:rsidP="00036B49">
      <w:pPr>
        <w:pStyle w:val="ListParagraph"/>
        <w:numPr>
          <w:ilvl w:val="0"/>
          <w:numId w:val="12"/>
        </w:numPr>
        <w:jc w:val="both"/>
        <w:rPr>
          <w:rFonts w:ascii="Segoe UI Light" w:hAnsi="Segoe UI Light" w:cs="Segoe UI"/>
          <w:lang w:eastAsia="en-AU" w:bidi="en-US"/>
        </w:rPr>
      </w:pPr>
      <w:r w:rsidRPr="00967D3B">
        <w:rPr>
          <w:rFonts w:ascii="Segoe UI Light" w:hAnsi="Segoe UI Light" w:cs="Segoe UI"/>
          <w:b/>
          <w:lang w:bidi="en-US"/>
        </w:rPr>
        <w:t xml:space="preserve">AGREED </w:t>
      </w:r>
      <w:r w:rsidR="00967D3B" w:rsidRPr="00967D3B">
        <w:rPr>
          <w:rFonts w:ascii="Segoe UI Light" w:hAnsi="Segoe UI Light" w:cs="Segoe UI"/>
          <w:lang w:eastAsia="en-AU" w:bidi="en-US"/>
        </w:rPr>
        <w:t>the report remain “confidential” to the cost share partners and people integrally involved in the Program until considered by the Agriculture Ministers.</w:t>
      </w:r>
    </w:p>
    <w:p w14:paraId="5624F70D" w14:textId="52A3CD4E" w:rsidR="00036B49" w:rsidRDefault="00036B49" w:rsidP="00036B49">
      <w:pPr>
        <w:jc w:val="both"/>
        <w:rPr>
          <w:rFonts w:ascii="Segoe UI Light" w:hAnsi="Segoe UI Light" w:cs="Segoe UI"/>
          <w:lang w:eastAsia="en-AU" w:bidi="en-US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473"/>
        <w:gridCol w:w="3852"/>
        <w:gridCol w:w="1605"/>
        <w:gridCol w:w="1358"/>
        <w:gridCol w:w="1608"/>
      </w:tblGrid>
      <w:tr w:rsidR="00036B49" w:rsidRPr="0086093F" w14:paraId="56A934D4" w14:textId="77777777" w:rsidTr="00EB13BF">
        <w:trPr>
          <w:tblHeader/>
        </w:trPr>
        <w:tc>
          <w:tcPr>
            <w:tcW w:w="2431" w:type="pct"/>
            <w:gridSpan w:val="2"/>
            <w:shd w:val="clear" w:color="auto" w:fill="ACB9CA" w:themeFill="text2" w:themeFillTint="66"/>
            <w:vAlign w:val="center"/>
          </w:tcPr>
          <w:p w14:paraId="5C0F9FC7" w14:textId="491FCDB6" w:rsidR="00036B49" w:rsidRPr="0086093F" w:rsidRDefault="00036B49" w:rsidP="00CA309C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 w:rsidRPr="0086093F">
              <w:rPr>
                <w:rFonts w:ascii="Segoe UI Light" w:eastAsia="Calibri" w:hAnsi="Segoe UI Light" w:cs="Segoe UI Light"/>
                <w:b/>
                <w:bCs/>
                <w:sz w:val="22"/>
                <w:szCs w:val="22"/>
              </w:rPr>
              <w:t>Action items</w:t>
            </w:r>
          </w:p>
        </w:tc>
        <w:tc>
          <w:tcPr>
            <w:tcW w:w="902" w:type="pct"/>
            <w:shd w:val="clear" w:color="auto" w:fill="ACB9CA" w:themeFill="text2" w:themeFillTint="66"/>
            <w:vAlign w:val="center"/>
          </w:tcPr>
          <w:p w14:paraId="5E716E3B" w14:textId="77777777" w:rsidR="00036B49" w:rsidRPr="0086093F" w:rsidRDefault="00036B49" w:rsidP="00CA309C">
            <w:pPr>
              <w:tabs>
                <w:tab w:val="left" w:pos="709"/>
                <w:tab w:val="right" w:pos="9214"/>
              </w:tabs>
              <w:spacing w:before="60" w:after="60"/>
              <w:jc w:val="center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 w:rsidRPr="0086093F">
              <w:rPr>
                <w:rFonts w:ascii="Segoe UI Light" w:eastAsia="Calibri" w:hAnsi="Segoe UI Light" w:cs="Segoe UI Light"/>
                <w:b/>
                <w:bCs/>
                <w:sz w:val="22"/>
                <w:szCs w:val="22"/>
              </w:rPr>
              <w:t>Responsibility</w:t>
            </w:r>
          </w:p>
        </w:tc>
        <w:tc>
          <w:tcPr>
            <w:tcW w:w="763" w:type="pct"/>
            <w:shd w:val="clear" w:color="auto" w:fill="ACB9CA" w:themeFill="text2" w:themeFillTint="66"/>
          </w:tcPr>
          <w:p w14:paraId="409EBE93" w14:textId="77777777" w:rsidR="00036B49" w:rsidRPr="0086093F" w:rsidRDefault="00036B49" w:rsidP="00CA309C">
            <w:pPr>
              <w:tabs>
                <w:tab w:val="left" w:pos="709"/>
                <w:tab w:val="right" w:pos="9214"/>
              </w:tabs>
              <w:spacing w:before="60" w:after="60"/>
              <w:jc w:val="center"/>
              <w:rPr>
                <w:rFonts w:ascii="Segoe UI Light" w:eastAsia="Calibri" w:hAnsi="Segoe UI Light" w:cs="Segoe UI Light"/>
                <w:b/>
                <w:bCs/>
                <w:sz w:val="22"/>
                <w:szCs w:val="22"/>
              </w:rPr>
            </w:pPr>
            <w:r w:rsidRPr="0086093F">
              <w:rPr>
                <w:rFonts w:ascii="Segoe UI Light" w:eastAsia="Calibri" w:hAnsi="Segoe UI Light" w:cs="Segoe UI Light"/>
                <w:b/>
                <w:bCs/>
                <w:sz w:val="22"/>
                <w:szCs w:val="22"/>
              </w:rPr>
              <w:t>Target</w:t>
            </w:r>
          </w:p>
        </w:tc>
        <w:tc>
          <w:tcPr>
            <w:tcW w:w="904" w:type="pct"/>
            <w:shd w:val="clear" w:color="auto" w:fill="ACB9CA" w:themeFill="text2" w:themeFillTint="66"/>
            <w:vAlign w:val="center"/>
          </w:tcPr>
          <w:p w14:paraId="2501F1E2" w14:textId="77777777" w:rsidR="00036B49" w:rsidRPr="0086093F" w:rsidRDefault="00036B49" w:rsidP="00CA309C">
            <w:pPr>
              <w:tabs>
                <w:tab w:val="left" w:pos="709"/>
                <w:tab w:val="right" w:pos="9214"/>
              </w:tabs>
              <w:spacing w:before="60" w:after="60"/>
              <w:jc w:val="center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 w:rsidRPr="0086093F">
              <w:rPr>
                <w:rFonts w:ascii="Segoe UI Light" w:eastAsia="Calibri" w:hAnsi="Segoe UI Light" w:cs="Segoe UI Light"/>
                <w:b/>
                <w:bCs/>
                <w:sz w:val="22"/>
                <w:szCs w:val="22"/>
              </w:rPr>
              <w:t>Status</w:t>
            </w:r>
          </w:p>
        </w:tc>
      </w:tr>
      <w:tr w:rsidR="00036B49" w:rsidRPr="0086093F" w14:paraId="29263293" w14:textId="77777777" w:rsidTr="00EB13BF">
        <w:tblPrEx>
          <w:tblLook w:val="06A0" w:firstRow="1" w:lastRow="0" w:firstColumn="1" w:lastColumn="0" w:noHBand="1" w:noVBand="1"/>
        </w:tblPrEx>
        <w:trPr>
          <w:trHeight w:val="489"/>
        </w:trPr>
        <w:tc>
          <w:tcPr>
            <w:tcW w:w="266" w:type="pct"/>
            <w:shd w:val="clear" w:color="auto" w:fill="auto"/>
          </w:tcPr>
          <w:p w14:paraId="345C9F07" w14:textId="43C9CB06" w:rsidR="00036B49" w:rsidRPr="0086093F" w:rsidRDefault="00036B49" w:rsidP="00CA309C">
            <w:pPr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1.</w:t>
            </w:r>
          </w:p>
        </w:tc>
        <w:tc>
          <w:tcPr>
            <w:tcW w:w="2165" w:type="pct"/>
            <w:shd w:val="clear" w:color="auto" w:fill="auto"/>
          </w:tcPr>
          <w:p w14:paraId="604DAC9A" w14:textId="2B72FEC2" w:rsidR="00036B49" w:rsidRPr="0086093F" w:rsidRDefault="004F71B9" w:rsidP="00CA309C">
            <w:pPr>
              <w:pStyle w:val="NoSpacing"/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Develop a business case for Options A (preferred) and C.</w:t>
            </w:r>
          </w:p>
        </w:tc>
        <w:tc>
          <w:tcPr>
            <w:tcW w:w="902" w:type="pct"/>
            <w:shd w:val="clear" w:color="auto" w:fill="auto"/>
          </w:tcPr>
          <w:p w14:paraId="1EE380B7" w14:textId="18FECF8A" w:rsidR="00036B49" w:rsidRPr="0086093F" w:rsidRDefault="004F71B9" w:rsidP="00CA309C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Program</w:t>
            </w:r>
          </w:p>
        </w:tc>
        <w:tc>
          <w:tcPr>
            <w:tcW w:w="763" w:type="pct"/>
            <w:shd w:val="clear" w:color="auto" w:fill="auto"/>
          </w:tcPr>
          <w:p w14:paraId="18CDAE1F" w14:textId="3F3ED1EC" w:rsidR="00036B49" w:rsidRPr="0086093F" w:rsidRDefault="00E325BE" w:rsidP="00CA309C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30 September 2021</w:t>
            </w:r>
          </w:p>
        </w:tc>
        <w:tc>
          <w:tcPr>
            <w:tcW w:w="904" w:type="pct"/>
            <w:shd w:val="clear" w:color="auto" w:fill="auto"/>
          </w:tcPr>
          <w:p w14:paraId="259D933C" w14:textId="34EC61AA" w:rsidR="00036B49" w:rsidRPr="0086093F" w:rsidRDefault="00EE458E" w:rsidP="00CA309C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Completed</w:t>
            </w:r>
          </w:p>
        </w:tc>
      </w:tr>
      <w:tr w:rsidR="00036B49" w:rsidRPr="0086093F" w14:paraId="2322BB93" w14:textId="77777777" w:rsidTr="00EB13BF">
        <w:tblPrEx>
          <w:tblLook w:val="06A0" w:firstRow="1" w:lastRow="0" w:firstColumn="1" w:lastColumn="0" w:noHBand="1" w:noVBand="1"/>
        </w:tblPrEx>
        <w:trPr>
          <w:trHeight w:val="489"/>
        </w:trPr>
        <w:tc>
          <w:tcPr>
            <w:tcW w:w="266" w:type="pct"/>
            <w:shd w:val="clear" w:color="auto" w:fill="auto"/>
          </w:tcPr>
          <w:p w14:paraId="4FA94AA8" w14:textId="61ACE104" w:rsidR="00036B49" w:rsidRPr="00EE458E" w:rsidRDefault="00036B49" w:rsidP="00CA309C">
            <w:pPr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 w:rsidRPr="00EE458E">
              <w:rPr>
                <w:rFonts w:ascii="Segoe UI Light" w:hAnsi="Segoe UI Light" w:cs="Segoe UI Light"/>
                <w:sz w:val="22"/>
                <w:szCs w:val="22"/>
              </w:rPr>
              <w:t>2.</w:t>
            </w:r>
          </w:p>
        </w:tc>
        <w:tc>
          <w:tcPr>
            <w:tcW w:w="2165" w:type="pct"/>
            <w:shd w:val="clear" w:color="auto" w:fill="auto"/>
          </w:tcPr>
          <w:p w14:paraId="2CA1DEAE" w14:textId="2F3EF6AE" w:rsidR="00036B49" w:rsidRPr="0086093F" w:rsidRDefault="00036B49" w:rsidP="00CA309C">
            <w:pPr>
              <w:pStyle w:val="NoSpacing"/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A draft response to the review recommendations be prepared for the Steering Committee.</w:t>
            </w:r>
          </w:p>
        </w:tc>
        <w:tc>
          <w:tcPr>
            <w:tcW w:w="902" w:type="pct"/>
            <w:shd w:val="clear" w:color="auto" w:fill="auto"/>
          </w:tcPr>
          <w:p w14:paraId="58E89645" w14:textId="17B785C0" w:rsidR="00036B49" w:rsidRPr="004F71B9" w:rsidRDefault="00036B49" w:rsidP="00CA309C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 w:rsidRPr="004F71B9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Program</w:t>
            </w:r>
          </w:p>
        </w:tc>
        <w:tc>
          <w:tcPr>
            <w:tcW w:w="763" w:type="pct"/>
            <w:shd w:val="clear" w:color="auto" w:fill="auto"/>
          </w:tcPr>
          <w:p w14:paraId="6DD9C5D5" w14:textId="1DB2D223" w:rsidR="00036B49" w:rsidRPr="004F71B9" w:rsidRDefault="004F71B9" w:rsidP="00CA309C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3</w:t>
            </w:r>
            <w:r w:rsidR="00036B49" w:rsidRPr="004F71B9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0 September 202</w:t>
            </w:r>
            <w:r w:rsidRPr="004F71B9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904" w:type="pct"/>
            <w:shd w:val="clear" w:color="auto" w:fill="auto"/>
          </w:tcPr>
          <w:p w14:paraId="56876461" w14:textId="76C7BE3D" w:rsidR="00036B49" w:rsidRPr="00EE458E" w:rsidRDefault="00EE458E" w:rsidP="00CA309C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 w:rsidRPr="00EE458E">
              <w:rPr>
                <w:rFonts w:ascii="Segoe UI Light" w:hAnsi="Segoe UI Light" w:cs="Segoe UI Light"/>
                <w:sz w:val="22"/>
                <w:szCs w:val="22"/>
              </w:rPr>
              <w:t>Completed</w:t>
            </w:r>
          </w:p>
        </w:tc>
      </w:tr>
    </w:tbl>
    <w:p w14:paraId="7108075E" w14:textId="77777777" w:rsidR="00036B49" w:rsidRPr="00036B49" w:rsidRDefault="00036B49" w:rsidP="00036B49">
      <w:pPr>
        <w:jc w:val="both"/>
        <w:rPr>
          <w:rFonts w:ascii="Segoe UI Light" w:hAnsi="Segoe UI Light" w:cs="Segoe UI"/>
          <w:lang w:eastAsia="en-AU" w:bidi="en-US"/>
        </w:rPr>
      </w:pPr>
    </w:p>
    <w:sectPr w:rsidR="00036B49" w:rsidRPr="00036B49" w:rsidSect="003939D7">
      <w:headerReference w:type="default" r:id="rId7"/>
      <w:footerReference w:type="default" r:id="rId8"/>
      <w:pgSz w:w="11906" w:h="16838"/>
      <w:pgMar w:top="851" w:right="1440" w:bottom="709" w:left="1560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0B3B" w14:textId="77777777" w:rsidR="00102120" w:rsidRDefault="00102120" w:rsidP="002A54BA">
      <w:pPr>
        <w:spacing w:after="0" w:line="240" w:lineRule="auto"/>
      </w:pPr>
      <w:r>
        <w:separator/>
      </w:r>
    </w:p>
  </w:endnote>
  <w:endnote w:type="continuationSeparator" w:id="0">
    <w:p w14:paraId="0F26B547" w14:textId="77777777" w:rsidR="00102120" w:rsidRDefault="00102120" w:rsidP="002A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776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79B3F" w14:textId="076DDA41" w:rsidR="002A54BA" w:rsidRDefault="002A54BA" w:rsidP="002A54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C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86B8499" w14:textId="77777777" w:rsidR="002A54BA" w:rsidRDefault="002A5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84EEC" w14:textId="77777777" w:rsidR="00102120" w:rsidRDefault="00102120" w:rsidP="002A54BA">
      <w:pPr>
        <w:spacing w:after="0" w:line="240" w:lineRule="auto"/>
      </w:pPr>
      <w:r>
        <w:separator/>
      </w:r>
    </w:p>
  </w:footnote>
  <w:footnote w:type="continuationSeparator" w:id="0">
    <w:p w14:paraId="532342B3" w14:textId="77777777" w:rsidR="00102120" w:rsidRDefault="00102120" w:rsidP="002A5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3430" w14:textId="3D0B111F" w:rsidR="00AE5D26" w:rsidRDefault="0091282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C9C9F6F" wp14:editId="27559B8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10687050" cy="1227455"/>
          <wp:effectExtent l="0" t="0" r="0" b="0"/>
          <wp:wrapTight wrapText="bothSides">
            <wp:wrapPolygon edited="0">
              <wp:start x="0" y="0"/>
              <wp:lineTo x="0" y="21120"/>
              <wp:lineTo x="21561" y="21120"/>
              <wp:lineTo x="21561" y="0"/>
              <wp:lineTo x="0" y="0"/>
            </wp:wrapPolygon>
          </wp:wrapTight>
          <wp:docPr id="1" name="Picture 1" descr="A picture containing screenshot, orang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creenshot, orang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0" cy="1227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1127"/>
    <w:multiLevelType w:val="hybridMultilevel"/>
    <w:tmpl w:val="76B6AEE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D3E09CE"/>
    <w:multiLevelType w:val="hybridMultilevel"/>
    <w:tmpl w:val="4CBE6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</w:lvl>
    <w:lvl w:ilvl="1">
      <w:start w:val="1"/>
      <w:numFmt w:val="none"/>
      <w:lvlText w:val="-"/>
      <w:lvlJc w:val="left"/>
      <w:pPr>
        <w:ind w:left="737" w:hanging="368"/>
      </w:pPr>
    </w:lvl>
    <w:lvl w:ilvl="2">
      <w:start w:val="1"/>
      <w:numFmt w:val="none"/>
      <w:lvlText w:val=":"/>
      <w:lvlJc w:val="left"/>
      <w:pPr>
        <w:ind w:left="1106" w:hanging="369"/>
      </w:pPr>
    </w:lvl>
    <w:lvl w:ilvl="3">
      <w:start w:val="1"/>
      <w:numFmt w:val="none"/>
      <w:lvlText w:val=""/>
      <w:lvlJc w:val="left"/>
      <w:pPr>
        <w:ind w:left="1474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7B1D3C"/>
    <w:multiLevelType w:val="hybridMultilevel"/>
    <w:tmpl w:val="6A989F8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40E25E0D"/>
    <w:multiLevelType w:val="hybridMultilevel"/>
    <w:tmpl w:val="E5A6B6C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077337B"/>
    <w:multiLevelType w:val="hybridMultilevel"/>
    <w:tmpl w:val="9EC0A260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58AD1DA2"/>
    <w:multiLevelType w:val="hybridMultilevel"/>
    <w:tmpl w:val="F552E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404CA"/>
    <w:multiLevelType w:val="hybridMultilevel"/>
    <w:tmpl w:val="05B076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00306"/>
    <w:multiLevelType w:val="hybridMultilevel"/>
    <w:tmpl w:val="6E0E7940"/>
    <w:lvl w:ilvl="0" w:tplc="0C090019">
      <w:start w:val="1"/>
      <w:numFmt w:val="lowerLetter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8734B56"/>
    <w:multiLevelType w:val="hybridMultilevel"/>
    <w:tmpl w:val="7384FBB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7B262BC5"/>
    <w:multiLevelType w:val="hybridMultilevel"/>
    <w:tmpl w:val="C2AE2FA2"/>
    <w:lvl w:ilvl="0" w:tplc="0C09000F">
      <w:start w:val="1"/>
      <w:numFmt w:val="decimal"/>
      <w:lvlText w:val="%1."/>
      <w:lvlJc w:val="left"/>
      <w:pPr>
        <w:ind w:left="153" w:hanging="360"/>
      </w:pPr>
    </w:lvl>
    <w:lvl w:ilvl="1" w:tplc="0C090019" w:tentative="1">
      <w:start w:val="1"/>
      <w:numFmt w:val="lowerLetter"/>
      <w:lvlText w:val="%2."/>
      <w:lvlJc w:val="left"/>
      <w:pPr>
        <w:ind w:left="873" w:hanging="360"/>
      </w:pPr>
    </w:lvl>
    <w:lvl w:ilvl="2" w:tplc="0C09001B" w:tentative="1">
      <w:start w:val="1"/>
      <w:numFmt w:val="lowerRoman"/>
      <w:lvlText w:val="%3."/>
      <w:lvlJc w:val="right"/>
      <w:pPr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570262254">
    <w:abstractNumId w:val="5"/>
  </w:num>
  <w:num w:numId="2" w16cid:durableId="1688481365">
    <w:abstractNumId w:val="4"/>
  </w:num>
  <w:num w:numId="3" w16cid:durableId="202255042">
    <w:abstractNumId w:val="10"/>
  </w:num>
  <w:num w:numId="4" w16cid:durableId="1569417808">
    <w:abstractNumId w:val="1"/>
  </w:num>
  <w:num w:numId="5" w16cid:durableId="12769130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3999708">
    <w:abstractNumId w:val="7"/>
  </w:num>
  <w:num w:numId="7" w16cid:durableId="604002890">
    <w:abstractNumId w:val="3"/>
  </w:num>
  <w:num w:numId="8" w16cid:durableId="659163964">
    <w:abstractNumId w:val="9"/>
  </w:num>
  <w:num w:numId="9" w16cid:durableId="6315254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4303313">
    <w:abstractNumId w:val="8"/>
  </w:num>
  <w:num w:numId="11" w16cid:durableId="1855605638">
    <w:abstractNumId w:val="0"/>
  </w:num>
  <w:num w:numId="12" w16cid:durableId="1741171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98"/>
    <w:rsid w:val="0001416C"/>
    <w:rsid w:val="00020FB9"/>
    <w:rsid w:val="00036B49"/>
    <w:rsid w:val="000845D4"/>
    <w:rsid w:val="00102120"/>
    <w:rsid w:val="00120D68"/>
    <w:rsid w:val="0012111F"/>
    <w:rsid w:val="0015639C"/>
    <w:rsid w:val="00160B54"/>
    <w:rsid w:val="001E7AEA"/>
    <w:rsid w:val="001F1227"/>
    <w:rsid w:val="00233C7F"/>
    <w:rsid w:val="00274C87"/>
    <w:rsid w:val="002A08CD"/>
    <w:rsid w:val="002A54BA"/>
    <w:rsid w:val="002B0FB2"/>
    <w:rsid w:val="002B4102"/>
    <w:rsid w:val="002B7804"/>
    <w:rsid w:val="002E1B58"/>
    <w:rsid w:val="00300D38"/>
    <w:rsid w:val="00300E1E"/>
    <w:rsid w:val="00303234"/>
    <w:rsid w:val="0030432D"/>
    <w:rsid w:val="0032116A"/>
    <w:rsid w:val="00337149"/>
    <w:rsid w:val="00341422"/>
    <w:rsid w:val="003424C9"/>
    <w:rsid w:val="003728D0"/>
    <w:rsid w:val="00392D62"/>
    <w:rsid w:val="003939D7"/>
    <w:rsid w:val="003B2225"/>
    <w:rsid w:val="003C2F1C"/>
    <w:rsid w:val="003C5130"/>
    <w:rsid w:val="004125C7"/>
    <w:rsid w:val="004279B0"/>
    <w:rsid w:val="00432748"/>
    <w:rsid w:val="00456A00"/>
    <w:rsid w:val="00484BA0"/>
    <w:rsid w:val="00493EFC"/>
    <w:rsid w:val="004B4088"/>
    <w:rsid w:val="004C3543"/>
    <w:rsid w:val="004E4128"/>
    <w:rsid w:val="004E5E6A"/>
    <w:rsid w:val="004F578A"/>
    <w:rsid w:val="004F71B9"/>
    <w:rsid w:val="00503E0B"/>
    <w:rsid w:val="00505F64"/>
    <w:rsid w:val="00523900"/>
    <w:rsid w:val="00524597"/>
    <w:rsid w:val="00536054"/>
    <w:rsid w:val="005546D3"/>
    <w:rsid w:val="00556B30"/>
    <w:rsid w:val="005A750A"/>
    <w:rsid w:val="005B40A2"/>
    <w:rsid w:val="005C3A7D"/>
    <w:rsid w:val="005D357A"/>
    <w:rsid w:val="005F03F7"/>
    <w:rsid w:val="005F1454"/>
    <w:rsid w:val="00602696"/>
    <w:rsid w:val="006479C9"/>
    <w:rsid w:val="00673AFB"/>
    <w:rsid w:val="00681B4C"/>
    <w:rsid w:val="00690D53"/>
    <w:rsid w:val="006946B1"/>
    <w:rsid w:val="006A4EB6"/>
    <w:rsid w:val="006C1575"/>
    <w:rsid w:val="006F6B92"/>
    <w:rsid w:val="00702BE5"/>
    <w:rsid w:val="00716F9A"/>
    <w:rsid w:val="00722F30"/>
    <w:rsid w:val="00763144"/>
    <w:rsid w:val="00763DE6"/>
    <w:rsid w:val="00782EF5"/>
    <w:rsid w:val="007D254F"/>
    <w:rsid w:val="00801F85"/>
    <w:rsid w:val="00824BAE"/>
    <w:rsid w:val="008343CE"/>
    <w:rsid w:val="00855FF9"/>
    <w:rsid w:val="0086725D"/>
    <w:rsid w:val="00886BB8"/>
    <w:rsid w:val="00886F0D"/>
    <w:rsid w:val="008B0E04"/>
    <w:rsid w:val="008C17A1"/>
    <w:rsid w:val="008D3191"/>
    <w:rsid w:val="008D4E32"/>
    <w:rsid w:val="008F134F"/>
    <w:rsid w:val="008F22EA"/>
    <w:rsid w:val="008F257B"/>
    <w:rsid w:val="00901383"/>
    <w:rsid w:val="0091282F"/>
    <w:rsid w:val="00925086"/>
    <w:rsid w:val="00967D3B"/>
    <w:rsid w:val="00971142"/>
    <w:rsid w:val="00976453"/>
    <w:rsid w:val="009A1064"/>
    <w:rsid w:val="009A1483"/>
    <w:rsid w:val="009B08BE"/>
    <w:rsid w:val="009C6890"/>
    <w:rsid w:val="009D78BB"/>
    <w:rsid w:val="009F2BB6"/>
    <w:rsid w:val="00A06ADB"/>
    <w:rsid w:val="00A315CE"/>
    <w:rsid w:val="00A32C62"/>
    <w:rsid w:val="00A361D3"/>
    <w:rsid w:val="00A556B2"/>
    <w:rsid w:val="00A60BD1"/>
    <w:rsid w:val="00A841C3"/>
    <w:rsid w:val="00A9076E"/>
    <w:rsid w:val="00A97474"/>
    <w:rsid w:val="00AA21C9"/>
    <w:rsid w:val="00AC2507"/>
    <w:rsid w:val="00AE1B2F"/>
    <w:rsid w:val="00AE5D26"/>
    <w:rsid w:val="00AF099A"/>
    <w:rsid w:val="00B21A3B"/>
    <w:rsid w:val="00B57833"/>
    <w:rsid w:val="00B754F9"/>
    <w:rsid w:val="00BB4BC4"/>
    <w:rsid w:val="00BB522F"/>
    <w:rsid w:val="00BE4E37"/>
    <w:rsid w:val="00BF28E2"/>
    <w:rsid w:val="00C16095"/>
    <w:rsid w:val="00C26D85"/>
    <w:rsid w:val="00CA4F3D"/>
    <w:rsid w:val="00CA5330"/>
    <w:rsid w:val="00CB3989"/>
    <w:rsid w:val="00CC1ACE"/>
    <w:rsid w:val="00CE6621"/>
    <w:rsid w:val="00D11D41"/>
    <w:rsid w:val="00D1487C"/>
    <w:rsid w:val="00D203C3"/>
    <w:rsid w:val="00D9145B"/>
    <w:rsid w:val="00D934A3"/>
    <w:rsid w:val="00DA7898"/>
    <w:rsid w:val="00DE4DE9"/>
    <w:rsid w:val="00DF2602"/>
    <w:rsid w:val="00E056B2"/>
    <w:rsid w:val="00E12E13"/>
    <w:rsid w:val="00E216D8"/>
    <w:rsid w:val="00E27B6E"/>
    <w:rsid w:val="00E325BE"/>
    <w:rsid w:val="00E54F22"/>
    <w:rsid w:val="00E57669"/>
    <w:rsid w:val="00E63C4E"/>
    <w:rsid w:val="00E64321"/>
    <w:rsid w:val="00E817B7"/>
    <w:rsid w:val="00E92002"/>
    <w:rsid w:val="00EA19CA"/>
    <w:rsid w:val="00EA70F1"/>
    <w:rsid w:val="00EB13BF"/>
    <w:rsid w:val="00EE458E"/>
    <w:rsid w:val="00F322DA"/>
    <w:rsid w:val="00F40ADC"/>
    <w:rsid w:val="00F52BB1"/>
    <w:rsid w:val="00F83589"/>
    <w:rsid w:val="00F911FC"/>
    <w:rsid w:val="00F918D7"/>
    <w:rsid w:val="00F93F22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1A1C3D"/>
  <w15:chartTrackingRefBased/>
  <w15:docId w15:val="{CCD3BEEF-BC11-418E-B912-C99C6C1C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B4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789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A789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A7898"/>
    <w:pPr>
      <w:spacing w:after="0" w:line="240" w:lineRule="auto"/>
    </w:pPr>
    <w:rPr>
      <w:rFonts w:ascii="Arial" w:eastAsia="Times New Roman" w:hAnsi="Arial" w:cs="Arial"/>
      <w:sz w:val="18"/>
      <w:szCs w:val="18"/>
      <w:lang w:eastAsia="en-AU"/>
    </w:rPr>
  </w:style>
  <w:style w:type="table" w:styleId="TableGrid">
    <w:name w:val="Table Grid"/>
    <w:basedOn w:val="TableNormal"/>
    <w:uiPriority w:val="39"/>
    <w:rsid w:val="00DA7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A5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4BA"/>
  </w:style>
  <w:style w:type="paragraph" w:styleId="BalloonText">
    <w:name w:val="Balloon Text"/>
    <w:basedOn w:val="Normal"/>
    <w:link w:val="BalloonTextChar"/>
    <w:uiPriority w:val="99"/>
    <w:semiHidden/>
    <w:unhideWhenUsed/>
    <w:rsid w:val="009C6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8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B30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A974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97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4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4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4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 September 2021 Extraordinry Steering Committee meeting minutes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Red Imported Fire Ant Eradication Program Steering Committee 9 September 2021 (Extraordinary)</dc:title>
  <dc:subject>Fire Ant</dc:subject>
  <dc:creator>National Red Imported Fire Ant Eradication Program</dc:creator>
  <dc:description/>
  <cp:lastModifiedBy>Catherine Dimmack</cp:lastModifiedBy>
  <cp:revision>4</cp:revision>
  <dcterms:created xsi:type="dcterms:W3CDTF">2023-05-22T22:53:00Z</dcterms:created>
  <dcterms:modified xsi:type="dcterms:W3CDTF">2023-06-04T23:36:00Z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