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9493" w:type="dxa"/>
        <w:tblLook w:val="04A0" w:firstRow="1" w:lastRow="0" w:firstColumn="1" w:lastColumn="0" w:noHBand="0" w:noVBand="1"/>
      </w:tblPr>
      <w:tblGrid>
        <w:gridCol w:w="2287"/>
        <w:gridCol w:w="7206"/>
      </w:tblGrid>
      <w:tr w:rsidR="004D73BF" w14:paraId="4D9861A2" w14:textId="77777777" w:rsidTr="00604B9F">
        <w:tc>
          <w:tcPr>
            <w:tcW w:w="2287" w:type="dxa"/>
          </w:tcPr>
          <w:p w14:paraId="1AD7B6AC" w14:textId="3CA114EA" w:rsidR="004D73BF" w:rsidRDefault="00FE3839" w:rsidP="00FE3839">
            <w:pPr>
              <w:spacing w:before="40" w:after="40"/>
              <w:rPr>
                <w:lang w:eastAsia="ja-JP"/>
              </w:rPr>
            </w:pPr>
            <w:r>
              <w:rPr>
                <w:lang w:eastAsia="ja-JP"/>
              </w:rPr>
              <w:t>R</w:t>
            </w:r>
            <w:r w:rsidR="004E35F9">
              <w:rPr>
                <w:lang w:eastAsia="ja-JP"/>
              </w:rPr>
              <w:t>esource t</w:t>
            </w:r>
            <w:r w:rsidR="004D73BF">
              <w:rPr>
                <w:lang w:eastAsia="ja-JP"/>
              </w:rPr>
              <w:t>itle</w:t>
            </w:r>
          </w:p>
        </w:tc>
        <w:tc>
          <w:tcPr>
            <w:tcW w:w="7206" w:type="dxa"/>
          </w:tcPr>
          <w:p w14:paraId="60879CD4" w14:textId="6D983F64" w:rsidR="004D73BF" w:rsidRPr="00BC633D" w:rsidRDefault="009F3539" w:rsidP="004F210A">
            <w:pPr>
              <w:spacing w:before="40" w:after="40"/>
              <w:rPr>
                <w:lang w:eastAsia="ja-JP"/>
              </w:rPr>
            </w:pPr>
            <w:hyperlink r:id="rId8" w:history="1">
              <w:r w:rsidR="004F210A" w:rsidRPr="003C7E7A">
                <w:rPr>
                  <w:rStyle w:val="Hyperlink"/>
                  <w:i/>
                  <w:lang w:eastAsia="ja-JP"/>
                </w:rPr>
                <w:t>Forests of Australia (</w:t>
              </w:r>
              <w:r w:rsidR="00C62979" w:rsidRPr="003C7E7A">
                <w:rPr>
                  <w:rStyle w:val="Hyperlink"/>
                  <w:i/>
                  <w:lang w:eastAsia="ja-JP"/>
                </w:rPr>
                <w:t>2023</w:t>
              </w:r>
              <w:r w:rsidR="004F210A" w:rsidRPr="003C7E7A">
                <w:rPr>
                  <w:rStyle w:val="Hyperlink"/>
                  <w:i/>
                  <w:lang w:eastAsia="ja-JP"/>
                </w:rPr>
                <w:t>)</w:t>
              </w:r>
            </w:hyperlink>
            <w:r w:rsidR="004F210A" w:rsidRPr="00BC633D">
              <w:rPr>
                <w:rStyle w:val="Hyperlink"/>
                <w:color w:val="auto"/>
                <w:u w:val="none"/>
                <w:lang w:eastAsia="ja-JP"/>
              </w:rPr>
              <w:t xml:space="preserve"> </w:t>
            </w:r>
            <w:r w:rsidR="00FE3839" w:rsidRPr="00BC633D">
              <w:rPr>
                <w:rStyle w:val="Hyperlink"/>
                <w:color w:val="auto"/>
                <w:u w:val="none"/>
                <w:lang w:eastAsia="ja-JP"/>
              </w:rPr>
              <w:t>dataset</w:t>
            </w:r>
            <w:r w:rsidR="00C62979">
              <w:rPr>
                <w:rStyle w:val="Hyperlink"/>
                <w:color w:val="auto"/>
                <w:u w:val="none"/>
                <w:lang w:eastAsia="ja-JP"/>
              </w:rPr>
              <w:t xml:space="preserve"> </w:t>
            </w:r>
          </w:p>
        </w:tc>
      </w:tr>
      <w:tr w:rsidR="00F51CD3" w14:paraId="35C20785" w14:textId="77777777" w:rsidTr="00604B9F">
        <w:tc>
          <w:tcPr>
            <w:tcW w:w="2287" w:type="dxa"/>
          </w:tcPr>
          <w:p w14:paraId="69E65DEA" w14:textId="77777777" w:rsidR="00F51CD3" w:rsidRDefault="00F51CD3" w:rsidP="00F51CD3">
            <w:pPr>
              <w:spacing w:before="40" w:after="40"/>
              <w:rPr>
                <w:lang w:eastAsia="ja-JP"/>
              </w:rPr>
            </w:pPr>
            <w:r>
              <w:rPr>
                <w:lang w:eastAsia="ja-JP"/>
              </w:rPr>
              <w:t>Citation</w:t>
            </w:r>
          </w:p>
        </w:tc>
        <w:tc>
          <w:tcPr>
            <w:tcW w:w="7206" w:type="dxa"/>
          </w:tcPr>
          <w:p w14:paraId="45ADC096" w14:textId="529F3416" w:rsidR="00F51CD3" w:rsidRDefault="00F51CD3" w:rsidP="004F210A">
            <w:pPr>
              <w:spacing w:before="40" w:after="40"/>
              <w:rPr>
                <w:lang w:eastAsia="ja-JP"/>
              </w:rPr>
            </w:pPr>
            <w:r w:rsidRPr="004D73BF">
              <w:rPr>
                <w:lang w:eastAsia="ja-JP"/>
              </w:rPr>
              <w:t xml:space="preserve">Australian Bureau of Agricultural and Resource Economics and Sciences, </w:t>
            </w:r>
            <w:r w:rsidR="004F210A">
              <w:rPr>
                <w:i/>
                <w:lang w:eastAsia="ja-JP"/>
              </w:rPr>
              <w:t>Forests of Australia</w:t>
            </w:r>
            <w:r w:rsidRPr="00F51CD3">
              <w:rPr>
                <w:i/>
                <w:lang w:eastAsia="ja-JP"/>
              </w:rPr>
              <w:t xml:space="preserve"> (</w:t>
            </w:r>
            <w:r w:rsidR="00C62979" w:rsidRPr="00F51CD3">
              <w:rPr>
                <w:i/>
                <w:lang w:eastAsia="ja-JP"/>
              </w:rPr>
              <w:t>20</w:t>
            </w:r>
            <w:r w:rsidR="00C62979">
              <w:rPr>
                <w:i/>
                <w:lang w:eastAsia="ja-JP"/>
              </w:rPr>
              <w:t>23</w:t>
            </w:r>
            <w:r w:rsidRPr="00F51CD3">
              <w:rPr>
                <w:i/>
                <w:lang w:eastAsia="ja-JP"/>
              </w:rPr>
              <w:t>)</w:t>
            </w:r>
            <w:r w:rsidRPr="004D73BF">
              <w:rPr>
                <w:lang w:eastAsia="ja-JP"/>
              </w:rPr>
              <w:t xml:space="preserve">, Australian Bureau of Agricultural and Resource Economics and Sciences, Canberra, </w:t>
            </w:r>
            <w:r w:rsidR="003C7E7A">
              <w:rPr>
                <w:lang w:eastAsia="ja-JP"/>
              </w:rPr>
              <w:t>December</w:t>
            </w:r>
            <w:r w:rsidRPr="004D73BF">
              <w:rPr>
                <w:lang w:eastAsia="ja-JP"/>
              </w:rPr>
              <w:t>. CC BY 4.0</w:t>
            </w:r>
          </w:p>
        </w:tc>
      </w:tr>
      <w:tr w:rsidR="005755C0" w14:paraId="0CEF76BE" w14:textId="77777777" w:rsidTr="00604B9F">
        <w:tc>
          <w:tcPr>
            <w:tcW w:w="2287" w:type="dxa"/>
          </w:tcPr>
          <w:p w14:paraId="6FA748AA" w14:textId="77777777" w:rsidR="005755C0" w:rsidRDefault="005755C0" w:rsidP="005755C0">
            <w:pPr>
              <w:spacing w:before="40" w:after="40"/>
              <w:rPr>
                <w:lang w:eastAsia="ja-JP"/>
              </w:rPr>
            </w:pPr>
            <w:r>
              <w:rPr>
                <w:lang w:eastAsia="ja-JP"/>
              </w:rPr>
              <w:t>Digital object identifier (DOI)</w:t>
            </w:r>
          </w:p>
        </w:tc>
        <w:tc>
          <w:tcPr>
            <w:tcW w:w="7206" w:type="dxa"/>
          </w:tcPr>
          <w:p w14:paraId="7F9B894E" w14:textId="409E027D" w:rsidR="005755C0" w:rsidRPr="003C7E7A" w:rsidRDefault="009F3539" w:rsidP="00F51CD3">
            <w:pPr>
              <w:spacing w:before="40" w:after="40"/>
              <w:rPr>
                <w:lang w:eastAsia="ja-JP"/>
              </w:rPr>
            </w:pPr>
            <w:hyperlink r:id="rId9" w:history="1">
              <w:r w:rsidR="001965B7" w:rsidRPr="003C7E7A">
                <w:rPr>
                  <w:rStyle w:val="Hyperlink"/>
                  <w:rFonts w:cstheme="minorHAnsi"/>
                </w:rPr>
                <w:t>www.doi.org/</w:t>
              </w:r>
              <w:r w:rsidR="001965B7" w:rsidRPr="003C7E7A">
                <w:rPr>
                  <w:rStyle w:val="Hyperlink"/>
                </w:rPr>
                <w:t>10.25814/6cay-a361</w:t>
              </w:r>
              <w:r w:rsidR="001965B7" w:rsidRPr="003C7E7A">
                <w:rPr>
                  <w:rStyle w:val="Hyperlink"/>
                  <w:rFonts w:cstheme="minorHAnsi"/>
                </w:rPr>
                <w:t xml:space="preserve"> </w:t>
              </w:r>
            </w:hyperlink>
            <w:r w:rsidR="005755C0" w:rsidRPr="003C7E7A">
              <w:t xml:space="preserve"> </w:t>
            </w:r>
          </w:p>
        </w:tc>
      </w:tr>
      <w:tr w:rsidR="00F51CD3" w14:paraId="0FFE365A" w14:textId="77777777" w:rsidTr="007117C6">
        <w:tc>
          <w:tcPr>
            <w:tcW w:w="9493" w:type="dxa"/>
            <w:gridSpan w:val="2"/>
            <w:shd w:val="clear" w:color="auto" w:fill="D9D9D9" w:themeFill="background1" w:themeFillShade="D9"/>
          </w:tcPr>
          <w:p w14:paraId="59AAFECF" w14:textId="77777777" w:rsidR="00F51CD3" w:rsidRPr="007117C6" w:rsidRDefault="00F51CD3" w:rsidP="00F51CD3">
            <w:pPr>
              <w:spacing w:before="40" w:after="40"/>
              <w:rPr>
                <w:sz w:val="12"/>
                <w:lang w:eastAsia="ja-JP"/>
              </w:rPr>
            </w:pPr>
          </w:p>
        </w:tc>
      </w:tr>
      <w:tr w:rsidR="00F51CD3" w14:paraId="7FA829E6" w14:textId="77777777" w:rsidTr="00604B9F">
        <w:tc>
          <w:tcPr>
            <w:tcW w:w="2287" w:type="dxa"/>
            <w:vMerge w:val="restart"/>
          </w:tcPr>
          <w:p w14:paraId="2677C46F" w14:textId="77777777" w:rsidR="00F51CD3" w:rsidRDefault="00F51CD3" w:rsidP="00F51CD3">
            <w:pPr>
              <w:spacing w:before="40" w:after="40"/>
              <w:rPr>
                <w:lang w:eastAsia="ja-JP"/>
              </w:rPr>
            </w:pPr>
            <w:r>
              <w:rPr>
                <w:lang w:eastAsia="ja-JP"/>
              </w:rPr>
              <w:t>Custodian</w:t>
            </w:r>
          </w:p>
          <w:p w14:paraId="5BB79078" w14:textId="77777777" w:rsidR="00F51CD3" w:rsidRDefault="00F51CD3" w:rsidP="00F51CD3">
            <w:pPr>
              <w:spacing w:before="40" w:after="40"/>
              <w:rPr>
                <w:lang w:eastAsia="ja-JP"/>
              </w:rPr>
            </w:pPr>
          </w:p>
          <w:p w14:paraId="2C2E23A3" w14:textId="77777777" w:rsidR="00F51CD3" w:rsidRDefault="00F51CD3" w:rsidP="00F51CD3">
            <w:pPr>
              <w:spacing w:before="40" w:after="40"/>
              <w:rPr>
                <w:lang w:eastAsia="ja-JP"/>
              </w:rPr>
            </w:pPr>
          </w:p>
          <w:p w14:paraId="0119E81B" w14:textId="77777777" w:rsidR="00F51CD3" w:rsidRDefault="00F51CD3" w:rsidP="00F51CD3">
            <w:pPr>
              <w:spacing w:before="40" w:after="40"/>
              <w:rPr>
                <w:lang w:eastAsia="ja-JP"/>
              </w:rPr>
            </w:pPr>
            <w:r>
              <w:rPr>
                <w:lang w:eastAsia="ja-JP"/>
              </w:rPr>
              <w:t>Jurisdiction</w:t>
            </w:r>
          </w:p>
        </w:tc>
        <w:tc>
          <w:tcPr>
            <w:tcW w:w="7206" w:type="dxa"/>
          </w:tcPr>
          <w:p w14:paraId="59E9F6A6" w14:textId="0722FCD5" w:rsidR="00F51CD3" w:rsidRDefault="00F51CD3" w:rsidP="00F51CD3">
            <w:pPr>
              <w:spacing w:before="40" w:after="40"/>
              <w:rPr>
                <w:lang w:eastAsia="ja-JP"/>
              </w:rPr>
            </w:pPr>
            <w:r>
              <w:rPr>
                <w:lang w:eastAsia="ja-JP"/>
              </w:rPr>
              <w:t>Australian Government Department of Agriculture</w:t>
            </w:r>
            <w:r w:rsidR="00C62979">
              <w:rPr>
                <w:lang w:eastAsia="ja-JP"/>
              </w:rPr>
              <w:t>, Fisheries and Forestry</w:t>
            </w:r>
            <w:r>
              <w:rPr>
                <w:lang w:eastAsia="ja-JP"/>
              </w:rPr>
              <w:t xml:space="preserve"> – Australian Bureau of Agricultural and Resource Economics and Sciences (ABARES)</w:t>
            </w:r>
          </w:p>
        </w:tc>
      </w:tr>
      <w:tr w:rsidR="00F51CD3" w14:paraId="3F8D25BA" w14:textId="77777777" w:rsidTr="00604B9F">
        <w:tc>
          <w:tcPr>
            <w:tcW w:w="2287" w:type="dxa"/>
            <w:vMerge/>
          </w:tcPr>
          <w:p w14:paraId="715C61ED" w14:textId="77777777" w:rsidR="00F51CD3" w:rsidRDefault="00F51CD3" w:rsidP="00F51CD3">
            <w:pPr>
              <w:spacing w:before="40" w:after="40"/>
              <w:rPr>
                <w:lang w:eastAsia="ja-JP"/>
              </w:rPr>
            </w:pPr>
          </w:p>
        </w:tc>
        <w:tc>
          <w:tcPr>
            <w:tcW w:w="7206" w:type="dxa"/>
          </w:tcPr>
          <w:p w14:paraId="0025A73B" w14:textId="77777777" w:rsidR="00F51CD3" w:rsidRDefault="00F51CD3" w:rsidP="00F51CD3">
            <w:pPr>
              <w:spacing w:before="40" w:after="40"/>
              <w:rPr>
                <w:lang w:eastAsia="ja-JP"/>
              </w:rPr>
            </w:pPr>
            <w:r>
              <w:rPr>
                <w:lang w:eastAsia="ja-JP"/>
              </w:rPr>
              <w:t>Australia</w:t>
            </w:r>
          </w:p>
        </w:tc>
      </w:tr>
      <w:tr w:rsidR="00F51CD3" w14:paraId="16FFACEE" w14:textId="77777777" w:rsidTr="00604B9F">
        <w:tc>
          <w:tcPr>
            <w:tcW w:w="2287" w:type="dxa"/>
            <w:vMerge w:val="restart"/>
          </w:tcPr>
          <w:p w14:paraId="24ED1941" w14:textId="77777777" w:rsidR="00F51CD3" w:rsidRDefault="00F51CD3" w:rsidP="00F51CD3">
            <w:pPr>
              <w:spacing w:before="40" w:after="40"/>
              <w:rPr>
                <w:lang w:eastAsia="ja-JP"/>
              </w:rPr>
            </w:pPr>
            <w:r>
              <w:rPr>
                <w:lang w:eastAsia="ja-JP"/>
              </w:rPr>
              <w:t>Contact organisation</w:t>
            </w:r>
          </w:p>
          <w:p w14:paraId="36EE9BD2" w14:textId="77777777" w:rsidR="00F51CD3" w:rsidRDefault="00F51CD3" w:rsidP="00F51CD3">
            <w:pPr>
              <w:spacing w:before="40" w:after="40"/>
              <w:rPr>
                <w:lang w:eastAsia="ja-JP"/>
              </w:rPr>
            </w:pPr>
            <w:r>
              <w:rPr>
                <w:lang w:eastAsia="ja-JP"/>
              </w:rPr>
              <w:t>Address</w:t>
            </w:r>
          </w:p>
          <w:p w14:paraId="7ADC8C85" w14:textId="77777777" w:rsidR="00F51CD3" w:rsidRDefault="00F51CD3" w:rsidP="00F51CD3">
            <w:pPr>
              <w:spacing w:before="40" w:after="40"/>
              <w:rPr>
                <w:lang w:eastAsia="ja-JP"/>
              </w:rPr>
            </w:pPr>
            <w:r>
              <w:rPr>
                <w:lang w:eastAsia="ja-JP"/>
              </w:rPr>
              <w:t>Email</w:t>
            </w:r>
          </w:p>
        </w:tc>
        <w:tc>
          <w:tcPr>
            <w:tcW w:w="7206" w:type="dxa"/>
          </w:tcPr>
          <w:p w14:paraId="7A07C439" w14:textId="77777777" w:rsidR="00F51CD3" w:rsidRDefault="00F51CD3" w:rsidP="00F51CD3">
            <w:pPr>
              <w:spacing w:before="40" w:after="40"/>
              <w:rPr>
                <w:lang w:eastAsia="ja-JP"/>
              </w:rPr>
            </w:pPr>
            <w:r>
              <w:rPr>
                <w:lang w:eastAsia="ja-JP"/>
              </w:rPr>
              <w:t>ABARES</w:t>
            </w:r>
          </w:p>
        </w:tc>
      </w:tr>
      <w:tr w:rsidR="00F51CD3" w14:paraId="33183761" w14:textId="77777777" w:rsidTr="00604B9F">
        <w:tc>
          <w:tcPr>
            <w:tcW w:w="2287" w:type="dxa"/>
            <w:vMerge/>
          </w:tcPr>
          <w:p w14:paraId="6999E16D" w14:textId="77777777" w:rsidR="00F51CD3" w:rsidRDefault="00F51CD3" w:rsidP="00F51CD3">
            <w:pPr>
              <w:spacing w:before="40" w:after="40"/>
              <w:rPr>
                <w:lang w:eastAsia="ja-JP"/>
              </w:rPr>
            </w:pPr>
          </w:p>
        </w:tc>
        <w:tc>
          <w:tcPr>
            <w:tcW w:w="7206" w:type="dxa"/>
          </w:tcPr>
          <w:p w14:paraId="4F6A10ED" w14:textId="77777777" w:rsidR="00F51CD3" w:rsidRDefault="00F51CD3" w:rsidP="00F51CD3">
            <w:pPr>
              <w:spacing w:before="40" w:after="40"/>
              <w:rPr>
                <w:lang w:eastAsia="ja-JP"/>
              </w:rPr>
            </w:pPr>
            <w:r>
              <w:rPr>
                <w:lang w:eastAsia="ja-JP"/>
              </w:rPr>
              <w:t>GPO Box 858 Canberra ACT Australia 2601</w:t>
            </w:r>
          </w:p>
        </w:tc>
      </w:tr>
      <w:tr w:rsidR="00F51CD3" w14:paraId="75E91AD5" w14:textId="77777777" w:rsidTr="00604B9F">
        <w:tc>
          <w:tcPr>
            <w:tcW w:w="2287" w:type="dxa"/>
            <w:vMerge/>
          </w:tcPr>
          <w:p w14:paraId="43115190" w14:textId="77777777" w:rsidR="00F51CD3" w:rsidRDefault="00F51CD3" w:rsidP="00F51CD3">
            <w:pPr>
              <w:spacing w:before="40" w:after="40"/>
              <w:rPr>
                <w:lang w:eastAsia="ja-JP"/>
              </w:rPr>
            </w:pPr>
          </w:p>
        </w:tc>
        <w:tc>
          <w:tcPr>
            <w:tcW w:w="7206" w:type="dxa"/>
          </w:tcPr>
          <w:p w14:paraId="0A72EC8A" w14:textId="443A21F0" w:rsidR="00F51CD3" w:rsidRDefault="009F3539" w:rsidP="00F51CD3">
            <w:pPr>
              <w:spacing w:before="40" w:after="40"/>
              <w:rPr>
                <w:lang w:eastAsia="ja-JP"/>
              </w:rPr>
            </w:pPr>
            <w:hyperlink r:id="rId10" w:history="1">
              <w:r w:rsidR="00F51CD3" w:rsidRPr="00E52F39">
                <w:rPr>
                  <w:rStyle w:val="Hyperlink"/>
                  <w:lang w:eastAsia="ja-JP"/>
                </w:rPr>
                <w:t>info.ABARES@agriculture.gov.au</w:t>
              </w:r>
            </w:hyperlink>
            <w:r w:rsidR="00F51CD3" w:rsidRPr="00E52F39">
              <w:rPr>
                <w:lang w:eastAsia="ja-JP"/>
              </w:rPr>
              <w:t>​</w:t>
            </w:r>
            <w:r w:rsidR="00C62979">
              <w:rPr>
                <w:lang w:eastAsia="ja-JP"/>
              </w:rPr>
              <w:t xml:space="preserve"> </w:t>
            </w:r>
          </w:p>
        </w:tc>
      </w:tr>
      <w:tr w:rsidR="00F51CD3" w14:paraId="37EFAA7B" w14:textId="77777777" w:rsidTr="00153BE1">
        <w:trPr>
          <w:trHeight w:val="70"/>
        </w:trPr>
        <w:tc>
          <w:tcPr>
            <w:tcW w:w="9493" w:type="dxa"/>
            <w:gridSpan w:val="2"/>
            <w:shd w:val="clear" w:color="auto" w:fill="D9D9D9" w:themeFill="background1" w:themeFillShade="D9"/>
          </w:tcPr>
          <w:p w14:paraId="0AB76022" w14:textId="77777777" w:rsidR="00F51CD3" w:rsidRPr="00153BE1" w:rsidRDefault="00F51CD3" w:rsidP="00F51CD3">
            <w:pPr>
              <w:spacing w:before="40" w:after="40"/>
              <w:rPr>
                <w:sz w:val="12"/>
                <w:lang w:eastAsia="ja-JP"/>
              </w:rPr>
            </w:pPr>
          </w:p>
        </w:tc>
      </w:tr>
      <w:tr w:rsidR="00AE3D2B" w14:paraId="2EA7276D" w14:textId="77777777" w:rsidTr="00604B9F">
        <w:tc>
          <w:tcPr>
            <w:tcW w:w="2287" w:type="dxa"/>
          </w:tcPr>
          <w:p w14:paraId="5182C007" w14:textId="46529459" w:rsidR="00AE3D2B" w:rsidRDefault="00AE3D2B" w:rsidP="004D3340">
            <w:pPr>
              <w:spacing w:before="40" w:after="40"/>
              <w:rPr>
                <w:lang w:eastAsia="ja-JP"/>
              </w:rPr>
            </w:pPr>
            <w:r>
              <w:rPr>
                <w:lang w:eastAsia="ja-JP"/>
              </w:rPr>
              <w:t>Abstract</w:t>
            </w:r>
          </w:p>
        </w:tc>
        <w:tc>
          <w:tcPr>
            <w:tcW w:w="7206" w:type="dxa"/>
          </w:tcPr>
          <w:p w14:paraId="200DA436" w14:textId="20444CC6" w:rsidR="00AE3D2B" w:rsidRPr="0026158D" w:rsidRDefault="00AE3D2B" w:rsidP="0026158D">
            <w:pPr>
              <w:spacing w:before="40" w:after="40"/>
              <w:rPr>
                <w:lang w:eastAsia="ja-JP"/>
              </w:rPr>
            </w:pPr>
            <w:r w:rsidRPr="0026158D">
              <w:rPr>
                <w:i/>
                <w:lang w:eastAsia="ja-JP"/>
              </w:rPr>
              <w:t>Forests of Australia (</w:t>
            </w:r>
            <w:r w:rsidR="00C62979" w:rsidRPr="0026158D">
              <w:rPr>
                <w:i/>
                <w:lang w:eastAsia="ja-JP"/>
              </w:rPr>
              <w:t>20</w:t>
            </w:r>
            <w:r w:rsidR="00C62979">
              <w:rPr>
                <w:i/>
                <w:lang w:eastAsia="ja-JP"/>
              </w:rPr>
              <w:t>23</w:t>
            </w:r>
            <w:r w:rsidRPr="0026158D">
              <w:rPr>
                <w:i/>
                <w:lang w:eastAsia="ja-JP"/>
              </w:rPr>
              <w:t>)</w:t>
            </w:r>
            <w:r w:rsidRPr="0026158D">
              <w:rPr>
                <w:lang w:eastAsia="ja-JP"/>
              </w:rPr>
              <w:t xml:space="preserve"> is a continental </w:t>
            </w:r>
            <w:r w:rsidR="00AC1B48">
              <w:rPr>
                <w:lang w:eastAsia="ja-JP"/>
              </w:rPr>
              <w:t xml:space="preserve">spatial </w:t>
            </w:r>
            <w:r w:rsidRPr="0026158D">
              <w:rPr>
                <w:lang w:eastAsia="ja-JP"/>
              </w:rPr>
              <w:t xml:space="preserve">dataset of forest extent, by national forest categories and types, assembled for </w:t>
            </w:r>
            <w:hyperlink r:id="rId11" w:history="1">
              <w:r w:rsidR="00C62979" w:rsidRPr="002674D9">
                <w:rPr>
                  <w:rStyle w:val="Hyperlink"/>
                  <w:i/>
                  <w:lang w:eastAsia="ja-JP"/>
                </w:rPr>
                <w:t>Australia's State of the Forests Report</w:t>
              </w:r>
              <w:r w:rsidR="00F05CB2">
                <w:rPr>
                  <w:rStyle w:val="Hyperlink"/>
                  <w:i/>
                  <w:lang w:eastAsia="ja-JP"/>
                </w:rPr>
                <w:t xml:space="preserve"> - </w:t>
              </w:r>
              <w:r w:rsidR="00C62979" w:rsidRPr="002674D9">
                <w:rPr>
                  <w:rStyle w:val="Hyperlink"/>
                  <w:i/>
                  <w:lang w:eastAsia="ja-JP"/>
                </w:rPr>
                <w:t>202</w:t>
              </w:r>
              <w:r w:rsidR="00C62979" w:rsidRPr="002674D9">
                <w:rPr>
                  <w:rStyle w:val="Hyperlink"/>
                  <w:i/>
                </w:rPr>
                <w:t>3</w:t>
              </w:r>
            </w:hyperlink>
            <w:r w:rsidR="00F05CB2">
              <w:rPr>
                <w:rStyle w:val="Hyperlink"/>
                <w:i/>
              </w:rPr>
              <w:t xml:space="preserve"> update</w:t>
            </w:r>
            <w:r w:rsidRPr="00BC633D">
              <w:rPr>
                <w:rStyle w:val="Hyperlink"/>
                <w:color w:val="auto"/>
                <w:u w:val="none"/>
                <w:lang w:eastAsia="ja-JP"/>
              </w:rPr>
              <w:t>.</w:t>
            </w:r>
            <w:r w:rsidRPr="0026158D">
              <w:rPr>
                <w:lang w:eastAsia="ja-JP"/>
              </w:rPr>
              <w:t xml:space="preserve"> It was developed from multiple forest, vegetation and land cover data inputs, including contributions from Australian, state and territory government agencies and external sources. </w:t>
            </w:r>
          </w:p>
          <w:p w14:paraId="46617306" w14:textId="77777777" w:rsidR="00AE3D2B" w:rsidRPr="0026158D" w:rsidRDefault="00AE3D2B" w:rsidP="0026158D">
            <w:pPr>
              <w:spacing w:before="40" w:after="40"/>
              <w:rPr>
                <w:lang w:eastAsia="ja-JP"/>
              </w:rPr>
            </w:pPr>
          </w:p>
          <w:p w14:paraId="23868AFE" w14:textId="77777777" w:rsidR="00AE3D2B" w:rsidRPr="0026158D" w:rsidRDefault="00AE3D2B" w:rsidP="0026158D">
            <w:pPr>
              <w:spacing w:before="40" w:after="40"/>
              <w:rPr>
                <w:lang w:eastAsia="ja-JP"/>
              </w:rPr>
            </w:pPr>
            <w:r w:rsidRPr="0026158D">
              <w:rPr>
                <w:lang w:eastAsia="ja-JP"/>
              </w:rPr>
              <w:t>A forest is defined in this dataset as "</w:t>
            </w:r>
            <w:r w:rsidRPr="0026158D">
              <w:rPr>
                <w:i/>
                <w:lang w:eastAsia="ja-JP"/>
              </w:rPr>
              <w:t>An area, incorporating all living and non-living components, that is dominated by trees having usually a single stem and a mature or potentially mature stand height exceeding two metres and with existing or potential crown cover of overstorey strata about equal to or greater than 20 per cent. This includes Australia's diverse native forests and plantations, regardless of age. It is also sufficiently broad to encompass areas of trees that are sometimes described as woodlands</w:t>
            </w:r>
            <w:r w:rsidRPr="0026158D">
              <w:rPr>
                <w:lang w:eastAsia="ja-JP"/>
              </w:rPr>
              <w:t xml:space="preserve">". </w:t>
            </w:r>
          </w:p>
          <w:p w14:paraId="7B8EF5A1" w14:textId="77777777" w:rsidR="00AE3D2B" w:rsidRPr="0026158D" w:rsidRDefault="00AE3D2B" w:rsidP="0026158D">
            <w:pPr>
              <w:spacing w:before="40" w:after="40"/>
              <w:rPr>
                <w:lang w:eastAsia="ja-JP"/>
              </w:rPr>
            </w:pPr>
          </w:p>
          <w:p w14:paraId="108D17A4" w14:textId="2B273ADD" w:rsidR="00C56FF6" w:rsidRDefault="00AE3D2B" w:rsidP="0026158D">
            <w:pPr>
              <w:spacing w:before="40" w:after="40"/>
              <w:rPr>
                <w:lang w:eastAsia="ja-JP"/>
              </w:rPr>
            </w:pPr>
            <w:r w:rsidRPr="0026158D">
              <w:rPr>
                <w:lang w:eastAsia="ja-JP"/>
              </w:rPr>
              <w:t xml:space="preserve">The dataset was compiled by </w:t>
            </w:r>
            <w:r w:rsidR="00797CA6" w:rsidRPr="0026158D">
              <w:rPr>
                <w:lang w:eastAsia="ja-JP"/>
              </w:rPr>
              <w:t xml:space="preserve">the Australian Bureau of Agricultural and Resource </w:t>
            </w:r>
            <w:r w:rsidR="00797CA6">
              <w:rPr>
                <w:lang w:eastAsia="ja-JP"/>
              </w:rPr>
              <w:t>Economics and Sciences (ABARES)</w:t>
            </w:r>
            <w:r w:rsidR="00797CA6" w:rsidRPr="0026158D">
              <w:rPr>
                <w:lang w:eastAsia="ja-JP"/>
              </w:rPr>
              <w:t xml:space="preserve"> </w:t>
            </w:r>
            <w:r w:rsidR="00797CA6">
              <w:rPr>
                <w:lang w:eastAsia="ja-JP"/>
              </w:rPr>
              <w:t xml:space="preserve">for </w:t>
            </w:r>
            <w:r w:rsidRPr="0026158D">
              <w:rPr>
                <w:lang w:eastAsia="ja-JP"/>
              </w:rPr>
              <w:t>the National Forest Inventory (NFI)</w:t>
            </w:r>
            <w:r w:rsidR="00797CA6">
              <w:rPr>
                <w:lang w:eastAsia="ja-JP"/>
              </w:rPr>
              <w:t>,</w:t>
            </w:r>
            <w:r w:rsidRPr="0026158D">
              <w:rPr>
                <w:lang w:eastAsia="ja-JP"/>
              </w:rPr>
              <w:t xml:space="preserve"> a collaborative partnership between the Australian and state and territory governments</w:t>
            </w:r>
            <w:r w:rsidR="00AC1B48">
              <w:rPr>
                <w:lang w:eastAsia="ja-JP"/>
              </w:rPr>
              <w:t>. The</w:t>
            </w:r>
            <w:r w:rsidR="00AC1B48" w:rsidRPr="0026158D">
              <w:rPr>
                <w:lang w:eastAsia="ja-JP"/>
              </w:rPr>
              <w:t xml:space="preserve"> </w:t>
            </w:r>
            <w:r w:rsidRPr="0026158D">
              <w:rPr>
                <w:lang w:eastAsia="ja-JP"/>
              </w:rPr>
              <w:t xml:space="preserve">role </w:t>
            </w:r>
            <w:r w:rsidR="00AC1B48">
              <w:rPr>
                <w:lang w:eastAsia="ja-JP"/>
              </w:rPr>
              <w:t xml:space="preserve">of the NFI </w:t>
            </w:r>
            <w:r w:rsidRPr="0026158D">
              <w:rPr>
                <w:lang w:eastAsia="ja-JP"/>
              </w:rPr>
              <w:t xml:space="preserve">is to collate, integrate and communicate information on Australia's forests. State and </w:t>
            </w:r>
            <w:r w:rsidR="00013F70">
              <w:rPr>
                <w:lang w:eastAsia="ja-JP"/>
              </w:rPr>
              <w:t>t</w:t>
            </w:r>
            <w:r w:rsidRPr="0026158D">
              <w:rPr>
                <w:lang w:eastAsia="ja-JP"/>
              </w:rPr>
              <w:t>erritor</w:t>
            </w:r>
            <w:r w:rsidR="00AC1B48">
              <w:rPr>
                <w:lang w:eastAsia="ja-JP"/>
              </w:rPr>
              <w:t>y</w:t>
            </w:r>
            <w:r w:rsidRPr="0026158D">
              <w:rPr>
                <w:lang w:eastAsia="ja-JP"/>
              </w:rPr>
              <w:t xml:space="preserve"> </w:t>
            </w:r>
            <w:r w:rsidR="00013F70">
              <w:rPr>
                <w:lang w:eastAsia="ja-JP"/>
              </w:rPr>
              <w:t xml:space="preserve">government </w:t>
            </w:r>
            <w:r w:rsidRPr="0026158D">
              <w:rPr>
                <w:lang w:eastAsia="ja-JP"/>
              </w:rPr>
              <w:t>agencies collect forest data using independent methods and at varying scales or resolutions. The NFI applies a national classification to state and territory data to allow seamless integration</w:t>
            </w:r>
            <w:r w:rsidR="00AC1B48">
              <w:rPr>
                <w:lang w:eastAsia="ja-JP"/>
              </w:rPr>
              <w:t xml:space="preserve"> of these datasets</w:t>
            </w:r>
            <w:r w:rsidR="00731295">
              <w:rPr>
                <w:lang w:eastAsia="ja-JP"/>
              </w:rPr>
              <w:t>. Multiple i</w:t>
            </w:r>
            <w:r w:rsidRPr="0026158D">
              <w:rPr>
                <w:lang w:eastAsia="ja-JP"/>
              </w:rPr>
              <w:t>ndependent sources of external data are used to fill data gaps and improve the quality of the final dataset.</w:t>
            </w:r>
          </w:p>
          <w:p w14:paraId="5219826E" w14:textId="77777777" w:rsidR="00C56FF6" w:rsidRDefault="00C56FF6" w:rsidP="0026158D">
            <w:pPr>
              <w:spacing w:before="40" w:after="40"/>
              <w:rPr>
                <w:lang w:eastAsia="ja-JP"/>
              </w:rPr>
            </w:pPr>
          </w:p>
          <w:p w14:paraId="7BEDE313" w14:textId="0B72E306" w:rsidR="00AE3D2B" w:rsidRPr="0026158D" w:rsidRDefault="00013F70" w:rsidP="0026158D">
            <w:pPr>
              <w:spacing w:before="40" w:after="40"/>
              <w:rPr>
                <w:lang w:eastAsia="ja-JP"/>
              </w:rPr>
            </w:pPr>
            <w:r>
              <w:rPr>
                <w:lang w:eastAsia="ja-JP"/>
              </w:rPr>
              <w:t xml:space="preserve">The NFI classifies forests into three national forest categories </w:t>
            </w:r>
            <w:r w:rsidR="00351D66">
              <w:rPr>
                <w:lang w:eastAsia="ja-JP"/>
              </w:rPr>
              <w:t>(</w:t>
            </w:r>
            <w:r>
              <w:rPr>
                <w:lang w:eastAsia="ja-JP"/>
              </w:rPr>
              <w:t>Native</w:t>
            </w:r>
            <w:r w:rsidR="00C56FF6">
              <w:rPr>
                <w:lang w:eastAsia="ja-JP"/>
              </w:rPr>
              <w:t xml:space="preserve"> forest</w:t>
            </w:r>
            <w:r>
              <w:rPr>
                <w:lang w:eastAsia="ja-JP"/>
              </w:rPr>
              <w:t>, Commercial plantation, and Other</w:t>
            </w:r>
            <w:r w:rsidR="00C56FF6">
              <w:rPr>
                <w:lang w:eastAsia="ja-JP"/>
              </w:rPr>
              <w:t xml:space="preserve"> forest</w:t>
            </w:r>
            <w:r w:rsidR="00351D66">
              <w:rPr>
                <w:lang w:eastAsia="ja-JP"/>
              </w:rPr>
              <w:t>) and then into various forest types</w:t>
            </w:r>
            <w:r>
              <w:rPr>
                <w:lang w:eastAsia="ja-JP"/>
              </w:rPr>
              <w:t>.</w:t>
            </w:r>
            <w:r w:rsidR="00C56FF6">
              <w:rPr>
                <w:lang w:eastAsia="ja-JP"/>
              </w:rPr>
              <w:t xml:space="preserve"> </w:t>
            </w:r>
            <w:r w:rsidR="00AE3D2B" w:rsidRPr="0026158D">
              <w:rPr>
                <w:lang w:eastAsia="ja-JP"/>
              </w:rPr>
              <w:t xml:space="preserve">Commercial plantations presented in this dataset were sourced from the </w:t>
            </w:r>
            <w:r w:rsidR="00D91BBB" w:rsidRPr="00D91BBB">
              <w:rPr>
                <w:lang w:eastAsia="ja-JP"/>
              </w:rPr>
              <w:t>National Plantation Inventory (NPI) spatial dataset (2021)</w:t>
            </w:r>
            <w:r w:rsidR="00D91BBB">
              <w:rPr>
                <w:rStyle w:val="CommentReference"/>
              </w:rPr>
              <w:t xml:space="preserve"> </w:t>
            </w:r>
            <w:r w:rsidR="00D91BBB" w:rsidRPr="00D91BBB">
              <w:rPr>
                <w:rStyle w:val="CommentReference"/>
                <w:sz w:val="22"/>
                <w:szCs w:val="22"/>
              </w:rPr>
              <w:t>(unpublished)</w:t>
            </w:r>
            <w:r w:rsidR="00AE3D2B" w:rsidRPr="0026158D">
              <w:rPr>
                <w:lang w:eastAsia="ja-JP"/>
              </w:rPr>
              <w:t>,</w:t>
            </w:r>
            <w:r w:rsidR="00C62979">
              <w:rPr>
                <w:lang w:eastAsia="ja-JP"/>
              </w:rPr>
              <w:t xml:space="preserve"> </w:t>
            </w:r>
            <w:r w:rsidR="00AE3D2B" w:rsidRPr="0026158D">
              <w:rPr>
                <w:lang w:eastAsia="ja-JP"/>
              </w:rPr>
              <w:t xml:space="preserve">also produced by ABARES. Another dataset produced by ABARES, the </w:t>
            </w:r>
            <w:hyperlink r:id="rId12" w:history="1">
              <w:r w:rsidR="00AE3D2B" w:rsidRPr="00AE3D2B">
                <w:rPr>
                  <w:rStyle w:val="Hyperlink"/>
                  <w:lang w:eastAsia="ja-JP"/>
                </w:rPr>
                <w:t xml:space="preserve">Catchment scale </w:t>
              </w:r>
              <w:r w:rsidR="00D957CE">
                <w:rPr>
                  <w:rStyle w:val="Hyperlink"/>
                  <w:lang w:eastAsia="ja-JP"/>
                </w:rPr>
                <w:t>land use of Australia</w:t>
              </w:r>
              <w:r w:rsidR="00AE3D2B" w:rsidRPr="00AE3D2B">
                <w:rPr>
                  <w:rStyle w:val="Hyperlink"/>
                  <w:lang w:eastAsia="ja-JP"/>
                </w:rPr>
                <w:t xml:space="preserve"> (CLUM) dataset (</w:t>
              </w:r>
              <w:r w:rsidR="00D170AB" w:rsidRPr="00AE3D2B">
                <w:rPr>
                  <w:rStyle w:val="Hyperlink"/>
                  <w:lang w:eastAsia="ja-JP"/>
                </w:rPr>
                <w:t>20</w:t>
              </w:r>
              <w:r w:rsidR="00D170AB">
                <w:rPr>
                  <w:rStyle w:val="Hyperlink"/>
                  <w:lang w:eastAsia="ja-JP"/>
                </w:rPr>
                <w:t>20</w:t>
              </w:r>
              <w:r w:rsidR="00AE3D2B" w:rsidRPr="00AE3D2B">
                <w:rPr>
                  <w:rStyle w:val="Hyperlink"/>
                  <w:lang w:eastAsia="ja-JP"/>
                </w:rPr>
                <w:t>)</w:t>
              </w:r>
            </w:hyperlink>
            <w:r w:rsidR="00D170AB">
              <w:rPr>
                <w:rStyle w:val="Hyperlink"/>
                <w:lang w:eastAsia="ja-JP"/>
              </w:rPr>
              <w:t>,</w:t>
            </w:r>
            <w:r w:rsidR="00AE3D2B" w:rsidRPr="0026158D">
              <w:rPr>
                <w:lang w:eastAsia="ja-JP"/>
              </w:rPr>
              <w:t xml:space="preserve"> was used to identify and mask out land uses that are inappropriate to map as forest. </w:t>
            </w:r>
          </w:p>
          <w:p w14:paraId="702D4E74" w14:textId="77777777" w:rsidR="00AE3D2B" w:rsidRPr="0026158D" w:rsidRDefault="00AE3D2B" w:rsidP="0026158D">
            <w:pPr>
              <w:spacing w:before="40" w:after="40"/>
              <w:rPr>
                <w:lang w:eastAsia="ja-JP"/>
              </w:rPr>
            </w:pPr>
          </w:p>
          <w:p w14:paraId="75174BFB" w14:textId="1602A7AF" w:rsidR="00AE3D2B" w:rsidRDefault="002C48D6" w:rsidP="00514CD1">
            <w:pPr>
              <w:spacing w:before="40" w:after="40"/>
              <w:rPr>
                <w:lang w:eastAsia="ja-JP"/>
              </w:rPr>
            </w:pPr>
            <w:r>
              <w:rPr>
                <w:lang w:eastAsia="ja-JP"/>
              </w:rPr>
              <w:lastRenderedPageBreak/>
              <w:t xml:space="preserve">The </w:t>
            </w:r>
            <w:r w:rsidR="00AE3D2B" w:rsidRPr="00D302A0">
              <w:rPr>
                <w:i/>
                <w:lang w:eastAsia="ja-JP"/>
              </w:rPr>
              <w:t xml:space="preserve">Forests of Australia </w:t>
            </w:r>
            <w:r w:rsidR="00964958" w:rsidRPr="00D302A0">
              <w:rPr>
                <w:i/>
                <w:lang w:eastAsia="ja-JP"/>
              </w:rPr>
              <w:t>(</w:t>
            </w:r>
            <w:r w:rsidR="001E688E" w:rsidRPr="00D302A0">
              <w:rPr>
                <w:i/>
                <w:lang w:eastAsia="ja-JP"/>
              </w:rPr>
              <w:t>20</w:t>
            </w:r>
            <w:r w:rsidR="001E688E">
              <w:rPr>
                <w:i/>
                <w:lang w:eastAsia="ja-JP"/>
              </w:rPr>
              <w:t>23</w:t>
            </w:r>
            <w:r w:rsidR="00964958" w:rsidRPr="00D302A0">
              <w:rPr>
                <w:i/>
                <w:lang w:eastAsia="ja-JP"/>
              </w:rPr>
              <w:t xml:space="preserve">) </w:t>
            </w:r>
            <w:r w:rsidR="00AE3D2B" w:rsidRPr="0026158D">
              <w:rPr>
                <w:lang w:eastAsia="ja-JP"/>
              </w:rPr>
              <w:t xml:space="preserve">dataset </w:t>
            </w:r>
            <w:r>
              <w:rPr>
                <w:lang w:eastAsia="ja-JP"/>
              </w:rPr>
              <w:t xml:space="preserve">is </w:t>
            </w:r>
            <w:r w:rsidR="00AE3D2B" w:rsidRPr="0026158D">
              <w:rPr>
                <w:lang w:eastAsia="ja-JP"/>
              </w:rPr>
              <w:t xml:space="preserve">produced to fulfil requirements of Australia's </w:t>
            </w:r>
            <w:r w:rsidR="00AE3D2B" w:rsidRPr="00FE3839">
              <w:rPr>
                <w:i/>
                <w:lang w:eastAsia="ja-JP"/>
              </w:rPr>
              <w:t>National Forest Policy Statement</w:t>
            </w:r>
            <w:r w:rsidR="00AE3D2B" w:rsidRPr="0026158D">
              <w:rPr>
                <w:lang w:eastAsia="ja-JP"/>
              </w:rPr>
              <w:t xml:space="preserve"> and the </w:t>
            </w:r>
            <w:r w:rsidR="00AE3D2B" w:rsidRPr="00FE3839">
              <w:rPr>
                <w:i/>
                <w:lang w:eastAsia="ja-JP"/>
              </w:rPr>
              <w:t>Regional Forests Agreement Act 2002</w:t>
            </w:r>
            <w:r>
              <w:rPr>
                <w:lang w:eastAsia="ja-JP"/>
              </w:rPr>
              <w:t xml:space="preserve"> (Cwth)</w:t>
            </w:r>
            <w:r w:rsidR="0055778C">
              <w:rPr>
                <w:lang w:eastAsia="ja-JP"/>
              </w:rPr>
              <w:t>,</w:t>
            </w:r>
            <w:r w:rsidR="00AE3D2B">
              <w:rPr>
                <w:lang w:eastAsia="ja-JP"/>
              </w:rPr>
              <w:t xml:space="preserve"> </w:t>
            </w:r>
            <w:r w:rsidR="00F62CB8">
              <w:rPr>
                <w:lang w:eastAsia="ja-JP"/>
              </w:rPr>
              <w:t>and</w:t>
            </w:r>
            <w:r w:rsidR="00AE3D2B">
              <w:rPr>
                <w:lang w:eastAsia="ja-JP"/>
              </w:rPr>
              <w:t xml:space="preserve"> is used by the Australian Government </w:t>
            </w:r>
            <w:r w:rsidR="00AE3D2B" w:rsidRPr="0026158D">
              <w:rPr>
                <w:lang w:eastAsia="ja-JP"/>
              </w:rPr>
              <w:t>for domestic and international reporting.</w:t>
            </w:r>
          </w:p>
          <w:p w14:paraId="19CAE2AF" w14:textId="77777777" w:rsidR="00321365" w:rsidRDefault="00321365" w:rsidP="00321365">
            <w:pPr>
              <w:spacing w:before="40" w:after="40"/>
              <w:rPr>
                <w:lang w:eastAsia="ja-JP"/>
              </w:rPr>
            </w:pPr>
          </w:p>
          <w:p w14:paraId="1527B067" w14:textId="76A59D1B" w:rsidR="00321365" w:rsidRDefault="00321365" w:rsidP="00321365">
            <w:pPr>
              <w:spacing w:before="40" w:after="40"/>
              <w:rPr>
                <w:lang w:eastAsia="ja-JP"/>
              </w:rPr>
            </w:pPr>
            <w:r>
              <w:rPr>
                <w:lang w:eastAsia="ja-JP"/>
              </w:rPr>
              <w:t xml:space="preserve">Previous versions of this dataset are available on the Forests Australia website </w:t>
            </w:r>
            <w:hyperlink r:id="rId13" w:history="1">
              <w:r w:rsidRPr="00B45B4C">
                <w:rPr>
                  <w:rStyle w:val="Hyperlink"/>
                  <w:lang w:eastAsia="ja-JP"/>
                </w:rPr>
                <w:t>spatial data page</w:t>
              </w:r>
            </w:hyperlink>
            <w:r>
              <w:rPr>
                <w:lang w:eastAsia="ja-JP"/>
              </w:rPr>
              <w:t xml:space="preserve"> and the Australian Government open government data </w:t>
            </w:r>
            <w:r w:rsidR="00D302A0">
              <w:rPr>
                <w:lang w:eastAsia="ja-JP"/>
              </w:rPr>
              <w:t xml:space="preserve">portal </w:t>
            </w:r>
            <w:hyperlink r:id="rId14" w:history="1">
              <w:r w:rsidR="00D302A0" w:rsidRPr="00254A2B">
                <w:rPr>
                  <w:rStyle w:val="Hyperlink"/>
                  <w:lang w:eastAsia="ja-JP"/>
                </w:rPr>
                <w:t>data.gov.au</w:t>
              </w:r>
            </w:hyperlink>
            <w:r w:rsidR="00D302A0">
              <w:rPr>
                <w:lang w:eastAsia="ja-JP"/>
              </w:rPr>
              <w:t>.</w:t>
            </w:r>
          </w:p>
        </w:tc>
      </w:tr>
      <w:tr w:rsidR="00AE3D2B" w14:paraId="1CA059A2" w14:textId="77777777" w:rsidTr="00604B9F">
        <w:tc>
          <w:tcPr>
            <w:tcW w:w="2287" w:type="dxa"/>
          </w:tcPr>
          <w:p w14:paraId="5DA0496D" w14:textId="77777777" w:rsidR="00AE3D2B" w:rsidRDefault="00416703" w:rsidP="00F51CD3">
            <w:pPr>
              <w:spacing w:before="40" w:after="40"/>
              <w:rPr>
                <w:lang w:eastAsia="ja-JP"/>
              </w:rPr>
            </w:pPr>
            <w:r>
              <w:rPr>
                <w:lang w:eastAsia="ja-JP"/>
              </w:rPr>
              <w:lastRenderedPageBreak/>
              <w:t>Purpose</w:t>
            </w:r>
          </w:p>
        </w:tc>
        <w:tc>
          <w:tcPr>
            <w:tcW w:w="7206" w:type="dxa"/>
          </w:tcPr>
          <w:p w14:paraId="692DC9B7" w14:textId="34C04DD0" w:rsidR="00AE3D2B" w:rsidRPr="00A70AF6" w:rsidRDefault="00AE3D2B" w:rsidP="00AE3D2B">
            <w:pPr>
              <w:spacing w:before="40" w:after="40"/>
              <w:rPr>
                <w:lang w:eastAsia="ja-JP"/>
              </w:rPr>
            </w:pPr>
            <w:r>
              <w:rPr>
                <w:lang w:eastAsia="ja-JP"/>
              </w:rPr>
              <w:t xml:space="preserve">For describing Australia’s forest extent, as reported in the </w:t>
            </w:r>
            <w:hyperlink r:id="rId15" w:history="1">
              <w:r w:rsidRPr="00D302A0">
                <w:rPr>
                  <w:rStyle w:val="Hyperlink"/>
                  <w:i/>
                  <w:lang w:eastAsia="ja-JP"/>
                </w:rPr>
                <w:t xml:space="preserve">Australia’s State of the Forests Report </w:t>
              </w:r>
              <w:r w:rsidR="00F05CB2">
                <w:rPr>
                  <w:rStyle w:val="Hyperlink"/>
                  <w:i/>
                  <w:lang w:eastAsia="ja-JP"/>
                </w:rPr>
                <w:t>-</w:t>
              </w:r>
              <w:r w:rsidR="001E688E" w:rsidRPr="00D302A0">
                <w:rPr>
                  <w:rStyle w:val="Hyperlink"/>
                  <w:i/>
                  <w:lang w:eastAsia="ja-JP"/>
                </w:rPr>
                <w:t>20</w:t>
              </w:r>
              <w:r w:rsidR="001E688E">
                <w:rPr>
                  <w:rStyle w:val="Hyperlink"/>
                  <w:i/>
                  <w:lang w:eastAsia="ja-JP"/>
                </w:rPr>
                <w:t>23</w:t>
              </w:r>
            </w:hyperlink>
            <w:r w:rsidR="00F05CB2">
              <w:rPr>
                <w:rStyle w:val="Hyperlink"/>
                <w:i/>
                <w:lang w:eastAsia="ja-JP"/>
              </w:rPr>
              <w:t xml:space="preserve"> update</w:t>
            </w:r>
            <w:r>
              <w:rPr>
                <w:lang w:eastAsia="ja-JP"/>
              </w:rPr>
              <w:t>.</w:t>
            </w:r>
            <w:r w:rsidR="001E688E">
              <w:rPr>
                <w:lang w:eastAsia="ja-JP"/>
              </w:rPr>
              <w:t xml:space="preserve"> </w:t>
            </w:r>
          </w:p>
        </w:tc>
      </w:tr>
      <w:tr w:rsidR="00AE3D2B" w14:paraId="4E352C38" w14:textId="77777777" w:rsidTr="00604B9F">
        <w:tc>
          <w:tcPr>
            <w:tcW w:w="2287" w:type="dxa"/>
          </w:tcPr>
          <w:p w14:paraId="4E9B61C2" w14:textId="77777777" w:rsidR="00416703" w:rsidRDefault="00416703" w:rsidP="00416703">
            <w:pPr>
              <w:spacing w:before="40" w:after="40"/>
              <w:rPr>
                <w:lang w:eastAsia="ja-JP"/>
              </w:rPr>
            </w:pPr>
            <w:r>
              <w:rPr>
                <w:lang w:eastAsia="ja-JP"/>
              </w:rPr>
              <w:t>ANZLIC search words</w:t>
            </w:r>
          </w:p>
          <w:p w14:paraId="3A023B60" w14:textId="77777777" w:rsidR="00AE3D2B" w:rsidRDefault="00AE3D2B" w:rsidP="00F51CD3">
            <w:pPr>
              <w:spacing w:before="40" w:after="40"/>
              <w:rPr>
                <w:lang w:eastAsia="ja-JP"/>
              </w:rPr>
            </w:pPr>
          </w:p>
        </w:tc>
        <w:tc>
          <w:tcPr>
            <w:tcW w:w="7206" w:type="dxa"/>
          </w:tcPr>
          <w:p w14:paraId="02AC9AEF" w14:textId="77777777" w:rsidR="00AE3D2B" w:rsidRPr="005F61A8" w:rsidRDefault="00AE3D2B" w:rsidP="00F51CD3">
            <w:pPr>
              <w:spacing w:before="40" w:after="40"/>
              <w:rPr>
                <w:lang w:eastAsia="ja-JP"/>
              </w:rPr>
            </w:pPr>
            <w:r w:rsidRPr="005F61A8">
              <w:rPr>
                <w:lang w:eastAsia="ja-JP"/>
              </w:rPr>
              <w:t>FORESTS</w:t>
            </w:r>
          </w:p>
          <w:p w14:paraId="32C07A1F" w14:textId="77777777" w:rsidR="00AE3D2B" w:rsidRPr="005F61A8" w:rsidRDefault="00AE3D2B" w:rsidP="00F51CD3">
            <w:pPr>
              <w:spacing w:before="40" w:after="40"/>
              <w:rPr>
                <w:lang w:eastAsia="ja-JP"/>
              </w:rPr>
            </w:pPr>
            <w:r w:rsidRPr="005F61A8">
              <w:rPr>
                <w:lang w:eastAsia="ja-JP"/>
              </w:rPr>
              <w:t>FORESTS Natural</w:t>
            </w:r>
          </w:p>
          <w:p w14:paraId="1D19D30E" w14:textId="77777777" w:rsidR="00AE3D2B" w:rsidRPr="005F61A8" w:rsidRDefault="00AE3D2B" w:rsidP="00F51CD3">
            <w:pPr>
              <w:spacing w:before="40" w:after="40"/>
              <w:rPr>
                <w:lang w:eastAsia="ja-JP"/>
              </w:rPr>
            </w:pPr>
            <w:r w:rsidRPr="005F61A8">
              <w:rPr>
                <w:lang w:eastAsia="ja-JP"/>
              </w:rPr>
              <w:t>FORESTS Plantation</w:t>
            </w:r>
          </w:p>
          <w:p w14:paraId="02C277C3" w14:textId="77777777" w:rsidR="00AE3D2B" w:rsidRPr="005F61A8" w:rsidRDefault="00AE3D2B" w:rsidP="00F51CD3">
            <w:pPr>
              <w:spacing w:before="40" w:after="40"/>
              <w:rPr>
                <w:lang w:eastAsia="ja-JP"/>
              </w:rPr>
            </w:pPr>
            <w:r w:rsidRPr="005F61A8">
              <w:rPr>
                <w:lang w:eastAsia="ja-JP"/>
              </w:rPr>
              <w:t>AGRICULTURE</w:t>
            </w:r>
          </w:p>
          <w:p w14:paraId="797925BD" w14:textId="77777777" w:rsidR="00AE3D2B" w:rsidRPr="005F61A8" w:rsidRDefault="00AE3D2B" w:rsidP="00F51CD3">
            <w:pPr>
              <w:spacing w:before="40" w:after="40"/>
              <w:rPr>
                <w:lang w:eastAsia="ja-JP"/>
              </w:rPr>
            </w:pPr>
            <w:r w:rsidRPr="005F61A8">
              <w:rPr>
                <w:lang w:eastAsia="ja-JP"/>
              </w:rPr>
              <w:t>VEGETATION</w:t>
            </w:r>
          </w:p>
          <w:p w14:paraId="37A9C2D1" w14:textId="77777777" w:rsidR="00AE3D2B" w:rsidRPr="005F61A8" w:rsidRDefault="00AE3D2B" w:rsidP="00F51CD3">
            <w:pPr>
              <w:spacing w:before="40" w:after="40"/>
              <w:rPr>
                <w:lang w:eastAsia="ja-JP"/>
              </w:rPr>
            </w:pPr>
            <w:r w:rsidRPr="005F61A8">
              <w:rPr>
                <w:lang w:eastAsia="ja-JP"/>
              </w:rPr>
              <w:t>VEGETATION Floristic</w:t>
            </w:r>
          </w:p>
          <w:p w14:paraId="06A39FC6" w14:textId="77777777" w:rsidR="00AE3D2B" w:rsidRDefault="00AE3D2B" w:rsidP="00F51CD3">
            <w:pPr>
              <w:spacing w:before="40" w:after="40"/>
              <w:rPr>
                <w:color w:val="FF0000"/>
                <w:lang w:eastAsia="ja-JP"/>
              </w:rPr>
            </w:pPr>
            <w:r w:rsidRPr="005F61A8">
              <w:rPr>
                <w:lang w:eastAsia="ja-JP"/>
              </w:rPr>
              <w:t>VEGETATION Structural</w:t>
            </w:r>
          </w:p>
        </w:tc>
      </w:tr>
      <w:tr w:rsidR="00AE3D2B" w14:paraId="3B92020C" w14:textId="77777777" w:rsidTr="00604B9F">
        <w:tc>
          <w:tcPr>
            <w:tcW w:w="2287" w:type="dxa"/>
          </w:tcPr>
          <w:p w14:paraId="68EE5082" w14:textId="77777777" w:rsidR="00AE3D2B" w:rsidRDefault="00416703" w:rsidP="00F51CD3">
            <w:pPr>
              <w:spacing w:before="40" w:after="40"/>
              <w:rPr>
                <w:lang w:eastAsia="ja-JP"/>
              </w:rPr>
            </w:pPr>
            <w:r>
              <w:rPr>
                <w:lang w:eastAsia="ja-JP"/>
              </w:rPr>
              <w:t>Keyword(s)</w:t>
            </w:r>
          </w:p>
        </w:tc>
        <w:tc>
          <w:tcPr>
            <w:tcW w:w="7206" w:type="dxa"/>
          </w:tcPr>
          <w:p w14:paraId="19938836" w14:textId="7D7467AB" w:rsidR="00AE3D2B" w:rsidRPr="005755C0" w:rsidRDefault="00416703" w:rsidP="00F51CD3">
            <w:pPr>
              <w:spacing w:before="40" w:after="40"/>
              <w:rPr>
                <w:lang w:eastAsia="ja-JP"/>
              </w:rPr>
            </w:pPr>
            <w:r>
              <w:rPr>
                <w:lang w:eastAsia="ja-JP"/>
              </w:rPr>
              <w:t>Forest</w:t>
            </w:r>
            <w:r w:rsidR="00AE3D2B" w:rsidRPr="005755C0">
              <w:rPr>
                <w:lang w:eastAsia="ja-JP"/>
              </w:rPr>
              <w:t xml:space="preserve"> </w:t>
            </w:r>
          </w:p>
          <w:p w14:paraId="4BDD3232" w14:textId="77777777" w:rsidR="00AE3D2B" w:rsidRPr="005755C0" w:rsidRDefault="00416703" w:rsidP="00F51CD3">
            <w:pPr>
              <w:spacing w:before="40" w:after="40"/>
              <w:rPr>
                <w:lang w:eastAsia="ja-JP"/>
              </w:rPr>
            </w:pPr>
            <w:r>
              <w:rPr>
                <w:lang w:eastAsia="ja-JP"/>
              </w:rPr>
              <w:t>Forest cover</w:t>
            </w:r>
          </w:p>
          <w:p w14:paraId="7FDB72F0" w14:textId="77777777" w:rsidR="00AE3D2B" w:rsidRPr="005755C0" w:rsidRDefault="00416703" w:rsidP="00F51CD3">
            <w:pPr>
              <w:spacing w:before="40" w:after="40"/>
              <w:rPr>
                <w:lang w:eastAsia="ja-JP"/>
              </w:rPr>
            </w:pPr>
            <w:r>
              <w:rPr>
                <w:lang w:eastAsia="ja-JP"/>
              </w:rPr>
              <w:t>Land cover</w:t>
            </w:r>
          </w:p>
          <w:p w14:paraId="20D56C08" w14:textId="77777777" w:rsidR="00AE3D2B" w:rsidRPr="005755C0" w:rsidRDefault="00416703" w:rsidP="00F51CD3">
            <w:pPr>
              <w:spacing w:before="40" w:after="40"/>
              <w:rPr>
                <w:lang w:eastAsia="ja-JP"/>
              </w:rPr>
            </w:pPr>
            <w:r>
              <w:rPr>
                <w:lang w:eastAsia="ja-JP"/>
              </w:rPr>
              <w:t>F</w:t>
            </w:r>
            <w:r w:rsidR="00AE3D2B" w:rsidRPr="005755C0">
              <w:rPr>
                <w:lang w:eastAsia="ja-JP"/>
              </w:rPr>
              <w:t xml:space="preserve">orest </w:t>
            </w:r>
            <w:r>
              <w:rPr>
                <w:lang w:eastAsia="ja-JP"/>
              </w:rPr>
              <w:t>type</w:t>
            </w:r>
          </w:p>
          <w:p w14:paraId="369E38B6" w14:textId="75BA101E" w:rsidR="00AE3D2B" w:rsidRDefault="00416703" w:rsidP="00F51CD3">
            <w:pPr>
              <w:spacing w:before="40" w:after="40"/>
              <w:rPr>
                <w:lang w:eastAsia="ja-JP"/>
              </w:rPr>
            </w:pPr>
            <w:r>
              <w:rPr>
                <w:lang w:eastAsia="ja-JP"/>
              </w:rPr>
              <w:t>Plantation</w:t>
            </w:r>
          </w:p>
          <w:p w14:paraId="6EF274BB" w14:textId="77777777" w:rsidR="00416703" w:rsidRDefault="00416703" w:rsidP="00F51CD3">
            <w:pPr>
              <w:spacing w:before="40" w:after="40"/>
              <w:rPr>
                <w:lang w:eastAsia="ja-JP"/>
              </w:rPr>
            </w:pPr>
            <w:r>
              <w:rPr>
                <w:lang w:eastAsia="ja-JP"/>
              </w:rPr>
              <w:t>Vegetation</w:t>
            </w:r>
          </w:p>
          <w:p w14:paraId="6675293C" w14:textId="77777777" w:rsidR="00416703" w:rsidRDefault="00416703" w:rsidP="00F51CD3">
            <w:pPr>
              <w:spacing w:before="40" w:after="40"/>
              <w:rPr>
                <w:lang w:eastAsia="ja-JP"/>
              </w:rPr>
            </w:pPr>
            <w:r>
              <w:rPr>
                <w:lang w:eastAsia="ja-JP"/>
              </w:rPr>
              <w:t>Vegetation cover</w:t>
            </w:r>
          </w:p>
          <w:p w14:paraId="37BBD404" w14:textId="77777777" w:rsidR="00416703" w:rsidRDefault="00416703" w:rsidP="00F51CD3">
            <w:pPr>
              <w:spacing w:before="40" w:after="40"/>
              <w:rPr>
                <w:lang w:eastAsia="ja-JP"/>
              </w:rPr>
            </w:pPr>
            <w:r>
              <w:rPr>
                <w:lang w:eastAsia="ja-JP"/>
              </w:rPr>
              <w:t>Tree cover</w:t>
            </w:r>
          </w:p>
          <w:p w14:paraId="3BC1628A" w14:textId="77777777" w:rsidR="00416703" w:rsidRPr="005755C0" w:rsidRDefault="00416703" w:rsidP="00F51CD3">
            <w:pPr>
              <w:spacing w:before="40" w:after="40"/>
              <w:rPr>
                <w:lang w:eastAsia="ja-JP"/>
              </w:rPr>
            </w:pPr>
            <w:r>
              <w:rPr>
                <w:lang w:eastAsia="ja-JP"/>
              </w:rPr>
              <w:t>Woody cover</w:t>
            </w:r>
          </w:p>
          <w:p w14:paraId="04EE0DBF" w14:textId="77777777" w:rsidR="00AE3D2B" w:rsidRDefault="00AE3D2B" w:rsidP="00F51CD3">
            <w:pPr>
              <w:spacing w:before="40" w:after="40"/>
              <w:rPr>
                <w:lang w:eastAsia="ja-JP"/>
              </w:rPr>
            </w:pPr>
            <w:r w:rsidRPr="005755C0">
              <w:rPr>
                <w:lang w:eastAsia="ja-JP"/>
              </w:rPr>
              <w:t>Australia</w:t>
            </w:r>
          </w:p>
        </w:tc>
      </w:tr>
      <w:tr w:rsidR="00314057" w14:paraId="0C661482" w14:textId="77777777" w:rsidTr="00604B9F">
        <w:tc>
          <w:tcPr>
            <w:tcW w:w="2287" w:type="dxa"/>
          </w:tcPr>
          <w:p w14:paraId="6B655FE5" w14:textId="77777777" w:rsidR="00314057" w:rsidRDefault="00314057" w:rsidP="00314057">
            <w:pPr>
              <w:spacing w:before="40" w:after="40"/>
              <w:rPr>
                <w:lang w:eastAsia="ja-JP"/>
              </w:rPr>
            </w:pPr>
            <w:r>
              <w:rPr>
                <w:lang w:eastAsia="ja-JP"/>
              </w:rPr>
              <w:t xml:space="preserve">Sources used to generate this </w:t>
            </w:r>
            <w:r w:rsidR="00416703">
              <w:rPr>
                <w:lang w:eastAsia="ja-JP"/>
              </w:rPr>
              <w:t xml:space="preserve">dataset </w:t>
            </w:r>
            <w:r w:rsidR="00D37B0F">
              <w:rPr>
                <w:lang w:eastAsia="ja-JP"/>
              </w:rPr>
              <w:t xml:space="preserve">and/or </w:t>
            </w:r>
            <w:r>
              <w:rPr>
                <w:lang w:eastAsia="ja-JP"/>
              </w:rPr>
              <w:t>resource</w:t>
            </w:r>
          </w:p>
        </w:tc>
        <w:tc>
          <w:tcPr>
            <w:tcW w:w="7206" w:type="dxa"/>
          </w:tcPr>
          <w:p w14:paraId="2B1CD6B8" w14:textId="427D4AA9" w:rsidR="00314057" w:rsidRPr="005755C0" w:rsidRDefault="00E52A2A" w:rsidP="00FE3839">
            <w:pPr>
              <w:spacing w:before="40" w:after="40"/>
              <w:rPr>
                <w:lang w:eastAsia="ja-JP"/>
              </w:rPr>
            </w:pPr>
            <w:r>
              <w:rPr>
                <w:lang w:eastAsia="ja-JP"/>
              </w:rPr>
              <w:t xml:space="preserve">See </w:t>
            </w:r>
            <w:r w:rsidR="001232FB">
              <w:rPr>
                <w:lang w:eastAsia="ja-JP"/>
              </w:rPr>
              <w:t>Table 1 and Table 2</w:t>
            </w:r>
            <w:r w:rsidR="00FE3839">
              <w:rPr>
                <w:lang w:eastAsia="ja-JP"/>
              </w:rPr>
              <w:t xml:space="preserve"> </w:t>
            </w:r>
            <w:r w:rsidR="001232FB">
              <w:rPr>
                <w:lang w:eastAsia="ja-JP"/>
              </w:rPr>
              <w:t xml:space="preserve">(Appendix </w:t>
            </w:r>
            <w:r w:rsidR="00FE3839">
              <w:rPr>
                <w:lang w:eastAsia="ja-JP"/>
              </w:rPr>
              <w:t>1</w:t>
            </w:r>
            <w:r w:rsidR="001232FB">
              <w:rPr>
                <w:lang w:eastAsia="ja-JP"/>
              </w:rPr>
              <w:t>)</w:t>
            </w:r>
            <w:r w:rsidR="009400DE">
              <w:rPr>
                <w:lang w:eastAsia="ja-JP"/>
              </w:rPr>
              <w:t xml:space="preserve"> below</w:t>
            </w:r>
            <w:r w:rsidR="001E688E">
              <w:rPr>
                <w:lang w:eastAsia="ja-JP"/>
              </w:rPr>
              <w:t xml:space="preserve">. </w:t>
            </w:r>
          </w:p>
        </w:tc>
      </w:tr>
      <w:tr w:rsidR="00F51CD3" w14:paraId="77850CFF" w14:textId="77777777" w:rsidTr="00604B9F">
        <w:tc>
          <w:tcPr>
            <w:tcW w:w="2287" w:type="dxa"/>
          </w:tcPr>
          <w:p w14:paraId="432D7387" w14:textId="77777777" w:rsidR="00F51CD3" w:rsidRDefault="00F51CD3" w:rsidP="00F51CD3">
            <w:pPr>
              <w:spacing w:before="40" w:after="40"/>
              <w:rPr>
                <w:lang w:eastAsia="ja-JP"/>
              </w:rPr>
            </w:pPr>
            <w:r>
              <w:rPr>
                <w:lang w:eastAsia="ja-JP"/>
              </w:rPr>
              <w:t>Publication date</w:t>
            </w:r>
          </w:p>
        </w:tc>
        <w:tc>
          <w:tcPr>
            <w:tcW w:w="7206" w:type="dxa"/>
          </w:tcPr>
          <w:p w14:paraId="41B5D3A4" w14:textId="4BCBF4D7" w:rsidR="00F51CD3" w:rsidRDefault="001965B7" w:rsidP="00F51CD3">
            <w:pPr>
              <w:spacing w:before="40" w:after="40"/>
              <w:rPr>
                <w:lang w:eastAsia="ja-JP"/>
              </w:rPr>
            </w:pPr>
            <w:r>
              <w:rPr>
                <w:lang w:eastAsia="ja-JP"/>
              </w:rPr>
              <w:t xml:space="preserve">December </w:t>
            </w:r>
            <w:r w:rsidR="001E688E">
              <w:rPr>
                <w:lang w:eastAsia="ja-JP"/>
              </w:rPr>
              <w:t>2023</w:t>
            </w:r>
          </w:p>
        </w:tc>
      </w:tr>
      <w:tr w:rsidR="00F51CD3" w14:paraId="356B157D" w14:textId="77777777" w:rsidTr="00604B9F">
        <w:tc>
          <w:tcPr>
            <w:tcW w:w="2287" w:type="dxa"/>
          </w:tcPr>
          <w:p w14:paraId="46508B59" w14:textId="77777777" w:rsidR="00F51CD3" w:rsidRDefault="00F51CD3" w:rsidP="00F51CD3">
            <w:pPr>
              <w:spacing w:before="40" w:after="40"/>
              <w:rPr>
                <w:lang w:eastAsia="ja-JP"/>
              </w:rPr>
            </w:pPr>
            <w:r>
              <w:rPr>
                <w:lang w:eastAsia="ja-JP"/>
              </w:rPr>
              <w:t>Latest date of information/currency</w:t>
            </w:r>
          </w:p>
        </w:tc>
        <w:tc>
          <w:tcPr>
            <w:tcW w:w="7206" w:type="dxa"/>
          </w:tcPr>
          <w:p w14:paraId="1AFEA0CA" w14:textId="248DD2E1" w:rsidR="00F51CD3" w:rsidRDefault="003F3AF9" w:rsidP="00F51CD3">
            <w:pPr>
              <w:spacing w:before="40" w:after="40"/>
              <w:rPr>
                <w:lang w:eastAsia="ja-JP"/>
              </w:rPr>
            </w:pPr>
            <w:r>
              <w:rPr>
                <w:lang w:eastAsia="ja-JP"/>
              </w:rPr>
              <w:t xml:space="preserve">30 </w:t>
            </w:r>
            <w:r w:rsidR="00F51CD3">
              <w:rPr>
                <w:lang w:eastAsia="ja-JP"/>
              </w:rPr>
              <w:t xml:space="preserve">June </w:t>
            </w:r>
            <w:r w:rsidR="005F1F05">
              <w:rPr>
                <w:lang w:eastAsia="ja-JP"/>
              </w:rPr>
              <w:t xml:space="preserve">2021 </w:t>
            </w:r>
          </w:p>
        </w:tc>
      </w:tr>
      <w:tr w:rsidR="00F51CD3" w14:paraId="4E08E087" w14:textId="77777777" w:rsidTr="00153BE1">
        <w:tc>
          <w:tcPr>
            <w:tcW w:w="9493" w:type="dxa"/>
            <w:gridSpan w:val="2"/>
            <w:shd w:val="clear" w:color="auto" w:fill="D9D9D9" w:themeFill="background1" w:themeFillShade="D9"/>
          </w:tcPr>
          <w:p w14:paraId="68242769" w14:textId="77777777" w:rsidR="00F51CD3" w:rsidRPr="00153BE1" w:rsidRDefault="00F51CD3" w:rsidP="00F51CD3">
            <w:pPr>
              <w:spacing w:before="40" w:after="40"/>
              <w:rPr>
                <w:sz w:val="12"/>
                <w:lang w:eastAsia="ja-JP"/>
              </w:rPr>
            </w:pPr>
          </w:p>
        </w:tc>
      </w:tr>
      <w:tr w:rsidR="00F51CD3" w14:paraId="7F51C5E2" w14:textId="77777777" w:rsidTr="00604B9F">
        <w:tc>
          <w:tcPr>
            <w:tcW w:w="2287" w:type="dxa"/>
          </w:tcPr>
          <w:p w14:paraId="459A7EC6" w14:textId="77777777" w:rsidR="00F51CD3" w:rsidRDefault="00F51CD3" w:rsidP="00F51CD3">
            <w:pPr>
              <w:spacing w:before="40" w:after="40"/>
              <w:rPr>
                <w:lang w:eastAsia="ja-JP"/>
              </w:rPr>
            </w:pPr>
            <w:r>
              <w:rPr>
                <w:lang w:eastAsia="ja-JP"/>
              </w:rPr>
              <w:t>Data file name</w:t>
            </w:r>
          </w:p>
        </w:tc>
        <w:tc>
          <w:tcPr>
            <w:tcW w:w="7206" w:type="dxa"/>
          </w:tcPr>
          <w:p w14:paraId="52FE42B4" w14:textId="738A8377" w:rsidR="00F51CD3" w:rsidRDefault="005F1F05" w:rsidP="00416703">
            <w:pPr>
              <w:spacing w:before="40" w:after="40"/>
              <w:rPr>
                <w:lang w:eastAsia="ja-JP"/>
              </w:rPr>
            </w:pPr>
            <w:r>
              <w:rPr>
                <w:lang w:eastAsia="ja-JP"/>
              </w:rPr>
              <w:t>A</w:t>
            </w:r>
            <w:r w:rsidR="00416703">
              <w:rPr>
                <w:lang w:eastAsia="ja-JP"/>
              </w:rPr>
              <w:t>us_</w:t>
            </w:r>
            <w:r>
              <w:rPr>
                <w:lang w:eastAsia="ja-JP"/>
              </w:rPr>
              <w:t>F</w:t>
            </w:r>
            <w:r w:rsidR="001E688E">
              <w:rPr>
                <w:lang w:eastAsia="ja-JP"/>
              </w:rPr>
              <w:t>or23</w:t>
            </w:r>
          </w:p>
        </w:tc>
      </w:tr>
      <w:tr w:rsidR="00F51CD3" w14:paraId="6386A1F4" w14:textId="77777777" w:rsidTr="00604B9F">
        <w:tc>
          <w:tcPr>
            <w:tcW w:w="2287" w:type="dxa"/>
          </w:tcPr>
          <w:p w14:paraId="7F216EC7" w14:textId="77777777" w:rsidR="00F51CD3" w:rsidRDefault="00F51CD3" w:rsidP="00F51CD3">
            <w:pPr>
              <w:spacing w:before="40" w:after="40"/>
              <w:rPr>
                <w:lang w:eastAsia="ja-JP"/>
              </w:rPr>
            </w:pPr>
            <w:r>
              <w:rPr>
                <w:lang w:eastAsia="ja-JP"/>
              </w:rPr>
              <w:t>Stored data format</w:t>
            </w:r>
          </w:p>
        </w:tc>
        <w:tc>
          <w:tcPr>
            <w:tcW w:w="7206" w:type="dxa"/>
          </w:tcPr>
          <w:p w14:paraId="40A3B5EA" w14:textId="03624EFE" w:rsidR="00F51CD3" w:rsidRPr="00CD20CF" w:rsidRDefault="00FE3839" w:rsidP="00D302A0">
            <w:pPr>
              <w:spacing w:before="40" w:after="40"/>
              <w:rPr>
                <w:lang w:eastAsia="ja-JP"/>
              </w:rPr>
            </w:pPr>
            <w:r w:rsidRPr="00CD20CF">
              <w:rPr>
                <w:rStyle w:val="Hyperlink"/>
                <w:color w:val="000000" w:themeColor="text1"/>
                <w:u w:val="none"/>
                <w:lang w:eastAsia="ja-JP"/>
              </w:rPr>
              <w:t xml:space="preserve">GIS files </w:t>
            </w:r>
            <w:r w:rsidR="00CD20CF" w:rsidRPr="00CD20CF">
              <w:rPr>
                <w:rStyle w:val="Hyperlink"/>
                <w:color w:val="000000" w:themeColor="text1"/>
                <w:u w:val="none"/>
                <w:lang w:eastAsia="ja-JP"/>
              </w:rPr>
              <w:t>created</w:t>
            </w:r>
            <w:r w:rsidRPr="00CD20CF">
              <w:rPr>
                <w:rStyle w:val="Hyperlink"/>
                <w:color w:val="000000" w:themeColor="text1"/>
                <w:u w:val="none"/>
                <w:lang w:eastAsia="ja-JP"/>
              </w:rPr>
              <w:t xml:space="preserve"> using </w:t>
            </w:r>
            <w:r w:rsidR="00CD20CF" w:rsidRPr="00CD20CF">
              <w:rPr>
                <w:rStyle w:val="Hyperlink"/>
                <w:color w:val="000000" w:themeColor="text1"/>
                <w:u w:val="none"/>
                <w:lang w:eastAsia="ja-JP"/>
              </w:rPr>
              <w:t>E</w:t>
            </w:r>
            <w:r w:rsidR="00D302A0">
              <w:rPr>
                <w:rStyle w:val="Hyperlink"/>
                <w:color w:val="000000" w:themeColor="text1"/>
                <w:u w:val="none"/>
                <w:lang w:eastAsia="ja-JP"/>
              </w:rPr>
              <w:t>sri</w:t>
            </w:r>
            <w:r w:rsidR="00CD20CF" w:rsidRPr="00CD20CF">
              <w:rPr>
                <w:rStyle w:val="Hyperlink"/>
                <w:color w:val="000000" w:themeColor="text1"/>
                <w:u w:val="none"/>
                <w:lang w:eastAsia="ja-JP"/>
              </w:rPr>
              <w:t xml:space="preserve"> ArcGIS 10.</w:t>
            </w:r>
            <w:r w:rsidR="00760734">
              <w:rPr>
                <w:rStyle w:val="Hyperlink"/>
                <w:color w:val="000000" w:themeColor="text1"/>
                <w:u w:val="none"/>
                <w:lang w:eastAsia="ja-JP"/>
              </w:rPr>
              <w:t>6</w:t>
            </w:r>
            <w:r w:rsidR="00760734" w:rsidRPr="00CD20CF">
              <w:rPr>
                <w:rStyle w:val="Hyperlink"/>
                <w:color w:val="000000" w:themeColor="text1"/>
                <w:u w:val="none"/>
                <w:lang w:eastAsia="ja-JP"/>
              </w:rPr>
              <w:t xml:space="preserve"> </w:t>
            </w:r>
            <w:r w:rsidR="00CD20CF" w:rsidRPr="00CD20CF">
              <w:rPr>
                <w:rStyle w:val="Hyperlink"/>
                <w:color w:val="000000" w:themeColor="text1"/>
                <w:u w:val="none"/>
                <w:lang w:eastAsia="ja-JP"/>
              </w:rPr>
              <w:t xml:space="preserve">software: </w:t>
            </w:r>
            <w:r w:rsidR="0081343F">
              <w:rPr>
                <w:rStyle w:val="Hyperlink"/>
                <w:b/>
                <w:bCs/>
                <w:color w:val="000000" w:themeColor="text1"/>
                <w:u w:val="none"/>
                <w:lang w:eastAsia="ja-JP"/>
              </w:rPr>
              <w:t xml:space="preserve">ESRI </w:t>
            </w:r>
            <w:r w:rsidR="00CD20CF" w:rsidRPr="00CD20CF">
              <w:rPr>
                <w:rStyle w:val="Hyperlink"/>
                <w:b/>
                <w:color w:val="000000" w:themeColor="text1"/>
                <w:u w:val="none"/>
                <w:lang w:eastAsia="ja-JP"/>
              </w:rPr>
              <w:t>G</w:t>
            </w:r>
            <w:r w:rsidR="00D302A0">
              <w:rPr>
                <w:rStyle w:val="Hyperlink"/>
                <w:b/>
                <w:color w:val="000000" w:themeColor="text1"/>
                <w:u w:val="none"/>
                <w:lang w:eastAsia="ja-JP"/>
              </w:rPr>
              <w:t>rid</w:t>
            </w:r>
            <w:r w:rsidR="00CD20CF" w:rsidRPr="00CD20CF">
              <w:rPr>
                <w:rStyle w:val="Hyperlink"/>
                <w:b/>
                <w:color w:val="000000" w:themeColor="text1"/>
                <w:u w:val="none"/>
                <w:lang w:eastAsia="ja-JP"/>
              </w:rPr>
              <w:t xml:space="preserve"> </w:t>
            </w:r>
            <w:r w:rsidR="00CD20CF" w:rsidRPr="00D302A0">
              <w:rPr>
                <w:rStyle w:val="Hyperlink"/>
                <w:color w:val="000000" w:themeColor="text1"/>
                <w:u w:val="none"/>
                <w:lang w:eastAsia="ja-JP"/>
              </w:rPr>
              <w:t>(</w:t>
            </w:r>
            <w:r w:rsidR="00D302A0" w:rsidRPr="00D302A0">
              <w:rPr>
                <w:rStyle w:val="Hyperlink"/>
                <w:color w:val="000000" w:themeColor="text1"/>
                <w:u w:val="none"/>
                <w:lang w:eastAsia="ja-JP"/>
              </w:rPr>
              <w:t>r</w:t>
            </w:r>
            <w:r w:rsidR="00CD20CF" w:rsidRPr="00D302A0">
              <w:rPr>
                <w:rStyle w:val="Hyperlink"/>
                <w:color w:val="000000" w:themeColor="text1"/>
                <w:u w:val="none"/>
                <w:lang w:eastAsia="ja-JP"/>
              </w:rPr>
              <w:t>aster)</w:t>
            </w:r>
            <w:r w:rsidR="00CD20CF" w:rsidRPr="00CD20CF">
              <w:rPr>
                <w:rStyle w:val="Hyperlink"/>
                <w:color w:val="000000" w:themeColor="text1"/>
                <w:u w:val="none"/>
                <w:lang w:eastAsia="ja-JP"/>
              </w:rPr>
              <w:t xml:space="preserve"> and </w:t>
            </w:r>
            <w:r w:rsidR="00CD20CF" w:rsidRPr="00CD20CF">
              <w:rPr>
                <w:rStyle w:val="Hyperlink"/>
                <w:b/>
                <w:color w:val="000000" w:themeColor="text1"/>
                <w:u w:val="none"/>
                <w:lang w:eastAsia="ja-JP"/>
              </w:rPr>
              <w:t>Layer file</w:t>
            </w:r>
            <w:r w:rsidR="00CD20CF" w:rsidRPr="00CD20CF">
              <w:rPr>
                <w:rStyle w:val="Hyperlink"/>
                <w:color w:val="000000" w:themeColor="text1"/>
                <w:u w:val="none"/>
                <w:lang w:eastAsia="ja-JP"/>
              </w:rPr>
              <w:t xml:space="preserve"> format</w:t>
            </w:r>
            <w:r w:rsidR="0081343F">
              <w:rPr>
                <w:rStyle w:val="Hyperlink"/>
                <w:color w:val="000000" w:themeColor="text1"/>
                <w:u w:val="none"/>
                <w:lang w:eastAsia="ja-JP"/>
              </w:rPr>
              <w:t>s</w:t>
            </w:r>
            <w:r w:rsidR="00CD20CF" w:rsidRPr="00CD20CF">
              <w:rPr>
                <w:rStyle w:val="Hyperlink"/>
                <w:color w:val="000000" w:themeColor="text1"/>
                <w:u w:val="none"/>
                <w:lang w:eastAsia="ja-JP"/>
              </w:rPr>
              <w:t xml:space="preserve"> – zipped</w:t>
            </w:r>
            <w:r w:rsidR="001E688E">
              <w:rPr>
                <w:rStyle w:val="Hyperlink"/>
                <w:color w:val="000000" w:themeColor="text1"/>
                <w:u w:val="none"/>
                <w:lang w:eastAsia="ja-JP"/>
              </w:rPr>
              <w:t>.</w:t>
            </w:r>
            <w:r w:rsidR="0081343F">
              <w:rPr>
                <w:rStyle w:val="Hyperlink"/>
                <w:color w:val="000000" w:themeColor="text1"/>
                <w:u w:val="none"/>
                <w:lang w:eastAsia="ja-JP"/>
              </w:rPr>
              <w:t xml:space="preserve"> </w:t>
            </w:r>
            <w:r w:rsidR="0081343F">
              <w:rPr>
                <w:rStyle w:val="Hyperlink"/>
                <w:b/>
                <w:color w:val="000000" w:themeColor="text1"/>
                <w:u w:val="none"/>
                <w:lang w:eastAsia="ja-JP"/>
              </w:rPr>
              <w:t xml:space="preserve">TIFF </w:t>
            </w:r>
            <w:r w:rsidR="0081343F" w:rsidRPr="00760734">
              <w:rPr>
                <w:rStyle w:val="Hyperlink"/>
                <w:bCs/>
                <w:color w:val="000000" w:themeColor="text1"/>
                <w:u w:val="none"/>
                <w:lang w:eastAsia="ja-JP"/>
              </w:rPr>
              <w:t>raster format is also available.</w:t>
            </w:r>
          </w:p>
        </w:tc>
      </w:tr>
      <w:tr w:rsidR="00F51CD3" w14:paraId="1A91C413" w14:textId="77777777" w:rsidTr="00604B9F">
        <w:tc>
          <w:tcPr>
            <w:tcW w:w="2287" w:type="dxa"/>
          </w:tcPr>
          <w:p w14:paraId="3F000693" w14:textId="77777777" w:rsidR="00F51CD3" w:rsidRDefault="00F51CD3" w:rsidP="00F51CD3">
            <w:pPr>
              <w:spacing w:before="40" w:after="40"/>
              <w:rPr>
                <w:lang w:eastAsia="ja-JP"/>
              </w:rPr>
            </w:pPr>
            <w:r>
              <w:rPr>
                <w:lang w:eastAsia="ja-JP"/>
              </w:rPr>
              <w:t>Compressed file size</w:t>
            </w:r>
          </w:p>
        </w:tc>
        <w:tc>
          <w:tcPr>
            <w:tcW w:w="7206" w:type="dxa"/>
          </w:tcPr>
          <w:p w14:paraId="7F0915AF" w14:textId="5491C523" w:rsidR="00F51CD3" w:rsidRDefault="0044426B" w:rsidP="00E52A2A">
            <w:pPr>
              <w:spacing w:before="40" w:after="40"/>
              <w:rPr>
                <w:lang w:eastAsia="ja-JP"/>
              </w:rPr>
            </w:pPr>
            <w:r>
              <w:rPr>
                <w:lang w:eastAsia="ja-JP"/>
              </w:rPr>
              <w:t xml:space="preserve">150 </w:t>
            </w:r>
            <w:r w:rsidR="00F51CD3">
              <w:rPr>
                <w:lang w:eastAsia="ja-JP"/>
              </w:rPr>
              <w:t>MB</w:t>
            </w:r>
            <w:r w:rsidR="0081343F">
              <w:rPr>
                <w:lang w:eastAsia="ja-JP"/>
              </w:rPr>
              <w:t xml:space="preserve"> (</w:t>
            </w:r>
            <w:r>
              <w:rPr>
                <w:lang w:eastAsia="ja-JP"/>
              </w:rPr>
              <w:t>zipped ESRI GRID</w:t>
            </w:r>
            <w:r w:rsidR="0081343F">
              <w:rPr>
                <w:lang w:eastAsia="ja-JP"/>
              </w:rPr>
              <w:t>)</w:t>
            </w:r>
            <w:r>
              <w:rPr>
                <w:lang w:eastAsia="ja-JP"/>
              </w:rPr>
              <w:t xml:space="preserve">, </w:t>
            </w:r>
            <w:r w:rsidR="00840FBB">
              <w:rPr>
                <w:lang w:eastAsia="ja-JP"/>
              </w:rPr>
              <w:t>77</w:t>
            </w:r>
            <w:r w:rsidR="002674D9">
              <w:rPr>
                <w:lang w:eastAsia="ja-JP"/>
              </w:rPr>
              <w:t xml:space="preserve"> </w:t>
            </w:r>
            <w:r w:rsidR="00840FBB">
              <w:rPr>
                <w:lang w:eastAsia="ja-JP"/>
              </w:rPr>
              <w:t xml:space="preserve">MB (zipped </w:t>
            </w:r>
            <w:proofErr w:type="spellStart"/>
            <w:r w:rsidR="00840FBB">
              <w:rPr>
                <w:lang w:eastAsia="ja-JP"/>
              </w:rPr>
              <w:t>GeoTiff</w:t>
            </w:r>
            <w:proofErr w:type="spellEnd"/>
            <w:r w:rsidR="00840FBB">
              <w:rPr>
                <w:lang w:eastAsia="ja-JP"/>
              </w:rPr>
              <w:t>)</w:t>
            </w:r>
          </w:p>
        </w:tc>
      </w:tr>
      <w:tr w:rsidR="00F51CD3" w14:paraId="0CA40C0D" w14:textId="77777777" w:rsidTr="00604B9F">
        <w:tc>
          <w:tcPr>
            <w:tcW w:w="2287" w:type="dxa"/>
            <w:vMerge w:val="restart"/>
          </w:tcPr>
          <w:p w14:paraId="651BDD26" w14:textId="77777777" w:rsidR="00F51CD3" w:rsidRDefault="00F51CD3" w:rsidP="00F51CD3">
            <w:pPr>
              <w:spacing w:before="40" w:after="40"/>
              <w:rPr>
                <w:lang w:eastAsia="ja-JP"/>
              </w:rPr>
            </w:pPr>
            <w:r>
              <w:rPr>
                <w:lang w:eastAsia="ja-JP"/>
              </w:rPr>
              <w:t>Geographic extent</w:t>
            </w:r>
          </w:p>
        </w:tc>
        <w:tc>
          <w:tcPr>
            <w:tcW w:w="7206" w:type="dxa"/>
          </w:tcPr>
          <w:p w14:paraId="78FFE93F" w14:textId="77777777" w:rsidR="00F51CD3" w:rsidRDefault="00F51CD3" w:rsidP="00F51CD3">
            <w:pPr>
              <w:spacing w:before="40" w:after="40"/>
              <w:rPr>
                <w:lang w:eastAsia="ja-JP"/>
              </w:rPr>
            </w:pPr>
            <w:r>
              <w:rPr>
                <w:lang w:eastAsia="ja-JP"/>
              </w:rPr>
              <w:t>Australia excluding external territories</w:t>
            </w:r>
          </w:p>
        </w:tc>
      </w:tr>
      <w:tr w:rsidR="00F51CD3" w14:paraId="63488EC6" w14:textId="77777777" w:rsidTr="00604B9F">
        <w:tc>
          <w:tcPr>
            <w:tcW w:w="2287" w:type="dxa"/>
            <w:vMerge/>
          </w:tcPr>
          <w:p w14:paraId="0C6F136F" w14:textId="77777777" w:rsidR="00F51CD3" w:rsidRDefault="00F51CD3" w:rsidP="00F51CD3">
            <w:pPr>
              <w:spacing w:before="40" w:after="40"/>
              <w:rPr>
                <w:lang w:eastAsia="ja-JP"/>
              </w:rPr>
            </w:pPr>
          </w:p>
        </w:tc>
        <w:tc>
          <w:tcPr>
            <w:tcW w:w="7206" w:type="dxa"/>
          </w:tcPr>
          <w:p w14:paraId="1C495275" w14:textId="77777777" w:rsidR="00F51CD3" w:rsidRDefault="00F51CD3" w:rsidP="00F51CD3">
            <w:pPr>
              <w:spacing w:before="40" w:after="40"/>
              <w:rPr>
                <w:lang w:eastAsia="ja-JP"/>
              </w:rPr>
            </w:pPr>
            <w:r>
              <w:rPr>
                <w:lang w:eastAsia="ja-JP"/>
              </w:rPr>
              <w:t>North bounding Latitude: -8.2°</w:t>
            </w:r>
          </w:p>
          <w:p w14:paraId="43ED10C5" w14:textId="77777777" w:rsidR="00F51CD3" w:rsidRDefault="00F51CD3" w:rsidP="00F51CD3">
            <w:pPr>
              <w:spacing w:before="40" w:after="40"/>
              <w:rPr>
                <w:lang w:eastAsia="ja-JP"/>
              </w:rPr>
            </w:pPr>
            <w:r>
              <w:rPr>
                <w:lang w:eastAsia="ja-JP"/>
              </w:rPr>
              <w:t>South bounding Latitude: -44.4°</w:t>
            </w:r>
          </w:p>
          <w:p w14:paraId="78A92D3B" w14:textId="77777777" w:rsidR="00F51CD3" w:rsidRDefault="00F51CD3" w:rsidP="00F51CD3">
            <w:pPr>
              <w:spacing w:before="40" w:after="40"/>
              <w:rPr>
                <w:lang w:eastAsia="ja-JP"/>
              </w:rPr>
            </w:pPr>
            <w:r>
              <w:rPr>
                <w:lang w:eastAsia="ja-JP"/>
              </w:rPr>
              <w:t>East bounding Longitude: 157.2°</w:t>
            </w:r>
          </w:p>
          <w:p w14:paraId="0D391E35" w14:textId="77777777" w:rsidR="00F51CD3" w:rsidRDefault="00F51CD3" w:rsidP="00F51CD3">
            <w:pPr>
              <w:spacing w:before="40" w:after="40"/>
              <w:rPr>
                <w:lang w:eastAsia="ja-JP"/>
              </w:rPr>
            </w:pPr>
            <w:r>
              <w:rPr>
                <w:lang w:eastAsia="ja-JP"/>
              </w:rPr>
              <w:t>West bounding Longitude: 109.5°</w:t>
            </w:r>
          </w:p>
        </w:tc>
      </w:tr>
      <w:tr w:rsidR="00F51CD3" w14:paraId="012F1C2B" w14:textId="77777777" w:rsidTr="00604B9F">
        <w:tc>
          <w:tcPr>
            <w:tcW w:w="2287" w:type="dxa"/>
          </w:tcPr>
          <w:p w14:paraId="719A329E" w14:textId="77777777" w:rsidR="00F51CD3" w:rsidRDefault="00F51CD3" w:rsidP="00F51CD3">
            <w:pPr>
              <w:spacing w:before="40" w:after="40"/>
              <w:rPr>
                <w:lang w:eastAsia="ja-JP"/>
              </w:rPr>
            </w:pPr>
            <w:r>
              <w:rPr>
                <w:lang w:eastAsia="ja-JP"/>
              </w:rPr>
              <w:t>Spatial resolution/</w:t>
            </w:r>
          </w:p>
          <w:p w14:paraId="4394DECB" w14:textId="77777777" w:rsidR="00F51CD3" w:rsidRDefault="00F51CD3" w:rsidP="00F51CD3">
            <w:pPr>
              <w:spacing w:before="40" w:after="40"/>
              <w:rPr>
                <w:lang w:eastAsia="ja-JP"/>
              </w:rPr>
            </w:pPr>
            <w:r>
              <w:rPr>
                <w:lang w:eastAsia="ja-JP"/>
              </w:rPr>
              <w:t>cell size</w:t>
            </w:r>
          </w:p>
        </w:tc>
        <w:tc>
          <w:tcPr>
            <w:tcW w:w="7206" w:type="dxa"/>
          </w:tcPr>
          <w:p w14:paraId="4133F447" w14:textId="77777777" w:rsidR="00F51CD3" w:rsidRDefault="00F51CD3" w:rsidP="00F51CD3">
            <w:pPr>
              <w:spacing w:before="40" w:after="40"/>
              <w:rPr>
                <w:lang w:eastAsia="ja-JP"/>
              </w:rPr>
            </w:pPr>
            <w:r>
              <w:rPr>
                <w:lang w:eastAsia="ja-JP"/>
              </w:rPr>
              <w:t>1 hectare/100 x 100 metre</w:t>
            </w:r>
          </w:p>
        </w:tc>
      </w:tr>
      <w:tr w:rsidR="00F51CD3" w14:paraId="6172C434" w14:textId="77777777" w:rsidTr="00604B9F">
        <w:tc>
          <w:tcPr>
            <w:tcW w:w="2287" w:type="dxa"/>
            <w:vMerge w:val="restart"/>
          </w:tcPr>
          <w:p w14:paraId="07583EF8" w14:textId="77777777" w:rsidR="00F51CD3" w:rsidRDefault="00F51CD3" w:rsidP="00F51CD3">
            <w:pPr>
              <w:spacing w:before="40" w:after="40"/>
              <w:rPr>
                <w:lang w:eastAsia="ja-JP"/>
              </w:rPr>
            </w:pPr>
            <w:r>
              <w:rPr>
                <w:lang w:eastAsia="ja-JP"/>
              </w:rPr>
              <w:t>Spatial reference</w:t>
            </w:r>
          </w:p>
          <w:p w14:paraId="5F745D0D" w14:textId="77777777" w:rsidR="00F51CD3" w:rsidRDefault="00F51CD3" w:rsidP="00F51CD3">
            <w:pPr>
              <w:spacing w:before="40" w:after="40"/>
              <w:rPr>
                <w:lang w:eastAsia="ja-JP"/>
              </w:rPr>
            </w:pPr>
          </w:p>
        </w:tc>
        <w:tc>
          <w:tcPr>
            <w:tcW w:w="7206" w:type="dxa"/>
          </w:tcPr>
          <w:p w14:paraId="0E22A078" w14:textId="77777777" w:rsidR="00F51CD3" w:rsidRDefault="00F51CD3" w:rsidP="00F51CD3">
            <w:pPr>
              <w:spacing w:before="40" w:after="40"/>
              <w:rPr>
                <w:lang w:eastAsia="ja-JP"/>
              </w:rPr>
            </w:pPr>
            <w:r>
              <w:rPr>
                <w:lang w:eastAsia="ja-JP"/>
              </w:rPr>
              <w:lastRenderedPageBreak/>
              <w:t>ESPG:3577 GDA94 Australian Albers</w:t>
            </w:r>
          </w:p>
        </w:tc>
      </w:tr>
      <w:tr w:rsidR="00F51CD3" w14:paraId="1C4D9270" w14:textId="77777777" w:rsidTr="00604B9F">
        <w:tc>
          <w:tcPr>
            <w:tcW w:w="2287" w:type="dxa"/>
            <w:vMerge/>
          </w:tcPr>
          <w:p w14:paraId="0ADDE9F7" w14:textId="77777777" w:rsidR="00F51CD3" w:rsidRDefault="00F51CD3" w:rsidP="00F51CD3">
            <w:pPr>
              <w:spacing w:before="40" w:after="40"/>
              <w:rPr>
                <w:lang w:eastAsia="ja-JP"/>
              </w:rPr>
            </w:pPr>
          </w:p>
        </w:tc>
        <w:tc>
          <w:tcPr>
            <w:tcW w:w="7206" w:type="dxa"/>
          </w:tcPr>
          <w:p w14:paraId="7E6571DB" w14:textId="77777777" w:rsidR="00F51CD3" w:rsidRDefault="00F51CD3" w:rsidP="00F51CD3">
            <w:pPr>
              <w:spacing w:before="40" w:after="40"/>
              <w:rPr>
                <w:lang w:eastAsia="ja-JP"/>
              </w:rPr>
            </w:pPr>
            <w:r>
              <w:rPr>
                <w:lang w:eastAsia="ja-JP"/>
              </w:rPr>
              <w:t>Coordinate system: GDA_1994_Albers</w:t>
            </w:r>
          </w:p>
          <w:p w14:paraId="14CDE98E" w14:textId="77777777" w:rsidR="00F51CD3" w:rsidRDefault="00F51CD3" w:rsidP="00F51CD3">
            <w:pPr>
              <w:spacing w:before="40" w:after="40"/>
              <w:rPr>
                <w:lang w:eastAsia="ja-JP"/>
              </w:rPr>
            </w:pPr>
            <w:r>
              <w:rPr>
                <w:lang w:eastAsia="ja-JP"/>
              </w:rPr>
              <w:t>False Easting: 0</w:t>
            </w:r>
          </w:p>
          <w:p w14:paraId="3A859DF7" w14:textId="77777777" w:rsidR="00F51CD3" w:rsidRDefault="00F51CD3" w:rsidP="00F51CD3">
            <w:pPr>
              <w:spacing w:before="40" w:after="40"/>
              <w:rPr>
                <w:lang w:eastAsia="ja-JP"/>
              </w:rPr>
            </w:pPr>
            <w:r>
              <w:rPr>
                <w:lang w:eastAsia="ja-JP"/>
              </w:rPr>
              <w:t>False Northing: 0</w:t>
            </w:r>
          </w:p>
          <w:p w14:paraId="3309DB1B" w14:textId="77777777" w:rsidR="00F51CD3" w:rsidRDefault="00F51CD3" w:rsidP="00F51CD3">
            <w:pPr>
              <w:spacing w:before="40" w:after="40"/>
              <w:rPr>
                <w:lang w:eastAsia="ja-JP"/>
              </w:rPr>
            </w:pPr>
            <w:r>
              <w:rPr>
                <w:lang w:eastAsia="ja-JP"/>
              </w:rPr>
              <w:t>Central meridian: 132°</w:t>
            </w:r>
          </w:p>
          <w:p w14:paraId="1C277480" w14:textId="77777777" w:rsidR="00F51CD3" w:rsidRDefault="00F51CD3" w:rsidP="00F51CD3">
            <w:pPr>
              <w:spacing w:before="40" w:after="40"/>
              <w:rPr>
                <w:lang w:eastAsia="ja-JP"/>
              </w:rPr>
            </w:pPr>
            <w:r>
              <w:rPr>
                <w:lang w:eastAsia="ja-JP"/>
              </w:rPr>
              <w:t>Standard parallels: -18°, -36°</w:t>
            </w:r>
          </w:p>
          <w:p w14:paraId="30AD163D" w14:textId="77777777" w:rsidR="00F51CD3" w:rsidRDefault="00F51CD3" w:rsidP="00F51CD3">
            <w:pPr>
              <w:spacing w:before="40" w:after="40"/>
              <w:rPr>
                <w:lang w:eastAsia="ja-JP"/>
              </w:rPr>
            </w:pPr>
            <w:r>
              <w:rPr>
                <w:lang w:eastAsia="ja-JP"/>
              </w:rPr>
              <w:t>Latitude of origin: 0°</w:t>
            </w:r>
          </w:p>
          <w:p w14:paraId="7B3ADD6D" w14:textId="77777777" w:rsidR="00F51CD3" w:rsidRDefault="00F51CD3" w:rsidP="00F51CD3">
            <w:pPr>
              <w:spacing w:before="40" w:after="40"/>
              <w:rPr>
                <w:lang w:eastAsia="ja-JP"/>
              </w:rPr>
            </w:pPr>
            <w:r>
              <w:rPr>
                <w:lang w:eastAsia="ja-JP"/>
              </w:rPr>
              <w:t>Datum: D_GDA_1994</w:t>
            </w:r>
          </w:p>
        </w:tc>
      </w:tr>
      <w:tr w:rsidR="00F51CD3" w14:paraId="2FA53F95" w14:textId="77777777" w:rsidTr="00604B9F">
        <w:tc>
          <w:tcPr>
            <w:tcW w:w="2287" w:type="dxa"/>
          </w:tcPr>
          <w:p w14:paraId="66F7A5A2" w14:textId="77777777" w:rsidR="00F51CD3" w:rsidRDefault="00F51CD3" w:rsidP="00F51CD3">
            <w:pPr>
              <w:spacing w:before="40" w:after="40"/>
              <w:rPr>
                <w:lang w:eastAsia="ja-JP"/>
              </w:rPr>
            </w:pPr>
            <w:r>
              <w:rPr>
                <w:lang w:eastAsia="ja-JP"/>
              </w:rPr>
              <w:t>Positional accuracy</w:t>
            </w:r>
          </w:p>
        </w:tc>
        <w:tc>
          <w:tcPr>
            <w:tcW w:w="7206" w:type="dxa"/>
          </w:tcPr>
          <w:p w14:paraId="459A149D" w14:textId="77777777" w:rsidR="00F51CD3" w:rsidRDefault="00F51CD3" w:rsidP="00F51CD3">
            <w:pPr>
              <w:spacing w:before="40" w:after="40"/>
              <w:rPr>
                <w:lang w:eastAsia="ja-JP"/>
              </w:rPr>
            </w:pPr>
            <w:r>
              <w:rPr>
                <w:lang w:eastAsia="ja-JP"/>
              </w:rPr>
              <w:t>Horizontal: ±100 metres</w:t>
            </w:r>
          </w:p>
          <w:p w14:paraId="43159FEE" w14:textId="77777777" w:rsidR="00F51CD3" w:rsidRDefault="00F51CD3" w:rsidP="00F51CD3">
            <w:pPr>
              <w:spacing w:before="40" w:after="40"/>
              <w:rPr>
                <w:lang w:eastAsia="ja-JP"/>
              </w:rPr>
            </w:pPr>
            <w:r>
              <w:rPr>
                <w:lang w:eastAsia="ja-JP"/>
              </w:rPr>
              <w:t>Vertical: not applicable</w:t>
            </w:r>
          </w:p>
        </w:tc>
      </w:tr>
      <w:tr w:rsidR="00F51CD3" w14:paraId="70DE835E" w14:textId="77777777" w:rsidTr="00604B9F">
        <w:tc>
          <w:tcPr>
            <w:tcW w:w="2287" w:type="dxa"/>
          </w:tcPr>
          <w:p w14:paraId="718513F6" w14:textId="77777777" w:rsidR="00F51CD3" w:rsidRDefault="00F51CD3" w:rsidP="00F51CD3">
            <w:pPr>
              <w:spacing w:before="40" w:after="40"/>
              <w:rPr>
                <w:lang w:eastAsia="ja-JP"/>
              </w:rPr>
            </w:pPr>
            <w:r>
              <w:rPr>
                <w:lang w:eastAsia="ja-JP"/>
              </w:rPr>
              <w:t>Attribute accuracy</w:t>
            </w:r>
          </w:p>
        </w:tc>
        <w:tc>
          <w:tcPr>
            <w:tcW w:w="7206" w:type="dxa"/>
          </w:tcPr>
          <w:p w14:paraId="195BC698" w14:textId="5CAF4099" w:rsidR="00F51CD3" w:rsidRDefault="00F51CD3" w:rsidP="00F51CD3">
            <w:pPr>
              <w:spacing w:before="40" w:after="40"/>
              <w:rPr>
                <w:lang w:eastAsia="ja-JP"/>
              </w:rPr>
            </w:pPr>
            <w:r>
              <w:rPr>
                <w:lang w:eastAsia="ja-JP"/>
              </w:rPr>
              <w:t>Attributes are compiled exercising due care and skill</w:t>
            </w:r>
            <w:r w:rsidR="00B2117E">
              <w:rPr>
                <w:lang w:eastAsia="ja-JP"/>
              </w:rPr>
              <w:t>.</w:t>
            </w:r>
            <w:r>
              <w:rPr>
                <w:lang w:eastAsia="ja-JP"/>
              </w:rPr>
              <w:t xml:space="preserve"> </w:t>
            </w:r>
            <w:r w:rsidR="00B2117E">
              <w:rPr>
                <w:lang w:eastAsia="ja-JP"/>
              </w:rPr>
              <w:t>H</w:t>
            </w:r>
            <w:r>
              <w:rPr>
                <w:lang w:eastAsia="ja-JP"/>
              </w:rPr>
              <w:t>owever</w:t>
            </w:r>
            <w:r w:rsidR="001C1B04">
              <w:rPr>
                <w:lang w:eastAsia="ja-JP"/>
              </w:rPr>
              <w:t>,</w:t>
            </w:r>
            <w:r>
              <w:rPr>
                <w:lang w:eastAsia="ja-JP"/>
              </w:rPr>
              <w:t xml:space="preserve"> accuracy of attributes is </w:t>
            </w:r>
            <w:r w:rsidR="00CF355B">
              <w:rPr>
                <w:lang w:eastAsia="ja-JP"/>
              </w:rPr>
              <w:t xml:space="preserve">in part </w:t>
            </w:r>
            <w:r>
              <w:rPr>
                <w:lang w:eastAsia="ja-JP"/>
              </w:rPr>
              <w:t>dependent on accuracy of data supplied to ABARES and therefore cannot be guaranteed.</w:t>
            </w:r>
          </w:p>
        </w:tc>
      </w:tr>
      <w:tr w:rsidR="00F51CD3" w14:paraId="757FB929" w14:textId="77777777" w:rsidTr="00604B9F">
        <w:tc>
          <w:tcPr>
            <w:tcW w:w="2287" w:type="dxa"/>
          </w:tcPr>
          <w:p w14:paraId="2362984C" w14:textId="77777777" w:rsidR="00F51CD3" w:rsidRDefault="00F51CD3" w:rsidP="00F51CD3">
            <w:pPr>
              <w:spacing w:before="40" w:after="40"/>
              <w:rPr>
                <w:lang w:eastAsia="ja-JP"/>
              </w:rPr>
            </w:pPr>
            <w:r>
              <w:rPr>
                <w:lang w:eastAsia="ja-JP"/>
              </w:rPr>
              <w:t>Completeness</w:t>
            </w:r>
          </w:p>
        </w:tc>
        <w:tc>
          <w:tcPr>
            <w:tcW w:w="7206" w:type="dxa"/>
          </w:tcPr>
          <w:p w14:paraId="18796BDC" w14:textId="035A4CA8" w:rsidR="00F51CD3" w:rsidRDefault="00F51CD3" w:rsidP="00F51CD3">
            <w:pPr>
              <w:spacing w:before="40" w:after="40"/>
              <w:rPr>
                <w:lang w:eastAsia="ja-JP"/>
              </w:rPr>
            </w:pPr>
            <w:r>
              <w:rPr>
                <w:lang w:eastAsia="ja-JP"/>
              </w:rPr>
              <w:t xml:space="preserve">Coverage: Dataset provides coverage of 100% of Australia excluding external territories. </w:t>
            </w:r>
          </w:p>
          <w:p w14:paraId="052B9F02" w14:textId="29D64FDC" w:rsidR="00F51CD3" w:rsidRDefault="00F51CD3" w:rsidP="003B28ED">
            <w:pPr>
              <w:spacing w:before="40" w:after="40"/>
              <w:rPr>
                <w:lang w:eastAsia="ja-JP"/>
              </w:rPr>
            </w:pPr>
            <w:r>
              <w:rPr>
                <w:lang w:eastAsia="ja-JP"/>
              </w:rPr>
              <w:t xml:space="preserve">Attributes: </w:t>
            </w:r>
            <w:r w:rsidR="003B28ED">
              <w:rPr>
                <w:lang w:eastAsia="ja-JP"/>
              </w:rPr>
              <w:t xml:space="preserve">Forest </w:t>
            </w:r>
            <w:r w:rsidR="003B28ED" w:rsidRPr="00CD20CF">
              <w:rPr>
                <w:lang w:eastAsia="ja-JP"/>
              </w:rPr>
              <w:t>Category</w:t>
            </w:r>
            <w:r w:rsidR="003B28ED">
              <w:rPr>
                <w:lang w:eastAsia="ja-JP"/>
              </w:rPr>
              <w:t xml:space="preserve"> and </w:t>
            </w:r>
            <w:r w:rsidR="00CF355B">
              <w:rPr>
                <w:lang w:eastAsia="ja-JP"/>
              </w:rPr>
              <w:t>F</w:t>
            </w:r>
            <w:r w:rsidR="003B28ED">
              <w:rPr>
                <w:lang w:eastAsia="ja-JP"/>
              </w:rPr>
              <w:t xml:space="preserve">orest </w:t>
            </w:r>
            <w:r w:rsidR="003B28ED" w:rsidRPr="00CD20CF">
              <w:rPr>
                <w:lang w:eastAsia="ja-JP"/>
              </w:rPr>
              <w:t>Type</w:t>
            </w:r>
            <w:r w:rsidR="003B28ED">
              <w:rPr>
                <w:lang w:eastAsia="ja-JP"/>
              </w:rPr>
              <w:t xml:space="preserve"> </w:t>
            </w:r>
            <w:r>
              <w:rPr>
                <w:lang w:eastAsia="ja-JP"/>
              </w:rPr>
              <w:t xml:space="preserve">information is present for </w:t>
            </w:r>
            <w:r w:rsidR="00E24C36">
              <w:rPr>
                <w:lang w:eastAsia="ja-JP"/>
              </w:rPr>
              <w:t xml:space="preserve">over </w:t>
            </w:r>
            <w:r>
              <w:rPr>
                <w:lang w:eastAsia="ja-JP"/>
              </w:rPr>
              <w:t>99.</w:t>
            </w:r>
            <w:r w:rsidR="003B28ED">
              <w:rPr>
                <w:lang w:eastAsia="ja-JP"/>
              </w:rPr>
              <w:t>0</w:t>
            </w:r>
            <w:r>
              <w:rPr>
                <w:lang w:eastAsia="ja-JP"/>
              </w:rPr>
              <w:t xml:space="preserve">% of Australia. </w:t>
            </w:r>
          </w:p>
        </w:tc>
      </w:tr>
      <w:tr w:rsidR="00F51CD3" w14:paraId="0C16B073" w14:textId="77777777" w:rsidTr="00604B9F">
        <w:tc>
          <w:tcPr>
            <w:tcW w:w="2287" w:type="dxa"/>
          </w:tcPr>
          <w:p w14:paraId="3FEF44E4" w14:textId="77777777" w:rsidR="00F51CD3" w:rsidRDefault="00647641" w:rsidP="00647641">
            <w:pPr>
              <w:spacing w:before="40" w:after="40"/>
              <w:rPr>
                <w:lang w:eastAsia="ja-JP"/>
              </w:rPr>
            </w:pPr>
            <w:r>
              <w:rPr>
                <w:lang w:eastAsia="ja-JP"/>
              </w:rPr>
              <w:t>U</w:t>
            </w:r>
            <w:r w:rsidR="00F51CD3">
              <w:rPr>
                <w:lang w:eastAsia="ja-JP"/>
              </w:rPr>
              <w:t>pdate frequency</w:t>
            </w:r>
          </w:p>
        </w:tc>
        <w:tc>
          <w:tcPr>
            <w:tcW w:w="7206" w:type="dxa"/>
          </w:tcPr>
          <w:p w14:paraId="5932C75A" w14:textId="77777777" w:rsidR="00F51CD3" w:rsidRDefault="00E24C36" w:rsidP="00F51CD3">
            <w:pPr>
              <w:spacing w:before="40" w:after="40"/>
              <w:rPr>
                <w:lang w:eastAsia="ja-JP"/>
              </w:rPr>
            </w:pPr>
            <w:r>
              <w:rPr>
                <w:lang w:eastAsia="ja-JP"/>
              </w:rPr>
              <w:t>5 years</w:t>
            </w:r>
          </w:p>
        </w:tc>
      </w:tr>
      <w:tr w:rsidR="00F51CD3" w14:paraId="73CED6AE" w14:textId="77777777" w:rsidTr="00153BE1">
        <w:tc>
          <w:tcPr>
            <w:tcW w:w="9493" w:type="dxa"/>
            <w:gridSpan w:val="2"/>
            <w:shd w:val="clear" w:color="auto" w:fill="D9D9D9" w:themeFill="background1" w:themeFillShade="D9"/>
          </w:tcPr>
          <w:p w14:paraId="5D7BDCB4" w14:textId="77777777" w:rsidR="00F51CD3" w:rsidRPr="00153BE1" w:rsidRDefault="00F51CD3" w:rsidP="00F51CD3">
            <w:pPr>
              <w:spacing w:before="40" w:after="40"/>
              <w:rPr>
                <w:sz w:val="12"/>
                <w:lang w:eastAsia="ja-JP"/>
              </w:rPr>
            </w:pPr>
          </w:p>
        </w:tc>
      </w:tr>
      <w:tr w:rsidR="00F51CD3" w14:paraId="088EFF18" w14:textId="77777777" w:rsidTr="00604B9F">
        <w:tc>
          <w:tcPr>
            <w:tcW w:w="2287" w:type="dxa"/>
          </w:tcPr>
          <w:p w14:paraId="610EC3A0" w14:textId="77777777" w:rsidR="00F51CD3" w:rsidRDefault="00F51CD3" w:rsidP="00F51CD3">
            <w:pPr>
              <w:spacing w:before="40" w:after="40"/>
              <w:rPr>
                <w:lang w:eastAsia="ja-JP"/>
              </w:rPr>
            </w:pPr>
            <w:r>
              <w:rPr>
                <w:lang w:eastAsia="ja-JP"/>
              </w:rPr>
              <w:t xml:space="preserve">Licencing </w:t>
            </w:r>
          </w:p>
        </w:tc>
        <w:tc>
          <w:tcPr>
            <w:tcW w:w="7206" w:type="dxa"/>
          </w:tcPr>
          <w:p w14:paraId="0E73B90E" w14:textId="77777777" w:rsidR="00F51CD3" w:rsidRDefault="009F3539" w:rsidP="00F51CD3">
            <w:pPr>
              <w:spacing w:before="40" w:after="40"/>
              <w:rPr>
                <w:lang w:eastAsia="ja-JP"/>
              </w:rPr>
            </w:pPr>
            <w:hyperlink r:id="rId16" w:history="1">
              <w:r w:rsidR="00F51CD3" w:rsidRPr="000E1362">
                <w:rPr>
                  <w:rStyle w:val="Hyperlink"/>
                  <w:lang w:eastAsia="ja-JP"/>
                </w:rPr>
                <w:t>Creative Commons by Attribution 4.0 International</w:t>
              </w:r>
            </w:hyperlink>
            <w:r w:rsidR="00F51CD3">
              <w:rPr>
                <w:lang w:eastAsia="ja-JP"/>
              </w:rPr>
              <w:t xml:space="preserve"> (CC BY 4.0)</w:t>
            </w:r>
          </w:p>
        </w:tc>
      </w:tr>
      <w:tr w:rsidR="00F51CD3" w14:paraId="570A6CB8" w14:textId="77777777" w:rsidTr="00604B9F">
        <w:tc>
          <w:tcPr>
            <w:tcW w:w="2287" w:type="dxa"/>
          </w:tcPr>
          <w:p w14:paraId="70DCE740" w14:textId="77777777" w:rsidR="00F51CD3" w:rsidRDefault="00F51CD3" w:rsidP="00F51CD3">
            <w:pPr>
              <w:spacing w:before="40" w:after="40"/>
              <w:rPr>
                <w:lang w:eastAsia="ja-JP"/>
              </w:rPr>
            </w:pPr>
            <w:r>
              <w:rPr>
                <w:lang w:eastAsia="ja-JP"/>
              </w:rPr>
              <w:t>Access constraints</w:t>
            </w:r>
          </w:p>
        </w:tc>
        <w:tc>
          <w:tcPr>
            <w:tcW w:w="7206" w:type="dxa"/>
          </w:tcPr>
          <w:p w14:paraId="65A0708B" w14:textId="77777777" w:rsidR="00F51CD3" w:rsidRPr="00E52F39" w:rsidRDefault="00F51CD3" w:rsidP="00F51CD3">
            <w:pPr>
              <w:spacing w:before="40" w:after="40"/>
              <w:rPr>
                <w:lang w:eastAsia="ja-JP"/>
              </w:rPr>
            </w:pPr>
            <w:r>
              <w:rPr>
                <w:lang w:eastAsia="ja-JP"/>
              </w:rPr>
              <w:t>No restriction, nil cost.</w:t>
            </w:r>
          </w:p>
        </w:tc>
      </w:tr>
      <w:tr w:rsidR="00F51CD3" w14:paraId="72BA3C4C" w14:textId="77777777" w:rsidTr="00604B9F">
        <w:tc>
          <w:tcPr>
            <w:tcW w:w="2287" w:type="dxa"/>
          </w:tcPr>
          <w:p w14:paraId="45F9C215" w14:textId="77777777" w:rsidR="00F51CD3" w:rsidRDefault="00F51CD3" w:rsidP="00F51CD3">
            <w:pPr>
              <w:spacing w:before="40" w:after="40"/>
              <w:rPr>
                <w:lang w:eastAsia="ja-JP"/>
              </w:rPr>
            </w:pPr>
            <w:r>
              <w:rPr>
                <w:lang w:eastAsia="ja-JP"/>
              </w:rPr>
              <w:t>Use constraints</w:t>
            </w:r>
          </w:p>
        </w:tc>
        <w:tc>
          <w:tcPr>
            <w:tcW w:w="7206" w:type="dxa"/>
          </w:tcPr>
          <w:p w14:paraId="19978768" w14:textId="77777777" w:rsidR="00F51CD3" w:rsidRDefault="00F51CD3" w:rsidP="00F51CD3">
            <w:pPr>
              <w:spacing w:before="40" w:after="40"/>
              <w:rPr>
                <w:lang w:eastAsia="ja-JP"/>
              </w:rPr>
            </w:pPr>
            <w:r>
              <w:rPr>
                <w:lang w:eastAsia="ja-JP"/>
              </w:rPr>
              <w:t>CC BY 4.0 permits:</w:t>
            </w:r>
          </w:p>
          <w:p w14:paraId="65326A36" w14:textId="77777777" w:rsidR="00F51CD3" w:rsidRDefault="00F51CD3" w:rsidP="00F51CD3">
            <w:pPr>
              <w:spacing w:before="40" w:after="40"/>
              <w:rPr>
                <w:lang w:eastAsia="ja-JP"/>
              </w:rPr>
            </w:pPr>
            <w:r>
              <w:rPr>
                <w:lang w:eastAsia="ja-JP"/>
              </w:rPr>
              <w:t>Share – users may copy and redistribute the material in any medium or format.</w:t>
            </w:r>
          </w:p>
          <w:p w14:paraId="5A2173C1" w14:textId="77777777" w:rsidR="00F51CD3" w:rsidRDefault="00F51CD3" w:rsidP="00F51CD3">
            <w:pPr>
              <w:spacing w:before="40" w:after="40"/>
              <w:rPr>
                <w:lang w:eastAsia="ja-JP"/>
              </w:rPr>
            </w:pPr>
            <w:r>
              <w:rPr>
                <w:lang w:eastAsia="ja-JP"/>
              </w:rPr>
              <w:t>Adapt – users may remix, transform, and build upon the material for any purpose, even commercially.</w:t>
            </w:r>
          </w:p>
          <w:p w14:paraId="5062A0A8" w14:textId="69136B42" w:rsidR="00F51CD3" w:rsidRPr="00E52F39" w:rsidRDefault="00F51CD3" w:rsidP="00DA066F">
            <w:pPr>
              <w:spacing w:before="40" w:after="40"/>
              <w:rPr>
                <w:lang w:eastAsia="ja-JP"/>
              </w:rPr>
            </w:pPr>
            <w:r>
              <w:rPr>
                <w:lang w:eastAsia="ja-JP"/>
              </w:rPr>
              <w:t>Attribution –</w:t>
            </w:r>
            <w:r w:rsidRPr="00A70AF6">
              <w:rPr>
                <w:lang w:eastAsia="ja-JP"/>
              </w:rPr>
              <w:t xml:space="preserve"> </w:t>
            </w:r>
            <w:r>
              <w:rPr>
                <w:lang w:eastAsia="ja-JP"/>
              </w:rPr>
              <w:t>users</w:t>
            </w:r>
            <w:r w:rsidRPr="00A70AF6">
              <w:rPr>
                <w:lang w:eastAsia="ja-JP"/>
              </w:rPr>
              <w:t xml:space="preserve"> must give appropriate cred</w:t>
            </w:r>
            <w:r>
              <w:rPr>
                <w:lang w:eastAsia="ja-JP"/>
              </w:rPr>
              <w:t>it</w:t>
            </w:r>
            <w:r w:rsidR="00DA066F">
              <w:rPr>
                <w:lang w:eastAsia="ja-JP"/>
              </w:rPr>
              <w:t xml:space="preserve"> using the citation listed</w:t>
            </w:r>
            <w:r>
              <w:rPr>
                <w:lang w:eastAsia="ja-JP"/>
              </w:rPr>
              <w:t>, provide a link to the licenc</w:t>
            </w:r>
            <w:r w:rsidRPr="00A70AF6">
              <w:rPr>
                <w:lang w:eastAsia="ja-JP"/>
              </w:rPr>
              <w:t>e, and i</w:t>
            </w:r>
            <w:r>
              <w:rPr>
                <w:lang w:eastAsia="ja-JP"/>
              </w:rPr>
              <w:t>ndicate if changes were made. Users</w:t>
            </w:r>
            <w:r w:rsidRPr="00A70AF6">
              <w:rPr>
                <w:lang w:eastAsia="ja-JP"/>
              </w:rPr>
              <w:t xml:space="preserve"> may do so in any reasonable manner, but not in any way that suggests the licensor endorses </w:t>
            </w:r>
            <w:r>
              <w:rPr>
                <w:lang w:eastAsia="ja-JP"/>
              </w:rPr>
              <w:t>the</w:t>
            </w:r>
            <w:r w:rsidRPr="00A70AF6">
              <w:rPr>
                <w:lang w:eastAsia="ja-JP"/>
              </w:rPr>
              <w:t xml:space="preserve"> use.</w:t>
            </w:r>
          </w:p>
        </w:tc>
      </w:tr>
      <w:tr w:rsidR="00F51CD3" w14:paraId="2F3CD006" w14:textId="77777777" w:rsidTr="00604B9F">
        <w:tc>
          <w:tcPr>
            <w:tcW w:w="2287" w:type="dxa"/>
          </w:tcPr>
          <w:p w14:paraId="6DA825B2" w14:textId="77777777" w:rsidR="00F51CD3" w:rsidRDefault="00F51CD3" w:rsidP="00F51CD3">
            <w:pPr>
              <w:spacing w:before="40" w:after="40"/>
              <w:rPr>
                <w:lang w:eastAsia="ja-JP"/>
              </w:rPr>
            </w:pPr>
            <w:r>
              <w:rPr>
                <w:lang w:eastAsia="ja-JP"/>
              </w:rPr>
              <w:t>Security constraints</w:t>
            </w:r>
          </w:p>
        </w:tc>
        <w:tc>
          <w:tcPr>
            <w:tcW w:w="7206" w:type="dxa"/>
          </w:tcPr>
          <w:p w14:paraId="66BB01B1" w14:textId="77777777" w:rsidR="00F51CD3" w:rsidRDefault="00F51CD3" w:rsidP="00F51CD3">
            <w:pPr>
              <w:spacing w:before="40" w:after="40"/>
              <w:rPr>
                <w:lang w:eastAsia="ja-JP"/>
              </w:rPr>
            </w:pPr>
            <w:r>
              <w:rPr>
                <w:lang w:eastAsia="ja-JP"/>
              </w:rPr>
              <w:t>Classification: Unclassified</w:t>
            </w:r>
          </w:p>
        </w:tc>
      </w:tr>
      <w:tr w:rsidR="00F51CD3" w14:paraId="09EC0067" w14:textId="77777777" w:rsidTr="00604B9F">
        <w:tc>
          <w:tcPr>
            <w:tcW w:w="2287" w:type="dxa"/>
          </w:tcPr>
          <w:p w14:paraId="4B053F29" w14:textId="77777777" w:rsidR="00F51CD3" w:rsidRDefault="00F51CD3" w:rsidP="00F51CD3">
            <w:pPr>
              <w:spacing w:before="40" w:after="40"/>
              <w:rPr>
                <w:lang w:eastAsia="ja-JP"/>
              </w:rPr>
            </w:pPr>
            <w:r>
              <w:rPr>
                <w:lang w:eastAsia="ja-JP"/>
              </w:rPr>
              <w:t>Legal constraints</w:t>
            </w:r>
          </w:p>
        </w:tc>
        <w:tc>
          <w:tcPr>
            <w:tcW w:w="7206" w:type="dxa"/>
          </w:tcPr>
          <w:p w14:paraId="2354DE97" w14:textId="158FC344" w:rsidR="00F51CD3" w:rsidRDefault="00F51CD3" w:rsidP="00F51CD3">
            <w:pPr>
              <w:spacing w:before="40" w:after="40"/>
              <w:rPr>
                <w:lang w:eastAsia="ja-JP"/>
              </w:rPr>
            </w:pPr>
            <w:r w:rsidRPr="00C17939">
              <w:rPr>
                <w:lang w:eastAsia="ja-JP"/>
              </w:rPr>
              <w:t>The Australian Government acting through the Department of Agriculture</w:t>
            </w:r>
            <w:r w:rsidR="0081343F">
              <w:rPr>
                <w:lang w:eastAsia="ja-JP"/>
              </w:rPr>
              <w:t>, Fisheries and Forestry</w:t>
            </w:r>
            <w:r w:rsidRPr="00C17939">
              <w:rPr>
                <w:lang w:eastAsia="ja-JP"/>
              </w:rPr>
              <w:t>, represented by the Australian Bureau of Agricultural and Resource Economics and Sciences, has exercised due care and skill in preparing and compiling the information and data in this publication. Notwithstanding, the Department of Agriculture</w:t>
            </w:r>
            <w:r w:rsidR="0081343F">
              <w:rPr>
                <w:lang w:eastAsia="ja-JP"/>
              </w:rPr>
              <w:t>, Fisheries and Forestry</w:t>
            </w:r>
            <w:r w:rsidRPr="00C17939">
              <w:rPr>
                <w:lang w:eastAsia="ja-JP"/>
              </w:rPr>
              <w:t>, ABARES, its employees and advisers disclaim all liability, including liability for negligence and for any loss, damage, injury, expense or cost incurred by any person as a result of accessing, using or relying on any of the information or data in this publication to the maximum extent permitted by law.</w:t>
            </w:r>
          </w:p>
        </w:tc>
      </w:tr>
      <w:tr w:rsidR="00F51CD3" w14:paraId="2A9F5BC2" w14:textId="77777777" w:rsidTr="00F51CD3">
        <w:tc>
          <w:tcPr>
            <w:tcW w:w="9493" w:type="dxa"/>
            <w:gridSpan w:val="2"/>
            <w:shd w:val="clear" w:color="auto" w:fill="D9D9D9" w:themeFill="background1" w:themeFillShade="D9"/>
          </w:tcPr>
          <w:p w14:paraId="3DD83613" w14:textId="77777777" w:rsidR="00F51CD3" w:rsidRPr="00F51CD3" w:rsidRDefault="00F51CD3" w:rsidP="00F51CD3">
            <w:pPr>
              <w:spacing w:before="40" w:after="40"/>
              <w:rPr>
                <w:sz w:val="12"/>
                <w:lang w:eastAsia="ja-JP"/>
              </w:rPr>
            </w:pPr>
          </w:p>
        </w:tc>
      </w:tr>
      <w:tr w:rsidR="00F51CD3" w14:paraId="7BCA4D1D" w14:textId="77777777" w:rsidTr="00604B9F">
        <w:tc>
          <w:tcPr>
            <w:tcW w:w="2287" w:type="dxa"/>
          </w:tcPr>
          <w:p w14:paraId="3E8FE7AF" w14:textId="77777777" w:rsidR="00F51CD3" w:rsidRDefault="00F51CD3" w:rsidP="00F51CD3">
            <w:pPr>
              <w:spacing w:before="40" w:after="40"/>
              <w:rPr>
                <w:lang w:eastAsia="ja-JP"/>
              </w:rPr>
            </w:pPr>
            <w:r>
              <w:rPr>
                <w:lang w:eastAsia="ja-JP"/>
              </w:rPr>
              <w:t>Metadata date</w:t>
            </w:r>
          </w:p>
        </w:tc>
        <w:tc>
          <w:tcPr>
            <w:tcW w:w="7206" w:type="dxa"/>
          </w:tcPr>
          <w:p w14:paraId="31B805FB" w14:textId="726B0A1A" w:rsidR="00F51CD3" w:rsidRDefault="0081343F" w:rsidP="00466CD1">
            <w:pPr>
              <w:spacing w:before="40" w:after="40"/>
              <w:rPr>
                <w:lang w:eastAsia="ja-JP"/>
              </w:rPr>
            </w:pPr>
            <w:r>
              <w:rPr>
                <w:lang w:eastAsia="ja-JP"/>
              </w:rPr>
              <w:t>30</w:t>
            </w:r>
            <w:r w:rsidRPr="005755C0">
              <w:rPr>
                <w:lang w:eastAsia="ja-JP"/>
              </w:rPr>
              <w:t xml:space="preserve"> </w:t>
            </w:r>
            <w:r w:rsidR="001965B7">
              <w:rPr>
                <w:lang w:eastAsia="ja-JP"/>
              </w:rPr>
              <w:t>November</w:t>
            </w:r>
            <w:r w:rsidR="001965B7" w:rsidRPr="005755C0">
              <w:rPr>
                <w:lang w:eastAsia="ja-JP"/>
              </w:rPr>
              <w:t xml:space="preserve"> </w:t>
            </w:r>
            <w:r>
              <w:rPr>
                <w:lang w:eastAsia="ja-JP"/>
              </w:rPr>
              <w:t>2023</w:t>
            </w:r>
          </w:p>
        </w:tc>
      </w:tr>
      <w:tr w:rsidR="00F51CD3" w14:paraId="4EA2613F" w14:textId="77777777" w:rsidTr="00604B9F">
        <w:tc>
          <w:tcPr>
            <w:tcW w:w="2287" w:type="dxa"/>
          </w:tcPr>
          <w:p w14:paraId="1AFD570F" w14:textId="77777777" w:rsidR="00F51CD3" w:rsidRDefault="00F51CD3" w:rsidP="00F51CD3">
            <w:pPr>
              <w:spacing w:before="40" w:after="40"/>
              <w:rPr>
                <w:lang w:eastAsia="ja-JP"/>
              </w:rPr>
            </w:pPr>
            <w:r>
              <w:rPr>
                <w:lang w:eastAsia="ja-JP"/>
              </w:rPr>
              <w:t>Additional metadata</w:t>
            </w:r>
          </w:p>
        </w:tc>
        <w:tc>
          <w:tcPr>
            <w:tcW w:w="7206" w:type="dxa"/>
          </w:tcPr>
          <w:p w14:paraId="0401A84E" w14:textId="350DFB13" w:rsidR="00F51CD3" w:rsidRDefault="003F3AF9" w:rsidP="00F62CB8">
            <w:pPr>
              <w:spacing w:before="40" w:after="40"/>
              <w:rPr>
                <w:lang w:eastAsia="ja-JP"/>
              </w:rPr>
            </w:pPr>
            <w:r>
              <w:rPr>
                <w:lang w:eastAsia="ja-JP"/>
              </w:rPr>
              <w:t>Documentation on dataset</w:t>
            </w:r>
            <w:r w:rsidR="00F51CD3">
              <w:rPr>
                <w:lang w:eastAsia="ja-JP"/>
              </w:rPr>
              <w:t xml:space="preserve"> lineage, and attribute data descriptions and lookup tables for </w:t>
            </w:r>
            <w:r w:rsidR="00CF355B">
              <w:rPr>
                <w:lang w:eastAsia="ja-JP"/>
              </w:rPr>
              <w:t xml:space="preserve">the </w:t>
            </w:r>
            <w:r w:rsidR="003B28ED" w:rsidRPr="00F05CB2">
              <w:rPr>
                <w:i/>
                <w:iCs/>
                <w:lang w:eastAsia="ja-JP"/>
              </w:rPr>
              <w:t>Forests of Australia</w:t>
            </w:r>
            <w:r w:rsidR="00F51CD3" w:rsidRPr="00F05CB2">
              <w:rPr>
                <w:i/>
                <w:iCs/>
                <w:lang w:eastAsia="ja-JP"/>
              </w:rPr>
              <w:t xml:space="preserve"> (</w:t>
            </w:r>
            <w:r w:rsidR="0081343F" w:rsidRPr="00F05CB2">
              <w:rPr>
                <w:i/>
                <w:iCs/>
                <w:lang w:eastAsia="ja-JP"/>
              </w:rPr>
              <w:t>2023</w:t>
            </w:r>
            <w:r w:rsidR="00F51CD3" w:rsidRPr="00F05CB2">
              <w:rPr>
                <w:i/>
                <w:iCs/>
                <w:lang w:eastAsia="ja-JP"/>
              </w:rPr>
              <w:t>)</w:t>
            </w:r>
            <w:r w:rsidR="00F51CD3">
              <w:rPr>
                <w:lang w:eastAsia="ja-JP"/>
              </w:rPr>
              <w:t xml:space="preserve"> </w:t>
            </w:r>
            <w:r w:rsidR="00CF355B">
              <w:rPr>
                <w:lang w:eastAsia="ja-JP"/>
              </w:rPr>
              <w:t>dataset</w:t>
            </w:r>
            <w:r w:rsidR="0002410F">
              <w:rPr>
                <w:lang w:eastAsia="ja-JP"/>
              </w:rPr>
              <w:t>, are</w:t>
            </w:r>
            <w:r w:rsidR="00F51CD3">
              <w:rPr>
                <w:lang w:eastAsia="ja-JP"/>
              </w:rPr>
              <w:t xml:space="preserve"> available from the </w:t>
            </w:r>
            <w:hyperlink r:id="rId17" w:history="1">
              <w:r w:rsidR="005C7B9E" w:rsidRPr="004D3340">
                <w:rPr>
                  <w:rStyle w:val="Hyperlink"/>
                  <w:lang w:eastAsia="ja-JP"/>
                </w:rPr>
                <w:t>Forests Australia</w:t>
              </w:r>
            </w:hyperlink>
            <w:r w:rsidR="005C7B9E">
              <w:rPr>
                <w:lang w:eastAsia="ja-JP"/>
              </w:rPr>
              <w:t xml:space="preserve"> </w:t>
            </w:r>
            <w:r w:rsidR="00EA1B0C">
              <w:rPr>
                <w:rStyle w:val="Hyperlink"/>
                <w:color w:val="000000" w:themeColor="text1"/>
                <w:u w:val="none"/>
                <w:lang w:eastAsia="ja-JP"/>
              </w:rPr>
              <w:t>spatial data</w:t>
            </w:r>
            <w:r w:rsidR="00CF355B">
              <w:rPr>
                <w:rStyle w:val="Hyperlink"/>
                <w:color w:val="000000" w:themeColor="text1"/>
                <w:u w:val="none"/>
                <w:lang w:eastAsia="ja-JP"/>
              </w:rPr>
              <w:t xml:space="preserve"> </w:t>
            </w:r>
            <w:r w:rsidR="00F51CD3" w:rsidRPr="00E26F05">
              <w:rPr>
                <w:rStyle w:val="Hyperlink"/>
                <w:color w:val="000000" w:themeColor="text1"/>
                <w:u w:val="none"/>
                <w:lang w:eastAsia="ja-JP"/>
              </w:rPr>
              <w:t>webpage.</w:t>
            </w:r>
            <w:r w:rsidR="00F51CD3">
              <w:rPr>
                <w:lang w:eastAsia="ja-JP"/>
              </w:rPr>
              <w:t xml:space="preserve"> </w:t>
            </w:r>
          </w:p>
        </w:tc>
      </w:tr>
    </w:tbl>
    <w:p w14:paraId="46798E78" w14:textId="77777777" w:rsidR="00647641" w:rsidRDefault="00647641" w:rsidP="00314057">
      <w:pPr>
        <w:spacing w:before="40" w:after="40"/>
        <w:rPr>
          <w:lang w:eastAsia="ja-JP"/>
        </w:rPr>
      </w:pPr>
    </w:p>
    <w:p w14:paraId="405B709A" w14:textId="116AA47F" w:rsidR="004D3340" w:rsidRDefault="004D3340" w:rsidP="00314057">
      <w:pPr>
        <w:spacing w:before="40" w:after="40"/>
        <w:rPr>
          <w:lang w:eastAsia="ja-JP"/>
        </w:rPr>
      </w:pPr>
      <w:r>
        <w:rPr>
          <w:lang w:eastAsia="ja-JP"/>
        </w:rPr>
        <w:br w:type="page"/>
      </w:r>
    </w:p>
    <w:p w14:paraId="1150DA35" w14:textId="77777777" w:rsidR="000E4AF2" w:rsidRPr="001232FB" w:rsidRDefault="000E4AF2" w:rsidP="00314057">
      <w:pPr>
        <w:spacing w:before="40" w:after="40"/>
        <w:rPr>
          <w:b/>
          <w:lang w:eastAsia="ja-JP"/>
        </w:rPr>
      </w:pPr>
      <w:r w:rsidRPr="001232FB">
        <w:rPr>
          <w:b/>
          <w:sz w:val="24"/>
          <w:lang w:eastAsia="ja-JP"/>
        </w:rPr>
        <w:lastRenderedPageBreak/>
        <w:t>Appendix 1</w:t>
      </w:r>
    </w:p>
    <w:p w14:paraId="65CFED48" w14:textId="63D496D1" w:rsidR="001232FB" w:rsidRDefault="001232FB" w:rsidP="001232FB">
      <w:pPr>
        <w:keepNext/>
        <w:shd w:val="clear" w:color="auto" w:fill="FFFFFF" w:themeFill="background1"/>
        <w:rPr>
          <w:b/>
          <w:sz w:val="20"/>
          <w:szCs w:val="20"/>
        </w:rPr>
      </w:pPr>
      <w:r w:rsidRPr="001232FB">
        <w:rPr>
          <w:b/>
          <w:sz w:val="20"/>
          <w:szCs w:val="20"/>
        </w:rPr>
        <w:t>Table 1: Key input datasets</w:t>
      </w:r>
      <w:r w:rsidR="008A374F">
        <w:rPr>
          <w:b/>
          <w:sz w:val="20"/>
          <w:szCs w:val="20"/>
        </w:rPr>
        <w:t xml:space="preserve"> use</w:t>
      </w:r>
      <w:r w:rsidR="00DA066F">
        <w:rPr>
          <w:b/>
          <w:sz w:val="20"/>
          <w:szCs w:val="20"/>
        </w:rPr>
        <w:t>d</w:t>
      </w:r>
      <w:r w:rsidR="008A374F">
        <w:rPr>
          <w:b/>
          <w:sz w:val="20"/>
          <w:szCs w:val="20"/>
        </w:rPr>
        <w:t xml:space="preserve"> to develop </w:t>
      </w:r>
      <w:r w:rsidR="008A374F" w:rsidRPr="00302674">
        <w:rPr>
          <w:b/>
          <w:i/>
          <w:iCs/>
          <w:sz w:val="20"/>
          <w:szCs w:val="20"/>
        </w:rPr>
        <w:t xml:space="preserve">Forests of Australia </w:t>
      </w:r>
      <w:r w:rsidR="00C12D75" w:rsidRPr="00302674">
        <w:rPr>
          <w:b/>
          <w:i/>
          <w:iCs/>
          <w:sz w:val="20"/>
          <w:szCs w:val="20"/>
        </w:rPr>
        <w:t>2023</w:t>
      </w:r>
      <w:r w:rsidR="00C12D75">
        <w:rPr>
          <w:b/>
          <w:sz w:val="20"/>
          <w:szCs w:val="20"/>
        </w:rPr>
        <w:t xml:space="preserve"> </w:t>
      </w:r>
      <w:r w:rsidR="008A374F">
        <w:rPr>
          <w:b/>
          <w:sz w:val="20"/>
          <w:szCs w:val="20"/>
        </w:rPr>
        <w:t>dataset using M</w:t>
      </w:r>
      <w:r w:rsidR="00DA066F">
        <w:rPr>
          <w:b/>
          <w:sz w:val="20"/>
          <w:szCs w:val="20"/>
        </w:rPr>
        <w:t xml:space="preserve">ultiple </w:t>
      </w:r>
      <w:r w:rsidR="008A374F">
        <w:rPr>
          <w:b/>
          <w:sz w:val="20"/>
          <w:szCs w:val="20"/>
        </w:rPr>
        <w:t>L</w:t>
      </w:r>
      <w:r w:rsidR="00DA066F">
        <w:rPr>
          <w:b/>
          <w:sz w:val="20"/>
          <w:szCs w:val="20"/>
        </w:rPr>
        <w:t xml:space="preserve">ines of </w:t>
      </w:r>
      <w:r w:rsidR="008A374F">
        <w:rPr>
          <w:b/>
          <w:sz w:val="20"/>
          <w:szCs w:val="20"/>
        </w:rPr>
        <w:t>E</w:t>
      </w:r>
      <w:r w:rsidR="00DA066F">
        <w:rPr>
          <w:b/>
          <w:sz w:val="20"/>
          <w:szCs w:val="20"/>
        </w:rPr>
        <w:t>vidence</w:t>
      </w:r>
      <w:r w:rsidR="00F84268">
        <w:rPr>
          <w:b/>
          <w:sz w:val="20"/>
          <w:szCs w:val="20"/>
        </w:rPr>
        <w:t xml:space="preserve"> approach</w:t>
      </w:r>
    </w:p>
    <w:tbl>
      <w:tblPr>
        <w:tblStyle w:val="TableGrid1"/>
        <w:tblW w:w="9067" w:type="dxa"/>
        <w:tblLayout w:type="fixed"/>
        <w:tblLook w:val="04A0" w:firstRow="1" w:lastRow="0" w:firstColumn="1" w:lastColumn="0" w:noHBand="0" w:noVBand="1"/>
      </w:tblPr>
      <w:tblGrid>
        <w:gridCol w:w="2410"/>
        <w:gridCol w:w="6657"/>
      </w:tblGrid>
      <w:tr w:rsidR="006268F3" w:rsidRPr="007C75FE" w14:paraId="24D1B832" w14:textId="77777777" w:rsidTr="00B21858">
        <w:trPr>
          <w:trHeight w:val="283"/>
        </w:trPr>
        <w:tc>
          <w:tcPr>
            <w:tcW w:w="2410" w:type="dxa"/>
            <w:tcBorders>
              <w:left w:val="nil"/>
            </w:tcBorders>
            <w:vAlign w:val="center"/>
          </w:tcPr>
          <w:p w14:paraId="6C89DBF0" w14:textId="77777777" w:rsidR="006268F3" w:rsidRPr="007C75FE" w:rsidRDefault="006268F3" w:rsidP="006268F3">
            <w:pPr>
              <w:keepNext/>
              <w:shd w:val="clear" w:color="auto" w:fill="FFFFFF"/>
              <w:spacing w:before="0"/>
              <w:rPr>
                <w:rFonts w:asciiTheme="majorHAnsi" w:hAnsiTheme="majorHAnsi" w:cs="Calibri"/>
                <w:b/>
                <w:bCs/>
                <w:sz w:val="20"/>
                <w:szCs w:val="20"/>
                <w:lang w:eastAsia="en-AU"/>
              </w:rPr>
            </w:pPr>
            <w:bookmarkStart w:id="0" w:name="_Toc381089338"/>
            <w:r w:rsidRPr="007C75FE">
              <w:rPr>
                <w:rFonts w:asciiTheme="majorHAnsi" w:hAnsiTheme="majorHAnsi" w:cs="Calibri"/>
                <w:b/>
                <w:bCs/>
                <w:sz w:val="20"/>
                <w:szCs w:val="20"/>
                <w:lang w:eastAsia="en-AU"/>
              </w:rPr>
              <w:t>Dataset</w:t>
            </w:r>
          </w:p>
        </w:tc>
        <w:tc>
          <w:tcPr>
            <w:tcW w:w="6657" w:type="dxa"/>
            <w:tcBorders>
              <w:right w:val="nil"/>
            </w:tcBorders>
            <w:vAlign w:val="center"/>
          </w:tcPr>
          <w:p w14:paraId="7FC788A2" w14:textId="77777777" w:rsidR="006268F3" w:rsidRPr="007C75FE" w:rsidRDefault="006268F3" w:rsidP="006268F3">
            <w:pPr>
              <w:keepNext/>
              <w:shd w:val="clear" w:color="auto" w:fill="FFFFFF"/>
              <w:spacing w:before="0"/>
              <w:rPr>
                <w:rFonts w:asciiTheme="majorHAnsi" w:hAnsiTheme="majorHAnsi" w:cs="Calibri"/>
                <w:b/>
                <w:bCs/>
                <w:sz w:val="20"/>
                <w:szCs w:val="20"/>
                <w:lang w:eastAsia="en-AU"/>
              </w:rPr>
            </w:pPr>
            <w:r w:rsidRPr="007C75FE">
              <w:rPr>
                <w:rFonts w:asciiTheme="majorHAnsi" w:hAnsiTheme="majorHAnsi" w:cs="Calibri"/>
                <w:b/>
                <w:bCs/>
                <w:sz w:val="20"/>
                <w:szCs w:val="20"/>
                <w:lang w:eastAsia="en-AU"/>
              </w:rPr>
              <w:t>Description</w:t>
            </w:r>
          </w:p>
        </w:tc>
      </w:tr>
      <w:tr w:rsidR="006268F3" w:rsidRPr="007C75FE" w14:paraId="50373980" w14:textId="77777777" w:rsidTr="00B21858">
        <w:trPr>
          <w:trHeight w:val="1204"/>
        </w:trPr>
        <w:tc>
          <w:tcPr>
            <w:tcW w:w="2410" w:type="dxa"/>
            <w:tcBorders>
              <w:left w:val="nil"/>
            </w:tcBorders>
          </w:tcPr>
          <w:p w14:paraId="1C942E0F" w14:textId="77777777" w:rsidR="006268F3" w:rsidRPr="007C75FE" w:rsidRDefault="006268F3" w:rsidP="006268F3">
            <w:pPr>
              <w:keepNext/>
              <w:shd w:val="clear" w:color="auto" w:fill="FFFFFF"/>
              <w:spacing w:before="20" w:after="20"/>
              <w:rPr>
                <w:rFonts w:asciiTheme="majorHAnsi" w:hAnsiTheme="majorHAnsi" w:cs="Calibri"/>
                <w:bCs/>
                <w:i/>
                <w:iCs/>
                <w:sz w:val="20"/>
                <w:szCs w:val="20"/>
                <w:lang w:eastAsia="en-AU"/>
              </w:rPr>
            </w:pPr>
            <w:r w:rsidRPr="007C75FE">
              <w:rPr>
                <w:rFonts w:asciiTheme="majorHAnsi" w:hAnsiTheme="majorHAnsi" w:cs="Calibri"/>
                <w:bCs/>
                <w:i/>
                <w:iCs/>
                <w:sz w:val="20"/>
                <w:szCs w:val="20"/>
                <w:lang w:eastAsia="en-AU"/>
              </w:rPr>
              <w:t xml:space="preserve">Forests of Australia (2018) </w:t>
            </w:r>
          </w:p>
        </w:tc>
        <w:tc>
          <w:tcPr>
            <w:tcW w:w="6657" w:type="dxa"/>
            <w:tcBorders>
              <w:right w:val="nil"/>
            </w:tcBorders>
          </w:tcPr>
          <w:p w14:paraId="7BB7AB65" w14:textId="1576F44C" w:rsidR="006268F3" w:rsidRPr="007C75FE" w:rsidRDefault="006268F3" w:rsidP="00D91BBB">
            <w:pPr>
              <w:spacing w:before="20" w:after="20"/>
              <w:rPr>
                <w:rFonts w:asciiTheme="majorHAnsi" w:hAnsiTheme="majorHAnsi" w:cs="Calibri"/>
                <w:b/>
                <w:sz w:val="20"/>
                <w:szCs w:val="20"/>
                <w:lang w:eastAsia="en-AU"/>
              </w:rPr>
            </w:pPr>
            <w:r w:rsidRPr="007C75FE">
              <w:rPr>
                <w:rFonts w:asciiTheme="majorHAnsi" w:hAnsiTheme="majorHAnsi" w:cs="Calibri"/>
                <w:i/>
                <w:iCs/>
                <w:sz w:val="20"/>
                <w:szCs w:val="20"/>
                <w:lang w:eastAsia="en-AU"/>
              </w:rPr>
              <w:t>Forests of Australia (2018)</w:t>
            </w:r>
            <w:r w:rsidRPr="007C75FE">
              <w:rPr>
                <w:rFonts w:asciiTheme="majorHAnsi" w:hAnsiTheme="majorHAnsi" w:cs="Calibri"/>
                <w:sz w:val="20"/>
                <w:szCs w:val="20"/>
                <w:lang w:eastAsia="en-AU"/>
              </w:rPr>
              <w:t xml:space="preserve"> is the forest extent dataset that was used in </w:t>
            </w:r>
            <w:r w:rsidR="00D957CE" w:rsidRPr="007C75FE">
              <w:rPr>
                <w:rFonts w:asciiTheme="majorHAnsi" w:hAnsiTheme="majorHAnsi" w:cs="Calibri"/>
                <w:sz w:val="20"/>
                <w:szCs w:val="20"/>
                <w:lang w:eastAsia="en-AU"/>
              </w:rPr>
              <w:t>the State of the Forest Report (</w:t>
            </w:r>
            <w:r w:rsidRPr="007C75FE">
              <w:rPr>
                <w:rFonts w:asciiTheme="majorHAnsi" w:hAnsiTheme="majorHAnsi" w:cs="Calibri"/>
                <w:sz w:val="20"/>
                <w:szCs w:val="20"/>
                <w:lang w:eastAsia="en-AU"/>
              </w:rPr>
              <w:t>SOFR</w:t>
            </w:r>
            <w:r w:rsidR="00D957CE" w:rsidRPr="007C75FE">
              <w:rPr>
                <w:rFonts w:asciiTheme="majorHAnsi" w:hAnsiTheme="majorHAnsi" w:cs="Calibri"/>
                <w:sz w:val="20"/>
                <w:szCs w:val="20"/>
                <w:lang w:eastAsia="en-AU"/>
              </w:rPr>
              <w:t>)</w:t>
            </w:r>
            <w:r w:rsidRPr="007C75FE">
              <w:rPr>
                <w:rFonts w:asciiTheme="majorHAnsi" w:hAnsiTheme="majorHAnsi" w:cs="Calibri"/>
                <w:sz w:val="20"/>
                <w:szCs w:val="20"/>
                <w:lang w:eastAsia="en-AU"/>
              </w:rPr>
              <w:t xml:space="preserve"> 2018. It is a continental dataset of forest extent by national forest categories and types</w:t>
            </w:r>
            <w:r w:rsidR="00D957CE" w:rsidRPr="007C75FE">
              <w:rPr>
                <w:rFonts w:asciiTheme="majorHAnsi" w:hAnsiTheme="majorHAnsi" w:cs="Calibri"/>
                <w:sz w:val="20"/>
                <w:szCs w:val="20"/>
                <w:lang w:eastAsia="en-AU"/>
              </w:rPr>
              <w:t>. The dataset</w:t>
            </w:r>
            <w:r w:rsidRPr="007C75FE">
              <w:rPr>
                <w:rFonts w:asciiTheme="majorHAnsi" w:hAnsiTheme="majorHAnsi" w:cs="Calibri"/>
                <w:b/>
                <w:sz w:val="20"/>
                <w:szCs w:val="20"/>
                <w:lang w:eastAsia="en-AU"/>
              </w:rPr>
              <w:t xml:space="preserve"> </w:t>
            </w:r>
            <w:r w:rsidRPr="007C75FE">
              <w:rPr>
                <w:rFonts w:asciiTheme="majorHAnsi" w:hAnsiTheme="majorHAnsi" w:cs="Calibri"/>
                <w:sz w:val="20"/>
                <w:szCs w:val="20"/>
                <w:lang w:eastAsia="en-AU"/>
              </w:rPr>
              <w:t>was developed by a Multiple Lines of Evidence process from multiple forest, vegetation and land cover spatial data inputs, including contributions from relevant Australian, state and territory government agencies and external sources.</w:t>
            </w:r>
          </w:p>
        </w:tc>
      </w:tr>
      <w:tr w:rsidR="006268F3" w:rsidRPr="007C75FE" w14:paraId="1B5EC068" w14:textId="77777777" w:rsidTr="00B21858">
        <w:trPr>
          <w:trHeight w:val="2211"/>
        </w:trPr>
        <w:tc>
          <w:tcPr>
            <w:tcW w:w="2410" w:type="dxa"/>
            <w:tcBorders>
              <w:left w:val="nil"/>
            </w:tcBorders>
          </w:tcPr>
          <w:p w14:paraId="71A5CE6C" w14:textId="77777777" w:rsidR="006268F3" w:rsidRPr="007C75FE" w:rsidRDefault="006268F3" w:rsidP="006268F3">
            <w:pPr>
              <w:shd w:val="clear" w:color="auto" w:fill="FFFFFF"/>
              <w:spacing w:before="20" w:after="20"/>
              <w:rPr>
                <w:rFonts w:asciiTheme="majorHAnsi" w:hAnsiTheme="majorHAnsi" w:cs="Calibri"/>
                <w:sz w:val="20"/>
                <w:szCs w:val="20"/>
                <w:lang w:eastAsia="en-AU"/>
              </w:rPr>
            </w:pPr>
            <w:r w:rsidRPr="007C75FE">
              <w:rPr>
                <w:rFonts w:asciiTheme="majorHAnsi" w:hAnsiTheme="majorHAnsi" w:cs="Calibri"/>
                <w:sz w:val="20"/>
                <w:szCs w:val="20"/>
                <w:lang w:eastAsia="en-AU"/>
              </w:rPr>
              <w:t>State-wide Land and Tree Study (SLATS) Woody Extent (2018) - Queensland. Also known as Queensland Foliage Projective Cover (FPC) (2018).</w:t>
            </w:r>
          </w:p>
        </w:tc>
        <w:tc>
          <w:tcPr>
            <w:tcW w:w="6657" w:type="dxa"/>
            <w:tcBorders>
              <w:right w:val="nil"/>
            </w:tcBorders>
          </w:tcPr>
          <w:p w14:paraId="00ECE6CC" w14:textId="69ADE285" w:rsidR="006268F3" w:rsidRPr="007C75FE" w:rsidRDefault="006268F3" w:rsidP="005C2266">
            <w:pPr>
              <w:shd w:val="clear" w:color="auto" w:fill="FFFFFF"/>
              <w:spacing w:before="20" w:after="20"/>
              <w:rPr>
                <w:rFonts w:asciiTheme="majorHAnsi" w:hAnsiTheme="majorHAnsi" w:cs="Calibri"/>
                <w:color w:val="FF0000"/>
                <w:sz w:val="20"/>
                <w:szCs w:val="20"/>
                <w:lang w:eastAsia="en-AU"/>
              </w:rPr>
            </w:pPr>
            <w:bookmarkStart w:id="1" w:name="_Hlk152000323"/>
            <w:r w:rsidRPr="007C75FE">
              <w:rPr>
                <w:rFonts w:asciiTheme="majorHAnsi" w:hAnsiTheme="majorHAnsi" w:cs="Calibri"/>
                <w:sz w:val="20"/>
                <w:szCs w:val="20"/>
                <w:lang w:eastAsia="en-AU"/>
              </w:rPr>
              <w:t xml:space="preserve">The </w:t>
            </w:r>
            <w:hyperlink r:id="rId18" w:history="1">
              <w:r w:rsidRPr="007C75FE">
                <w:rPr>
                  <w:rStyle w:val="Hyperlink"/>
                  <w:rFonts w:asciiTheme="majorHAnsi" w:hAnsiTheme="majorHAnsi" w:cs="Calibri"/>
                  <w:sz w:val="20"/>
                  <w:szCs w:val="20"/>
                  <w:lang w:eastAsia="en-AU"/>
                </w:rPr>
                <w:t>Queensland government SLATS</w:t>
              </w:r>
            </w:hyperlink>
            <w:r w:rsidRPr="007C75FE">
              <w:rPr>
                <w:rFonts w:asciiTheme="majorHAnsi" w:hAnsiTheme="majorHAnsi" w:cs="Calibri"/>
                <w:sz w:val="20"/>
                <w:szCs w:val="20"/>
                <w:lang w:eastAsia="en-AU"/>
              </w:rPr>
              <w:t xml:space="preserve"> method calculates Foliage Projective Cover (FPC) values from Sentinel-2 satellite images (and before 2018 used Landsat satellite Thematic Mapper™ and Enhanced Thematic Mapper Plus (ETM+) images). ABARES used an empirically derived relationship between FPC and crown-cover values (Scarth et al. 2008) to delineate the landscape into forest and non-forest areas (an FPC of 11% is approximately equivalent to a crown cover of 20%). The Sentinel-2 dataset is produced at 10 m × 10 m resolution, and is supported by on-ground validation. The dataset covers the whole of Queensland, was developed to support land-clearance legislation and monitoring of change</w:t>
            </w:r>
            <w:r w:rsidR="005C2266" w:rsidRPr="007C75FE">
              <w:rPr>
                <w:rFonts w:asciiTheme="majorHAnsi" w:hAnsiTheme="majorHAnsi" w:cs="Calibri"/>
                <w:sz w:val="20"/>
                <w:szCs w:val="20"/>
                <w:lang w:eastAsia="en-AU"/>
              </w:rPr>
              <w:t>.</w:t>
            </w:r>
            <w:r w:rsidRPr="007C75FE">
              <w:rPr>
                <w:rFonts w:asciiTheme="majorHAnsi" w:hAnsiTheme="majorHAnsi" w:cs="Calibri"/>
                <w:sz w:val="20"/>
                <w:szCs w:val="20"/>
                <w:lang w:eastAsia="en-AU"/>
              </w:rPr>
              <w:t xml:space="preserve"> </w:t>
            </w:r>
            <w:bookmarkEnd w:id="1"/>
          </w:p>
        </w:tc>
      </w:tr>
      <w:tr w:rsidR="006268F3" w:rsidRPr="007C75FE" w14:paraId="6C0185DF" w14:textId="77777777" w:rsidTr="00B21858">
        <w:tc>
          <w:tcPr>
            <w:tcW w:w="2410" w:type="dxa"/>
            <w:tcBorders>
              <w:left w:val="nil"/>
            </w:tcBorders>
          </w:tcPr>
          <w:p w14:paraId="1D081446" w14:textId="77777777" w:rsidR="006268F3" w:rsidRPr="007C75FE" w:rsidRDefault="006268F3" w:rsidP="006268F3">
            <w:pPr>
              <w:shd w:val="clear" w:color="auto" w:fill="FFFFFF"/>
              <w:spacing w:before="0" w:after="20"/>
              <w:rPr>
                <w:rFonts w:asciiTheme="majorHAnsi" w:hAnsiTheme="majorHAnsi" w:cs="Calibri"/>
                <w:color w:val="000000"/>
                <w:sz w:val="20"/>
                <w:szCs w:val="20"/>
                <w:lang w:eastAsia="en-AU"/>
              </w:rPr>
            </w:pPr>
            <w:bookmarkStart w:id="2" w:name="_Hlk152000336"/>
            <w:r w:rsidRPr="007C75FE">
              <w:rPr>
                <w:rFonts w:asciiTheme="majorHAnsi" w:hAnsiTheme="majorHAnsi" w:cs="Calibri"/>
                <w:sz w:val="20"/>
                <w:szCs w:val="20"/>
                <w:lang w:eastAsia="en-AU"/>
              </w:rPr>
              <w:t>National Greenhouse Gas Inventory (2016 – 2020)</w:t>
            </w:r>
          </w:p>
        </w:tc>
        <w:tc>
          <w:tcPr>
            <w:tcW w:w="6657" w:type="dxa"/>
            <w:tcBorders>
              <w:right w:val="nil"/>
            </w:tcBorders>
          </w:tcPr>
          <w:p w14:paraId="59FE9323" w14:textId="3D29370C" w:rsidR="006268F3" w:rsidRPr="007C75FE" w:rsidRDefault="006268F3" w:rsidP="006268F3">
            <w:pPr>
              <w:spacing w:before="0"/>
              <w:rPr>
                <w:rFonts w:asciiTheme="majorHAnsi" w:hAnsiTheme="majorHAnsi" w:cs="Calibri"/>
                <w:sz w:val="20"/>
                <w:szCs w:val="20"/>
                <w:lang w:eastAsia="en-AU"/>
              </w:rPr>
            </w:pPr>
            <w:bookmarkStart w:id="3" w:name="_Hlk152000348"/>
            <w:r w:rsidRPr="007C75FE">
              <w:rPr>
                <w:rFonts w:asciiTheme="majorHAnsi" w:hAnsiTheme="majorHAnsi" w:cs="Calibri"/>
                <w:sz w:val="20"/>
                <w:szCs w:val="20"/>
                <w:lang w:eastAsia="en-AU"/>
              </w:rPr>
              <w:t>The National Greenhouse Gas Inventory (NGGI) dataset is produced from Landsat satellite Thematic Mapper™, Enhanced Thematic Mapper Plus (ETM+) and Operational Land Image (OLI) images for the Australian Government Department of the Climate Change, Energy, the Environment and Water (DCCEEW), and identifies woody vegetation of height or potential height greater than 2 metres, crown cover greater than 20%, and with a minimum patch size of 0.2 hectares</w:t>
            </w:r>
            <w:r w:rsidR="00EF247E" w:rsidRPr="007C75FE">
              <w:rPr>
                <w:rFonts w:asciiTheme="majorHAnsi" w:hAnsiTheme="majorHAnsi" w:cs="Calibri"/>
                <w:sz w:val="20"/>
                <w:szCs w:val="20"/>
                <w:lang w:eastAsia="en-AU"/>
              </w:rPr>
              <w:t xml:space="preserve"> (DISER 2021</w:t>
            </w:r>
            <w:r w:rsidR="00A5753F" w:rsidRPr="007C75FE">
              <w:rPr>
                <w:rFonts w:asciiTheme="majorHAnsi" w:hAnsiTheme="majorHAnsi" w:cs="Calibri"/>
                <w:sz w:val="20"/>
                <w:szCs w:val="20"/>
                <w:lang w:eastAsia="en-AU"/>
              </w:rPr>
              <w:t>a</w:t>
            </w:r>
            <w:r w:rsidR="00EF247E" w:rsidRPr="007C75FE">
              <w:rPr>
                <w:rFonts w:asciiTheme="majorHAnsi" w:hAnsiTheme="majorHAnsi" w:cs="Calibri"/>
                <w:sz w:val="20"/>
                <w:szCs w:val="20"/>
                <w:lang w:eastAsia="en-AU"/>
              </w:rPr>
              <w:t>)</w:t>
            </w:r>
            <w:r w:rsidR="00EF247E" w:rsidRPr="007C75FE">
              <w:rPr>
                <w:rFonts w:asciiTheme="majorHAnsi" w:hAnsiTheme="majorHAnsi" w:cs="Calibri"/>
                <w:sz w:val="20"/>
                <w:szCs w:val="20"/>
                <w:vertAlign w:val="superscript"/>
                <w:lang w:eastAsia="en-AU"/>
              </w:rPr>
              <w:t xml:space="preserve"> </w:t>
            </w:r>
            <w:r w:rsidRPr="007C75FE">
              <w:rPr>
                <w:rFonts w:asciiTheme="majorHAnsi" w:hAnsiTheme="majorHAnsi" w:cs="Calibri"/>
                <w:sz w:val="20"/>
                <w:szCs w:val="20"/>
                <w:lang w:eastAsia="en-AU"/>
              </w:rPr>
              <w:t>. The dataset is compiled using time-series data since 1972, and is produced at a 25 m × 25 m resolution.</w:t>
            </w:r>
          </w:p>
          <w:p w14:paraId="165F95C6" w14:textId="1489BB2A" w:rsidR="006268F3" w:rsidRPr="007C75FE" w:rsidRDefault="006268F3" w:rsidP="006268F3">
            <w:pPr>
              <w:shd w:val="clear" w:color="auto" w:fill="FFFFFF"/>
              <w:spacing w:before="0" w:after="20"/>
              <w:rPr>
                <w:rFonts w:asciiTheme="majorHAnsi" w:hAnsiTheme="majorHAnsi" w:cs="Calibri"/>
                <w:b/>
                <w:bCs/>
                <w:sz w:val="20"/>
                <w:szCs w:val="20"/>
                <w:lang w:eastAsia="en-AU"/>
              </w:rPr>
            </w:pPr>
            <w:r w:rsidRPr="007C75FE">
              <w:rPr>
                <w:rFonts w:asciiTheme="majorHAnsi" w:hAnsiTheme="majorHAnsi" w:cs="Calibri"/>
                <w:sz w:val="20"/>
                <w:szCs w:val="20"/>
                <w:lang w:eastAsia="en-AU"/>
              </w:rPr>
              <w:t xml:space="preserve">The NGGI dataset used was developed </w:t>
            </w:r>
            <w:r w:rsidR="004D3340" w:rsidRPr="007C75FE">
              <w:rPr>
                <w:rFonts w:asciiTheme="majorHAnsi" w:hAnsiTheme="majorHAnsi" w:cs="Calibri"/>
                <w:sz w:val="20"/>
                <w:szCs w:val="20"/>
                <w:lang w:eastAsia="en-AU"/>
              </w:rPr>
              <w:t>from the</w:t>
            </w:r>
            <w:r w:rsidRPr="007C75FE">
              <w:rPr>
                <w:rFonts w:asciiTheme="majorHAnsi" w:hAnsiTheme="majorHAnsi" w:cs="Calibri"/>
                <w:sz w:val="20"/>
                <w:szCs w:val="20"/>
                <w:lang w:eastAsia="en-AU"/>
              </w:rPr>
              <w:t xml:space="preserve"> five annual layers (2016-2020, inclusive) from the </w:t>
            </w:r>
            <w:hyperlink r:id="rId19" w:history="1">
              <w:r w:rsidRPr="007C75FE">
                <w:rPr>
                  <w:rStyle w:val="Hyperlink"/>
                  <w:rFonts w:asciiTheme="majorHAnsi" w:hAnsiTheme="majorHAnsi" w:cs="Calibri"/>
                  <w:sz w:val="20"/>
                  <w:szCs w:val="20"/>
                  <w:lang w:eastAsia="en-AU"/>
                </w:rPr>
                <w:t>National forest and sparse woody vegetation data (Version 5.0)</w:t>
              </w:r>
              <w:r w:rsidR="00990E56" w:rsidRPr="007C75FE">
                <w:rPr>
                  <w:rStyle w:val="Hyperlink"/>
                  <w:rFonts w:asciiTheme="majorHAnsi" w:hAnsiTheme="majorHAnsi" w:cs="Calibri"/>
                  <w:sz w:val="20"/>
                  <w:szCs w:val="20"/>
                  <w:lang w:eastAsia="en-AU"/>
                </w:rPr>
                <w:t xml:space="preserve"> </w:t>
              </w:r>
              <w:r w:rsidRPr="007C75FE">
                <w:rPr>
                  <w:rStyle w:val="Hyperlink"/>
                  <w:rFonts w:asciiTheme="majorHAnsi" w:hAnsiTheme="majorHAnsi" w:cs="Calibri"/>
                  <w:sz w:val="20"/>
                  <w:szCs w:val="20"/>
                  <w:lang w:eastAsia="en-AU"/>
                </w:rPr>
                <w:t>spatial dataset</w:t>
              </w:r>
            </w:hyperlink>
            <w:r w:rsidRPr="007C75FE">
              <w:rPr>
                <w:rFonts w:asciiTheme="majorHAnsi" w:hAnsiTheme="majorHAnsi" w:cs="Calibri"/>
                <w:sz w:val="20"/>
                <w:szCs w:val="20"/>
                <w:lang w:eastAsia="en-AU"/>
              </w:rPr>
              <w:t xml:space="preserve"> produced using the algorithms for land-use change allocation developed for the </w:t>
            </w:r>
            <w:r w:rsidRPr="007C75FE">
              <w:rPr>
                <w:rFonts w:asciiTheme="majorHAnsi" w:hAnsiTheme="majorHAnsi" w:cs="Calibri"/>
                <w:i/>
                <w:sz w:val="20"/>
                <w:szCs w:val="20"/>
                <w:lang w:eastAsia="en-AU"/>
              </w:rPr>
              <w:t>National Inventory Report</w:t>
            </w:r>
            <w:r w:rsidR="00A5753F" w:rsidRPr="007C75FE">
              <w:rPr>
                <w:rFonts w:asciiTheme="majorHAnsi" w:hAnsiTheme="majorHAnsi" w:cs="Calibri"/>
                <w:i/>
                <w:sz w:val="20"/>
                <w:szCs w:val="20"/>
                <w:lang w:eastAsia="en-AU"/>
              </w:rPr>
              <w:t xml:space="preserve">s </w:t>
            </w:r>
            <w:r w:rsidR="00A5753F" w:rsidRPr="007C75FE">
              <w:rPr>
                <w:rFonts w:asciiTheme="majorHAnsi" w:hAnsiTheme="majorHAnsi" w:cs="Calibri"/>
                <w:iCs/>
                <w:sz w:val="20"/>
                <w:szCs w:val="20"/>
                <w:lang w:eastAsia="en-AU"/>
              </w:rPr>
              <w:t>(DISER 2021b)</w:t>
            </w:r>
            <w:r w:rsidRPr="007C75FE">
              <w:rPr>
                <w:rFonts w:asciiTheme="majorHAnsi" w:hAnsiTheme="majorHAnsi" w:cs="Calibri"/>
                <w:sz w:val="20"/>
                <w:szCs w:val="20"/>
                <w:lang w:eastAsia="en-AU"/>
              </w:rPr>
              <w:t xml:space="preserve">. </w:t>
            </w:r>
            <w:r w:rsidR="004D3340" w:rsidRPr="007C75FE">
              <w:rPr>
                <w:rFonts w:asciiTheme="majorHAnsi" w:hAnsiTheme="majorHAnsi" w:cs="Calibri"/>
                <w:sz w:val="20"/>
                <w:szCs w:val="20"/>
                <w:lang w:eastAsia="en-AU"/>
              </w:rPr>
              <w:t xml:space="preserve">Each layer of the </w:t>
            </w:r>
            <w:r w:rsidRPr="007C75FE">
              <w:rPr>
                <w:rFonts w:asciiTheme="majorHAnsi" w:hAnsiTheme="majorHAnsi" w:cs="Calibri"/>
                <w:sz w:val="20"/>
                <w:szCs w:val="20"/>
                <w:lang w:eastAsia="en-AU"/>
              </w:rPr>
              <w:t xml:space="preserve">original 25 m resolution, three-class (forest, sparse woody and non-forest) dataset was resampled to a binary (forest and non-forest) 100 m raster by classifying as forest the 100 m pixels that had more than half their area as forest; the sparse woody and non-forest classes were combined into a non-forest class. </w:t>
            </w:r>
            <w:r w:rsidR="004D3340" w:rsidRPr="007C75FE">
              <w:rPr>
                <w:rFonts w:asciiTheme="majorHAnsi" w:hAnsiTheme="majorHAnsi" w:cs="Calibri"/>
                <w:sz w:val="20"/>
                <w:szCs w:val="20"/>
                <w:lang w:eastAsia="en-AU"/>
              </w:rPr>
              <w:t>The five annual layers were then combined and every pixel in the combination that had been classified as forest in any year during 20</w:t>
            </w:r>
            <w:r w:rsidR="00FB6AE5" w:rsidRPr="007C75FE">
              <w:rPr>
                <w:rFonts w:asciiTheme="majorHAnsi" w:hAnsiTheme="majorHAnsi" w:cs="Calibri"/>
                <w:sz w:val="20"/>
                <w:szCs w:val="20"/>
                <w:lang w:eastAsia="en-AU"/>
              </w:rPr>
              <w:t>16</w:t>
            </w:r>
            <w:r w:rsidR="004D3340" w:rsidRPr="007C75FE">
              <w:rPr>
                <w:rFonts w:asciiTheme="majorHAnsi" w:hAnsiTheme="majorHAnsi" w:cs="Calibri"/>
                <w:sz w:val="20"/>
                <w:szCs w:val="20"/>
                <w:lang w:eastAsia="en-AU"/>
              </w:rPr>
              <w:t>-20</w:t>
            </w:r>
            <w:r w:rsidR="00FB6AE5" w:rsidRPr="007C75FE">
              <w:rPr>
                <w:rFonts w:asciiTheme="majorHAnsi" w:hAnsiTheme="majorHAnsi" w:cs="Calibri"/>
                <w:sz w:val="20"/>
                <w:szCs w:val="20"/>
                <w:lang w:eastAsia="en-AU"/>
              </w:rPr>
              <w:t>20</w:t>
            </w:r>
            <w:r w:rsidR="004D3340" w:rsidRPr="007C75FE">
              <w:rPr>
                <w:rFonts w:asciiTheme="majorHAnsi" w:hAnsiTheme="majorHAnsi" w:cs="Calibri"/>
                <w:sz w:val="20"/>
                <w:szCs w:val="20"/>
                <w:lang w:eastAsia="en-AU"/>
              </w:rPr>
              <w:t xml:space="preserve"> period was allocated as forest (and the balance non-forest).</w:t>
            </w:r>
            <w:r w:rsidR="00FB6AE5" w:rsidRPr="007C75FE">
              <w:rPr>
                <w:rFonts w:asciiTheme="majorHAnsi" w:hAnsiTheme="majorHAnsi" w:cs="Calibri"/>
                <w:sz w:val="20"/>
                <w:szCs w:val="20"/>
                <w:lang w:eastAsia="en-AU"/>
              </w:rPr>
              <w:t xml:space="preserve"> This approach was taken to prevent areas where the crown cover had reduced temporarily below 20%, through events such as fire, harvesting, drought or disease, from being incorrectly classified as non-forest.</w:t>
            </w:r>
            <w:bookmarkEnd w:id="3"/>
          </w:p>
        </w:tc>
      </w:tr>
      <w:tr w:rsidR="006268F3" w:rsidRPr="007C75FE" w14:paraId="3B5BCF6F" w14:textId="77777777" w:rsidTr="00B21858">
        <w:tc>
          <w:tcPr>
            <w:tcW w:w="2410" w:type="dxa"/>
            <w:tcBorders>
              <w:left w:val="nil"/>
            </w:tcBorders>
          </w:tcPr>
          <w:p w14:paraId="1179BE04"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bookmarkStart w:id="4" w:name="_Hlk150775453"/>
            <w:r w:rsidRPr="007C75FE">
              <w:rPr>
                <w:rFonts w:asciiTheme="majorHAnsi" w:hAnsiTheme="majorHAnsi" w:cs="Calibri"/>
                <w:sz w:val="20"/>
                <w:szCs w:val="20"/>
                <w:lang w:eastAsia="en-AU"/>
              </w:rPr>
              <w:t>NSW H_Woody_Fuzzy_2_Class</w:t>
            </w:r>
            <w:bookmarkEnd w:id="4"/>
          </w:p>
        </w:tc>
        <w:tc>
          <w:tcPr>
            <w:tcW w:w="6657" w:type="dxa"/>
            <w:tcBorders>
              <w:right w:val="nil"/>
            </w:tcBorders>
          </w:tcPr>
          <w:p w14:paraId="067B58A1" w14:textId="77777777" w:rsidR="006268F3" w:rsidRPr="007C75FE" w:rsidRDefault="006268F3" w:rsidP="00F6789F">
            <w:pPr>
              <w:spacing w:before="20" w:after="20"/>
              <w:rPr>
                <w:rFonts w:asciiTheme="majorHAnsi" w:hAnsiTheme="majorHAnsi" w:cs="Calibri"/>
                <w:sz w:val="20"/>
                <w:szCs w:val="20"/>
                <w:lang w:eastAsia="en-AU"/>
              </w:rPr>
            </w:pPr>
            <w:r w:rsidRPr="007C75FE">
              <w:rPr>
                <w:rFonts w:asciiTheme="majorHAnsi" w:hAnsiTheme="majorHAnsi" w:cs="Calibri"/>
                <w:sz w:val="20"/>
                <w:szCs w:val="20"/>
                <w:lang w:eastAsia="en-AU"/>
              </w:rPr>
              <w:t>This dataset was developed to support New South Wales Natural Resources Commission’s (NRC) Monitoring, Evaluation and Reporting Program and is based on the NGGI dataset produced by DCCEEW from Landsat data.</w:t>
            </w:r>
          </w:p>
          <w:p w14:paraId="4503BC4E" w14:textId="13065A59" w:rsidR="006268F3" w:rsidRPr="007C75FE" w:rsidRDefault="006268F3" w:rsidP="00F6789F">
            <w:pPr>
              <w:spacing w:before="20" w:after="20"/>
              <w:rPr>
                <w:rFonts w:asciiTheme="majorHAnsi" w:hAnsiTheme="majorHAnsi"/>
                <w:b/>
                <w:color w:val="000000"/>
                <w:sz w:val="20"/>
                <w:szCs w:val="20"/>
                <w:lang w:eastAsia="en-AU"/>
              </w:rPr>
            </w:pPr>
            <w:r w:rsidRPr="007C75FE">
              <w:rPr>
                <w:rFonts w:asciiTheme="majorHAnsi" w:hAnsiTheme="majorHAnsi" w:cs="Calibri"/>
                <w:sz w:val="20"/>
                <w:szCs w:val="20"/>
                <w:lang w:eastAsia="en-AU"/>
              </w:rPr>
              <w:t xml:space="preserve">NRC applied Fuzzy Logic and Probability modelling to the NGGI dataset to derive annual layers distinguishing between forest and non-forest at 25 m raster resolution. Each of five annual layers, 2015 </w:t>
            </w:r>
            <w:r w:rsidR="00FB6AE5" w:rsidRPr="007C75FE">
              <w:rPr>
                <w:rFonts w:asciiTheme="majorHAnsi" w:hAnsiTheme="majorHAnsi" w:cs="Calibri"/>
                <w:sz w:val="20"/>
                <w:szCs w:val="20"/>
                <w:lang w:eastAsia="en-AU"/>
              </w:rPr>
              <w:t>to</w:t>
            </w:r>
            <w:r w:rsidRPr="007C75FE">
              <w:rPr>
                <w:rFonts w:asciiTheme="majorHAnsi" w:hAnsiTheme="majorHAnsi" w:cs="Calibri"/>
                <w:sz w:val="20"/>
                <w:szCs w:val="20"/>
                <w:lang w:eastAsia="en-AU"/>
              </w:rPr>
              <w:t xml:space="preserve"> 2019, was resampled to a 100 m raster by </w:t>
            </w:r>
            <w:bookmarkStart w:id="5" w:name="_Hlk150775815"/>
            <w:r w:rsidRPr="007C75FE">
              <w:rPr>
                <w:rFonts w:asciiTheme="majorHAnsi" w:hAnsiTheme="majorHAnsi" w:cs="Calibri"/>
                <w:sz w:val="20"/>
                <w:szCs w:val="20"/>
                <w:lang w:eastAsia="en-AU"/>
              </w:rPr>
              <w:t>classifying as forest the 100 m pixels that had more than half their area as forest as determined from 25 m pixels.</w:t>
            </w:r>
            <w:bookmarkEnd w:id="5"/>
            <w:r w:rsidRPr="007C75FE">
              <w:rPr>
                <w:rFonts w:asciiTheme="majorHAnsi" w:hAnsiTheme="majorHAnsi" w:cs="Calibri"/>
                <w:sz w:val="20"/>
                <w:szCs w:val="20"/>
                <w:lang w:eastAsia="en-AU"/>
              </w:rPr>
              <w:t xml:space="preserve">  The five annual layers were combined and every pixel in the combination that had been classified as forest in any year during 2015</w:t>
            </w:r>
            <w:r w:rsidR="00C87AB0" w:rsidRPr="007C75FE">
              <w:rPr>
                <w:rFonts w:asciiTheme="majorHAnsi" w:hAnsiTheme="majorHAnsi" w:cs="Calibri"/>
                <w:sz w:val="20"/>
                <w:szCs w:val="20"/>
                <w:lang w:eastAsia="en-AU"/>
              </w:rPr>
              <w:t>–</w:t>
            </w:r>
            <w:r w:rsidRPr="007C75FE">
              <w:rPr>
                <w:rFonts w:asciiTheme="majorHAnsi" w:hAnsiTheme="majorHAnsi" w:cs="Calibri"/>
                <w:sz w:val="20"/>
                <w:szCs w:val="20"/>
                <w:lang w:eastAsia="en-AU"/>
              </w:rPr>
              <w:t xml:space="preserve">2019 period was allocated as forest (and the balance non-forest). This approach was taken to prevent areas where the crown cover had reduced </w:t>
            </w:r>
            <w:r w:rsidR="00FB6AE5" w:rsidRPr="007C75FE">
              <w:rPr>
                <w:rFonts w:asciiTheme="majorHAnsi" w:hAnsiTheme="majorHAnsi" w:cs="Calibri"/>
                <w:sz w:val="20"/>
                <w:szCs w:val="20"/>
                <w:lang w:eastAsia="en-AU"/>
              </w:rPr>
              <w:t xml:space="preserve">temporarily </w:t>
            </w:r>
            <w:r w:rsidRPr="007C75FE">
              <w:rPr>
                <w:rFonts w:asciiTheme="majorHAnsi" w:hAnsiTheme="majorHAnsi" w:cs="Calibri"/>
                <w:sz w:val="20"/>
                <w:szCs w:val="20"/>
                <w:lang w:eastAsia="en-AU"/>
              </w:rPr>
              <w:t xml:space="preserve">below </w:t>
            </w:r>
            <w:r w:rsidRPr="007C75FE">
              <w:rPr>
                <w:rFonts w:asciiTheme="majorHAnsi" w:hAnsiTheme="majorHAnsi" w:cs="Calibri"/>
                <w:sz w:val="20"/>
                <w:szCs w:val="20"/>
                <w:lang w:eastAsia="en-AU"/>
              </w:rPr>
              <w:lastRenderedPageBreak/>
              <w:t>20%, through events such as fire, harvesting, drought or disease, from being incorrectly classified as non-forest.</w:t>
            </w:r>
          </w:p>
        </w:tc>
      </w:tr>
      <w:bookmarkEnd w:id="2"/>
      <w:tr w:rsidR="006268F3" w:rsidRPr="007C75FE" w14:paraId="388E603B" w14:textId="77777777" w:rsidTr="00B21858">
        <w:tc>
          <w:tcPr>
            <w:tcW w:w="2410" w:type="dxa"/>
            <w:tcBorders>
              <w:left w:val="nil"/>
            </w:tcBorders>
          </w:tcPr>
          <w:p w14:paraId="4C3199A9" w14:textId="29256CC7" w:rsidR="006268F3" w:rsidRPr="007C75FE" w:rsidRDefault="006268F3" w:rsidP="006268F3">
            <w:pPr>
              <w:shd w:val="clear" w:color="auto" w:fill="FFFFFF"/>
              <w:spacing w:before="20" w:after="20"/>
              <w:rPr>
                <w:rFonts w:asciiTheme="majorHAnsi" w:hAnsiTheme="majorHAnsi" w:cs="Calibri"/>
                <w:sz w:val="20"/>
                <w:szCs w:val="20"/>
                <w:lang w:eastAsia="en-AU"/>
              </w:rPr>
            </w:pPr>
            <w:r w:rsidRPr="007C75FE">
              <w:rPr>
                <w:rFonts w:asciiTheme="majorHAnsi" w:hAnsiTheme="majorHAnsi" w:cs="Calibri"/>
                <w:color w:val="000000"/>
                <w:sz w:val="20"/>
                <w:szCs w:val="20"/>
                <w:lang w:eastAsia="en-AU"/>
              </w:rPr>
              <w:lastRenderedPageBreak/>
              <w:t>NPI 202</w:t>
            </w:r>
            <w:r w:rsidR="005F1F05" w:rsidRPr="007C75FE">
              <w:rPr>
                <w:rFonts w:asciiTheme="majorHAnsi" w:hAnsiTheme="majorHAnsi" w:cs="Calibri"/>
                <w:color w:val="000000"/>
                <w:sz w:val="20"/>
                <w:szCs w:val="20"/>
                <w:lang w:eastAsia="en-AU"/>
              </w:rPr>
              <w:t>1</w:t>
            </w:r>
            <w:r w:rsidRPr="007C75FE">
              <w:rPr>
                <w:rFonts w:asciiTheme="majorHAnsi" w:hAnsiTheme="majorHAnsi" w:cs="Calibri"/>
                <w:color w:val="000000"/>
                <w:sz w:val="20"/>
                <w:szCs w:val="20"/>
                <w:lang w:eastAsia="en-AU"/>
              </w:rPr>
              <w:t xml:space="preserve"> spatial dataset</w:t>
            </w:r>
          </w:p>
        </w:tc>
        <w:tc>
          <w:tcPr>
            <w:tcW w:w="6657" w:type="dxa"/>
            <w:tcBorders>
              <w:right w:val="nil"/>
            </w:tcBorders>
          </w:tcPr>
          <w:p w14:paraId="25E0B50C" w14:textId="0C8D1477" w:rsidR="006268F3" w:rsidRPr="007C75FE" w:rsidRDefault="006268F3" w:rsidP="006268F3">
            <w:pPr>
              <w:spacing w:before="0"/>
              <w:rPr>
                <w:rFonts w:asciiTheme="majorHAnsi" w:hAnsiTheme="majorHAnsi" w:cs="Calibri"/>
                <w:sz w:val="20"/>
                <w:szCs w:val="20"/>
                <w:lang w:eastAsia="en-AU"/>
              </w:rPr>
            </w:pPr>
            <w:r w:rsidRPr="007C75FE">
              <w:rPr>
                <w:rFonts w:asciiTheme="majorHAnsi" w:hAnsiTheme="majorHAnsi" w:cs="Calibri"/>
                <w:color w:val="000000"/>
                <w:sz w:val="20"/>
                <w:szCs w:val="20"/>
                <w:lang w:eastAsia="en-AU"/>
              </w:rPr>
              <w:t>NPI</w:t>
            </w:r>
            <w:r w:rsidR="005F1F05" w:rsidRPr="007C75FE">
              <w:rPr>
                <w:rFonts w:asciiTheme="majorHAnsi" w:hAnsiTheme="majorHAnsi" w:cs="Calibri"/>
                <w:color w:val="000000"/>
                <w:sz w:val="20"/>
                <w:szCs w:val="20"/>
                <w:lang w:eastAsia="en-AU"/>
              </w:rPr>
              <w:t xml:space="preserve"> 2021</w:t>
            </w:r>
            <w:r w:rsidRPr="007C75FE">
              <w:rPr>
                <w:rFonts w:asciiTheme="majorHAnsi" w:hAnsiTheme="majorHAnsi" w:cs="Calibri"/>
                <w:color w:val="000000"/>
                <w:sz w:val="20"/>
                <w:szCs w:val="20"/>
                <w:lang w:eastAsia="en-AU"/>
              </w:rPr>
              <w:t xml:space="preserve"> </w:t>
            </w:r>
            <w:r w:rsidR="005F1F05" w:rsidRPr="007C75FE">
              <w:rPr>
                <w:rFonts w:asciiTheme="majorHAnsi" w:hAnsiTheme="majorHAnsi" w:cs="Calibri"/>
                <w:color w:val="000000"/>
                <w:sz w:val="20"/>
                <w:szCs w:val="20"/>
                <w:lang w:eastAsia="en-AU"/>
              </w:rPr>
              <w:t xml:space="preserve">spatial </w:t>
            </w:r>
            <w:r w:rsidRPr="007C75FE">
              <w:rPr>
                <w:rFonts w:asciiTheme="majorHAnsi" w:hAnsiTheme="majorHAnsi" w:cs="Calibri"/>
                <w:color w:val="000000"/>
                <w:sz w:val="20"/>
                <w:szCs w:val="20"/>
                <w:lang w:eastAsia="en-AU"/>
              </w:rPr>
              <w:t>data</w:t>
            </w:r>
            <w:r w:rsidR="005F1F05" w:rsidRPr="007C75FE">
              <w:rPr>
                <w:rFonts w:asciiTheme="majorHAnsi" w:hAnsiTheme="majorHAnsi" w:cs="Calibri"/>
                <w:color w:val="000000"/>
                <w:sz w:val="20"/>
                <w:szCs w:val="20"/>
                <w:lang w:eastAsia="en-AU"/>
              </w:rPr>
              <w:t>set</w:t>
            </w:r>
            <w:r w:rsidRPr="007C75FE">
              <w:rPr>
                <w:rFonts w:asciiTheme="majorHAnsi" w:hAnsiTheme="majorHAnsi" w:cs="Calibri"/>
                <w:color w:val="000000"/>
                <w:sz w:val="20"/>
                <w:szCs w:val="20"/>
                <w:lang w:eastAsia="en-AU"/>
              </w:rPr>
              <w:t xml:space="preserve"> </w:t>
            </w:r>
            <w:r w:rsidR="005F1F05" w:rsidRPr="007C75FE">
              <w:rPr>
                <w:rFonts w:asciiTheme="majorHAnsi" w:hAnsiTheme="majorHAnsi" w:cs="Calibri"/>
                <w:color w:val="000000"/>
                <w:sz w:val="20"/>
                <w:szCs w:val="20"/>
                <w:lang w:eastAsia="en-AU"/>
              </w:rPr>
              <w:t>was</w:t>
            </w:r>
            <w:r w:rsidRPr="007C75FE">
              <w:rPr>
                <w:rFonts w:asciiTheme="majorHAnsi" w:hAnsiTheme="majorHAnsi" w:cs="Calibri"/>
                <w:color w:val="000000"/>
                <w:sz w:val="20"/>
                <w:szCs w:val="20"/>
                <w:lang w:eastAsia="en-AU"/>
              </w:rPr>
              <w:t xml:space="preserve"> used to identify the area of Commercial plantations</w:t>
            </w:r>
            <w:r w:rsidR="00416F2A" w:rsidRPr="007C75FE">
              <w:rPr>
                <w:rFonts w:asciiTheme="majorHAnsi" w:hAnsiTheme="majorHAnsi" w:cs="Calibri"/>
                <w:color w:val="000000"/>
                <w:sz w:val="20"/>
                <w:szCs w:val="20"/>
                <w:lang w:eastAsia="en-AU"/>
              </w:rPr>
              <w:t xml:space="preserve"> (Legg et</w:t>
            </w:r>
            <w:r w:rsidR="00BF7FBD" w:rsidRPr="007C75FE">
              <w:rPr>
                <w:rFonts w:asciiTheme="majorHAnsi" w:hAnsiTheme="majorHAnsi" w:cs="Calibri"/>
                <w:color w:val="000000"/>
                <w:sz w:val="20"/>
                <w:szCs w:val="20"/>
                <w:lang w:eastAsia="en-AU"/>
              </w:rPr>
              <w:t xml:space="preserve"> </w:t>
            </w:r>
            <w:r w:rsidR="00416F2A" w:rsidRPr="007C75FE">
              <w:rPr>
                <w:rFonts w:asciiTheme="majorHAnsi" w:hAnsiTheme="majorHAnsi" w:cs="Calibri"/>
                <w:color w:val="000000"/>
                <w:sz w:val="20"/>
                <w:szCs w:val="20"/>
                <w:lang w:eastAsia="en-AU"/>
              </w:rPr>
              <w:t>al</w:t>
            </w:r>
            <w:r w:rsidRPr="007C75FE">
              <w:rPr>
                <w:rFonts w:asciiTheme="majorHAnsi" w:hAnsiTheme="majorHAnsi" w:cs="Calibri"/>
                <w:color w:val="000000"/>
                <w:sz w:val="20"/>
                <w:szCs w:val="20"/>
                <w:lang w:eastAsia="en-AU"/>
              </w:rPr>
              <w:t xml:space="preserve">. </w:t>
            </w:r>
            <w:r w:rsidR="00BF7FBD" w:rsidRPr="007C75FE">
              <w:rPr>
                <w:rFonts w:asciiTheme="majorHAnsi" w:hAnsiTheme="majorHAnsi" w:cs="Calibri"/>
                <w:color w:val="000000"/>
                <w:sz w:val="20"/>
                <w:szCs w:val="20"/>
                <w:lang w:eastAsia="en-AU"/>
              </w:rPr>
              <w:t xml:space="preserve">2021). </w:t>
            </w:r>
            <w:r w:rsidRPr="007C75FE">
              <w:rPr>
                <w:rFonts w:asciiTheme="majorHAnsi" w:hAnsiTheme="majorHAnsi" w:cs="Calibri"/>
                <w:color w:val="000000"/>
                <w:sz w:val="20"/>
                <w:szCs w:val="20"/>
                <w:lang w:eastAsia="en-AU"/>
              </w:rPr>
              <w:t>The spatial vector dataset (from ABARES) was converted to a raster format before being integrated with the MLE forest cover raster dataset.</w:t>
            </w:r>
          </w:p>
        </w:tc>
      </w:tr>
      <w:tr w:rsidR="006268F3" w:rsidRPr="007C75FE" w14:paraId="71E4F4BC" w14:textId="77777777" w:rsidTr="00B21858">
        <w:tc>
          <w:tcPr>
            <w:tcW w:w="2410" w:type="dxa"/>
            <w:tcBorders>
              <w:left w:val="nil"/>
            </w:tcBorders>
          </w:tcPr>
          <w:p w14:paraId="490E8D3A" w14:textId="5A87E3BB"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Qld 2016–17, 2017-18, and 20</w:t>
            </w:r>
            <w:r w:rsidR="0003751C" w:rsidRPr="007C75FE">
              <w:rPr>
                <w:rFonts w:asciiTheme="majorHAnsi" w:hAnsiTheme="majorHAnsi" w:cs="Calibri"/>
                <w:color w:val="000000"/>
                <w:sz w:val="20"/>
                <w:szCs w:val="20"/>
                <w:lang w:eastAsia="en-AU"/>
              </w:rPr>
              <w:t>18-</w:t>
            </w:r>
            <w:r w:rsidRPr="007C75FE">
              <w:rPr>
                <w:rFonts w:asciiTheme="majorHAnsi" w:hAnsiTheme="majorHAnsi" w:cs="Calibri"/>
                <w:color w:val="000000"/>
                <w:sz w:val="20"/>
                <w:szCs w:val="20"/>
                <w:lang w:eastAsia="en-AU"/>
              </w:rPr>
              <w:t>19 Land Clearing datasets</w:t>
            </w:r>
          </w:p>
        </w:tc>
        <w:tc>
          <w:tcPr>
            <w:tcW w:w="6657" w:type="dxa"/>
            <w:tcBorders>
              <w:right w:val="nil"/>
            </w:tcBorders>
          </w:tcPr>
          <w:p w14:paraId="4E4CC316"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 xml:space="preserve">These annual datasets are produced by the Queensland government for the purposes of tracking vegetation clearing in the state, and were used by the NFI to identify and classify as non-forest cleared areas that would otherwise have been incorrectly mapped as forest in </w:t>
            </w:r>
            <w:r w:rsidRPr="007C75FE">
              <w:rPr>
                <w:rFonts w:asciiTheme="majorHAnsi" w:hAnsiTheme="majorHAnsi" w:cs="Calibri"/>
                <w:i/>
                <w:iCs/>
                <w:color w:val="000000"/>
                <w:sz w:val="20"/>
                <w:szCs w:val="20"/>
                <w:lang w:eastAsia="en-AU"/>
              </w:rPr>
              <w:t>Forests of Australia (2023)</w:t>
            </w:r>
            <w:r w:rsidRPr="007C75FE">
              <w:rPr>
                <w:rFonts w:asciiTheme="majorHAnsi" w:hAnsiTheme="majorHAnsi" w:cs="Calibri"/>
                <w:color w:val="000000"/>
                <w:sz w:val="20"/>
                <w:szCs w:val="20"/>
                <w:lang w:eastAsia="en-AU"/>
              </w:rPr>
              <w:t>.</w:t>
            </w:r>
          </w:p>
        </w:tc>
      </w:tr>
      <w:tr w:rsidR="006268F3" w:rsidRPr="007C75FE" w14:paraId="708F7DAD" w14:textId="77777777" w:rsidTr="00B21858">
        <w:tc>
          <w:tcPr>
            <w:tcW w:w="2410" w:type="dxa"/>
            <w:tcBorders>
              <w:left w:val="nil"/>
            </w:tcBorders>
          </w:tcPr>
          <w:p w14:paraId="778DD704"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NSW 2017-18, 2018-19 and 2019-20 Woody vegetation clearing datasets</w:t>
            </w:r>
          </w:p>
        </w:tc>
        <w:tc>
          <w:tcPr>
            <w:tcW w:w="6657" w:type="dxa"/>
            <w:tcBorders>
              <w:right w:val="nil"/>
            </w:tcBorders>
          </w:tcPr>
          <w:p w14:paraId="177EA513"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 xml:space="preserve">These annual datasets are produced by the New South Wales government for the purposes of tracking vegetation clearing in the state, and were used by the NFI to identify and classify as non-forest cleared areas that would otherwise have been incorrectly mapped as forest in </w:t>
            </w:r>
            <w:r w:rsidRPr="007C75FE">
              <w:rPr>
                <w:rFonts w:asciiTheme="majorHAnsi" w:hAnsiTheme="majorHAnsi" w:cs="Calibri"/>
                <w:i/>
                <w:iCs/>
                <w:color w:val="000000"/>
                <w:sz w:val="20"/>
                <w:szCs w:val="20"/>
                <w:lang w:eastAsia="en-AU"/>
              </w:rPr>
              <w:t>Forests of Australia (2023)</w:t>
            </w:r>
            <w:r w:rsidRPr="007C75FE">
              <w:rPr>
                <w:rFonts w:asciiTheme="majorHAnsi" w:hAnsiTheme="majorHAnsi" w:cs="Calibri"/>
                <w:color w:val="000000"/>
                <w:sz w:val="20"/>
                <w:szCs w:val="20"/>
                <w:lang w:eastAsia="en-AU"/>
              </w:rPr>
              <w:t>.</w:t>
            </w:r>
          </w:p>
        </w:tc>
      </w:tr>
      <w:tr w:rsidR="006268F3" w:rsidRPr="007C75FE" w14:paraId="1318770D" w14:textId="77777777" w:rsidTr="00B21858">
        <w:tc>
          <w:tcPr>
            <w:tcW w:w="2410" w:type="dxa"/>
            <w:tcBorders>
              <w:left w:val="nil"/>
            </w:tcBorders>
          </w:tcPr>
          <w:p w14:paraId="4BD54364"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Tasmania Forest Communities with NVIS Groups 2020 dataset</w:t>
            </w:r>
          </w:p>
        </w:tc>
        <w:tc>
          <w:tcPr>
            <w:tcW w:w="6657" w:type="dxa"/>
            <w:tcBorders>
              <w:right w:val="nil"/>
            </w:tcBorders>
          </w:tcPr>
          <w:p w14:paraId="4F8742BF"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 xml:space="preserve">This statewide forest cover dataset was provided by the Tasmanian government for use in SOFR 2023. </w:t>
            </w:r>
            <w:r w:rsidRPr="007C75FE">
              <w:rPr>
                <w:rFonts w:asciiTheme="majorHAnsi" w:hAnsiTheme="majorHAnsi" w:cs="Calibri"/>
                <w:sz w:val="20"/>
                <w:szCs w:val="20"/>
                <w:lang w:eastAsia="en-AU"/>
              </w:rPr>
              <w:t>The vector (shapefile) dataset distinguishes between forest and non-forest polygons, with the forest polygons further attributed with relevant forest communities, including the dominant tree species. The dataset also includes attributes of vegetation community codes, source data and a National Vegetation Information System (NVIS) attribute that describes high-level forest structure.</w:t>
            </w:r>
          </w:p>
        </w:tc>
      </w:tr>
      <w:tr w:rsidR="006268F3" w:rsidRPr="007C75FE" w14:paraId="07F3AAE9" w14:textId="77777777" w:rsidTr="00B21858">
        <w:tc>
          <w:tcPr>
            <w:tcW w:w="2410" w:type="dxa"/>
            <w:tcBorders>
              <w:left w:val="nil"/>
            </w:tcBorders>
          </w:tcPr>
          <w:p w14:paraId="2C9BE326"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sz w:val="20"/>
                <w:szCs w:val="20"/>
                <w:lang w:eastAsia="en-AU"/>
              </w:rPr>
              <w:t>Victorian Land Cover (2015-19)</w:t>
            </w:r>
          </w:p>
        </w:tc>
        <w:tc>
          <w:tcPr>
            <w:tcW w:w="6657" w:type="dxa"/>
            <w:tcBorders>
              <w:right w:val="nil"/>
            </w:tcBorders>
          </w:tcPr>
          <w:p w14:paraId="7365EFD5" w14:textId="04A4E14D" w:rsidR="006268F3" w:rsidRPr="007C75FE" w:rsidRDefault="006268F3" w:rsidP="00F6789F">
            <w:pPr>
              <w:spacing w:before="20" w:after="20"/>
              <w:rPr>
                <w:rFonts w:asciiTheme="majorHAnsi" w:hAnsiTheme="majorHAnsi" w:cs="Calibri"/>
                <w:sz w:val="20"/>
                <w:szCs w:val="20"/>
                <w:lang w:eastAsia="en-AU"/>
              </w:rPr>
            </w:pPr>
            <w:r w:rsidRPr="007C75FE">
              <w:rPr>
                <w:rFonts w:asciiTheme="majorHAnsi" w:hAnsiTheme="majorHAnsi" w:cs="Calibri"/>
                <w:sz w:val="20"/>
                <w:szCs w:val="20"/>
                <w:lang w:eastAsia="en-AU"/>
              </w:rPr>
              <w:t>The Victorian Department of Environment, Land, Water and Planning</w:t>
            </w:r>
            <w:r w:rsidR="00F6789F" w:rsidRPr="007C75FE">
              <w:rPr>
                <w:rStyle w:val="FootnoteReference"/>
                <w:rFonts w:asciiTheme="majorHAnsi" w:hAnsiTheme="majorHAnsi" w:cs="Calibri"/>
                <w:sz w:val="20"/>
                <w:szCs w:val="20"/>
                <w:lang w:eastAsia="en-AU"/>
              </w:rPr>
              <w:footnoteReference w:id="1"/>
            </w:r>
            <w:r w:rsidRPr="007C75FE">
              <w:rPr>
                <w:rFonts w:asciiTheme="majorHAnsi" w:hAnsiTheme="majorHAnsi" w:cs="Calibri"/>
                <w:sz w:val="20"/>
                <w:szCs w:val="20"/>
                <w:lang w:eastAsia="en-AU"/>
              </w:rPr>
              <w:t xml:space="preserve"> (DELWP) recommended allocating as forest the following cover types from the Victorian Land Cover (2015-19) dataset: </w:t>
            </w:r>
          </w:p>
          <w:p w14:paraId="28AEC613" w14:textId="77777777" w:rsidR="006268F3" w:rsidRPr="007C75FE" w:rsidRDefault="006268F3" w:rsidP="00F6789F">
            <w:pPr>
              <w:numPr>
                <w:ilvl w:val="0"/>
                <w:numId w:val="28"/>
              </w:numPr>
              <w:spacing w:before="20" w:after="20"/>
              <w:contextualSpacing/>
              <w:rPr>
                <w:rFonts w:asciiTheme="majorHAnsi" w:hAnsiTheme="majorHAnsi" w:cs="Calibri"/>
                <w:sz w:val="20"/>
                <w:szCs w:val="20"/>
                <w:lang w:eastAsia="en-AU"/>
              </w:rPr>
            </w:pPr>
            <w:r w:rsidRPr="007C75FE">
              <w:rPr>
                <w:rFonts w:asciiTheme="majorHAnsi" w:hAnsiTheme="majorHAnsi" w:cs="Calibri"/>
                <w:sz w:val="20"/>
                <w:szCs w:val="20"/>
                <w:lang w:eastAsia="en-AU"/>
              </w:rPr>
              <w:t>Treed native vegetation</w:t>
            </w:r>
          </w:p>
          <w:p w14:paraId="53F19EF1" w14:textId="77777777" w:rsidR="006268F3" w:rsidRPr="007C75FE" w:rsidRDefault="006268F3" w:rsidP="00F6789F">
            <w:pPr>
              <w:numPr>
                <w:ilvl w:val="0"/>
                <w:numId w:val="28"/>
              </w:numPr>
              <w:spacing w:before="20" w:after="20"/>
              <w:contextualSpacing/>
              <w:rPr>
                <w:rFonts w:asciiTheme="majorHAnsi" w:hAnsiTheme="majorHAnsi" w:cs="Calibri"/>
                <w:sz w:val="20"/>
                <w:szCs w:val="20"/>
                <w:lang w:eastAsia="en-AU"/>
              </w:rPr>
            </w:pPr>
            <w:r w:rsidRPr="007C75FE">
              <w:rPr>
                <w:rFonts w:asciiTheme="majorHAnsi" w:hAnsiTheme="majorHAnsi" w:cs="Calibri"/>
                <w:sz w:val="20"/>
                <w:szCs w:val="20"/>
                <w:lang w:eastAsia="en-AU"/>
              </w:rPr>
              <w:t>Conifer plantation</w:t>
            </w:r>
          </w:p>
          <w:p w14:paraId="776B6DCC" w14:textId="77777777" w:rsidR="006268F3" w:rsidRPr="007C75FE" w:rsidRDefault="006268F3" w:rsidP="00F6789F">
            <w:pPr>
              <w:numPr>
                <w:ilvl w:val="0"/>
                <w:numId w:val="28"/>
              </w:numPr>
              <w:spacing w:before="20" w:after="20"/>
              <w:contextualSpacing/>
              <w:rPr>
                <w:rFonts w:asciiTheme="majorHAnsi" w:hAnsiTheme="majorHAnsi" w:cs="Calibri"/>
                <w:sz w:val="20"/>
                <w:szCs w:val="20"/>
                <w:lang w:eastAsia="en-AU"/>
              </w:rPr>
            </w:pPr>
            <w:r w:rsidRPr="007C75FE">
              <w:rPr>
                <w:rFonts w:asciiTheme="majorHAnsi" w:hAnsiTheme="majorHAnsi" w:cs="Calibri"/>
                <w:sz w:val="20"/>
                <w:szCs w:val="20"/>
                <w:lang w:eastAsia="en-AU"/>
              </w:rPr>
              <w:t>Hardwood plantation</w:t>
            </w:r>
          </w:p>
          <w:p w14:paraId="6F601AAD" w14:textId="77777777" w:rsidR="006268F3" w:rsidRPr="007C75FE" w:rsidRDefault="006268F3" w:rsidP="00F6789F">
            <w:pPr>
              <w:numPr>
                <w:ilvl w:val="0"/>
                <w:numId w:val="28"/>
              </w:numPr>
              <w:spacing w:before="20" w:after="20"/>
              <w:contextualSpacing/>
              <w:rPr>
                <w:rFonts w:asciiTheme="majorHAnsi" w:hAnsiTheme="majorHAnsi" w:cs="Calibri"/>
                <w:sz w:val="20"/>
                <w:szCs w:val="20"/>
                <w:lang w:eastAsia="en-AU"/>
              </w:rPr>
            </w:pPr>
            <w:r w:rsidRPr="007C75FE">
              <w:rPr>
                <w:rFonts w:asciiTheme="majorHAnsi" w:hAnsiTheme="majorHAnsi" w:cs="Calibri"/>
                <w:sz w:val="20"/>
                <w:szCs w:val="20"/>
                <w:lang w:eastAsia="en-AU"/>
              </w:rPr>
              <w:t>Mangrove vegetation</w:t>
            </w:r>
          </w:p>
          <w:p w14:paraId="54EC4A85" w14:textId="77777777" w:rsidR="006268F3" w:rsidRPr="007C75FE" w:rsidRDefault="006268F3" w:rsidP="00F6789F">
            <w:pPr>
              <w:numPr>
                <w:ilvl w:val="0"/>
                <w:numId w:val="28"/>
              </w:numPr>
              <w:spacing w:before="20" w:after="20"/>
              <w:contextualSpacing/>
              <w:rPr>
                <w:rFonts w:asciiTheme="majorHAnsi" w:hAnsiTheme="majorHAnsi" w:cs="Calibri"/>
                <w:sz w:val="20"/>
                <w:szCs w:val="20"/>
                <w:lang w:eastAsia="en-AU"/>
              </w:rPr>
            </w:pPr>
            <w:r w:rsidRPr="007C75FE">
              <w:rPr>
                <w:rFonts w:asciiTheme="majorHAnsi" w:hAnsiTheme="majorHAnsi" w:cs="Calibri"/>
                <w:sz w:val="20"/>
                <w:szCs w:val="20"/>
                <w:lang w:eastAsia="en-AU"/>
              </w:rPr>
              <w:t>Perennial wetland</w:t>
            </w:r>
          </w:p>
        </w:tc>
      </w:tr>
      <w:tr w:rsidR="006268F3" w:rsidRPr="007C75FE" w14:paraId="1AD1F069" w14:textId="77777777" w:rsidTr="00B21858">
        <w:tc>
          <w:tcPr>
            <w:tcW w:w="2410" w:type="dxa"/>
            <w:tcBorders>
              <w:left w:val="nil"/>
            </w:tcBorders>
          </w:tcPr>
          <w:p w14:paraId="29F050E9"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sz w:val="20"/>
                <w:szCs w:val="20"/>
                <w:lang w:eastAsia="en-AU"/>
              </w:rPr>
              <w:t>Global Mangrove Watch (2018)</w:t>
            </w:r>
          </w:p>
        </w:tc>
        <w:tc>
          <w:tcPr>
            <w:tcW w:w="6657" w:type="dxa"/>
            <w:tcBorders>
              <w:right w:val="nil"/>
            </w:tcBorders>
          </w:tcPr>
          <w:p w14:paraId="035CD131" w14:textId="77777777" w:rsidR="006268F3" w:rsidRPr="007C75FE" w:rsidRDefault="006268F3" w:rsidP="006268F3">
            <w:pPr>
              <w:shd w:val="clear" w:color="auto" w:fill="FFFFFF"/>
              <w:spacing w:before="20" w:after="20"/>
              <w:rPr>
                <w:rFonts w:asciiTheme="majorHAnsi" w:hAnsiTheme="majorHAnsi" w:cs="Calibri"/>
                <w:color w:val="000000"/>
                <w:sz w:val="20"/>
                <w:szCs w:val="20"/>
                <w:lang w:eastAsia="en-AU"/>
              </w:rPr>
            </w:pPr>
            <w:bookmarkStart w:id="6" w:name="_Hlk151999114"/>
            <w:r w:rsidRPr="007C75FE">
              <w:rPr>
                <w:rFonts w:asciiTheme="majorHAnsi" w:hAnsiTheme="majorHAnsi" w:cs="Calibri"/>
                <w:sz w:val="20"/>
                <w:szCs w:val="20"/>
                <w:lang w:eastAsia="en-AU"/>
              </w:rPr>
              <w:t xml:space="preserve">The Global Mangrove Watch (GMW) dataset is based on ALOS PALSAR and Landsat imagery, and provides geospatial information about mangrove extent and changes. Geoscience Australia is a collaborator of the GMW project through the Digital Earth Australia (DEA) project (Bunting et al. 2018; Thomas et al. 2017).   </w:t>
            </w:r>
            <w:bookmarkEnd w:id="6"/>
          </w:p>
        </w:tc>
      </w:tr>
      <w:tr w:rsidR="00783B5F" w:rsidRPr="007C75FE" w14:paraId="441F54EA" w14:textId="77777777" w:rsidTr="00783B5F">
        <w:trPr>
          <w:trHeight w:val="983"/>
        </w:trPr>
        <w:tc>
          <w:tcPr>
            <w:tcW w:w="2410" w:type="dxa"/>
            <w:tcBorders>
              <w:left w:val="nil"/>
            </w:tcBorders>
          </w:tcPr>
          <w:p w14:paraId="378BE94B" w14:textId="7F4F96A9" w:rsidR="00783B5F" w:rsidRPr="007C75FE" w:rsidRDefault="00783B5F" w:rsidP="00783B5F">
            <w:pPr>
              <w:pStyle w:val="Heading1"/>
              <w:shd w:val="clear" w:color="auto" w:fill="FFFFFF"/>
              <w:spacing w:before="0" w:after="0"/>
              <w:rPr>
                <w:rFonts w:asciiTheme="majorHAnsi" w:hAnsiTheme="majorHAnsi"/>
              </w:rPr>
            </w:pPr>
            <w:r w:rsidRPr="007C75FE">
              <w:rPr>
                <w:rFonts w:asciiTheme="majorHAnsi" w:hAnsiTheme="majorHAnsi" w:cstheme="minorHAnsi"/>
                <w:b w:val="0"/>
                <w:bCs w:val="0"/>
                <w:color w:val="180D0A"/>
                <w:sz w:val="20"/>
                <w:szCs w:val="20"/>
              </w:rPr>
              <w:t>Land Use Mapping Project</w:t>
            </w:r>
            <w:r w:rsidRPr="007C75FE">
              <w:rPr>
                <w:rStyle w:val="FootnoteReference"/>
                <w:rFonts w:asciiTheme="majorHAnsi" w:hAnsiTheme="majorHAnsi" w:cstheme="minorHAnsi"/>
                <w:b w:val="0"/>
                <w:bCs w:val="0"/>
                <w:color w:val="180D0A"/>
                <w:sz w:val="20"/>
                <w:szCs w:val="20"/>
              </w:rPr>
              <w:footnoteReference w:id="2"/>
            </w:r>
            <w:r w:rsidRPr="007C75FE">
              <w:rPr>
                <w:rFonts w:asciiTheme="majorHAnsi" w:hAnsiTheme="majorHAnsi" w:cstheme="minorHAnsi"/>
                <w:b w:val="0"/>
                <w:bCs w:val="0"/>
                <w:color w:val="180D0A"/>
                <w:sz w:val="20"/>
                <w:szCs w:val="20"/>
              </w:rPr>
              <w:t xml:space="preserve"> (LUMP) of the Northern Territory (2016 – 2022)</w:t>
            </w:r>
          </w:p>
        </w:tc>
        <w:tc>
          <w:tcPr>
            <w:tcW w:w="6657" w:type="dxa"/>
            <w:tcBorders>
              <w:right w:val="nil"/>
            </w:tcBorders>
          </w:tcPr>
          <w:p w14:paraId="0D81B592" w14:textId="6D658A36" w:rsidR="00783B5F" w:rsidRPr="007C75FE" w:rsidRDefault="00783B5F" w:rsidP="00783B5F">
            <w:pPr>
              <w:shd w:val="clear" w:color="auto" w:fill="FFFFFF"/>
              <w:spacing w:before="20" w:after="20"/>
              <w:rPr>
                <w:rFonts w:asciiTheme="majorHAnsi" w:hAnsiTheme="majorHAnsi" w:cs="Calibri"/>
                <w:sz w:val="20"/>
                <w:szCs w:val="20"/>
                <w:lang w:eastAsia="en-AU"/>
              </w:rPr>
            </w:pPr>
            <w:r w:rsidRPr="007C75FE">
              <w:rPr>
                <w:rFonts w:asciiTheme="majorHAnsi" w:hAnsiTheme="majorHAnsi" w:cstheme="minorHAnsi"/>
                <w:sz w:val="20"/>
                <w:szCs w:val="20"/>
              </w:rPr>
              <w:t xml:space="preserve">The </w:t>
            </w:r>
            <w:hyperlink r:id="rId20" w:history="1">
              <w:r w:rsidRPr="007C75FE">
                <w:rPr>
                  <w:rStyle w:val="Hyperlink"/>
                  <w:rFonts w:asciiTheme="majorHAnsi" w:hAnsiTheme="majorHAnsi" w:cstheme="minorHAnsi"/>
                  <w:sz w:val="20"/>
                  <w:szCs w:val="20"/>
                </w:rPr>
                <w:t>LUMP</w:t>
              </w:r>
            </w:hyperlink>
            <w:r w:rsidRPr="007C75FE">
              <w:rPr>
                <w:rFonts w:asciiTheme="majorHAnsi" w:hAnsiTheme="majorHAnsi" w:cstheme="minorHAnsi"/>
                <w:sz w:val="20"/>
                <w:szCs w:val="20"/>
              </w:rPr>
              <w:t xml:space="preserve"> dataset </w:t>
            </w:r>
            <w:r w:rsidRPr="007C75FE">
              <w:rPr>
                <w:rFonts w:asciiTheme="majorHAnsi" w:hAnsiTheme="majorHAnsi" w:cstheme="minorHAnsi"/>
                <w:color w:val="141414"/>
                <w:sz w:val="20"/>
                <w:szCs w:val="20"/>
                <w:shd w:val="clear" w:color="auto" w:fill="FFFFFF"/>
              </w:rPr>
              <w:t>maps land use in the Northern Territory using the national classification scheme developed by the Australian Collaborative Land Use and Management Program (ACLUMP). The dataset was used to identify and map sandalwood plantations</w:t>
            </w:r>
            <w:r w:rsidRPr="007C75FE">
              <w:rPr>
                <w:rFonts w:asciiTheme="majorHAnsi" w:hAnsiTheme="majorHAnsi" w:cstheme="minorHAnsi"/>
                <w:sz w:val="20"/>
                <w:szCs w:val="20"/>
              </w:rPr>
              <w:t xml:space="preserve"> in </w:t>
            </w:r>
            <w:r w:rsidRPr="007C75FE">
              <w:rPr>
                <w:rFonts w:asciiTheme="majorHAnsi" w:hAnsiTheme="majorHAnsi" w:cstheme="minorHAnsi"/>
                <w:i/>
                <w:iCs/>
                <w:sz w:val="20"/>
                <w:szCs w:val="20"/>
              </w:rPr>
              <w:t>Forests of Australia (2023).</w:t>
            </w:r>
          </w:p>
        </w:tc>
      </w:tr>
      <w:tr w:rsidR="00783B5F" w:rsidRPr="007C75FE" w14:paraId="0276A7B4" w14:textId="77777777" w:rsidTr="00B21858">
        <w:tc>
          <w:tcPr>
            <w:tcW w:w="2410" w:type="dxa"/>
            <w:tcBorders>
              <w:left w:val="nil"/>
            </w:tcBorders>
          </w:tcPr>
          <w:p w14:paraId="0300BB0C" w14:textId="77777777" w:rsidR="00783B5F" w:rsidRPr="007C75FE" w:rsidRDefault="00783B5F" w:rsidP="00783B5F">
            <w:pPr>
              <w:shd w:val="clear" w:color="auto" w:fill="FFFFFF"/>
              <w:spacing w:before="20" w:after="20"/>
              <w:rPr>
                <w:rFonts w:asciiTheme="majorHAnsi" w:hAnsiTheme="majorHAnsi" w:cs="Calibri"/>
                <w:bCs/>
                <w:sz w:val="20"/>
                <w:szCs w:val="20"/>
                <w:lang w:eastAsia="en-AU"/>
              </w:rPr>
            </w:pPr>
            <w:r w:rsidRPr="007C75FE">
              <w:rPr>
                <w:rFonts w:asciiTheme="majorHAnsi" w:hAnsiTheme="majorHAnsi" w:cs="Calibri"/>
                <w:sz w:val="20"/>
                <w:szCs w:val="20"/>
                <w:lang w:eastAsia="en-AU"/>
              </w:rPr>
              <w:t>National Vegetation Information System (NVIS) 6.0</w:t>
            </w:r>
          </w:p>
        </w:tc>
        <w:tc>
          <w:tcPr>
            <w:tcW w:w="6657" w:type="dxa"/>
            <w:tcBorders>
              <w:right w:val="nil"/>
            </w:tcBorders>
          </w:tcPr>
          <w:p w14:paraId="4E14791A" w14:textId="650F1448" w:rsidR="00783B5F" w:rsidRPr="007C75FE" w:rsidRDefault="00783B5F" w:rsidP="00783B5F">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shd w:val="clear" w:color="auto" w:fill="FFFFFF"/>
                <w:lang w:eastAsia="en-AU"/>
              </w:rPr>
              <w:t xml:space="preserve">The </w:t>
            </w:r>
            <w:hyperlink r:id="rId21" w:history="1">
              <w:r w:rsidRPr="007C75FE">
                <w:rPr>
                  <w:rStyle w:val="Hyperlink"/>
                  <w:rFonts w:asciiTheme="majorHAnsi" w:hAnsiTheme="majorHAnsi" w:cs="Calibri"/>
                  <w:sz w:val="20"/>
                  <w:szCs w:val="20"/>
                  <w:shd w:val="clear" w:color="auto" w:fill="FFFFFF"/>
                  <w:lang w:eastAsia="en-AU"/>
                </w:rPr>
                <w:t>NVIS dataset</w:t>
              </w:r>
            </w:hyperlink>
            <w:r w:rsidRPr="007C75FE">
              <w:rPr>
                <w:rFonts w:asciiTheme="majorHAnsi" w:hAnsiTheme="majorHAnsi" w:cs="Calibri"/>
                <w:color w:val="000000"/>
                <w:sz w:val="20"/>
                <w:szCs w:val="20"/>
                <w:shd w:val="clear" w:color="auto" w:fill="FFFFFF"/>
                <w:lang w:eastAsia="en-AU"/>
              </w:rPr>
              <w:t xml:space="preserve"> contains detailed vegetation descriptions in 6 hierarchal classes, Level 1-6, based on structural and floristic information including dominant genus, growth form, height and cover. Level 6 (VI) Sub-Association (sub-stratum) growth form, height and cover information was used to identify mapped areas that fulfilled the definition of forest (growth form = tree, potential height &gt;= 2 m and potential crown cover = 20%).</w:t>
            </w:r>
          </w:p>
        </w:tc>
      </w:tr>
      <w:tr w:rsidR="00783B5F" w:rsidRPr="007C75FE" w14:paraId="37DF3A66" w14:textId="77777777" w:rsidTr="00B21858">
        <w:tc>
          <w:tcPr>
            <w:tcW w:w="2410" w:type="dxa"/>
            <w:tcBorders>
              <w:left w:val="nil"/>
            </w:tcBorders>
          </w:tcPr>
          <w:p w14:paraId="1D0C52EC" w14:textId="333E7914" w:rsidR="00783B5F" w:rsidRPr="007C75FE" w:rsidRDefault="00783B5F" w:rsidP="00783B5F">
            <w:pPr>
              <w:shd w:val="clear" w:color="auto" w:fill="FFFFFF"/>
              <w:spacing w:before="20" w:after="20"/>
              <w:rPr>
                <w:rFonts w:asciiTheme="majorHAnsi" w:hAnsiTheme="majorHAnsi" w:cs="Calibri"/>
                <w:bCs/>
                <w:color w:val="000000"/>
                <w:sz w:val="20"/>
                <w:szCs w:val="20"/>
                <w:lang w:eastAsia="en-AU"/>
              </w:rPr>
            </w:pPr>
            <w:r w:rsidRPr="007C75FE">
              <w:rPr>
                <w:rFonts w:asciiTheme="majorHAnsi" w:hAnsiTheme="majorHAnsi" w:cs="Calibri"/>
                <w:bCs/>
                <w:sz w:val="20"/>
                <w:szCs w:val="20"/>
                <w:lang w:eastAsia="en-AU"/>
              </w:rPr>
              <w:t xml:space="preserve">Catchment </w:t>
            </w:r>
            <w:r w:rsidR="001E4B35" w:rsidRPr="007C75FE">
              <w:rPr>
                <w:rFonts w:asciiTheme="majorHAnsi" w:hAnsiTheme="majorHAnsi" w:cs="Calibri"/>
                <w:bCs/>
                <w:sz w:val="20"/>
                <w:szCs w:val="20"/>
                <w:lang w:eastAsia="en-AU"/>
              </w:rPr>
              <w:t>s</w:t>
            </w:r>
            <w:r w:rsidRPr="007C75FE">
              <w:rPr>
                <w:rFonts w:asciiTheme="majorHAnsi" w:hAnsiTheme="majorHAnsi" w:cs="Calibri"/>
                <w:bCs/>
                <w:sz w:val="20"/>
                <w:szCs w:val="20"/>
                <w:lang w:eastAsia="en-AU"/>
              </w:rPr>
              <w:t xml:space="preserve">cale </w:t>
            </w:r>
            <w:r w:rsidR="001E4B35" w:rsidRPr="007C75FE">
              <w:rPr>
                <w:rFonts w:asciiTheme="majorHAnsi" w:hAnsiTheme="majorHAnsi" w:cs="Calibri"/>
                <w:bCs/>
                <w:sz w:val="20"/>
                <w:szCs w:val="20"/>
                <w:lang w:eastAsia="en-AU"/>
              </w:rPr>
              <w:t>l</w:t>
            </w:r>
            <w:r w:rsidRPr="007C75FE">
              <w:rPr>
                <w:rFonts w:asciiTheme="majorHAnsi" w:hAnsiTheme="majorHAnsi" w:cs="Calibri"/>
                <w:bCs/>
                <w:sz w:val="20"/>
                <w:szCs w:val="20"/>
                <w:lang w:eastAsia="en-AU"/>
              </w:rPr>
              <w:t xml:space="preserve">and </w:t>
            </w:r>
            <w:r w:rsidR="001E4B35" w:rsidRPr="007C75FE">
              <w:rPr>
                <w:rFonts w:asciiTheme="majorHAnsi" w:hAnsiTheme="majorHAnsi" w:cs="Calibri"/>
                <w:bCs/>
                <w:sz w:val="20"/>
                <w:szCs w:val="20"/>
                <w:lang w:eastAsia="en-AU"/>
              </w:rPr>
              <w:t>u</w:t>
            </w:r>
            <w:r w:rsidRPr="007C75FE">
              <w:rPr>
                <w:rFonts w:asciiTheme="majorHAnsi" w:hAnsiTheme="majorHAnsi" w:cs="Calibri"/>
                <w:bCs/>
                <w:sz w:val="20"/>
                <w:szCs w:val="20"/>
                <w:lang w:eastAsia="en-AU"/>
              </w:rPr>
              <w:t>se of Australia – Update December 2020 (CLUM) land-use mask</w:t>
            </w:r>
          </w:p>
        </w:tc>
        <w:tc>
          <w:tcPr>
            <w:tcW w:w="6657" w:type="dxa"/>
            <w:tcBorders>
              <w:right w:val="nil"/>
            </w:tcBorders>
          </w:tcPr>
          <w:p w14:paraId="7CD5F9DB" w14:textId="6066DD1F" w:rsidR="00783B5F" w:rsidRPr="007C75FE" w:rsidRDefault="00783B5F" w:rsidP="00783B5F">
            <w:pPr>
              <w:shd w:val="clear" w:color="auto" w:fill="FFFFFF"/>
              <w:spacing w:before="20" w:after="20"/>
              <w:rPr>
                <w:rFonts w:asciiTheme="majorHAnsi" w:hAnsiTheme="majorHAnsi" w:cs="Calibri"/>
                <w:color w:val="000000"/>
                <w:sz w:val="20"/>
                <w:szCs w:val="20"/>
                <w:lang w:eastAsia="en-AU"/>
              </w:rPr>
            </w:pPr>
            <w:r w:rsidRPr="007C75FE">
              <w:rPr>
                <w:rFonts w:asciiTheme="majorHAnsi" w:hAnsiTheme="majorHAnsi" w:cs="Calibri"/>
                <w:color w:val="000000"/>
                <w:sz w:val="20"/>
                <w:szCs w:val="20"/>
                <w:lang w:eastAsia="en-AU"/>
              </w:rPr>
              <w:t xml:space="preserve">The CLUM land-use mask was used to exclude from the MLE forest cover dataset land uses deemed to be not suitable to carry forests, for example urban residential, industrial, mining, horticulture and intensive agriculture.  The CLUM dataset is produced by ABARES (2021). </w:t>
            </w:r>
          </w:p>
        </w:tc>
      </w:tr>
      <w:tr w:rsidR="00783B5F" w:rsidRPr="007C75FE" w14:paraId="0FE817BD" w14:textId="77777777" w:rsidTr="00B21858">
        <w:tc>
          <w:tcPr>
            <w:tcW w:w="2410" w:type="dxa"/>
            <w:tcBorders>
              <w:left w:val="nil"/>
            </w:tcBorders>
          </w:tcPr>
          <w:p w14:paraId="09D02E01" w14:textId="77777777" w:rsidR="00783B5F" w:rsidRPr="007C75FE" w:rsidRDefault="00783B5F" w:rsidP="00783B5F">
            <w:pPr>
              <w:shd w:val="clear" w:color="auto" w:fill="FFFFFF"/>
              <w:spacing w:before="20" w:after="20"/>
              <w:rPr>
                <w:rFonts w:asciiTheme="majorHAnsi" w:hAnsiTheme="majorHAnsi" w:cs="Calibri"/>
                <w:sz w:val="20"/>
                <w:szCs w:val="20"/>
                <w:lang w:eastAsia="en-AU"/>
              </w:rPr>
            </w:pPr>
            <w:r w:rsidRPr="007C75FE">
              <w:rPr>
                <w:rFonts w:asciiTheme="majorHAnsi" w:hAnsiTheme="majorHAnsi" w:cs="Calibri"/>
                <w:color w:val="000000"/>
                <w:sz w:val="20"/>
                <w:szCs w:val="20"/>
                <w:lang w:eastAsia="en-AU"/>
              </w:rPr>
              <w:t>Google Earth Pro, Bing Maps and World Imagery by ESRI</w:t>
            </w:r>
          </w:p>
        </w:tc>
        <w:tc>
          <w:tcPr>
            <w:tcW w:w="6657" w:type="dxa"/>
            <w:tcBorders>
              <w:right w:val="nil"/>
            </w:tcBorders>
          </w:tcPr>
          <w:p w14:paraId="128192C4" w14:textId="77777777" w:rsidR="00783B5F" w:rsidRPr="007C75FE" w:rsidRDefault="00783B5F" w:rsidP="00783B5F">
            <w:pPr>
              <w:shd w:val="clear" w:color="auto" w:fill="FFFFFF"/>
              <w:spacing w:before="20" w:after="20"/>
              <w:rPr>
                <w:rFonts w:asciiTheme="majorHAnsi" w:hAnsiTheme="majorHAnsi" w:cs="Calibri"/>
                <w:sz w:val="20"/>
                <w:szCs w:val="20"/>
                <w:lang w:eastAsia="en-AU"/>
              </w:rPr>
            </w:pPr>
            <w:r w:rsidRPr="007C75FE">
              <w:rPr>
                <w:rFonts w:asciiTheme="majorHAnsi" w:hAnsiTheme="majorHAnsi" w:cs="Calibri"/>
                <w:color w:val="000000"/>
                <w:sz w:val="20"/>
                <w:szCs w:val="20"/>
                <w:lang w:eastAsia="en-AU"/>
              </w:rPr>
              <w:t>The most recent high-resolution imagery from Google Earth Pro, Bing Maps and World Imagery by ESRI were used for validation of forest and non-forest allocation in areas where confidence in other datasets was low.</w:t>
            </w:r>
          </w:p>
        </w:tc>
      </w:tr>
    </w:tbl>
    <w:bookmarkEnd w:id="0"/>
    <w:p w14:paraId="1197B241" w14:textId="77777777" w:rsidR="001B7179" w:rsidRPr="007C75FE" w:rsidRDefault="006268F3" w:rsidP="001232FB">
      <w:pPr>
        <w:shd w:val="clear" w:color="auto" w:fill="FFFFFF" w:themeFill="background1"/>
        <w:rPr>
          <w:rFonts w:asciiTheme="majorHAnsi" w:eastAsia="Times New Roman" w:hAnsiTheme="majorHAnsi" w:cstheme="minorHAnsi"/>
          <w:bCs/>
          <w:color w:val="000000"/>
          <w:kern w:val="28"/>
          <w:sz w:val="14"/>
          <w:szCs w:val="14"/>
          <w:lang w:eastAsia="en-AU"/>
        </w:rPr>
      </w:pPr>
      <w:r w:rsidRPr="007C75FE">
        <w:rPr>
          <w:rFonts w:asciiTheme="majorHAnsi" w:eastAsia="Times New Roman" w:hAnsiTheme="majorHAnsi" w:cstheme="minorHAnsi"/>
          <w:bCs/>
          <w:kern w:val="28"/>
          <w:sz w:val="16"/>
          <w:szCs w:val="16"/>
          <w:lang w:eastAsia="en-AU"/>
        </w:rPr>
        <w:lastRenderedPageBreak/>
        <w:t xml:space="preserve">CRA, Comprehensive Regional Assessment; CRAFTI, Comprehensive Regional Assessment Aerial Photographic Interpretation; FPC, Foliage Projective Cover; MLE, Multiple Lines of Evidence; NFI, National Forest Inventory; NGGI, National Greenhouse Gas Inventory; NPI, National Plantation Inventory; NIR, National Inventory Report; SPOT, </w:t>
      </w:r>
      <w:r w:rsidRPr="007C75FE">
        <w:rPr>
          <w:rFonts w:asciiTheme="majorHAnsi" w:eastAsia="Times New Roman" w:hAnsiTheme="majorHAnsi" w:cstheme="minorHAnsi"/>
          <w:bCs/>
          <w:iCs/>
          <w:kern w:val="28"/>
          <w:sz w:val="16"/>
          <w:szCs w:val="16"/>
          <w:lang w:val="fr-FR" w:eastAsia="en-AU"/>
        </w:rPr>
        <w:t>Satellite Pour l’Observation de la Terre</w:t>
      </w:r>
      <w:r w:rsidRPr="007C75FE">
        <w:rPr>
          <w:rFonts w:asciiTheme="majorHAnsi" w:eastAsia="Times New Roman" w:hAnsiTheme="majorHAnsi" w:cstheme="minorHAnsi"/>
          <w:bCs/>
          <w:kern w:val="28"/>
          <w:sz w:val="16"/>
          <w:szCs w:val="16"/>
          <w:lang w:eastAsia="en-AU"/>
        </w:rPr>
        <w:t>.</w:t>
      </w:r>
      <w:r w:rsidR="001B7179" w:rsidRPr="007C75FE">
        <w:rPr>
          <w:rFonts w:asciiTheme="majorHAnsi" w:eastAsia="Times New Roman" w:hAnsiTheme="majorHAnsi" w:cstheme="minorHAnsi"/>
          <w:bCs/>
          <w:color w:val="000000"/>
          <w:kern w:val="28"/>
          <w:sz w:val="16"/>
          <w:szCs w:val="16"/>
          <w:lang w:eastAsia="en-AU"/>
        </w:rPr>
        <w:t xml:space="preserve"> </w:t>
      </w:r>
      <w:r w:rsidRPr="007C75FE">
        <w:rPr>
          <w:rFonts w:asciiTheme="majorHAnsi" w:eastAsia="Times New Roman" w:hAnsiTheme="majorHAnsi" w:cstheme="minorHAnsi"/>
          <w:bCs/>
          <w:color w:val="000000"/>
          <w:kern w:val="28"/>
          <w:sz w:val="14"/>
          <w:szCs w:val="14"/>
          <w:lang w:eastAsia="en-AU"/>
        </w:rPr>
        <w:t>Note: Forest area, cover and extent are used interchangeably in this work.</w:t>
      </w:r>
    </w:p>
    <w:p w14:paraId="0BFCF0D5" w14:textId="4C73CD4C" w:rsidR="001232FB" w:rsidRPr="007C75FE" w:rsidRDefault="001232FB" w:rsidP="001232FB">
      <w:pPr>
        <w:shd w:val="clear" w:color="auto" w:fill="FFFFFF" w:themeFill="background1"/>
        <w:rPr>
          <w:rFonts w:asciiTheme="majorHAnsi" w:hAnsiTheme="majorHAnsi"/>
          <w:b/>
          <w:sz w:val="20"/>
          <w:szCs w:val="20"/>
        </w:rPr>
      </w:pPr>
      <w:r w:rsidRPr="007C75FE">
        <w:rPr>
          <w:rFonts w:asciiTheme="majorHAnsi" w:hAnsiTheme="majorHAnsi"/>
          <w:b/>
          <w:sz w:val="20"/>
          <w:szCs w:val="20"/>
        </w:rPr>
        <w:t>Table 2: Data sources for forest area attribution</w:t>
      </w: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32"/>
        <w:gridCol w:w="2977"/>
        <w:gridCol w:w="4743"/>
      </w:tblGrid>
      <w:tr w:rsidR="006268F3" w:rsidRPr="007C75FE" w14:paraId="3F13C28E" w14:textId="77777777" w:rsidTr="00B21858">
        <w:trPr>
          <w:cantSplit/>
          <w:trHeight w:val="283"/>
        </w:trPr>
        <w:tc>
          <w:tcPr>
            <w:tcW w:w="1881" w:type="dxa"/>
            <w:tcBorders>
              <w:left w:val="nil"/>
            </w:tcBorders>
            <w:shd w:val="clear" w:color="auto" w:fill="auto"/>
          </w:tcPr>
          <w:p w14:paraId="68FE523B" w14:textId="77777777" w:rsidR="006268F3" w:rsidRPr="007C75FE" w:rsidRDefault="006268F3" w:rsidP="006268F3">
            <w:pPr>
              <w:shd w:val="clear" w:color="auto" w:fill="FFFFFF"/>
              <w:spacing w:before="80" w:after="80"/>
              <w:rPr>
                <w:rFonts w:asciiTheme="majorHAnsi" w:eastAsia="Times New Roman" w:hAnsiTheme="majorHAnsi" w:cs="Calibri"/>
                <w:b/>
                <w:sz w:val="20"/>
                <w:szCs w:val="20"/>
                <w:lang w:eastAsia="en-AU"/>
              </w:rPr>
            </w:pPr>
            <w:r w:rsidRPr="007C75FE">
              <w:rPr>
                <w:rFonts w:asciiTheme="majorHAnsi" w:eastAsia="Times New Roman" w:hAnsiTheme="majorHAnsi" w:cs="Calibri"/>
                <w:b/>
                <w:sz w:val="20"/>
                <w:szCs w:val="20"/>
                <w:lang w:eastAsia="en-AU"/>
              </w:rPr>
              <w:t>Parameter</w:t>
            </w:r>
          </w:p>
        </w:tc>
        <w:tc>
          <w:tcPr>
            <w:tcW w:w="2755" w:type="dxa"/>
            <w:shd w:val="clear" w:color="auto" w:fill="auto"/>
          </w:tcPr>
          <w:p w14:paraId="7FA583BC" w14:textId="77777777" w:rsidR="006268F3" w:rsidRPr="007C75FE" w:rsidRDefault="006268F3" w:rsidP="006268F3">
            <w:pPr>
              <w:keepNext/>
              <w:shd w:val="clear" w:color="auto" w:fill="FFFFFF"/>
              <w:spacing w:before="80" w:after="80"/>
              <w:rPr>
                <w:rFonts w:asciiTheme="majorHAnsi" w:eastAsia="Times New Roman" w:hAnsiTheme="majorHAnsi" w:cs="Calibri"/>
                <w:b/>
                <w:sz w:val="20"/>
                <w:szCs w:val="20"/>
                <w:lang w:eastAsia="en-AU"/>
              </w:rPr>
            </w:pPr>
            <w:r w:rsidRPr="007C75FE">
              <w:rPr>
                <w:rFonts w:asciiTheme="majorHAnsi" w:eastAsia="Times New Roman" w:hAnsiTheme="majorHAnsi" w:cs="Calibri"/>
                <w:b/>
                <w:sz w:val="20"/>
                <w:szCs w:val="20"/>
                <w:lang w:eastAsia="en-AU"/>
              </w:rPr>
              <w:t>Data sources (ordered by priority)</w:t>
            </w:r>
          </w:p>
        </w:tc>
        <w:tc>
          <w:tcPr>
            <w:tcW w:w="4390" w:type="dxa"/>
            <w:tcBorders>
              <w:right w:val="nil"/>
            </w:tcBorders>
            <w:shd w:val="clear" w:color="auto" w:fill="auto"/>
          </w:tcPr>
          <w:p w14:paraId="0BBBCF7E" w14:textId="77777777" w:rsidR="006268F3" w:rsidRPr="007C75FE" w:rsidRDefault="006268F3" w:rsidP="006268F3">
            <w:pPr>
              <w:keepNext/>
              <w:shd w:val="clear" w:color="auto" w:fill="FFFFFF"/>
              <w:spacing w:before="80" w:after="80"/>
              <w:rPr>
                <w:rFonts w:asciiTheme="majorHAnsi" w:eastAsia="Times New Roman" w:hAnsiTheme="majorHAnsi" w:cs="Calibri"/>
                <w:b/>
                <w:color w:val="C00000"/>
                <w:sz w:val="20"/>
                <w:szCs w:val="20"/>
                <w:lang w:eastAsia="en-AU"/>
              </w:rPr>
            </w:pPr>
            <w:r w:rsidRPr="007C75FE">
              <w:rPr>
                <w:rFonts w:asciiTheme="majorHAnsi" w:eastAsia="Times New Roman" w:hAnsiTheme="majorHAnsi" w:cs="Calibri"/>
                <w:b/>
                <w:sz w:val="20"/>
                <w:szCs w:val="20"/>
                <w:lang w:eastAsia="en-AU"/>
              </w:rPr>
              <w:t>Notes</w:t>
            </w:r>
          </w:p>
        </w:tc>
      </w:tr>
      <w:tr w:rsidR="006268F3" w:rsidRPr="007C75FE" w14:paraId="26786D85" w14:textId="77777777" w:rsidTr="00B21858">
        <w:tc>
          <w:tcPr>
            <w:tcW w:w="1881" w:type="dxa"/>
            <w:tcBorders>
              <w:left w:val="nil"/>
            </w:tcBorders>
            <w:shd w:val="clear" w:color="auto" w:fill="auto"/>
          </w:tcPr>
          <w:p w14:paraId="741B9ABF" w14:textId="77777777" w:rsidR="006268F3" w:rsidRPr="007C75FE" w:rsidRDefault="006268F3" w:rsidP="006268F3">
            <w:pPr>
              <w:shd w:val="clear" w:color="auto" w:fill="FFFFFF"/>
              <w:spacing w:before="20" w:after="20"/>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Forest type</w:t>
            </w:r>
          </w:p>
        </w:tc>
        <w:tc>
          <w:tcPr>
            <w:tcW w:w="2755" w:type="dxa"/>
            <w:shd w:val="clear" w:color="auto" w:fill="auto"/>
          </w:tcPr>
          <w:p w14:paraId="620C976F"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NPI 2020, then</w:t>
            </w:r>
          </w:p>
          <w:p w14:paraId="37E96219" w14:textId="4F1C9584" w:rsidR="001B7179" w:rsidRPr="007C75FE" w:rsidRDefault="001B7179" w:rsidP="001B7179">
            <w:pPr>
              <w:pStyle w:val="TableText"/>
              <w:keepNext/>
              <w:keepLines/>
              <w:numPr>
                <w:ilvl w:val="0"/>
                <w:numId w:val="19"/>
              </w:numPr>
              <w:shd w:val="clear" w:color="auto" w:fill="FFFFFF" w:themeFill="background1"/>
              <w:spacing w:before="20" w:after="20"/>
              <w:ind w:left="142" w:hanging="142"/>
              <w:rPr>
                <w:rFonts w:asciiTheme="majorHAnsi" w:eastAsia="Times New Roman" w:hAnsiTheme="majorHAnsi" w:cs="Calibri"/>
                <w:color w:val="000000"/>
                <w:sz w:val="20"/>
                <w:szCs w:val="20"/>
                <w:lang w:eastAsia="en-AU"/>
              </w:rPr>
            </w:pPr>
            <w:r w:rsidRPr="007C75FE">
              <w:rPr>
                <w:rFonts w:asciiTheme="majorHAnsi" w:hAnsiTheme="majorHAnsi" w:cstheme="minorHAnsi"/>
                <w:color w:val="180D0A"/>
                <w:szCs w:val="20"/>
              </w:rPr>
              <w:t>Land Use Mapping Project of the Northern Territory (LUMP), 2016 – 2022, then</w:t>
            </w:r>
          </w:p>
          <w:p w14:paraId="181A5585"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Tasmania Forest Communities with NVIS Groups 2020, then</w:t>
            </w:r>
          </w:p>
          <w:p w14:paraId="454F7AC6"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 xml:space="preserve">NVIS 6.0, then </w:t>
            </w:r>
          </w:p>
          <w:p w14:paraId="1525E542"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 xml:space="preserve">Forests of Australia (2018) </w:t>
            </w:r>
          </w:p>
        </w:tc>
        <w:tc>
          <w:tcPr>
            <w:tcW w:w="4390" w:type="dxa"/>
            <w:tcBorders>
              <w:right w:val="nil"/>
            </w:tcBorders>
            <w:shd w:val="clear" w:color="auto" w:fill="auto"/>
          </w:tcPr>
          <w:p w14:paraId="69D8DAF5" w14:textId="77777777" w:rsidR="006268F3" w:rsidRPr="007C75FE" w:rsidRDefault="006268F3" w:rsidP="006268F3">
            <w:pPr>
              <w:shd w:val="clear" w:color="auto" w:fill="FFFFFF"/>
              <w:spacing w:before="20" w:after="20"/>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 xml:space="preserve">A hierarchical approach was used to derive and allocate NFI forest types to the NFI 2021 forest cover dataset in the following order: </w:t>
            </w:r>
          </w:p>
          <w:p w14:paraId="3F54DBDF" w14:textId="77777777" w:rsidR="006268F3" w:rsidRPr="007C75FE" w:rsidRDefault="006268F3" w:rsidP="006268F3">
            <w:pPr>
              <w:numPr>
                <w:ilvl w:val="0"/>
                <w:numId w:val="18"/>
              </w:numPr>
              <w:shd w:val="clear" w:color="auto" w:fill="FFFFFF"/>
              <w:spacing w:before="20" w:after="20"/>
              <w:ind w:left="303" w:hanging="303"/>
              <w:rPr>
                <w:rFonts w:asciiTheme="majorHAnsi" w:eastAsia="Times New Roman" w:hAnsiTheme="majorHAnsi" w:cs="Calibri"/>
                <w:sz w:val="20"/>
                <w:szCs w:val="20"/>
                <w:lang w:eastAsia="en-AU"/>
              </w:rPr>
            </w:pPr>
            <w:r w:rsidRPr="007C75FE">
              <w:rPr>
                <w:rFonts w:asciiTheme="majorHAnsi" w:eastAsia="Times New Roman" w:hAnsiTheme="majorHAnsi" w:cs="Calibri"/>
                <w:color w:val="000000"/>
                <w:sz w:val="20"/>
                <w:szCs w:val="20"/>
                <w:lang w:eastAsia="en-AU"/>
              </w:rPr>
              <w:t xml:space="preserve">the NPI 2021 spatial dataset was used to </w:t>
            </w:r>
            <w:r w:rsidRPr="007C75FE">
              <w:rPr>
                <w:rFonts w:asciiTheme="majorHAnsi" w:eastAsia="Times New Roman" w:hAnsiTheme="majorHAnsi" w:cs="Calibri"/>
                <w:sz w:val="20"/>
                <w:szCs w:val="20"/>
                <w:lang w:eastAsia="en-AU"/>
              </w:rPr>
              <w:t>allocate types to Commercial plantations.</w:t>
            </w:r>
          </w:p>
          <w:p w14:paraId="0FDF119A" w14:textId="2F51D78E" w:rsidR="001B7179" w:rsidRPr="007C75FE" w:rsidRDefault="001B7179" w:rsidP="001B7179">
            <w:pPr>
              <w:pStyle w:val="TableText"/>
              <w:keepNext/>
              <w:keepLines/>
              <w:numPr>
                <w:ilvl w:val="0"/>
                <w:numId w:val="18"/>
              </w:numPr>
              <w:shd w:val="clear" w:color="auto" w:fill="FFFFFF" w:themeFill="background1"/>
              <w:spacing w:before="20" w:after="20"/>
              <w:ind w:left="303" w:hanging="303"/>
              <w:rPr>
                <w:rFonts w:asciiTheme="majorHAnsi" w:hAnsiTheme="majorHAnsi" w:cstheme="minorHAnsi"/>
                <w:sz w:val="20"/>
                <w:szCs w:val="20"/>
              </w:rPr>
            </w:pPr>
            <w:r w:rsidRPr="007C75FE">
              <w:rPr>
                <w:rFonts w:asciiTheme="majorHAnsi" w:hAnsiTheme="majorHAnsi" w:cstheme="minorHAnsi"/>
                <w:color w:val="000000" w:themeColor="text1"/>
                <w:sz w:val="20"/>
                <w:szCs w:val="20"/>
              </w:rPr>
              <w:t>the NT LUMP 2016-22 dataset was used to allocate sandalwood plantations in the Northern Territory to “Other forest”.</w:t>
            </w:r>
          </w:p>
          <w:p w14:paraId="3583BEF2" w14:textId="77777777" w:rsidR="006268F3" w:rsidRPr="007C75FE" w:rsidRDefault="006268F3" w:rsidP="006268F3">
            <w:pPr>
              <w:numPr>
                <w:ilvl w:val="0"/>
                <w:numId w:val="18"/>
              </w:numPr>
              <w:shd w:val="clear" w:color="auto" w:fill="FFFFFF"/>
              <w:spacing w:before="20" w:after="20"/>
              <w:ind w:left="303" w:hanging="303"/>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native forest types were then allocated:</w:t>
            </w:r>
          </w:p>
          <w:p w14:paraId="1A4127F4" w14:textId="77777777" w:rsidR="006268F3" w:rsidRPr="007C75FE" w:rsidRDefault="006268F3" w:rsidP="006268F3">
            <w:pPr>
              <w:numPr>
                <w:ilvl w:val="0"/>
                <w:numId w:val="20"/>
              </w:numPr>
              <w:shd w:val="clear" w:color="auto" w:fill="FFFFFF"/>
              <w:spacing w:before="20" w:after="20"/>
              <w:ind w:left="529" w:hanging="226"/>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 xml:space="preserve">Tasmania, from </w:t>
            </w:r>
            <w:r w:rsidRPr="007C75FE">
              <w:rPr>
                <w:rFonts w:asciiTheme="majorHAnsi" w:eastAsia="Times New Roman" w:hAnsiTheme="majorHAnsi" w:cs="Calibri"/>
                <w:i/>
                <w:iCs/>
                <w:color w:val="000000"/>
                <w:sz w:val="20"/>
                <w:szCs w:val="20"/>
                <w:lang w:eastAsia="en-AU"/>
              </w:rPr>
              <w:t>Tasmania Forest Communities with NVIS Groups 2020</w:t>
            </w:r>
          </w:p>
          <w:p w14:paraId="50A66D8B" w14:textId="77777777" w:rsidR="006268F3" w:rsidRPr="007C75FE" w:rsidRDefault="006268F3" w:rsidP="006268F3">
            <w:pPr>
              <w:numPr>
                <w:ilvl w:val="0"/>
                <w:numId w:val="20"/>
              </w:numPr>
              <w:shd w:val="clear" w:color="auto" w:fill="FFFFFF"/>
              <w:spacing w:before="20" w:after="20"/>
              <w:ind w:left="529" w:hanging="226"/>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ACT, from Forests of Australia 2018</w:t>
            </w:r>
          </w:p>
          <w:p w14:paraId="1BC5464A" w14:textId="77777777" w:rsidR="006268F3" w:rsidRPr="007C75FE" w:rsidRDefault="006268F3" w:rsidP="006268F3">
            <w:pPr>
              <w:numPr>
                <w:ilvl w:val="0"/>
                <w:numId w:val="20"/>
              </w:numPr>
              <w:shd w:val="clear" w:color="auto" w:fill="FFFFFF"/>
              <w:spacing w:before="20" w:after="20"/>
              <w:ind w:left="529" w:hanging="226"/>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 xml:space="preserve">for all other states and territories, from Major Vegetation Subgroup (MVS), Major Vegetation Group (MVG), Level V and Level VI categories of the NVIS 6.0 dataset. </w:t>
            </w:r>
          </w:p>
          <w:p w14:paraId="7A2641B9" w14:textId="77777777" w:rsidR="006268F3" w:rsidRPr="007C75FE" w:rsidRDefault="006268F3" w:rsidP="006268F3">
            <w:pPr>
              <w:numPr>
                <w:ilvl w:val="0"/>
                <w:numId w:val="18"/>
              </w:numPr>
              <w:shd w:val="clear" w:color="auto" w:fill="FFFFFF"/>
              <w:spacing w:before="20" w:after="20"/>
              <w:ind w:left="303" w:hanging="303"/>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sz w:val="20"/>
                <w:szCs w:val="20"/>
                <w:lang w:eastAsia="en-AU"/>
              </w:rPr>
              <w:t xml:space="preserve">where forest types </w:t>
            </w:r>
            <w:r w:rsidRPr="007C75FE">
              <w:rPr>
                <w:rFonts w:asciiTheme="majorHAnsi" w:eastAsia="Times New Roman" w:hAnsiTheme="majorHAnsi" w:cs="Calibri"/>
                <w:color w:val="000000"/>
                <w:sz w:val="20"/>
                <w:szCs w:val="20"/>
                <w:lang w:eastAsia="en-AU"/>
              </w:rPr>
              <w:t>could not be allocated from the above sources, forest types used in the SOFR 2018 forest cover dataset were allocated.</w:t>
            </w:r>
          </w:p>
          <w:p w14:paraId="28B442EE" w14:textId="77777777" w:rsidR="006268F3" w:rsidRPr="007C75FE" w:rsidRDefault="006268F3" w:rsidP="006268F3">
            <w:pPr>
              <w:numPr>
                <w:ilvl w:val="0"/>
                <w:numId w:val="18"/>
              </w:numPr>
              <w:shd w:val="clear" w:color="auto" w:fill="FFFFFF"/>
              <w:spacing w:before="20" w:after="20"/>
              <w:ind w:left="303" w:hanging="303"/>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any remaining native forest areas not allocated a forest type were allocated as “Other native forest”. Planted forest areas not allocated a type were allocated as “Other forest”.</w:t>
            </w:r>
          </w:p>
        </w:tc>
      </w:tr>
      <w:tr w:rsidR="006268F3" w:rsidRPr="007C75FE" w14:paraId="1F5B1B5F" w14:textId="77777777" w:rsidTr="00B21858">
        <w:trPr>
          <w:cantSplit/>
        </w:trPr>
        <w:tc>
          <w:tcPr>
            <w:tcW w:w="1881" w:type="dxa"/>
            <w:tcBorders>
              <w:left w:val="nil"/>
            </w:tcBorders>
            <w:shd w:val="clear" w:color="auto" w:fill="auto"/>
          </w:tcPr>
          <w:p w14:paraId="750E3E9C" w14:textId="77777777" w:rsidR="006268F3" w:rsidRPr="007C75FE" w:rsidRDefault="006268F3" w:rsidP="006268F3">
            <w:pPr>
              <w:shd w:val="clear" w:color="auto" w:fill="FFFFFF"/>
              <w:spacing w:before="20" w:after="20"/>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Forest tenure</w:t>
            </w:r>
          </w:p>
        </w:tc>
        <w:tc>
          <w:tcPr>
            <w:tcW w:w="2755" w:type="dxa"/>
            <w:shd w:val="clear" w:color="auto" w:fill="auto"/>
          </w:tcPr>
          <w:p w14:paraId="3E84E8D3"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Jurisdictional land tenure datasets from relevant land titles registries and spatial data agencies, then</w:t>
            </w:r>
          </w:p>
          <w:p w14:paraId="0BE4ADC3"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National land tenure data from PSMA Australia Limited</w:t>
            </w:r>
            <w:r w:rsidRPr="007C75FE">
              <w:rPr>
                <w:rFonts w:asciiTheme="majorHAnsi" w:eastAsia="Times New Roman" w:hAnsiTheme="majorHAnsi" w:cs="Calibri"/>
                <w:color w:val="000000"/>
                <w:sz w:val="20"/>
                <w:szCs w:val="20"/>
                <w:vertAlign w:val="superscript"/>
                <w:lang w:eastAsia="en-AU"/>
              </w:rPr>
              <w:footnoteReference w:id="3"/>
            </w:r>
            <w:r w:rsidRPr="007C75FE">
              <w:rPr>
                <w:rFonts w:asciiTheme="majorHAnsi" w:eastAsia="Times New Roman" w:hAnsiTheme="majorHAnsi" w:cs="Calibri"/>
                <w:color w:val="000000"/>
                <w:sz w:val="20"/>
                <w:szCs w:val="20"/>
                <w:lang w:eastAsia="en-AU"/>
              </w:rPr>
              <w:t xml:space="preserve"> (2019), then</w:t>
            </w:r>
          </w:p>
          <w:p w14:paraId="5EEAD3C6"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Tenure of Australia’s Forests (2018), as used for SOFR 2018.</w:t>
            </w:r>
          </w:p>
        </w:tc>
        <w:tc>
          <w:tcPr>
            <w:tcW w:w="4390" w:type="dxa"/>
            <w:tcBorders>
              <w:right w:val="nil"/>
            </w:tcBorders>
            <w:shd w:val="clear" w:color="auto" w:fill="auto"/>
          </w:tcPr>
          <w:p w14:paraId="71CB4D23" w14:textId="77777777" w:rsidR="006268F3" w:rsidRPr="007C75FE" w:rsidRDefault="006268F3" w:rsidP="006268F3">
            <w:pPr>
              <w:shd w:val="clear" w:color="auto" w:fill="FFFFFF"/>
              <w:spacing w:before="20" w:after="20"/>
              <w:rPr>
                <w:rFonts w:asciiTheme="majorHAnsi" w:eastAsia="Times New Roman" w:hAnsiTheme="majorHAnsi" w:cs="Calibri"/>
                <w:sz w:val="20"/>
                <w:szCs w:val="20"/>
                <w:highlight w:val="yellow"/>
                <w:lang w:eastAsia="en-AU"/>
              </w:rPr>
            </w:pPr>
            <w:r w:rsidRPr="007C75FE">
              <w:rPr>
                <w:rFonts w:asciiTheme="majorHAnsi" w:eastAsia="Times New Roman" w:hAnsiTheme="majorHAnsi" w:cs="Calibri"/>
                <w:sz w:val="20"/>
                <w:szCs w:val="20"/>
                <w:lang w:eastAsia="en-AU"/>
              </w:rPr>
              <w:t>The process to allocate tenure categories to the NFI 2021 forest cover dataset used a combination of national tenure information from PSMA, and data from all jurisdictions. Data sources used for each jurisdiction were prioritised based on the assessed accuracy of each dataset.</w:t>
            </w:r>
          </w:p>
        </w:tc>
      </w:tr>
      <w:tr w:rsidR="006268F3" w:rsidRPr="007C75FE" w14:paraId="7B72630C" w14:textId="77777777" w:rsidTr="00B21858">
        <w:trPr>
          <w:cantSplit/>
        </w:trPr>
        <w:tc>
          <w:tcPr>
            <w:tcW w:w="1881" w:type="dxa"/>
            <w:tcBorders>
              <w:left w:val="nil"/>
            </w:tcBorders>
            <w:shd w:val="clear" w:color="auto" w:fill="auto"/>
          </w:tcPr>
          <w:p w14:paraId="0535D578" w14:textId="77777777" w:rsidR="006268F3" w:rsidRPr="007C75FE" w:rsidRDefault="006268F3" w:rsidP="006268F3">
            <w:pPr>
              <w:shd w:val="clear" w:color="auto" w:fill="FFFFFF"/>
              <w:spacing w:before="20" w:after="20"/>
              <w:rPr>
                <w:rFonts w:asciiTheme="majorHAnsi" w:eastAsia="Times New Roman" w:hAnsiTheme="majorHAnsi" w:cs="Calibri"/>
                <w:sz w:val="20"/>
                <w:szCs w:val="20"/>
                <w:lang w:eastAsia="en-AU"/>
              </w:rPr>
            </w:pPr>
            <w:r w:rsidRPr="007C75FE">
              <w:rPr>
                <w:rFonts w:asciiTheme="majorHAnsi" w:eastAsia="Times New Roman" w:hAnsiTheme="majorHAnsi" w:cs="Calibri"/>
                <w:sz w:val="20"/>
                <w:szCs w:val="20"/>
                <w:lang w:eastAsia="en-AU"/>
              </w:rPr>
              <w:t>Forest height and cover</w:t>
            </w:r>
          </w:p>
        </w:tc>
        <w:tc>
          <w:tcPr>
            <w:tcW w:w="2755" w:type="dxa"/>
            <w:shd w:val="clear" w:color="auto" w:fill="auto"/>
          </w:tcPr>
          <w:p w14:paraId="7D4B1AC8"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color w:val="000000"/>
                <w:sz w:val="20"/>
                <w:szCs w:val="20"/>
                <w:lang w:eastAsia="en-AU"/>
              </w:rPr>
              <w:t>NVIS 6.0, then</w:t>
            </w:r>
          </w:p>
          <w:p w14:paraId="454F61B8"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noProof/>
                <w:color w:val="000000"/>
                <w:sz w:val="20"/>
                <w:szCs w:val="20"/>
                <w:lang w:eastAsia="en-AU"/>
              </w:rPr>
              <w:t xml:space="preserve">Tasmania Forest Communities with NVIS Groups 2020, then </w:t>
            </w:r>
          </w:p>
          <w:p w14:paraId="11649B73" w14:textId="77777777" w:rsidR="006268F3" w:rsidRPr="007C75FE" w:rsidRDefault="006268F3" w:rsidP="00F6789F">
            <w:pPr>
              <w:numPr>
                <w:ilvl w:val="0"/>
                <w:numId w:val="19"/>
              </w:numPr>
              <w:shd w:val="clear" w:color="auto" w:fill="FFFFFF"/>
              <w:spacing w:before="20" w:after="20"/>
              <w:ind w:left="142" w:hanging="142"/>
              <w:rPr>
                <w:rFonts w:asciiTheme="majorHAnsi" w:eastAsia="Times New Roman" w:hAnsiTheme="majorHAnsi" w:cs="Calibri"/>
                <w:color w:val="000000"/>
                <w:sz w:val="20"/>
                <w:szCs w:val="20"/>
                <w:lang w:eastAsia="en-AU"/>
              </w:rPr>
            </w:pPr>
            <w:r w:rsidRPr="007C75FE">
              <w:rPr>
                <w:rFonts w:asciiTheme="majorHAnsi" w:eastAsia="Times New Roman" w:hAnsiTheme="majorHAnsi" w:cs="Calibri"/>
                <w:noProof/>
                <w:color w:val="000000"/>
                <w:sz w:val="20"/>
                <w:szCs w:val="20"/>
                <w:lang w:eastAsia="en-AU"/>
              </w:rPr>
              <w:t xml:space="preserve">SOFR 2018. </w:t>
            </w:r>
          </w:p>
        </w:tc>
        <w:tc>
          <w:tcPr>
            <w:tcW w:w="4390" w:type="dxa"/>
            <w:tcBorders>
              <w:right w:val="nil"/>
            </w:tcBorders>
            <w:shd w:val="clear" w:color="auto" w:fill="auto"/>
          </w:tcPr>
          <w:p w14:paraId="5BAC48D1" w14:textId="77777777" w:rsidR="006268F3" w:rsidRPr="007C75FE" w:rsidRDefault="006268F3" w:rsidP="006268F3">
            <w:pPr>
              <w:shd w:val="clear" w:color="auto" w:fill="FFFFFF"/>
              <w:spacing w:before="20" w:after="20"/>
              <w:rPr>
                <w:rFonts w:asciiTheme="majorHAnsi" w:eastAsia="Times New Roman" w:hAnsiTheme="majorHAnsi" w:cs="Calibri"/>
                <w:sz w:val="20"/>
                <w:szCs w:val="20"/>
                <w:lang w:eastAsia="en-AU"/>
              </w:rPr>
            </w:pPr>
          </w:p>
        </w:tc>
      </w:tr>
    </w:tbl>
    <w:p w14:paraId="6E4EBD7D" w14:textId="77777777" w:rsidR="006268F3" w:rsidRPr="007C75FE" w:rsidRDefault="006268F3" w:rsidP="006268F3">
      <w:pPr>
        <w:shd w:val="clear" w:color="auto" w:fill="FFFFFF"/>
        <w:spacing w:before="60" w:after="60"/>
        <w:rPr>
          <w:rFonts w:asciiTheme="majorHAnsi" w:eastAsia="Times New Roman" w:hAnsiTheme="majorHAnsi" w:cstheme="minorHAnsi"/>
          <w:bCs/>
          <w:kern w:val="28"/>
          <w:sz w:val="16"/>
          <w:szCs w:val="16"/>
          <w:lang w:eastAsia="en-AU"/>
        </w:rPr>
      </w:pPr>
      <w:r w:rsidRPr="007C75FE">
        <w:rPr>
          <w:rFonts w:asciiTheme="majorHAnsi" w:eastAsia="Times New Roman" w:hAnsiTheme="majorHAnsi" w:cstheme="minorHAnsi"/>
          <w:bCs/>
          <w:kern w:val="28"/>
          <w:sz w:val="16"/>
          <w:szCs w:val="16"/>
          <w:lang w:eastAsia="en-AU"/>
        </w:rPr>
        <w:t>NFI, National Forest Inventory; NPI, National Plantation Inventory; NVIS, National Vegetation Information System; PSMA, PSMA Australia Ltd; TASVEG, Tasmanian Vegetation Monitoring and Mapping Program.</w:t>
      </w:r>
    </w:p>
    <w:p w14:paraId="54ED96F4" w14:textId="39C4FCB6" w:rsidR="006C2652" w:rsidRDefault="006C2652">
      <w:pPr>
        <w:spacing w:before="0"/>
        <w:rPr>
          <w:rFonts w:asciiTheme="minorHAnsi" w:hAnsiTheme="minorHAnsi" w:cstheme="minorHAnsi"/>
          <w:b/>
          <w:sz w:val="18"/>
          <w:szCs w:val="18"/>
          <w:lang w:eastAsia="ja-JP"/>
        </w:rPr>
      </w:pPr>
      <w:r>
        <w:rPr>
          <w:rFonts w:asciiTheme="minorHAnsi" w:hAnsiTheme="minorHAnsi" w:cstheme="minorHAnsi"/>
          <w:b/>
          <w:sz w:val="18"/>
          <w:szCs w:val="18"/>
          <w:lang w:eastAsia="ja-JP"/>
        </w:rPr>
        <w:br w:type="page"/>
      </w:r>
    </w:p>
    <w:p w14:paraId="551FA570" w14:textId="77777777" w:rsidR="006C2652" w:rsidRDefault="006C2652" w:rsidP="00314057">
      <w:pPr>
        <w:spacing w:before="40" w:after="40"/>
        <w:rPr>
          <w:rFonts w:asciiTheme="minorHAnsi" w:hAnsiTheme="minorHAnsi" w:cstheme="minorHAnsi"/>
          <w:b/>
          <w:sz w:val="18"/>
          <w:szCs w:val="18"/>
          <w:lang w:eastAsia="ja-JP"/>
        </w:rPr>
      </w:pPr>
    </w:p>
    <w:p w14:paraId="4F78AC36" w14:textId="284A3E1C" w:rsidR="00AD010B" w:rsidRPr="00AD010B" w:rsidRDefault="00AD010B" w:rsidP="00AD010B">
      <w:pPr>
        <w:shd w:val="clear" w:color="auto" w:fill="FFFFFF"/>
        <w:rPr>
          <w:rFonts w:asciiTheme="majorHAnsi" w:hAnsiTheme="majorHAnsi" w:cstheme="minorHAnsi"/>
          <w:b/>
          <w:bCs/>
          <w:color w:val="000000" w:themeColor="text1"/>
          <w:sz w:val="20"/>
          <w:szCs w:val="20"/>
        </w:rPr>
      </w:pPr>
      <w:r w:rsidRPr="00AD010B">
        <w:rPr>
          <w:rFonts w:asciiTheme="majorHAnsi" w:hAnsiTheme="majorHAnsi" w:cstheme="minorHAnsi"/>
          <w:b/>
          <w:bCs/>
          <w:color w:val="000000" w:themeColor="text1"/>
          <w:sz w:val="20"/>
          <w:szCs w:val="20"/>
        </w:rPr>
        <w:t xml:space="preserve">Table 3: RGB and Hexadecimal values look-up table - for forest type (For_type) colours used to display the Forests of Australia dataset series. </w:t>
      </w:r>
    </w:p>
    <w:tbl>
      <w:tblPr>
        <w:tblW w:w="8203" w:type="dxa"/>
        <w:tblCellMar>
          <w:left w:w="0" w:type="dxa"/>
          <w:right w:w="0" w:type="dxa"/>
        </w:tblCellMar>
        <w:tblLook w:val="04A0" w:firstRow="1" w:lastRow="0" w:firstColumn="1" w:lastColumn="0" w:noHBand="0" w:noVBand="1"/>
      </w:tblPr>
      <w:tblGrid>
        <w:gridCol w:w="3245"/>
        <w:gridCol w:w="661"/>
        <w:gridCol w:w="661"/>
        <w:gridCol w:w="582"/>
        <w:gridCol w:w="1527"/>
        <w:gridCol w:w="1527"/>
      </w:tblGrid>
      <w:tr w:rsidR="006C2652" w14:paraId="4DE8A8EE" w14:textId="4A2A02C6" w:rsidTr="00E22FCA">
        <w:trPr>
          <w:trHeight w:val="300"/>
          <w:tblHeader/>
        </w:trPr>
        <w:tc>
          <w:tcPr>
            <w:tcW w:w="324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6373741F" w14:textId="77777777" w:rsidR="006C2652" w:rsidRDefault="006C2652" w:rsidP="00DA3E86">
            <w:pPr>
              <w:rPr>
                <w:b/>
                <w:bCs/>
              </w:rPr>
            </w:pPr>
            <w:proofErr w:type="spellStart"/>
            <w:r>
              <w:rPr>
                <w:b/>
                <w:bCs/>
              </w:rPr>
              <w:t>For_Type</w:t>
            </w:r>
            <w:proofErr w:type="spellEnd"/>
          </w:p>
        </w:tc>
        <w:tc>
          <w:tcPr>
            <w:tcW w:w="1904" w:type="dxa"/>
            <w:gridSpan w:val="3"/>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5F3AC7AA" w14:textId="77777777" w:rsidR="006C2652" w:rsidRDefault="006C2652" w:rsidP="00DA3E86">
            <w:pPr>
              <w:jc w:val="center"/>
              <w:rPr>
                <w:b/>
                <w:bCs/>
              </w:rPr>
            </w:pPr>
            <w:r>
              <w:rPr>
                <w:b/>
                <w:bCs/>
              </w:rPr>
              <w:t>RGB value</w:t>
            </w:r>
          </w:p>
        </w:tc>
        <w:tc>
          <w:tcPr>
            <w:tcW w:w="1527"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6D0AAF01" w14:textId="77777777" w:rsidR="006C2652" w:rsidRDefault="006C2652" w:rsidP="00DA3E86">
            <w:pPr>
              <w:rPr>
                <w:b/>
                <w:bCs/>
              </w:rPr>
            </w:pPr>
            <w:r>
              <w:rPr>
                <w:b/>
                <w:bCs/>
              </w:rPr>
              <w:t>Hexadecimal value</w:t>
            </w:r>
          </w:p>
        </w:tc>
        <w:tc>
          <w:tcPr>
            <w:tcW w:w="1527" w:type="dxa"/>
            <w:vMerge w:val="restart"/>
            <w:tcBorders>
              <w:top w:val="single" w:sz="8" w:space="0" w:color="auto"/>
              <w:left w:val="nil"/>
              <w:right w:val="single" w:sz="8" w:space="0" w:color="auto"/>
            </w:tcBorders>
          </w:tcPr>
          <w:p w14:paraId="48B94610" w14:textId="42FC6771" w:rsidR="006C2652" w:rsidRDefault="006C2652" w:rsidP="00DA3E86">
            <w:pPr>
              <w:rPr>
                <w:b/>
                <w:bCs/>
              </w:rPr>
            </w:pPr>
            <w:r>
              <w:rPr>
                <w:b/>
                <w:bCs/>
              </w:rPr>
              <w:t xml:space="preserve"> </w:t>
            </w:r>
            <w:r w:rsidRPr="006C2652">
              <w:rPr>
                <w:b/>
                <w:bCs/>
              </w:rPr>
              <w:t>Colour</w:t>
            </w:r>
          </w:p>
        </w:tc>
      </w:tr>
      <w:tr w:rsidR="006C2652" w14:paraId="4D58E1C9" w14:textId="06C1AF61" w:rsidTr="00E22FCA">
        <w:trPr>
          <w:trHeight w:val="300"/>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1A59E21" w14:textId="77777777" w:rsidR="006C2652" w:rsidRDefault="006C2652" w:rsidP="00DA3E86">
            <w:pPr>
              <w:rPr>
                <w:rFonts w:eastAsiaTheme="minorHAnsi" w:cs="Calibri"/>
                <w:b/>
                <w:bCs/>
                <w14:ligatures w14:val="standardContextual"/>
              </w:rPr>
            </w:pPr>
          </w:p>
        </w:tc>
        <w:tc>
          <w:tcPr>
            <w:tcW w:w="661" w:type="dxa"/>
            <w:tcBorders>
              <w:top w:val="nil"/>
              <w:left w:val="nil"/>
              <w:bottom w:val="single" w:sz="8" w:space="0" w:color="auto"/>
              <w:right w:val="single" w:sz="8" w:space="0" w:color="auto"/>
            </w:tcBorders>
            <w:noWrap/>
            <w:tcMar>
              <w:top w:w="0" w:type="dxa"/>
              <w:left w:w="108" w:type="dxa"/>
              <w:bottom w:w="0" w:type="dxa"/>
              <w:right w:w="108" w:type="dxa"/>
            </w:tcMar>
            <w:hideMark/>
          </w:tcPr>
          <w:p w14:paraId="79B058DD" w14:textId="77777777" w:rsidR="006C2652" w:rsidRDefault="006C2652" w:rsidP="00DA3E86">
            <w:pPr>
              <w:jc w:val="center"/>
              <w:rPr>
                <w:b/>
                <w:bCs/>
              </w:rPr>
            </w:pPr>
            <w:r>
              <w:rPr>
                <w:b/>
                <w:bCs/>
              </w:rPr>
              <w:t>R</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hideMark/>
          </w:tcPr>
          <w:p w14:paraId="7D4E004E" w14:textId="77777777" w:rsidR="006C2652" w:rsidRDefault="006C2652" w:rsidP="00DA3E86">
            <w:pPr>
              <w:jc w:val="center"/>
              <w:rPr>
                <w:b/>
                <w:bCs/>
              </w:rPr>
            </w:pPr>
            <w:r>
              <w:rPr>
                <w:b/>
                <w:bCs/>
              </w:rPr>
              <w:t>G</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hideMark/>
          </w:tcPr>
          <w:p w14:paraId="346EB170" w14:textId="77777777" w:rsidR="006C2652" w:rsidRDefault="006C2652" w:rsidP="00DA3E86">
            <w:pPr>
              <w:jc w:val="center"/>
              <w:rPr>
                <w:b/>
                <w:bCs/>
              </w:rPr>
            </w:pPr>
            <w:r>
              <w:rPr>
                <w:b/>
                <w:bCs/>
              </w:rPr>
              <w:t>B</w:t>
            </w:r>
          </w:p>
        </w:tc>
        <w:tc>
          <w:tcPr>
            <w:tcW w:w="0" w:type="auto"/>
            <w:vMerge/>
            <w:tcBorders>
              <w:top w:val="single" w:sz="8" w:space="0" w:color="auto"/>
              <w:left w:val="nil"/>
              <w:bottom w:val="single" w:sz="8" w:space="0" w:color="auto"/>
              <w:right w:val="single" w:sz="8" w:space="0" w:color="auto"/>
            </w:tcBorders>
            <w:vAlign w:val="center"/>
            <w:hideMark/>
          </w:tcPr>
          <w:p w14:paraId="1599EE55" w14:textId="77777777" w:rsidR="006C2652" w:rsidRDefault="006C2652" w:rsidP="00DA3E86">
            <w:pPr>
              <w:rPr>
                <w:rFonts w:eastAsiaTheme="minorHAnsi" w:cs="Calibri"/>
                <w:b/>
                <w:bCs/>
              </w:rPr>
            </w:pPr>
          </w:p>
        </w:tc>
        <w:tc>
          <w:tcPr>
            <w:tcW w:w="0" w:type="auto"/>
            <w:vMerge/>
            <w:tcBorders>
              <w:left w:val="nil"/>
              <w:bottom w:val="single" w:sz="8" w:space="0" w:color="auto"/>
              <w:right w:val="single" w:sz="8" w:space="0" w:color="auto"/>
            </w:tcBorders>
          </w:tcPr>
          <w:p w14:paraId="4F71CE5D" w14:textId="6410235F" w:rsidR="006C2652" w:rsidRDefault="006C2652" w:rsidP="00DA3E86">
            <w:pPr>
              <w:rPr>
                <w:rFonts w:eastAsiaTheme="minorHAnsi" w:cs="Calibri"/>
                <w:b/>
                <w:bCs/>
              </w:rPr>
            </w:pPr>
          </w:p>
        </w:tc>
      </w:tr>
      <w:tr w:rsidR="006C2652" w14:paraId="5200ADC9" w14:textId="5C06B37B"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5DAAA9E" w14:textId="77777777" w:rsidR="006C2652" w:rsidRDefault="006C2652" w:rsidP="006C2652">
            <w:pPr>
              <w:spacing w:beforeLines="20" w:before="48" w:afterLines="20" w:after="48"/>
            </w:pPr>
            <w:r>
              <w:t>Acacia</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D05DFF" w14:textId="77777777" w:rsidR="006C2652" w:rsidRDefault="006C2652" w:rsidP="006C2652">
            <w:pPr>
              <w:spacing w:beforeLines="20" w:before="48" w:afterLines="20" w:after="48"/>
              <w:jc w:val="center"/>
            </w:pPr>
            <w:r>
              <w:t>204</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B2B703" w14:textId="77777777" w:rsidR="006C2652" w:rsidRDefault="006C2652" w:rsidP="006C2652">
            <w:pPr>
              <w:spacing w:beforeLines="20" w:before="48" w:afterLines="20" w:after="48"/>
              <w:jc w:val="center"/>
            </w:pPr>
            <w:r>
              <w:t>173</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723AA7B"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E5019F6" w14:textId="6990665A" w:rsidR="006C2652" w:rsidRDefault="006C2652" w:rsidP="006C2652">
            <w:pPr>
              <w:spacing w:beforeLines="20" w:before="48" w:afterLines="20" w:after="48"/>
              <w:rPr>
                <w:color w:val="000000"/>
              </w:rPr>
            </w:pPr>
            <w:r>
              <w:rPr>
                <w:color w:val="000000"/>
              </w:rPr>
              <w:t>#ccad00</w:t>
            </w:r>
          </w:p>
        </w:tc>
        <w:tc>
          <w:tcPr>
            <w:tcW w:w="1527" w:type="dxa"/>
            <w:tcBorders>
              <w:top w:val="nil"/>
              <w:left w:val="nil"/>
              <w:bottom w:val="single" w:sz="8" w:space="0" w:color="auto"/>
              <w:right w:val="single" w:sz="8" w:space="0" w:color="auto"/>
            </w:tcBorders>
            <w:shd w:val="clear" w:color="auto" w:fill="CCAD00"/>
            <w:vAlign w:val="center"/>
          </w:tcPr>
          <w:p w14:paraId="08204C87" w14:textId="77777777" w:rsidR="006C2652" w:rsidRDefault="006C2652" w:rsidP="006C2652">
            <w:pPr>
              <w:spacing w:beforeLines="20" w:before="48" w:afterLines="20" w:after="48"/>
              <w:rPr>
                <w:color w:val="000000"/>
              </w:rPr>
            </w:pPr>
          </w:p>
        </w:tc>
      </w:tr>
      <w:tr w:rsidR="006C2652" w14:paraId="77BE9AFD" w14:textId="5A249E86"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F17D36E" w14:textId="77777777" w:rsidR="006C2652" w:rsidRDefault="006C2652" w:rsidP="006C2652">
            <w:pPr>
              <w:spacing w:beforeLines="20" w:before="48" w:afterLines="20" w:after="48"/>
            </w:pPr>
            <w:r>
              <w:t>Callitris</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1713E1" w14:textId="77777777" w:rsidR="006C2652" w:rsidRDefault="006C2652" w:rsidP="006C2652">
            <w:pPr>
              <w:spacing w:beforeLines="20" w:before="48" w:afterLines="20" w:after="48"/>
              <w:jc w:val="center"/>
            </w:pPr>
            <w:r>
              <w:t>20</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0626E64" w14:textId="77777777" w:rsidR="006C2652" w:rsidRDefault="006C2652" w:rsidP="006C2652">
            <w:pPr>
              <w:spacing w:beforeLines="20" w:before="48" w:afterLines="20" w:after="48"/>
              <w:jc w:val="center"/>
            </w:pPr>
            <w:r>
              <w:t>130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31A906" w14:textId="77777777" w:rsidR="006C2652" w:rsidRDefault="006C2652" w:rsidP="006C2652">
            <w:pPr>
              <w:spacing w:beforeLines="20" w:before="48" w:afterLines="20" w:after="48"/>
              <w:jc w:val="center"/>
            </w:pPr>
            <w:r>
              <w:t>255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B2E3BF3" w14:textId="63B37D55" w:rsidR="006C2652" w:rsidRDefault="006C2652" w:rsidP="006C2652">
            <w:pPr>
              <w:spacing w:beforeLines="20" w:before="48" w:afterLines="20" w:after="48"/>
              <w:rPr>
                <w:color w:val="000000"/>
              </w:rPr>
            </w:pPr>
            <w:r>
              <w:rPr>
                <w:color w:val="000000"/>
              </w:rPr>
              <w:t>#1482ff</w:t>
            </w:r>
          </w:p>
        </w:tc>
        <w:tc>
          <w:tcPr>
            <w:tcW w:w="1527" w:type="dxa"/>
            <w:tcBorders>
              <w:top w:val="nil"/>
              <w:left w:val="nil"/>
              <w:bottom w:val="single" w:sz="8" w:space="0" w:color="auto"/>
              <w:right w:val="single" w:sz="8" w:space="0" w:color="auto"/>
            </w:tcBorders>
            <w:shd w:val="clear" w:color="auto" w:fill="1482FF"/>
            <w:vAlign w:val="center"/>
          </w:tcPr>
          <w:p w14:paraId="49E25F75" w14:textId="77777777" w:rsidR="006C2652" w:rsidRDefault="006C2652" w:rsidP="006C2652">
            <w:pPr>
              <w:spacing w:beforeLines="20" w:before="48" w:afterLines="20" w:after="48"/>
              <w:rPr>
                <w:color w:val="000000"/>
              </w:rPr>
            </w:pPr>
          </w:p>
        </w:tc>
      </w:tr>
      <w:tr w:rsidR="006C2652" w14:paraId="75773470" w14:textId="0C74F11C"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64CC136" w14:textId="77777777" w:rsidR="006C2652" w:rsidRDefault="006C2652" w:rsidP="006C2652">
            <w:pPr>
              <w:spacing w:beforeLines="20" w:before="48" w:afterLines="20" w:after="48"/>
            </w:pPr>
            <w:r>
              <w:t>Casuarina</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9D24A3" w14:textId="77777777" w:rsidR="006C2652" w:rsidRDefault="006C2652" w:rsidP="006C2652">
            <w:pPr>
              <w:spacing w:beforeLines="20" w:before="48" w:afterLines="20" w:after="48"/>
              <w:jc w:val="center"/>
            </w:pPr>
            <w:r>
              <w:t>115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9349E6" w14:textId="77777777" w:rsidR="006C2652" w:rsidRDefault="006C2652" w:rsidP="006C2652">
            <w:pPr>
              <w:spacing w:beforeLines="20" w:before="48" w:afterLines="20" w:after="48"/>
              <w:jc w:val="center"/>
            </w:pPr>
            <w:r>
              <w:t>38</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86B761"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035A7E8" w14:textId="77DC22A2" w:rsidR="006C2652" w:rsidRDefault="006C2652" w:rsidP="006C2652">
            <w:pPr>
              <w:spacing w:beforeLines="20" w:before="48" w:afterLines="20" w:after="48"/>
              <w:rPr>
                <w:color w:val="000000"/>
              </w:rPr>
            </w:pPr>
            <w:r>
              <w:rPr>
                <w:color w:val="000000"/>
              </w:rPr>
              <w:t>#732600</w:t>
            </w:r>
          </w:p>
        </w:tc>
        <w:tc>
          <w:tcPr>
            <w:tcW w:w="1527" w:type="dxa"/>
            <w:tcBorders>
              <w:top w:val="nil"/>
              <w:left w:val="nil"/>
              <w:bottom w:val="single" w:sz="8" w:space="0" w:color="auto"/>
              <w:right w:val="single" w:sz="8" w:space="0" w:color="auto"/>
            </w:tcBorders>
            <w:shd w:val="clear" w:color="auto" w:fill="732600"/>
            <w:vAlign w:val="center"/>
          </w:tcPr>
          <w:p w14:paraId="7D527E55" w14:textId="77777777" w:rsidR="006C2652" w:rsidRDefault="006C2652" w:rsidP="006C2652">
            <w:pPr>
              <w:spacing w:beforeLines="20" w:before="48" w:afterLines="20" w:after="48"/>
              <w:rPr>
                <w:color w:val="000000"/>
              </w:rPr>
            </w:pPr>
          </w:p>
        </w:tc>
      </w:tr>
      <w:tr w:rsidR="006C2652" w14:paraId="1F31F054" w14:textId="60C587CD"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9239FA0" w14:textId="77777777" w:rsidR="006C2652" w:rsidRDefault="006C2652" w:rsidP="006C2652">
            <w:pPr>
              <w:spacing w:beforeLines="20" w:before="48" w:afterLines="20" w:after="48"/>
            </w:pPr>
            <w:r>
              <w:t>Eucalypt</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AFAF8A" w14:textId="77777777" w:rsidR="006C2652" w:rsidRDefault="006C2652" w:rsidP="006C2652">
            <w:pPr>
              <w:spacing w:beforeLines="20" w:before="48" w:afterLines="20" w:after="48"/>
              <w:jc w:val="center"/>
            </w:pPr>
            <w:r>
              <w:t>47</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EE290E" w14:textId="77777777" w:rsidR="006C2652" w:rsidRDefault="006C2652" w:rsidP="006C2652">
            <w:pPr>
              <w:spacing w:beforeLines="20" w:before="48" w:afterLines="20" w:after="48"/>
              <w:jc w:val="center"/>
            </w:pPr>
            <w:r>
              <w:t>141</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A9FBD1"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F2E52F9" w14:textId="53298B40" w:rsidR="006C2652" w:rsidRDefault="006C2652" w:rsidP="006C2652">
            <w:pPr>
              <w:spacing w:beforeLines="20" w:before="48" w:afterLines="20" w:after="48"/>
              <w:rPr>
                <w:color w:val="000000"/>
              </w:rPr>
            </w:pPr>
            <w:r>
              <w:rPr>
                <w:color w:val="000000"/>
              </w:rPr>
              <w:t>#2f8d00</w:t>
            </w:r>
          </w:p>
        </w:tc>
        <w:tc>
          <w:tcPr>
            <w:tcW w:w="1527" w:type="dxa"/>
            <w:tcBorders>
              <w:top w:val="nil"/>
              <w:left w:val="nil"/>
              <w:bottom w:val="single" w:sz="8" w:space="0" w:color="auto"/>
              <w:right w:val="single" w:sz="8" w:space="0" w:color="auto"/>
            </w:tcBorders>
            <w:shd w:val="clear" w:color="auto" w:fill="2F8D00"/>
            <w:vAlign w:val="center"/>
          </w:tcPr>
          <w:p w14:paraId="14F7A64E" w14:textId="77777777" w:rsidR="006C2652" w:rsidRDefault="006C2652" w:rsidP="006C2652">
            <w:pPr>
              <w:spacing w:beforeLines="20" w:before="48" w:afterLines="20" w:after="48"/>
              <w:rPr>
                <w:color w:val="000000"/>
              </w:rPr>
            </w:pPr>
          </w:p>
        </w:tc>
      </w:tr>
      <w:tr w:rsidR="006C2652" w14:paraId="4E61DB7B" w14:textId="7BB3C836"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9DD8022" w14:textId="77777777" w:rsidR="006C2652" w:rsidRDefault="006C2652" w:rsidP="006C2652">
            <w:pPr>
              <w:spacing w:beforeLines="20" w:before="48" w:afterLines="20" w:after="48"/>
            </w:pPr>
            <w:r>
              <w:t>Eucalypt Low Closed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898C58" w14:textId="77777777" w:rsidR="006C2652" w:rsidRDefault="006C2652" w:rsidP="006C2652">
            <w:pPr>
              <w:spacing w:beforeLines="20" w:before="48" w:afterLines="20" w:after="48"/>
              <w:jc w:val="center"/>
            </w:pPr>
            <w:r>
              <w:t>152</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4D9C657" w14:textId="77777777" w:rsidR="006C2652" w:rsidRDefault="006C2652" w:rsidP="006C2652">
            <w:pPr>
              <w:spacing w:beforeLines="20" w:before="48" w:afterLines="20" w:after="48"/>
              <w:jc w:val="center"/>
            </w:pPr>
            <w:r>
              <w:t>251</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ABE31" w14:textId="77777777" w:rsidR="006C2652" w:rsidRDefault="006C2652" w:rsidP="006C2652">
            <w:pPr>
              <w:spacing w:beforeLines="20" w:before="48" w:afterLines="20" w:after="48"/>
              <w:jc w:val="center"/>
            </w:pPr>
            <w:r>
              <w:t>152</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87F1553" w14:textId="7BCFED63" w:rsidR="006C2652" w:rsidRDefault="006C2652" w:rsidP="006C2652">
            <w:pPr>
              <w:spacing w:beforeLines="20" w:before="48" w:afterLines="20" w:after="48"/>
              <w:rPr>
                <w:color w:val="000000"/>
              </w:rPr>
            </w:pPr>
            <w:r>
              <w:rPr>
                <w:color w:val="000000"/>
              </w:rPr>
              <w:t>#98fb98</w:t>
            </w:r>
          </w:p>
        </w:tc>
        <w:tc>
          <w:tcPr>
            <w:tcW w:w="1527" w:type="dxa"/>
            <w:tcBorders>
              <w:top w:val="nil"/>
              <w:left w:val="nil"/>
              <w:bottom w:val="single" w:sz="8" w:space="0" w:color="auto"/>
              <w:right w:val="single" w:sz="8" w:space="0" w:color="auto"/>
            </w:tcBorders>
            <w:shd w:val="clear" w:color="auto" w:fill="98FB98"/>
            <w:vAlign w:val="center"/>
          </w:tcPr>
          <w:p w14:paraId="3B14C391" w14:textId="77777777" w:rsidR="006C2652" w:rsidRDefault="006C2652" w:rsidP="006C2652">
            <w:pPr>
              <w:spacing w:beforeLines="20" w:before="48" w:afterLines="20" w:after="48"/>
              <w:rPr>
                <w:color w:val="000000"/>
              </w:rPr>
            </w:pPr>
          </w:p>
        </w:tc>
      </w:tr>
      <w:tr w:rsidR="006C2652" w14:paraId="5A7FFB14" w14:textId="269F6692"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B2DDEB8" w14:textId="77777777" w:rsidR="006C2652" w:rsidRDefault="006C2652" w:rsidP="006C2652">
            <w:pPr>
              <w:spacing w:beforeLines="20" w:before="48" w:afterLines="20" w:after="48"/>
            </w:pPr>
            <w:r>
              <w:t>Eucalypt Low Open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C5F4F0" w14:textId="77777777" w:rsidR="006C2652" w:rsidRDefault="006C2652" w:rsidP="006C2652">
            <w:pPr>
              <w:spacing w:beforeLines="20" w:before="48" w:afterLines="20" w:after="48"/>
              <w:jc w:val="center"/>
            </w:pPr>
            <w:r>
              <w:t>84</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526897" w14:textId="77777777" w:rsidR="006C2652" w:rsidRDefault="006C2652" w:rsidP="006C2652">
            <w:pPr>
              <w:spacing w:beforeLines="20" w:before="48" w:afterLines="20" w:after="48"/>
              <w:jc w:val="center"/>
            </w:pPr>
            <w:r>
              <w:t>106</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8334AF" w14:textId="77777777" w:rsidR="006C2652" w:rsidRDefault="006C2652" w:rsidP="006C2652">
            <w:pPr>
              <w:spacing w:beforeLines="20" w:before="48" w:afterLines="20" w:after="48"/>
              <w:jc w:val="center"/>
            </w:pPr>
            <w:r>
              <w:t>47</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88F086" w14:textId="72D2F8AE" w:rsidR="006C2652" w:rsidRDefault="006C2652" w:rsidP="006C2652">
            <w:pPr>
              <w:spacing w:beforeLines="20" w:before="48" w:afterLines="20" w:after="48"/>
              <w:rPr>
                <w:color w:val="000000"/>
              </w:rPr>
            </w:pPr>
            <w:r>
              <w:rPr>
                <w:color w:val="000000"/>
              </w:rPr>
              <w:t>#546a2f</w:t>
            </w:r>
          </w:p>
        </w:tc>
        <w:tc>
          <w:tcPr>
            <w:tcW w:w="1527" w:type="dxa"/>
            <w:tcBorders>
              <w:top w:val="nil"/>
              <w:left w:val="nil"/>
              <w:bottom w:val="single" w:sz="8" w:space="0" w:color="auto"/>
              <w:right w:val="single" w:sz="8" w:space="0" w:color="auto"/>
            </w:tcBorders>
            <w:shd w:val="clear" w:color="auto" w:fill="546A2F"/>
            <w:vAlign w:val="center"/>
          </w:tcPr>
          <w:p w14:paraId="4C2EC129" w14:textId="77777777" w:rsidR="006C2652" w:rsidRDefault="006C2652" w:rsidP="006C2652">
            <w:pPr>
              <w:spacing w:beforeLines="20" w:before="48" w:afterLines="20" w:after="48"/>
              <w:rPr>
                <w:color w:val="000000"/>
              </w:rPr>
            </w:pPr>
          </w:p>
        </w:tc>
      </w:tr>
      <w:tr w:rsidR="006C2652" w14:paraId="7F12AC28" w14:textId="38B51EBB"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D00329" w14:textId="77777777" w:rsidR="006C2652" w:rsidRDefault="006C2652" w:rsidP="006C2652">
            <w:pPr>
              <w:spacing w:beforeLines="20" w:before="48" w:afterLines="20" w:after="48"/>
            </w:pPr>
            <w:r>
              <w:t>Eucalypt Low Woodland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162506" w14:textId="77777777" w:rsidR="006C2652" w:rsidRDefault="006C2652" w:rsidP="006C2652">
            <w:pPr>
              <w:spacing w:beforeLines="20" w:before="48" w:afterLines="20" w:after="48"/>
              <w:jc w:val="center"/>
            </w:pPr>
            <w:r>
              <w:t>122</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704AA" w14:textId="77777777" w:rsidR="006C2652" w:rsidRDefault="006C2652" w:rsidP="006C2652">
            <w:pPr>
              <w:spacing w:beforeLines="20" w:before="48" w:afterLines="20" w:after="48"/>
              <w:jc w:val="center"/>
            </w:pPr>
            <w:r>
              <w:t>196</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9AAB0D" w14:textId="77777777" w:rsidR="006C2652" w:rsidRDefault="006C2652" w:rsidP="006C2652">
            <w:pPr>
              <w:spacing w:beforeLines="20" w:before="48" w:afterLines="20" w:after="48"/>
              <w:jc w:val="center"/>
            </w:pPr>
            <w:r>
              <w:t>205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A0DB87" w14:textId="229B2605" w:rsidR="006C2652" w:rsidRDefault="006C2652" w:rsidP="006C2652">
            <w:pPr>
              <w:spacing w:beforeLines="20" w:before="48" w:afterLines="20" w:after="48"/>
              <w:rPr>
                <w:color w:val="000000"/>
              </w:rPr>
            </w:pPr>
            <w:r>
              <w:rPr>
                <w:color w:val="000000"/>
              </w:rPr>
              <w:t>#7ac4cd</w:t>
            </w:r>
          </w:p>
        </w:tc>
        <w:tc>
          <w:tcPr>
            <w:tcW w:w="1527" w:type="dxa"/>
            <w:tcBorders>
              <w:top w:val="nil"/>
              <w:left w:val="nil"/>
              <w:bottom w:val="single" w:sz="8" w:space="0" w:color="auto"/>
              <w:right w:val="single" w:sz="8" w:space="0" w:color="auto"/>
            </w:tcBorders>
            <w:shd w:val="clear" w:color="auto" w:fill="7AC4CD"/>
            <w:vAlign w:val="center"/>
          </w:tcPr>
          <w:p w14:paraId="1768C7CC" w14:textId="77777777" w:rsidR="006C2652" w:rsidRDefault="006C2652" w:rsidP="006C2652">
            <w:pPr>
              <w:spacing w:beforeLines="20" w:before="48" w:afterLines="20" w:after="48"/>
              <w:rPr>
                <w:color w:val="000000"/>
              </w:rPr>
            </w:pPr>
          </w:p>
        </w:tc>
      </w:tr>
      <w:tr w:rsidR="006C2652" w14:paraId="7FBA3EBE" w14:textId="29C5AB1D" w:rsidTr="006C2652">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A638873" w14:textId="77777777" w:rsidR="006C2652" w:rsidRDefault="006C2652" w:rsidP="006C2652">
            <w:pPr>
              <w:spacing w:beforeLines="20" w:before="48" w:afterLines="20" w:after="48"/>
            </w:pPr>
            <w:r>
              <w:t>Eucalypt Mallee Open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7765874" w14:textId="77777777" w:rsidR="006C2652" w:rsidRDefault="006C2652" w:rsidP="006C2652">
            <w:pPr>
              <w:spacing w:beforeLines="20" w:before="48" w:afterLines="20" w:after="48"/>
              <w:jc w:val="center"/>
            </w:pPr>
            <w:r>
              <w:t>205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2C2838" w14:textId="77777777" w:rsidR="006C2652" w:rsidRDefault="006C2652" w:rsidP="006C2652">
            <w:pPr>
              <w:spacing w:beforeLines="20" w:before="48" w:afterLines="20" w:after="48"/>
              <w:jc w:val="center"/>
            </w:pPr>
            <w:r>
              <w:t>102</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0FAA28" w14:textId="77777777" w:rsidR="006C2652" w:rsidRDefault="006C2652" w:rsidP="006C2652">
            <w:pPr>
              <w:spacing w:beforeLines="20" w:before="48" w:afterLines="20" w:after="48"/>
              <w:jc w:val="center"/>
            </w:pPr>
            <w:r>
              <w:t>102</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AFFBB1E" w14:textId="350E5C91" w:rsidR="006C2652" w:rsidRDefault="006C2652" w:rsidP="006C2652">
            <w:pPr>
              <w:spacing w:beforeLines="20" w:before="48" w:afterLines="20" w:after="48"/>
              <w:rPr>
                <w:color w:val="000000"/>
              </w:rPr>
            </w:pPr>
            <w:r>
              <w:rPr>
                <w:color w:val="000000"/>
              </w:rPr>
              <w:t>#cd6666</w:t>
            </w:r>
          </w:p>
        </w:tc>
        <w:tc>
          <w:tcPr>
            <w:tcW w:w="1527" w:type="dxa"/>
            <w:tcBorders>
              <w:top w:val="nil"/>
              <w:left w:val="nil"/>
              <w:bottom w:val="single" w:sz="8" w:space="0" w:color="auto"/>
              <w:right w:val="single" w:sz="8" w:space="0" w:color="auto"/>
            </w:tcBorders>
            <w:shd w:val="clear" w:color="auto" w:fill="CD6666"/>
            <w:vAlign w:val="center"/>
          </w:tcPr>
          <w:p w14:paraId="1F422E63" w14:textId="77777777" w:rsidR="006C2652" w:rsidRDefault="006C2652" w:rsidP="006C2652">
            <w:pPr>
              <w:spacing w:beforeLines="20" w:before="48" w:afterLines="20" w:after="48"/>
              <w:rPr>
                <w:color w:val="000000"/>
              </w:rPr>
            </w:pPr>
          </w:p>
        </w:tc>
      </w:tr>
      <w:tr w:rsidR="006C2652" w14:paraId="3C0635E8" w14:textId="48FA3DF1"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705FEDA" w14:textId="77777777" w:rsidR="006C2652" w:rsidRDefault="006C2652" w:rsidP="006C2652">
            <w:pPr>
              <w:spacing w:beforeLines="20" w:before="48" w:afterLines="20" w:after="48"/>
            </w:pPr>
            <w:r>
              <w:t>Eucalypt Mallee Woodland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0EC68A" w14:textId="77777777" w:rsidR="006C2652" w:rsidRDefault="006C2652" w:rsidP="006C2652">
            <w:pPr>
              <w:spacing w:beforeLines="20" w:before="48" w:afterLines="20" w:after="48"/>
              <w:jc w:val="center"/>
            </w:pPr>
            <w:r>
              <w:t>255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E371B3" w14:textId="77777777" w:rsidR="006C2652" w:rsidRDefault="006C2652" w:rsidP="006C2652">
            <w:pPr>
              <w:spacing w:beforeLines="20" w:before="48" w:afterLines="20" w:after="48"/>
              <w:jc w:val="center"/>
            </w:pPr>
            <w:r>
              <w:t>160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8DCA81" w14:textId="77777777" w:rsidR="006C2652" w:rsidRDefault="006C2652" w:rsidP="006C2652">
            <w:pPr>
              <w:spacing w:beforeLines="20" w:before="48" w:afterLines="20" w:after="48"/>
              <w:jc w:val="center"/>
            </w:pPr>
            <w:r>
              <w:t>122</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F9E6E9C" w14:textId="0301FCD9" w:rsidR="006C2652" w:rsidRDefault="006C2652" w:rsidP="006C2652">
            <w:pPr>
              <w:spacing w:beforeLines="20" w:before="48" w:afterLines="20" w:after="48"/>
              <w:rPr>
                <w:color w:val="000000"/>
              </w:rPr>
            </w:pPr>
            <w:r>
              <w:rPr>
                <w:color w:val="000000"/>
              </w:rPr>
              <w:t>#ffa07a</w:t>
            </w:r>
          </w:p>
        </w:tc>
        <w:tc>
          <w:tcPr>
            <w:tcW w:w="1527" w:type="dxa"/>
            <w:tcBorders>
              <w:top w:val="nil"/>
              <w:left w:val="nil"/>
              <w:bottom w:val="single" w:sz="8" w:space="0" w:color="auto"/>
              <w:right w:val="single" w:sz="8" w:space="0" w:color="auto"/>
            </w:tcBorders>
            <w:shd w:val="clear" w:color="auto" w:fill="FFA07A"/>
            <w:vAlign w:val="center"/>
          </w:tcPr>
          <w:p w14:paraId="4327264F" w14:textId="77777777" w:rsidR="006C2652" w:rsidRDefault="006C2652" w:rsidP="006C2652">
            <w:pPr>
              <w:spacing w:beforeLines="20" w:before="48" w:afterLines="20" w:after="48"/>
              <w:rPr>
                <w:color w:val="000000"/>
              </w:rPr>
            </w:pPr>
          </w:p>
        </w:tc>
      </w:tr>
      <w:tr w:rsidR="006C2652" w14:paraId="45BD4029" w14:textId="4FF583C8"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54ED9F3" w14:textId="77777777" w:rsidR="006C2652" w:rsidRDefault="006C2652" w:rsidP="006C2652">
            <w:pPr>
              <w:spacing w:beforeLines="20" w:before="48" w:afterLines="20" w:after="48"/>
            </w:pPr>
            <w:r>
              <w:t>Eucalypt Medium Closed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0C22DB" w14:textId="77777777" w:rsidR="006C2652" w:rsidRDefault="006C2652" w:rsidP="006C2652">
            <w:pPr>
              <w:spacing w:beforeLines="20" w:before="48" w:afterLines="20" w:after="48"/>
              <w:jc w:val="center"/>
            </w:pPr>
            <w:r>
              <w:t>189</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A214C2" w14:textId="77777777" w:rsidR="006C2652" w:rsidRDefault="006C2652" w:rsidP="006C2652">
            <w:pPr>
              <w:spacing w:beforeLines="20" w:before="48" w:afterLines="20" w:after="48"/>
              <w:jc w:val="center"/>
            </w:pPr>
            <w:r>
              <w:t>183</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033138" w14:textId="77777777" w:rsidR="006C2652" w:rsidRDefault="006C2652" w:rsidP="006C2652">
            <w:pPr>
              <w:spacing w:beforeLines="20" w:before="48" w:afterLines="20" w:after="48"/>
              <w:jc w:val="center"/>
            </w:pPr>
            <w:r>
              <w:t>107</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83E38C" w14:textId="7E4DBFF5" w:rsidR="006C2652" w:rsidRDefault="006C2652" w:rsidP="006C2652">
            <w:pPr>
              <w:spacing w:beforeLines="20" w:before="48" w:afterLines="20" w:after="48"/>
              <w:rPr>
                <w:color w:val="000000"/>
              </w:rPr>
            </w:pPr>
            <w:r>
              <w:rPr>
                <w:color w:val="000000"/>
              </w:rPr>
              <w:t>#bdb76b</w:t>
            </w:r>
          </w:p>
        </w:tc>
        <w:tc>
          <w:tcPr>
            <w:tcW w:w="1527" w:type="dxa"/>
            <w:tcBorders>
              <w:top w:val="nil"/>
              <w:left w:val="nil"/>
              <w:bottom w:val="single" w:sz="8" w:space="0" w:color="auto"/>
              <w:right w:val="single" w:sz="8" w:space="0" w:color="auto"/>
            </w:tcBorders>
            <w:shd w:val="clear" w:color="auto" w:fill="BDB76B"/>
            <w:vAlign w:val="center"/>
          </w:tcPr>
          <w:p w14:paraId="18CD7CC1" w14:textId="77777777" w:rsidR="006C2652" w:rsidRDefault="006C2652" w:rsidP="006C2652">
            <w:pPr>
              <w:spacing w:beforeLines="20" w:before="48" w:afterLines="20" w:after="48"/>
              <w:rPr>
                <w:color w:val="000000"/>
              </w:rPr>
            </w:pPr>
          </w:p>
        </w:tc>
      </w:tr>
      <w:tr w:rsidR="006C2652" w14:paraId="12E118B9" w14:textId="1E37BD93"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853379E" w14:textId="77777777" w:rsidR="006C2652" w:rsidRDefault="006C2652" w:rsidP="006C2652">
            <w:pPr>
              <w:spacing w:beforeLines="20" w:before="48" w:afterLines="20" w:after="48"/>
            </w:pPr>
            <w:r>
              <w:t>Eucalypt Medium Open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B897040" w14:textId="77777777" w:rsidR="006C2652" w:rsidRDefault="006C2652" w:rsidP="006C2652">
            <w:pPr>
              <w:spacing w:beforeLines="20" w:before="48" w:afterLines="20" w:after="48"/>
              <w:jc w:val="center"/>
            </w:pPr>
            <w:r>
              <w:t>126</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A44EDE" w14:textId="77777777" w:rsidR="006C2652" w:rsidRDefault="006C2652" w:rsidP="006C2652">
            <w:pPr>
              <w:spacing w:beforeLines="20" w:before="48" w:afterLines="20" w:after="48"/>
              <w:jc w:val="center"/>
            </w:pPr>
            <w:r>
              <w:t>207</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4729228" w14:textId="77777777" w:rsidR="006C2652" w:rsidRDefault="006C2652" w:rsidP="006C2652">
            <w:pPr>
              <w:spacing w:beforeLines="20" w:before="48" w:afterLines="20" w:after="48"/>
              <w:jc w:val="center"/>
            </w:pPr>
            <w:r>
              <w:t>126</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5DFDDE" w14:textId="07CA23E1" w:rsidR="006C2652" w:rsidRDefault="006C2652" w:rsidP="006C2652">
            <w:pPr>
              <w:spacing w:beforeLines="20" w:before="48" w:afterLines="20" w:after="48"/>
              <w:rPr>
                <w:color w:val="000000"/>
              </w:rPr>
            </w:pPr>
            <w:r>
              <w:rPr>
                <w:color w:val="000000"/>
              </w:rPr>
              <w:t>#7ecf7e</w:t>
            </w:r>
          </w:p>
        </w:tc>
        <w:tc>
          <w:tcPr>
            <w:tcW w:w="1527" w:type="dxa"/>
            <w:tcBorders>
              <w:top w:val="nil"/>
              <w:left w:val="nil"/>
              <w:bottom w:val="single" w:sz="8" w:space="0" w:color="auto"/>
              <w:right w:val="single" w:sz="8" w:space="0" w:color="auto"/>
            </w:tcBorders>
            <w:shd w:val="clear" w:color="auto" w:fill="7ECF7E"/>
            <w:vAlign w:val="center"/>
          </w:tcPr>
          <w:p w14:paraId="5B70727D" w14:textId="77777777" w:rsidR="006C2652" w:rsidRDefault="006C2652" w:rsidP="006C2652">
            <w:pPr>
              <w:spacing w:beforeLines="20" w:before="48" w:afterLines="20" w:after="48"/>
              <w:rPr>
                <w:color w:val="000000"/>
              </w:rPr>
            </w:pPr>
          </w:p>
        </w:tc>
      </w:tr>
      <w:tr w:rsidR="006C2652" w14:paraId="6E780284" w14:textId="03E50732"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07E3A56" w14:textId="77777777" w:rsidR="006C2652" w:rsidRDefault="006C2652" w:rsidP="006C2652">
            <w:pPr>
              <w:spacing w:beforeLines="20" w:before="48" w:afterLines="20" w:after="48"/>
            </w:pPr>
            <w:r>
              <w:t>Eucalypt Medium Woodland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90D9DE" w14:textId="77777777" w:rsidR="006C2652" w:rsidRDefault="006C2652" w:rsidP="006C2652">
            <w:pPr>
              <w:spacing w:beforeLines="20" w:before="48" w:afterLines="20" w:after="48"/>
              <w:jc w:val="center"/>
            </w:pPr>
            <w:r>
              <w:t>128</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0317AF" w14:textId="77777777" w:rsidR="006C2652" w:rsidRDefault="006C2652" w:rsidP="006C2652">
            <w:pPr>
              <w:spacing w:beforeLines="20" w:before="48" w:afterLines="20" w:after="48"/>
              <w:jc w:val="center"/>
            </w:pPr>
            <w:r>
              <w:t>255</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EB0359D"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905CC35" w14:textId="70CF1B51" w:rsidR="006C2652" w:rsidRDefault="006C2652" w:rsidP="006C2652">
            <w:pPr>
              <w:spacing w:beforeLines="20" w:before="48" w:afterLines="20" w:after="48"/>
              <w:rPr>
                <w:color w:val="000000"/>
              </w:rPr>
            </w:pPr>
            <w:r>
              <w:rPr>
                <w:color w:val="000000"/>
              </w:rPr>
              <w:t>#80ff00</w:t>
            </w:r>
          </w:p>
        </w:tc>
        <w:tc>
          <w:tcPr>
            <w:tcW w:w="1527" w:type="dxa"/>
            <w:tcBorders>
              <w:top w:val="nil"/>
              <w:left w:val="nil"/>
              <w:bottom w:val="single" w:sz="8" w:space="0" w:color="auto"/>
              <w:right w:val="single" w:sz="8" w:space="0" w:color="auto"/>
            </w:tcBorders>
            <w:shd w:val="clear" w:color="auto" w:fill="80FF00"/>
            <w:vAlign w:val="center"/>
          </w:tcPr>
          <w:p w14:paraId="0451BE38" w14:textId="77777777" w:rsidR="006C2652" w:rsidRDefault="006C2652" w:rsidP="006C2652">
            <w:pPr>
              <w:spacing w:beforeLines="20" w:before="48" w:afterLines="20" w:after="48"/>
              <w:rPr>
                <w:color w:val="000000"/>
              </w:rPr>
            </w:pPr>
          </w:p>
        </w:tc>
      </w:tr>
      <w:tr w:rsidR="006C2652" w14:paraId="5775EC65" w14:textId="4EFB0E89"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056623" w14:textId="77777777" w:rsidR="006C2652" w:rsidRDefault="006C2652" w:rsidP="006C2652">
            <w:pPr>
              <w:spacing w:beforeLines="20" w:before="48" w:afterLines="20" w:after="48"/>
            </w:pPr>
            <w:r>
              <w:t>Eucalypt Tall Closed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2BFAA6" w14:textId="77777777" w:rsidR="006C2652" w:rsidRDefault="006C2652" w:rsidP="006C2652">
            <w:pPr>
              <w:spacing w:beforeLines="20" w:before="48" w:afterLines="20" w:after="48"/>
              <w:jc w:val="center"/>
            </w:pPr>
            <w:r>
              <w:t>27</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93B730A" w14:textId="77777777" w:rsidR="006C2652" w:rsidRDefault="006C2652" w:rsidP="006C2652">
            <w:pPr>
              <w:spacing w:beforeLines="20" w:before="48" w:afterLines="20" w:after="48"/>
              <w:jc w:val="center"/>
            </w:pPr>
            <w:r>
              <w:t>68</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B94470"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83558D" w14:textId="59F26728" w:rsidR="006C2652" w:rsidRDefault="006C2652" w:rsidP="006C2652">
            <w:pPr>
              <w:spacing w:beforeLines="20" w:before="48" w:afterLines="20" w:after="48"/>
              <w:rPr>
                <w:color w:val="000000"/>
              </w:rPr>
            </w:pPr>
            <w:r>
              <w:rPr>
                <w:color w:val="000000"/>
              </w:rPr>
              <w:t>#1b4400</w:t>
            </w:r>
          </w:p>
        </w:tc>
        <w:tc>
          <w:tcPr>
            <w:tcW w:w="1527" w:type="dxa"/>
            <w:tcBorders>
              <w:top w:val="nil"/>
              <w:left w:val="nil"/>
              <w:bottom w:val="single" w:sz="8" w:space="0" w:color="auto"/>
              <w:right w:val="single" w:sz="8" w:space="0" w:color="auto"/>
            </w:tcBorders>
            <w:shd w:val="clear" w:color="auto" w:fill="1B4400"/>
            <w:vAlign w:val="center"/>
          </w:tcPr>
          <w:p w14:paraId="10696D59" w14:textId="77777777" w:rsidR="006C2652" w:rsidRDefault="006C2652" w:rsidP="006C2652">
            <w:pPr>
              <w:spacing w:beforeLines="20" w:before="48" w:afterLines="20" w:after="48"/>
              <w:rPr>
                <w:color w:val="000000"/>
              </w:rPr>
            </w:pPr>
          </w:p>
        </w:tc>
      </w:tr>
      <w:tr w:rsidR="006C2652" w14:paraId="39AAFB43" w14:textId="37949F10"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1FAC74A" w14:textId="77777777" w:rsidR="006C2652" w:rsidRDefault="006C2652" w:rsidP="006C2652">
            <w:pPr>
              <w:spacing w:beforeLines="20" w:before="48" w:afterLines="20" w:after="48"/>
            </w:pPr>
            <w:r>
              <w:t>Eucalypt Tall Open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CBC5199" w14:textId="77777777" w:rsidR="006C2652" w:rsidRDefault="006C2652" w:rsidP="006C2652">
            <w:pPr>
              <w:spacing w:beforeLines="20" w:before="48" w:afterLines="20" w:after="48"/>
              <w:jc w:val="center"/>
            </w:pPr>
            <w:r>
              <w:t>69</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93541E" w14:textId="77777777" w:rsidR="006C2652" w:rsidRDefault="006C2652" w:rsidP="006C2652">
            <w:pPr>
              <w:spacing w:beforeLines="20" w:before="48" w:afterLines="20" w:after="48"/>
              <w:jc w:val="center"/>
            </w:pPr>
            <w:r>
              <w:t>138</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0ECE5A"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0F292A" w14:textId="436C5A26" w:rsidR="006C2652" w:rsidRDefault="006C2652" w:rsidP="006C2652">
            <w:pPr>
              <w:spacing w:beforeLines="20" w:before="48" w:afterLines="20" w:after="48"/>
              <w:rPr>
                <w:color w:val="000000"/>
              </w:rPr>
            </w:pPr>
            <w:r>
              <w:rPr>
                <w:color w:val="000000"/>
              </w:rPr>
              <w:t>#458a00</w:t>
            </w:r>
          </w:p>
        </w:tc>
        <w:tc>
          <w:tcPr>
            <w:tcW w:w="1527" w:type="dxa"/>
            <w:tcBorders>
              <w:top w:val="nil"/>
              <w:left w:val="nil"/>
              <w:bottom w:val="single" w:sz="8" w:space="0" w:color="auto"/>
              <w:right w:val="single" w:sz="8" w:space="0" w:color="auto"/>
            </w:tcBorders>
            <w:shd w:val="clear" w:color="auto" w:fill="458A00"/>
            <w:vAlign w:val="center"/>
          </w:tcPr>
          <w:p w14:paraId="5BA6F756" w14:textId="77777777" w:rsidR="006C2652" w:rsidRDefault="006C2652" w:rsidP="006C2652">
            <w:pPr>
              <w:spacing w:beforeLines="20" w:before="48" w:afterLines="20" w:after="48"/>
              <w:rPr>
                <w:color w:val="000000"/>
              </w:rPr>
            </w:pPr>
          </w:p>
        </w:tc>
      </w:tr>
      <w:tr w:rsidR="006C2652" w14:paraId="41F8064F" w14:textId="2F6B85DF"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760C5C" w14:textId="77777777" w:rsidR="006C2652" w:rsidRDefault="006C2652" w:rsidP="006C2652">
            <w:pPr>
              <w:spacing w:beforeLines="20" w:before="48" w:afterLines="20" w:after="48"/>
            </w:pPr>
            <w:r>
              <w:t>Eucalypt Tall Woodland</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EC50927" w14:textId="77777777" w:rsidR="006C2652" w:rsidRDefault="006C2652" w:rsidP="006C2652">
            <w:pPr>
              <w:spacing w:beforeLines="20" w:before="48" w:afterLines="20" w:after="48"/>
              <w:jc w:val="center"/>
            </w:pPr>
            <w:r>
              <w:t>189</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7FCEE05" w14:textId="77777777" w:rsidR="006C2652" w:rsidRDefault="006C2652" w:rsidP="006C2652">
            <w:pPr>
              <w:spacing w:beforeLines="20" w:before="48" w:afterLines="20" w:after="48"/>
              <w:jc w:val="center"/>
            </w:pPr>
            <w:r>
              <w:t>255</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43E8EC" w14:textId="77777777" w:rsidR="006C2652" w:rsidRDefault="006C2652" w:rsidP="006C2652">
            <w:pPr>
              <w:spacing w:beforeLines="20" w:before="48" w:afterLines="20" w:after="48"/>
              <w:jc w:val="center"/>
            </w:pPr>
            <w:r>
              <w:t>255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4B5492" w14:textId="2ECB3DDF" w:rsidR="006C2652" w:rsidRDefault="006C2652" w:rsidP="006C2652">
            <w:pPr>
              <w:spacing w:beforeLines="20" w:before="48" w:afterLines="20" w:after="48"/>
              <w:rPr>
                <w:color w:val="000000"/>
              </w:rPr>
            </w:pPr>
            <w:r>
              <w:rPr>
                <w:color w:val="000000"/>
              </w:rPr>
              <w:t>#bdffff</w:t>
            </w:r>
          </w:p>
        </w:tc>
        <w:tc>
          <w:tcPr>
            <w:tcW w:w="1527" w:type="dxa"/>
            <w:tcBorders>
              <w:top w:val="nil"/>
              <w:left w:val="nil"/>
              <w:bottom w:val="single" w:sz="8" w:space="0" w:color="auto"/>
              <w:right w:val="single" w:sz="8" w:space="0" w:color="auto"/>
            </w:tcBorders>
            <w:shd w:val="clear" w:color="auto" w:fill="BDFFFF"/>
            <w:vAlign w:val="center"/>
          </w:tcPr>
          <w:p w14:paraId="4AFB7781" w14:textId="77777777" w:rsidR="006C2652" w:rsidRDefault="006C2652" w:rsidP="006C2652">
            <w:pPr>
              <w:spacing w:beforeLines="20" w:before="48" w:afterLines="20" w:after="48"/>
              <w:rPr>
                <w:color w:val="000000"/>
              </w:rPr>
            </w:pPr>
          </w:p>
        </w:tc>
      </w:tr>
      <w:tr w:rsidR="006C2652" w14:paraId="1B87D2D8" w14:textId="2C24723F"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16D10D" w14:textId="77777777" w:rsidR="006C2652" w:rsidRDefault="006C2652" w:rsidP="006C2652">
            <w:pPr>
              <w:spacing w:beforeLines="20" w:before="48" w:afterLines="20" w:after="48"/>
            </w:pPr>
            <w:r>
              <w:t>Mangrove</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D5EC88B" w14:textId="77777777" w:rsidR="006C2652" w:rsidRDefault="006C2652" w:rsidP="006C2652">
            <w:pPr>
              <w:spacing w:beforeLines="20" w:before="48" w:afterLines="20" w:after="48"/>
              <w:jc w:val="center"/>
            </w:pPr>
            <w:r>
              <w:t>255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840811F" w14:textId="77777777" w:rsidR="006C2652" w:rsidRDefault="006C2652" w:rsidP="006C2652">
            <w:pPr>
              <w:spacing w:beforeLines="20" w:before="48" w:afterLines="20" w:after="48"/>
              <w:jc w:val="center"/>
            </w:pPr>
            <w:r>
              <w:t>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DA64939" w14:textId="77777777" w:rsidR="006C2652" w:rsidRDefault="006C2652" w:rsidP="006C2652">
            <w:pPr>
              <w:spacing w:beforeLines="20" w:before="48" w:afterLines="20" w:after="48"/>
              <w:jc w:val="center"/>
            </w:pPr>
            <w:r>
              <w:t>255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F53C3B6" w14:textId="4611543A" w:rsidR="006C2652" w:rsidRDefault="006C2652" w:rsidP="006C2652">
            <w:pPr>
              <w:spacing w:beforeLines="20" w:before="48" w:afterLines="20" w:after="48"/>
              <w:rPr>
                <w:color w:val="000000"/>
              </w:rPr>
            </w:pPr>
            <w:r>
              <w:rPr>
                <w:color w:val="000000"/>
              </w:rPr>
              <w:t>#ff00ff</w:t>
            </w:r>
          </w:p>
        </w:tc>
        <w:tc>
          <w:tcPr>
            <w:tcW w:w="1527" w:type="dxa"/>
            <w:tcBorders>
              <w:top w:val="nil"/>
              <w:left w:val="nil"/>
              <w:bottom w:val="single" w:sz="8" w:space="0" w:color="auto"/>
              <w:right w:val="single" w:sz="8" w:space="0" w:color="auto"/>
            </w:tcBorders>
            <w:shd w:val="clear" w:color="auto" w:fill="FF00FF"/>
            <w:vAlign w:val="center"/>
          </w:tcPr>
          <w:p w14:paraId="0D3FA153" w14:textId="77777777" w:rsidR="006C2652" w:rsidRDefault="006C2652" w:rsidP="006C2652">
            <w:pPr>
              <w:spacing w:beforeLines="20" w:before="48" w:afterLines="20" w:after="48"/>
              <w:rPr>
                <w:color w:val="000000"/>
              </w:rPr>
            </w:pPr>
          </w:p>
        </w:tc>
      </w:tr>
      <w:tr w:rsidR="006C2652" w14:paraId="20FB4B99" w14:textId="5D1C96BC"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4B06503" w14:textId="77777777" w:rsidR="006C2652" w:rsidRDefault="006C2652" w:rsidP="006C2652">
            <w:pPr>
              <w:spacing w:beforeLines="20" w:before="48" w:afterLines="20" w:after="48"/>
            </w:pPr>
            <w:r>
              <w:t>Melaleuca</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1FF4F0" w14:textId="77777777" w:rsidR="006C2652" w:rsidRDefault="006C2652" w:rsidP="006C2652">
            <w:pPr>
              <w:spacing w:beforeLines="20" w:before="48" w:afterLines="20" w:after="48"/>
              <w:jc w:val="center"/>
            </w:pPr>
            <w:r>
              <w:t>255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B0474A6" w14:textId="77777777" w:rsidR="006C2652" w:rsidRDefault="006C2652" w:rsidP="006C2652">
            <w:pPr>
              <w:spacing w:beforeLines="20" w:before="48" w:afterLines="20" w:after="48"/>
              <w:jc w:val="center"/>
            </w:pPr>
            <w:r>
              <w:t>255</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4FBFFDD"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9388FD" w14:textId="21D90219" w:rsidR="006C2652" w:rsidRDefault="006C2652" w:rsidP="006C2652">
            <w:pPr>
              <w:spacing w:beforeLines="20" w:before="48" w:afterLines="20" w:after="48"/>
              <w:rPr>
                <w:color w:val="000000"/>
              </w:rPr>
            </w:pPr>
            <w:r>
              <w:rPr>
                <w:color w:val="000000"/>
              </w:rPr>
              <w:t>#ffff00</w:t>
            </w:r>
          </w:p>
        </w:tc>
        <w:tc>
          <w:tcPr>
            <w:tcW w:w="1527" w:type="dxa"/>
            <w:tcBorders>
              <w:top w:val="nil"/>
              <w:left w:val="nil"/>
              <w:bottom w:val="single" w:sz="8" w:space="0" w:color="auto"/>
              <w:right w:val="single" w:sz="8" w:space="0" w:color="auto"/>
            </w:tcBorders>
            <w:shd w:val="clear" w:color="auto" w:fill="FFFF00"/>
            <w:vAlign w:val="center"/>
          </w:tcPr>
          <w:p w14:paraId="2CCFA33C" w14:textId="77777777" w:rsidR="006C2652" w:rsidRDefault="006C2652" w:rsidP="006C2652">
            <w:pPr>
              <w:spacing w:beforeLines="20" w:before="48" w:afterLines="20" w:after="48"/>
              <w:rPr>
                <w:color w:val="000000"/>
              </w:rPr>
            </w:pPr>
          </w:p>
        </w:tc>
      </w:tr>
      <w:tr w:rsidR="006C2652" w14:paraId="08194FB8" w14:textId="34B5EEB8"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8FDF75" w14:textId="77777777" w:rsidR="006C2652" w:rsidRDefault="006C2652" w:rsidP="006C2652">
            <w:pPr>
              <w:spacing w:beforeLines="20" w:before="48" w:afterLines="20" w:after="48"/>
            </w:pPr>
            <w:r>
              <w:t>Rainforest</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7C7228" w14:textId="77777777" w:rsidR="006C2652" w:rsidRDefault="006C2652" w:rsidP="006C2652">
            <w:pPr>
              <w:spacing w:beforeLines="20" w:before="48" w:afterLines="20" w:after="48"/>
              <w:jc w:val="center"/>
            </w:pPr>
            <w:r>
              <w:t>25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343C87" w14:textId="77777777" w:rsidR="006C2652" w:rsidRDefault="006C2652" w:rsidP="006C2652">
            <w:pPr>
              <w:spacing w:beforeLines="20" w:before="48" w:afterLines="20" w:after="48"/>
              <w:jc w:val="center"/>
            </w:pPr>
            <w:r>
              <w:t>25</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502D245" w14:textId="77777777" w:rsidR="006C2652" w:rsidRDefault="006C2652" w:rsidP="006C2652">
            <w:pPr>
              <w:spacing w:beforeLines="20" w:before="48" w:afterLines="20" w:after="48"/>
              <w:jc w:val="center"/>
            </w:pPr>
            <w:r>
              <w:t>113</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84988FF" w14:textId="1D32486F" w:rsidR="006C2652" w:rsidRDefault="006C2652" w:rsidP="006C2652">
            <w:pPr>
              <w:spacing w:beforeLines="20" w:before="48" w:afterLines="20" w:after="48"/>
              <w:rPr>
                <w:color w:val="000000"/>
              </w:rPr>
            </w:pPr>
            <w:r>
              <w:rPr>
                <w:color w:val="000000"/>
              </w:rPr>
              <w:t>#191971</w:t>
            </w:r>
          </w:p>
        </w:tc>
        <w:tc>
          <w:tcPr>
            <w:tcW w:w="1527" w:type="dxa"/>
            <w:tcBorders>
              <w:top w:val="nil"/>
              <w:left w:val="nil"/>
              <w:bottom w:val="single" w:sz="8" w:space="0" w:color="auto"/>
              <w:right w:val="single" w:sz="8" w:space="0" w:color="auto"/>
            </w:tcBorders>
            <w:shd w:val="clear" w:color="auto" w:fill="191971"/>
            <w:vAlign w:val="center"/>
          </w:tcPr>
          <w:p w14:paraId="4293CBFB" w14:textId="77777777" w:rsidR="006C2652" w:rsidRDefault="006C2652" w:rsidP="006C2652">
            <w:pPr>
              <w:spacing w:beforeLines="20" w:before="48" w:afterLines="20" w:after="48"/>
              <w:rPr>
                <w:color w:val="000000"/>
              </w:rPr>
            </w:pPr>
          </w:p>
        </w:tc>
      </w:tr>
      <w:tr w:rsidR="006C2652" w14:paraId="6B7C9822" w14:textId="3B052C6F"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E13F858" w14:textId="77777777" w:rsidR="006C2652" w:rsidRDefault="006C2652" w:rsidP="006C2652">
            <w:pPr>
              <w:spacing w:beforeLines="20" w:before="48" w:afterLines="20" w:after="48"/>
            </w:pPr>
            <w:r>
              <w:t>Other native forest</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F2B3224" w14:textId="77777777" w:rsidR="006C2652" w:rsidRDefault="006C2652" w:rsidP="006C2652">
            <w:pPr>
              <w:spacing w:beforeLines="20" w:before="48" w:afterLines="20" w:after="48"/>
              <w:jc w:val="center"/>
            </w:pPr>
            <w:r>
              <w:t>255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2F77AD" w14:textId="77777777" w:rsidR="006C2652" w:rsidRDefault="006C2652" w:rsidP="006C2652">
            <w:pPr>
              <w:spacing w:beforeLines="20" w:before="48" w:afterLines="20" w:after="48"/>
              <w:jc w:val="center"/>
            </w:pPr>
            <w:r>
              <w:t>158</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0F1791" w14:textId="77777777" w:rsidR="006C2652" w:rsidRDefault="006C2652" w:rsidP="006C2652">
            <w:pPr>
              <w:spacing w:beforeLines="20" w:before="48" w:afterLines="20" w:after="48"/>
              <w:jc w:val="center"/>
            </w:pPr>
            <w:r>
              <w:t>15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07E8D9" w14:textId="2D118B83" w:rsidR="006C2652" w:rsidRDefault="006C2652" w:rsidP="006C2652">
            <w:pPr>
              <w:spacing w:beforeLines="20" w:before="48" w:afterLines="20" w:after="48"/>
              <w:rPr>
                <w:color w:val="000000"/>
              </w:rPr>
            </w:pPr>
            <w:r>
              <w:rPr>
                <w:color w:val="000000"/>
              </w:rPr>
              <w:t>#ff9e0f</w:t>
            </w:r>
          </w:p>
        </w:tc>
        <w:tc>
          <w:tcPr>
            <w:tcW w:w="1527" w:type="dxa"/>
            <w:tcBorders>
              <w:top w:val="nil"/>
              <w:left w:val="nil"/>
              <w:bottom w:val="single" w:sz="8" w:space="0" w:color="auto"/>
              <w:right w:val="single" w:sz="8" w:space="0" w:color="auto"/>
            </w:tcBorders>
            <w:shd w:val="clear" w:color="auto" w:fill="FF9E0F"/>
            <w:vAlign w:val="center"/>
          </w:tcPr>
          <w:p w14:paraId="50866668" w14:textId="77777777" w:rsidR="006C2652" w:rsidRDefault="006C2652" w:rsidP="006C2652">
            <w:pPr>
              <w:spacing w:beforeLines="20" w:before="48" w:afterLines="20" w:after="48"/>
              <w:rPr>
                <w:color w:val="000000"/>
              </w:rPr>
            </w:pPr>
          </w:p>
        </w:tc>
      </w:tr>
      <w:tr w:rsidR="006C2652" w14:paraId="540D7114" w14:textId="4F137394"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5E53F3F" w14:textId="77777777" w:rsidR="006C2652" w:rsidRDefault="006C2652" w:rsidP="006C2652">
            <w:pPr>
              <w:spacing w:beforeLines="20" w:before="48" w:afterLines="20" w:after="48"/>
            </w:pPr>
            <w:r>
              <w:t>Hardwood plantation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6B82721" w14:textId="77777777" w:rsidR="006C2652" w:rsidRDefault="006C2652" w:rsidP="006C2652">
            <w:pPr>
              <w:spacing w:beforeLines="20" w:before="48" w:afterLines="20" w:after="48"/>
              <w:jc w:val="center"/>
            </w:pPr>
            <w:r>
              <w:t>240</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1C2159F" w14:textId="77777777" w:rsidR="006C2652" w:rsidRDefault="006C2652" w:rsidP="006C2652">
            <w:pPr>
              <w:spacing w:beforeLines="20" w:before="48" w:afterLines="20" w:after="48"/>
              <w:jc w:val="center"/>
            </w:pPr>
            <w:r>
              <w:t>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DC45F89"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191DE65" w14:textId="1521FB7B" w:rsidR="006C2652" w:rsidRDefault="006C2652" w:rsidP="006C2652">
            <w:pPr>
              <w:spacing w:beforeLines="20" w:before="48" w:afterLines="20" w:after="48"/>
              <w:rPr>
                <w:color w:val="000000"/>
              </w:rPr>
            </w:pPr>
            <w:r>
              <w:rPr>
                <w:color w:val="000000"/>
              </w:rPr>
              <w:t>#f00000</w:t>
            </w:r>
          </w:p>
        </w:tc>
        <w:tc>
          <w:tcPr>
            <w:tcW w:w="1527" w:type="dxa"/>
            <w:tcBorders>
              <w:top w:val="nil"/>
              <w:left w:val="nil"/>
              <w:bottom w:val="single" w:sz="8" w:space="0" w:color="auto"/>
              <w:right w:val="single" w:sz="8" w:space="0" w:color="auto"/>
            </w:tcBorders>
            <w:shd w:val="clear" w:color="auto" w:fill="F00000"/>
            <w:vAlign w:val="center"/>
          </w:tcPr>
          <w:p w14:paraId="3845DFC4" w14:textId="77777777" w:rsidR="006C2652" w:rsidRDefault="006C2652" w:rsidP="006C2652">
            <w:pPr>
              <w:spacing w:beforeLines="20" w:before="48" w:afterLines="20" w:after="48"/>
              <w:rPr>
                <w:color w:val="000000"/>
              </w:rPr>
            </w:pPr>
          </w:p>
        </w:tc>
      </w:tr>
      <w:tr w:rsidR="006C2652" w14:paraId="6A7FB90A" w14:textId="6BA6245D"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2B7E270" w14:textId="77777777" w:rsidR="006C2652" w:rsidRDefault="006C2652" w:rsidP="006C2652">
            <w:pPr>
              <w:spacing w:beforeLines="20" w:before="48" w:afterLines="20" w:after="48"/>
            </w:pPr>
            <w:r>
              <w:t>Softwood plantation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769D49" w14:textId="77777777" w:rsidR="006C2652" w:rsidRDefault="006C2652" w:rsidP="006C2652">
            <w:pPr>
              <w:spacing w:beforeLines="20" w:before="48" w:afterLines="20" w:after="48"/>
              <w:jc w:val="center"/>
            </w:pPr>
            <w:r>
              <w:t>240</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7CAEA4" w14:textId="77777777" w:rsidR="006C2652" w:rsidRDefault="006C2652" w:rsidP="006C2652">
            <w:pPr>
              <w:spacing w:beforeLines="20" w:before="48" w:afterLines="20" w:after="48"/>
              <w:jc w:val="center"/>
            </w:pPr>
            <w:r>
              <w:t>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244C176"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2BEBDB0" w14:textId="53B95DD2" w:rsidR="006C2652" w:rsidRDefault="006C2652" w:rsidP="006C2652">
            <w:pPr>
              <w:spacing w:beforeLines="20" w:before="48" w:afterLines="20" w:after="48"/>
              <w:rPr>
                <w:color w:val="000000"/>
              </w:rPr>
            </w:pPr>
            <w:r>
              <w:rPr>
                <w:color w:val="000000"/>
              </w:rPr>
              <w:t>#f00000</w:t>
            </w:r>
          </w:p>
        </w:tc>
        <w:tc>
          <w:tcPr>
            <w:tcW w:w="1527" w:type="dxa"/>
            <w:tcBorders>
              <w:top w:val="nil"/>
              <w:left w:val="nil"/>
              <w:bottom w:val="single" w:sz="8" w:space="0" w:color="auto"/>
              <w:right w:val="single" w:sz="8" w:space="0" w:color="auto"/>
            </w:tcBorders>
            <w:shd w:val="clear" w:color="auto" w:fill="F00000"/>
            <w:vAlign w:val="center"/>
          </w:tcPr>
          <w:p w14:paraId="5FCDEC89" w14:textId="77777777" w:rsidR="006C2652" w:rsidRDefault="006C2652" w:rsidP="006C2652">
            <w:pPr>
              <w:spacing w:beforeLines="20" w:before="48" w:afterLines="20" w:after="48"/>
              <w:rPr>
                <w:color w:val="000000"/>
              </w:rPr>
            </w:pPr>
          </w:p>
        </w:tc>
      </w:tr>
      <w:tr w:rsidR="006C2652" w14:paraId="06B10DEF" w14:textId="79F81B35"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0EAA600" w14:textId="77777777" w:rsidR="006C2652" w:rsidRDefault="006C2652" w:rsidP="006C2652">
            <w:pPr>
              <w:spacing w:beforeLines="20" w:before="48" w:afterLines="20" w:after="48"/>
            </w:pPr>
            <w:r>
              <w:t>Mixed species plantation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EF3807" w14:textId="77777777" w:rsidR="006C2652" w:rsidRDefault="006C2652" w:rsidP="006C2652">
            <w:pPr>
              <w:spacing w:beforeLines="20" w:before="48" w:afterLines="20" w:after="48"/>
              <w:jc w:val="center"/>
            </w:pPr>
            <w:r>
              <w:t>240</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84518D7" w14:textId="77777777" w:rsidR="006C2652" w:rsidRDefault="006C2652" w:rsidP="006C2652">
            <w:pPr>
              <w:spacing w:beforeLines="20" w:before="48" w:afterLines="20" w:after="48"/>
              <w:jc w:val="center"/>
            </w:pPr>
            <w:r>
              <w:t>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D6E811"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91A698" w14:textId="09512DB7" w:rsidR="006C2652" w:rsidRDefault="006C2652" w:rsidP="006C2652">
            <w:pPr>
              <w:spacing w:beforeLines="20" w:before="48" w:afterLines="20" w:after="48"/>
              <w:rPr>
                <w:color w:val="000000"/>
              </w:rPr>
            </w:pPr>
            <w:r>
              <w:rPr>
                <w:color w:val="000000"/>
              </w:rPr>
              <w:t>#f00000</w:t>
            </w:r>
          </w:p>
        </w:tc>
        <w:tc>
          <w:tcPr>
            <w:tcW w:w="1527" w:type="dxa"/>
            <w:tcBorders>
              <w:top w:val="nil"/>
              <w:left w:val="nil"/>
              <w:bottom w:val="single" w:sz="8" w:space="0" w:color="auto"/>
              <w:right w:val="single" w:sz="8" w:space="0" w:color="auto"/>
            </w:tcBorders>
            <w:shd w:val="clear" w:color="auto" w:fill="F00000"/>
            <w:vAlign w:val="center"/>
          </w:tcPr>
          <w:p w14:paraId="3E38BF7C" w14:textId="77777777" w:rsidR="006C2652" w:rsidRDefault="006C2652" w:rsidP="006C2652">
            <w:pPr>
              <w:spacing w:beforeLines="20" w:before="48" w:afterLines="20" w:after="48"/>
              <w:rPr>
                <w:color w:val="000000"/>
              </w:rPr>
            </w:pPr>
          </w:p>
        </w:tc>
      </w:tr>
      <w:tr w:rsidR="006C2652" w14:paraId="19ED1341" w14:textId="2216BC02"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1702EEA" w14:textId="77777777" w:rsidR="006C2652" w:rsidRDefault="006C2652" w:rsidP="006C2652">
            <w:pPr>
              <w:spacing w:beforeLines="20" w:before="48" w:afterLines="20" w:after="48"/>
              <w:rPr>
                <w:color w:val="000000"/>
              </w:rPr>
            </w:pPr>
            <w:r>
              <w:rPr>
                <w:color w:val="000000"/>
              </w:rPr>
              <w:t>Unknown species plantation</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7C49D79" w14:textId="77777777" w:rsidR="006C2652" w:rsidRDefault="006C2652" w:rsidP="006C2652">
            <w:pPr>
              <w:spacing w:beforeLines="20" w:before="48" w:afterLines="20" w:after="48"/>
              <w:jc w:val="center"/>
            </w:pPr>
            <w:r>
              <w:t>240</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DA1C53" w14:textId="77777777" w:rsidR="006C2652" w:rsidRDefault="006C2652" w:rsidP="006C2652">
            <w:pPr>
              <w:spacing w:beforeLines="20" w:before="48" w:afterLines="20" w:after="48"/>
              <w:jc w:val="center"/>
            </w:pPr>
            <w:r>
              <w:t>0</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7D6F2C" w14:textId="77777777" w:rsidR="006C2652" w:rsidRDefault="006C2652" w:rsidP="006C2652">
            <w:pPr>
              <w:spacing w:beforeLines="20" w:before="48" w:afterLines="20" w:after="48"/>
              <w:jc w:val="center"/>
            </w:pPr>
            <w:r>
              <w:t>0</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51ECEB7" w14:textId="0A537297" w:rsidR="006C2652" w:rsidRDefault="006C2652" w:rsidP="006C2652">
            <w:pPr>
              <w:spacing w:beforeLines="20" w:before="48" w:afterLines="20" w:after="48"/>
              <w:rPr>
                <w:color w:val="000000"/>
              </w:rPr>
            </w:pPr>
            <w:r>
              <w:rPr>
                <w:color w:val="000000"/>
              </w:rPr>
              <w:t>#f00000</w:t>
            </w:r>
          </w:p>
        </w:tc>
        <w:tc>
          <w:tcPr>
            <w:tcW w:w="1527" w:type="dxa"/>
            <w:tcBorders>
              <w:top w:val="nil"/>
              <w:left w:val="nil"/>
              <w:bottom w:val="single" w:sz="8" w:space="0" w:color="auto"/>
              <w:right w:val="single" w:sz="8" w:space="0" w:color="auto"/>
            </w:tcBorders>
            <w:shd w:val="clear" w:color="auto" w:fill="F00000"/>
            <w:vAlign w:val="center"/>
          </w:tcPr>
          <w:p w14:paraId="5D3768E6" w14:textId="77777777" w:rsidR="006C2652" w:rsidRDefault="006C2652" w:rsidP="006C2652">
            <w:pPr>
              <w:spacing w:beforeLines="20" w:before="48" w:afterLines="20" w:after="48"/>
              <w:rPr>
                <w:color w:val="000000"/>
              </w:rPr>
            </w:pPr>
          </w:p>
        </w:tc>
      </w:tr>
      <w:tr w:rsidR="006C2652" w14:paraId="3CC899A4" w14:textId="31C02708"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708771C" w14:textId="77777777" w:rsidR="006C2652" w:rsidRDefault="006C2652" w:rsidP="006C2652">
            <w:pPr>
              <w:spacing w:beforeLines="20" w:before="48" w:afterLines="20" w:after="48"/>
              <w:rPr>
                <w:color w:val="000000"/>
              </w:rPr>
            </w:pPr>
            <w:r>
              <w:t>Other forest - unallocated type</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CE467C" w14:textId="77777777" w:rsidR="006C2652" w:rsidRDefault="006C2652" w:rsidP="006C2652">
            <w:pPr>
              <w:spacing w:beforeLines="20" w:before="48" w:afterLines="20" w:after="48"/>
              <w:jc w:val="center"/>
            </w:pPr>
            <w:r>
              <w:t>238</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672F0AB" w14:textId="77777777" w:rsidR="006C2652" w:rsidRDefault="006C2652" w:rsidP="006C2652">
            <w:pPr>
              <w:spacing w:beforeLines="20" w:before="48" w:afterLines="20" w:after="48"/>
              <w:jc w:val="center"/>
            </w:pPr>
            <w:r>
              <w:t>224</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879FFE" w14:textId="77777777" w:rsidR="006C2652" w:rsidRDefault="006C2652" w:rsidP="006C2652">
            <w:pPr>
              <w:spacing w:beforeLines="20" w:before="48" w:afterLines="20" w:after="48"/>
              <w:jc w:val="center"/>
            </w:pPr>
            <w:r>
              <w:t>205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11C53D" w14:textId="3E5FCBAB" w:rsidR="006C2652" w:rsidRDefault="006C2652" w:rsidP="006C2652">
            <w:pPr>
              <w:spacing w:beforeLines="20" w:before="48" w:afterLines="20" w:after="48"/>
              <w:rPr>
                <w:color w:val="000000"/>
              </w:rPr>
            </w:pPr>
            <w:r>
              <w:rPr>
                <w:color w:val="000000"/>
              </w:rPr>
              <w:t>#eee0cd</w:t>
            </w:r>
          </w:p>
        </w:tc>
        <w:tc>
          <w:tcPr>
            <w:tcW w:w="1527" w:type="dxa"/>
            <w:tcBorders>
              <w:top w:val="nil"/>
              <w:left w:val="nil"/>
              <w:bottom w:val="single" w:sz="8" w:space="0" w:color="auto"/>
              <w:right w:val="single" w:sz="8" w:space="0" w:color="auto"/>
            </w:tcBorders>
            <w:shd w:val="clear" w:color="auto" w:fill="EEE0CD"/>
            <w:vAlign w:val="center"/>
          </w:tcPr>
          <w:p w14:paraId="33A631D4" w14:textId="77777777" w:rsidR="006C2652" w:rsidRDefault="006C2652" w:rsidP="006C2652">
            <w:pPr>
              <w:spacing w:beforeLines="20" w:before="48" w:afterLines="20" w:after="48"/>
              <w:rPr>
                <w:color w:val="000000"/>
              </w:rPr>
            </w:pPr>
          </w:p>
        </w:tc>
      </w:tr>
      <w:tr w:rsidR="006C2652" w14:paraId="11AE4F6D" w14:textId="09D25647" w:rsidTr="002F6199">
        <w:trPr>
          <w:trHeight w:val="300"/>
        </w:trPr>
        <w:tc>
          <w:tcPr>
            <w:tcW w:w="32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6BAF24E" w14:textId="77777777" w:rsidR="006C2652" w:rsidRDefault="006C2652" w:rsidP="006C2652">
            <w:pPr>
              <w:spacing w:beforeLines="20" w:before="48" w:afterLines="20" w:after="48"/>
            </w:pPr>
            <w:r>
              <w:t>Non Forest</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EE9058" w14:textId="77777777" w:rsidR="006C2652" w:rsidRDefault="006C2652" w:rsidP="006C2652">
            <w:pPr>
              <w:spacing w:beforeLines="20" w:before="48" w:afterLines="20" w:after="48"/>
              <w:jc w:val="center"/>
            </w:pPr>
            <w:r>
              <w:t>255</w:t>
            </w:r>
          </w:p>
        </w:tc>
        <w:tc>
          <w:tcPr>
            <w:tcW w:w="66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248377" w14:textId="77777777" w:rsidR="006C2652" w:rsidRDefault="006C2652" w:rsidP="006C2652">
            <w:pPr>
              <w:spacing w:beforeLines="20" w:before="48" w:afterLines="20" w:after="48"/>
              <w:jc w:val="center"/>
            </w:pPr>
            <w:r>
              <w:t>255</w:t>
            </w:r>
          </w:p>
        </w:tc>
        <w:tc>
          <w:tcPr>
            <w:tcW w:w="582"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D4640A" w14:textId="77777777" w:rsidR="006C2652" w:rsidRDefault="006C2652" w:rsidP="006C2652">
            <w:pPr>
              <w:spacing w:beforeLines="20" w:before="48" w:afterLines="20" w:after="48"/>
              <w:jc w:val="center"/>
            </w:pPr>
            <w:r>
              <w:t>255</w:t>
            </w:r>
          </w:p>
        </w:tc>
        <w:tc>
          <w:tcPr>
            <w:tcW w:w="15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50EBE7B" w14:textId="7C153D87" w:rsidR="006C2652" w:rsidRDefault="006C2652" w:rsidP="006C2652">
            <w:pPr>
              <w:spacing w:beforeLines="20" w:before="48" w:afterLines="20" w:after="48"/>
              <w:rPr>
                <w:color w:val="000000"/>
              </w:rPr>
            </w:pPr>
            <w:r>
              <w:rPr>
                <w:color w:val="000000"/>
              </w:rPr>
              <w:t>#ffffff</w:t>
            </w:r>
          </w:p>
        </w:tc>
        <w:tc>
          <w:tcPr>
            <w:tcW w:w="1527" w:type="dxa"/>
            <w:tcBorders>
              <w:top w:val="nil"/>
              <w:left w:val="nil"/>
              <w:bottom w:val="single" w:sz="8" w:space="0" w:color="auto"/>
              <w:right w:val="single" w:sz="8" w:space="0" w:color="auto"/>
            </w:tcBorders>
            <w:shd w:val="clear" w:color="auto" w:fill="FFFFFF"/>
            <w:vAlign w:val="center"/>
          </w:tcPr>
          <w:p w14:paraId="6544A779" w14:textId="77777777" w:rsidR="006C2652" w:rsidRDefault="006C2652" w:rsidP="006C2652">
            <w:pPr>
              <w:spacing w:beforeLines="20" w:before="48" w:afterLines="20" w:after="48"/>
              <w:rPr>
                <w:color w:val="000000"/>
              </w:rPr>
            </w:pPr>
          </w:p>
        </w:tc>
      </w:tr>
    </w:tbl>
    <w:p w14:paraId="363ADDC5" w14:textId="3A1A92EE" w:rsidR="006C2652" w:rsidRDefault="006C2652">
      <w:pPr>
        <w:spacing w:before="0"/>
        <w:rPr>
          <w:rFonts w:asciiTheme="minorHAnsi" w:hAnsiTheme="minorHAnsi" w:cstheme="minorHAnsi"/>
          <w:b/>
          <w:sz w:val="18"/>
          <w:szCs w:val="18"/>
          <w:lang w:eastAsia="ja-JP"/>
        </w:rPr>
      </w:pPr>
      <w:r>
        <w:rPr>
          <w:rFonts w:asciiTheme="minorHAnsi" w:hAnsiTheme="minorHAnsi" w:cstheme="minorHAnsi"/>
          <w:b/>
          <w:sz w:val="18"/>
          <w:szCs w:val="18"/>
          <w:lang w:eastAsia="ja-JP"/>
        </w:rPr>
        <w:br w:type="page"/>
      </w:r>
    </w:p>
    <w:p w14:paraId="288374C0" w14:textId="77777777" w:rsidR="00AD010B" w:rsidRDefault="00AD010B" w:rsidP="00314057">
      <w:pPr>
        <w:spacing w:before="40" w:after="40"/>
        <w:rPr>
          <w:rFonts w:asciiTheme="minorHAnsi" w:hAnsiTheme="minorHAnsi" w:cstheme="minorHAnsi"/>
          <w:b/>
          <w:sz w:val="18"/>
          <w:szCs w:val="18"/>
          <w:lang w:eastAsia="ja-JP"/>
        </w:rPr>
      </w:pPr>
    </w:p>
    <w:p w14:paraId="3FDBF6D1" w14:textId="469A7A75" w:rsidR="00447222" w:rsidRPr="00A00E9D" w:rsidRDefault="00447222" w:rsidP="00314057">
      <w:pPr>
        <w:spacing w:before="40" w:after="40"/>
        <w:rPr>
          <w:rFonts w:asciiTheme="minorHAnsi" w:hAnsiTheme="minorHAnsi" w:cstheme="minorHAnsi"/>
          <w:b/>
          <w:lang w:eastAsia="ja-JP"/>
        </w:rPr>
      </w:pPr>
      <w:r w:rsidRPr="00A00E9D">
        <w:rPr>
          <w:rFonts w:asciiTheme="minorHAnsi" w:hAnsiTheme="minorHAnsi" w:cstheme="minorHAnsi"/>
          <w:b/>
          <w:lang w:eastAsia="ja-JP"/>
        </w:rPr>
        <w:t>References:</w:t>
      </w:r>
    </w:p>
    <w:p w14:paraId="74988C4F" w14:textId="77777777" w:rsidR="009F014B" w:rsidRDefault="009F014B" w:rsidP="00447222">
      <w:pPr>
        <w:autoSpaceDE w:val="0"/>
        <w:autoSpaceDN w:val="0"/>
        <w:adjustRightInd w:val="0"/>
        <w:snapToGrid w:val="0"/>
        <w:spacing w:before="0"/>
        <w:rPr>
          <w:rFonts w:ascii="FSMe" w:eastAsia="Times New Roman" w:hAnsi="FSMe" w:cs="FSMe"/>
          <w:color w:val="000000"/>
          <w:sz w:val="16"/>
          <w:szCs w:val="24"/>
          <w:lang w:val="x-none" w:eastAsia="en-AU"/>
        </w:rPr>
      </w:pPr>
    </w:p>
    <w:p w14:paraId="19CA93DA" w14:textId="28C1B66F" w:rsidR="0040793D" w:rsidRDefault="0040793D" w:rsidP="009F014B">
      <w:pPr>
        <w:autoSpaceDE w:val="0"/>
        <w:autoSpaceDN w:val="0"/>
        <w:adjustRightInd w:val="0"/>
        <w:snapToGrid w:val="0"/>
        <w:spacing w:before="0"/>
        <w:rPr>
          <w:rFonts w:asciiTheme="minorHAnsi" w:hAnsiTheme="minorHAnsi" w:cstheme="minorHAnsi"/>
          <w:sz w:val="18"/>
          <w:szCs w:val="18"/>
        </w:rPr>
      </w:pPr>
      <w:bookmarkStart w:id="7" w:name="_Hlk152587745"/>
      <w:r w:rsidRPr="0040793D">
        <w:rPr>
          <w:rFonts w:asciiTheme="minorHAnsi" w:hAnsiTheme="minorHAnsi" w:cstheme="minorHAnsi"/>
          <w:color w:val="000000"/>
          <w:sz w:val="18"/>
          <w:szCs w:val="18"/>
          <w:shd w:val="clear" w:color="auto" w:fill="FFFFFF"/>
        </w:rPr>
        <w:t>ABARES 2021</w:t>
      </w:r>
      <w:r w:rsidR="000703C1">
        <w:rPr>
          <w:rFonts w:asciiTheme="minorHAnsi" w:hAnsiTheme="minorHAnsi" w:cstheme="minorHAnsi"/>
          <w:color w:val="000000"/>
          <w:sz w:val="18"/>
          <w:szCs w:val="18"/>
          <w:shd w:val="clear" w:color="auto" w:fill="FFFFFF"/>
        </w:rPr>
        <w:t xml:space="preserve">, </w:t>
      </w:r>
      <w:r w:rsidRPr="00F6789F">
        <w:rPr>
          <w:rFonts w:asciiTheme="minorHAnsi" w:hAnsiTheme="minorHAnsi" w:cstheme="minorHAnsi"/>
          <w:i/>
          <w:iCs/>
          <w:color w:val="000000"/>
          <w:sz w:val="18"/>
          <w:szCs w:val="18"/>
          <w:shd w:val="clear" w:color="auto" w:fill="FFFFFF"/>
        </w:rPr>
        <w:t>Catchment Scale Land Use of Australia – Update December 2020</w:t>
      </w:r>
      <w:r w:rsidRPr="0040793D">
        <w:rPr>
          <w:rFonts w:asciiTheme="minorHAnsi" w:hAnsiTheme="minorHAnsi" w:cstheme="minorHAnsi"/>
          <w:color w:val="000000"/>
          <w:sz w:val="18"/>
          <w:szCs w:val="18"/>
          <w:shd w:val="clear" w:color="auto" w:fill="FFFFFF"/>
        </w:rPr>
        <w:t xml:space="preserve">, Australian Bureau of Agricultural and Resource Economics and Sciences, Canberra, February, CC BY 4.0, </w:t>
      </w:r>
      <w:r w:rsidR="000703C1">
        <w:rPr>
          <w:rFonts w:asciiTheme="minorHAnsi" w:hAnsiTheme="minorHAnsi" w:cstheme="minorHAnsi"/>
          <w:color w:val="000000"/>
          <w:sz w:val="18"/>
          <w:szCs w:val="18"/>
          <w:shd w:val="clear" w:color="auto" w:fill="FFFFFF"/>
        </w:rPr>
        <w:t>DOI</w:t>
      </w:r>
      <w:r w:rsidR="00990E56">
        <w:rPr>
          <w:rFonts w:asciiTheme="minorHAnsi" w:hAnsiTheme="minorHAnsi" w:cstheme="minorHAnsi"/>
          <w:color w:val="000000"/>
          <w:sz w:val="18"/>
          <w:szCs w:val="18"/>
          <w:shd w:val="clear" w:color="auto" w:fill="FFFFFF"/>
        </w:rPr>
        <w:t xml:space="preserve">: </w:t>
      </w:r>
      <w:hyperlink r:id="rId22" w:tgtFrame="_blank" w:history="1">
        <w:r w:rsidRPr="0040793D">
          <w:rPr>
            <w:rStyle w:val="Hyperlink"/>
            <w:rFonts w:asciiTheme="minorHAnsi" w:hAnsiTheme="minorHAnsi" w:cstheme="minorHAnsi"/>
            <w:color w:val="006A94"/>
            <w:sz w:val="18"/>
            <w:szCs w:val="18"/>
            <w:shd w:val="clear" w:color="auto" w:fill="FFFFFF"/>
          </w:rPr>
          <w:t>10.25814/aqjw-rq15</w:t>
        </w:r>
      </w:hyperlink>
      <w:r>
        <w:rPr>
          <w:rFonts w:asciiTheme="minorHAnsi" w:hAnsiTheme="minorHAnsi" w:cstheme="minorHAnsi"/>
          <w:sz w:val="18"/>
          <w:szCs w:val="18"/>
        </w:rPr>
        <w:t xml:space="preserve"> </w:t>
      </w:r>
    </w:p>
    <w:bookmarkEnd w:id="7"/>
    <w:p w14:paraId="6D226130" w14:textId="77777777" w:rsidR="0040793D" w:rsidRDefault="0040793D" w:rsidP="009F014B">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p>
    <w:p w14:paraId="42F32488" w14:textId="5FB43D6F" w:rsidR="00EF247E" w:rsidRPr="00A00E9D" w:rsidRDefault="00A5753F" w:rsidP="009F014B">
      <w:pPr>
        <w:autoSpaceDE w:val="0"/>
        <w:autoSpaceDN w:val="0"/>
        <w:adjustRightInd w:val="0"/>
        <w:snapToGrid w:val="0"/>
        <w:spacing w:before="0"/>
        <w:rPr>
          <w:rFonts w:asciiTheme="minorHAnsi" w:hAnsiTheme="minorHAnsi" w:cstheme="minorHAnsi"/>
          <w:sz w:val="18"/>
          <w:szCs w:val="18"/>
        </w:rPr>
      </w:pPr>
      <w:r w:rsidRPr="00A00E9D">
        <w:rPr>
          <w:rFonts w:asciiTheme="minorHAnsi" w:eastAsia="Times New Roman" w:hAnsiTheme="minorHAnsi" w:cstheme="minorHAnsi"/>
          <w:color w:val="000000"/>
          <w:sz w:val="18"/>
          <w:szCs w:val="18"/>
          <w:lang w:eastAsia="en-AU"/>
        </w:rPr>
        <w:t>DISER (</w:t>
      </w:r>
      <w:r w:rsidR="00EF247E" w:rsidRPr="00A00E9D">
        <w:rPr>
          <w:rFonts w:asciiTheme="minorHAnsi" w:hAnsiTheme="minorHAnsi" w:cstheme="minorHAnsi"/>
          <w:sz w:val="18"/>
          <w:szCs w:val="18"/>
        </w:rPr>
        <w:t>Department of Industry, Science, Energy and Resources</w:t>
      </w:r>
      <w:r w:rsidR="00A00E9D">
        <w:rPr>
          <w:rStyle w:val="FootnoteReference"/>
          <w:rFonts w:asciiTheme="minorHAnsi" w:hAnsiTheme="minorHAnsi" w:cstheme="minorHAnsi"/>
          <w:sz w:val="18"/>
          <w:szCs w:val="18"/>
        </w:rPr>
        <w:footnoteReference w:id="4"/>
      </w:r>
      <w:r w:rsidRPr="00A00E9D">
        <w:rPr>
          <w:rFonts w:asciiTheme="minorHAnsi" w:hAnsiTheme="minorHAnsi" w:cstheme="minorHAnsi"/>
          <w:sz w:val="18"/>
          <w:szCs w:val="18"/>
        </w:rPr>
        <w:t>)</w:t>
      </w:r>
      <w:r w:rsidR="00EF247E" w:rsidRPr="00A00E9D">
        <w:rPr>
          <w:rFonts w:asciiTheme="minorHAnsi" w:hAnsiTheme="minorHAnsi" w:cstheme="minorHAnsi"/>
          <w:sz w:val="18"/>
          <w:szCs w:val="18"/>
        </w:rPr>
        <w:t xml:space="preserve"> 2021</w:t>
      </w:r>
      <w:r w:rsidRPr="00A00E9D">
        <w:rPr>
          <w:rFonts w:asciiTheme="minorHAnsi" w:hAnsiTheme="minorHAnsi" w:cstheme="minorHAnsi"/>
          <w:sz w:val="18"/>
          <w:szCs w:val="18"/>
        </w:rPr>
        <w:t>a</w:t>
      </w:r>
      <w:r w:rsidR="000703C1" w:rsidRPr="00A00E9D">
        <w:rPr>
          <w:rFonts w:asciiTheme="minorHAnsi" w:hAnsiTheme="minorHAnsi" w:cstheme="minorHAnsi"/>
          <w:sz w:val="18"/>
          <w:szCs w:val="18"/>
        </w:rPr>
        <w:t xml:space="preserve">, </w:t>
      </w:r>
      <w:hyperlink r:id="rId23" w:history="1">
        <w:r w:rsidR="00EF247E" w:rsidRPr="00A00E9D">
          <w:rPr>
            <w:rStyle w:val="Hyperlink"/>
            <w:rFonts w:asciiTheme="minorHAnsi" w:hAnsiTheme="minorHAnsi" w:cstheme="minorHAnsi"/>
            <w:sz w:val="18"/>
            <w:szCs w:val="18"/>
          </w:rPr>
          <w:t xml:space="preserve">National </w:t>
        </w:r>
        <w:r w:rsidR="000703C1" w:rsidRPr="00A00E9D">
          <w:rPr>
            <w:rStyle w:val="Hyperlink"/>
            <w:rFonts w:asciiTheme="minorHAnsi" w:hAnsiTheme="minorHAnsi" w:cstheme="minorHAnsi"/>
            <w:sz w:val="18"/>
            <w:szCs w:val="18"/>
          </w:rPr>
          <w:t>F</w:t>
        </w:r>
        <w:r w:rsidR="00EF247E" w:rsidRPr="00A00E9D">
          <w:rPr>
            <w:rStyle w:val="Hyperlink"/>
            <w:rFonts w:asciiTheme="minorHAnsi" w:hAnsiTheme="minorHAnsi" w:cstheme="minorHAnsi"/>
            <w:sz w:val="18"/>
            <w:szCs w:val="18"/>
          </w:rPr>
          <w:t xml:space="preserve">orest and </w:t>
        </w:r>
        <w:r w:rsidR="000703C1" w:rsidRPr="00A00E9D">
          <w:rPr>
            <w:rStyle w:val="Hyperlink"/>
            <w:rFonts w:asciiTheme="minorHAnsi" w:hAnsiTheme="minorHAnsi" w:cstheme="minorHAnsi"/>
            <w:sz w:val="18"/>
            <w:szCs w:val="18"/>
          </w:rPr>
          <w:t>Sparse Woody Vegetation D</w:t>
        </w:r>
        <w:r w:rsidR="00EF247E" w:rsidRPr="00A00E9D">
          <w:rPr>
            <w:rStyle w:val="Hyperlink"/>
            <w:rFonts w:asciiTheme="minorHAnsi" w:hAnsiTheme="minorHAnsi" w:cstheme="minorHAnsi"/>
            <w:sz w:val="18"/>
            <w:szCs w:val="18"/>
          </w:rPr>
          <w:t>ata</w:t>
        </w:r>
        <w:r w:rsidR="000703C1" w:rsidRPr="00A00E9D">
          <w:rPr>
            <w:rStyle w:val="Hyperlink"/>
            <w:rFonts w:asciiTheme="minorHAnsi" w:hAnsiTheme="minorHAnsi" w:cstheme="minorHAnsi"/>
            <w:sz w:val="18"/>
            <w:szCs w:val="18"/>
          </w:rPr>
          <w:t xml:space="preserve"> (</w:t>
        </w:r>
        <w:r w:rsidR="00EF247E" w:rsidRPr="00A00E9D">
          <w:rPr>
            <w:rStyle w:val="Hyperlink"/>
            <w:rFonts w:asciiTheme="minorHAnsi" w:hAnsiTheme="minorHAnsi" w:cstheme="minorHAnsi"/>
            <w:sz w:val="18"/>
            <w:szCs w:val="18"/>
          </w:rPr>
          <w:t>Version 5.0</w:t>
        </w:r>
        <w:r w:rsidR="000703C1" w:rsidRPr="00A00E9D">
          <w:rPr>
            <w:rStyle w:val="Hyperlink"/>
            <w:rFonts w:asciiTheme="minorHAnsi" w:hAnsiTheme="minorHAnsi" w:cstheme="minorHAnsi"/>
            <w:sz w:val="18"/>
            <w:szCs w:val="18"/>
          </w:rPr>
          <w:t xml:space="preserve"> – 2020 Release)</w:t>
        </w:r>
      </w:hyperlink>
      <w:r w:rsidR="000703C1" w:rsidRPr="00A00E9D">
        <w:rPr>
          <w:rFonts w:asciiTheme="minorHAnsi" w:hAnsiTheme="minorHAnsi" w:cstheme="minorHAnsi"/>
          <w:sz w:val="18"/>
          <w:szCs w:val="18"/>
        </w:rPr>
        <w:t xml:space="preserve">, </w:t>
      </w:r>
      <w:r w:rsidR="00EF247E" w:rsidRPr="00A00E9D">
        <w:rPr>
          <w:rFonts w:asciiTheme="minorHAnsi" w:hAnsiTheme="minorHAnsi" w:cstheme="minorHAnsi"/>
          <w:sz w:val="18"/>
          <w:szCs w:val="18"/>
        </w:rPr>
        <w:t>Commonwealth of Australia, Canberra.</w:t>
      </w:r>
    </w:p>
    <w:p w14:paraId="40E72E9E" w14:textId="77777777" w:rsidR="00A5753F" w:rsidRPr="00A5753F" w:rsidRDefault="00A5753F" w:rsidP="009F014B">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p>
    <w:p w14:paraId="3CDE7F9B" w14:textId="3CC98B3B" w:rsidR="00A5753F" w:rsidRPr="0040793D" w:rsidRDefault="00A5753F" w:rsidP="009F014B">
      <w:pPr>
        <w:autoSpaceDE w:val="0"/>
        <w:autoSpaceDN w:val="0"/>
        <w:adjustRightInd w:val="0"/>
        <w:snapToGrid w:val="0"/>
        <w:spacing w:before="0"/>
        <w:rPr>
          <w:rFonts w:asciiTheme="minorHAnsi" w:eastAsia="Times New Roman" w:hAnsiTheme="minorHAnsi" w:cstheme="minorHAnsi"/>
          <w:color w:val="000000"/>
          <w:sz w:val="18"/>
          <w:szCs w:val="18"/>
          <w:lang w:eastAsia="en-AU"/>
        </w:rPr>
      </w:pPr>
      <w:r w:rsidRPr="00A5753F">
        <w:rPr>
          <w:rFonts w:asciiTheme="minorHAnsi" w:eastAsia="Times New Roman" w:hAnsiTheme="minorHAnsi" w:cstheme="minorHAnsi"/>
          <w:color w:val="000000"/>
          <w:sz w:val="18"/>
          <w:szCs w:val="18"/>
          <w:lang w:eastAsia="en-AU"/>
        </w:rPr>
        <w:t>DISER (</w:t>
      </w:r>
      <w:r w:rsidRPr="0040793D">
        <w:rPr>
          <w:rFonts w:asciiTheme="minorHAnsi" w:hAnsiTheme="minorHAnsi" w:cstheme="minorHAnsi"/>
          <w:sz w:val="18"/>
          <w:szCs w:val="18"/>
        </w:rPr>
        <w:t>Department of Industry, Science, Energy and Resources</w:t>
      </w:r>
      <w:r w:rsidR="00A00E9D" w:rsidRPr="00A00E9D">
        <w:rPr>
          <w:rFonts w:asciiTheme="minorHAnsi" w:hAnsiTheme="minorHAnsi" w:cstheme="minorHAnsi"/>
          <w:sz w:val="18"/>
          <w:szCs w:val="18"/>
          <w:vertAlign w:val="superscript"/>
        </w:rPr>
        <w:t>3</w:t>
      </w:r>
      <w:r w:rsidRPr="0040793D">
        <w:rPr>
          <w:rFonts w:asciiTheme="minorHAnsi" w:hAnsiTheme="minorHAnsi" w:cstheme="minorHAnsi"/>
          <w:sz w:val="18"/>
          <w:szCs w:val="18"/>
        </w:rPr>
        <w:t>) 2021b</w:t>
      </w:r>
      <w:r w:rsidR="000703C1">
        <w:rPr>
          <w:rFonts w:asciiTheme="minorHAnsi" w:hAnsiTheme="minorHAnsi" w:cstheme="minorHAnsi"/>
          <w:sz w:val="18"/>
          <w:szCs w:val="18"/>
        </w:rPr>
        <w:t>,</w:t>
      </w:r>
      <w:r w:rsidRPr="0040793D">
        <w:rPr>
          <w:rFonts w:asciiTheme="minorHAnsi" w:hAnsiTheme="minorHAnsi" w:cstheme="minorHAnsi"/>
          <w:sz w:val="18"/>
          <w:szCs w:val="18"/>
        </w:rPr>
        <w:t xml:space="preserve"> </w:t>
      </w:r>
      <w:hyperlink r:id="rId24" w:history="1">
        <w:r w:rsidRPr="00A00E9D">
          <w:rPr>
            <w:rStyle w:val="Hyperlink"/>
            <w:rFonts w:asciiTheme="minorHAnsi" w:hAnsiTheme="minorHAnsi" w:cstheme="minorHAnsi"/>
            <w:sz w:val="18"/>
            <w:szCs w:val="18"/>
          </w:rPr>
          <w:t>National Inventory Report 2020, vol. 2,</w:t>
        </w:r>
      </w:hyperlink>
      <w:r w:rsidRPr="0040793D">
        <w:rPr>
          <w:rFonts w:asciiTheme="minorHAnsi" w:hAnsiTheme="minorHAnsi" w:cstheme="minorHAnsi"/>
          <w:sz w:val="18"/>
          <w:szCs w:val="18"/>
        </w:rPr>
        <w:t xml:space="preserve"> DISER, Canberra, May 2022.</w:t>
      </w:r>
    </w:p>
    <w:p w14:paraId="1ED4F16E" w14:textId="77777777" w:rsidR="00EF247E" w:rsidRDefault="00EF247E" w:rsidP="009F014B">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p>
    <w:p w14:paraId="1B4BB17B" w14:textId="738289B7" w:rsidR="009F014B" w:rsidRPr="0044426B" w:rsidRDefault="009F014B" w:rsidP="009F014B">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r w:rsidRPr="0044426B">
        <w:rPr>
          <w:rFonts w:asciiTheme="minorHAnsi" w:eastAsia="Times New Roman" w:hAnsiTheme="minorHAnsi" w:cstheme="minorHAnsi"/>
          <w:color w:val="000000"/>
          <w:sz w:val="18"/>
          <w:szCs w:val="18"/>
          <w:lang w:val="x-none" w:eastAsia="en-AU"/>
        </w:rPr>
        <w:t>D</w:t>
      </w:r>
      <w:r w:rsidR="002C406D" w:rsidRPr="0044426B">
        <w:rPr>
          <w:rFonts w:asciiTheme="minorHAnsi" w:eastAsia="Times New Roman" w:hAnsiTheme="minorHAnsi" w:cstheme="minorHAnsi"/>
          <w:color w:val="000000"/>
          <w:sz w:val="18"/>
          <w:szCs w:val="18"/>
          <w:lang w:eastAsia="en-AU"/>
        </w:rPr>
        <w:t xml:space="preserve">ISER </w:t>
      </w:r>
      <w:r w:rsidRPr="0044426B">
        <w:rPr>
          <w:rFonts w:asciiTheme="minorHAnsi" w:eastAsia="Times New Roman" w:hAnsiTheme="minorHAnsi" w:cstheme="minorHAnsi"/>
          <w:color w:val="000000"/>
          <w:sz w:val="18"/>
          <w:szCs w:val="18"/>
          <w:lang w:val="x-none" w:eastAsia="en-AU"/>
        </w:rPr>
        <w:t xml:space="preserve">(Department of </w:t>
      </w:r>
      <w:r w:rsidR="002C406D" w:rsidRPr="0044426B">
        <w:rPr>
          <w:rFonts w:asciiTheme="minorHAnsi" w:hAnsiTheme="minorHAnsi" w:cstheme="minorHAnsi"/>
          <w:sz w:val="18"/>
          <w:szCs w:val="18"/>
        </w:rPr>
        <w:t>Industry, Science, Energy and Resources)</w:t>
      </w:r>
      <w:r w:rsidR="00D27BE2">
        <w:rPr>
          <w:rFonts w:asciiTheme="minorHAnsi" w:hAnsiTheme="minorHAnsi" w:cstheme="minorHAnsi"/>
          <w:sz w:val="18"/>
          <w:szCs w:val="18"/>
        </w:rPr>
        <w:t xml:space="preserve"> 2022,</w:t>
      </w:r>
      <w:r w:rsidRPr="0044426B">
        <w:rPr>
          <w:rFonts w:asciiTheme="minorHAnsi" w:eastAsia="Times New Roman" w:hAnsiTheme="minorHAnsi" w:cstheme="minorHAnsi"/>
          <w:color w:val="000000"/>
          <w:sz w:val="18"/>
          <w:szCs w:val="18"/>
          <w:lang w:eastAsia="en-AU"/>
        </w:rPr>
        <w:t xml:space="preserve"> </w:t>
      </w:r>
      <w:r w:rsidR="002C406D" w:rsidRPr="00302674">
        <w:rPr>
          <w:rFonts w:asciiTheme="minorHAnsi" w:hAnsiTheme="minorHAnsi" w:cstheme="minorHAnsi"/>
          <w:i/>
          <w:iCs/>
          <w:sz w:val="18"/>
          <w:szCs w:val="18"/>
        </w:rPr>
        <w:t xml:space="preserve">National Inventory Report </w:t>
      </w:r>
      <w:r w:rsidR="00D27BE2">
        <w:rPr>
          <w:rFonts w:asciiTheme="minorHAnsi" w:hAnsiTheme="minorHAnsi" w:cstheme="minorHAnsi"/>
          <w:i/>
          <w:iCs/>
          <w:sz w:val="18"/>
          <w:szCs w:val="18"/>
        </w:rPr>
        <w:t>2020</w:t>
      </w:r>
      <w:r w:rsidR="00175792" w:rsidRPr="00175792">
        <w:rPr>
          <w:rFonts w:asciiTheme="minorHAnsi" w:hAnsiTheme="minorHAnsi" w:cstheme="minorHAnsi"/>
          <w:i/>
          <w:iCs/>
          <w:sz w:val="18"/>
          <w:szCs w:val="18"/>
          <w:vertAlign w:val="superscript"/>
        </w:rPr>
        <w:t>3</w:t>
      </w:r>
      <w:r w:rsidR="00175792">
        <w:rPr>
          <w:rFonts w:asciiTheme="minorHAnsi" w:hAnsiTheme="minorHAnsi" w:cstheme="minorHAnsi"/>
          <w:i/>
          <w:iCs/>
          <w:sz w:val="18"/>
          <w:szCs w:val="18"/>
        </w:rPr>
        <w:t>,</w:t>
      </w:r>
      <w:r w:rsidR="00D27BE2">
        <w:rPr>
          <w:rFonts w:asciiTheme="minorHAnsi" w:hAnsiTheme="minorHAnsi" w:cstheme="minorHAnsi"/>
          <w:i/>
          <w:iCs/>
          <w:sz w:val="18"/>
          <w:szCs w:val="18"/>
        </w:rPr>
        <w:t xml:space="preserve"> </w:t>
      </w:r>
      <w:r w:rsidR="002C406D" w:rsidRPr="00302674">
        <w:rPr>
          <w:rFonts w:asciiTheme="minorHAnsi" w:hAnsiTheme="minorHAnsi" w:cstheme="minorHAnsi"/>
          <w:i/>
          <w:iCs/>
          <w:sz w:val="18"/>
          <w:szCs w:val="18"/>
        </w:rPr>
        <w:t>Vol</w:t>
      </w:r>
      <w:r w:rsidR="00175792">
        <w:rPr>
          <w:rFonts w:asciiTheme="minorHAnsi" w:hAnsiTheme="minorHAnsi" w:cstheme="minorHAnsi"/>
          <w:i/>
          <w:iCs/>
          <w:sz w:val="18"/>
          <w:szCs w:val="18"/>
        </w:rPr>
        <w:t>.</w:t>
      </w:r>
      <w:r w:rsidR="002C406D" w:rsidRPr="00302674">
        <w:rPr>
          <w:rFonts w:asciiTheme="minorHAnsi" w:hAnsiTheme="minorHAnsi" w:cstheme="minorHAnsi"/>
          <w:i/>
          <w:iCs/>
          <w:sz w:val="18"/>
          <w:szCs w:val="18"/>
        </w:rPr>
        <w:t xml:space="preserve"> 2</w:t>
      </w:r>
      <w:r w:rsidR="002C406D" w:rsidRPr="0044426B">
        <w:rPr>
          <w:rFonts w:asciiTheme="minorHAnsi" w:hAnsiTheme="minorHAnsi" w:cstheme="minorHAnsi"/>
          <w:sz w:val="18"/>
          <w:szCs w:val="18"/>
        </w:rPr>
        <w:t>, Australian Government Department of Industry, Science, Energy and Resources.</w:t>
      </w:r>
      <w:r w:rsidR="002C406D" w:rsidRPr="0044426B">
        <w:rPr>
          <w:rFonts w:asciiTheme="minorHAnsi" w:eastAsia="Times New Roman" w:hAnsiTheme="minorHAnsi" w:cstheme="minorHAnsi"/>
          <w:i/>
          <w:color w:val="000000"/>
          <w:sz w:val="18"/>
          <w:szCs w:val="18"/>
          <w:lang w:val="x-none" w:eastAsia="en-AU"/>
        </w:rPr>
        <w:t xml:space="preserve"> </w:t>
      </w:r>
      <w:r w:rsidRPr="0044426B">
        <w:rPr>
          <w:rFonts w:asciiTheme="minorHAnsi" w:eastAsia="Times New Roman" w:hAnsiTheme="minorHAnsi" w:cstheme="minorHAnsi"/>
          <w:color w:val="000000"/>
          <w:sz w:val="18"/>
          <w:szCs w:val="18"/>
          <w:lang w:val="x-none" w:eastAsia="en-AU"/>
        </w:rPr>
        <w:t>Canberra.</w:t>
      </w:r>
    </w:p>
    <w:p w14:paraId="41E47C0C" w14:textId="77777777" w:rsidR="009F014B" w:rsidRPr="0044426B" w:rsidRDefault="009F014B" w:rsidP="00447222">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p>
    <w:p w14:paraId="7CA12796" w14:textId="69600506" w:rsidR="00BF7FBD" w:rsidRDefault="00BF7FBD" w:rsidP="009F014B">
      <w:pPr>
        <w:autoSpaceDE w:val="0"/>
        <w:autoSpaceDN w:val="0"/>
        <w:adjustRightInd w:val="0"/>
        <w:snapToGrid w:val="0"/>
        <w:spacing w:before="0"/>
        <w:rPr>
          <w:rStyle w:val="cf01"/>
          <w:rFonts w:ascii="Calibri Light" w:hAnsi="Calibri Light" w:cs="Calibri Light"/>
          <w:sz w:val="16"/>
          <w:szCs w:val="16"/>
        </w:rPr>
      </w:pPr>
      <w:r w:rsidRPr="0040793D">
        <w:rPr>
          <w:rStyle w:val="cf01"/>
          <w:rFonts w:asciiTheme="minorHAnsi" w:hAnsiTheme="minorHAnsi" w:cstheme="minorHAnsi"/>
        </w:rPr>
        <w:t>Legg P, Frakes I</w:t>
      </w:r>
      <w:r w:rsidR="00D27BE2">
        <w:rPr>
          <w:rStyle w:val="cf01"/>
          <w:rFonts w:asciiTheme="minorHAnsi" w:hAnsiTheme="minorHAnsi" w:cstheme="minorHAnsi"/>
        </w:rPr>
        <w:t xml:space="preserve"> &amp; </w:t>
      </w:r>
      <w:r w:rsidRPr="0040793D">
        <w:rPr>
          <w:rStyle w:val="cf01"/>
          <w:rFonts w:asciiTheme="minorHAnsi" w:hAnsiTheme="minorHAnsi" w:cstheme="minorHAnsi"/>
        </w:rPr>
        <w:t>Gavran M 2021</w:t>
      </w:r>
      <w:r w:rsidR="00D27BE2">
        <w:rPr>
          <w:rStyle w:val="cf01"/>
          <w:rFonts w:asciiTheme="minorHAnsi" w:hAnsiTheme="minorHAnsi" w:cstheme="minorHAnsi"/>
        </w:rPr>
        <w:t>,</w:t>
      </w:r>
      <w:r w:rsidRPr="0040793D">
        <w:rPr>
          <w:rStyle w:val="cf11"/>
          <w:rFonts w:asciiTheme="minorHAnsi" w:hAnsiTheme="minorHAnsi" w:cstheme="minorHAnsi"/>
        </w:rPr>
        <w:t xml:space="preserve"> Australian plantation statistics and log availability report 2021</w:t>
      </w:r>
      <w:r w:rsidRPr="0040793D">
        <w:rPr>
          <w:rStyle w:val="cf01"/>
          <w:rFonts w:asciiTheme="minorHAnsi" w:hAnsiTheme="minorHAnsi" w:cstheme="minorHAnsi"/>
        </w:rPr>
        <w:t>. ABARES research report. Canberra, October. CC BY 4.0</w:t>
      </w:r>
      <w:r w:rsidR="00D27BE2">
        <w:rPr>
          <w:rStyle w:val="cf01"/>
          <w:rFonts w:asciiTheme="minorHAnsi" w:hAnsiTheme="minorHAnsi" w:cstheme="minorHAnsi"/>
        </w:rPr>
        <w:t>.</w:t>
      </w:r>
      <w:r w:rsidR="00175792" w:rsidRPr="00175792">
        <w:rPr>
          <w:rStyle w:val="cf01"/>
          <w:rFonts w:asciiTheme="minorHAnsi" w:hAnsiTheme="minorHAnsi" w:cstheme="minorHAnsi"/>
        </w:rPr>
        <w:t xml:space="preserve"> </w:t>
      </w:r>
      <w:r w:rsidR="00175792" w:rsidRPr="0040793D">
        <w:rPr>
          <w:rStyle w:val="cf01"/>
          <w:rFonts w:asciiTheme="minorHAnsi" w:hAnsiTheme="minorHAnsi" w:cstheme="minorHAnsi"/>
        </w:rPr>
        <w:t xml:space="preserve">DOI: </w:t>
      </w:r>
      <w:hyperlink r:id="rId25" w:history="1">
        <w:r w:rsidR="00175792" w:rsidRPr="00175792">
          <w:rPr>
            <w:rStyle w:val="Hyperlink"/>
            <w:rFonts w:asciiTheme="minorHAnsi" w:hAnsiTheme="minorHAnsi" w:cstheme="minorHAnsi"/>
            <w:sz w:val="18"/>
            <w:szCs w:val="18"/>
          </w:rPr>
          <w:t>www.doi.org/10.25814/xj7c-p829</w:t>
        </w:r>
      </w:hyperlink>
      <w:r w:rsidR="00175792" w:rsidRPr="0040793D">
        <w:rPr>
          <w:rStyle w:val="cf01"/>
          <w:rFonts w:asciiTheme="minorHAnsi" w:hAnsiTheme="minorHAnsi" w:cstheme="minorHAnsi"/>
        </w:rPr>
        <w:t>.</w:t>
      </w:r>
    </w:p>
    <w:p w14:paraId="5EFA698E" w14:textId="77777777" w:rsidR="00BF7FBD" w:rsidRDefault="00BF7FBD" w:rsidP="009F014B">
      <w:pPr>
        <w:autoSpaceDE w:val="0"/>
        <w:autoSpaceDN w:val="0"/>
        <w:adjustRightInd w:val="0"/>
        <w:snapToGrid w:val="0"/>
        <w:spacing w:before="0"/>
        <w:rPr>
          <w:rFonts w:asciiTheme="minorHAnsi" w:eastAsia="Times New Roman" w:hAnsiTheme="minorHAnsi" w:cstheme="minorHAnsi"/>
          <w:color w:val="000000"/>
          <w:sz w:val="18"/>
          <w:szCs w:val="18"/>
          <w:lang w:eastAsia="en-AU"/>
        </w:rPr>
      </w:pPr>
    </w:p>
    <w:p w14:paraId="7577B352" w14:textId="2DBC8AAF" w:rsidR="00447222" w:rsidRPr="0044426B" w:rsidRDefault="00447222" w:rsidP="009F014B">
      <w:pPr>
        <w:autoSpaceDE w:val="0"/>
        <w:autoSpaceDN w:val="0"/>
        <w:adjustRightInd w:val="0"/>
        <w:snapToGrid w:val="0"/>
        <w:spacing w:before="0"/>
        <w:rPr>
          <w:rFonts w:asciiTheme="minorHAnsi" w:eastAsia="Times New Roman" w:hAnsiTheme="minorHAnsi" w:cstheme="minorHAnsi"/>
          <w:color w:val="000000"/>
          <w:sz w:val="18"/>
          <w:szCs w:val="18"/>
          <w:lang w:val="x-none" w:eastAsia="en-AU"/>
        </w:rPr>
      </w:pPr>
      <w:bookmarkStart w:id="8" w:name="_Hlk152587776"/>
      <w:r w:rsidRPr="0044426B">
        <w:rPr>
          <w:rFonts w:asciiTheme="minorHAnsi" w:eastAsia="Times New Roman" w:hAnsiTheme="minorHAnsi" w:cstheme="minorHAnsi"/>
          <w:color w:val="000000"/>
          <w:sz w:val="18"/>
          <w:szCs w:val="18"/>
          <w:lang w:val="x-none" w:eastAsia="en-AU"/>
        </w:rPr>
        <w:t xml:space="preserve">Mutendeudzi M, Read S, Howell C, Davey S </w:t>
      </w:r>
      <w:r w:rsidR="00D27BE2">
        <w:rPr>
          <w:rFonts w:asciiTheme="minorHAnsi" w:eastAsia="Times New Roman" w:hAnsiTheme="minorHAnsi" w:cstheme="minorHAnsi"/>
          <w:color w:val="000000"/>
          <w:sz w:val="18"/>
          <w:szCs w:val="18"/>
          <w:lang w:eastAsia="en-AU"/>
        </w:rPr>
        <w:t>&amp;</w:t>
      </w:r>
      <w:r w:rsidR="00D27BE2" w:rsidRPr="0044426B">
        <w:rPr>
          <w:rFonts w:asciiTheme="minorHAnsi" w:eastAsia="Times New Roman" w:hAnsiTheme="minorHAnsi" w:cstheme="minorHAnsi"/>
          <w:color w:val="000000"/>
          <w:sz w:val="18"/>
          <w:szCs w:val="18"/>
          <w:lang w:val="x-none" w:eastAsia="en-AU"/>
        </w:rPr>
        <w:t xml:space="preserve"> </w:t>
      </w:r>
      <w:r w:rsidRPr="0044426B">
        <w:rPr>
          <w:rFonts w:asciiTheme="minorHAnsi" w:eastAsia="Times New Roman" w:hAnsiTheme="minorHAnsi" w:cstheme="minorHAnsi"/>
          <w:color w:val="000000"/>
          <w:sz w:val="18"/>
          <w:szCs w:val="18"/>
          <w:lang w:val="x-none" w:eastAsia="en-AU"/>
        </w:rPr>
        <w:t>Clancy T 2013b).</w:t>
      </w:r>
      <w:r w:rsidR="009F014B" w:rsidRPr="0044426B">
        <w:rPr>
          <w:rFonts w:asciiTheme="minorHAnsi" w:eastAsia="Times New Roman" w:hAnsiTheme="minorHAnsi" w:cstheme="minorHAnsi"/>
          <w:color w:val="000000"/>
          <w:sz w:val="18"/>
          <w:szCs w:val="18"/>
          <w:lang w:eastAsia="en-AU"/>
        </w:rPr>
        <w:t xml:space="preserve"> </w:t>
      </w:r>
      <w:r w:rsidRPr="0044426B">
        <w:rPr>
          <w:rFonts w:asciiTheme="minorHAnsi" w:eastAsia="Times New Roman" w:hAnsiTheme="minorHAnsi" w:cstheme="minorHAnsi"/>
          <w:i/>
          <w:color w:val="000000"/>
          <w:sz w:val="18"/>
          <w:szCs w:val="18"/>
          <w:lang w:val="x-none" w:eastAsia="en-AU"/>
        </w:rPr>
        <w:t>A ‘Multiple Lines of Evidence’ approach to Australia’s forest</w:t>
      </w:r>
      <w:r w:rsidRPr="0044426B">
        <w:rPr>
          <w:rFonts w:asciiTheme="minorHAnsi" w:eastAsia="Times New Roman" w:hAnsiTheme="minorHAnsi" w:cstheme="minorHAnsi"/>
          <w:i/>
          <w:color w:val="000000"/>
          <w:sz w:val="18"/>
          <w:szCs w:val="18"/>
          <w:lang w:eastAsia="en-AU"/>
        </w:rPr>
        <w:t xml:space="preserve"> </w:t>
      </w:r>
      <w:r w:rsidRPr="0044426B">
        <w:rPr>
          <w:rFonts w:asciiTheme="minorHAnsi" w:eastAsia="Times New Roman" w:hAnsiTheme="minorHAnsi" w:cstheme="minorHAnsi"/>
          <w:i/>
          <w:color w:val="000000"/>
          <w:sz w:val="18"/>
          <w:szCs w:val="18"/>
          <w:lang w:val="x-none" w:eastAsia="en-AU"/>
        </w:rPr>
        <w:t xml:space="preserve">cover estimate. </w:t>
      </w:r>
      <w:r w:rsidRPr="0044426B">
        <w:rPr>
          <w:rFonts w:asciiTheme="minorHAnsi" w:eastAsia="Times New Roman" w:hAnsiTheme="minorHAnsi" w:cstheme="minorHAnsi"/>
          <w:color w:val="000000"/>
          <w:sz w:val="18"/>
          <w:szCs w:val="18"/>
          <w:lang w:val="x-none" w:eastAsia="en-AU"/>
        </w:rPr>
        <w:t>In: Managing our Forests into the 21st</w:t>
      </w:r>
      <w:r w:rsidRPr="0044426B">
        <w:rPr>
          <w:rFonts w:asciiTheme="minorHAnsi" w:eastAsia="Times New Roman" w:hAnsiTheme="minorHAnsi" w:cstheme="minorHAnsi"/>
          <w:i/>
          <w:color w:val="000000"/>
          <w:sz w:val="18"/>
          <w:szCs w:val="18"/>
          <w:lang w:eastAsia="en-AU"/>
        </w:rPr>
        <w:t xml:space="preserve"> </w:t>
      </w:r>
      <w:r w:rsidRPr="0044426B">
        <w:rPr>
          <w:rFonts w:asciiTheme="minorHAnsi" w:eastAsia="Times New Roman" w:hAnsiTheme="minorHAnsi" w:cstheme="minorHAnsi"/>
          <w:color w:val="000000"/>
          <w:sz w:val="18"/>
          <w:szCs w:val="18"/>
          <w:lang w:val="x-none" w:eastAsia="en-AU"/>
        </w:rPr>
        <w:t>Century, Proceedings of the Institute of Foresters of Australia</w:t>
      </w:r>
      <w:r w:rsidRPr="0044426B">
        <w:rPr>
          <w:rFonts w:asciiTheme="minorHAnsi" w:eastAsia="Times New Roman" w:hAnsiTheme="minorHAnsi" w:cstheme="minorHAnsi"/>
          <w:i/>
          <w:color w:val="000000"/>
          <w:sz w:val="18"/>
          <w:szCs w:val="18"/>
          <w:lang w:eastAsia="en-AU"/>
        </w:rPr>
        <w:t xml:space="preserve"> </w:t>
      </w:r>
      <w:r w:rsidRPr="0044426B">
        <w:rPr>
          <w:rFonts w:asciiTheme="minorHAnsi" w:eastAsia="Times New Roman" w:hAnsiTheme="minorHAnsi" w:cstheme="minorHAnsi"/>
          <w:color w:val="000000"/>
          <w:sz w:val="18"/>
          <w:szCs w:val="18"/>
          <w:lang w:val="x-none" w:eastAsia="en-AU"/>
        </w:rPr>
        <w:t>Conference, Canberra, 7–11 April 2013, Institute of Foresters of</w:t>
      </w:r>
      <w:r w:rsidRPr="0044426B">
        <w:rPr>
          <w:rFonts w:asciiTheme="minorHAnsi" w:eastAsia="Times New Roman" w:hAnsiTheme="minorHAnsi" w:cstheme="minorHAnsi"/>
          <w:color w:val="000000"/>
          <w:sz w:val="18"/>
          <w:szCs w:val="18"/>
          <w:lang w:eastAsia="en-AU"/>
        </w:rPr>
        <w:t xml:space="preserve"> Australia, Canberra</w:t>
      </w:r>
    </w:p>
    <w:bookmarkEnd w:id="8"/>
    <w:p w14:paraId="0C273E43" w14:textId="77777777" w:rsidR="00447222" w:rsidRPr="0044426B" w:rsidRDefault="00447222" w:rsidP="00447222">
      <w:pPr>
        <w:spacing w:before="40" w:after="40"/>
        <w:rPr>
          <w:rFonts w:asciiTheme="minorHAnsi" w:hAnsiTheme="minorHAnsi" w:cstheme="minorHAnsi"/>
          <w:sz w:val="18"/>
          <w:szCs w:val="18"/>
          <w:lang w:eastAsia="ja-JP"/>
        </w:rPr>
      </w:pPr>
    </w:p>
    <w:p w14:paraId="588C525A" w14:textId="5B846FD4" w:rsidR="00447222" w:rsidRPr="0044426B" w:rsidRDefault="00447222" w:rsidP="009F014B">
      <w:pPr>
        <w:pStyle w:val="ListParagraph"/>
        <w:autoSpaceDE w:val="0"/>
        <w:autoSpaceDN w:val="0"/>
        <w:adjustRightInd w:val="0"/>
        <w:snapToGrid w:val="0"/>
        <w:spacing w:before="0"/>
        <w:ind w:left="0"/>
        <w:rPr>
          <w:rFonts w:asciiTheme="minorHAnsi" w:eastAsia="Times New Roman" w:hAnsiTheme="minorHAnsi" w:cstheme="minorHAnsi"/>
          <w:color w:val="000000"/>
          <w:sz w:val="18"/>
          <w:szCs w:val="18"/>
          <w:lang w:val="x-none" w:eastAsia="en-AU"/>
        </w:rPr>
      </w:pPr>
      <w:r w:rsidRPr="0044426B">
        <w:rPr>
          <w:rFonts w:asciiTheme="minorHAnsi" w:eastAsia="Times New Roman" w:hAnsiTheme="minorHAnsi" w:cstheme="minorHAnsi"/>
          <w:color w:val="000000"/>
          <w:sz w:val="18"/>
          <w:szCs w:val="18"/>
          <w:lang w:val="x-none" w:eastAsia="en-AU"/>
        </w:rPr>
        <w:t xml:space="preserve">Scarth P, </w:t>
      </w:r>
      <w:proofErr w:type="spellStart"/>
      <w:r w:rsidRPr="0044426B">
        <w:rPr>
          <w:rFonts w:asciiTheme="minorHAnsi" w:eastAsia="Times New Roman" w:hAnsiTheme="minorHAnsi" w:cstheme="minorHAnsi"/>
          <w:color w:val="000000"/>
          <w:sz w:val="18"/>
          <w:szCs w:val="18"/>
          <w:lang w:val="x-none" w:eastAsia="en-AU"/>
        </w:rPr>
        <w:t>Armston</w:t>
      </w:r>
      <w:proofErr w:type="spellEnd"/>
      <w:r w:rsidRPr="0044426B">
        <w:rPr>
          <w:rFonts w:asciiTheme="minorHAnsi" w:eastAsia="Times New Roman" w:hAnsiTheme="minorHAnsi" w:cstheme="minorHAnsi"/>
          <w:color w:val="000000"/>
          <w:sz w:val="18"/>
          <w:szCs w:val="18"/>
          <w:lang w:val="x-none" w:eastAsia="en-AU"/>
        </w:rPr>
        <w:t xml:space="preserve"> J </w:t>
      </w:r>
      <w:r w:rsidR="00D27BE2">
        <w:rPr>
          <w:rFonts w:asciiTheme="minorHAnsi" w:eastAsia="Times New Roman" w:hAnsiTheme="minorHAnsi" w:cstheme="minorHAnsi"/>
          <w:color w:val="000000"/>
          <w:sz w:val="18"/>
          <w:szCs w:val="18"/>
          <w:lang w:eastAsia="en-AU"/>
        </w:rPr>
        <w:t>&amp;</w:t>
      </w:r>
      <w:r w:rsidR="00D27BE2" w:rsidRPr="0044426B">
        <w:rPr>
          <w:rFonts w:asciiTheme="minorHAnsi" w:eastAsia="Times New Roman" w:hAnsiTheme="minorHAnsi" w:cstheme="minorHAnsi"/>
          <w:color w:val="000000"/>
          <w:sz w:val="18"/>
          <w:szCs w:val="18"/>
          <w:lang w:val="x-none" w:eastAsia="en-AU"/>
        </w:rPr>
        <w:t xml:space="preserve"> </w:t>
      </w:r>
      <w:r w:rsidRPr="0044426B">
        <w:rPr>
          <w:rFonts w:asciiTheme="minorHAnsi" w:eastAsia="Times New Roman" w:hAnsiTheme="minorHAnsi" w:cstheme="minorHAnsi"/>
          <w:color w:val="000000"/>
          <w:sz w:val="18"/>
          <w:szCs w:val="18"/>
          <w:lang w:val="x-none" w:eastAsia="en-AU"/>
        </w:rPr>
        <w:t>Danaher T 2008</w:t>
      </w:r>
      <w:r w:rsidR="00D27BE2">
        <w:rPr>
          <w:rFonts w:asciiTheme="minorHAnsi" w:eastAsia="Times New Roman" w:hAnsiTheme="minorHAnsi" w:cstheme="minorHAnsi"/>
          <w:color w:val="000000"/>
          <w:sz w:val="18"/>
          <w:szCs w:val="18"/>
          <w:lang w:eastAsia="en-AU"/>
        </w:rPr>
        <w:t>,</w:t>
      </w:r>
      <w:r w:rsidRPr="0044426B">
        <w:rPr>
          <w:rFonts w:asciiTheme="minorHAnsi" w:eastAsia="Times New Roman" w:hAnsiTheme="minorHAnsi" w:cstheme="minorHAnsi"/>
          <w:color w:val="000000"/>
          <w:sz w:val="18"/>
          <w:szCs w:val="18"/>
          <w:lang w:val="x-none" w:eastAsia="en-AU"/>
        </w:rPr>
        <w:t xml:space="preserve"> </w:t>
      </w:r>
      <w:r w:rsidRPr="0044426B">
        <w:rPr>
          <w:rFonts w:asciiTheme="minorHAnsi" w:eastAsia="Times New Roman" w:hAnsiTheme="minorHAnsi" w:cstheme="minorHAnsi"/>
          <w:i/>
          <w:color w:val="000000"/>
          <w:sz w:val="18"/>
          <w:szCs w:val="18"/>
          <w:lang w:val="x-none" w:eastAsia="en-AU"/>
        </w:rPr>
        <w:t>On the relationship</w:t>
      </w:r>
      <w:r w:rsidR="009F014B" w:rsidRPr="0044426B">
        <w:rPr>
          <w:rFonts w:asciiTheme="minorHAnsi" w:eastAsia="Times New Roman" w:hAnsiTheme="minorHAnsi" w:cstheme="minorHAnsi"/>
          <w:i/>
          <w:color w:val="000000"/>
          <w:sz w:val="18"/>
          <w:szCs w:val="18"/>
          <w:lang w:eastAsia="en-AU"/>
        </w:rPr>
        <w:t xml:space="preserve"> </w:t>
      </w:r>
      <w:r w:rsidRPr="0044426B">
        <w:rPr>
          <w:rFonts w:asciiTheme="minorHAnsi" w:eastAsia="Times New Roman" w:hAnsiTheme="minorHAnsi" w:cstheme="minorHAnsi"/>
          <w:i/>
          <w:color w:val="000000"/>
          <w:sz w:val="18"/>
          <w:szCs w:val="18"/>
          <w:lang w:val="x-none" w:eastAsia="en-AU"/>
        </w:rPr>
        <w:t>between crown cover, foliage projective cover and leaf area</w:t>
      </w:r>
      <w:r w:rsidR="009F014B" w:rsidRPr="0044426B">
        <w:rPr>
          <w:rFonts w:asciiTheme="minorHAnsi" w:eastAsia="Times New Roman" w:hAnsiTheme="minorHAnsi" w:cstheme="minorHAnsi"/>
          <w:i/>
          <w:color w:val="000000"/>
          <w:sz w:val="18"/>
          <w:szCs w:val="18"/>
          <w:lang w:eastAsia="en-AU"/>
        </w:rPr>
        <w:t xml:space="preserve"> </w:t>
      </w:r>
      <w:r w:rsidRPr="0044426B">
        <w:rPr>
          <w:rFonts w:asciiTheme="minorHAnsi" w:eastAsia="Times New Roman" w:hAnsiTheme="minorHAnsi" w:cstheme="minorHAnsi"/>
          <w:i/>
          <w:color w:val="000000"/>
          <w:sz w:val="18"/>
          <w:szCs w:val="18"/>
          <w:lang w:val="x-none" w:eastAsia="en-AU"/>
        </w:rPr>
        <w:t xml:space="preserve">index. </w:t>
      </w:r>
      <w:r w:rsidRPr="0044426B">
        <w:rPr>
          <w:rFonts w:asciiTheme="minorHAnsi" w:eastAsia="Times New Roman" w:hAnsiTheme="minorHAnsi" w:cstheme="minorHAnsi"/>
          <w:color w:val="000000"/>
          <w:sz w:val="18"/>
          <w:szCs w:val="18"/>
          <w:lang w:val="x-none" w:eastAsia="en-AU"/>
        </w:rPr>
        <w:t>Proceedings of 14th Australasian Remote Sensing and</w:t>
      </w:r>
      <w:r w:rsidR="009F014B" w:rsidRPr="0044426B">
        <w:rPr>
          <w:rFonts w:asciiTheme="minorHAnsi" w:eastAsia="Times New Roman" w:hAnsiTheme="minorHAnsi" w:cstheme="minorHAnsi"/>
          <w:color w:val="000000"/>
          <w:sz w:val="18"/>
          <w:szCs w:val="18"/>
          <w:lang w:eastAsia="en-AU"/>
        </w:rPr>
        <w:t xml:space="preserve"> </w:t>
      </w:r>
      <w:r w:rsidRPr="0044426B">
        <w:rPr>
          <w:rFonts w:asciiTheme="minorHAnsi" w:eastAsia="Times New Roman" w:hAnsiTheme="minorHAnsi" w:cstheme="minorHAnsi"/>
          <w:color w:val="000000"/>
          <w:sz w:val="18"/>
          <w:szCs w:val="18"/>
          <w:lang w:val="x-none" w:eastAsia="en-AU"/>
        </w:rPr>
        <w:t>Photogrammetry Conference, Darwin.</w:t>
      </w:r>
    </w:p>
    <w:p w14:paraId="5CF11BD8" w14:textId="77777777" w:rsidR="006B026D" w:rsidRPr="0044426B" w:rsidRDefault="006B026D" w:rsidP="009F014B">
      <w:pPr>
        <w:pStyle w:val="ListParagraph"/>
        <w:autoSpaceDE w:val="0"/>
        <w:autoSpaceDN w:val="0"/>
        <w:adjustRightInd w:val="0"/>
        <w:snapToGrid w:val="0"/>
        <w:spacing w:before="0"/>
        <w:ind w:left="0"/>
        <w:rPr>
          <w:rFonts w:asciiTheme="minorHAnsi" w:eastAsia="Times New Roman" w:hAnsiTheme="minorHAnsi" w:cstheme="minorHAnsi"/>
          <w:color w:val="000000"/>
          <w:sz w:val="18"/>
          <w:szCs w:val="18"/>
          <w:lang w:val="x-none" w:eastAsia="en-AU"/>
        </w:rPr>
      </w:pPr>
    </w:p>
    <w:p w14:paraId="0F23392A" w14:textId="73DF9617" w:rsidR="006B026D" w:rsidRPr="0044426B" w:rsidRDefault="006B026D" w:rsidP="006E0105">
      <w:pPr>
        <w:pStyle w:val="ListParagraph"/>
        <w:autoSpaceDE w:val="0"/>
        <w:autoSpaceDN w:val="0"/>
        <w:adjustRightInd w:val="0"/>
        <w:snapToGrid w:val="0"/>
        <w:spacing w:before="0"/>
        <w:ind w:left="0"/>
        <w:rPr>
          <w:rFonts w:asciiTheme="minorHAnsi" w:hAnsiTheme="minorHAnsi" w:cstheme="minorHAnsi"/>
          <w:sz w:val="18"/>
          <w:szCs w:val="18"/>
        </w:rPr>
      </w:pPr>
      <w:bookmarkStart w:id="9" w:name="_Hlk152587842"/>
      <w:r w:rsidRPr="0044426B">
        <w:rPr>
          <w:rFonts w:asciiTheme="minorHAnsi" w:hAnsiTheme="minorHAnsi" w:cstheme="minorHAnsi"/>
          <w:sz w:val="18"/>
          <w:szCs w:val="18"/>
        </w:rPr>
        <w:t xml:space="preserve">Bunting P, Rosenqvist A, Lucas R, Rebelo L-M, Hilarides L, Thomas N, Hardy A, Itoh T, Shimada M </w:t>
      </w:r>
      <w:r w:rsidR="00D27BE2">
        <w:rPr>
          <w:rFonts w:asciiTheme="minorHAnsi" w:hAnsiTheme="minorHAnsi" w:cstheme="minorHAnsi"/>
          <w:sz w:val="18"/>
          <w:szCs w:val="18"/>
        </w:rPr>
        <w:t xml:space="preserve">&amp; </w:t>
      </w:r>
      <w:r w:rsidRPr="0044426B">
        <w:rPr>
          <w:rFonts w:asciiTheme="minorHAnsi" w:hAnsiTheme="minorHAnsi" w:cstheme="minorHAnsi"/>
          <w:sz w:val="18"/>
          <w:szCs w:val="18"/>
        </w:rPr>
        <w:t>Finlayson CM 2018</w:t>
      </w:r>
      <w:r w:rsidR="00D27BE2">
        <w:rPr>
          <w:rFonts w:asciiTheme="minorHAnsi" w:hAnsiTheme="minorHAnsi" w:cstheme="minorHAnsi"/>
          <w:sz w:val="18"/>
          <w:szCs w:val="18"/>
        </w:rPr>
        <w:t>,</w:t>
      </w:r>
      <w:r w:rsidRPr="0044426B">
        <w:rPr>
          <w:rFonts w:asciiTheme="minorHAnsi" w:hAnsiTheme="minorHAnsi" w:cstheme="minorHAnsi"/>
          <w:sz w:val="18"/>
          <w:szCs w:val="18"/>
        </w:rPr>
        <w:t xml:space="preserve"> The Global </w:t>
      </w:r>
      <w:r w:rsidRPr="000E3C3F">
        <w:rPr>
          <w:rFonts w:asciiTheme="minorHAnsi" w:hAnsiTheme="minorHAnsi" w:cstheme="minorHAnsi"/>
          <w:sz w:val="18"/>
          <w:szCs w:val="18"/>
        </w:rPr>
        <w:t xml:space="preserve">Mangrove Watch – a New 2010 Global Baseline of Mangrove Extent. </w:t>
      </w:r>
      <w:r w:rsidRPr="00302674">
        <w:rPr>
          <w:rFonts w:asciiTheme="minorHAnsi" w:hAnsiTheme="minorHAnsi" w:cstheme="minorHAnsi"/>
          <w:i/>
          <w:iCs/>
          <w:sz w:val="18"/>
          <w:szCs w:val="18"/>
        </w:rPr>
        <w:t>Remote Sensing</w:t>
      </w:r>
      <w:r w:rsidRPr="000E3C3F">
        <w:rPr>
          <w:rFonts w:asciiTheme="minorHAnsi" w:hAnsiTheme="minorHAnsi" w:cstheme="minorHAnsi"/>
          <w:sz w:val="18"/>
          <w:szCs w:val="18"/>
        </w:rPr>
        <w:t xml:space="preserve"> 10(10): 1669.</w:t>
      </w:r>
      <w:r w:rsidR="000E3C3F" w:rsidRPr="000E3C3F">
        <w:rPr>
          <w:rFonts w:asciiTheme="minorHAnsi" w:hAnsiTheme="minorHAnsi" w:cstheme="minorHAnsi"/>
          <w:sz w:val="18"/>
          <w:szCs w:val="18"/>
        </w:rPr>
        <w:t xml:space="preserve"> </w:t>
      </w:r>
      <w:hyperlink r:id="rId26" w:history="1">
        <w:r w:rsidR="000E3C3F" w:rsidRPr="009E7F67">
          <w:rPr>
            <w:rStyle w:val="Hyperlink"/>
            <w:rFonts w:asciiTheme="minorHAnsi" w:hAnsiTheme="minorHAnsi" w:cstheme="minorHAnsi"/>
            <w:color w:val="4F5671"/>
            <w:sz w:val="18"/>
            <w:szCs w:val="18"/>
            <w:shd w:val="clear" w:color="auto" w:fill="FFFFFF"/>
          </w:rPr>
          <w:t>doi.org/10.3390/rs10101669</w:t>
        </w:r>
      </w:hyperlink>
      <w:r w:rsidR="000E3C3F" w:rsidRPr="009E7F67">
        <w:t xml:space="preserve"> </w:t>
      </w:r>
      <w:bookmarkEnd w:id="9"/>
    </w:p>
    <w:p w14:paraId="0975A4AC" w14:textId="77777777" w:rsidR="006E0105" w:rsidRPr="0044426B" w:rsidRDefault="006E0105" w:rsidP="006E0105">
      <w:pPr>
        <w:pStyle w:val="ListParagraph"/>
        <w:autoSpaceDE w:val="0"/>
        <w:autoSpaceDN w:val="0"/>
        <w:adjustRightInd w:val="0"/>
        <w:snapToGrid w:val="0"/>
        <w:spacing w:before="0"/>
        <w:ind w:left="0"/>
        <w:rPr>
          <w:rFonts w:asciiTheme="minorHAnsi" w:eastAsia="Times New Roman" w:hAnsiTheme="minorHAnsi" w:cstheme="minorHAnsi"/>
          <w:i/>
          <w:color w:val="000000"/>
          <w:sz w:val="18"/>
          <w:szCs w:val="18"/>
          <w:lang w:val="x-none" w:eastAsia="en-AU"/>
        </w:rPr>
      </w:pPr>
    </w:p>
    <w:p w14:paraId="7EC709C7" w14:textId="16745FEA" w:rsidR="00610E37" w:rsidRPr="0044426B" w:rsidRDefault="00610E37" w:rsidP="006E0105">
      <w:pPr>
        <w:pStyle w:val="ListParagraph"/>
        <w:autoSpaceDE w:val="0"/>
        <w:autoSpaceDN w:val="0"/>
        <w:adjustRightInd w:val="0"/>
        <w:snapToGrid w:val="0"/>
        <w:spacing w:before="0"/>
        <w:ind w:left="0"/>
        <w:rPr>
          <w:rFonts w:asciiTheme="minorHAnsi" w:eastAsia="Times New Roman" w:hAnsiTheme="minorHAnsi" w:cstheme="minorHAnsi"/>
          <w:i/>
          <w:color w:val="000000"/>
          <w:sz w:val="18"/>
          <w:szCs w:val="18"/>
          <w:lang w:val="x-none" w:eastAsia="en-AU"/>
        </w:rPr>
      </w:pPr>
      <w:r w:rsidRPr="0044426B">
        <w:rPr>
          <w:rFonts w:asciiTheme="minorHAnsi" w:hAnsiTheme="minorHAnsi" w:cstheme="minorHAnsi"/>
          <w:sz w:val="18"/>
          <w:szCs w:val="18"/>
        </w:rPr>
        <w:t>Thomas N, Lucas R, Bunting P, Hardy A, Rosenqvist A</w:t>
      </w:r>
      <w:r w:rsidR="00D27BE2">
        <w:rPr>
          <w:rFonts w:asciiTheme="minorHAnsi" w:hAnsiTheme="minorHAnsi" w:cstheme="minorHAnsi"/>
          <w:sz w:val="18"/>
          <w:szCs w:val="18"/>
        </w:rPr>
        <w:t xml:space="preserve"> &amp;</w:t>
      </w:r>
      <w:r w:rsidR="00D27BE2" w:rsidRPr="0044426B">
        <w:rPr>
          <w:rFonts w:asciiTheme="minorHAnsi" w:hAnsiTheme="minorHAnsi" w:cstheme="minorHAnsi"/>
          <w:sz w:val="18"/>
          <w:szCs w:val="18"/>
        </w:rPr>
        <w:t xml:space="preserve"> </w:t>
      </w:r>
      <w:r w:rsidRPr="0044426B">
        <w:rPr>
          <w:rFonts w:asciiTheme="minorHAnsi" w:hAnsiTheme="minorHAnsi" w:cstheme="minorHAnsi"/>
          <w:sz w:val="18"/>
          <w:szCs w:val="18"/>
        </w:rPr>
        <w:t>Simard M 2017</w:t>
      </w:r>
      <w:r w:rsidR="00D27BE2">
        <w:rPr>
          <w:rFonts w:asciiTheme="minorHAnsi" w:hAnsiTheme="minorHAnsi" w:cstheme="minorHAnsi"/>
          <w:sz w:val="18"/>
          <w:szCs w:val="18"/>
        </w:rPr>
        <w:t>,</w:t>
      </w:r>
      <w:r w:rsidRPr="0044426B">
        <w:rPr>
          <w:rFonts w:asciiTheme="minorHAnsi" w:hAnsiTheme="minorHAnsi" w:cstheme="minorHAnsi"/>
          <w:sz w:val="18"/>
          <w:szCs w:val="18"/>
        </w:rPr>
        <w:t xml:space="preserve"> Distribution and drivers of global mangrove forest change, 1996-2010. PLOS ONE 12: e0179302.</w:t>
      </w:r>
      <w:r w:rsidR="009E7F67">
        <w:rPr>
          <w:rFonts w:asciiTheme="minorHAnsi" w:hAnsiTheme="minorHAnsi" w:cstheme="minorHAnsi"/>
          <w:sz w:val="18"/>
          <w:szCs w:val="18"/>
        </w:rPr>
        <w:t xml:space="preserve"> </w:t>
      </w:r>
      <w:hyperlink r:id="rId27" w:history="1">
        <w:r w:rsidR="009E7F67" w:rsidRPr="00202369">
          <w:rPr>
            <w:rStyle w:val="Hyperlink"/>
            <w:rFonts w:asciiTheme="minorHAnsi" w:hAnsiTheme="minorHAnsi" w:cstheme="minorHAnsi"/>
            <w:sz w:val="18"/>
            <w:szCs w:val="18"/>
          </w:rPr>
          <w:t>doi.org/10.1371/journal.pone.0179302</w:t>
        </w:r>
      </w:hyperlink>
      <w:r w:rsidR="009E7F67">
        <w:rPr>
          <w:rFonts w:asciiTheme="minorHAnsi" w:hAnsiTheme="minorHAnsi" w:cstheme="minorHAnsi"/>
          <w:sz w:val="18"/>
          <w:szCs w:val="18"/>
        </w:rPr>
        <w:t xml:space="preserve"> </w:t>
      </w:r>
    </w:p>
    <w:p w14:paraId="1A402183" w14:textId="77777777" w:rsidR="00447222" w:rsidRPr="009F014B" w:rsidRDefault="00447222" w:rsidP="00447222">
      <w:pPr>
        <w:spacing w:before="40" w:after="40"/>
        <w:rPr>
          <w:rFonts w:asciiTheme="majorHAnsi" w:hAnsiTheme="majorHAnsi"/>
          <w:sz w:val="20"/>
          <w:szCs w:val="20"/>
          <w:lang w:eastAsia="ja-JP"/>
        </w:rPr>
      </w:pPr>
    </w:p>
    <w:sectPr w:rsidR="00447222" w:rsidRPr="009F014B" w:rsidSect="00064B58">
      <w:headerReference w:type="default" r:id="rId28"/>
      <w:footerReference w:type="default" r:id="rId29"/>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C18E9" w14:textId="77777777" w:rsidR="007C76D3" w:rsidRDefault="007C76D3">
      <w:r>
        <w:separator/>
      </w:r>
    </w:p>
  </w:endnote>
  <w:endnote w:type="continuationSeparator" w:id="0">
    <w:p w14:paraId="3ED3D73F" w14:textId="77777777" w:rsidR="007C76D3" w:rsidRDefault="007C7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SMe">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262646"/>
      <w:docPartObj>
        <w:docPartGallery w:val="Page Numbers (Bottom of Page)"/>
        <w:docPartUnique/>
      </w:docPartObj>
    </w:sdtPr>
    <w:sdtEndPr>
      <w:rPr>
        <w:noProof/>
      </w:rPr>
    </w:sdtEndPr>
    <w:sdtContent>
      <w:p w14:paraId="1218A815" w14:textId="1F36E7BB" w:rsidR="00C6669A" w:rsidRDefault="00C6669A" w:rsidP="00C6669A">
        <w:pPr>
          <w:pStyle w:val="Footer"/>
          <w:jc w:val="right"/>
        </w:pPr>
        <w:r>
          <w:t>Department of Agriculture</w:t>
        </w:r>
        <w:r w:rsidR="00F24983">
          <w:t xml:space="preserve">, Fisheries and Forestry </w:t>
        </w:r>
        <w:r>
          <w:tab/>
        </w:r>
        <w:r>
          <w:fldChar w:fldCharType="begin"/>
        </w:r>
        <w:r>
          <w:instrText xml:space="preserve"> PAGE   \* MERGEFORMAT </w:instrText>
        </w:r>
        <w:r>
          <w:fldChar w:fldCharType="separate"/>
        </w:r>
        <w:r w:rsidR="00C439F8">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8A23D" w14:textId="77777777" w:rsidR="007C76D3" w:rsidRDefault="007C76D3">
      <w:r>
        <w:separator/>
      </w:r>
    </w:p>
  </w:footnote>
  <w:footnote w:type="continuationSeparator" w:id="0">
    <w:p w14:paraId="6F33DABE" w14:textId="77777777" w:rsidR="007C76D3" w:rsidRDefault="007C76D3">
      <w:r>
        <w:continuationSeparator/>
      </w:r>
    </w:p>
  </w:footnote>
  <w:footnote w:id="1">
    <w:p w14:paraId="4463EE63" w14:textId="2E9C4013" w:rsidR="00F6789F" w:rsidRPr="001B7179" w:rsidRDefault="00F6789F" w:rsidP="00783B5F">
      <w:pPr>
        <w:pStyle w:val="FootnoteText"/>
        <w:spacing w:before="0"/>
        <w:rPr>
          <w:rFonts w:asciiTheme="minorHAnsi" w:hAnsiTheme="minorHAnsi" w:cstheme="minorHAnsi"/>
          <w:szCs w:val="16"/>
        </w:rPr>
      </w:pPr>
      <w:r>
        <w:rPr>
          <w:rStyle w:val="FootnoteReference"/>
        </w:rPr>
        <w:footnoteRef/>
      </w:r>
      <w:r>
        <w:t xml:space="preserve"> </w:t>
      </w:r>
      <w:r w:rsidRPr="001B7179">
        <w:rPr>
          <w:rStyle w:val="cf01"/>
          <w:rFonts w:asciiTheme="minorHAnsi" w:hAnsiTheme="minorHAnsi" w:cstheme="minorHAnsi"/>
          <w:sz w:val="16"/>
          <w:szCs w:val="16"/>
        </w:rPr>
        <w:t>Now called Department of Energy, Environment and Climate Action</w:t>
      </w:r>
    </w:p>
  </w:footnote>
  <w:footnote w:id="2">
    <w:p w14:paraId="6AA54BB6" w14:textId="77777777" w:rsidR="00783B5F" w:rsidRDefault="00783B5F" w:rsidP="00783B5F">
      <w:pPr>
        <w:pStyle w:val="FootnoteText"/>
        <w:spacing w:before="0"/>
      </w:pPr>
      <w:r w:rsidRPr="001B7179">
        <w:rPr>
          <w:rStyle w:val="FootnoteReference"/>
          <w:rFonts w:asciiTheme="minorHAnsi" w:hAnsiTheme="minorHAnsi" w:cstheme="minorHAnsi"/>
          <w:szCs w:val="16"/>
        </w:rPr>
        <w:footnoteRef/>
      </w:r>
      <w:r w:rsidRPr="001B7179">
        <w:rPr>
          <w:rFonts w:asciiTheme="minorHAnsi" w:hAnsiTheme="minorHAnsi" w:cstheme="minorHAnsi"/>
          <w:szCs w:val="16"/>
        </w:rPr>
        <w:t xml:space="preserve"> </w:t>
      </w:r>
      <w:hyperlink r:id="rId1" w:history="1">
        <w:r w:rsidRPr="001B7179">
          <w:rPr>
            <w:rStyle w:val="Hyperlink"/>
            <w:rFonts w:asciiTheme="minorHAnsi" w:hAnsiTheme="minorHAnsi" w:cstheme="minorHAnsi"/>
            <w:szCs w:val="16"/>
          </w:rPr>
          <w:t>Land Use Mapping Project of the Northern Territory, 2016 - 2022 (LUMP) - Dataset - NTG Open Data Portal</w:t>
        </w:r>
      </w:hyperlink>
    </w:p>
  </w:footnote>
  <w:footnote w:id="3">
    <w:p w14:paraId="5DC8679C" w14:textId="77777777" w:rsidR="006268F3" w:rsidRPr="006014E8" w:rsidRDefault="006268F3" w:rsidP="00840FBB">
      <w:pPr>
        <w:pStyle w:val="FootnoteText"/>
        <w:spacing w:before="0"/>
        <w:rPr>
          <w:sz w:val="12"/>
          <w:szCs w:val="12"/>
        </w:rPr>
      </w:pPr>
      <w:r w:rsidRPr="00641770">
        <w:rPr>
          <w:rStyle w:val="FootnoteReference"/>
          <w:szCs w:val="16"/>
        </w:rPr>
        <w:footnoteRef/>
      </w:r>
      <w:r w:rsidRPr="006268F3">
        <w:rPr>
          <w:rFonts w:ascii="Calibri Light" w:hAnsi="Calibri Light" w:cs="Calibri Light"/>
          <w:szCs w:val="16"/>
        </w:rPr>
        <w:t xml:space="preserve"> PSMA Australia Limited has traded under the name </w:t>
      </w:r>
      <w:hyperlink r:id="rId2" w:history="1">
        <w:r w:rsidRPr="006268F3">
          <w:rPr>
            <w:rStyle w:val="Hyperlink"/>
            <w:rFonts w:ascii="Calibri Light" w:hAnsi="Calibri Light" w:cs="Calibri Light"/>
            <w:szCs w:val="16"/>
          </w:rPr>
          <w:t>Geoscape Australia</w:t>
        </w:r>
      </w:hyperlink>
      <w:r w:rsidRPr="006268F3">
        <w:rPr>
          <w:rFonts w:ascii="Calibri Light" w:hAnsi="Calibri Light" w:cs="Calibri Light"/>
          <w:szCs w:val="16"/>
        </w:rPr>
        <w:t xml:space="preserve"> since April 2020.</w:t>
      </w:r>
    </w:p>
  </w:footnote>
  <w:footnote w:id="4">
    <w:p w14:paraId="20A5C203" w14:textId="1DD4DE39" w:rsidR="00A00E9D" w:rsidRPr="002B7168" w:rsidRDefault="00A00E9D">
      <w:pPr>
        <w:pStyle w:val="FootnoteText"/>
        <w:rPr>
          <w:rFonts w:ascii="Calibri Light" w:hAnsi="Calibri Light" w:cs="Calibri Light"/>
          <w:szCs w:val="16"/>
        </w:rPr>
      </w:pPr>
      <w:r w:rsidRPr="002B7168">
        <w:rPr>
          <w:rStyle w:val="FootnoteReference"/>
          <w:rFonts w:ascii="Calibri Light" w:hAnsi="Calibri Light" w:cs="Calibri Light"/>
          <w:szCs w:val="16"/>
        </w:rPr>
        <w:footnoteRef/>
      </w:r>
      <w:r w:rsidRPr="002B7168">
        <w:rPr>
          <w:rFonts w:ascii="Calibri Light" w:hAnsi="Calibri Light" w:cs="Calibri Light"/>
          <w:szCs w:val="16"/>
        </w:rPr>
        <w:t xml:space="preserve"> Now </w:t>
      </w:r>
      <w:r w:rsidRPr="002B7168">
        <w:rPr>
          <w:rStyle w:val="cf01"/>
          <w:rFonts w:ascii="Calibri Light" w:hAnsi="Calibri Light" w:cs="Calibri Light"/>
          <w:sz w:val="16"/>
          <w:szCs w:val="16"/>
        </w:rPr>
        <w:t>Department of Climate Change, Energy, the Environment and Water</w:t>
      </w:r>
      <w:r w:rsidR="002B7168">
        <w:rPr>
          <w:rStyle w:val="cf01"/>
          <w:rFonts w:ascii="Calibri Light" w:hAnsi="Calibri Light" w:cs="Calibri Light"/>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06EB" w14:textId="27E629E0" w:rsidR="00626E31" w:rsidRDefault="00A754A5">
    <w:pPr>
      <w:pStyle w:val="Header"/>
    </w:pPr>
    <w:r w:rsidRPr="007A79DC">
      <w:rPr>
        <w:i/>
      </w:rPr>
      <w:t>Forests of</w:t>
    </w:r>
    <w:r w:rsidR="00E52F39" w:rsidRPr="007A79DC">
      <w:rPr>
        <w:i/>
      </w:rPr>
      <w:t xml:space="preserve"> Australia (</w:t>
    </w:r>
    <w:r w:rsidR="00F24983" w:rsidRPr="007A79DC">
      <w:rPr>
        <w:i/>
      </w:rPr>
      <w:t>20</w:t>
    </w:r>
    <w:r w:rsidR="00F24983">
      <w:rPr>
        <w:i/>
      </w:rPr>
      <w:t>23</w:t>
    </w:r>
    <w:r w:rsidR="00E52F39" w:rsidRPr="007A79DC">
      <w:rPr>
        <w:i/>
      </w:rPr>
      <w:t>)</w:t>
    </w:r>
    <w:r w:rsidR="00E52F39">
      <w:t xml:space="preserve"> metadata</w:t>
    </w:r>
    <w:r w:rsidR="00E52F39">
      <w:tab/>
      <w:t>ABARES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D2EAB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78580E"/>
    <w:lvl w:ilvl="0">
      <w:start w:val="1"/>
      <w:numFmt w:val="decimal"/>
      <w:lvlText w:val="%1."/>
      <w:lvlJc w:val="left"/>
      <w:pPr>
        <w:tabs>
          <w:tab w:val="num" w:pos="1209"/>
        </w:tabs>
        <w:ind w:left="1209" w:hanging="360"/>
      </w:pPr>
    </w:lvl>
  </w:abstractNum>
  <w:abstractNum w:abstractNumId="2" w15:restartNumberingAfterBreak="0">
    <w:nsid w:val="FFFFFF80"/>
    <w:multiLevelType w:val="singleLevel"/>
    <w:tmpl w:val="57C4606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4B4434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9"/>
    <w:multiLevelType w:val="singleLevel"/>
    <w:tmpl w:val="4A6681B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66B73E6"/>
    <w:multiLevelType w:val="hybridMultilevel"/>
    <w:tmpl w:val="69429BDA"/>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09286606"/>
    <w:multiLevelType w:val="hybridMultilevel"/>
    <w:tmpl w:val="0E88FDBA"/>
    <w:lvl w:ilvl="0" w:tplc="CB60A888">
      <w:start w:val="1"/>
      <w:numFmt w:val="bullet"/>
      <w:lvlText w:val="-"/>
      <w:lvlJc w:val="left"/>
      <w:pPr>
        <w:ind w:left="720" w:hanging="360"/>
      </w:pPr>
      <w:rPr>
        <w:rFonts w:ascii="Calibri" w:eastAsiaTheme="minorHAnsi" w:hAnsi="Calibri" w:cstheme="minorBidi" w:hint="default"/>
      </w:rPr>
    </w:lvl>
    <w:lvl w:ilvl="1" w:tplc="0AD616C8" w:tentative="1">
      <w:start w:val="1"/>
      <w:numFmt w:val="bullet"/>
      <w:lvlText w:val="o"/>
      <w:lvlJc w:val="left"/>
      <w:pPr>
        <w:ind w:left="1440" w:hanging="360"/>
      </w:pPr>
      <w:rPr>
        <w:rFonts w:ascii="Courier New" w:hAnsi="Courier New" w:cs="Courier New" w:hint="default"/>
      </w:rPr>
    </w:lvl>
    <w:lvl w:ilvl="2" w:tplc="369A023C" w:tentative="1">
      <w:start w:val="1"/>
      <w:numFmt w:val="bullet"/>
      <w:lvlText w:val=""/>
      <w:lvlJc w:val="left"/>
      <w:pPr>
        <w:ind w:left="2160" w:hanging="360"/>
      </w:pPr>
      <w:rPr>
        <w:rFonts w:ascii="Wingdings" w:hAnsi="Wingdings" w:hint="default"/>
      </w:rPr>
    </w:lvl>
    <w:lvl w:ilvl="3" w:tplc="02967CB6" w:tentative="1">
      <w:start w:val="1"/>
      <w:numFmt w:val="bullet"/>
      <w:lvlText w:val=""/>
      <w:lvlJc w:val="left"/>
      <w:pPr>
        <w:ind w:left="2880" w:hanging="360"/>
      </w:pPr>
      <w:rPr>
        <w:rFonts w:ascii="Symbol" w:hAnsi="Symbol" w:hint="default"/>
      </w:rPr>
    </w:lvl>
    <w:lvl w:ilvl="4" w:tplc="B0149C80" w:tentative="1">
      <w:start w:val="1"/>
      <w:numFmt w:val="bullet"/>
      <w:lvlText w:val="o"/>
      <w:lvlJc w:val="left"/>
      <w:pPr>
        <w:ind w:left="3600" w:hanging="360"/>
      </w:pPr>
      <w:rPr>
        <w:rFonts w:ascii="Courier New" w:hAnsi="Courier New" w:cs="Courier New" w:hint="default"/>
      </w:rPr>
    </w:lvl>
    <w:lvl w:ilvl="5" w:tplc="40BE2E98" w:tentative="1">
      <w:start w:val="1"/>
      <w:numFmt w:val="bullet"/>
      <w:lvlText w:val=""/>
      <w:lvlJc w:val="left"/>
      <w:pPr>
        <w:ind w:left="4320" w:hanging="360"/>
      </w:pPr>
      <w:rPr>
        <w:rFonts w:ascii="Wingdings" w:hAnsi="Wingdings" w:hint="default"/>
      </w:rPr>
    </w:lvl>
    <w:lvl w:ilvl="6" w:tplc="C4BA9542" w:tentative="1">
      <w:start w:val="1"/>
      <w:numFmt w:val="bullet"/>
      <w:lvlText w:val=""/>
      <w:lvlJc w:val="left"/>
      <w:pPr>
        <w:ind w:left="5040" w:hanging="360"/>
      </w:pPr>
      <w:rPr>
        <w:rFonts w:ascii="Symbol" w:hAnsi="Symbol" w:hint="default"/>
      </w:rPr>
    </w:lvl>
    <w:lvl w:ilvl="7" w:tplc="7624B4FA" w:tentative="1">
      <w:start w:val="1"/>
      <w:numFmt w:val="bullet"/>
      <w:lvlText w:val="o"/>
      <w:lvlJc w:val="left"/>
      <w:pPr>
        <w:ind w:left="5760" w:hanging="360"/>
      </w:pPr>
      <w:rPr>
        <w:rFonts w:ascii="Courier New" w:hAnsi="Courier New" w:cs="Courier New" w:hint="default"/>
      </w:rPr>
    </w:lvl>
    <w:lvl w:ilvl="8" w:tplc="538452D2" w:tentative="1">
      <w:start w:val="1"/>
      <w:numFmt w:val="bullet"/>
      <w:lvlText w:val=""/>
      <w:lvlJc w:val="left"/>
      <w:pPr>
        <w:ind w:left="6480" w:hanging="360"/>
      </w:pPr>
      <w:rPr>
        <w:rFonts w:ascii="Wingdings" w:hAnsi="Wingdings" w:hint="default"/>
      </w:rPr>
    </w:lvl>
  </w:abstractNum>
  <w:abstractNum w:abstractNumId="7" w15:restartNumberingAfterBreak="0">
    <w:nsid w:val="196B606F"/>
    <w:multiLevelType w:val="hybridMultilevel"/>
    <w:tmpl w:val="E0560262"/>
    <w:lvl w:ilvl="0" w:tplc="A9884604">
      <w:start w:val="1"/>
      <w:numFmt w:val="bullet"/>
      <w:pStyle w:val="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192584"/>
    <w:multiLevelType w:val="multilevel"/>
    <w:tmpl w:val="02AA8FA0"/>
    <w:styleLink w:val="ListBullets"/>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pStyle w:val="ListBullet2"/>
      <w:lvlText w:val=""/>
      <w:lvlJc w:val="left"/>
      <w:pPr>
        <w:ind w:left="794" w:hanging="369"/>
      </w:pPr>
      <w:rPr>
        <w:rFonts w:ascii="Symbol" w:hAnsi="Symbol" w:hint="default"/>
      </w:rPr>
    </w:lvl>
    <w:lvl w:ilvl="2">
      <w:start w:val="1"/>
      <w:numFmt w:val="bullet"/>
      <w:pStyle w:val="ListBullet3"/>
      <w:lvlText w:val=""/>
      <w:lvlJc w:val="left"/>
      <w:pPr>
        <w:tabs>
          <w:tab w:val="num" w:pos="794"/>
        </w:tabs>
        <w:ind w:left="1219" w:hanging="425"/>
      </w:pPr>
      <w:rPr>
        <w:rFonts w:ascii="Wingdings" w:hAnsi="Wingdings" w:hint="default"/>
      </w:rPr>
    </w:lvl>
    <w:lvl w:ilvl="3">
      <w:start w:val="1"/>
      <w:numFmt w:val="bullet"/>
      <w:lvlText w:val=""/>
      <w:lvlJc w:val="left"/>
      <w:pPr>
        <w:tabs>
          <w:tab w:val="num" w:pos="425"/>
        </w:tabs>
        <w:ind w:left="425" w:hanging="425"/>
      </w:pPr>
      <w:rPr>
        <w:rFonts w:ascii="Symbol" w:hAnsi="Symbol" w:hint="default"/>
      </w:rPr>
    </w:lvl>
    <w:lvl w:ilvl="4">
      <w:start w:val="1"/>
      <w:numFmt w:val="bullet"/>
      <w:lvlText w:val="o"/>
      <w:lvlJc w:val="left"/>
      <w:pPr>
        <w:tabs>
          <w:tab w:val="num" w:pos="425"/>
        </w:tabs>
        <w:ind w:left="425" w:hanging="425"/>
      </w:pPr>
      <w:rPr>
        <w:rFonts w:ascii="Courier New" w:hAnsi="Courier New" w:cs="Courier New" w:hint="default"/>
      </w:rPr>
    </w:lvl>
    <w:lvl w:ilvl="5">
      <w:start w:val="1"/>
      <w:numFmt w:val="bullet"/>
      <w:lvlText w:val=""/>
      <w:lvlJc w:val="left"/>
      <w:pPr>
        <w:tabs>
          <w:tab w:val="num" w:pos="425"/>
        </w:tabs>
        <w:ind w:left="425" w:hanging="425"/>
      </w:pPr>
      <w:rPr>
        <w:rFonts w:ascii="Wingdings" w:hAnsi="Wingdings" w:hint="default"/>
      </w:rPr>
    </w:lvl>
    <w:lvl w:ilvl="6">
      <w:start w:val="1"/>
      <w:numFmt w:val="bullet"/>
      <w:lvlText w:val=""/>
      <w:lvlJc w:val="left"/>
      <w:pPr>
        <w:tabs>
          <w:tab w:val="num" w:pos="425"/>
        </w:tabs>
        <w:ind w:left="425" w:hanging="425"/>
      </w:pPr>
      <w:rPr>
        <w:rFonts w:ascii="Symbol" w:hAnsi="Symbol" w:hint="default"/>
      </w:rPr>
    </w:lvl>
    <w:lvl w:ilvl="7">
      <w:start w:val="1"/>
      <w:numFmt w:val="bullet"/>
      <w:lvlText w:val="o"/>
      <w:lvlJc w:val="left"/>
      <w:pPr>
        <w:tabs>
          <w:tab w:val="num" w:pos="425"/>
        </w:tabs>
        <w:ind w:left="425" w:hanging="425"/>
      </w:pPr>
      <w:rPr>
        <w:rFonts w:ascii="Courier New" w:hAnsi="Courier New" w:cs="Courier New" w:hint="default"/>
      </w:rPr>
    </w:lvl>
    <w:lvl w:ilvl="8">
      <w:start w:val="1"/>
      <w:numFmt w:val="bullet"/>
      <w:lvlText w:val=""/>
      <w:lvlJc w:val="left"/>
      <w:pPr>
        <w:tabs>
          <w:tab w:val="num" w:pos="425"/>
        </w:tabs>
        <w:ind w:left="425" w:hanging="425"/>
      </w:pPr>
      <w:rPr>
        <w:rFonts w:ascii="Wingdings" w:hAnsi="Wingdings" w:hint="default"/>
      </w:rPr>
    </w:lvl>
  </w:abstractNum>
  <w:abstractNum w:abstractNumId="9" w15:restartNumberingAfterBreak="0">
    <w:nsid w:val="22827DDC"/>
    <w:multiLevelType w:val="hybridMultilevel"/>
    <w:tmpl w:val="B1AA53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33E379F"/>
    <w:multiLevelType w:val="hybridMultilevel"/>
    <w:tmpl w:val="5CACA5AA"/>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29653270"/>
    <w:multiLevelType w:val="hybridMultilevel"/>
    <w:tmpl w:val="1C22BB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99D2378"/>
    <w:multiLevelType w:val="hybridMultilevel"/>
    <w:tmpl w:val="D7E65228"/>
    <w:lvl w:ilvl="0" w:tplc="59F8FD5A">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9B36237"/>
    <w:multiLevelType w:val="multilevel"/>
    <w:tmpl w:val="20F2356A"/>
    <w:styleLink w:val="Appendix"/>
    <w:lvl w:ilvl="0">
      <w:start w:val="1"/>
      <w:numFmt w:val="upperLetter"/>
      <w:pStyle w:val="AppendixHeading1"/>
      <w:lvlText w:val="Appendix %1"/>
      <w:lvlJc w:val="left"/>
      <w:pPr>
        <w:ind w:left="964" w:hanging="964"/>
      </w:pPr>
      <w:rPr>
        <w:rFonts w:hint="default"/>
      </w:rPr>
    </w:lvl>
    <w:lvl w:ilvl="1">
      <w:start w:val="1"/>
      <w:numFmt w:val="decimal"/>
      <w:pStyle w:val="AppendixHeading2"/>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4" w15:restartNumberingAfterBreak="0">
    <w:nsid w:val="2A913599"/>
    <w:multiLevelType w:val="multilevel"/>
    <w:tmpl w:val="02AA8FA0"/>
    <w:numStyleLink w:val="ListBullets"/>
  </w:abstractNum>
  <w:abstractNum w:abstractNumId="15" w15:restartNumberingAfterBreak="0">
    <w:nsid w:val="2C0E5B8A"/>
    <w:multiLevelType w:val="hybridMultilevel"/>
    <w:tmpl w:val="2AB267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F2425AB"/>
    <w:multiLevelType w:val="multilevel"/>
    <w:tmpl w:val="BC8603C0"/>
    <w:numStyleLink w:val="ListNumbers"/>
  </w:abstractNum>
  <w:abstractNum w:abstractNumId="17" w15:restartNumberingAfterBreak="0">
    <w:nsid w:val="34B36F11"/>
    <w:multiLevelType w:val="hybridMultilevel"/>
    <w:tmpl w:val="40EC22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6600FAB"/>
    <w:multiLevelType w:val="hybridMultilevel"/>
    <w:tmpl w:val="D6368A4E"/>
    <w:lvl w:ilvl="0" w:tplc="0C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6DD5C12"/>
    <w:multiLevelType w:val="multilevel"/>
    <w:tmpl w:val="20F2356A"/>
    <w:numStyleLink w:val="Appendix"/>
  </w:abstractNum>
  <w:abstractNum w:abstractNumId="20" w15:restartNumberingAfterBreak="0">
    <w:nsid w:val="48DE2E4A"/>
    <w:multiLevelType w:val="hybridMultilevel"/>
    <w:tmpl w:val="B7086130"/>
    <w:lvl w:ilvl="0" w:tplc="AAB465F0">
      <w:start w:val="1"/>
      <w:numFmt w:val="bullet"/>
      <w:pStyle w:val="BoxText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147498"/>
    <w:multiLevelType w:val="hybridMultilevel"/>
    <w:tmpl w:val="E6F6F42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AA12966"/>
    <w:multiLevelType w:val="multilevel"/>
    <w:tmpl w:val="DA322B0E"/>
    <w:styleLink w:val="List1"/>
    <w:lvl w:ilvl="0">
      <w:start w:val="1"/>
      <w:numFmt w:val="bullet"/>
      <w:lvlText w:val=""/>
      <w:lvlJc w:val="left"/>
      <w:pPr>
        <w:ind w:left="765" w:hanging="360"/>
      </w:pPr>
      <w:rPr>
        <w:rFonts w:ascii="Symbol" w:hAnsi="Symbol" w:cs="Times New Roman" w:hint="default"/>
        <w:color w:val="auto"/>
      </w:rPr>
    </w:lvl>
    <w:lvl w:ilvl="1">
      <w:start w:val="1"/>
      <w:numFmt w:val="bullet"/>
      <w:lvlText w:val="o"/>
      <w:lvlJc w:val="left"/>
      <w:pPr>
        <w:ind w:left="1485" w:hanging="360"/>
      </w:pPr>
      <w:rPr>
        <w:rFonts w:ascii="Courier New" w:hAnsi="Courier New" w:cs="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cs="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cs="Courier New" w:hint="default"/>
      </w:rPr>
    </w:lvl>
    <w:lvl w:ilvl="8">
      <w:start w:val="1"/>
      <w:numFmt w:val="bullet"/>
      <w:lvlText w:val=""/>
      <w:lvlJc w:val="left"/>
      <w:pPr>
        <w:ind w:left="6525" w:hanging="360"/>
      </w:pPr>
      <w:rPr>
        <w:rFonts w:ascii="Wingdings" w:hAnsi="Wingdings" w:hint="default"/>
      </w:rPr>
    </w:lvl>
  </w:abstractNum>
  <w:abstractNum w:abstractNumId="23" w15:restartNumberingAfterBreak="0">
    <w:nsid w:val="5BF51EC7"/>
    <w:multiLevelType w:val="multilevel"/>
    <w:tmpl w:val="23E2163A"/>
    <w:styleLink w:val="Headings"/>
    <w:lvl w:ilvl="0">
      <w:start w:val="1"/>
      <w:numFmt w:val="decimal"/>
      <w:pStyle w:val="Heading2"/>
      <w:lvlText w:val="%1"/>
      <w:lvlJc w:val="left"/>
      <w:pPr>
        <w:ind w:left="567" w:hanging="567"/>
      </w:pPr>
      <w:rPr>
        <w:rFonts w:hint="default"/>
      </w:rPr>
    </w:lvl>
    <w:lvl w:ilvl="1">
      <w:start w:val="1"/>
      <w:numFmt w:val="decimal"/>
      <w:pStyle w:val="Heading3"/>
      <w:lvlText w:val="%1.%2"/>
      <w:lvlJc w:val="left"/>
      <w:pPr>
        <w:ind w:left="567" w:hanging="567"/>
      </w:pPr>
      <w:rPr>
        <w:rFonts w:hint="default"/>
      </w:rPr>
    </w:lvl>
    <w:lvl w:ilvl="2">
      <w:start w:val="1"/>
      <w:numFmt w:val="lowerRoman"/>
      <w:lvlText w:val="%3)"/>
      <w:lvlJc w:val="left"/>
      <w:pPr>
        <w:ind w:left="567" w:hanging="567"/>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4" w15:restartNumberingAfterBreak="0">
    <w:nsid w:val="5D722183"/>
    <w:multiLevelType w:val="hybridMultilevel"/>
    <w:tmpl w:val="882EC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FC14969"/>
    <w:multiLevelType w:val="hybridMultilevel"/>
    <w:tmpl w:val="5B6A6C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2785B7C"/>
    <w:multiLevelType w:val="hybridMultilevel"/>
    <w:tmpl w:val="7CAA0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EC122A0"/>
    <w:multiLevelType w:val="multilevel"/>
    <w:tmpl w:val="BC8603C0"/>
    <w:styleLink w:val="ListNumbers"/>
    <w:lvl w:ilvl="0">
      <w:start w:val="1"/>
      <w:numFmt w:val="decimal"/>
      <w:pStyle w:val="ListNumber"/>
      <w:lvlText w:val="%1)"/>
      <w:lvlJc w:val="left"/>
      <w:pPr>
        <w:ind w:left="425" w:hanging="425"/>
      </w:pPr>
      <w:rPr>
        <w:rFonts w:hint="default"/>
        <w:color w:val="auto"/>
      </w:rPr>
    </w:lvl>
    <w:lvl w:ilvl="1">
      <w:start w:val="1"/>
      <w:numFmt w:val="lowerLetter"/>
      <w:pStyle w:val="ListNumber2"/>
      <w:lvlText w:val="%2)"/>
      <w:lvlJc w:val="left"/>
      <w:pPr>
        <w:ind w:left="794" w:hanging="369"/>
      </w:pPr>
      <w:rPr>
        <w:rFonts w:hint="default"/>
      </w:rPr>
    </w:lvl>
    <w:lvl w:ilvl="2">
      <w:start w:val="1"/>
      <w:numFmt w:val="lowerRoman"/>
      <w:pStyle w:val="ListNumber3"/>
      <w:lvlText w:val="%3)"/>
      <w:lvlJc w:val="right"/>
      <w:pPr>
        <w:ind w:left="1077" w:hanging="17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0A244BF"/>
    <w:multiLevelType w:val="hybridMultilevel"/>
    <w:tmpl w:val="464AFB7C"/>
    <w:lvl w:ilvl="0" w:tplc="3E2A5278">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73DD4355"/>
    <w:multiLevelType w:val="hybridMultilevel"/>
    <w:tmpl w:val="C37E5128"/>
    <w:lvl w:ilvl="0" w:tplc="E8E2D802">
      <w:start w:val="1"/>
      <w:numFmt w:val="bullet"/>
      <w:lvlText w:val=""/>
      <w:lvlJc w:val="left"/>
      <w:pPr>
        <w:ind w:left="720" w:hanging="360"/>
      </w:pPr>
      <w:rPr>
        <w:rFonts w:ascii="Symbol" w:hAnsi="Symbol"/>
      </w:rPr>
    </w:lvl>
    <w:lvl w:ilvl="1" w:tplc="6DF0F086">
      <w:start w:val="1"/>
      <w:numFmt w:val="bullet"/>
      <w:lvlText w:val=""/>
      <w:lvlJc w:val="left"/>
      <w:pPr>
        <w:ind w:left="720" w:hanging="360"/>
      </w:pPr>
      <w:rPr>
        <w:rFonts w:ascii="Symbol" w:hAnsi="Symbol"/>
      </w:rPr>
    </w:lvl>
    <w:lvl w:ilvl="2" w:tplc="E230F8E6">
      <w:start w:val="1"/>
      <w:numFmt w:val="bullet"/>
      <w:lvlText w:val=""/>
      <w:lvlJc w:val="left"/>
      <w:pPr>
        <w:ind w:left="720" w:hanging="360"/>
      </w:pPr>
      <w:rPr>
        <w:rFonts w:ascii="Symbol" w:hAnsi="Symbol"/>
      </w:rPr>
    </w:lvl>
    <w:lvl w:ilvl="3" w:tplc="27CC4B5A">
      <w:start w:val="1"/>
      <w:numFmt w:val="bullet"/>
      <w:lvlText w:val=""/>
      <w:lvlJc w:val="left"/>
      <w:pPr>
        <w:ind w:left="720" w:hanging="360"/>
      </w:pPr>
      <w:rPr>
        <w:rFonts w:ascii="Symbol" w:hAnsi="Symbol"/>
      </w:rPr>
    </w:lvl>
    <w:lvl w:ilvl="4" w:tplc="25C0812C">
      <w:start w:val="1"/>
      <w:numFmt w:val="bullet"/>
      <w:lvlText w:val=""/>
      <w:lvlJc w:val="left"/>
      <w:pPr>
        <w:ind w:left="720" w:hanging="360"/>
      </w:pPr>
      <w:rPr>
        <w:rFonts w:ascii="Symbol" w:hAnsi="Symbol"/>
      </w:rPr>
    </w:lvl>
    <w:lvl w:ilvl="5" w:tplc="1766E2C8">
      <w:start w:val="1"/>
      <w:numFmt w:val="bullet"/>
      <w:lvlText w:val=""/>
      <w:lvlJc w:val="left"/>
      <w:pPr>
        <w:ind w:left="720" w:hanging="360"/>
      </w:pPr>
      <w:rPr>
        <w:rFonts w:ascii="Symbol" w:hAnsi="Symbol"/>
      </w:rPr>
    </w:lvl>
    <w:lvl w:ilvl="6" w:tplc="9CBC6C5C">
      <w:start w:val="1"/>
      <w:numFmt w:val="bullet"/>
      <w:lvlText w:val=""/>
      <w:lvlJc w:val="left"/>
      <w:pPr>
        <w:ind w:left="720" w:hanging="360"/>
      </w:pPr>
      <w:rPr>
        <w:rFonts w:ascii="Symbol" w:hAnsi="Symbol"/>
      </w:rPr>
    </w:lvl>
    <w:lvl w:ilvl="7" w:tplc="A7003948">
      <w:start w:val="1"/>
      <w:numFmt w:val="bullet"/>
      <w:lvlText w:val=""/>
      <w:lvlJc w:val="left"/>
      <w:pPr>
        <w:ind w:left="720" w:hanging="360"/>
      </w:pPr>
      <w:rPr>
        <w:rFonts w:ascii="Symbol" w:hAnsi="Symbol"/>
      </w:rPr>
    </w:lvl>
    <w:lvl w:ilvl="8" w:tplc="C7686EC0">
      <w:start w:val="1"/>
      <w:numFmt w:val="bullet"/>
      <w:lvlText w:val=""/>
      <w:lvlJc w:val="left"/>
      <w:pPr>
        <w:ind w:left="720" w:hanging="360"/>
      </w:pPr>
      <w:rPr>
        <w:rFonts w:ascii="Symbol" w:hAnsi="Symbol"/>
      </w:rPr>
    </w:lvl>
  </w:abstractNum>
  <w:abstractNum w:abstractNumId="30" w15:restartNumberingAfterBreak="0">
    <w:nsid w:val="75C309A6"/>
    <w:multiLevelType w:val="hybridMultilevel"/>
    <w:tmpl w:val="AD4E238A"/>
    <w:lvl w:ilvl="0" w:tplc="3AEE250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15:restartNumberingAfterBreak="0">
    <w:nsid w:val="777F1D11"/>
    <w:multiLevelType w:val="hybridMultilevel"/>
    <w:tmpl w:val="9F2A88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7B075F"/>
    <w:multiLevelType w:val="hybridMultilevel"/>
    <w:tmpl w:val="6E702FF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008023834">
    <w:abstractNumId w:val="22"/>
  </w:num>
  <w:num w:numId="2" w16cid:durableId="1231422767">
    <w:abstractNumId w:val="20"/>
  </w:num>
  <w:num w:numId="3" w16cid:durableId="979992070">
    <w:abstractNumId w:val="7"/>
  </w:num>
  <w:num w:numId="4" w16cid:durableId="690033514">
    <w:abstractNumId w:val="8"/>
  </w:num>
  <w:num w:numId="5" w16cid:durableId="2142645391">
    <w:abstractNumId w:val="3"/>
  </w:num>
  <w:num w:numId="6" w16cid:durableId="1472136386">
    <w:abstractNumId w:val="14"/>
  </w:num>
  <w:num w:numId="7" w16cid:durableId="158666302">
    <w:abstractNumId w:val="27"/>
  </w:num>
  <w:num w:numId="8" w16cid:durableId="148399354">
    <w:abstractNumId w:val="16"/>
  </w:num>
  <w:num w:numId="9" w16cid:durableId="993801620">
    <w:abstractNumId w:val="23"/>
  </w:num>
  <w:num w:numId="10" w16cid:durableId="1208684372">
    <w:abstractNumId w:val="13"/>
  </w:num>
  <w:num w:numId="11" w16cid:durableId="830216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2255927">
    <w:abstractNumId w:val="19"/>
  </w:num>
  <w:num w:numId="13" w16cid:durableId="713307370">
    <w:abstractNumId w:val="24"/>
  </w:num>
  <w:num w:numId="14" w16cid:durableId="1159036811">
    <w:abstractNumId w:val="2"/>
  </w:num>
  <w:num w:numId="15" w16cid:durableId="113602065">
    <w:abstractNumId w:val="1"/>
  </w:num>
  <w:num w:numId="16" w16cid:durableId="2095197043">
    <w:abstractNumId w:val="0"/>
  </w:num>
  <w:num w:numId="17" w16cid:durableId="1548685172">
    <w:abstractNumId w:val="4"/>
  </w:num>
  <w:num w:numId="18" w16cid:durableId="1820609690">
    <w:abstractNumId w:val="11"/>
  </w:num>
  <w:num w:numId="19" w16cid:durableId="1863589143">
    <w:abstractNumId w:val="9"/>
  </w:num>
  <w:num w:numId="20" w16cid:durableId="170150677">
    <w:abstractNumId w:val="12"/>
  </w:num>
  <w:num w:numId="21" w16cid:durableId="1240097425">
    <w:abstractNumId w:val="31"/>
  </w:num>
  <w:num w:numId="22" w16cid:durableId="1269967586">
    <w:abstractNumId w:val="26"/>
  </w:num>
  <w:num w:numId="23" w16cid:durableId="285963879">
    <w:abstractNumId w:val="15"/>
  </w:num>
  <w:num w:numId="24" w16cid:durableId="2044866358">
    <w:abstractNumId w:val="25"/>
  </w:num>
  <w:num w:numId="25" w16cid:durableId="453326239">
    <w:abstractNumId w:val="21"/>
  </w:num>
  <w:num w:numId="26" w16cid:durableId="1119255661">
    <w:abstractNumId w:val="32"/>
  </w:num>
  <w:num w:numId="27" w16cid:durableId="27729257">
    <w:abstractNumId w:val="28"/>
  </w:num>
  <w:num w:numId="28" w16cid:durableId="813302979">
    <w:abstractNumId w:val="6"/>
  </w:num>
  <w:num w:numId="29" w16cid:durableId="1063452901">
    <w:abstractNumId w:val="30"/>
  </w:num>
  <w:num w:numId="30" w16cid:durableId="1301378272">
    <w:abstractNumId w:val="29"/>
  </w:num>
  <w:num w:numId="31" w16cid:durableId="58524215">
    <w:abstractNumId w:val="10"/>
  </w:num>
  <w:num w:numId="32" w16cid:durableId="1053500690">
    <w:abstractNumId w:val="18"/>
  </w:num>
  <w:num w:numId="33" w16cid:durableId="2120561588">
    <w:abstractNumId w:val="5"/>
  </w:num>
  <w:num w:numId="34" w16cid:durableId="63938122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CBA"/>
    <w:rsid w:val="00013F70"/>
    <w:rsid w:val="0002410F"/>
    <w:rsid w:val="00030ED2"/>
    <w:rsid w:val="0003751C"/>
    <w:rsid w:val="00052291"/>
    <w:rsid w:val="00064B58"/>
    <w:rsid w:val="000703C1"/>
    <w:rsid w:val="0007666D"/>
    <w:rsid w:val="00081FF8"/>
    <w:rsid w:val="000845B1"/>
    <w:rsid w:val="000960A4"/>
    <w:rsid w:val="000B20D5"/>
    <w:rsid w:val="000B6A5A"/>
    <w:rsid w:val="000C5958"/>
    <w:rsid w:val="000E1362"/>
    <w:rsid w:val="000E3C3F"/>
    <w:rsid w:val="000E4AF2"/>
    <w:rsid w:val="000E53B2"/>
    <w:rsid w:val="00106BA2"/>
    <w:rsid w:val="00122F06"/>
    <w:rsid w:val="001232FB"/>
    <w:rsid w:val="00130A28"/>
    <w:rsid w:val="00130FD8"/>
    <w:rsid w:val="00145A74"/>
    <w:rsid w:val="00153BE1"/>
    <w:rsid w:val="00175792"/>
    <w:rsid w:val="00194132"/>
    <w:rsid w:val="001965B7"/>
    <w:rsid w:val="001B7179"/>
    <w:rsid w:val="001C1B04"/>
    <w:rsid w:val="001E4B35"/>
    <w:rsid w:val="001E688E"/>
    <w:rsid w:val="001E6C3E"/>
    <w:rsid w:val="00206279"/>
    <w:rsid w:val="002257F6"/>
    <w:rsid w:val="00250B0F"/>
    <w:rsid w:val="002519FA"/>
    <w:rsid w:val="0026158D"/>
    <w:rsid w:val="002674D9"/>
    <w:rsid w:val="002B051A"/>
    <w:rsid w:val="002B7168"/>
    <w:rsid w:val="002C406D"/>
    <w:rsid w:val="002C48D6"/>
    <w:rsid w:val="002E1406"/>
    <w:rsid w:val="002F0719"/>
    <w:rsid w:val="002F6199"/>
    <w:rsid w:val="00302674"/>
    <w:rsid w:val="0031269D"/>
    <w:rsid w:val="00314057"/>
    <w:rsid w:val="003165DA"/>
    <w:rsid w:val="00321365"/>
    <w:rsid w:val="00341A2A"/>
    <w:rsid w:val="00351D66"/>
    <w:rsid w:val="00356F3B"/>
    <w:rsid w:val="00387980"/>
    <w:rsid w:val="003B1C36"/>
    <w:rsid w:val="003B28ED"/>
    <w:rsid w:val="003C7E7A"/>
    <w:rsid w:val="003E69BB"/>
    <w:rsid w:val="003F3AF9"/>
    <w:rsid w:val="003F49C6"/>
    <w:rsid w:val="0040793D"/>
    <w:rsid w:val="00416703"/>
    <w:rsid w:val="00416F2A"/>
    <w:rsid w:val="00434BDD"/>
    <w:rsid w:val="00443BB5"/>
    <w:rsid w:val="0044426B"/>
    <w:rsid w:val="00447222"/>
    <w:rsid w:val="00461807"/>
    <w:rsid w:val="004642FF"/>
    <w:rsid w:val="00466581"/>
    <w:rsid w:val="00466CD1"/>
    <w:rsid w:val="004D3340"/>
    <w:rsid w:val="004D73BF"/>
    <w:rsid w:val="004E35F9"/>
    <w:rsid w:val="004E7508"/>
    <w:rsid w:val="004F10CE"/>
    <w:rsid w:val="004F210A"/>
    <w:rsid w:val="00514CD1"/>
    <w:rsid w:val="0054692F"/>
    <w:rsid w:val="0054747E"/>
    <w:rsid w:val="0055778C"/>
    <w:rsid w:val="00573A4F"/>
    <w:rsid w:val="005755C0"/>
    <w:rsid w:val="005A2A0B"/>
    <w:rsid w:val="005A7A3A"/>
    <w:rsid w:val="005C2266"/>
    <w:rsid w:val="005C3050"/>
    <w:rsid w:val="005C7B9E"/>
    <w:rsid w:val="005F1F05"/>
    <w:rsid w:val="005F61A8"/>
    <w:rsid w:val="00604B9F"/>
    <w:rsid w:val="00610E37"/>
    <w:rsid w:val="006202AE"/>
    <w:rsid w:val="006268F3"/>
    <w:rsid w:val="00626E31"/>
    <w:rsid w:val="006359FD"/>
    <w:rsid w:val="00647641"/>
    <w:rsid w:val="006B026D"/>
    <w:rsid w:val="006C2652"/>
    <w:rsid w:val="006E0105"/>
    <w:rsid w:val="006F72EE"/>
    <w:rsid w:val="006F7C55"/>
    <w:rsid w:val="007117C6"/>
    <w:rsid w:val="00731295"/>
    <w:rsid w:val="00740321"/>
    <w:rsid w:val="00747B31"/>
    <w:rsid w:val="00755163"/>
    <w:rsid w:val="00760734"/>
    <w:rsid w:val="00767937"/>
    <w:rsid w:val="00777A78"/>
    <w:rsid w:val="00780ACB"/>
    <w:rsid w:val="007826C7"/>
    <w:rsid w:val="00783B5F"/>
    <w:rsid w:val="00797CA6"/>
    <w:rsid w:val="007A79DC"/>
    <w:rsid w:val="007B6D09"/>
    <w:rsid w:val="007C6FF2"/>
    <w:rsid w:val="007C75FE"/>
    <w:rsid w:val="007C76D3"/>
    <w:rsid w:val="0081343F"/>
    <w:rsid w:val="00840FBB"/>
    <w:rsid w:val="00862FBD"/>
    <w:rsid w:val="008775C5"/>
    <w:rsid w:val="00883EF4"/>
    <w:rsid w:val="00896895"/>
    <w:rsid w:val="008A374F"/>
    <w:rsid w:val="008A3C1A"/>
    <w:rsid w:val="008B3D1D"/>
    <w:rsid w:val="008C11CF"/>
    <w:rsid w:val="008C4D5E"/>
    <w:rsid w:val="008D4143"/>
    <w:rsid w:val="008D7736"/>
    <w:rsid w:val="00905F94"/>
    <w:rsid w:val="009334D5"/>
    <w:rsid w:val="0093409F"/>
    <w:rsid w:val="009400DE"/>
    <w:rsid w:val="0095135F"/>
    <w:rsid w:val="00964958"/>
    <w:rsid w:val="009662E3"/>
    <w:rsid w:val="00980B21"/>
    <w:rsid w:val="00990E56"/>
    <w:rsid w:val="009B62FC"/>
    <w:rsid w:val="009C65A1"/>
    <w:rsid w:val="009E7F67"/>
    <w:rsid w:val="009F014B"/>
    <w:rsid w:val="009F3539"/>
    <w:rsid w:val="00A00E9D"/>
    <w:rsid w:val="00A173E4"/>
    <w:rsid w:val="00A24A40"/>
    <w:rsid w:val="00A40A26"/>
    <w:rsid w:val="00A5753F"/>
    <w:rsid w:val="00A6233B"/>
    <w:rsid w:val="00A70AF6"/>
    <w:rsid w:val="00A754A5"/>
    <w:rsid w:val="00AA4B88"/>
    <w:rsid w:val="00AC1B48"/>
    <w:rsid w:val="00AD010B"/>
    <w:rsid w:val="00AE3D2B"/>
    <w:rsid w:val="00AF3CBA"/>
    <w:rsid w:val="00AF5217"/>
    <w:rsid w:val="00AF7478"/>
    <w:rsid w:val="00B01CD7"/>
    <w:rsid w:val="00B16093"/>
    <w:rsid w:val="00B2117E"/>
    <w:rsid w:val="00B57188"/>
    <w:rsid w:val="00B660AF"/>
    <w:rsid w:val="00BA29EB"/>
    <w:rsid w:val="00BA2FE0"/>
    <w:rsid w:val="00BC633D"/>
    <w:rsid w:val="00BE2BC9"/>
    <w:rsid w:val="00BF3277"/>
    <w:rsid w:val="00BF7FBD"/>
    <w:rsid w:val="00C01959"/>
    <w:rsid w:val="00C12D75"/>
    <w:rsid w:val="00C13E62"/>
    <w:rsid w:val="00C17939"/>
    <w:rsid w:val="00C438FA"/>
    <w:rsid w:val="00C439F8"/>
    <w:rsid w:val="00C56FF6"/>
    <w:rsid w:val="00C62979"/>
    <w:rsid w:val="00C6669A"/>
    <w:rsid w:val="00C813BD"/>
    <w:rsid w:val="00C87AB0"/>
    <w:rsid w:val="00C972E5"/>
    <w:rsid w:val="00CB26AE"/>
    <w:rsid w:val="00CD20CF"/>
    <w:rsid w:val="00CD5B25"/>
    <w:rsid w:val="00CF355B"/>
    <w:rsid w:val="00D00E8D"/>
    <w:rsid w:val="00D170AB"/>
    <w:rsid w:val="00D27BE2"/>
    <w:rsid w:val="00D302A0"/>
    <w:rsid w:val="00D37B0F"/>
    <w:rsid w:val="00D54727"/>
    <w:rsid w:val="00D55D3A"/>
    <w:rsid w:val="00D60F5B"/>
    <w:rsid w:val="00D72DA0"/>
    <w:rsid w:val="00D91BBB"/>
    <w:rsid w:val="00D957CE"/>
    <w:rsid w:val="00DA066F"/>
    <w:rsid w:val="00DC11A9"/>
    <w:rsid w:val="00DF7EC6"/>
    <w:rsid w:val="00E01616"/>
    <w:rsid w:val="00E13902"/>
    <w:rsid w:val="00E21775"/>
    <w:rsid w:val="00E24C36"/>
    <w:rsid w:val="00E26F05"/>
    <w:rsid w:val="00E3214D"/>
    <w:rsid w:val="00E52A2A"/>
    <w:rsid w:val="00E52F39"/>
    <w:rsid w:val="00E642F0"/>
    <w:rsid w:val="00E64B76"/>
    <w:rsid w:val="00E72636"/>
    <w:rsid w:val="00EA1B0C"/>
    <w:rsid w:val="00EB78BD"/>
    <w:rsid w:val="00EC3811"/>
    <w:rsid w:val="00EF247E"/>
    <w:rsid w:val="00EF2574"/>
    <w:rsid w:val="00F05CB2"/>
    <w:rsid w:val="00F24983"/>
    <w:rsid w:val="00F51CD3"/>
    <w:rsid w:val="00F62CB8"/>
    <w:rsid w:val="00F6789F"/>
    <w:rsid w:val="00F730D8"/>
    <w:rsid w:val="00F84268"/>
    <w:rsid w:val="00F90C58"/>
    <w:rsid w:val="00F94169"/>
    <w:rsid w:val="00FA2DF4"/>
    <w:rsid w:val="00FB56C7"/>
    <w:rsid w:val="00FB6AE5"/>
    <w:rsid w:val="00FE3839"/>
    <w:rsid w:val="00FE42BF"/>
    <w:rsid w:val="00FF5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A294F"/>
  <w15:chartTrackingRefBased/>
  <w15:docId w15:val="{261E8149-09EB-4882-B5C6-1075A7610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4" w:unhideWhenUsed="1" w:qFormat="1"/>
    <w:lsdException w:name="heading 4" w:semiHidden="1" w:uiPriority="5" w:unhideWhenUsed="1" w:qFormat="1"/>
    <w:lsdException w:name="heading 5" w:semiHidden="1" w:uiPriority="9" w:unhideWhenUsed="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1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7"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8" w:unhideWhenUsed="1" w:qFormat="1"/>
    <w:lsdException w:name="List Bullet 3" w:semiHidden="1" w:unhideWhenUsed="1"/>
    <w:lsdException w:name="List Bullet 4" w:semiHidden="1" w:unhideWhenUsed="1"/>
    <w:lsdException w:name="List Bullet 5" w:semiHidden="1" w:unhideWhenUsed="1"/>
    <w:lsdException w:name="List Number 2" w:semiHidden="1" w:uiPriority="10" w:unhideWhenUsed="1" w:qFormat="1"/>
    <w:lsdException w:name="List Number 3" w:semiHidden="1" w:uiPriority="1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pPr>
    <w:rPr>
      <w:sz w:val="22"/>
      <w:szCs w:val="22"/>
      <w:lang w:eastAsia="en-US"/>
    </w:rPr>
  </w:style>
  <w:style w:type="paragraph" w:styleId="Heading1">
    <w:name w:val="heading 1"/>
    <w:next w:val="Normal"/>
    <w:link w:val="Heading1Char"/>
    <w:uiPriority w:val="9"/>
    <w:qFormat/>
    <w:pPr>
      <w:keepNext/>
      <w:keepLines/>
      <w:spacing w:before="720" w:after="240"/>
      <w:outlineLvl w:val="0"/>
    </w:pPr>
    <w:rPr>
      <w:rFonts w:ascii="Calibri" w:eastAsiaTheme="minorEastAsia" w:hAnsi="Calibri" w:cstheme="minorBidi"/>
      <w:b/>
      <w:bCs/>
      <w:color w:val="000000"/>
      <w:sz w:val="56"/>
      <w:szCs w:val="28"/>
      <w:lang w:eastAsia="ja-JP"/>
    </w:rPr>
  </w:style>
  <w:style w:type="paragraph" w:styleId="Heading2">
    <w:name w:val="heading 2"/>
    <w:basedOn w:val="Normal"/>
    <w:next w:val="Normal"/>
    <w:link w:val="Heading2Char"/>
    <w:uiPriority w:val="3"/>
    <w:qFormat/>
    <w:pPr>
      <w:pageBreakBefore/>
      <w:numPr>
        <w:numId w:val="9"/>
      </w:numPr>
      <w:outlineLvl w:val="1"/>
    </w:pPr>
    <w:rPr>
      <w:rFonts w:ascii="Calibri" w:eastAsia="Times New Roman" w:hAnsi="Calibri"/>
      <w:bCs/>
      <w:color w:val="000000"/>
      <w:sz w:val="56"/>
      <w:szCs w:val="28"/>
      <w:lang w:eastAsia="ja-JP"/>
    </w:rPr>
  </w:style>
  <w:style w:type="paragraph" w:styleId="Heading3">
    <w:name w:val="heading 3"/>
    <w:next w:val="Normal"/>
    <w:link w:val="Heading3Char"/>
    <w:uiPriority w:val="4"/>
    <w:qFormat/>
    <w:pPr>
      <w:keepNext/>
      <w:keepLines/>
      <w:numPr>
        <w:ilvl w:val="1"/>
        <w:numId w:val="9"/>
      </w:numPr>
      <w:spacing w:before="360" w:after="120"/>
      <w:outlineLvl w:val="2"/>
    </w:pPr>
    <w:rPr>
      <w:rFonts w:asciiTheme="minorHAnsi" w:eastAsia="Times New Roman" w:hAnsiTheme="minorHAnsi"/>
      <w:b/>
      <w:bCs/>
      <w:sz w:val="32"/>
      <w:szCs w:val="24"/>
      <w:lang w:eastAsia="en-US"/>
    </w:rPr>
  </w:style>
  <w:style w:type="paragraph" w:styleId="Heading4">
    <w:name w:val="heading 4"/>
    <w:basedOn w:val="Heading5"/>
    <w:next w:val="Normal"/>
    <w:link w:val="Heading4Char"/>
    <w:uiPriority w:val="5"/>
    <w:qFormat/>
    <w:pPr>
      <w:spacing w:before="120"/>
      <w:outlineLvl w:val="3"/>
    </w:pPr>
    <w:rPr>
      <w:rFonts w:eastAsiaTheme="minorEastAsia" w:cstheme="minorBidi"/>
      <w:i w:val="0"/>
      <w:sz w:val="28"/>
      <w:lang w:eastAsia="ja-JP"/>
    </w:rPr>
  </w:style>
  <w:style w:type="paragraph" w:styleId="Heading5">
    <w:name w:val="heading 5"/>
    <w:basedOn w:val="Normal"/>
    <w:next w:val="Normal"/>
    <w:link w:val="Heading5Char"/>
    <w:uiPriority w:val="9"/>
    <w:unhideWhenUsed/>
    <w:pPr>
      <w:keepNext/>
      <w:keepLines/>
      <w:spacing w:before="200"/>
      <w:outlineLvl w:val="4"/>
    </w:pPr>
    <w:rPr>
      <w:rFonts w:eastAsiaTheme="majorEastAsia" w:cstheme="majorBidi"/>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1">
    <w:name w:val="List1"/>
    <w:basedOn w:val="NoList"/>
    <w:uiPriority w:val="99"/>
    <w:pPr>
      <w:numPr>
        <w:numId w:val="1"/>
      </w:numPr>
    </w:pPr>
  </w:style>
  <w:style w:type="character" w:customStyle="1" w:styleId="Heading1Char">
    <w:name w:val="Heading 1 Char"/>
    <w:basedOn w:val="DefaultParagraphFont"/>
    <w:link w:val="Heading1"/>
    <w:uiPriority w:val="9"/>
    <w:rPr>
      <w:rFonts w:ascii="Calibri" w:eastAsiaTheme="minorEastAsia" w:hAnsi="Calibri" w:cstheme="minorBidi"/>
      <w:b/>
      <w:bCs/>
      <w:color w:val="000000"/>
      <w:sz w:val="56"/>
      <w:szCs w:val="28"/>
      <w:lang w:eastAsia="ja-JP"/>
    </w:rPr>
  </w:style>
  <w:style w:type="character" w:customStyle="1" w:styleId="Heading2Char">
    <w:name w:val="Heading 2 Char"/>
    <w:basedOn w:val="DefaultParagraphFont"/>
    <w:link w:val="Heading2"/>
    <w:uiPriority w:val="3"/>
    <w:rPr>
      <w:rFonts w:ascii="Calibri" w:eastAsia="Times New Roman" w:hAnsi="Calibri"/>
      <w:bCs/>
      <w:color w:val="000000"/>
      <w:sz w:val="56"/>
      <w:szCs w:val="28"/>
      <w:lang w:eastAsia="ja-JP"/>
    </w:rPr>
  </w:style>
  <w:style w:type="character" w:customStyle="1" w:styleId="Heading3Char">
    <w:name w:val="Heading 3 Char"/>
    <w:basedOn w:val="DefaultParagraphFont"/>
    <w:link w:val="Heading3"/>
    <w:uiPriority w:val="4"/>
    <w:rPr>
      <w:rFonts w:asciiTheme="minorHAnsi" w:eastAsia="Times New Roman" w:hAnsiTheme="minorHAnsi"/>
      <w:b/>
      <w:bCs/>
      <w:sz w:val="32"/>
      <w:szCs w:val="24"/>
      <w:lang w:eastAsia="en-US"/>
    </w:rPr>
  </w:style>
  <w:style w:type="character" w:customStyle="1" w:styleId="Heading4Char">
    <w:name w:val="Heading 4 Char"/>
    <w:basedOn w:val="DefaultParagraphFont"/>
    <w:link w:val="Heading4"/>
    <w:uiPriority w:val="5"/>
    <w:rPr>
      <w:rFonts w:eastAsiaTheme="minorEastAsia" w:cstheme="minorBidi"/>
      <w:b/>
      <w:sz w:val="28"/>
      <w:szCs w:val="22"/>
      <w:lang w:eastAsia="ja-JP"/>
    </w:rPr>
  </w:style>
  <w:style w:type="character" w:customStyle="1" w:styleId="Heading5Char">
    <w:name w:val="Heading 5 Char"/>
    <w:basedOn w:val="DefaultParagraphFont"/>
    <w:link w:val="Heading5"/>
    <w:uiPriority w:val="9"/>
    <w:rPr>
      <w:rFonts w:eastAsiaTheme="majorEastAsia" w:cstheme="majorBidi"/>
      <w:b/>
      <w:i/>
      <w:sz w:val="24"/>
      <w:szCs w:val="22"/>
      <w:lang w:eastAsia="en-US"/>
    </w:rPr>
  </w:style>
  <w:style w:type="paragraph" w:styleId="TOC1">
    <w:name w:val="toc 1"/>
    <w:basedOn w:val="Normal"/>
    <w:next w:val="Normal"/>
    <w:uiPriority w:val="39"/>
    <w:unhideWhenUsed/>
    <w:qFormat/>
    <w:pPr>
      <w:tabs>
        <w:tab w:val="left" w:pos="426"/>
        <w:tab w:val="right" w:leader="dot" w:pos="9072"/>
      </w:tabs>
      <w:spacing w:after="120"/>
    </w:pPr>
    <w:rPr>
      <w:b/>
      <w:noProof/>
    </w:rPr>
  </w:style>
  <w:style w:type="paragraph" w:styleId="TOC2">
    <w:name w:val="toc 2"/>
    <w:basedOn w:val="Normal"/>
    <w:next w:val="Normal"/>
    <w:uiPriority w:val="39"/>
    <w:unhideWhenUsed/>
    <w:qFormat/>
    <w:pPr>
      <w:tabs>
        <w:tab w:val="right" w:leader="dot" w:pos="9060"/>
      </w:tabs>
      <w:spacing w:after="120"/>
      <w:ind w:firstLine="425"/>
    </w:pPr>
    <w:rPr>
      <w:noProof/>
    </w:rPr>
  </w:style>
  <w:style w:type="paragraph" w:styleId="TOC3">
    <w:name w:val="toc 3"/>
    <w:basedOn w:val="Normal"/>
    <w:next w:val="Normal"/>
    <w:uiPriority w:val="39"/>
    <w:unhideWhenUsed/>
    <w:qFormat/>
    <w:pPr>
      <w:tabs>
        <w:tab w:val="right" w:leader="dot" w:pos="9072"/>
      </w:tabs>
      <w:spacing w:after="120"/>
      <w:ind w:firstLine="851"/>
    </w:pPr>
    <w:rPr>
      <w:noProof/>
    </w:rPr>
  </w:style>
  <w:style w:type="paragraph" w:styleId="Caption">
    <w:name w:val="caption"/>
    <w:basedOn w:val="Normal"/>
    <w:next w:val="Normal"/>
    <w:uiPriority w:val="12"/>
    <w:qFormat/>
    <w:pPr>
      <w:keepNext/>
      <w:spacing w:before="360" w:after="120"/>
    </w:pPr>
    <w:rPr>
      <w:b/>
      <w:bCs/>
      <w:sz w:val="24"/>
      <w:szCs w:val="18"/>
    </w:rPr>
  </w:style>
  <w:style w:type="paragraph" w:styleId="ListBullet">
    <w:name w:val="List Bullet"/>
    <w:basedOn w:val="Normal"/>
    <w:uiPriority w:val="7"/>
    <w:qFormat/>
    <w:pPr>
      <w:numPr>
        <w:numId w:val="6"/>
      </w:numPr>
      <w:spacing w:after="120"/>
    </w:pPr>
  </w:style>
  <w:style w:type="paragraph" w:styleId="ListNumber">
    <w:name w:val="List Number"/>
    <w:basedOn w:val="Normal"/>
    <w:uiPriority w:val="9"/>
    <w:qFormat/>
    <w:pPr>
      <w:numPr>
        <w:numId w:val="8"/>
      </w:numPr>
      <w:spacing w:after="120"/>
    </w:pPr>
  </w:style>
  <w:style w:type="paragraph" w:styleId="ListBullet2">
    <w:name w:val="List Bullet 2"/>
    <w:basedOn w:val="Normal"/>
    <w:uiPriority w:val="8"/>
    <w:qFormat/>
    <w:pPr>
      <w:numPr>
        <w:ilvl w:val="1"/>
        <w:numId w:val="6"/>
      </w:numPr>
      <w:spacing w:after="120"/>
      <w:contextualSpacing/>
    </w:pPr>
  </w:style>
  <w:style w:type="paragraph" w:styleId="ListNumber2">
    <w:name w:val="List Number 2"/>
    <w:uiPriority w:val="10"/>
    <w:qFormat/>
    <w:pPr>
      <w:numPr>
        <w:ilvl w:val="1"/>
        <w:numId w:val="8"/>
      </w:numPr>
      <w:spacing w:before="120" w:after="120" w:line="264" w:lineRule="auto"/>
    </w:pPr>
    <w:rPr>
      <w:rFonts w:eastAsia="Times New Roman"/>
      <w:sz w:val="22"/>
      <w:szCs w:val="24"/>
      <w:lang w:eastAsia="en-US"/>
    </w:rPr>
  </w:style>
  <w:style w:type="paragraph" w:styleId="ListNumber3">
    <w:name w:val="List Number 3"/>
    <w:uiPriority w:val="11"/>
    <w:qFormat/>
    <w:pPr>
      <w:numPr>
        <w:ilvl w:val="2"/>
        <w:numId w:val="8"/>
      </w:numPr>
      <w:spacing w:before="120" w:after="120" w:line="264" w:lineRule="auto"/>
    </w:pPr>
    <w:rPr>
      <w:rFonts w:eastAsia="Times New Roman"/>
      <w:sz w:val="22"/>
      <w:szCs w:val="24"/>
      <w:lang w:eastAsia="en-US"/>
    </w:rPr>
  </w:style>
  <w:style w:type="paragraph" w:customStyle="1" w:styleId="DisseminationLimitingMarker">
    <w:name w:val="Dissemination Limiting Marker"/>
    <w:next w:val="Normal"/>
    <w:uiPriority w:val="27"/>
    <w:pPr>
      <w:tabs>
        <w:tab w:val="center" w:pos="4820"/>
      </w:tabs>
      <w:jc w:val="center"/>
    </w:pPr>
    <w:rPr>
      <w:rFonts w:ascii="Calibri" w:hAnsi="Calibri"/>
      <w:b/>
      <w:color w:val="FF0000"/>
      <w:sz w:val="36"/>
      <w:szCs w:val="36"/>
      <w:lang w:eastAsia="en-US"/>
    </w:rPr>
  </w:style>
  <w:style w:type="character" w:styleId="Hyperlink">
    <w:name w:val="Hyperlink"/>
    <w:basedOn w:val="DefaultParagraphFont"/>
    <w:uiPriority w:val="99"/>
    <w:qFormat/>
    <w:rPr>
      <w:color w:val="165788"/>
      <w:u w:val="single"/>
    </w:rPr>
  </w:style>
  <w:style w:type="character" w:styleId="Strong">
    <w:name w:val="Strong"/>
    <w:basedOn w:val="DefaultParagraphFont"/>
    <w:uiPriority w:val="99"/>
    <w:qFormat/>
    <w:rPr>
      <w:b/>
      <w:bCs/>
    </w:rPr>
  </w:style>
  <w:style w:type="character" w:styleId="Emphasis">
    <w:name w:val="Emphasis"/>
    <w:basedOn w:val="DefaultParagraphFont"/>
    <w:uiPriority w:val="20"/>
    <w:qFormat/>
    <w:rPr>
      <w:i/>
      <w:iCs/>
    </w:rPr>
  </w:style>
  <w:style w:type="paragraph" w:styleId="Quote">
    <w:name w:val="Quote"/>
    <w:basedOn w:val="Normal"/>
    <w:next w:val="Normal"/>
    <w:link w:val="QuoteChar"/>
    <w:uiPriority w:val="18"/>
    <w:qFormat/>
    <w:pPr>
      <w:ind w:left="709" w:right="567"/>
    </w:pPr>
    <w:rPr>
      <w:rFonts w:eastAsia="Times New Roman"/>
      <w:iCs/>
      <w:color w:val="000000"/>
      <w:sz w:val="20"/>
      <w:szCs w:val="24"/>
    </w:rPr>
  </w:style>
  <w:style w:type="character" w:customStyle="1" w:styleId="QuoteChar">
    <w:name w:val="Quote Char"/>
    <w:basedOn w:val="DefaultParagraphFont"/>
    <w:link w:val="Quote"/>
    <w:uiPriority w:val="18"/>
    <w:rPr>
      <w:rFonts w:eastAsia="Times New Roman"/>
      <w:iCs/>
      <w:color w:val="000000"/>
      <w:szCs w:val="24"/>
      <w:lang w:eastAsia="en-US"/>
    </w:rPr>
  </w:style>
  <w:style w:type="paragraph" w:styleId="TOCHeading">
    <w:name w:val="TOC Heading"/>
    <w:next w:val="Normal"/>
    <w:uiPriority w:val="39"/>
    <w:qFormat/>
    <w:pPr>
      <w:pageBreakBefore/>
      <w:spacing w:before="480" w:line="276" w:lineRule="auto"/>
    </w:pPr>
    <w:rPr>
      <w:rFonts w:ascii="Calibri" w:eastAsiaTheme="minorEastAsia" w:hAnsi="Calibri" w:cstheme="minorBidi"/>
      <w:bCs/>
      <w:color w:val="000000"/>
      <w:sz w:val="56"/>
      <w:szCs w:val="28"/>
      <w:lang w:eastAsia="ja-JP"/>
    </w:rPr>
  </w:style>
  <w:style w:type="paragraph" w:customStyle="1" w:styleId="Footeraddress">
    <w:name w:val="Footer address"/>
    <w:basedOn w:val="Normal"/>
    <w:next w:val="ListBullet2"/>
    <w:semiHidden/>
    <w:qFormat/>
    <w:pPr>
      <w:tabs>
        <w:tab w:val="center" w:pos="4536"/>
      </w:tabs>
      <w:spacing w:after="120"/>
      <w:jc w:val="center"/>
    </w:pPr>
    <w:rPr>
      <w:sz w:val="16"/>
    </w:rPr>
  </w:style>
  <w:style w:type="paragraph" w:styleId="Footer">
    <w:name w:val="footer"/>
    <w:next w:val="Footeraddress"/>
    <w:link w:val="FooterChar"/>
    <w:unhideWhenUsed/>
    <w:pPr>
      <w:tabs>
        <w:tab w:val="right" w:pos="9026"/>
      </w:tabs>
    </w:pPr>
    <w:rPr>
      <w:rFonts w:ascii="Calibri" w:eastAsiaTheme="minorHAnsi" w:hAnsi="Calibri"/>
    </w:rPr>
  </w:style>
  <w:style w:type="character" w:customStyle="1" w:styleId="FooterChar">
    <w:name w:val="Footer Char"/>
    <w:basedOn w:val="DefaultParagraphFont"/>
    <w:link w:val="Footer"/>
    <w:rPr>
      <w:rFonts w:ascii="Calibri" w:hAnsi="Calibri"/>
    </w:rPr>
  </w:style>
  <w:style w:type="paragraph" w:customStyle="1" w:styleId="BoxText">
    <w:name w:val="Box Text"/>
    <w:basedOn w:val="Normal"/>
    <w:uiPriority w:val="19"/>
    <w:qFormat/>
    <w:pPr>
      <w:pBdr>
        <w:top w:val="single" w:sz="4" w:space="10" w:color="auto"/>
        <w:left w:val="single" w:sz="4" w:space="10" w:color="auto"/>
        <w:bottom w:val="single" w:sz="4" w:space="10" w:color="auto"/>
        <w:right w:val="single" w:sz="4" w:space="10" w:color="auto"/>
      </w:pBdr>
      <w:spacing w:after="120"/>
    </w:pPr>
    <w:rPr>
      <w:sz w:val="20"/>
    </w:rPr>
  </w:style>
  <w:style w:type="paragraph" w:customStyle="1" w:styleId="FigureTableNoteSource">
    <w:name w:val="Figure/Table Note/Source"/>
    <w:basedOn w:val="Normal"/>
    <w:next w:val="Normal"/>
    <w:uiPriority w:val="16"/>
    <w:qFormat/>
    <w:pPr>
      <w:spacing w:line="264" w:lineRule="auto"/>
      <w:contextualSpacing/>
    </w:pPr>
    <w:rPr>
      <w:sz w:val="18"/>
    </w:rPr>
  </w:style>
  <w:style w:type="paragraph" w:customStyle="1" w:styleId="BasicParagraph">
    <w:name w:val="[Basic Paragraph]"/>
    <w:basedOn w:val="Normal"/>
    <w:uiPriority w:val="99"/>
    <w:pPr>
      <w:widowControl w:val="0"/>
      <w:autoSpaceDE w:val="0"/>
      <w:autoSpaceDN w:val="0"/>
      <w:adjustRightInd w:val="0"/>
      <w:spacing w:before="0" w:line="288" w:lineRule="auto"/>
      <w:textAlignment w:val="center"/>
    </w:pPr>
    <w:rPr>
      <w:rFonts w:ascii="MinionPro-Regular" w:eastAsiaTheme="minorEastAsia" w:hAnsi="MinionPro-Regular" w:cs="MinionPro-Regular"/>
      <w:color w:val="000000"/>
      <w:sz w:val="24"/>
      <w:szCs w:val="24"/>
      <w:lang w:val="en-US"/>
    </w:rPr>
  </w:style>
  <w:style w:type="paragraph" w:customStyle="1" w:styleId="TableText">
    <w:name w:val="Table Text"/>
    <w:basedOn w:val="Normal"/>
    <w:qFormat/>
    <w:pPr>
      <w:spacing w:before="60" w:after="60"/>
    </w:pPr>
    <w:rPr>
      <w:sz w:val="18"/>
    </w:rPr>
  </w:style>
  <w:style w:type="paragraph" w:customStyle="1" w:styleId="TableHeading">
    <w:name w:val="Table Heading"/>
    <w:basedOn w:val="TableText"/>
    <w:qFormat/>
    <w:pPr>
      <w:keepNext/>
    </w:pPr>
    <w:rPr>
      <w:b/>
    </w:rPr>
  </w:style>
  <w:style w:type="numbering" w:customStyle="1" w:styleId="Headings">
    <w:name w:val="Headings"/>
    <w:uiPriority w:val="99"/>
    <w:pPr>
      <w:numPr>
        <w:numId w:val="9"/>
      </w:numPr>
    </w:pPr>
  </w:style>
  <w:style w:type="paragraph" w:customStyle="1" w:styleId="Preliminarycontentheading">
    <w:name w:val="Preliminary content heading"/>
    <w:link w:val="PreliminarycontentheadingChar"/>
    <w:uiPriority w:val="28"/>
    <w:qFormat/>
    <w:rsid w:val="00905F94"/>
    <w:pPr>
      <w:pageBreakBefore/>
    </w:pPr>
    <w:rPr>
      <w:rFonts w:ascii="Calibri" w:eastAsia="Times New Roman" w:hAnsi="Calibri"/>
      <w:bCs/>
      <w:color w:val="000000"/>
      <w:sz w:val="56"/>
      <w:szCs w:val="28"/>
      <w:lang w:eastAsia="ja-JP"/>
    </w:rPr>
  </w:style>
  <w:style w:type="character" w:customStyle="1" w:styleId="PreliminarycontentheadingChar">
    <w:name w:val="Preliminary content heading Char"/>
    <w:basedOn w:val="DefaultParagraphFont"/>
    <w:link w:val="Preliminarycontentheading"/>
    <w:uiPriority w:val="28"/>
    <w:rsid w:val="00905F94"/>
    <w:rPr>
      <w:rFonts w:ascii="Calibri" w:eastAsia="Times New Roman" w:hAnsi="Calibri"/>
      <w:bCs/>
      <w:color w:val="000000"/>
      <w:sz w:val="56"/>
      <w:szCs w:val="28"/>
      <w:lang w:eastAsia="ja-JP"/>
    </w:rPr>
  </w:style>
  <w:style w:type="paragraph" w:customStyle="1" w:styleId="BoxTextBullet">
    <w:name w:val="Box Text Bullet"/>
    <w:basedOn w:val="BoxText"/>
    <w:uiPriority w:val="21"/>
    <w:qFormat/>
    <w:pPr>
      <w:numPr>
        <w:numId w:val="2"/>
      </w:numPr>
      <w:tabs>
        <w:tab w:val="left" w:pos="227"/>
      </w:tabs>
      <w:ind w:left="0" w:firstLine="0"/>
    </w:pPr>
  </w:style>
  <w:style w:type="paragraph" w:customStyle="1" w:styleId="TableBullet">
    <w:name w:val="Table Bullet"/>
    <w:basedOn w:val="TableText"/>
    <w:uiPriority w:val="15"/>
    <w:qFormat/>
    <w:pPr>
      <w:numPr>
        <w:numId w:val="3"/>
      </w:numPr>
    </w:pPr>
  </w:style>
  <w:style w:type="paragraph" w:customStyle="1" w:styleId="BoxHeading">
    <w:name w:val="Box Heading"/>
    <w:basedOn w:val="BoxText"/>
    <w:qFormat/>
    <w:rPr>
      <w:b/>
    </w:rPr>
  </w:style>
  <w:style w:type="paragraph" w:customStyle="1" w:styleId="Securityclassification">
    <w:name w:val="Security classification"/>
    <w:basedOn w:val="Normal"/>
    <w:uiPriority w:val="26"/>
    <w:qFormat/>
    <w:pPr>
      <w:tabs>
        <w:tab w:val="center" w:pos="4820"/>
      </w:tabs>
      <w:jc w:val="center"/>
    </w:pPr>
    <w:rPr>
      <w:b/>
      <w:caps/>
      <w:color w:val="FF0000"/>
      <w:sz w:val="36"/>
      <w:szCs w:val="36"/>
    </w:rPr>
  </w:style>
  <w:style w:type="paragraph" w:styleId="Header">
    <w:name w:val="header"/>
    <w:link w:val="HeaderChar"/>
    <w:unhideWhenUsed/>
    <w:pPr>
      <w:tabs>
        <w:tab w:val="right" w:pos="9026"/>
      </w:tabs>
    </w:pPr>
    <w:rPr>
      <w:rFonts w:ascii="Calibri" w:eastAsiaTheme="minorHAnsi" w:hAnsi="Calibri"/>
    </w:rPr>
  </w:style>
  <w:style w:type="character" w:customStyle="1" w:styleId="HeaderChar">
    <w:name w:val="Header Char"/>
    <w:basedOn w:val="DefaultParagraphFont"/>
    <w:link w:val="Header"/>
    <w:rPr>
      <w:rFonts w:ascii="Calibri" w:hAnsi="Calibri"/>
    </w:rPr>
  </w:style>
  <w:style w:type="paragraph" w:customStyle="1" w:styleId="BoxSource">
    <w:name w:val="Box Source"/>
    <w:basedOn w:val="FigureTableNoteSource"/>
    <w:uiPriority w:val="22"/>
    <w:qFormat/>
    <w:pPr>
      <w:pBdr>
        <w:top w:val="single" w:sz="4" w:space="10" w:color="auto"/>
        <w:left w:val="single" w:sz="4" w:space="10" w:color="auto"/>
        <w:bottom w:val="single" w:sz="4" w:space="10" w:color="auto"/>
        <w:right w:val="single" w:sz="4" w:space="10" w:color="auto"/>
      </w:pBdr>
    </w:pPr>
  </w:style>
  <w:style w:type="paragraph" w:customStyle="1" w:styleId="AppendixHeading1">
    <w:name w:val="Appendix Heading 1"/>
    <w:qFormat/>
    <w:pPr>
      <w:pageBreakBefore/>
      <w:numPr>
        <w:numId w:val="12"/>
      </w:numPr>
      <w:spacing w:after="240"/>
    </w:pPr>
    <w:rPr>
      <w:rFonts w:asciiTheme="minorHAnsi" w:eastAsia="Times New Roman" w:hAnsiTheme="minorHAnsi"/>
      <w:b/>
      <w:bCs/>
      <w:sz w:val="56"/>
      <w:szCs w:val="24"/>
      <w:lang w:eastAsia="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lang w:eastAsia="en-US"/>
    </w:rPr>
  </w:style>
  <w:style w:type="paragraph" w:styleId="TableofFigures">
    <w:name w:val="table of figures"/>
    <w:basedOn w:val="Normal"/>
    <w:next w:val="Normal"/>
    <w:uiPriority w:val="99"/>
    <w:unhideWhenUsed/>
  </w:style>
  <w:style w:type="numbering" w:customStyle="1" w:styleId="Appendix">
    <w:name w:val="Appendix"/>
    <w:uiPriority w:val="99"/>
    <w:pPr>
      <w:numPr>
        <w:numId w:val="10"/>
      </w:numPr>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eastAsia="Calibri"/>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eastAsia="Calibri"/>
      <w:b/>
      <w:bCs/>
      <w:lang w:eastAsia="en-US"/>
    </w:rPr>
  </w:style>
  <w:style w:type="character" w:styleId="FollowedHyperlink">
    <w:name w:val="FollowedHyperlink"/>
    <w:basedOn w:val="DefaultParagraphFont"/>
    <w:uiPriority w:val="99"/>
    <w:semiHidden/>
    <w:unhideWhenUsed/>
    <w:rPr>
      <w:color w:val="800080" w:themeColor="followedHyperlink"/>
      <w:u w:val="single"/>
    </w:rPr>
  </w:style>
  <w:style w:type="numbering" w:customStyle="1" w:styleId="ListBullets">
    <w:name w:val="ListBullets"/>
    <w:uiPriority w:val="99"/>
    <w:pPr>
      <w:numPr>
        <w:numId w:val="4"/>
      </w:numPr>
    </w:pPr>
  </w:style>
  <w:style w:type="paragraph" w:styleId="ListBullet4">
    <w:name w:val="List Bullet 4"/>
    <w:basedOn w:val="Normal"/>
    <w:uiPriority w:val="99"/>
    <w:unhideWhenUsed/>
    <w:pPr>
      <w:numPr>
        <w:numId w:val="5"/>
      </w:numPr>
      <w:contextualSpacing/>
    </w:pPr>
  </w:style>
  <w:style w:type="paragraph" w:styleId="ListBullet3">
    <w:name w:val="List Bullet 3"/>
    <w:basedOn w:val="Normal"/>
    <w:uiPriority w:val="99"/>
    <w:unhideWhenUsed/>
    <w:pPr>
      <w:numPr>
        <w:ilvl w:val="2"/>
        <w:numId w:val="6"/>
      </w:numPr>
      <w:contextualSpacing/>
    </w:pPr>
  </w:style>
  <w:style w:type="numbering" w:customStyle="1" w:styleId="ListNumbers">
    <w:name w:val="ListNumbers"/>
    <w:uiPriority w:val="99"/>
    <w:pPr>
      <w:numPr>
        <w:numId w:val="7"/>
      </w:numPr>
    </w:pPr>
  </w:style>
  <w:style w:type="paragraph" w:customStyle="1" w:styleId="Picture">
    <w:name w:val="Picture"/>
    <w:qFormat/>
    <w:rPr>
      <w:rFonts w:ascii="Calibri" w:eastAsiaTheme="minorEastAsia" w:hAnsi="Calibri" w:cstheme="minorBidi"/>
      <w:bCs/>
      <w:color w:val="000000"/>
      <w:sz w:val="22"/>
      <w:szCs w:val="28"/>
      <w:lang w:eastAsia="ja-JP"/>
    </w:rPr>
  </w:style>
  <w:style w:type="paragraph" w:styleId="Subtitle">
    <w:name w:val="Subtitle"/>
    <w:basedOn w:val="Normal"/>
    <w:next w:val="Normal"/>
    <w:link w:val="SubtitleChar"/>
    <w:uiPriority w:val="23"/>
    <w:qFormat/>
    <w:pPr>
      <w:ind w:left="1701"/>
    </w:pPr>
    <w:rPr>
      <w:sz w:val="40"/>
      <w:szCs w:val="40"/>
      <w:lang w:eastAsia="ja-JP"/>
    </w:rPr>
  </w:style>
  <w:style w:type="character" w:customStyle="1" w:styleId="SubtitleChar">
    <w:name w:val="Subtitle Char"/>
    <w:basedOn w:val="DefaultParagraphFont"/>
    <w:link w:val="Subtitle"/>
    <w:uiPriority w:val="23"/>
    <w:rPr>
      <w:rFonts w:eastAsia="Calibri"/>
      <w:sz w:val="40"/>
      <w:szCs w:val="40"/>
      <w:lang w:eastAsia="ja-JP"/>
    </w:rPr>
  </w:style>
  <w:style w:type="paragraph" w:styleId="Date">
    <w:name w:val="Date"/>
    <w:basedOn w:val="Normal"/>
    <w:next w:val="Normal"/>
    <w:link w:val="DateChar"/>
    <w:uiPriority w:val="99"/>
    <w:unhideWhenUsed/>
    <w:pPr>
      <w:pBdr>
        <w:top w:val="single" w:sz="4" w:space="1" w:color="auto"/>
      </w:pBdr>
      <w:ind w:left="1701"/>
      <w:jc w:val="right"/>
    </w:pPr>
    <w:rPr>
      <w:sz w:val="28"/>
      <w:szCs w:val="28"/>
    </w:rPr>
  </w:style>
  <w:style w:type="character" w:customStyle="1" w:styleId="DateChar">
    <w:name w:val="Date Char"/>
    <w:basedOn w:val="DefaultParagraphFont"/>
    <w:link w:val="Date"/>
    <w:uiPriority w:val="99"/>
    <w:rPr>
      <w:rFonts w:eastAsia="Calibri"/>
      <w:sz w:val="28"/>
      <w:szCs w:val="28"/>
      <w:lang w:eastAsia="en-US"/>
    </w:rPr>
  </w:style>
  <w:style w:type="paragraph" w:customStyle="1" w:styleId="AppendixHeading2">
    <w:name w:val="Appendix Heading 2"/>
    <w:qFormat/>
    <w:pPr>
      <w:numPr>
        <w:ilvl w:val="1"/>
        <w:numId w:val="12"/>
      </w:numPr>
    </w:pPr>
    <w:rPr>
      <w:rFonts w:asciiTheme="minorHAnsi" w:eastAsia="Times New Roman" w:hAnsiTheme="minorHAnsi"/>
      <w:b/>
      <w:bCs/>
      <w:sz w:val="32"/>
      <w:szCs w:val="24"/>
      <w:lang w:eastAsia="en-US"/>
    </w:rPr>
  </w:style>
  <w:style w:type="paragraph" w:customStyle="1" w:styleId="AppendixHeading3">
    <w:name w:val="Appendix Heading 3"/>
    <w:qFormat/>
    <w:pPr>
      <w:keepNext/>
      <w:tabs>
        <w:tab w:val="num" w:pos="1077"/>
      </w:tabs>
      <w:spacing w:before="240"/>
      <w:ind w:left="1077" w:hanging="1077"/>
    </w:pPr>
    <w:rPr>
      <w:rFonts w:eastAsia="Times New Roman"/>
      <w:b/>
      <w:sz w:val="24"/>
      <w:szCs w:val="24"/>
      <w:lang w:val="en-US" w:eastAsia="en-US" w:bidi="en-US"/>
    </w:rPr>
  </w:style>
  <w:style w:type="paragraph" w:customStyle="1" w:styleId="AppendixHeading4">
    <w:name w:val="Appendix Heading 4"/>
    <w:qFormat/>
    <w:pPr>
      <w:keepNext/>
      <w:tabs>
        <w:tab w:val="num" w:pos="1077"/>
      </w:tabs>
      <w:spacing w:after="120"/>
      <w:ind w:left="1077" w:hanging="1077"/>
    </w:pPr>
    <w:rPr>
      <w:rFonts w:ascii="Calibri" w:eastAsia="Times New Roman" w:hAnsi="Calibri"/>
      <w:b/>
      <w:sz w:val="22"/>
      <w:szCs w:val="24"/>
      <w:lang w:val="en-US" w:eastAsia="en-US" w:bidi="en-US"/>
    </w:rPr>
  </w:style>
  <w:style w:type="paragraph" w:customStyle="1" w:styleId="Endmattercontentheading">
    <w:name w:val="Endmatter content heading"/>
    <w:basedOn w:val="Preliminarycontentheading"/>
    <w:qFormat/>
  </w:style>
  <w:style w:type="paragraph" w:styleId="Revision">
    <w:name w:val="Revision"/>
    <w:hidden/>
    <w:uiPriority w:val="99"/>
    <w:semiHidden/>
    <w:rPr>
      <w:sz w:val="22"/>
      <w:szCs w:val="22"/>
      <w:lang w:eastAsia="en-US"/>
    </w:rPr>
  </w:style>
  <w:style w:type="table" w:styleId="TableGrid">
    <w:name w:val="Table Grid"/>
    <w:basedOn w:val="TableNormal"/>
    <w:rsid w:val="00C666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1232FB"/>
    <w:pPr>
      <w:spacing w:before="240"/>
    </w:pPr>
    <w:rPr>
      <w:rFonts w:ascii="Verdana" w:eastAsia="Times New Roman" w:hAnsi="Verdana"/>
      <w:sz w:val="16"/>
      <w:szCs w:val="20"/>
      <w:lang w:eastAsia="en-AU"/>
    </w:rPr>
  </w:style>
  <w:style w:type="character" w:customStyle="1" w:styleId="FootnoteTextChar">
    <w:name w:val="Footnote Text Char"/>
    <w:basedOn w:val="DefaultParagraphFont"/>
    <w:link w:val="FootnoteText"/>
    <w:uiPriority w:val="99"/>
    <w:semiHidden/>
    <w:rsid w:val="001232FB"/>
    <w:rPr>
      <w:rFonts w:ascii="Verdana" w:eastAsia="Times New Roman" w:hAnsi="Verdana"/>
      <w:sz w:val="16"/>
    </w:rPr>
  </w:style>
  <w:style w:type="paragraph" w:customStyle="1" w:styleId="Footnote">
    <w:name w:val="Footnote"/>
    <w:next w:val="Normal"/>
    <w:rsid w:val="001232FB"/>
    <w:pPr>
      <w:spacing w:before="60" w:after="60"/>
    </w:pPr>
    <w:rPr>
      <w:rFonts w:ascii="Verdana" w:eastAsia="Times New Roman" w:hAnsi="Verdana" w:cs="Arial"/>
      <w:bCs/>
      <w:kern w:val="28"/>
      <w:sz w:val="16"/>
      <w:szCs w:val="16"/>
    </w:rPr>
  </w:style>
  <w:style w:type="character" w:styleId="FootnoteReference">
    <w:name w:val="footnote reference"/>
    <w:uiPriority w:val="99"/>
    <w:rsid w:val="001232FB"/>
    <w:rPr>
      <w:vertAlign w:val="superscript"/>
    </w:rPr>
  </w:style>
  <w:style w:type="paragraph" w:styleId="ListParagraph">
    <w:name w:val="List Paragraph"/>
    <w:basedOn w:val="Normal"/>
    <w:uiPriority w:val="34"/>
    <w:qFormat/>
    <w:rsid w:val="00447222"/>
    <w:pPr>
      <w:ind w:left="720"/>
      <w:contextualSpacing/>
    </w:pPr>
  </w:style>
  <w:style w:type="character" w:styleId="UnresolvedMention">
    <w:name w:val="Unresolved Mention"/>
    <w:basedOn w:val="DefaultParagraphFont"/>
    <w:uiPriority w:val="99"/>
    <w:semiHidden/>
    <w:unhideWhenUsed/>
    <w:rsid w:val="00EC3811"/>
    <w:rPr>
      <w:color w:val="605E5C"/>
      <w:shd w:val="clear" w:color="auto" w:fill="E1DFDD"/>
    </w:rPr>
  </w:style>
  <w:style w:type="table" w:customStyle="1" w:styleId="TableGrid1">
    <w:name w:val="Table Grid1"/>
    <w:basedOn w:val="TableNormal"/>
    <w:next w:val="TableGrid"/>
    <w:rsid w:val="006268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268F3"/>
    <w:rPr>
      <w:rFonts w:ascii="Segoe UI" w:hAnsi="Segoe UI" w:cs="Segoe UI" w:hint="default"/>
      <w:sz w:val="18"/>
      <w:szCs w:val="18"/>
    </w:rPr>
  </w:style>
  <w:style w:type="character" w:customStyle="1" w:styleId="cf11">
    <w:name w:val="cf11"/>
    <w:basedOn w:val="DefaultParagraphFont"/>
    <w:rsid w:val="006268F3"/>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02896">
      <w:bodyDiv w:val="1"/>
      <w:marLeft w:val="0"/>
      <w:marRight w:val="0"/>
      <w:marTop w:val="0"/>
      <w:marBottom w:val="0"/>
      <w:divBdr>
        <w:top w:val="none" w:sz="0" w:space="0" w:color="auto"/>
        <w:left w:val="none" w:sz="0" w:space="0" w:color="auto"/>
        <w:bottom w:val="none" w:sz="0" w:space="0" w:color="auto"/>
        <w:right w:val="none" w:sz="0" w:space="0" w:color="auto"/>
      </w:divBdr>
    </w:div>
    <w:div w:id="1037050892">
      <w:bodyDiv w:val="1"/>
      <w:marLeft w:val="0"/>
      <w:marRight w:val="0"/>
      <w:marTop w:val="0"/>
      <w:marBottom w:val="0"/>
      <w:divBdr>
        <w:top w:val="none" w:sz="0" w:space="0" w:color="auto"/>
        <w:left w:val="none" w:sz="0" w:space="0" w:color="auto"/>
        <w:bottom w:val="none" w:sz="0" w:space="0" w:color="auto"/>
        <w:right w:val="none" w:sz="0" w:space="0" w:color="auto"/>
      </w:divBdr>
    </w:div>
    <w:div w:id="1509979617">
      <w:bodyDiv w:val="1"/>
      <w:marLeft w:val="0"/>
      <w:marRight w:val="0"/>
      <w:marTop w:val="0"/>
      <w:marBottom w:val="0"/>
      <w:divBdr>
        <w:top w:val="none" w:sz="0" w:space="0" w:color="auto"/>
        <w:left w:val="none" w:sz="0" w:space="0" w:color="auto"/>
        <w:bottom w:val="none" w:sz="0" w:space="0" w:color="auto"/>
        <w:right w:val="none" w:sz="0" w:space="0" w:color="auto"/>
      </w:divBdr>
    </w:div>
    <w:div w:id="1889683419">
      <w:bodyDiv w:val="1"/>
      <w:marLeft w:val="0"/>
      <w:marRight w:val="0"/>
      <w:marTop w:val="0"/>
      <w:marBottom w:val="0"/>
      <w:divBdr>
        <w:top w:val="none" w:sz="0" w:space="0" w:color="auto"/>
        <w:left w:val="none" w:sz="0" w:space="0" w:color="auto"/>
        <w:bottom w:val="none" w:sz="0" w:space="0" w:color="auto"/>
        <w:right w:val="none" w:sz="0" w:space="0" w:color="auto"/>
      </w:divBdr>
      <w:divsChild>
        <w:div w:id="1746146061">
          <w:marLeft w:val="0"/>
          <w:marRight w:val="0"/>
          <w:marTop w:val="0"/>
          <w:marBottom w:val="0"/>
          <w:divBdr>
            <w:top w:val="none" w:sz="0" w:space="0" w:color="auto"/>
            <w:left w:val="none" w:sz="0" w:space="0" w:color="auto"/>
            <w:bottom w:val="none" w:sz="0" w:space="0" w:color="auto"/>
            <w:right w:val="none" w:sz="0" w:space="0" w:color="auto"/>
          </w:divBdr>
          <w:divsChild>
            <w:div w:id="1838615912">
              <w:marLeft w:val="0"/>
              <w:marRight w:val="0"/>
              <w:marTop w:val="0"/>
              <w:marBottom w:val="0"/>
              <w:divBdr>
                <w:top w:val="none" w:sz="0" w:space="0" w:color="auto"/>
                <w:left w:val="none" w:sz="0" w:space="0" w:color="auto"/>
                <w:bottom w:val="none" w:sz="0" w:space="0" w:color="auto"/>
                <w:right w:val="none" w:sz="0" w:space="0" w:color="auto"/>
              </w:divBdr>
              <w:divsChild>
                <w:div w:id="604583846">
                  <w:marLeft w:val="0"/>
                  <w:marRight w:val="0"/>
                  <w:marTop w:val="0"/>
                  <w:marBottom w:val="0"/>
                  <w:divBdr>
                    <w:top w:val="none" w:sz="0" w:space="0" w:color="auto"/>
                    <w:left w:val="none" w:sz="0" w:space="0" w:color="auto"/>
                    <w:bottom w:val="none" w:sz="0" w:space="0" w:color="auto"/>
                    <w:right w:val="none" w:sz="0" w:space="0" w:color="auto"/>
                  </w:divBdr>
                  <w:divsChild>
                    <w:div w:id="980576821">
                      <w:marLeft w:val="0"/>
                      <w:marRight w:val="0"/>
                      <w:marTop w:val="0"/>
                      <w:marBottom w:val="0"/>
                      <w:divBdr>
                        <w:top w:val="none" w:sz="0" w:space="0" w:color="auto"/>
                        <w:left w:val="none" w:sz="0" w:space="0" w:color="auto"/>
                        <w:bottom w:val="none" w:sz="0" w:space="0" w:color="auto"/>
                        <w:right w:val="none" w:sz="0" w:space="0" w:color="auto"/>
                      </w:divBdr>
                      <w:divsChild>
                        <w:div w:id="1938177310">
                          <w:marLeft w:val="-225"/>
                          <w:marRight w:val="-225"/>
                          <w:marTop w:val="0"/>
                          <w:marBottom w:val="0"/>
                          <w:divBdr>
                            <w:top w:val="none" w:sz="0" w:space="0" w:color="auto"/>
                            <w:left w:val="none" w:sz="0" w:space="0" w:color="auto"/>
                            <w:bottom w:val="none" w:sz="0" w:space="0" w:color="auto"/>
                            <w:right w:val="none" w:sz="0" w:space="0" w:color="auto"/>
                          </w:divBdr>
                          <w:divsChild>
                            <w:div w:id="1094786563">
                              <w:marLeft w:val="-225"/>
                              <w:marRight w:val="-225"/>
                              <w:marTop w:val="0"/>
                              <w:marBottom w:val="0"/>
                              <w:divBdr>
                                <w:top w:val="none" w:sz="0" w:space="0" w:color="auto"/>
                                <w:left w:val="none" w:sz="0" w:space="0" w:color="auto"/>
                                <w:bottom w:val="none" w:sz="0" w:space="0" w:color="auto"/>
                                <w:right w:val="none" w:sz="0" w:space="0" w:color="auto"/>
                              </w:divBdr>
                              <w:divsChild>
                                <w:div w:id="1597010266">
                                  <w:marLeft w:val="-225"/>
                                  <w:marRight w:val="-225"/>
                                  <w:marTop w:val="0"/>
                                  <w:marBottom w:val="0"/>
                                  <w:divBdr>
                                    <w:top w:val="none" w:sz="0" w:space="0" w:color="auto"/>
                                    <w:left w:val="none" w:sz="0" w:space="0" w:color="auto"/>
                                    <w:bottom w:val="none" w:sz="0" w:space="0" w:color="auto"/>
                                    <w:right w:val="none" w:sz="0" w:space="0" w:color="auto"/>
                                  </w:divBdr>
                                  <w:divsChild>
                                    <w:div w:id="915868488">
                                      <w:marLeft w:val="-225"/>
                                      <w:marRight w:val="-225"/>
                                      <w:marTop w:val="0"/>
                                      <w:marBottom w:val="0"/>
                                      <w:divBdr>
                                        <w:top w:val="none" w:sz="0" w:space="0" w:color="auto"/>
                                        <w:left w:val="none" w:sz="0" w:space="0" w:color="auto"/>
                                        <w:bottom w:val="none" w:sz="0" w:space="0" w:color="auto"/>
                                        <w:right w:val="none" w:sz="0" w:space="0" w:color="auto"/>
                                      </w:divBdr>
                                      <w:divsChild>
                                        <w:div w:id="93409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culture.gov.au/abares/forestsaustralia/forest-data-maps-and-tools/spatial-data/forest-cover" TargetMode="External"/><Relationship Id="rId13" Type="http://schemas.openxmlformats.org/officeDocument/2006/relationships/hyperlink" Target="http://www.agriculture.gov.au/abares/forestsaustralia/forest-data-maps-and-tools/spatial-data/forest-cover" TargetMode="External"/><Relationship Id="rId18" Type="http://schemas.openxmlformats.org/officeDocument/2006/relationships/hyperlink" Target="https://www.qld.gov.au/environment/land/management/mapping/statewide-monitoring/slats" TargetMode="External"/><Relationship Id="rId26" Type="http://schemas.openxmlformats.org/officeDocument/2006/relationships/hyperlink" Target="https://doi.org/10.3390/rs10101669" TargetMode="External"/><Relationship Id="rId3" Type="http://schemas.openxmlformats.org/officeDocument/2006/relationships/styles" Target="styles.xml"/><Relationship Id="rId21" Type="http://schemas.openxmlformats.org/officeDocument/2006/relationships/hyperlink" Target="https://www.dcceew.gov.au/environment/land/native-vegetation/national-vegetation-information-system/data-products" TargetMode="External"/><Relationship Id="rId7" Type="http://schemas.openxmlformats.org/officeDocument/2006/relationships/endnotes" Target="endnotes.xml"/><Relationship Id="rId12" Type="http://schemas.openxmlformats.org/officeDocument/2006/relationships/hyperlink" Target="https://www.agriculture.gov.au/abares/aclump/catchment-scale-land-use-of-australia-update-december-2020" TargetMode="External"/><Relationship Id="rId17" Type="http://schemas.openxmlformats.org/officeDocument/2006/relationships/hyperlink" Target="https://www.agriculture.gov.au/abares/forestsaustralia/forest-data-maps-and-tools/spatial-data" TargetMode="External"/><Relationship Id="rId25" Type="http://schemas.openxmlformats.org/officeDocument/2006/relationships/hyperlink" Target="https://daff.ent.sirsidynix.net.au/client/en_AU/ABARES/search/detailnonmodal/ent:$002f$002fSD_ASSET$002f0$002fSD_ASSET:1032742/one" TargetMode="Externa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hyperlink" Target="https://data.nt.gov.au/dataset/land-use-mapping-project-of-the-northern-territory-2016-current-lum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riculture.gov.au/abares/forestsaustralia/sofr" TargetMode="External"/><Relationship Id="rId24" Type="http://schemas.openxmlformats.org/officeDocument/2006/relationships/hyperlink" Target="https://www.dcceew.gov.au/sites/default/files/documents/national-inventory-report-2020-volume-2.pdf" TargetMode="External"/><Relationship Id="rId5" Type="http://schemas.openxmlformats.org/officeDocument/2006/relationships/webSettings" Target="webSettings.xml"/><Relationship Id="rId15" Type="http://schemas.openxmlformats.org/officeDocument/2006/relationships/hyperlink" Target="http://www.agriculture.gov.au/abares/forestsaustralia/sofr/" TargetMode="External"/><Relationship Id="rId23" Type="http://schemas.openxmlformats.org/officeDocument/2006/relationships/hyperlink" Target="https://data.gov.au/dataset/ds-dga-69d09a6c-df77-439f-8bc7-87822cd520fd/details" TargetMode="External"/><Relationship Id="rId28" Type="http://schemas.openxmlformats.org/officeDocument/2006/relationships/header" Target="header1.xml"/><Relationship Id="rId10" Type="http://schemas.openxmlformats.org/officeDocument/2006/relationships/hyperlink" Target="mailto:info.ABARES@agriculture.gov.au" TargetMode="External"/><Relationship Id="rId19" Type="http://schemas.openxmlformats.org/officeDocument/2006/relationships/hyperlink" Target="https://data.gov.au/dataset/ds-dga-69d09a6c-df77-439f-8bc7-87822cd520fd/detail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oi.org/10.25814/6cay-a361" TargetMode="External"/><Relationship Id="rId14" Type="http://schemas.openxmlformats.org/officeDocument/2006/relationships/hyperlink" Target="https://data.gov.au/" TargetMode="External"/><Relationship Id="rId22" Type="http://schemas.openxmlformats.org/officeDocument/2006/relationships/hyperlink" Target="https://doi.org/10.25814/aqjw-rq15" TargetMode="External"/><Relationship Id="rId27" Type="http://schemas.openxmlformats.org/officeDocument/2006/relationships/hyperlink" Target="https://doi.org/10.1371/journal.pone.0179302"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br.business.gov.au/ABN/View/23089912710" TargetMode="External"/><Relationship Id="rId1" Type="http://schemas.openxmlformats.org/officeDocument/2006/relationships/hyperlink" Target="https://data.nt.gov.au/dataset/land-use-mapping-project-of-the-northern-territory-2016-current-lu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6822C-0121-44B4-9698-8619BBE02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Pages>
  <Words>3249</Words>
  <Characters>18522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Default Word template</vt:lpstr>
    </vt:vector>
  </TitlesOfParts>
  <Company>Department of Agriculture</Company>
  <LinksUpToDate>false</LinksUpToDate>
  <CharactersWithSpaces>21728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Word template</dc:title>
  <dc:subject/>
  <dc:creator>Jacobsen, Rohan</dc:creator>
  <cp:keywords/>
  <dc:description/>
  <cp:lastModifiedBy>Jacobsen, Rohan</cp:lastModifiedBy>
  <cp:revision>11</cp:revision>
  <cp:lastPrinted>2023-04-06T02:53:00Z</cp:lastPrinted>
  <dcterms:created xsi:type="dcterms:W3CDTF">2023-12-04T02:22:00Z</dcterms:created>
  <dcterms:modified xsi:type="dcterms:W3CDTF">2023-12-12T05:26:00Z</dcterms:modified>
</cp:coreProperties>
</file>