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A2DA" w14:textId="6755665A" w:rsidR="00A26001" w:rsidRPr="00A26001" w:rsidRDefault="00A26001" w:rsidP="009377B5">
      <w:pPr>
        <w:pStyle w:val="Heading1"/>
      </w:pPr>
      <w:bookmarkStart w:id="0" w:name="_Hlk161419095"/>
      <w:r w:rsidRPr="00A26001">
        <w:t xml:space="preserve">Contingency </w:t>
      </w:r>
      <w:r w:rsidR="00B23D8C">
        <w:t>plan</w:t>
      </w:r>
      <w:r w:rsidRPr="00A26001">
        <w:t>s for livestock</w:t>
      </w:r>
      <w:r w:rsidR="00B23D8C">
        <w:t xml:space="preserve"> consignments</w:t>
      </w:r>
      <w:r w:rsidRPr="00A26001">
        <w:t xml:space="preserve"> to</w:t>
      </w:r>
      <w:r w:rsidR="00E33D6C">
        <w:t xml:space="preserve"> the</w:t>
      </w:r>
      <w:r w:rsidRPr="00A26001">
        <w:t xml:space="preserve"> </w:t>
      </w:r>
      <w:r w:rsidR="00E33D6C">
        <w:t>Middle East</w:t>
      </w:r>
    </w:p>
    <w:bookmarkEnd w:id="0"/>
    <w:p w14:paraId="21FB6003" w14:textId="77777777" w:rsidR="00A26001" w:rsidRPr="00A26001" w:rsidRDefault="00A26001" w:rsidP="00A26001">
      <w:pPr>
        <w:pStyle w:val="Author"/>
      </w:pPr>
      <w:r w:rsidRPr="00A26001">
        <w:t>Live Animal Export Branch</w:t>
      </w:r>
    </w:p>
    <w:p w14:paraId="439F0C43" w14:textId="77777777" w:rsidR="00A26001" w:rsidRPr="00A26001" w:rsidRDefault="00A26001" w:rsidP="00A26001">
      <w:pPr>
        <w:pStyle w:val="Heading2"/>
      </w:pPr>
      <w:r w:rsidRPr="00A26001">
        <w:t>Purpose</w:t>
      </w:r>
    </w:p>
    <w:p w14:paraId="47A63085" w14:textId="0DB62406" w:rsidR="00A26001" w:rsidRPr="00A26001" w:rsidRDefault="00A26001" w:rsidP="00A26001">
      <w:pPr>
        <w:rPr>
          <w:lang w:eastAsia="ja-JP"/>
        </w:rPr>
      </w:pPr>
      <w:r w:rsidRPr="00A26001">
        <w:rPr>
          <w:lang w:eastAsia="ja-JP"/>
        </w:rPr>
        <w:t xml:space="preserve">This policy outlines the contingency plan requirements for livestock consignments exported by sea to </w:t>
      </w:r>
      <w:r w:rsidR="00B42DE8">
        <w:rPr>
          <w:lang w:eastAsia="ja-JP"/>
        </w:rPr>
        <w:t>ports in the Middle East</w:t>
      </w:r>
      <w:r w:rsidRPr="00A26001">
        <w:rPr>
          <w:lang w:eastAsia="ja-JP"/>
        </w:rPr>
        <w:t>.</w:t>
      </w:r>
    </w:p>
    <w:p w14:paraId="4DA03169" w14:textId="77777777" w:rsidR="00A26001" w:rsidRPr="00A26001" w:rsidRDefault="00A26001" w:rsidP="00A26001">
      <w:pPr>
        <w:pStyle w:val="Heading2"/>
      </w:pPr>
      <w:bookmarkStart w:id="1" w:name="_Scope"/>
      <w:bookmarkEnd w:id="1"/>
      <w:r w:rsidRPr="00A26001">
        <w:t>Scope</w:t>
      </w:r>
    </w:p>
    <w:p w14:paraId="3EA213E7" w14:textId="7B50D0CD" w:rsidR="00F331ED" w:rsidRDefault="00A26001" w:rsidP="00A26001">
      <w:pPr>
        <w:rPr>
          <w:rFonts w:ascii="Calibri" w:hAnsi="Calibri" w:cs="Calibri"/>
        </w:rPr>
      </w:pPr>
      <w:r w:rsidRPr="6D600073">
        <w:rPr>
          <w:rFonts w:ascii="Calibri" w:hAnsi="Calibri" w:cs="Calibri"/>
        </w:rPr>
        <w:t>The policy applies to exporters preparing livestock for export by sea</w:t>
      </w:r>
      <w:r w:rsidR="00F331ED">
        <w:rPr>
          <w:rFonts w:ascii="Calibri" w:hAnsi="Calibri" w:cs="Calibri"/>
        </w:rPr>
        <w:t xml:space="preserve"> for discharge at ports in:</w:t>
      </w:r>
    </w:p>
    <w:p w14:paraId="4E1AE184" w14:textId="2DA14B9C" w:rsidR="00F331ED" w:rsidRDefault="00A26001" w:rsidP="00BD06BE">
      <w:pPr>
        <w:pStyle w:val="ListBullet"/>
      </w:pPr>
      <w:r w:rsidRPr="6D600073">
        <w:t>Israel</w:t>
      </w:r>
      <w:r w:rsidR="00F331ED">
        <w:t xml:space="preserve"> – </w:t>
      </w:r>
      <w:r w:rsidR="00B42DE8">
        <w:t xml:space="preserve">accessed </w:t>
      </w:r>
      <w:r w:rsidR="00F331ED">
        <w:t>via</w:t>
      </w:r>
      <w:r w:rsidR="00B42DE8">
        <w:t xml:space="preserve"> the Red Sea or the Mediterranean Sea</w:t>
      </w:r>
    </w:p>
    <w:p w14:paraId="159473D8" w14:textId="49E07AA1" w:rsidR="00A26001" w:rsidRPr="00A26001" w:rsidRDefault="00B42DE8" w:rsidP="00BD06BE">
      <w:pPr>
        <w:pStyle w:val="ListBullet"/>
      </w:pPr>
      <w:r>
        <w:t>Jordan or</w:t>
      </w:r>
      <w:r w:rsidR="00A26001" w:rsidRPr="6D600073">
        <w:t xml:space="preserve"> Saudi Arabia </w:t>
      </w:r>
      <w:r w:rsidR="00F331ED">
        <w:t xml:space="preserve">– </w:t>
      </w:r>
      <w:r w:rsidR="00183C8C">
        <w:t xml:space="preserve">accessed </w:t>
      </w:r>
      <w:r w:rsidR="00F331ED">
        <w:t>via</w:t>
      </w:r>
      <w:r w:rsidR="00A26001" w:rsidRPr="6D600073">
        <w:t xml:space="preserve"> the Red Sea</w:t>
      </w:r>
      <w:r w:rsidR="00F95C8A">
        <w:t>.</w:t>
      </w:r>
    </w:p>
    <w:p w14:paraId="7B2CF21E" w14:textId="0725AF0E" w:rsidR="00A26001" w:rsidRPr="00A26001" w:rsidRDefault="00913AB2" w:rsidP="00A26001">
      <w:pPr>
        <w:spacing w:before="120" w:after="120"/>
      </w:pPr>
      <w:r>
        <w:t xml:space="preserve">This policy may </w:t>
      </w:r>
      <w:r w:rsidR="0050596A">
        <w:t xml:space="preserve">be varied urgently to </w:t>
      </w:r>
      <w:r>
        <w:t>apply to e</w:t>
      </w:r>
      <w:r w:rsidR="00A26001" w:rsidRPr="00A26001">
        <w:t xml:space="preserve">xporters preparing livestock </w:t>
      </w:r>
      <w:r w:rsidR="00650BA1">
        <w:t xml:space="preserve">for export to other </w:t>
      </w:r>
      <w:r w:rsidR="00564D0C">
        <w:t xml:space="preserve">ports or </w:t>
      </w:r>
      <w:r w:rsidR="00650BA1">
        <w:t>markets</w:t>
      </w:r>
      <w:r w:rsidR="006B119C">
        <w:t xml:space="preserve"> in the wider Middle Eastern region</w:t>
      </w:r>
      <w:r w:rsidR="0050596A">
        <w:t>, for example,</w:t>
      </w:r>
      <w:r w:rsidR="00650BA1">
        <w:t xml:space="preserve"> </w:t>
      </w:r>
      <w:r w:rsidR="00A26001" w:rsidRPr="00A26001">
        <w:t>if there are changes to the security situation in this region.</w:t>
      </w:r>
      <w:r w:rsidR="00F331ED">
        <w:t xml:space="preserve"> The department will</w:t>
      </w:r>
      <w:r w:rsidR="00615ECD">
        <w:t xml:space="preserve"> notify exporters of any variations to this policy</w:t>
      </w:r>
      <w:r w:rsidR="00BD06BE">
        <w:t xml:space="preserve"> if required</w:t>
      </w:r>
      <w:r w:rsidR="00615ECD">
        <w:t>.</w:t>
      </w:r>
    </w:p>
    <w:p w14:paraId="06516223" w14:textId="77777777" w:rsidR="00A26001" w:rsidRPr="00A26001" w:rsidRDefault="00A26001" w:rsidP="00A26001">
      <w:pPr>
        <w:rPr>
          <w:rFonts w:cstheme="minorHAnsi"/>
        </w:rPr>
      </w:pPr>
      <w:r w:rsidRPr="00A26001">
        <w:rPr>
          <w:rFonts w:cstheme="minorHAnsi"/>
        </w:rPr>
        <w:t xml:space="preserve">This policy should be read in conjunction with relevant export legislation and standards listed under </w:t>
      </w:r>
      <w:hyperlink w:anchor="_Related_material" w:history="1">
        <w:r w:rsidRPr="00A26001">
          <w:rPr>
            <w:rFonts w:cstheme="minorHAnsi"/>
            <w:color w:val="0000FF" w:themeColor="hyperlink"/>
            <w:u w:val="single"/>
          </w:rPr>
          <w:t>related material</w:t>
        </w:r>
      </w:hyperlink>
      <w:r w:rsidRPr="00A26001">
        <w:rPr>
          <w:rFonts w:cstheme="minorHAnsi"/>
          <w:lang w:val="en-US"/>
        </w:rPr>
        <w:t>.</w:t>
      </w:r>
    </w:p>
    <w:p w14:paraId="7B2E884B" w14:textId="77777777" w:rsidR="00A26001" w:rsidRPr="00A26001" w:rsidRDefault="00A26001" w:rsidP="00A26001">
      <w:pPr>
        <w:pStyle w:val="Heading2"/>
      </w:pPr>
      <w:r w:rsidRPr="00A26001">
        <w:t>Requirements</w:t>
      </w:r>
    </w:p>
    <w:p w14:paraId="22053AFE" w14:textId="7D345DC0" w:rsidR="002528B2" w:rsidRPr="00A26001" w:rsidRDefault="00A26001" w:rsidP="002528B2">
      <w:pPr>
        <w:rPr>
          <w:rFonts w:ascii="Calibri" w:hAnsi="Calibri" w:cs="Calibri"/>
        </w:rPr>
      </w:pPr>
      <w:r>
        <w:t>In accordance with standard</w:t>
      </w:r>
      <w:r w:rsidR="00FC7419">
        <w:t> </w:t>
      </w:r>
      <w:r>
        <w:t>4.1.18</w:t>
      </w:r>
      <w:r w:rsidR="00B23D8C">
        <w:t xml:space="preserve"> of the Australian Standards for the Export of Livestock</w:t>
      </w:r>
      <w:r w:rsidR="00FC7419">
        <w:t> </w:t>
      </w:r>
      <w:r w:rsidR="00B23D8C">
        <w:t>(ASEL)</w:t>
      </w:r>
      <w:r>
        <w:t xml:space="preserve">, exporters are required to prepare written contingency plans that address various </w:t>
      </w:r>
      <w:r w:rsidR="00650BA1">
        <w:t>potential</w:t>
      </w:r>
      <w:r w:rsidRPr="00A26001">
        <w:t xml:space="preserve"> </w:t>
      </w:r>
      <w:r>
        <w:t xml:space="preserve">scenarios for all livestock </w:t>
      </w:r>
      <w:r w:rsidR="00650BA1">
        <w:t>consignments exported by sea.</w:t>
      </w:r>
    </w:p>
    <w:p w14:paraId="12224A2F" w14:textId="2EE52DE2" w:rsidR="00A26001" w:rsidRPr="00B314A1" w:rsidRDefault="002528B2" w:rsidP="00A26001">
      <w:pPr>
        <w:rPr>
          <w:rFonts w:ascii="Calibri" w:hAnsi="Calibri" w:cs="Calibri"/>
        </w:rPr>
      </w:pPr>
      <w:r w:rsidRPr="00A26001">
        <w:rPr>
          <w:rFonts w:ascii="Calibri" w:hAnsi="Calibri" w:cs="Calibri"/>
        </w:rPr>
        <w:t xml:space="preserve">During assessment of </w:t>
      </w:r>
      <w:r>
        <w:rPr>
          <w:rFonts w:ascii="Calibri" w:hAnsi="Calibri" w:cs="Calibri"/>
        </w:rPr>
        <w:t xml:space="preserve">a </w:t>
      </w:r>
      <w:r w:rsidR="00335EA4">
        <w:t>n</w:t>
      </w:r>
      <w:r w:rsidRPr="00A26001">
        <w:t xml:space="preserve">otice of </w:t>
      </w:r>
      <w:r>
        <w:t>i</w:t>
      </w:r>
      <w:r w:rsidRPr="00A26001">
        <w:t xml:space="preserve">ntention to export </w:t>
      </w:r>
      <w:r w:rsidR="001C504F">
        <w:t xml:space="preserve">a consignment of </w:t>
      </w:r>
      <w:r w:rsidRPr="00A26001">
        <w:t>livestock</w:t>
      </w:r>
      <w:r w:rsidR="00AE54C8">
        <w:t> </w:t>
      </w:r>
      <w:r w:rsidRPr="00A26001">
        <w:t>(NOI</w:t>
      </w:r>
      <w:r>
        <w:t>)</w:t>
      </w:r>
      <w:r w:rsidRPr="00A26001">
        <w:rPr>
          <w:rFonts w:ascii="Calibri" w:hAnsi="Calibri" w:cs="Calibri"/>
        </w:rPr>
        <w:t>,</w:t>
      </w:r>
      <w:r w:rsidR="00B314A1">
        <w:rPr>
          <w:rFonts w:ascii="Calibri" w:hAnsi="Calibri" w:cs="Calibri"/>
        </w:rPr>
        <w:t xml:space="preserve"> </w:t>
      </w:r>
      <w:r w:rsidRPr="00A26001">
        <w:rPr>
          <w:rFonts w:ascii="Calibri" w:hAnsi="Calibri" w:cs="Calibri"/>
        </w:rPr>
        <w:t xml:space="preserve">the </w:t>
      </w:r>
      <w:r w:rsidRPr="00685563">
        <w:rPr>
          <w:rFonts w:ascii="Calibri" w:hAnsi="Calibri" w:cs="Calibri"/>
        </w:rPr>
        <w:t>department</w:t>
      </w:r>
      <w:r w:rsidRPr="00A26001">
        <w:rPr>
          <w:rFonts w:ascii="Calibri" w:hAnsi="Calibri" w:cs="Calibri"/>
        </w:rPr>
        <w:t xml:space="preserve"> considers relevant information from a range of sources. </w:t>
      </w:r>
      <w:r w:rsidR="00A26001" w:rsidRPr="00A26001">
        <w:t>When considering the approval of a</w:t>
      </w:r>
      <w:r>
        <w:t xml:space="preserve"> NOI</w:t>
      </w:r>
      <w:r w:rsidR="00A26001" w:rsidRPr="00A26001">
        <w:t xml:space="preserve">, the delegate must be satisfied </w:t>
      </w:r>
      <w:r w:rsidR="0050596A">
        <w:t xml:space="preserve">(among other things) </w:t>
      </w:r>
      <w:r w:rsidR="00A26001" w:rsidRPr="00A26001">
        <w:t>that:</w:t>
      </w:r>
    </w:p>
    <w:p w14:paraId="4884B5C1" w14:textId="1D9A5ACC" w:rsidR="00A26001" w:rsidRPr="00A26001" w:rsidRDefault="00A26001" w:rsidP="002528B2">
      <w:pPr>
        <w:pStyle w:val="ListBullet"/>
      </w:pPr>
      <w:r w:rsidRPr="00A26001">
        <w:t>the arrangements for the transport</w:t>
      </w:r>
      <w:r w:rsidR="00650BA1">
        <w:t xml:space="preserve"> of the</w:t>
      </w:r>
      <w:r w:rsidR="003F4134">
        <w:t xml:space="preserve"> livestock</w:t>
      </w:r>
      <w:r w:rsidR="00650BA1">
        <w:t xml:space="preserve"> to their final overseas destination are appropriate to ensure their health and welfare</w:t>
      </w:r>
      <w:r w:rsidRPr="00A26001">
        <w:t xml:space="preserve"> (</w:t>
      </w:r>
      <w:r w:rsidR="00335EA4" w:rsidRPr="00A26001">
        <w:t>Export Control (Animal</w:t>
      </w:r>
      <w:r w:rsidR="001063B0">
        <w:t>s</w:t>
      </w:r>
      <w:r w:rsidR="00335EA4" w:rsidRPr="00A26001">
        <w:t>) Rules</w:t>
      </w:r>
      <w:r w:rsidR="00AE54C8">
        <w:t> </w:t>
      </w:r>
      <w:r w:rsidR="00335EA4" w:rsidRPr="00A26001">
        <w:t>2021</w:t>
      </w:r>
      <w:r w:rsidR="00335EA4">
        <w:t xml:space="preserve">, </w:t>
      </w:r>
      <w:r w:rsidR="005B580E">
        <w:t>paragraph</w:t>
      </w:r>
      <w:r w:rsidR="00AE54C8">
        <w:t> </w:t>
      </w:r>
      <w:r w:rsidRPr="004237CF">
        <w:t>8</w:t>
      </w:r>
      <w:r w:rsidR="001063B0">
        <w:noBreakHyphen/>
      </w:r>
      <w:r w:rsidRPr="004237CF">
        <w:t>6</w:t>
      </w:r>
      <w:r w:rsidR="00D44237">
        <w:t> </w:t>
      </w:r>
      <w:r w:rsidRPr="00A26001">
        <w:t>(3)(d))</w:t>
      </w:r>
    </w:p>
    <w:p w14:paraId="263D8E4C" w14:textId="3EADA7D0" w:rsidR="00A26001" w:rsidRPr="00A26001" w:rsidRDefault="00A26001" w:rsidP="002528B2">
      <w:pPr>
        <w:pStyle w:val="ListBullet"/>
      </w:pPr>
      <w:r w:rsidRPr="00A26001">
        <w:t>an approved</w:t>
      </w:r>
      <w:r w:rsidR="0014230C">
        <w:t xml:space="preserve"> </w:t>
      </w:r>
      <w:r w:rsidR="00060D0E">
        <w:t>e</w:t>
      </w:r>
      <w:r w:rsidR="0014230C">
        <w:t xml:space="preserve">xporter </w:t>
      </w:r>
      <w:r w:rsidR="00060D0E">
        <w:t>s</w:t>
      </w:r>
      <w:r w:rsidR="0014230C">
        <w:t xml:space="preserve">upply </w:t>
      </w:r>
      <w:r w:rsidR="00060D0E">
        <w:t>c</w:t>
      </w:r>
      <w:r w:rsidR="0014230C">
        <w:t xml:space="preserve">hain </w:t>
      </w:r>
      <w:r w:rsidR="00060D0E">
        <w:t>a</w:t>
      </w:r>
      <w:r w:rsidR="0014230C">
        <w:t xml:space="preserve">ssurance </w:t>
      </w:r>
      <w:r w:rsidR="00060D0E">
        <w:t>s</w:t>
      </w:r>
      <w:r w:rsidR="0014230C">
        <w:t>ystem</w:t>
      </w:r>
      <w:r w:rsidRPr="00A26001">
        <w:t xml:space="preserve"> </w:t>
      </w:r>
      <w:r w:rsidR="0014230C">
        <w:t>(</w:t>
      </w:r>
      <w:r w:rsidRPr="00A26001">
        <w:t>ESCAS</w:t>
      </w:r>
      <w:r w:rsidR="0014230C">
        <w:t>)</w:t>
      </w:r>
      <w:r w:rsidRPr="00A26001">
        <w:t xml:space="preserve"> is in force for consignments containing feeder </w:t>
      </w:r>
      <w:r w:rsidR="001C504F">
        <w:t>or</w:t>
      </w:r>
      <w:r w:rsidRPr="00A26001">
        <w:t xml:space="preserve"> slaughter livestock (</w:t>
      </w:r>
      <w:r w:rsidR="00335EA4" w:rsidRPr="00335EA4">
        <w:t>Export Control (Animal</w:t>
      </w:r>
      <w:r w:rsidR="001063B0">
        <w:t>s</w:t>
      </w:r>
      <w:r w:rsidR="00335EA4" w:rsidRPr="00335EA4">
        <w:t>) Rules</w:t>
      </w:r>
      <w:r w:rsidR="00AE54C8">
        <w:t> </w:t>
      </w:r>
      <w:r w:rsidR="00335EA4" w:rsidRPr="00335EA4">
        <w:t xml:space="preserve">2021, </w:t>
      </w:r>
      <w:r w:rsidR="005B580E">
        <w:t>subsection</w:t>
      </w:r>
      <w:r w:rsidR="00FC7419">
        <w:t> </w:t>
      </w:r>
      <w:r w:rsidRPr="00A26001">
        <w:t>8</w:t>
      </w:r>
      <w:r w:rsidR="001063B0">
        <w:noBreakHyphen/>
      </w:r>
      <w:r w:rsidRPr="00A26001">
        <w:t>6</w:t>
      </w:r>
      <w:r w:rsidR="00D44237">
        <w:t> </w:t>
      </w:r>
      <w:r w:rsidRPr="00A26001">
        <w:t>(4)).</w:t>
      </w:r>
    </w:p>
    <w:p w14:paraId="2288C3A4" w14:textId="03C0B085" w:rsidR="00A26001" w:rsidRPr="00D44237" w:rsidRDefault="00A26001" w:rsidP="00A26001">
      <w:r w:rsidRPr="00A26001">
        <w:t>To support this assessment, exporters must prepare a contingency plan for all consignments covered by this policy. The contingency plan must be provided to the department at the time of NOI submission</w:t>
      </w:r>
      <w:r w:rsidR="000C0A11">
        <w:t>,</w:t>
      </w:r>
      <w:r w:rsidR="00963684" w:rsidRPr="003D2664">
        <w:t xml:space="preserve"> </w:t>
      </w:r>
      <w:r w:rsidR="000C0A11" w:rsidRPr="003D2664">
        <w:t>with</w:t>
      </w:r>
      <w:r w:rsidR="00B06988">
        <w:t>in</w:t>
      </w:r>
      <w:r w:rsidR="000C0A11" w:rsidRPr="003D2664">
        <w:t xml:space="preserve"> the</w:t>
      </w:r>
      <w:r w:rsidR="00963684" w:rsidRPr="003D2664">
        <w:t xml:space="preserve"> relevant </w:t>
      </w:r>
      <w:r w:rsidR="00B06988">
        <w:t xml:space="preserve">timeframe </w:t>
      </w:r>
      <w:r w:rsidR="00B06988" w:rsidRPr="00A26001">
        <w:t>(</w:t>
      </w:r>
      <w:r w:rsidR="00B06988" w:rsidRPr="00335EA4">
        <w:t>Export Control (Animal</w:t>
      </w:r>
      <w:r w:rsidR="001063B0">
        <w:t>s</w:t>
      </w:r>
      <w:r w:rsidR="00B06988" w:rsidRPr="00335EA4">
        <w:t>) Rules</w:t>
      </w:r>
      <w:r w:rsidR="00AE54C8">
        <w:t> </w:t>
      </w:r>
      <w:r w:rsidR="00B06988" w:rsidRPr="00335EA4">
        <w:t xml:space="preserve">2021, </w:t>
      </w:r>
      <w:r w:rsidR="005B580E">
        <w:t>subsection</w:t>
      </w:r>
      <w:r w:rsidR="00AE54C8">
        <w:t> </w:t>
      </w:r>
      <w:r w:rsidR="00B06988" w:rsidRPr="00A26001">
        <w:t>8</w:t>
      </w:r>
      <w:r w:rsidR="001063B0">
        <w:noBreakHyphen/>
      </w:r>
      <w:r w:rsidR="00B06988">
        <w:t>3</w:t>
      </w:r>
      <w:r w:rsidR="00D44237">
        <w:t> </w:t>
      </w:r>
      <w:r w:rsidR="00B06988" w:rsidRPr="00A26001">
        <w:t>(</w:t>
      </w:r>
      <w:r w:rsidR="00B06988">
        <w:t>1)).</w:t>
      </w:r>
    </w:p>
    <w:p w14:paraId="73C62FBC" w14:textId="77DC71AD" w:rsidR="00A26001" w:rsidRPr="00A26001" w:rsidRDefault="00A26001" w:rsidP="00A26001">
      <w:pPr>
        <w:spacing w:before="120" w:after="120"/>
      </w:pPr>
      <w:r w:rsidRPr="00A26001">
        <w:lastRenderedPageBreak/>
        <w:t xml:space="preserve">Contingency plans will be reviewed during NOI assessment on a consignment-by-consignment basis. </w:t>
      </w:r>
      <w:r w:rsidR="0088694D">
        <w:t xml:space="preserve">During </w:t>
      </w:r>
      <w:r w:rsidR="00CD6DD3" w:rsidRPr="00A26001">
        <w:t>NOI assessment</w:t>
      </w:r>
      <w:r w:rsidR="0088694D">
        <w:t>, the delegate</w:t>
      </w:r>
      <w:r w:rsidR="00CD6DD3" w:rsidRPr="00A26001">
        <w:t xml:space="preserve"> </w:t>
      </w:r>
      <w:r w:rsidR="001C504F">
        <w:t xml:space="preserve">may, to the extent it is relevant, </w:t>
      </w:r>
      <w:r w:rsidR="00650BA1">
        <w:t xml:space="preserve">also </w:t>
      </w:r>
      <w:r w:rsidRPr="00A26001">
        <w:t>consider the security situation at the time and the potential for heightened risks to animal health and welfare</w:t>
      </w:r>
      <w:r w:rsidR="005D042C">
        <w:t xml:space="preserve"> during the voyage,</w:t>
      </w:r>
      <w:r w:rsidRPr="00A26001">
        <w:t xml:space="preserve"> relating to the:</w:t>
      </w:r>
    </w:p>
    <w:p w14:paraId="1522323D" w14:textId="615F2B24" w:rsidR="00A26001" w:rsidRPr="00A26001" w:rsidRDefault="00650BA1" w:rsidP="002528B2">
      <w:pPr>
        <w:pStyle w:val="ListBullet"/>
      </w:pPr>
      <w:r>
        <w:t xml:space="preserve">proposed vessel route to the </w:t>
      </w:r>
      <w:r w:rsidR="00A26001" w:rsidRPr="00A26001">
        <w:t>destination port</w:t>
      </w:r>
      <w:r>
        <w:t>(s)</w:t>
      </w:r>
    </w:p>
    <w:p w14:paraId="5BEE1A36" w14:textId="1ABF1471" w:rsidR="00A26001" w:rsidRPr="00A26001" w:rsidRDefault="00A26001" w:rsidP="002528B2">
      <w:pPr>
        <w:pStyle w:val="ListBullet"/>
      </w:pPr>
      <w:r w:rsidRPr="00A26001">
        <w:t>destination port</w:t>
      </w:r>
      <w:r w:rsidR="00650BA1">
        <w:t>(s)</w:t>
      </w:r>
      <w:r w:rsidRPr="00A26001">
        <w:t xml:space="preserve"> and surrounding area</w:t>
      </w:r>
      <w:r w:rsidR="00650BA1">
        <w:t>s</w:t>
      </w:r>
      <w:r w:rsidRPr="00A26001">
        <w:t xml:space="preserve"> which may impact the discharge of livestock and transport to quarantine or feedlot facilities</w:t>
      </w:r>
    </w:p>
    <w:p w14:paraId="58707177" w14:textId="77777777" w:rsidR="00A26001" w:rsidRPr="00A26001" w:rsidRDefault="00A26001" w:rsidP="002528B2">
      <w:pPr>
        <w:pStyle w:val="ListBullet"/>
      </w:pPr>
      <w:r w:rsidRPr="00A26001">
        <w:t>operation of the exporter’s ESCAS in the importing country (where relevant).</w:t>
      </w:r>
    </w:p>
    <w:p w14:paraId="4A3A5E4A" w14:textId="01357A77" w:rsidR="00A26001" w:rsidRDefault="00A26001" w:rsidP="00A26001">
      <w:pPr>
        <w:spacing w:before="120" w:after="120"/>
      </w:pPr>
      <w:r w:rsidRPr="00A26001">
        <w:t>Th</w:t>
      </w:r>
      <w:r w:rsidR="001C504F">
        <w:t xml:space="preserve">ese considerations are </w:t>
      </w:r>
      <w:r w:rsidRPr="00A26001">
        <w:t xml:space="preserve">in addition to the contingency plan requirements </w:t>
      </w:r>
      <w:r w:rsidR="001C504F">
        <w:t xml:space="preserve">that must be met </w:t>
      </w:r>
      <w:r w:rsidRPr="00A26001">
        <w:t xml:space="preserve">under </w:t>
      </w:r>
      <w:r w:rsidRPr="00B06988">
        <w:t>ASEL</w:t>
      </w:r>
      <w:r w:rsidR="00D44237">
        <w:t xml:space="preserve"> </w:t>
      </w:r>
      <w:r w:rsidRPr="00B06988">
        <w:t>standard</w:t>
      </w:r>
      <w:r w:rsidR="00AE54C8">
        <w:t> </w:t>
      </w:r>
      <w:r w:rsidRPr="00B06988">
        <w:t>4.1.18.</w:t>
      </w:r>
      <w:r w:rsidRPr="00A26001">
        <w:t xml:space="preserve"> </w:t>
      </w:r>
      <w:r w:rsidRPr="00B06988">
        <w:t>Exporters must also continue to report notifiable incidents</w:t>
      </w:r>
      <w:r w:rsidR="00597DC5" w:rsidRPr="00B06988">
        <w:t xml:space="preserve"> to the department</w:t>
      </w:r>
      <w:r w:rsidRPr="00B06988">
        <w:t xml:space="preserve"> </w:t>
      </w:r>
      <w:r w:rsidR="00EE593D" w:rsidRPr="00B06988">
        <w:t>for consignments exported by sea</w:t>
      </w:r>
      <w:r w:rsidRPr="00B06988">
        <w:t xml:space="preserve"> </w:t>
      </w:r>
      <w:r w:rsidR="00C82F81" w:rsidRPr="00B06988">
        <w:t>(</w:t>
      </w:r>
      <w:r w:rsidRPr="00B06988">
        <w:t>ASEL</w:t>
      </w:r>
      <w:r w:rsidR="00D44237">
        <w:t xml:space="preserve"> </w:t>
      </w:r>
      <w:r w:rsidRPr="00B06988">
        <w:t>standard</w:t>
      </w:r>
      <w:r w:rsidR="00AE54C8">
        <w:t> </w:t>
      </w:r>
      <w:r w:rsidRPr="00B06988">
        <w:t>5.6.5</w:t>
      </w:r>
      <w:r w:rsidR="00C82F81" w:rsidRPr="00B06988">
        <w:t>)</w:t>
      </w:r>
      <w:r w:rsidRPr="00B06988">
        <w:t>.</w:t>
      </w:r>
    </w:p>
    <w:p w14:paraId="3826DF22" w14:textId="77777777" w:rsidR="001C504F" w:rsidRPr="00A26001" w:rsidRDefault="001C504F" w:rsidP="001C504F">
      <w:r w:rsidRPr="00A26001">
        <w:t xml:space="preserve">NOI assessment charges will apply in accordance with the department’s </w:t>
      </w:r>
      <w:hyperlink r:id="rId11" w:history="1">
        <w:r w:rsidRPr="00A26001">
          <w:rPr>
            <w:color w:val="0000FF" w:themeColor="hyperlink"/>
            <w:u w:val="single"/>
          </w:rPr>
          <w:t>charging guidelines</w:t>
        </w:r>
      </w:hyperlink>
      <w:r w:rsidRPr="00A26001">
        <w:t>.</w:t>
      </w:r>
    </w:p>
    <w:p w14:paraId="77AAD3D3" w14:textId="77777777" w:rsidR="00A26001" w:rsidRPr="00A26001" w:rsidRDefault="00A26001" w:rsidP="00A26001">
      <w:pPr>
        <w:pStyle w:val="Heading2"/>
      </w:pPr>
      <w:r w:rsidRPr="00A26001">
        <w:t>Instructions</w:t>
      </w:r>
    </w:p>
    <w:p w14:paraId="7D59B6AF" w14:textId="110B1A11" w:rsidR="000F2742" w:rsidRDefault="00A26001" w:rsidP="00A26001">
      <w:pPr>
        <w:rPr>
          <w:lang w:eastAsia="ja-JP"/>
        </w:rPr>
      </w:pPr>
      <w:r w:rsidRPr="00A26001">
        <w:rPr>
          <w:lang w:eastAsia="ja-JP"/>
        </w:rPr>
        <w:t>At the time of NOI submission, exporters must provide</w:t>
      </w:r>
      <w:r w:rsidR="00EE593D" w:rsidRPr="00EE593D">
        <w:rPr>
          <w:lang w:eastAsia="ja-JP"/>
        </w:rPr>
        <w:t xml:space="preserve"> a </w:t>
      </w:r>
      <w:r w:rsidR="00EE593D" w:rsidRPr="00485AF8">
        <w:rPr>
          <w:lang w:eastAsia="ja-JP"/>
        </w:rPr>
        <w:t>detailed and demonstrably viable</w:t>
      </w:r>
      <w:r w:rsidR="00EE593D" w:rsidRPr="00EE593D">
        <w:rPr>
          <w:lang w:eastAsia="ja-JP"/>
        </w:rPr>
        <w:t xml:space="preserve"> contingency plan for all </w:t>
      </w:r>
      <w:r w:rsidR="00C42A29">
        <w:rPr>
          <w:lang w:eastAsia="ja-JP"/>
        </w:rPr>
        <w:t xml:space="preserve">livestock </w:t>
      </w:r>
      <w:r w:rsidR="00EE593D" w:rsidRPr="00EE593D">
        <w:rPr>
          <w:lang w:eastAsia="ja-JP"/>
        </w:rPr>
        <w:t xml:space="preserve">consignments </w:t>
      </w:r>
      <w:r w:rsidR="00AA26D0">
        <w:rPr>
          <w:lang w:eastAsia="ja-JP"/>
        </w:rPr>
        <w:t>travelling to</w:t>
      </w:r>
      <w:r w:rsidR="00316B4F">
        <w:rPr>
          <w:lang w:eastAsia="ja-JP"/>
        </w:rPr>
        <w:t xml:space="preserve"> </w:t>
      </w:r>
      <w:r w:rsidR="004E294B">
        <w:rPr>
          <w:lang w:eastAsia="ja-JP"/>
        </w:rPr>
        <w:t>Middle East</w:t>
      </w:r>
      <w:r w:rsidR="000F2742">
        <w:rPr>
          <w:lang w:eastAsia="ja-JP"/>
        </w:rPr>
        <w:t xml:space="preserve"> </w:t>
      </w:r>
      <w:r w:rsidR="00316B4F">
        <w:rPr>
          <w:lang w:eastAsia="ja-JP"/>
        </w:rPr>
        <w:t xml:space="preserve">ports </w:t>
      </w:r>
      <w:r w:rsidR="000F2742">
        <w:rPr>
          <w:lang w:eastAsia="ja-JP"/>
        </w:rPr>
        <w:t xml:space="preserve">outlined in the </w:t>
      </w:r>
      <w:hyperlink w:anchor="_Scope" w:history="1">
        <w:r w:rsidR="000F2742" w:rsidRPr="000F2742">
          <w:rPr>
            <w:rStyle w:val="Hyperlink"/>
            <w:lang w:eastAsia="ja-JP"/>
          </w:rPr>
          <w:t>scope</w:t>
        </w:r>
      </w:hyperlink>
      <w:r w:rsidR="00EE593D" w:rsidRPr="00EE593D">
        <w:rPr>
          <w:lang w:eastAsia="ja-JP"/>
        </w:rPr>
        <w:t>.</w:t>
      </w:r>
    </w:p>
    <w:p w14:paraId="6F8D2B8D" w14:textId="5F71E50F" w:rsidR="00A26001" w:rsidRPr="00A26001" w:rsidRDefault="00EE593D" w:rsidP="00A26001">
      <w:r>
        <w:rPr>
          <w:lang w:eastAsia="ja-JP"/>
        </w:rPr>
        <w:t>Th</w:t>
      </w:r>
      <w:r w:rsidR="00EC1325">
        <w:rPr>
          <w:lang w:eastAsia="ja-JP"/>
        </w:rPr>
        <w:t>e</w:t>
      </w:r>
      <w:r>
        <w:rPr>
          <w:lang w:eastAsia="ja-JP"/>
        </w:rPr>
        <w:t xml:space="preserve"> plan must</w:t>
      </w:r>
      <w:r w:rsidR="002C1E7C">
        <w:rPr>
          <w:lang w:eastAsia="ja-JP"/>
        </w:rPr>
        <w:t xml:space="preserve"> detail</w:t>
      </w:r>
      <w:r w:rsidR="00EC1325">
        <w:rPr>
          <w:lang w:eastAsia="ja-JP"/>
        </w:rPr>
        <w:t xml:space="preserve"> the steps </w:t>
      </w:r>
      <w:r w:rsidR="001C504F">
        <w:rPr>
          <w:lang w:eastAsia="ja-JP"/>
        </w:rPr>
        <w:t>that will be taken if</w:t>
      </w:r>
      <w:r w:rsidR="00EC1325">
        <w:rPr>
          <w:lang w:eastAsia="ja-JP"/>
        </w:rPr>
        <w:t xml:space="preserve"> </w:t>
      </w:r>
      <w:r w:rsidR="00EC1325" w:rsidRPr="007D7120">
        <w:rPr>
          <w:lang w:eastAsia="ja-JP"/>
        </w:rPr>
        <w:t xml:space="preserve">the contingency plan is required to be </w:t>
      </w:r>
      <w:r w:rsidR="001C504F">
        <w:rPr>
          <w:lang w:eastAsia="ja-JP"/>
        </w:rPr>
        <w:t>activated</w:t>
      </w:r>
      <w:r w:rsidR="00EC1325" w:rsidRPr="007D7120">
        <w:rPr>
          <w:lang w:eastAsia="ja-JP"/>
        </w:rPr>
        <w:t xml:space="preserve"> and</w:t>
      </w:r>
      <w:r w:rsidR="00EC1325">
        <w:rPr>
          <w:lang w:eastAsia="ja-JP"/>
        </w:rPr>
        <w:t xml:space="preserve"> must include</w:t>
      </w:r>
      <w:r w:rsidR="00597DC5">
        <w:rPr>
          <w:lang w:eastAsia="ja-JP"/>
        </w:rPr>
        <w:t xml:space="preserve"> details of</w:t>
      </w:r>
      <w:r w:rsidR="00A26001" w:rsidRPr="00A26001">
        <w:t>:</w:t>
      </w:r>
    </w:p>
    <w:p w14:paraId="15CCC1A0" w14:textId="3D231EF3" w:rsidR="00A26001" w:rsidRDefault="00A26001" w:rsidP="00A26001">
      <w:pPr>
        <w:pStyle w:val="ListBullet"/>
      </w:pPr>
      <w:r w:rsidRPr="00A26001">
        <w:t>arrangements for the consignment to be discharged in a</w:t>
      </w:r>
      <w:r w:rsidR="0088694D">
        <w:t xml:space="preserve"> </w:t>
      </w:r>
      <w:hyperlink w:anchor="_Contingency_market" w:history="1">
        <w:r w:rsidR="0088694D" w:rsidRPr="0088694D">
          <w:rPr>
            <w:rStyle w:val="Hyperlink"/>
          </w:rPr>
          <w:t>contingency market</w:t>
        </w:r>
      </w:hyperlink>
      <w:r w:rsidR="0088694D">
        <w:t>, and/or</w:t>
      </w:r>
    </w:p>
    <w:p w14:paraId="0D4F59DA" w14:textId="6DCB8214" w:rsidR="00A13EDA" w:rsidRDefault="00D85F2E" w:rsidP="00A26001">
      <w:pPr>
        <w:pStyle w:val="ListBullet"/>
      </w:pPr>
      <w:hyperlink w:anchor="_Alternative_contingency_plan" w:history="1">
        <w:r w:rsidR="00A13EDA" w:rsidRPr="00D11A8B">
          <w:rPr>
            <w:rStyle w:val="Hyperlink"/>
          </w:rPr>
          <w:t>alternative contingency plan arra</w:t>
        </w:r>
        <w:r w:rsidR="00AD42FF" w:rsidRPr="00D11A8B">
          <w:rPr>
            <w:rStyle w:val="Hyperlink"/>
          </w:rPr>
          <w:t>ngements</w:t>
        </w:r>
      </w:hyperlink>
      <w:r w:rsidR="0070542C">
        <w:t>.</w:t>
      </w:r>
    </w:p>
    <w:p w14:paraId="775DF322" w14:textId="5F74B605" w:rsidR="005969A0" w:rsidRPr="00EE289C" w:rsidRDefault="005969A0" w:rsidP="00B06988">
      <w:r w:rsidRPr="00EE289C">
        <w:t>The arra</w:t>
      </w:r>
      <w:r w:rsidR="00624522" w:rsidRPr="00EE289C">
        <w:t>ngements need to be realistic and capable of implementation.</w:t>
      </w:r>
    </w:p>
    <w:p w14:paraId="34649994" w14:textId="77777777" w:rsidR="00A26001" w:rsidRPr="00A26001" w:rsidRDefault="00A26001" w:rsidP="00A26001">
      <w:pPr>
        <w:pStyle w:val="Heading3"/>
        <w:numPr>
          <w:ilvl w:val="0"/>
          <w:numId w:val="0"/>
        </w:numPr>
        <w:ind w:left="964" w:hanging="964"/>
        <w:rPr>
          <w:lang w:eastAsia="ja-JP"/>
        </w:rPr>
      </w:pPr>
      <w:bookmarkStart w:id="2" w:name="_Contingency_markets"/>
      <w:bookmarkStart w:id="3" w:name="_Contingency_market"/>
      <w:bookmarkEnd w:id="2"/>
      <w:bookmarkEnd w:id="3"/>
      <w:r w:rsidRPr="00A26001">
        <w:rPr>
          <w:lang w:eastAsia="ja-JP"/>
        </w:rPr>
        <w:t>Contingency market</w:t>
      </w:r>
    </w:p>
    <w:p w14:paraId="1123F815" w14:textId="38094E84" w:rsidR="00916DD8" w:rsidRDefault="00916DD8" w:rsidP="00A26001">
      <w:pPr>
        <w:rPr>
          <w:lang w:eastAsia="ja-JP"/>
        </w:rPr>
      </w:pPr>
      <w:r>
        <w:rPr>
          <w:lang w:eastAsia="ja-JP"/>
        </w:rPr>
        <w:t>An exporter</w:t>
      </w:r>
      <w:r w:rsidR="00EC1325">
        <w:rPr>
          <w:lang w:eastAsia="ja-JP"/>
        </w:rPr>
        <w:t>’s contingency plan</w:t>
      </w:r>
      <w:r>
        <w:rPr>
          <w:lang w:eastAsia="ja-JP"/>
        </w:rPr>
        <w:t xml:space="preserve"> may propose discharge in a market</w:t>
      </w:r>
      <w:r w:rsidR="00EC1325">
        <w:rPr>
          <w:lang w:eastAsia="ja-JP"/>
        </w:rPr>
        <w:t xml:space="preserve"> </w:t>
      </w:r>
      <w:r>
        <w:rPr>
          <w:lang w:eastAsia="ja-JP"/>
        </w:rPr>
        <w:t>other than the intended destination market</w:t>
      </w:r>
      <w:r w:rsidR="00EC1325">
        <w:rPr>
          <w:lang w:eastAsia="ja-JP"/>
        </w:rPr>
        <w:t xml:space="preserve">. To ensure the plan </w:t>
      </w:r>
      <w:r w:rsidR="001C504F">
        <w:rPr>
          <w:lang w:eastAsia="ja-JP"/>
        </w:rPr>
        <w:t>addresses</w:t>
      </w:r>
      <w:r w:rsidR="00EC1325">
        <w:rPr>
          <w:lang w:eastAsia="ja-JP"/>
        </w:rPr>
        <w:t xml:space="preserve"> the outcomes of this policy, the</w:t>
      </w:r>
      <w:r w:rsidR="006B6440">
        <w:rPr>
          <w:lang w:eastAsia="ja-JP"/>
        </w:rPr>
        <w:t xml:space="preserve"> exporter must have </w:t>
      </w:r>
      <w:proofErr w:type="gramStart"/>
      <w:r w:rsidR="00EC1325">
        <w:rPr>
          <w:lang w:eastAsia="ja-JP"/>
        </w:rPr>
        <w:t>a sufficient number of</w:t>
      </w:r>
      <w:proofErr w:type="gramEnd"/>
      <w:r w:rsidR="00EC1325">
        <w:rPr>
          <w:lang w:eastAsia="ja-JP"/>
        </w:rPr>
        <w:t xml:space="preserve"> contingency markets</w:t>
      </w:r>
      <w:r w:rsidR="006B6440">
        <w:rPr>
          <w:lang w:eastAsia="ja-JP"/>
        </w:rPr>
        <w:t xml:space="preserve"> available to them</w:t>
      </w:r>
      <w:r w:rsidR="001C504F">
        <w:rPr>
          <w:lang w:eastAsia="ja-JP"/>
        </w:rPr>
        <w:t>, based on the particular circumstances of the proposed export</w:t>
      </w:r>
      <w:r w:rsidR="006B6440">
        <w:rPr>
          <w:lang w:eastAsia="ja-JP"/>
        </w:rPr>
        <w:t>.</w:t>
      </w:r>
    </w:p>
    <w:p w14:paraId="3768C889" w14:textId="568D9899" w:rsidR="00A26001" w:rsidRPr="00A26001" w:rsidRDefault="00A26001" w:rsidP="00A26001">
      <w:pPr>
        <w:rPr>
          <w:lang w:eastAsia="ja-JP"/>
        </w:rPr>
      </w:pPr>
      <w:r w:rsidRPr="00A26001">
        <w:rPr>
          <w:lang w:eastAsia="ja-JP"/>
        </w:rPr>
        <w:t>For each proposed contingency market, the exporter must provide:</w:t>
      </w:r>
    </w:p>
    <w:p w14:paraId="49E1FF91" w14:textId="77777777" w:rsidR="00A26001" w:rsidRPr="00A26001" w:rsidRDefault="00A26001" w:rsidP="00A26001">
      <w:pPr>
        <w:pStyle w:val="ListBullet"/>
      </w:pPr>
      <w:r w:rsidRPr="00A26001">
        <w:t xml:space="preserve">written confirmation the </w:t>
      </w:r>
      <w:r w:rsidRPr="00A26001" w:rsidDel="000D3CF5">
        <w:t xml:space="preserve">livestock </w:t>
      </w:r>
      <w:r w:rsidRPr="00A26001">
        <w:t>will be</w:t>
      </w:r>
      <w:r w:rsidRPr="00A26001" w:rsidDel="000D3CF5">
        <w:t xml:space="preserve"> </w:t>
      </w:r>
      <w:r w:rsidRPr="00A26001">
        <w:t>prepared for export to meet the importing country requirements of the contingency market. This includes confirmation</w:t>
      </w:r>
    </w:p>
    <w:p w14:paraId="7E1648AB" w14:textId="5DCB5BA6" w:rsidR="00A26001" w:rsidRPr="00A26001" w:rsidRDefault="00A26001" w:rsidP="00A26001">
      <w:pPr>
        <w:pStyle w:val="ListBullet2"/>
      </w:pPr>
      <w:r w:rsidRPr="00A26001">
        <w:t xml:space="preserve">of </w:t>
      </w:r>
      <w:r w:rsidR="000E454E">
        <w:t>arrangements</w:t>
      </w:r>
      <w:r w:rsidRPr="00A26001">
        <w:t xml:space="preserve"> for additional testing, treatments, inspections, </w:t>
      </w:r>
      <w:proofErr w:type="gramStart"/>
      <w:r w:rsidRPr="00A26001">
        <w:t>vaccinations</w:t>
      </w:r>
      <w:proofErr w:type="gramEnd"/>
      <w:r w:rsidRPr="00A26001">
        <w:t xml:space="preserve"> and examinations that must be undertaken</w:t>
      </w:r>
      <w:r w:rsidR="000E454E">
        <w:t xml:space="preserve"> prior to departure from Australia</w:t>
      </w:r>
    </w:p>
    <w:p w14:paraId="37EED703" w14:textId="7929E2FF" w:rsidR="00A26001" w:rsidRPr="00A26001" w:rsidRDefault="00A26001" w:rsidP="00A26001">
      <w:pPr>
        <w:pStyle w:val="ListBullet2"/>
      </w:pPr>
      <w:r w:rsidRPr="00A26001">
        <w:t xml:space="preserve">there is sufficient quarantine space available and approved </w:t>
      </w:r>
      <w:r w:rsidR="000E454E">
        <w:t>in</w:t>
      </w:r>
      <w:r w:rsidRPr="00A26001">
        <w:t xml:space="preserve"> the</w:t>
      </w:r>
      <w:r w:rsidR="00EE593D">
        <w:t xml:space="preserve"> </w:t>
      </w:r>
      <w:r w:rsidR="000E454E">
        <w:t xml:space="preserve">contingency </w:t>
      </w:r>
      <w:r w:rsidRPr="00A26001">
        <w:t>market (if relevant)</w:t>
      </w:r>
    </w:p>
    <w:p w14:paraId="60BB508D" w14:textId="1E0606FD" w:rsidR="00A26001" w:rsidRPr="0088694D" w:rsidRDefault="430C450E" w:rsidP="0088694D">
      <w:pPr>
        <w:pStyle w:val="ListBullet"/>
      </w:pPr>
      <w:r w:rsidRPr="0088694D">
        <w:t xml:space="preserve">written confirmation </w:t>
      </w:r>
      <w:r w:rsidR="00A26001" w:rsidRPr="0088694D">
        <w:t>ASEL pen space requirements</w:t>
      </w:r>
      <w:r w:rsidR="00D65CDC" w:rsidRPr="0088694D">
        <w:t xml:space="preserve"> will be met for the livestock throughout the voyage, including if</w:t>
      </w:r>
      <w:r w:rsidR="00A26001" w:rsidRPr="0088694D">
        <w:t xml:space="preserve"> a diversion to the contingency market increases the voyage length</w:t>
      </w:r>
    </w:p>
    <w:p w14:paraId="0D0E0F7C" w14:textId="36B47A07" w:rsidR="00A26001" w:rsidRPr="00A26001" w:rsidRDefault="00A26001" w:rsidP="00A26001">
      <w:pPr>
        <w:pStyle w:val="ListBullet"/>
      </w:pPr>
      <w:r w:rsidRPr="00A26001">
        <w:t xml:space="preserve">details of additional bedding, feed, water, veterinary </w:t>
      </w:r>
      <w:proofErr w:type="gramStart"/>
      <w:r w:rsidR="0014230C">
        <w:t>medicines</w:t>
      </w:r>
      <w:proofErr w:type="gramEnd"/>
      <w:r w:rsidR="0014230C">
        <w:t xml:space="preserve"> or </w:t>
      </w:r>
      <w:r w:rsidRPr="00A26001">
        <w:t xml:space="preserve">equipment that will be loaded on to the vessel prior to departure from Australia. This must be sufficient to ensure the </w:t>
      </w:r>
      <w:r w:rsidRPr="00A26001">
        <w:lastRenderedPageBreak/>
        <w:t>livestock will continue to be managed in accordance with ASEL until they are able to be unloaded from the vessel at the contingency market</w:t>
      </w:r>
    </w:p>
    <w:p w14:paraId="6F74CEDA" w14:textId="4FBFC87B" w:rsidR="00A26001" w:rsidRPr="0088694D" w:rsidRDefault="00A26001" w:rsidP="0088694D">
      <w:pPr>
        <w:pStyle w:val="ListBullet"/>
      </w:pPr>
      <w:r w:rsidRPr="0088694D">
        <w:t>written confirmation no additional bedding, water, veterinary</w:t>
      </w:r>
      <w:r w:rsidR="008D68CA" w:rsidRPr="0088694D">
        <w:t xml:space="preserve"> </w:t>
      </w:r>
      <w:proofErr w:type="gramStart"/>
      <w:r w:rsidR="008D68CA" w:rsidRPr="0088694D">
        <w:t>medicines</w:t>
      </w:r>
      <w:proofErr w:type="gramEnd"/>
      <w:r w:rsidR="008D68CA" w:rsidRPr="0088694D">
        <w:t xml:space="preserve"> or</w:t>
      </w:r>
      <w:r w:rsidRPr="0088694D">
        <w:t xml:space="preserve"> equipment will be loaded onto the vessel after departure from Australia</w:t>
      </w:r>
      <w:r w:rsidR="002161ED" w:rsidRPr="0088694D">
        <w:t xml:space="preserve">, unless </w:t>
      </w:r>
      <w:r w:rsidR="000F5812" w:rsidRPr="0088694D">
        <w:t>in exceptional circumstances and</w:t>
      </w:r>
      <w:r w:rsidR="00286EE5" w:rsidRPr="0088694D">
        <w:t xml:space="preserve"> with</w:t>
      </w:r>
      <w:r w:rsidR="000F5812" w:rsidRPr="0088694D">
        <w:t xml:space="preserve"> </w:t>
      </w:r>
      <w:r w:rsidR="002161ED" w:rsidRPr="0088694D">
        <w:t>approv</w:t>
      </w:r>
      <w:r w:rsidR="00286EE5" w:rsidRPr="0088694D">
        <w:t>al from</w:t>
      </w:r>
      <w:r w:rsidR="002161ED" w:rsidRPr="0088694D">
        <w:t xml:space="preserve"> </w:t>
      </w:r>
      <w:r w:rsidR="00F12324" w:rsidRPr="0088694D">
        <w:t>the department</w:t>
      </w:r>
    </w:p>
    <w:p w14:paraId="6F3073FC" w14:textId="2945757F" w:rsidR="00A26001" w:rsidRPr="00A26001" w:rsidRDefault="00A26001" w:rsidP="00A26001">
      <w:pPr>
        <w:spacing w:before="120" w:after="120"/>
        <w:ind w:left="425"/>
        <w:contextualSpacing/>
      </w:pPr>
      <w:r w:rsidRPr="00A26001">
        <w:t xml:space="preserve">The </w:t>
      </w:r>
      <w:r w:rsidRPr="00B06988">
        <w:t xml:space="preserve">loading of additional feed following departure from Australia </w:t>
      </w:r>
      <w:r w:rsidR="008D68CA" w:rsidRPr="00B06988">
        <w:t xml:space="preserve">may be permitted, but only in exceptional circumstances and with </w:t>
      </w:r>
      <w:r w:rsidR="00286EE5" w:rsidRPr="00B06988">
        <w:t>approval</w:t>
      </w:r>
      <w:r w:rsidRPr="00B06988">
        <w:t xml:space="preserve"> from the department</w:t>
      </w:r>
      <w:r w:rsidR="00B06988" w:rsidRPr="00B06988">
        <w:t xml:space="preserve"> </w:t>
      </w:r>
      <w:r w:rsidR="00C82F81" w:rsidRPr="00B06988">
        <w:t>(</w:t>
      </w:r>
      <w:r w:rsidRPr="00B06988">
        <w:t>ASEL</w:t>
      </w:r>
      <w:r w:rsidR="00D44237">
        <w:t xml:space="preserve"> </w:t>
      </w:r>
      <w:r w:rsidRPr="00B06988">
        <w:t>standard</w:t>
      </w:r>
      <w:r w:rsidR="00AE54C8">
        <w:t> </w:t>
      </w:r>
      <w:r w:rsidRPr="00B06988">
        <w:t>5.1.14</w:t>
      </w:r>
      <w:r w:rsidR="00B06988">
        <w:t> </w:t>
      </w:r>
      <w:r w:rsidRPr="00B06988">
        <w:t>(d)</w:t>
      </w:r>
      <w:r w:rsidR="00B06988">
        <w:t>)</w:t>
      </w:r>
      <w:r w:rsidRPr="00B06988">
        <w:t xml:space="preserve"> and</w:t>
      </w:r>
      <w:r w:rsidRPr="00A26001">
        <w:t xml:space="preserve"> the </w:t>
      </w:r>
      <w:hyperlink r:id="rId12" w:anchor="asel-application-types" w:history="1">
        <w:r w:rsidR="00B97867">
          <w:rPr>
            <w:color w:val="0000FF" w:themeColor="hyperlink"/>
            <w:u w:val="single"/>
          </w:rPr>
          <w:t>Loading foreign sourced fodder onto a vessel carrying Australian livestock</w:t>
        </w:r>
      </w:hyperlink>
      <w:r w:rsidR="00B97867">
        <w:t xml:space="preserve"> policy.</w:t>
      </w:r>
    </w:p>
    <w:p w14:paraId="30DE6EE1" w14:textId="17BF9A9A" w:rsidR="00A26001" w:rsidRPr="0088694D" w:rsidRDefault="00A26001" w:rsidP="0088694D">
      <w:pPr>
        <w:pStyle w:val="ListBullet"/>
      </w:pPr>
      <w:r w:rsidRPr="0088694D">
        <w:t xml:space="preserve">details on the exporter’s monitoring </w:t>
      </w:r>
      <w:r w:rsidRPr="005B613F">
        <w:t>and management of the security situation in the Red Sea, including the immediate</w:t>
      </w:r>
      <w:r w:rsidR="0014230C">
        <w:t xml:space="preserve"> steps</w:t>
      </w:r>
      <w:r w:rsidRPr="005B613F">
        <w:t xml:space="preserve"> </w:t>
      </w:r>
      <w:r w:rsidR="00850DDE" w:rsidRPr="005B613F">
        <w:t>(including</w:t>
      </w:r>
      <w:r w:rsidR="008A204B" w:rsidRPr="005B613F">
        <w:t xml:space="preserve"> notifying the department </w:t>
      </w:r>
      <w:r w:rsidR="0071147E" w:rsidRPr="005B613F">
        <w:t xml:space="preserve">if </w:t>
      </w:r>
      <w:r w:rsidR="008A204B" w:rsidRPr="005B613F">
        <w:t>the contingency plan has been</w:t>
      </w:r>
      <w:r w:rsidR="0014230C">
        <w:t>, or will be,</w:t>
      </w:r>
      <w:r w:rsidR="008A204B" w:rsidRPr="005B613F">
        <w:t xml:space="preserve"> </w:t>
      </w:r>
      <w:r w:rsidR="001A02B8">
        <w:t>activated</w:t>
      </w:r>
      <w:r w:rsidR="008A204B" w:rsidRPr="005B613F">
        <w:t>)</w:t>
      </w:r>
      <w:r w:rsidR="00E96006" w:rsidRPr="00E96006">
        <w:t xml:space="preserve"> </w:t>
      </w:r>
      <w:r w:rsidR="00E96006" w:rsidRPr="005B613F">
        <w:t>and ongoing steps</w:t>
      </w:r>
      <w:r w:rsidRPr="005B613F">
        <w:t xml:space="preserve"> to be</w:t>
      </w:r>
      <w:r w:rsidRPr="0088694D">
        <w:t xml:space="preserve"> taken if it is identified that</w:t>
      </w:r>
    </w:p>
    <w:p w14:paraId="6050699B" w14:textId="77777777" w:rsidR="00A26001" w:rsidRPr="00A26001" w:rsidRDefault="00A26001" w:rsidP="00A26001">
      <w:pPr>
        <w:pStyle w:val="ListBullet2"/>
      </w:pPr>
      <w:r w:rsidRPr="00A26001">
        <w:t>the vessel is unable to proceed on its intended route</w:t>
      </w:r>
    </w:p>
    <w:p w14:paraId="07F03E2C" w14:textId="77777777" w:rsidR="00A26001" w:rsidRPr="00A26001" w:rsidRDefault="00A26001" w:rsidP="00A26001">
      <w:pPr>
        <w:pStyle w:val="ListBullet2"/>
      </w:pPr>
      <w:r w:rsidRPr="00A26001">
        <w:t>the consignment may be unable to reach the intended destination market</w:t>
      </w:r>
    </w:p>
    <w:p w14:paraId="268DCFD0" w14:textId="77777777" w:rsidR="00A26001" w:rsidRPr="00A26001" w:rsidRDefault="00A26001" w:rsidP="0088694D">
      <w:pPr>
        <w:pStyle w:val="ListBullet2"/>
      </w:pPr>
      <w:r>
        <w:t>the livestock may not be permitted to discharge from the vessel</w:t>
      </w:r>
    </w:p>
    <w:p w14:paraId="296A3063" w14:textId="35F94835" w:rsidR="00A26001" w:rsidRPr="00A26001" w:rsidRDefault="00A26001" w:rsidP="00A26001">
      <w:pPr>
        <w:pStyle w:val="ListBullet"/>
      </w:pPr>
      <w:r w:rsidRPr="00A26001">
        <w:t>details on the exporter’s communications with relevant parties</w:t>
      </w:r>
      <w:r w:rsidR="00C32FA5">
        <w:t>, additional to ASEL requirements. This i</w:t>
      </w:r>
      <w:r w:rsidRPr="00A26001">
        <w:t>nclud</w:t>
      </w:r>
      <w:r w:rsidR="00C32FA5">
        <w:t>es</w:t>
      </w:r>
      <w:r w:rsidR="0095765D">
        <w:t xml:space="preserve"> details of how</w:t>
      </w:r>
      <w:r w:rsidR="007E0A77">
        <w:t xml:space="preserve"> and when</w:t>
      </w:r>
      <w:r w:rsidR="0095765D">
        <w:t xml:space="preserve"> an adverse event will be notified</w:t>
      </w:r>
      <w:r w:rsidR="0040481F">
        <w:t>,</w:t>
      </w:r>
      <w:r w:rsidR="0095765D">
        <w:t xml:space="preserve"> and </w:t>
      </w:r>
      <w:r w:rsidR="00277657">
        <w:t>the frequency</w:t>
      </w:r>
      <w:r w:rsidR="0095765D">
        <w:t xml:space="preserve"> and </w:t>
      </w:r>
      <w:r w:rsidR="00277657">
        <w:t xml:space="preserve">method (written or verbal) of </w:t>
      </w:r>
      <w:r w:rsidR="007E0A77">
        <w:t xml:space="preserve">ongoing </w:t>
      </w:r>
      <w:r w:rsidR="00277657">
        <w:t xml:space="preserve">communications with </w:t>
      </w:r>
      <w:r w:rsidRPr="00A26001">
        <w:t>the</w:t>
      </w:r>
    </w:p>
    <w:p w14:paraId="69CF06ED" w14:textId="77777777" w:rsidR="00A26001" w:rsidRPr="00A26001" w:rsidRDefault="00A26001" w:rsidP="00A26001">
      <w:pPr>
        <w:pStyle w:val="ListBullet2"/>
      </w:pPr>
      <w:r w:rsidRPr="00A26001">
        <w:t>department</w:t>
      </w:r>
    </w:p>
    <w:p w14:paraId="46499E72" w14:textId="77777777" w:rsidR="00A26001" w:rsidRPr="00A26001" w:rsidRDefault="00A26001" w:rsidP="00A26001">
      <w:pPr>
        <w:pStyle w:val="ListBullet2"/>
      </w:pPr>
      <w:r w:rsidRPr="00A26001">
        <w:t>accredited veterinarian or accredited stockperson</w:t>
      </w:r>
    </w:p>
    <w:p w14:paraId="115047EB" w14:textId="77777777" w:rsidR="00A26001" w:rsidRPr="0088694D" w:rsidRDefault="00A26001" w:rsidP="0088694D">
      <w:pPr>
        <w:pStyle w:val="ListBullet2"/>
      </w:pPr>
      <w:r w:rsidRPr="0088694D">
        <w:t>importing country authority, importer, vessel master or operator</w:t>
      </w:r>
    </w:p>
    <w:p w14:paraId="4FE3C74E" w14:textId="77777777" w:rsidR="00A26001" w:rsidRPr="00A26001" w:rsidRDefault="00A26001" w:rsidP="00A26001">
      <w:pPr>
        <w:pStyle w:val="ListBullet"/>
      </w:pPr>
      <w:r w:rsidRPr="00A26001">
        <w:t>any other information relevant to the ongoing security situation.</w:t>
      </w:r>
    </w:p>
    <w:p w14:paraId="7061D95E" w14:textId="77777777" w:rsidR="00A26001" w:rsidRPr="00A26001" w:rsidRDefault="00A26001" w:rsidP="00A26001">
      <w:r w:rsidRPr="00A26001">
        <w:t>For consignments containing slaughter or feeder livestock, the exporter must also provide:</w:t>
      </w:r>
    </w:p>
    <w:p w14:paraId="74DCE9C6" w14:textId="24EA03B8" w:rsidR="00A26001" w:rsidRPr="00A26001" w:rsidRDefault="00A26001" w:rsidP="00A26001">
      <w:pPr>
        <w:pStyle w:val="ListBullet"/>
      </w:pPr>
      <w:r w:rsidRPr="00A26001">
        <w:t>a valid ESCAS in the contingency market for the relevant species in the consignment, and confirmation the ESCAS has sufficient capacity to receive the livestock</w:t>
      </w:r>
      <w:r w:rsidR="008B045D">
        <w:t>,</w:t>
      </w:r>
      <w:r w:rsidRPr="00A26001">
        <w:t xml:space="preserve"> or</w:t>
      </w:r>
    </w:p>
    <w:p w14:paraId="5A01503B" w14:textId="77777777" w:rsidR="00A26001" w:rsidRPr="00A26001" w:rsidRDefault="00A26001" w:rsidP="00A26001">
      <w:pPr>
        <w:pStyle w:val="ListBullet"/>
      </w:pPr>
      <w:r w:rsidRPr="00A26001">
        <w:t xml:space="preserve">written </w:t>
      </w:r>
      <w:r w:rsidRPr="00A26001">
        <w:rPr>
          <w:rFonts w:eastAsia="Times New Roman"/>
        </w:rPr>
        <w:t>confirmation from another exporter they will accept the livestock into their approved ESCAS, and the ESCAS has sufficient capacity to receive the livestock.</w:t>
      </w:r>
    </w:p>
    <w:p w14:paraId="7F6FD8A6" w14:textId="77777777" w:rsidR="00A26001" w:rsidRPr="00A26001" w:rsidRDefault="00A26001" w:rsidP="00A26001">
      <w:pPr>
        <w:pStyle w:val="Heading3"/>
        <w:numPr>
          <w:ilvl w:val="0"/>
          <w:numId w:val="0"/>
        </w:numPr>
        <w:ind w:left="964" w:hanging="964"/>
      </w:pPr>
      <w:bookmarkStart w:id="4" w:name="_Alternative__contingency"/>
      <w:bookmarkStart w:id="5" w:name="_Alternative_contingency_plan"/>
      <w:bookmarkEnd w:id="4"/>
      <w:bookmarkEnd w:id="5"/>
      <w:r w:rsidRPr="00A26001">
        <w:t>Alternative contingency plan arrangements</w:t>
      </w:r>
    </w:p>
    <w:p w14:paraId="6B70E01E" w14:textId="77777777" w:rsidR="001C18B3" w:rsidRDefault="00A26001" w:rsidP="001C18B3">
      <w:r w:rsidRPr="00A26001">
        <w:t>An exporter may propose an alternative arrangement that does not involve a contingency market.</w:t>
      </w:r>
    </w:p>
    <w:p w14:paraId="0985A52A" w14:textId="650C4FB1" w:rsidR="001C18B3" w:rsidRPr="00A26001" w:rsidRDefault="001C18B3" w:rsidP="001C18B3">
      <w:r w:rsidRPr="00A26001">
        <w:t xml:space="preserve">Where an alternative contingency plan </w:t>
      </w:r>
      <w:r w:rsidR="001A02B8">
        <w:t xml:space="preserve">arrangement </w:t>
      </w:r>
      <w:r w:rsidRPr="00A26001">
        <w:t>is proposed, the exporter must provide sufficient detail to the department outlining how</w:t>
      </w:r>
      <w:r>
        <w:t xml:space="preserve"> importing country requirements and</w:t>
      </w:r>
      <w:r w:rsidRPr="00A26001">
        <w:t xml:space="preserve"> livestock health and welfare will be maintained. An approved extended long haul management plan may also be required, in line with the </w:t>
      </w:r>
      <w:hyperlink r:id="rId13" w:anchor="current-guidelines-and-policies" w:history="1">
        <w:r w:rsidRPr="00A26001">
          <w:rPr>
            <w:color w:val="0000FF" w:themeColor="hyperlink"/>
            <w:u w:val="single"/>
          </w:rPr>
          <w:t>Approved arrangement guidelines for the export of livestock</w:t>
        </w:r>
      </w:hyperlink>
      <w:r w:rsidRPr="00A26001">
        <w:t>.</w:t>
      </w:r>
    </w:p>
    <w:p w14:paraId="00D743C2" w14:textId="7D251A21" w:rsidR="00A26001" w:rsidRPr="00A26001" w:rsidRDefault="00A26001" w:rsidP="00A26001">
      <w:r w:rsidRPr="00A26001">
        <w:t xml:space="preserve">Examples </w:t>
      </w:r>
      <w:r w:rsidR="00336D38">
        <w:t xml:space="preserve">of an alternative arrangement </w:t>
      </w:r>
      <w:r w:rsidRPr="00A26001">
        <w:t>may include:</w:t>
      </w:r>
    </w:p>
    <w:p w14:paraId="3B56265E" w14:textId="4597CE4A" w:rsidR="001C18B3" w:rsidRPr="00A26001" w:rsidRDefault="001C18B3" w:rsidP="001C18B3">
      <w:pPr>
        <w:pStyle w:val="ListBullet"/>
      </w:pPr>
      <w:r w:rsidRPr="00A26001">
        <w:t xml:space="preserve">slowing or pausing the vessel’s progression (if </w:t>
      </w:r>
      <w:r>
        <w:t xml:space="preserve">direct </w:t>
      </w:r>
      <w:r w:rsidRPr="00A26001">
        <w:t>passage is temporarily unavailable)</w:t>
      </w:r>
    </w:p>
    <w:p w14:paraId="5D4F08DF" w14:textId="77777777" w:rsidR="00A26001" w:rsidRDefault="00A26001" w:rsidP="002528B2">
      <w:pPr>
        <w:pStyle w:val="ListBullet"/>
      </w:pPr>
      <w:r w:rsidRPr="00A26001">
        <w:t>using an alternative route to travel to the intended destination market</w:t>
      </w:r>
    </w:p>
    <w:p w14:paraId="33073A9F" w14:textId="2B1AC47B" w:rsidR="001C18B3" w:rsidRPr="00A26001" w:rsidRDefault="00AD6B57" w:rsidP="002528B2">
      <w:pPr>
        <w:pStyle w:val="ListBullet"/>
      </w:pPr>
      <w:r>
        <w:t>using</w:t>
      </w:r>
      <w:r w:rsidR="00F54ADE">
        <w:t xml:space="preserve"> an</w:t>
      </w:r>
      <w:r w:rsidR="001C18B3">
        <w:t xml:space="preserve"> </w:t>
      </w:r>
      <w:r w:rsidR="00B05A29">
        <w:t>alternative option to l</w:t>
      </w:r>
      <w:r w:rsidR="001C18B3">
        <w:t xml:space="preserve">oad </w:t>
      </w:r>
      <w:r w:rsidR="00555183">
        <w:t xml:space="preserve">approved </w:t>
      </w:r>
      <w:r w:rsidR="001C18B3">
        <w:t>supplies including fuel, water, feed, bedding</w:t>
      </w:r>
      <w:r w:rsidR="0034186C">
        <w:t>,</w:t>
      </w:r>
      <w:r w:rsidR="001C18B3">
        <w:t xml:space="preserve"> </w:t>
      </w:r>
      <w:r w:rsidR="00555183">
        <w:t>or</w:t>
      </w:r>
      <w:r w:rsidR="001C18B3">
        <w:t xml:space="preserve"> veterinary medicines and equipment</w:t>
      </w:r>
      <w:r w:rsidR="00555183">
        <w:t>.</w:t>
      </w:r>
    </w:p>
    <w:p w14:paraId="2845B6DD" w14:textId="77777777" w:rsidR="00A26001" w:rsidRPr="00A26001" w:rsidRDefault="00A26001" w:rsidP="00A26001">
      <w:pPr>
        <w:pStyle w:val="Heading2"/>
      </w:pPr>
      <w:bookmarkStart w:id="6" w:name="_Related_material"/>
      <w:bookmarkStart w:id="7" w:name="_Related_material_1"/>
      <w:bookmarkEnd w:id="6"/>
      <w:bookmarkEnd w:id="7"/>
      <w:r w:rsidRPr="00A26001">
        <w:lastRenderedPageBreak/>
        <w:t>Related material</w:t>
      </w:r>
    </w:p>
    <w:p w14:paraId="15851407" w14:textId="77777777" w:rsidR="00A26001" w:rsidRPr="00A26001" w:rsidRDefault="00D85F2E" w:rsidP="00A26001">
      <w:pPr>
        <w:pStyle w:val="ListBullet"/>
      </w:pPr>
      <w:hyperlink r:id="rId14" w:anchor="current-guidelines-and-policies" w:history="1">
        <w:r w:rsidR="00A26001" w:rsidRPr="00A26001">
          <w:rPr>
            <w:color w:val="0000FF" w:themeColor="hyperlink"/>
            <w:u w:val="single"/>
          </w:rPr>
          <w:t>Approved arrangement guidelines for the export of livestock</w:t>
        </w:r>
      </w:hyperlink>
    </w:p>
    <w:p w14:paraId="2D5E1EEB" w14:textId="77777777" w:rsidR="00A26001" w:rsidRPr="00A26001" w:rsidRDefault="00D85F2E" w:rsidP="00A26001">
      <w:pPr>
        <w:pStyle w:val="ListBullet"/>
      </w:pPr>
      <w:hyperlink r:id="rId15" w:history="1">
        <w:r w:rsidR="00A26001" w:rsidRPr="00A26001">
          <w:rPr>
            <w:color w:val="0000FF" w:themeColor="hyperlink"/>
            <w:u w:val="single"/>
          </w:rPr>
          <w:t>Australian Standards for the Export of Livestock (ASEL)</w:t>
        </w:r>
      </w:hyperlink>
    </w:p>
    <w:p w14:paraId="0ED4F710" w14:textId="77777777" w:rsidR="00A26001" w:rsidRPr="00A26001" w:rsidRDefault="00D85F2E" w:rsidP="00A26001">
      <w:pPr>
        <w:pStyle w:val="ListBullet"/>
        <w:rPr>
          <w:rFonts w:ascii="Cambria" w:hAnsi="Cambria"/>
          <w:color w:val="0000FF" w:themeColor="hyperlink"/>
          <w:u w:val="single"/>
        </w:rPr>
      </w:pPr>
      <w:hyperlink r:id="rId16" w:history="1">
        <w:r w:rsidR="00A26001" w:rsidRPr="00A26001">
          <w:rPr>
            <w:color w:val="0000FF" w:themeColor="hyperlink"/>
            <w:u w:val="single"/>
          </w:rPr>
          <w:t>Charging guidelines</w:t>
        </w:r>
      </w:hyperlink>
    </w:p>
    <w:p w14:paraId="1B16E48D" w14:textId="77777777" w:rsidR="00A26001" w:rsidRPr="00A26001" w:rsidRDefault="00D85F2E" w:rsidP="00A26001">
      <w:pPr>
        <w:pStyle w:val="ListBullet"/>
      </w:pPr>
      <w:hyperlink r:id="rId17" w:history="1">
        <w:r w:rsidR="00A26001" w:rsidRPr="00A26001">
          <w:rPr>
            <w:color w:val="0000FF" w:themeColor="hyperlink"/>
            <w:u w:val="single"/>
          </w:rPr>
          <w:t>Export advisory notices</w:t>
        </w:r>
      </w:hyperlink>
    </w:p>
    <w:p w14:paraId="584AB07D" w14:textId="5E15A21D" w:rsidR="00A26001" w:rsidRPr="00A26001" w:rsidRDefault="00303631" w:rsidP="00A26001">
      <w:pPr>
        <w:pStyle w:val="ListBullet"/>
        <w:rPr>
          <w:rFonts w:ascii="Cambria" w:hAnsi="Cambria"/>
          <w:color w:val="0000FF" w:themeColor="hyperlink"/>
          <w:u w:val="single"/>
        </w:rPr>
      </w:pPr>
      <w:hyperlink r:id="rId18" w:history="1">
        <w:r w:rsidR="00D44237">
          <w:rPr>
            <w:color w:val="0000FF" w:themeColor="hyperlink"/>
            <w:u w:val="single"/>
          </w:rPr>
          <w:t>Export Control Act 2020</w:t>
        </w:r>
      </w:hyperlink>
    </w:p>
    <w:p w14:paraId="44619F40" w14:textId="55BDE0F4" w:rsidR="00A26001" w:rsidRPr="00164763" w:rsidRDefault="00303631" w:rsidP="00A26001">
      <w:pPr>
        <w:pStyle w:val="ListBullet"/>
        <w:rPr>
          <w:rFonts w:ascii="Cambria" w:hAnsi="Cambria"/>
          <w:color w:val="0000FF" w:themeColor="hyperlink"/>
          <w:u w:val="single"/>
        </w:rPr>
      </w:pPr>
      <w:hyperlink r:id="rId19" w:history="1">
        <w:r w:rsidR="00D44237">
          <w:rPr>
            <w:color w:val="0000FF" w:themeColor="hyperlink"/>
            <w:u w:val="single"/>
          </w:rPr>
          <w:t>Export Control (Animals) Rules 2021</w:t>
        </w:r>
      </w:hyperlink>
    </w:p>
    <w:p w14:paraId="08B020D3" w14:textId="7777DAF6" w:rsidR="00164763" w:rsidRPr="00A26001" w:rsidRDefault="00D85F2E" w:rsidP="00A26001">
      <w:pPr>
        <w:pStyle w:val="ListBullet"/>
        <w:rPr>
          <w:rFonts w:ascii="Cambria" w:hAnsi="Cambria"/>
          <w:color w:val="0000FF" w:themeColor="hyperlink"/>
          <w:u w:val="single"/>
        </w:rPr>
      </w:pPr>
      <w:hyperlink r:id="rId20" w:history="1">
        <w:r w:rsidR="00164763" w:rsidRPr="00164763">
          <w:rPr>
            <w:rStyle w:val="Hyperlink"/>
          </w:rPr>
          <w:t>Exporter supply chain assurance system (ESCAS)</w:t>
        </w:r>
      </w:hyperlink>
    </w:p>
    <w:p w14:paraId="70272D0B" w14:textId="77777777" w:rsidR="00A26001" w:rsidRPr="00A26001" w:rsidRDefault="00D85F2E" w:rsidP="00A26001">
      <w:pPr>
        <w:pStyle w:val="ListBullet"/>
      </w:pPr>
      <w:hyperlink r:id="rId21" w:anchor="asel-application-types" w:history="1">
        <w:r w:rsidR="00A26001" w:rsidRPr="00A26001">
          <w:rPr>
            <w:color w:val="0000FF" w:themeColor="hyperlink"/>
            <w:u w:val="single"/>
          </w:rPr>
          <w:t>Loading foreign sourced fodder on</w:t>
        </w:r>
        <w:bookmarkStart w:id="8" w:name="_Hlt161398236"/>
        <w:bookmarkEnd w:id="8"/>
        <w:r w:rsidR="00A26001" w:rsidRPr="00A26001">
          <w:rPr>
            <w:color w:val="0000FF" w:themeColor="hyperlink"/>
            <w:u w:val="single"/>
          </w:rPr>
          <w:t>to a vessel carrying</w:t>
        </w:r>
        <w:bookmarkStart w:id="9" w:name="_Hlt161397593"/>
        <w:r w:rsidR="00A26001" w:rsidRPr="00A26001">
          <w:rPr>
            <w:color w:val="0000FF" w:themeColor="hyperlink"/>
            <w:u w:val="single"/>
          </w:rPr>
          <w:t xml:space="preserve"> </w:t>
        </w:r>
        <w:bookmarkEnd w:id="9"/>
        <w:r w:rsidR="00A26001" w:rsidRPr="00A26001">
          <w:rPr>
            <w:color w:val="0000FF" w:themeColor="hyperlink"/>
            <w:u w:val="single"/>
          </w:rPr>
          <w:t>Australian livestock</w:t>
        </w:r>
      </w:hyperlink>
    </w:p>
    <w:p w14:paraId="29F7F430" w14:textId="77777777" w:rsidR="00A26001" w:rsidRPr="00A26001" w:rsidRDefault="00D85F2E" w:rsidP="00A26001">
      <w:pPr>
        <w:pStyle w:val="ListBullet"/>
      </w:pPr>
      <w:hyperlink r:id="rId22" w:history="1">
        <w:r w:rsidR="00A26001" w:rsidRPr="00A26001">
          <w:rPr>
            <w:color w:val="0000FF" w:themeColor="hyperlink"/>
            <w:u w:val="single"/>
          </w:rPr>
          <w:t>Regulating live animal exports</w:t>
        </w:r>
      </w:hyperlink>
    </w:p>
    <w:p w14:paraId="285F8C36" w14:textId="77777777" w:rsidR="00A26001" w:rsidRPr="00A26001" w:rsidRDefault="00A26001" w:rsidP="00A26001">
      <w:pPr>
        <w:pStyle w:val="Heading2"/>
      </w:pPr>
      <w:r w:rsidRPr="00A26001">
        <w:t>Version control</w:t>
      </w:r>
    </w:p>
    <w:tbl>
      <w:tblPr>
        <w:tblStyle w:val="TableGrid"/>
        <w:tblW w:w="0" w:type="auto"/>
        <w:tblLook w:val="04A0" w:firstRow="1" w:lastRow="0" w:firstColumn="1" w:lastColumn="0" w:noHBand="0" w:noVBand="1"/>
      </w:tblPr>
      <w:tblGrid>
        <w:gridCol w:w="1134"/>
        <w:gridCol w:w="1701"/>
        <w:gridCol w:w="2552"/>
        <w:gridCol w:w="3673"/>
      </w:tblGrid>
      <w:tr w:rsidR="00A26001" w:rsidRPr="00A26001" w14:paraId="3F3F7769" w14:textId="77777777" w:rsidTr="1CD7C0D9">
        <w:trPr>
          <w:cantSplit/>
          <w:tblHeader/>
        </w:trPr>
        <w:tc>
          <w:tcPr>
            <w:tcW w:w="1134" w:type="dxa"/>
            <w:tcBorders>
              <w:left w:val="nil"/>
              <w:bottom w:val="single" w:sz="4" w:space="0" w:color="auto"/>
              <w:right w:val="nil"/>
            </w:tcBorders>
          </w:tcPr>
          <w:p w14:paraId="7492C4FD" w14:textId="77777777" w:rsidR="00A26001" w:rsidRPr="00A26001" w:rsidRDefault="00A26001" w:rsidP="00A26001">
            <w:pPr>
              <w:pStyle w:val="TableHeading"/>
              <w:rPr>
                <w:lang w:eastAsia="ja-JP"/>
              </w:rPr>
            </w:pPr>
            <w:r w:rsidRPr="00A26001">
              <w:t>Version</w:t>
            </w:r>
          </w:p>
        </w:tc>
        <w:tc>
          <w:tcPr>
            <w:tcW w:w="1701" w:type="dxa"/>
            <w:tcBorders>
              <w:left w:val="nil"/>
              <w:bottom w:val="single" w:sz="4" w:space="0" w:color="auto"/>
              <w:right w:val="nil"/>
            </w:tcBorders>
          </w:tcPr>
          <w:p w14:paraId="3D9C01CA" w14:textId="77777777" w:rsidR="00A26001" w:rsidRPr="00A26001" w:rsidRDefault="00A26001" w:rsidP="00A26001">
            <w:pPr>
              <w:pStyle w:val="TableHeading"/>
              <w:rPr>
                <w:bCs/>
                <w:lang w:eastAsia="ja-JP"/>
              </w:rPr>
            </w:pPr>
            <w:r w:rsidRPr="00A26001">
              <w:rPr>
                <w:bCs/>
              </w:rPr>
              <w:t>Date of issue</w:t>
            </w:r>
          </w:p>
        </w:tc>
        <w:tc>
          <w:tcPr>
            <w:tcW w:w="2552" w:type="dxa"/>
            <w:tcBorders>
              <w:left w:val="nil"/>
              <w:bottom w:val="single" w:sz="4" w:space="0" w:color="auto"/>
              <w:right w:val="nil"/>
            </w:tcBorders>
          </w:tcPr>
          <w:p w14:paraId="24FD812B" w14:textId="77777777" w:rsidR="00A26001" w:rsidRPr="00A26001" w:rsidRDefault="00A26001" w:rsidP="00A26001">
            <w:pPr>
              <w:pStyle w:val="TableHeading"/>
              <w:rPr>
                <w:bCs/>
                <w:lang w:eastAsia="ja-JP"/>
              </w:rPr>
            </w:pPr>
            <w:r w:rsidRPr="00A26001">
              <w:rPr>
                <w:bCs/>
              </w:rPr>
              <w:t>Author</w:t>
            </w:r>
          </w:p>
        </w:tc>
        <w:tc>
          <w:tcPr>
            <w:tcW w:w="3673" w:type="dxa"/>
            <w:tcBorders>
              <w:left w:val="nil"/>
              <w:bottom w:val="single" w:sz="4" w:space="0" w:color="auto"/>
              <w:right w:val="nil"/>
            </w:tcBorders>
          </w:tcPr>
          <w:p w14:paraId="2C511FD8" w14:textId="77777777" w:rsidR="00A26001" w:rsidRPr="00A26001" w:rsidRDefault="00A26001" w:rsidP="00A26001">
            <w:pPr>
              <w:pStyle w:val="TableHeading"/>
              <w:rPr>
                <w:bCs/>
                <w:lang w:eastAsia="ja-JP"/>
              </w:rPr>
            </w:pPr>
            <w:r w:rsidRPr="00A26001">
              <w:rPr>
                <w:bCs/>
              </w:rPr>
              <w:t>Reason for change</w:t>
            </w:r>
          </w:p>
        </w:tc>
      </w:tr>
      <w:tr w:rsidR="00A26001" w:rsidRPr="00A26001" w14:paraId="3554AF31" w14:textId="77777777" w:rsidTr="1CD7C0D9">
        <w:tc>
          <w:tcPr>
            <w:tcW w:w="1134" w:type="dxa"/>
            <w:tcBorders>
              <w:left w:val="nil"/>
              <w:right w:val="nil"/>
            </w:tcBorders>
          </w:tcPr>
          <w:p w14:paraId="00D4DE1A" w14:textId="77777777" w:rsidR="00A26001" w:rsidRPr="00A26001" w:rsidRDefault="00A26001" w:rsidP="00A26001">
            <w:pPr>
              <w:pStyle w:val="TableText"/>
              <w:rPr>
                <w:lang w:eastAsia="ja-JP"/>
              </w:rPr>
            </w:pPr>
            <w:r w:rsidRPr="00A26001">
              <w:rPr>
                <w:lang w:eastAsia="ja-JP"/>
              </w:rPr>
              <w:t>1.0</w:t>
            </w:r>
          </w:p>
        </w:tc>
        <w:tc>
          <w:tcPr>
            <w:tcW w:w="1701" w:type="dxa"/>
            <w:tcBorders>
              <w:left w:val="nil"/>
              <w:right w:val="nil"/>
            </w:tcBorders>
          </w:tcPr>
          <w:p w14:paraId="01592E97" w14:textId="609778D3" w:rsidR="00A26001" w:rsidRPr="00A26001" w:rsidRDefault="4CB0F8C6" w:rsidP="00A26001">
            <w:pPr>
              <w:pStyle w:val="TableText"/>
              <w:rPr>
                <w:lang w:eastAsia="ja-JP"/>
              </w:rPr>
            </w:pPr>
            <w:r w:rsidRPr="00D44237">
              <w:rPr>
                <w:lang w:eastAsia="ja-JP"/>
              </w:rPr>
              <w:t>April</w:t>
            </w:r>
            <w:r w:rsidR="00B06988" w:rsidRPr="00D44237">
              <w:rPr>
                <w:lang w:eastAsia="ja-JP"/>
              </w:rPr>
              <w:t xml:space="preserve"> 2024</w:t>
            </w:r>
          </w:p>
        </w:tc>
        <w:tc>
          <w:tcPr>
            <w:tcW w:w="2552" w:type="dxa"/>
            <w:tcBorders>
              <w:left w:val="nil"/>
              <w:right w:val="nil"/>
            </w:tcBorders>
          </w:tcPr>
          <w:p w14:paraId="555D1199" w14:textId="77777777" w:rsidR="00A26001" w:rsidRPr="00A26001" w:rsidRDefault="00A26001" w:rsidP="00A26001">
            <w:pPr>
              <w:pStyle w:val="TableText"/>
              <w:rPr>
                <w:lang w:eastAsia="ja-JP"/>
              </w:rPr>
            </w:pPr>
            <w:r w:rsidRPr="00A26001">
              <w:rPr>
                <w:lang w:eastAsia="ja-JP"/>
              </w:rPr>
              <w:t>Live Animal Export Branch</w:t>
            </w:r>
          </w:p>
        </w:tc>
        <w:tc>
          <w:tcPr>
            <w:tcW w:w="3673" w:type="dxa"/>
            <w:tcBorders>
              <w:left w:val="nil"/>
              <w:right w:val="nil"/>
            </w:tcBorders>
          </w:tcPr>
          <w:p w14:paraId="6E790F81" w14:textId="77777777" w:rsidR="00A26001" w:rsidRPr="00A26001" w:rsidRDefault="00A26001" w:rsidP="00A26001">
            <w:pPr>
              <w:pStyle w:val="TableText"/>
              <w:rPr>
                <w:lang w:eastAsia="ja-JP"/>
              </w:rPr>
            </w:pPr>
            <w:r w:rsidRPr="00A26001">
              <w:rPr>
                <w:lang w:eastAsia="ja-JP"/>
              </w:rPr>
              <w:t>First publication</w:t>
            </w:r>
          </w:p>
        </w:tc>
      </w:tr>
    </w:tbl>
    <w:p w14:paraId="637ABB64" w14:textId="77777777" w:rsidR="00A26001" w:rsidRPr="00A26001" w:rsidRDefault="00A26001" w:rsidP="00B06988">
      <w:pPr>
        <w:pStyle w:val="Normalsmall"/>
        <w:spacing w:before="240"/>
        <w:rPr>
          <w:rStyle w:val="Strong"/>
          <w:sz w:val="22"/>
          <w:szCs w:val="22"/>
        </w:rPr>
      </w:pPr>
      <w:r w:rsidRPr="00A26001">
        <w:rPr>
          <w:rStyle w:val="Strong"/>
        </w:rPr>
        <w:t>Acknowledgement of Country</w:t>
      </w:r>
    </w:p>
    <w:p w14:paraId="7673D280" w14:textId="77777777" w:rsidR="00A26001" w:rsidRPr="00A26001" w:rsidRDefault="00A26001" w:rsidP="002528B2">
      <w:pPr>
        <w:pStyle w:val="Normalsmall"/>
      </w:pPr>
      <w:r w:rsidRPr="00A26001">
        <w:t xml:space="preserve">We acknowledge the Traditional Custodians of Australia and their continuing connection to land and sea, waters, </w:t>
      </w:r>
      <w:proofErr w:type="gramStart"/>
      <w:r w:rsidRPr="00A26001">
        <w:t>environment</w:t>
      </w:r>
      <w:proofErr w:type="gramEnd"/>
      <w:r w:rsidRPr="00A26001">
        <w:t xml:space="preserve"> and community. We pay our respects to the Traditional Custodians of the lands we live and work on, their culture, and their Elders past and present.</w:t>
      </w:r>
    </w:p>
    <w:p w14:paraId="545F7D46" w14:textId="77777777" w:rsidR="00A26001" w:rsidRPr="00A26001" w:rsidRDefault="00A26001" w:rsidP="002528B2">
      <w:pPr>
        <w:pStyle w:val="Normalsmall"/>
      </w:pPr>
      <w:r w:rsidRPr="00A26001">
        <w:t>© Commonwealth of Australia 2024</w:t>
      </w:r>
    </w:p>
    <w:p w14:paraId="6E55BB2C" w14:textId="77777777" w:rsidR="00A26001" w:rsidRPr="00A26001" w:rsidRDefault="00A26001" w:rsidP="002528B2">
      <w:pPr>
        <w:pStyle w:val="Normalsmall"/>
      </w:pPr>
      <w:r w:rsidRPr="00A26001">
        <w:t>Unless otherwise noted, copyright (and any other intellectual property rights) in this publication is owned by the Commonwealth of Australia (referred to as the Commonwealth).</w:t>
      </w:r>
    </w:p>
    <w:p w14:paraId="69FA7188" w14:textId="77777777" w:rsidR="00A26001" w:rsidRPr="00A26001" w:rsidRDefault="00A26001" w:rsidP="002528B2">
      <w:pPr>
        <w:pStyle w:val="Normalsmall"/>
      </w:pPr>
      <w:r w:rsidRPr="00A26001">
        <w:t xml:space="preserve">All material in this publication is licensed under a </w:t>
      </w:r>
      <w:hyperlink r:id="rId23" w:history="1">
        <w:r w:rsidRPr="00A26001">
          <w:rPr>
            <w:color w:val="0000FF" w:themeColor="hyperlink"/>
            <w:u w:val="single"/>
          </w:rPr>
          <w:t>Creative Commons Attribution 4.0 International Licence</w:t>
        </w:r>
      </w:hyperlink>
      <w:r w:rsidRPr="00A26001">
        <w:t xml:space="preserve"> except content supplied by third parties, logos and the Commonwealth Coat of Arms.</w:t>
      </w:r>
    </w:p>
    <w:p w14:paraId="1A4305C3" w14:textId="360B0783" w:rsidR="00262394" w:rsidRPr="00A26001" w:rsidRDefault="00A26001" w:rsidP="002528B2">
      <w:pPr>
        <w:pStyle w:val="Normalsmall"/>
      </w:pPr>
      <w:r w:rsidRPr="00A26001">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w:t>
      </w:r>
      <w:proofErr w:type="gramStart"/>
      <w:r w:rsidRPr="00A26001">
        <w:t>expense</w:t>
      </w:r>
      <w:proofErr w:type="gramEnd"/>
      <w:r w:rsidRPr="00A26001">
        <w:t xml:space="preserve"> or cost incurred by any person as a result of accessing, using or relying on any of the information or data in this publication to the maximum extent permitted by law.</w:t>
      </w:r>
    </w:p>
    <w:sectPr w:rsidR="00262394" w:rsidRPr="00A26001">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0E95" w14:textId="77777777" w:rsidR="000E297C" w:rsidRDefault="000E297C">
      <w:r>
        <w:separator/>
      </w:r>
    </w:p>
    <w:p w14:paraId="23C954AE" w14:textId="77777777" w:rsidR="000E297C" w:rsidRDefault="000E297C"/>
    <w:p w14:paraId="7DC25613" w14:textId="77777777" w:rsidR="000E297C" w:rsidRDefault="000E297C"/>
  </w:endnote>
  <w:endnote w:type="continuationSeparator" w:id="0">
    <w:p w14:paraId="27A40098" w14:textId="77777777" w:rsidR="000E297C" w:rsidRDefault="000E297C">
      <w:r>
        <w:continuationSeparator/>
      </w:r>
    </w:p>
    <w:p w14:paraId="59B78F99" w14:textId="77777777" w:rsidR="000E297C" w:rsidRDefault="000E297C"/>
    <w:p w14:paraId="720CCC40" w14:textId="77777777" w:rsidR="000E297C" w:rsidRDefault="000E297C"/>
  </w:endnote>
  <w:endnote w:type="continuationNotice" w:id="1">
    <w:p w14:paraId="7F7F19A5" w14:textId="77777777" w:rsidR="000E297C" w:rsidRDefault="000E297C">
      <w:pPr>
        <w:pStyle w:val="Footer"/>
      </w:pPr>
    </w:p>
    <w:p w14:paraId="4A07D00B" w14:textId="77777777" w:rsidR="000E297C" w:rsidRDefault="000E297C"/>
    <w:p w14:paraId="28C50EA3" w14:textId="77777777" w:rsidR="000E297C" w:rsidRDefault="000E2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7829" w14:textId="5FEA84AE" w:rsidR="0094168C" w:rsidRDefault="0094168C">
    <w:pPr>
      <w:pStyle w:val="Footer"/>
    </w:pPr>
    <w:r>
      <w:rPr>
        <w:noProof/>
      </w:rPr>
      <mc:AlternateContent>
        <mc:Choice Requires="wps">
          <w:drawing>
            <wp:anchor distT="0" distB="0" distL="0" distR="0" simplePos="0" relativeHeight="251658241" behindDoc="0" locked="0" layoutInCell="1" allowOverlap="1" wp14:anchorId="42F0E911" wp14:editId="3F51E3FB">
              <wp:simplePos x="635" y="635"/>
              <wp:positionH relativeFrom="page">
                <wp:align>center</wp:align>
              </wp:positionH>
              <wp:positionV relativeFrom="page">
                <wp:align>bottom</wp:align>
              </wp:positionV>
              <wp:extent cx="443865" cy="443865"/>
              <wp:effectExtent l="0" t="0" r="635" b="0"/>
              <wp:wrapNone/>
              <wp:docPr id="9942299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04E8D" w14:textId="56E249DE" w:rsidR="0094168C" w:rsidRPr="0094168C" w:rsidRDefault="0094168C" w:rsidP="0094168C">
                          <w:pPr>
                            <w:spacing w:after="0"/>
                            <w:rPr>
                              <w:rFonts w:ascii="Calibri" w:eastAsia="Calibri" w:hAnsi="Calibri" w:cs="Calibri"/>
                              <w:noProof/>
                              <w:color w:val="FF0000"/>
                              <w:sz w:val="24"/>
                              <w:szCs w:val="24"/>
                            </w:rPr>
                          </w:pPr>
                          <w:r w:rsidRPr="009416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0E911"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504E8D" w14:textId="56E249DE" w:rsidR="0094168C" w:rsidRPr="0094168C" w:rsidRDefault="0094168C" w:rsidP="0094168C">
                    <w:pPr>
                      <w:spacing w:after="0"/>
                      <w:rPr>
                        <w:rFonts w:ascii="Calibri" w:eastAsia="Calibri" w:hAnsi="Calibri" w:cs="Calibri"/>
                        <w:noProof/>
                        <w:color w:val="FF0000"/>
                        <w:sz w:val="24"/>
                        <w:szCs w:val="24"/>
                      </w:rPr>
                    </w:pPr>
                    <w:r w:rsidRPr="0094168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FDEE" w14:textId="2F401E1A" w:rsidR="002A193C" w:rsidRDefault="007B1F92">
    <w:pPr>
      <w:pStyle w:val="Footer"/>
    </w:pPr>
    <w:r w:rsidRPr="007B1F92">
      <w:t>Department of Agriculture, Fisheries and Forestry</w:t>
    </w:r>
  </w:p>
  <w:p w14:paraId="0ED08D26"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D134" w14:textId="3BA11562" w:rsidR="002A193C" w:rsidRDefault="002A193C">
    <w:pPr>
      <w:pStyle w:val="Footer"/>
    </w:pPr>
    <w:r>
      <w:t xml:space="preserve">Department of Agriculture, </w:t>
    </w:r>
    <w:r w:rsidR="00A9002C">
      <w:t>Fisheries and Forestry</w:t>
    </w:r>
  </w:p>
  <w:p w14:paraId="0A40782F"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58C2" w14:textId="77777777" w:rsidR="000E297C" w:rsidRDefault="000E297C">
      <w:r>
        <w:separator/>
      </w:r>
    </w:p>
    <w:p w14:paraId="4B6FB99B" w14:textId="77777777" w:rsidR="000E297C" w:rsidRDefault="000E297C"/>
    <w:p w14:paraId="183052D1" w14:textId="77777777" w:rsidR="000E297C" w:rsidRDefault="000E297C"/>
  </w:footnote>
  <w:footnote w:type="continuationSeparator" w:id="0">
    <w:p w14:paraId="5C94659B" w14:textId="77777777" w:rsidR="000E297C" w:rsidRDefault="000E297C">
      <w:r>
        <w:continuationSeparator/>
      </w:r>
    </w:p>
    <w:p w14:paraId="440AC380" w14:textId="77777777" w:rsidR="000E297C" w:rsidRDefault="000E297C"/>
    <w:p w14:paraId="6BFAD752" w14:textId="77777777" w:rsidR="000E297C" w:rsidRDefault="000E297C"/>
  </w:footnote>
  <w:footnote w:type="continuationNotice" w:id="1">
    <w:p w14:paraId="122BE0F6" w14:textId="77777777" w:rsidR="000E297C" w:rsidRDefault="000E297C">
      <w:pPr>
        <w:pStyle w:val="Footer"/>
      </w:pPr>
    </w:p>
    <w:p w14:paraId="3861EA7A" w14:textId="77777777" w:rsidR="000E297C" w:rsidRDefault="000E297C"/>
    <w:p w14:paraId="1F6D0B23" w14:textId="77777777" w:rsidR="000E297C" w:rsidRDefault="000E2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98A3" w14:textId="5160F72C" w:rsidR="0094168C" w:rsidRDefault="0094168C">
    <w:pPr>
      <w:pStyle w:val="Header"/>
    </w:pPr>
    <w:r>
      <w:rPr>
        <w:noProof/>
      </w:rPr>
      <mc:AlternateContent>
        <mc:Choice Requires="wps">
          <w:drawing>
            <wp:anchor distT="0" distB="0" distL="0" distR="0" simplePos="0" relativeHeight="251658240" behindDoc="0" locked="0" layoutInCell="1" allowOverlap="1" wp14:anchorId="0FF74627" wp14:editId="73512740">
              <wp:simplePos x="635" y="635"/>
              <wp:positionH relativeFrom="page">
                <wp:align>center</wp:align>
              </wp:positionH>
              <wp:positionV relativeFrom="page">
                <wp:align>top</wp:align>
              </wp:positionV>
              <wp:extent cx="443865" cy="443865"/>
              <wp:effectExtent l="0" t="0" r="635" b="14605"/>
              <wp:wrapNone/>
              <wp:docPr id="1001210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0D841" w14:textId="286526AF" w:rsidR="0094168C" w:rsidRPr="0094168C" w:rsidRDefault="0094168C" w:rsidP="0094168C">
                          <w:pPr>
                            <w:spacing w:after="0"/>
                            <w:rPr>
                              <w:rFonts w:ascii="Calibri" w:eastAsia="Calibri" w:hAnsi="Calibri" w:cs="Calibri"/>
                              <w:noProof/>
                              <w:color w:val="FF0000"/>
                              <w:sz w:val="24"/>
                              <w:szCs w:val="24"/>
                            </w:rPr>
                          </w:pPr>
                          <w:r w:rsidRPr="009416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F74627"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1B0D841" w14:textId="286526AF" w:rsidR="0094168C" w:rsidRPr="0094168C" w:rsidRDefault="0094168C" w:rsidP="0094168C">
                    <w:pPr>
                      <w:spacing w:after="0"/>
                      <w:rPr>
                        <w:rFonts w:ascii="Calibri" w:eastAsia="Calibri" w:hAnsi="Calibri" w:cs="Calibri"/>
                        <w:noProof/>
                        <w:color w:val="FF0000"/>
                        <w:sz w:val="24"/>
                        <w:szCs w:val="24"/>
                      </w:rPr>
                    </w:pPr>
                    <w:r w:rsidRPr="0094168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E68F" w14:textId="75A2FEC6" w:rsidR="002A193C" w:rsidRPr="002528B2" w:rsidRDefault="002528B2" w:rsidP="002528B2">
    <w:pPr>
      <w:pStyle w:val="Header"/>
    </w:pPr>
    <w:r w:rsidRPr="002528B2">
      <w:t xml:space="preserve">Contingency plans for livestock </w:t>
    </w:r>
    <w:r w:rsidR="00B23D8C">
      <w:t>consignments to the Middle East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02DC" w14:textId="6A794C47" w:rsidR="002A193C" w:rsidRDefault="00D36729">
    <w:pPr>
      <w:pStyle w:val="Header"/>
      <w:jc w:val="left"/>
    </w:pPr>
    <w:r>
      <w:rPr>
        <w:noProof/>
        <w:lang w:eastAsia="en-AU"/>
      </w:rPr>
      <w:drawing>
        <wp:inline distT="0" distB="0" distL="0" distR="0" wp14:anchorId="5E0B142E" wp14:editId="6A11FE94">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00CACF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D5C00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E80AB2"/>
    <w:multiLevelType w:val="hybridMultilevel"/>
    <w:tmpl w:val="16784568"/>
    <w:lvl w:ilvl="0" w:tplc="1EC018B6">
      <w:start w:val="1"/>
      <w:numFmt w:val="upperLetter"/>
      <w:lvlText w:val="%1)"/>
      <w:lvlJc w:val="left"/>
      <w:pPr>
        <w:ind w:left="1020" w:hanging="360"/>
      </w:pPr>
    </w:lvl>
    <w:lvl w:ilvl="1" w:tplc="6EB0EAA8">
      <w:start w:val="1"/>
      <w:numFmt w:val="upperLetter"/>
      <w:lvlText w:val="%2)"/>
      <w:lvlJc w:val="left"/>
      <w:pPr>
        <w:ind w:left="1020" w:hanging="360"/>
      </w:pPr>
    </w:lvl>
    <w:lvl w:ilvl="2" w:tplc="BC3CB95E">
      <w:start w:val="1"/>
      <w:numFmt w:val="upperLetter"/>
      <w:lvlText w:val="%3)"/>
      <w:lvlJc w:val="left"/>
      <w:pPr>
        <w:ind w:left="1020" w:hanging="360"/>
      </w:pPr>
    </w:lvl>
    <w:lvl w:ilvl="3" w:tplc="CA046F42">
      <w:start w:val="1"/>
      <w:numFmt w:val="upperLetter"/>
      <w:lvlText w:val="%4)"/>
      <w:lvlJc w:val="left"/>
      <w:pPr>
        <w:ind w:left="1020" w:hanging="360"/>
      </w:pPr>
    </w:lvl>
    <w:lvl w:ilvl="4" w:tplc="C78CFBD0">
      <w:start w:val="1"/>
      <w:numFmt w:val="upperLetter"/>
      <w:lvlText w:val="%5)"/>
      <w:lvlJc w:val="left"/>
      <w:pPr>
        <w:ind w:left="1020" w:hanging="360"/>
      </w:pPr>
    </w:lvl>
    <w:lvl w:ilvl="5" w:tplc="F726FAAA">
      <w:start w:val="1"/>
      <w:numFmt w:val="upperLetter"/>
      <w:lvlText w:val="%6)"/>
      <w:lvlJc w:val="left"/>
      <w:pPr>
        <w:ind w:left="1020" w:hanging="360"/>
      </w:pPr>
    </w:lvl>
    <w:lvl w:ilvl="6" w:tplc="EDCC5A64">
      <w:start w:val="1"/>
      <w:numFmt w:val="upperLetter"/>
      <w:lvlText w:val="%7)"/>
      <w:lvlJc w:val="left"/>
      <w:pPr>
        <w:ind w:left="1020" w:hanging="360"/>
      </w:pPr>
    </w:lvl>
    <w:lvl w:ilvl="7" w:tplc="0D8AB254">
      <w:start w:val="1"/>
      <w:numFmt w:val="upperLetter"/>
      <w:lvlText w:val="%8)"/>
      <w:lvlJc w:val="left"/>
      <w:pPr>
        <w:ind w:left="1020" w:hanging="360"/>
      </w:pPr>
    </w:lvl>
    <w:lvl w:ilvl="8" w:tplc="BF90998A">
      <w:start w:val="1"/>
      <w:numFmt w:val="upperLetter"/>
      <w:lvlText w:val="%9)"/>
      <w:lvlJc w:val="left"/>
      <w:pPr>
        <w:ind w:left="1020" w:hanging="360"/>
      </w:pPr>
    </w:lvl>
  </w:abstractNum>
  <w:abstractNum w:abstractNumId="12"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8"/>
  </w:num>
  <w:num w:numId="2" w16cid:durableId="1355770275">
    <w:abstractNumId w:val="9"/>
  </w:num>
  <w:num w:numId="3" w16cid:durableId="1882862685">
    <w:abstractNumId w:val="3"/>
  </w:num>
  <w:num w:numId="4" w16cid:durableId="36050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6"/>
  </w:num>
  <w:num w:numId="6" w16cid:durableId="1314989398">
    <w:abstractNumId w:val="7"/>
  </w:num>
  <w:num w:numId="7" w16cid:durableId="951480071">
    <w:abstractNumId w:val="5"/>
  </w:num>
  <w:num w:numId="8" w16cid:durableId="844629787">
    <w:abstractNumId w:val="3"/>
    <w:lvlOverride w:ilvl="0">
      <w:lvl w:ilvl="0">
        <w:start w:val="1"/>
        <w:numFmt w:val="decimal"/>
        <w:pStyle w:val="Heading2"/>
        <w:lvlText w:val="%1"/>
        <w:lvlJc w:val="left"/>
        <w:pPr>
          <w:ind w:left="720" w:hanging="720"/>
        </w:pPr>
      </w:lvl>
    </w:lvlOverride>
  </w:num>
  <w:num w:numId="9" w16cid:durableId="1698308952">
    <w:abstractNumId w:val="8"/>
  </w:num>
  <w:num w:numId="10" w16cid:durableId="547035718">
    <w:abstractNumId w:val="9"/>
  </w:num>
  <w:num w:numId="11" w16cid:durableId="1145393031">
    <w:abstractNumId w:val="2"/>
  </w:num>
  <w:num w:numId="12" w16cid:durableId="645671681">
    <w:abstractNumId w:val="10"/>
  </w:num>
  <w:num w:numId="13" w16cid:durableId="274824895">
    <w:abstractNumId w:val="12"/>
  </w:num>
  <w:num w:numId="14" w16cid:durableId="1667321647">
    <w:abstractNumId w:val="4"/>
  </w:num>
  <w:num w:numId="15" w16cid:durableId="1058213522">
    <w:abstractNumId w:val="1"/>
  </w:num>
  <w:num w:numId="16" w16cid:durableId="1436096899">
    <w:abstractNumId w:val="0"/>
  </w:num>
  <w:num w:numId="17" w16cid:durableId="18614271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01"/>
    <w:rsid w:val="00060D0E"/>
    <w:rsid w:val="000A5211"/>
    <w:rsid w:val="000B28A7"/>
    <w:rsid w:val="000C0A11"/>
    <w:rsid w:val="000D6DD8"/>
    <w:rsid w:val="000E297C"/>
    <w:rsid w:val="000E454E"/>
    <w:rsid w:val="000F2742"/>
    <w:rsid w:val="000F5812"/>
    <w:rsid w:val="000F6DB7"/>
    <w:rsid w:val="00100090"/>
    <w:rsid w:val="001063B0"/>
    <w:rsid w:val="00112B86"/>
    <w:rsid w:val="0011367A"/>
    <w:rsid w:val="001235D5"/>
    <w:rsid w:val="001379F2"/>
    <w:rsid w:val="0014230C"/>
    <w:rsid w:val="001567E9"/>
    <w:rsid w:val="00164763"/>
    <w:rsid w:val="00183612"/>
    <w:rsid w:val="00183C8C"/>
    <w:rsid w:val="001855BA"/>
    <w:rsid w:val="00195268"/>
    <w:rsid w:val="00197820"/>
    <w:rsid w:val="001A02B8"/>
    <w:rsid w:val="001A1F79"/>
    <w:rsid w:val="001B1009"/>
    <w:rsid w:val="001C18B3"/>
    <w:rsid w:val="001C3583"/>
    <w:rsid w:val="001C4F7E"/>
    <w:rsid w:val="001C504F"/>
    <w:rsid w:val="001D7086"/>
    <w:rsid w:val="001D77BC"/>
    <w:rsid w:val="001E1C4C"/>
    <w:rsid w:val="00201500"/>
    <w:rsid w:val="002042F4"/>
    <w:rsid w:val="002132F3"/>
    <w:rsid w:val="0021393D"/>
    <w:rsid w:val="002161ED"/>
    <w:rsid w:val="002205FA"/>
    <w:rsid w:val="0025033D"/>
    <w:rsid w:val="002528B2"/>
    <w:rsid w:val="00261ECF"/>
    <w:rsid w:val="00262394"/>
    <w:rsid w:val="00266263"/>
    <w:rsid w:val="00277657"/>
    <w:rsid w:val="00286EE5"/>
    <w:rsid w:val="002A193C"/>
    <w:rsid w:val="002B2034"/>
    <w:rsid w:val="002C1E7C"/>
    <w:rsid w:val="002D2ED2"/>
    <w:rsid w:val="002F7B42"/>
    <w:rsid w:val="003005B7"/>
    <w:rsid w:val="00303631"/>
    <w:rsid w:val="00305911"/>
    <w:rsid w:val="003076B2"/>
    <w:rsid w:val="00316B4F"/>
    <w:rsid w:val="003209D1"/>
    <w:rsid w:val="00335EA4"/>
    <w:rsid w:val="00336D38"/>
    <w:rsid w:val="00340820"/>
    <w:rsid w:val="0034186C"/>
    <w:rsid w:val="00357095"/>
    <w:rsid w:val="00362353"/>
    <w:rsid w:val="00381D23"/>
    <w:rsid w:val="00396339"/>
    <w:rsid w:val="003A226F"/>
    <w:rsid w:val="003A4B4A"/>
    <w:rsid w:val="003B437F"/>
    <w:rsid w:val="003B488B"/>
    <w:rsid w:val="003D2664"/>
    <w:rsid w:val="003D3CE1"/>
    <w:rsid w:val="003D44DC"/>
    <w:rsid w:val="003F0CDE"/>
    <w:rsid w:val="003F1D03"/>
    <w:rsid w:val="003F4134"/>
    <w:rsid w:val="003F704A"/>
    <w:rsid w:val="003F7933"/>
    <w:rsid w:val="00401996"/>
    <w:rsid w:val="00402404"/>
    <w:rsid w:val="0040481F"/>
    <w:rsid w:val="00406AC2"/>
    <w:rsid w:val="004237CF"/>
    <w:rsid w:val="00426911"/>
    <w:rsid w:val="00443429"/>
    <w:rsid w:val="00450693"/>
    <w:rsid w:val="00460750"/>
    <w:rsid w:val="004705F2"/>
    <w:rsid w:val="00473964"/>
    <w:rsid w:val="004837B1"/>
    <w:rsid w:val="0048569E"/>
    <w:rsid w:val="00485AF8"/>
    <w:rsid w:val="00486C20"/>
    <w:rsid w:val="00490E7F"/>
    <w:rsid w:val="00492552"/>
    <w:rsid w:val="004925CB"/>
    <w:rsid w:val="0049317F"/>
    <w:rsid w:val="00497690"/>
    <w:rsid w:val="004A1A4D"/>
    <w:rsid w:val="004A5D64"/>
    <w:rsid w:val="004B6788"/>
    <w:rsid w:val="004C6362"/>
    <w:rsid w:val="004C6C47"/>
    <w:rsid w:val="004E294B"/>
    <w:rsid w:val="0050596A"/>
    <w:rsid w:val="005205FE"/>
    <w:rsid w:val="00553028"/>
    <w:rsid w:val="005537AB"/>
    <w:rsid w:val="00554986"/>
    <w:rsid w:val="00555183"/>
    <w:rsid w:val="00564D0C"/>
    <w:rsid w:val="0059680C"/>
    <w:rsid w:val="005969A0"/>
    <w:rsid w:val="00597DC5"/>
    <w:rsid w:val="005A3DB3"/>
    <w:rsid w:val="005B580E"/>
    <w:rsid w:val="005B613F"/>
    <w:rsid w:val="005D042C"/>
    <w:rsid w:val="005F0E4D"/>
    <w:rsid w:val="005F48F2"/>
    <w:rsid w:val="00611DA7"/>
    <w:rsid w:val="00615ECD"/>
    <w:rsid w:val="00616FDF"/>
    <w:rsid w:val="00624522"/>
    <w:rsid w:val="00634245"/>
    <w:rsid w:val="006352DB"/>
    <w:rsid w:val="006416D4"/>
    <w:rsid w:val="00650BA1"/>
    <w:rsid w:val="00671F61"/>
    <w:rsid w:val="00677035"/>
    <w:rsid w:val="00685563"/>
    <w:rsid w:val="006B119C"/>
    <w:rsid w:val="006B6440"/>
    <w:rsid w:val="006C2742"/>
    <w:rsid w:val="006C6E7F"/>
    <w:rsid w:val="006D5E5A"/>
    <w:rsid w:val="006D65DD"/>
    <w:rsid w:val="0070542C"/>
    <w:rsid w:val="0071147E"/>
    <w:rsid w:val="00715A85"/>
    <w:rsid w:val="00725FE9"/>
    <w:rsid w:val="007405CB"/>
    <w:rsid w:val="007509C5"/>
    <w:rsid w:val="00767272"/>
    <w:rsid w:val="007B1F92"/>
    <w:rsid w:val="007B3597"/>
    <w:rsid w:val="007C503D"/>
    <w:rsid w:val="007C5B94"/>
    <w:rsid w:val="007C64C3"/>
    <w:rsid w:val="007D7120"/>
    <w:rsid w:val="007E0A77"/>
    <w:rsid w:val="00811EA7"/>
    <w:rsid w:val="00814514"/>
    <w:rsid w:val="008153FE"/>
    <w:rsid w:val="0082249A"/>
    <w:rsid w:val="00830839"/>
    <w:rsid w:val="00833933"/>
    <w:rsid w:val="00850DDE"/>
    <w:rsid w:val="00855938"/>
    <w:rsid w:val="00856B5F"/>
    <w:rsid w:val="008748AB"/>
    <w:rsid w:val="0088694D"/>
    <w:rsid w:val="00896E84"/>
    <w:rsid w:val="00897A28"/>
    <w:rsid w:val="008A204B"/>
    <w:rsid w:val="008A3190"/>
    <w:rsid w:val="008A478B"/>
    <w:rsid w:val="008B045D"/>
    <w:rsid w:val="008D1B48"/>
    <w:rsid w:val="008D68CA"/>
    <w:rsid w:val="008F7340"/>
    <w:rsid w:val="00900E99"/>
    <w:rsid w:val="0090774C"/>
    <w:rsid w:val="00911DEA"/>
    <w:rsid w:val="00913AB2"/>
    <w:rsid w:val="00916DD8"/>
    <w:rsid w:val="009306B5"/>
    <w:rsid w:val="009377B5"/>
    <w:rsid w:val="0094168C"/>
    <w:rsid w:val="0095765D"/>
    <w:rsid w:val="009604F3"/>
    <w:rsid w:val="00963684"/>
    <w:rsid w:val="009641DA"/>
    <w:rsid w:val="00964B48"/>
    <w:rsid w:val="009679F4"/>
    <w:rsid w:val="00990993"/>
    <w:rsid w:val="00991227"/>
    <w:rsid w:val="009C33C3"/>
    <w:rsid w:val="009D6BD9"/>
    <w:rsid w:val="009E61FB"/>
    <w:rsid w:val="009F4FAD"/>
    <w:rsid w:val="009F5508"/>
    <w:rsid w:val="00A0092A"/>
    <w:rsid w:val="00A059E6"/>
    <w:rsid w:val="00A13EDA"/>
    <w:rsid w:val="00A26001"/>
    <w:rsid w:val="00A26D23"/>
    <w:rsid w:val="00A51597"/>
    <w:rsid w:val="00A52203"/>
    <w:rsid w:val="00A52CAA"/>
    <w:rsid w:val="00A9002C"/>
    <w:rsid w:val="00A96971"/>
    <w:rsid w:val="00AA04EA"/>
    <w:rsid w:val="00AA072B"/>
    <w:rsid w:val="00AA26D0"/>
    <w:rsid w:val="00AA70E3"/>
    <w:rsid w:val="00AB0FBE"/>
    <w:rsid w:val="00AC06CE"/>
    <w:rsid w:val="00AC2764"/>
    <w:rsid w:val="00AD42FF"/>
    <w:rsid w:val="00AD6B57"/>
    <w:rsid w:val="00AE54C8"/>
    <w:rsid w:val="00AF1EB9"/>
    <w:rsid w:val="00AF5211"/>
    <w:rsid w:val="00B01FB8"/>
    <w:rsid w:val="00B05A29"/>
    <w:rsid w:val="00B06988"/>
    <w:rsid w:val="00B16498"/>
    <w:rsid w:val="00B23D8C"/>
    <w:rsid w:val="00B31041"/>
    <w:rsid w:val="00B314A1"/>
    <w:rsid w:val="00B35721"/>
    <w:rsid w:val="00B42DE8"/>
    <w:rsid w:val="00B43A41"/>
    <w:rsid w:val="00B5453F"/>
    <w:rsid w:val="00B97867"/>
    <w:rsid w:val="00BA0AFF"/>
    <w:rsid w:val="00BA667C"/>
    <w:rsid w:val="00BB2AD1"/>
    <w:rsid w:val="00BB6ACE"/>
    <w:rsid w:val="00BC41EE"/>
    <w:rsid w:val="00BC6BA3"/>
    <w:rsid w:val="00BD06BE"/>
    <w:rsid w:val="00BD0B12"/>
    <w:rsid w:val="00BD0C34"/>
    <w:rsid w:val="00BD2275"/>
    <w:rsid w:val="00BE2564"/>
    <w:rsid w:val="00C00AAC"/>
    <w:rsid w:val="00C05EA8"/>
    <w:rsid w:val="00C06619"/>
    <w:rsid w:val="00C135F5"/>
    <w:rsid w:val="00C2650B"/>
    <w:rsid w:val="00C32721"/>
    <w:rsid w:val="00C32FA5"/>
    <w:rsid w:val="00C41AFB"/>
    <w:rsid w:val="00C42A29"/>
    <w:rsid w:val="00C47AC5"/>
    <w:rsid w:val="00C51E35"/>
    <w:rsid w:val="00C70087"/>
    <w:rsid w:val="00C759F8"/>
    <w:rsid w:val="00C82F81"/>
    <w:rsid w:val="00C84211"/>
    <w:rsid w:val="00CB4299"/>
    <w:rsid w:val="00CC2C4D"/>
    <w:rsid w:val="00CD6DD3"/>
    <w:rsid w:val="00CE2655"/>
    <w:rsid w:val="00CF7FF8"/>
    <w:rsid w:val="00D005B9"/>
    <w:rsid w:val="00D03F87"/>
    <w:rsid w:val="00D06356"/>
    <w:rsid w:val="00D11A8B"/>
    <w:rsid w:val="00D13D2B"/>
    <w:rsid w:val="00D17D3A"/>
    <w:rsid w:val="00D36729"/>
    <w:rsid w:val="00D40802"/>
    <w:rsid w:val="00D44237"/>
    <w:rsid w:val="00D45274"/>
    <w:rsid w:val="00D459E6"/>
    <w:rsid w:val="00D45E0E"/>
    <w:rsid w:val="00D65CDC"/>
    <w:rsid w:val="00D666DC"/>
    <w:rsid w:val="00D71A03"/>
    <w:rsid w:val="00D81112"/>
    <w:rsid w:val="00D912A7"/>
    <w:rsid w:val="00DA0795"/>
    <w:rsid w:val="00DB45A7"/>
    <w:rsid w:val="00DB70AE"/>
    <w:rsid w:val="00DE0863"/>
    <w:rsid w:val="00E05D92"/>
    <w:rsid w:val="00E128E4"/>
    <w:rsid w:val="00E17B06"/>
    <w:rsid w:val="00E22B45"/>
    <w:rsid w:val="00E22D1E"/>
    <w:rsid w:val="00E33D6C"/>
    <w:rsid w:val="00E362EF"/>
    <w:rsid w:val="00E732BE"/>
    <w:rsid w:val="00E779E1"/>
    <w:rsid w:val="00E96006"/>
    <w:rsid w:val="00E96E54"/>
    <w:rsid w:val="00EA139F"/>
    <w:rsid w:val="00EC1325"/>
    <w:rsid w:val="00EC6447"/>
    <w:rsid w:val="00EC79D1"/>
    <w:rsid w:val="00ED5E38"/>
    <w:rsid w:val="00EE289C"/>
    <w:rsid w:val="00EE593D"/>
    <w:rsid w:val="00F12324"/>
    <w:rsid w:val="00F331ED"/>
    <w:rsid w:val="00F35EE8"/>
    <w:rsid w:val="00F54ADE"/>
    <w:rsid w:val="00F568F9"/>
    <w:rsid w:val="00F6525F"/>
    <w:rsid w:val="00F65DFD"/>
    <w:rsid w:val="00F90D42"/>
    <w:rsid w:val="00F95C8A"/>
    <w:rsid w:val="00FA6A85"/>
    <w:rsid w:val="00FB088E"/>
    <w:rsid w:val="00FB4B60"/>
    <w:rsid w:val="00FB6115"/>
    <w:rsid w:val="00FC7419"/>
    <w:rsid w:val="00FD117D"/>
    <w:rsid w:val="00FF4670"/>
    <w:rsid w:val="0CC35883"/>
    <w:rsid w:val="0EA4847A"/>
    <w:rsid w:val="15C29202"/>
    <w:rsid w:val="1CD7C0D9"/>
    <w:rsid w:val="2158771E"/>
    <w:rsid w:val="3C4C7B9C"/>
    <w:rsid w:val="430C450E"/>
    <w:rsid w:val="4C8ED29F"/>
    <w:rsid w:val="4CB0F8C6"/>
    <w:rsid w:val="53B49ADC"/>
    <w:rsid w:val="58C54839"/>
    <w:rsid w:val="5D4254C5"/>
    <w:rsid w:val="62530222"/>
    <w:rsid w:val="6D600073"/>
    <w:rsid w:val="7CA212E1"/>
    <w:rsid w:val="7F8D92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D59D"/>
  <w15:docId w15:val="{D71EA9EB-3993-4D0E-9B0E-26934C9A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1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14"/>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1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numbering" w:customStyle="1" w:styleId="List11">
    <w:name w:val="List11"/>
    <w:basedOn w:val="NoList"/>
    <w:uiPriority w:val="99"/>
    <w:rsid w:val="00A26001"/>
  </w:style>
  <w:style w:type="numbering" w:customStyle="1" w:styleId="Headinglist1">
    <w:name w:val="Heading list1"/>
    <w:uiPriority w:val="99"/>
    <w:rsid w:val="00A26001"/>
  </w:style>
  <w:style w:type="table" w:styleId="TableGrid">
    <w:name w:val="Table Grid"/>
    <w:basedOn w:val="TableNormal"/>
    <w:uiPriority w:val="59"/>
    <w:rsid w:val="00A26001"/>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525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exporters/approved-arrangements" TargetMode="External"/><Relationship Id="rId18" Type="http://schemas.openxmlformats.org/officeDocument/2006/relationships/hyperlink" Target="https://www.agriculture.gov.au/biosecurity-trade/export/controlled-goods/live-animals/livestock/regulating-live-animal-expor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griculture.gov.au/biosecurity-trade/export/controlled-goods/live-animals/livestock/australian-standards-livestock" TargetMode="External"/><Relationship Id="rId7" Type="http://schemas.openxmlformats.org/officeDocument/2006/relationships/settings" Target="settings.xml"/><Relationship Id="rId12" Type="http://schemas.openxmlformats.org/officeDocument/2006/relationships/hyperlink" Target="https://www.agriculture.gov.au/biosecurity-trade/export/controlled-goods/live-animals/livestock/australian-standards-livestock" TargetMode="External"/><Relationship Id="rId17" Type="http://schemas.openxmlformats.org/officeDocument/2006/relationships/hyperlink" Target="https://www.agriculture.gov.au/biosecurity-trade/export/controlled-goods/live-animals/advisory-notic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griculture.gov.au/about/fees/charging-guidelines" TargetMode="External"/><Relationship Id="rId20" Type="http://schemas.openxmlformats.org/officeDocument/2006/relationships/hyperlink" Target="https://www.agriculture.gov.au/biosecurity-trade/export/controlled-goods/live-animals/livestock/exporters/esca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bout/fees/charging-guidelin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griculture.gov.au/biosecurity-trade/export/controlled-goods/live-animals/livestock/australian-standards-livestock" TargetMode="External"/><Relationship Id="rId23" Type="http://schemas.openxmlformats.org/officeDocument/2006/relationships/hyperlink" Target="https://creativecommons.org/licenses/by/4.0/legalcod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griculture.gov.au/biosecurity-trade/export/controlled-goods/live-animals/livestock/regulating-live-animal-expor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export/controlled-goods/live-animals/livestock/exporters/approved-arrangements" TargetMode="External"/><Relationship Id="rId22" Type="http://schemas.openxmlformats.org/officeDocument/2006/relationships/hyperlink" Target="https://www.agriculture.gov.au/biosecurity-trade/export/controlled-goods/live-animals/livestock/regulating-live-animal-export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8" ma:contentTypeDescription="Create a new document." ma:contentTypeScope="" ma:versionID="900b42bfa1e8e9f9efb6fb9c3aa74ba7">
  <xsd:schema xmlns:xsd="http://www.w3.org/2001/XMLSchema" xmlns:xs="http://www.w3.org/2001/XMLSchema" xmlns:p="http://schemas.microsoft.com/office/2006/metadata/properties" xmlns:ns2="6183d753-4e0d-4b8c-8e8c-dbc502d82832" xmlns:ns3="0802b75a-89d5-408b-90bd-96b3a6bc3894" xmlns:ns4="81c01dc6-2c49-4730-b140-874c95cac377" targetNamespace="http://schemas.microsoft.com/office/2006/metadata/properties" ma:root="true" ma:fieldsID="2a46f26c763ec15507e16316a416adcc" ns2:_="" ns3:_="" ns4:_="">
    <xsd:import namespace="6183d753-4e0d-4b8c-8e8c-dbc502d82832"/>
    <xsd:import namespace="0802b75a-89d5-408b-90bd-96b3a6bc389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42535e-02b0-410e-957b-a516542b3f09}" ma:internalName="TaxCatchAll" ma:showField="CatchAllData" ma:web="0802b75a-89d5-408b-90bd-96b3a6bc3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183d753-4e0d-4b8c-8e8c-dbc502d828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38E58DBD-CC97-41E9-8A90-1802911F2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purl.org/dc/dcmitype/"/>
    <ds:schemaRef ds:uri="http://schemas.microsoft.com/office/2006/documentManagement/types"/>
    <ds:schemaRef ds:uri="81c01dc6-2c49-4730-b140-874c95cac377"/>
    <ds:schemaRef ds:uri="http://www.w3.org/XML/1998/namespace"/>
    <ds:schemaRef ds:uri="http://purl.org/dc/terms/"/>
    <ds:schemaRef ds:uri="6183d753-4e0d-4b8c-8e8c-dbc502d82832"/>
    <ds:schemaRef ds:uri="http://schemas.microsoft.com/office/infopath/2007/PartnerControls"/>
    <ds:schemaRef ds:uri="http://purl.org/dc/elements/1.1/"/>
    <ds:schemaRef ds:uri="http://schemas.openxmlformats.org/package/2006/metadata/core-properties"/>
    <ds:schemaRef ds:uri="0802b75a-89d5-408b-90bd-96b3a6bc389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TotalTime>
  <Pages>4</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Contingency plans for livestock consignments to the Middle East</vt:lpstr>
    </vt:vector>
  </TitlesOfParts>
  <Company/>
  <LinksUpToDate>false</LinksUpToDate>
  <CharactersWithSpaces>11162</CharactersWithSpaces>
  <SharedDoc>false</SharedDoc>
  <HLinks>
    <vt:vector size="102" baseType="variant">
      <vt:variant>
        <vt:i4>5373952</vt:i4>
      </vt:variant>
      <vt:variant>
        <vt:i4>48</vt:i4>
      </vt:variant>
      <vt:variant>
        <vt:i4>0</vt:i4>
      </vt:variant>
      <vt:variant>
        <vt:i4>5</vt:i4>
      </vt:variant>
      <vt:variant>
        <vt:lpwstr>https://creativecommons.org/licenses/by/4.0/legalcode</vt:lpwstr>
      </vt:variant>
      <vt:variant>
        <vt:lpwstr/>
      </vt:variant>
      <vt:variant>
        <vt:i4>7143546</vt:i4>
      </vt:variant>
      <vt:variant>
        <vt:i4>45</vt:i4>
      </vt:variant>
      <vt:variant>
        <vt:i4>0</vt:i4>
      </vt:variant>
      <vt:variant>
        <vt:i4>5</vt:i4>
      </vt:variant>
      <vt:variant>
        <vt:lpwstr>https://www.agriculture.gov.au/biosecurity-trade/export/controlled-goods/live-animals/livestock/regulating-live-animal-exports</vt:lpwstr>
      </vt:variant>
      <vt:variant>
        <vt:lpwstr/>
      </vt:variant>
      <vt:variant>
        <vt:i4>5570570</vt:i4>
      </vt:variant>
      <vt:variant>
        <vt:i4>42</vt:i4>
      </vt:variant>
      <vt:variant>
        <vt:i4>0</vt:i4>
      </vt:variant>
      <vt:variant>
        <vt:i4>5</vt:i4>
      </vt:variant>
      <vt:variant>
        <vt:lpwstr>https://www.agriculture.gov.au/biosecurity-trade/export/controlled-goods/live-animals/livestock/australian-standards-livestock</vt:lpwstr>
      </vt:variant>
      <vt:variant>
        <vt:lpwstr>asel-application-types</vt:lpwstr>
      </vt:variant>
      <vt:variant>
        <vt:i4>7471208</vt:i4>
      </vt:variant>
      <vt:variant>
        <vt:i4>39</vt:i4>
      </vt:variant>
      <vt:variant>
        <vt:i4>0</vt:i4>
      </vt:variant>
      <vt:variant>
        <vt:i4>5</vt:i4>
      </vt:variant>
      <vt:variant>
        <vt:lpwstr>https://www.agriculture.gov.au/biosecurity-trade/export/controlled-goods/live-animals/livestock/exporters/escas</vt:lpwstr>
      </vt:variant>
      <vt:variant>
        <vt:lpwstr/>
      </vt:variant>
      <vt:variant>
        <vt:i4>7143546</vt:i4>
      </vt:variant>
      <vt:variant>
        <vt:i4>36</vt:i4>
      </vt:variant>
      <vt:variant>
        <vt:i4>0</vt:i4>
      </vt:variant>
      <vt:variant>
        <vt:i4>5</vt:i4>
      </vt:variant>
      <vt:variant>
        <vt:lpwstr>https://www.agriculture.gov.au/biosecurity-trade/export/controlled-goods/live-animals/livestock/regulating-live-animal-exports</vt:lpwstr>
      </vt:variant>
      <vt:variant>
        <vt:lpwstr/>
      </vt:variant>
      <vt:variant>
        <vt:i4>7143546</vt:i4>
      </vt:variant>
      <vt:variant>
        <vt:i4>33</vt:i4>
      </vt:variant>
      <vt:variant>
        <vt:i4>0</vt:i4>
      </vt:variant>
      <vt:variant>
        <vt:i4>5</vt:i4>
      </vt:variant>
      <vt:variant>
        <vt:lpwstr>https://www.agriculture.gov.au/biosecurity-trade/export/controlled-goods/live-animals/livestock/regulating-live-animal-exports</vt:lpwstr>
      </vt:variant>
      <vt:variant>
        <vt:lpwstr/>
      </vt:variant>
      <vt:variant>
        <vt:i4>8060970</vt:i4>
      </vt:variant>
      <vt:variant>
        <vt:i4>30</vt:i4>
      </vt:variant>
      <vt:variant>
        <vt:i4>0</vt:i4>
      </vt:variant>
      <vt:variant>
        <vt:i4>5</vt:i4>
      </vt:variant>
      <vt:variant>
        <vt:lpwstr>https://www.agriculture.gov.au/biosecurity-trade/export/controlled-goods/live-animals/advisory-notices</vt:lpwstr>
      </vt:variant>
      <vt:variant>
        <vt:lpwstr/>
      </vt:variant>
      <vt:variant>
        <vt:i4>655368</vt:i4>
      </vt:variant>
      <vt:variant>
        <vt:i4>27</vt:i4>
      </vt:variant>
      <vt:variant>
        <vt:i4>0</vt:i4>
      </vt:variant>
      <vt:variant>
        <vt:i4>5</vt:i4>
      </vt:variant>
      <vt:variant>
        <vt:lpwstr>https://www.agriculture.gov.au/about/fees/charging-guidelines</vt:lpwstr>
      </vt:variant>
      <vt:variant>
        <vt:lpwstr/>
      </vt:variant>
      <vt:variant>
        <vt:i4>2293878</vt:i4>
      </vt:variant>
      <vt:variant>
        <vt:i4>24</vt:i4>
      </vt:variant>
      <vt:variant>
        <vt:i4>0</vt:i4>
      </vt:variant>
      <vt:variant>
        <vt:i4>5</vt:i4>
      </vt:variant>
      <vt:variant>
        <vt:lpwstr>https://www.agriculture.gov.au/biosecurity-trade/export/controlled-goods/live-animals/livestock/australian-standards-livestock</vt:lpwstr>
      </vt:variant>
      <vt:variant>
        <vt:lpwstr/>
      </vt:variant>
      <vt:variant>
        <vt:i4>4325449</vt:i4>
      </vt:variant>
      <vt:variant>
        <vt:i4>21</vt:i4>
      </vt:variant>
      <vt:variant>
        <vt:i4>0</vt:i4>
      </vt:variant>
      <vt:variant>
        <vt:i4>5</vt:i4>
      </vt:variant>
      <vt:variant>
        <vt:lpwstr>https://www.agriculture.gov.au/biosecurity-trade/export/controlled-goods/live-animals/livestock/exporters/approved-arrangements</vt:lpwstr>
      </vt:variant>
      <vt:variant>
        <vt:lpwstr>current-guidelines-and-policies</vt:lpwstr>
      </vt:variant>
      <vt:variant>
        <vt:i4>4325449</vt:i4>
      </vt:variant>
      <vt:variant>
        <vt:i4>18</vt:i4>
      </vt:variant>
      <vt:variant>
        <vt:i4>0</vt:i4>
      </vt:variant>
      <vt:variant>
        <vt:i4>5</vt:i4>
      </vt:variant>
      <vt:variant>
        <vt:lpwstr>https://www.agriculture.gov.au/biosecurity-trade/export/controlled-goods/live-animals/livestock/exporters/approved-arrangements</vt:lpwstr>
      </vt:variant>
      <vt:variant>
        <vt:lpwstr>current-guidelines-and-policies</vt:lpwstr>
      </vt:variant>
      <vt:variant>
        <vt:i4>5570570</vt:i4>
      </vt:variant>
      <vt:variant>
        <vt:i4>15</vt:i4>
      </vt:variant>
      <vt:variant>
        <vt:i4>0</vt:i4>
      </vt:variant>
      <vt:variant>
        <vt:i4>5</vt:i4>
      </vt:variant>
      <vt:variant>
        <vt:lpwstr>https://www.agriculture.gov.au/biosecurity-trade/export/controlled-goods/live-animals/livestock/australian-standards-livestock</vt:lpwstr>
      </vt:variant>
      <vt:variant>
        <vt:lpwstr>asel-application-types</vt:lpwstr>
      </vt:variant>
      <vt:variant>
        <vt:i4>983077</vt:i4>
      </vt:variant>
      <vt:variant>
        <vt:i4>12</vt:i4>
      </vt:variant>
      <vt:variant>
        <vt:i4>0</vt:i4>
      </vt:variant>
      <vt:variant>
        <vt:i4>5</vt:i4>
      </vt:variant>
      <vt:variant>
        <vt:lpwstr/>
      </vt:variant>
      <vt:variant>
        <vt:lpwstr>_Alternative_contingency_plan</vt:lpwstr>
      </vt:variant>
      <vt:variant>
        <vt:i4>7209081</vt:i4>
      </vt:variant>
      <vt:variant>
        <vt:i4>9</vt:i4>
      </vt:variant>
      <vt:variant>
        <vt:i4>0</vt:i4>
      </vt:variant>
      <vt:variant>
        <vt:i4>5</vt:i4>
      </vt:variant>
      <vt:variant>
        <vt:lpwstr/>
      </vt:variant>
      <vt:variant>
        <vt:lpwstr>_Contingency_market</vt:lpwstr>
      </vt:variant>
      <vt:variant>
        <vt:i4>7929932</vt:i4>
      </vt:variant>
      <vt:variant>
        <vt:i4>6</vt:i4>
      </vt:variant>
      <vt:variant>
        <vt:i4>0</vt:i4>
      </vt:variant>
      <vt:variant>
        <vt:i4>5</vt:i4>
      </vt:variant>
      <vt:variant>
        <vt:lpwstr/>
      </vt:variant>
      <vt:variant>
        <vt:lpwstr>_Scope</vt:lpwstr>
      </vt:variant>
      <vt:variant>
        <vt:i4>655368</vt:i4>
      </vt:variant>
      <vt:variant>
        <vt:i4>3</vt:i4>
      </vt:variant>
      <vt:variant>
        <vt:i4>0</vt:i4>
      </vt:variant>
      <vt:variant>
        <vt:i4>5</vt:i4>
      </vt:variant>
      <vt:variant>
        <vt:lpwstr>https://www.agriculture.gov.au/about/fees/charging-guidelines</vt:lpwstr>
      </vt:variant>
      <vt:variant>
        <vt:lpwstr/>
      </vt:variant>
      <vt:variant>
        <vt:i4>262156</vt:i4>
      </vt:variant>
      <vt:variant>
        <vt:i4>0</vt:i4>
      </vt:variant>
      <vt:variant>
        <vt:i4>0</vt:i4>
      </vt:variant>
      <vt:variant>
        <vt:i4>5</vt:i4>
      </vt:variant>
      <vt:variant>
        <vt:lpwstr/>
      </vt:variant>
      <vt:variant>
        <vt:lpwstr>_Related_material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Contingency plans for livestock consignments to the Middle East</dc:title>
  <dc:subject/>
  <dc:creator>Department of Agriculture, Fisheries and Forestry</dc:creator>
  <cp:keywords/>
  <dc:description/>
  <cp:revision>2</cp:revision>
  <cp:lastPrinted>2019-02-13T02:42:00Z</cp:lastPrinted>
  <dcterms:created xsi:type="dcterms:W3CDTF">2024-04-02T03:28:00Z</dcterms:created>
  <dcterms:modified xsi:type="dcterms:W3CDTF">2024-04-02T03:28:00Z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_DocHome">
    <vt:i4>986778056</vt:i4>
  </property>
  <property fmtid="{D5CDD505-2E9C-101B-9397-08002B2CF9AE}" pid="4" name="ClassificationContentMarkingHeaderShapeIds">
    <vt:lpwstr>6a0f7db6,3bad43c8,2c58e12</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143a99fe,3b42beda,498ba6a3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2024-03-26T00:48:39Z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d816f7e8-daab-4bc6-b657-08443c91ce6f</vt:lpwstr>
  </property>
  <property fmtid="{D5CDD505-2E9C-101B-9397-08002B2CF9AE}" pid="16" name="MSIP_Label_933d8be6-3c40-4052-87a2-9c2adcba8759_ContentBits">
    <vt:lpwstr>3</vt:lpwstr>
  </property>
  <property fmtid="{D5CDD505-2E9C-101B-9397-08002B2CF9AE}" pid="17" name="MediaServiceImageTags">
    <vt:lpwstr/>
  </property>
</Properties>
</file>