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C0856" w14:textId="77777777" w:rsidR="008164D1" w:rsidRDefault="00D2660A" w:rsidP="0089414D">
      <w:pPr>
        <w:pStyle w:val="Heading1"/>
        <w:spacing w:before="240"/>
      </w:pPr>
      <w:bookmarkStart w:id="0" w:name="_Toc158891095"/>
      <w:bookmarkStart w:id="1" w:name="_Hlk77923587"/>
      <w:bookmarkStart w:id="2" w:name="_Hlk163476834"/>
      <w:bookmarkStart w:id="3" w:name="_Toc168489240"/>
      <w:bookmarkStart w:id="4" w:name="_Toc168489537"/>
      <w:r w:rsidRPr="00E71E2A">
        <w:t>Biosecurity</w:t>
      </w:r>
      <w:r w:rsidR="00E71E2A" w:rsidRPr="00E71E2A">
        <w:t xml:space="preserve"> </w:t>
      </w:r>
      <w:r w:rsidR="006505A3" w:rsidRPr="00E71E2A">
        <w:t>c</w:t>
      </w:r>
      <w:r w:rsidRPr="00E71E2A">
        <w:t>ost</w:t>
      </w:r>
      <w:r w:rsidR="00E71E2A" w:rsidRPr="00E71E2A">
        <w:t xml:space="preserve"> </w:t>
      </w:r>
      <w:r w:rsidR="006505A3" w:rsidRPr="00E71E2A">
        <w:t>r</w:t>
      </w:r>
      <w:r w:rsidRPr="00E71E2A">
        <w:t>ecovery</w:t>
      </w:r>
      <w:r w:rsidR="00E71E2A" w:rsidRPr="00E71E2A">
        <w:t xml:space="preserve"> </w:t>
      </w:r>
      <w:r w:rsidR="006505A3" w:rsidRPr="00E71E2A">
        <w:t>a</w:t>
      </w:r>
      <w:r w:rsidRPr="00E71E2A">
        <w:t>rrangement</w:t>
      </w:r>
      <w:bookmarkStart w:id="5" w:name="_Toc158891096"/>
      <w:bookmarkEnd w:id="0"/>
      <w:r w:rsidR="00A407AA" w:rsidRPr="00E71E2A">
        <w:t xml:space="preserve"> </w:t>
      </w:r>
    </w:p>
    <w:p w14:paraId="229AE650" w14:textId="5EE62593" w:rsidR="005F6364" w:rsidRPr="00E71E2A" w:rsidRDefault="00E945AD" w:rsidP="00E945AD">
      <w:pPr>
        <w:pStyle w:val="Heading3"/>
        <w:numPr>
          <w:ilvl w:val="0"/>
          <w:numId w:val="0"/>
        </w:numPr>
        <w:spacing w:before="180" w:after="220"/>
        <w:ind w:left="964" w:hanging="964"/>
      </w:pPr>
      <w:r>
        <w:t>C</w:t>
      </w:r>
      <w:r w:rsidR="001A7B83" w:rsidRPr="00E71E2A">
        <w:t xml:space="preserve">ost </w:t>
      </w:r>
      <w:r>
        <w:t>R</w:t>
      </w:r>
      <w:r w:rsidR="001A7B83" w:rsidRPr="00E71E2A">
        <w:t xml:space="preserve">ecovery </w:t>
      </w:r>
      <w:r>
        <w:t>I</w:t>
      </w:r>
      <w:r w:rsidR="001A7B83" w:rsidRPr="00E71E2A">
        <w:t>mplementation</w:t>
      </w:r>
      <w:r w:rsidR="003A7044" w:rsidRPr="00E71E2A">
        <w:t xml:space="preserve"> </w:t>
      </w:r>
      <w:r>
        <w:t>S</w:t>
      </w:r>
      <w:r w:rsidR="00BD6580" w:rsidRPr="00E71E2A">
        <w:t xml:space="preserve">tatement: </w:t>
      </w:r>
      <w:bookmarkEnd w:id="1"/>
      <w:r w:rsidR="000C1930" w:rsidRPr="00E71E2A">
        <w:t>2024</w:t>
      </w:r>
      <w:r w:rsidR="004F3857" w:rsidRPr="00E71E2A">
        <w:t>–</w:t>
      </w:r>
      <w:r w:rsidR="000C1930" w:rsidRPr="00E71E2A">
        <w:t>25</w:t>
      </w:r>
      <w:bookmarkEnd w:id="2"/>
      <w:bookmarkEnd w:id="3"/>
      <w:bookmarkEnd w:id="4"/>
      <w:bookmarkEnd w:id="5"/>
    </w:p>
    <w:p w14:paraId="79A7C846" w14:textId="3A0DC033" w:rsidR="00D2660A" w:rsidRPr="00D2660A" w:rsidRDefault="005F6364" w:rsidP="002A4327">
      <w:pPr>
        <w:pStyle w:val="Normalsmall"/>
      </w:pPr>
      <w:r w:rsidRPr="005F6364">
        <w:rPr>
          <w:rFonts w:ascii="Times New Roman" w:eastAsia="Times New Roman" w:hAnsi="Times New Roman" w:cs="Times New Roman"/>
          <w:noProof/>
          <w:sz w:val="24"/>
          <w:szCs w:val="24"/>
          <w:lang w:eastAsia="en-AU"/>
        </w:rPr>
        <w:drawing>
          <wp:inline distT="0" distB="0" distL="0" distR="0" wp14:anchorId="35CA4685" wp14:editId="4EEE68EC">
            <wp:extent cx="5445197" cy="5611495"/>
            <wp:effectExtent l="0" t="0" r="3175" b="8255"/>
            <wp:docPr id="12385679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67989"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5197" cy="5611495"/>
                    </a:xfrm>
                    <a:prstGeom prst="rect">
                      <a:avLst/>
                    </a:prstGeom>
                    <a:noFill/>
                    <a:ln>
                      <a:noFill/>
                    </a:ln>
                  </pic:spPr>
                </pic:pic>
              </a:graphicData>
            </a:graphic>
          </wp:inline>
        </w:drawing>
      </w:r>
      <w:r w:rsidR="00E91D72" w:rsidRPr="00D2660A">
        <w:rPr>
          <w:sz w:val="14"/>
          <w:szCs w:val="14"/>
        </w:rPr>
        <w:br w:type="page"/>
      </w:r>
      <w:r w:rsidR="00D2660A" w:rsidRPr="00CE797C">
        <w:lastRenderedPageBreak/>
        <w:t>© Commonwealth of Australia 202</w:t>
      </w:r>
      <w:r w:rsidR="00537592" w:rsidRPr="00CE797C">
        <w:t>4</w:t>
      </w:r>
    </w:p>
    <w:p w14:paraId="34BB0D0E" w14:textId="77777777" w:rsidR="00D2660A" w:rsidRPr="00D2660A" w:rsidRDefault="00D2660A" w:rsidP="00D2660A">
      <w:pPr>
        <w:pStyle w:val="Normalsmall"/>
        <w:rPr>
          <w:rStyle w:val="Strong"/>
          <w:rFonts w:ascii="Calibri" w:hAnsi="Calibri" w:cs="Calibri"/>
        </w:rPr>
      </w:pPr>
      <w:r w:rsidRPr="00D2660A">
        <w:rPr>
          <w:rStyle w:val="Strong"/>
          <w:rFonts w:ascii="Calibri" w:hAnsi="Calibri" w:cs="Calibri"/>
        </w:rPr>
        <w:t>Ownership of intellectual property rights</w:t>
      </w:r>
    </w:p>
    <w:p w14:paraId="06F0B405" w14:textId="77777777" w:rsidR="00D2660A" w:rsidRPr="00D2660A" w:rsidRDefault="00D2660A" w:rsidP="00D2660A">
      <w:pPr>
        <w:pStyle w:val="Normalsmall"/>
        <w:rPr>
          <w:rFonts w:ascii="Calibri" w:hAnsi="Calibri" w:cs="Calibri"/>
        </w:rPr>
      </w:pPr>
      <w:r w:rsidRPr="00D2660A">
        <w:rPr>
          <w:rFonts w:ascii="Calibri" w:hAnsi="Calibri" w:cs="Calibri"/>
        </w:rPr>
        <w:t>Unless otherwise noted, copyright (and any other intellectual property rights) in this publication is owned by the Commonwealth of Australia (referred to as the Commonwealth).</w:t>
      </w:r>
    </w:p>
    <w:p w14:paraId="5B36E6CD" w14:textId="77777777" w:rsidR="00D2660A" w:rsidRPr="00D2660A" w:rsidRDefault="00D2660A" w:rsidP="00D2660A">
      <w:pPr>
        <w:pStyle w:val="Normalsmall"/>
        <w:rPr>
          <w:rStyle w:val="Strong"/>
          <w:rFonts w:ascii="Calibri" w:hAnsi="Calibri" w:cs="Calibri"/>
        </w:rPr>
      </w:pPr>
      <w:r w:rsidRPr="00D2660A">
        <w:rPr>
          <w:rStyle w:val="Strong"/>
          <w:rFonts w:ascii="Calibri" w:hAnsi="Calibri" w:cs="Calibri"/>
        </w:rPr>
        <w:t>Creative Commons licence</w:t>
      </w:r>
    </w:p>
    <w:p w14:paraId="64412F25" w14:textId="77777777" w:rsidR="00D2660A" w:rsidRPr="00D2660A" w:rsidRDefault="00D2660A" w:rsidP="00D2660A">
      <w:pPr>
        <w:pStyle w:val="Normalsmall"/>
        <w:rPr>
          <w:rFonts w:ascii="Calibri" w:hAnsi="Calibri" w:cs="Calibri"/>
        </w:rPr>
      </w:pPr>
      <w:r w:rsidRPr="00D2660A">
        <w:rPr>
          <w:rFonts w:ascii="Calibri" w:hAnsi="Calibri" w:cs="Calibri"/>
        </w:rPr>
        <w:t xml:space="preserve">All material in this publication is licensed under a </w:t>
      </w:r>
      <w:hyperlink r:id="rId12" w:history="1">
        <w:r w:rsidRPr="00D2660A">
          <w:rPr>
            <w:rStyle w:val="Hyperlink"/>
            <w:rFonts w:ascii="Calibri" w:hAnsi="Calibri" w:cs="Calibri"/>
          </w:rPr>
          <w:t>Creative Commons Attribution 4.0 International Licence</w:t>
        </w:r>
      </w:hyperlink>
      <w:r w:rsidRPr="00D2660A">
        <w:rPr>
          <w:rFonts w:ascii="Calibri" w:hAnsi="Calibri" w:cs="Calibri"/>
        </w:rPr>
        <w:t xml:space="preserve"> except content supplied by third parties, logos and the Commonwealth Coat of Arms.</w:t>
      </w:r>
    </w:p>
    <w:p w14:paraId="33BA9521" w14:textId="77777777" w:rsidR="00D2660A" w:rsidRPr="00D2660A" w:rsidRDefault="00D2660A" w:rsidP="00D2660A">
      <w:pPr>
        <w:pStyle w:val="Normalsmall"/>
        <w:rPr>
          <w:rFonts w:ascii="Calibri" w:hAnsi="Calibri" w:cs="Calibri"/>
        </w:rPr>
      </w:pPr>
      <w:r w:rsidRPr="00D2660A">
        <w:rPr>
          <w:rFonts w:ascii="Calibri" w:hAnsi="Calibri" w:cs="Calibri"/>
          <w:noProof/>
          <w:lang w:eastAsia="en-AU"/>
        </w:rPr>
        <w:drawing>
          <wp:inline distT="0" distB="0" distL="0" distR="0" wp14:anchorId="572C3FD7" wp14:editId="5799F000">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7F7E20A" w14:textId="77777777" w:rsidR="00D2660A" w:rsidRPr="00D2660A" w:rsidRDefault="00D2660A" w:rsidP="00D2660A">
      <w:pPr>
        <w:pStyle w:val="Normalsmall"/>
        <w:rPr>
          <w:rStyle w:val="Strong"/>
          <w:rFonts w:ascii="Calibri" w:hAnsi="Calibri" w:cs="Calibri"/>
        </w:rPr>
      </w:pPr>
      <w:r w:rsidRPr="00D2660A">
        <w:rPr>
          <w:rStyle w:val="Strong"/>
          <w:rFonts w:ascii="Calibri" w:hAnsi="Calibri" w:cs="Calibri"/>
        </w:rPr>
        <w:t>Cataloguing data</w:t>
      </w:r>
    </w:p>
    <w:p w14:paraId="1BA76550" w14:textId="2E1CF02E" w:rsidR="00D2660A" w:rsidRPr="00CE797C" w:rsidRDefault="00D2660A" w:rsidP="00D2660A">
      <w:pPr>
        <w:pStyle w:val="Normalsmall"/>
        <w:rPr>
          <w:rFonts w:ascii="Calibri" w:hAnsi="Calibri" w:cs="Calibri"/>
        </w:rPr>
      </w:pPr>
      <w:r w:rsidRPr="00CE797C">
        <w:rPr>
          <w:rFonts w:ascii="Calibri" w:hAnsi="Calibri" w:cs="Calibri"/>
        </w:rPr>
        <w:t>This publication (and any material sourced from it) should be attributed as: DAFF 202</w:t>
      </w:r>
      <w:r w:rsidR="00771CA2" w:rsidRPr="00CE797C">
        <w:rPr>
          <w:rFonts w:ascii="Calibri" w:hAnsi="Calibri" w:cs="Calibri"/>
        </w:rPr>
        <w:t>4</w:t>
      </w:r>
      <w:r w:rsidRPr="00CE797C">
        <w:rPr>
          <w:rFonts w:ascii="Calibri" w:hAnsi="Calibri" w:cs="Calibri"/>
        </w:rPr>
        <w:t xml:space="preserve">, </w:t>
      </w:r>
      <w:r w:rsidR="006F1BD0" w:rsidRPr="00CE797C">
        <w:rPr>
          <w:rFonts w:ascii="Calibri" w:hAnsi="Calibri" w:cs="Calibri"/>
          <w:i/>
          <w:iCs/>
        </w:rPr>
        <w:t xml:space="preserve">Biosecurity </w:t>
      </w:r>
      <w:r w:rsidR="00A611BB">
        <w:rPr>
          <w:rFonts w:ascii="Calibri" w:hAnsi="Calibri" w:cs="Calibri"/>
          <w:i/>
          <w:iCs/>
        </w:rPr>
        <w:t>c</w:t>
      </w:r>
      <w:r w:rsidR="006F1BD0" w:rsidRPr="00CE797C">
        <w:rPr>
          <w:rFonts w:ascii="Calibri" w:hAnsi="Calibri" w:cs="Calibri"/>
          <w:i/>
          <w:iCs/>
        </w:rPr>
        <w:t xml:space="preserve">ost </w:t>
      </w:r>
      <w:r w:rsidR="00A611BB">
        <w:rPr>
          <w:rFonts w:ascii="Calibri" w:hAnsi="Calibri" w:cs="Calibri"/>
          <w:i/>
          <w:iCs/>
        </w:rPr>
        <w:t>r</w:t>
      </w:r>
      <w:r w:rsidR="006F1BD0" w:rsidRPr="00CE797C">
        <w:rPr>
          <w:rFonts w:ascii="Calibri" w:hAnsi="Calibri" w:cs="Calibri"/>
          <w:i/>
          <w:iCs/>
        </w:rPr>
        <w:t xml:space="preserve">ecovery </w:t>
      </w:r>
      <w:r w:rsidR="00A611BB">
        <w:rPr>
          <w:rFonts w:ascii="Calibri" w:hAnsi="Calibri" w:cs="Calibri"/>
          <w:i/>
          <w:iCs/>
        </w:rPr>
        <w:t>a</w:t>
      </w:r>
      <w:r w:rsidR="006F1BD0" w:rsidRPr="00CE797C">
        <w:rPr>
          <w:rFonts w:ascii="Calibri" w:hAnsi="Calibri" w:cs="Calibri"/>
          <w:i/>
          <w:iCs/>
        </w:rPr>
        <w:t>rrangement</w:t>
      </w:r>
      <w:r w:rsidRPr="00CE797C">
        <w:rPr>
          <w:rFonts w:ascii="Calibri" w:hAnsi="Calibri" w:cs="Calibri"/>
        </w:rPr>
        <w:t xml:space="preserve">, </w:t>
      </w:r>
      <w:r w:rsidR="00A611BB">
        <w:rPr>
          <w:rFonts w:ascii="Calibri" w:hAnsi="Calibri" w:cs="Calibri"/>
          <w:i/>
          <w:iCs/>
        </w:rPr>
        <w:t>c</w:t>
      </w:r>
      <w:r w:rsidR="006F1BD0" w:rsidRPr="00CE797C">
        <w:rPr>
          <w:rFonts w:ascii="Calibri" w:hAnsi="Calibri" w:cs="Calibri"/>
          <w:i/>
          <w:iCs/>
        </w:rPr>
        <w:t xml:space="preserve">ost </w:t>
      </w:r>
      <w:r w:rsidR="00A611BB">
        <w:rPr>
          <w:rFonts w:ascii="Calibri" w:hAnsi="Calibri" w:cs="Calibri"/>
          <w:i/>
          <w:iCs/>
        </w:rPr>
        <w:t>r</w:t>
      </w:r>
      <w:r w:rsidR="006F1BD0" w:rsidRPr="00CE797C">
        <w:rPr>
          <w:rFonts w:ascii="Calibri" w:hAnsi="Calibri" w:cs="Calibri"/>
          <w:i/>
          <w:iCs/>
        </w:rPr>
        <w:t xml:space="preserve">ecovery </w:t>
      </w:r>
      <w:r w:rsidR="00A611BB">
        <w:rPr>
          <w:rFonts w:ascii="Calibri" w:hAnsi="Calibri" w:cs="Calibri"/>
          <w:i/>
          <w:iCs/>
        </w:rPr>
        <w:t>i</w:t>
      </w:r>
      <w:r w:rsidR="006F1BD0" w:rsidRPr="00CE797C">
        <w:rPr>
          <w:rFonts w:ascii="Calibri" w:hAnsi="Calibri" w:cs="Calibri"/>
          <w:i/>
          <w:iCs/>
        </w:rPr>
        <w:t xml:space="preserve">mplementation </w:t>
      </w:r>
      <w:r w:rsidR="00A611BB">
        <w:rPr>
          <w:rFonts w:ascii="Calibri" w:hAnsi="Calibri" w:cs="Calibri"/>
          <w:i/>
          <w:iCs/>
        </w:rPr>
        <w:t>s</w:t>
      </w:r>
      <w:r w:rsidR="006F1BD0" w:rsidRPr="00CE797C">
        <w:rPr>
          <w:rFonts w:ascii="Calibri" w:hAnsi="Calibri" w:cs="Calibri"/>
          <w:i/>
          <w:iCs/>
        </w:rPr>
        <w:t>tatement: 202</w:t>
      </w:r>
      <w:r w:rsidR="00771CA2" w:rsidRPr="00CE797C">
        <w:rPr>
          <w:rFonts w:ascii="Calibri" w:hAnsi="Calibri" w:cs="Calibri"/>
          <w:i/>
          <w:iCs/>
        </w:rPr>
        <w:t>4</w:t>
      </w:r>
      <w:r w:rsidR="006F1BD0" w:rsidRPr="00CE797C">
        <w:rPr>
          <w:rFonts w:ascii="Calibri" w:hAnsi="Calibri" w:cs="Calibri"/>
          <w:i/>
          <w:iCs/>
        </w:rPr>
        <w:t>–2</w:t>
      </w:r>
      <w:r w:rsidR="00771CA2" w:rsidRPr="00CE797C">
        <w:rPr>
          <w:rFonts w:ascii="Calibri" w:hAnsi="Calibri" w:cs="Calibri"/>
          <w:i/>
          <w:iCs/>
        </w:rPr>
        <w:t>5</w:t>
      </w:r>
      <w:r w:rsidR="006F1BD0" w:rsidRPr="00CE797C">
        <w:rPr>
          <w:rFonts w:ascii="Calibri" w:hAnsi="Calibri" w:cs="Calibri"/>
        </w:rPr>
        <w:t xml:space="preserve">, </w:t>
      </w:r>
      <w:r w:rsidRPr="00CE797C">
        <w:rPr>
          <w:rFonts w:ascii="Calibri" w:hAnsi="Calibri" w:cs="Calibri"/>
        </w:rPr>
        <w:t xml:space="preserve">Department of Agriculture, Fisheries and Forestry, Canberra, </w:t>
      </w:r>
      <w:r w:rsidR="00881009" w:rsidRPr="00CE797C">
        <w:rPr>
          <w:rFonts w:ascii="Calibri" w:hAnsi="Calibri" w:cs="Calibri"/>
        </w:rPr>
        <w:t>June</w:t>
      </w:r>
      <w:r w:rsidRPr="00CE797C">
        <w:rPr>
          <w:rFonts w:ascii="Calibri" w:hAnsi="Calibri" w:cs="Calibri"/>
        </w:rPr>
        <w:t>. CC BY 4.0.</w:t>
      </w:r>
    </w:p>
    <w:p w14:paraId="7FE67311" w14:textId="77777777" w:rsidR="00D2660A" w:rsidRPr="00CE797C" w:rsidRDefault="00D2660A" w:rsidP="00D2660A">
      <w:pPr>
        <w:pStyle w:val="Normalsmall"/>
        <w:rPr>
          <w:rFonts w:ascii="Calibri" w:hAnsi="Calibri" w:cs="Calibri"/>
        </w:rPr>
      </w:pPr>
      <w:r w:rsidRPr="00CE797C">
        <w:rPr>
          <w:rFonts w:ascii="Calibri" w:hAnsi="Calibri" w:cs="Calibri"/>
        </w:rPr>
        <w:t xml:space="preserve">This publication is available at </w:t>
      </w:r>
      <w:hyperlink r:id="rId14" w:history="1">
        <w:r w:rsidRPr="00CE797C">
          <w:rPr>
            <w:rStyle w:val="Hyperlink"/>
            <w:rFonts w:ascii="Calibri" w:hAnsi="Calibri" w:cs="Calibri"/>
          </w:rPr>
          <w:t>agriculture.gov.au/publications</w:t>
        </w:r>
      </w:hyperlink>
      <w:r w:rsidRPr="00CE797C">
        <w:rPr>
          <w:rFonts w:ascii="Calibri" w:hAnsi="Calibri" w:cs="Calibri"/>
        </w:rPr>
        <w:t>.</w:t>
      </w:r>
    </w:p>
    <w:p w14:paraId="46D95E8B" w14:textId="77777777" w:rsidR="00D2660A" w:rsidRPr="00CE797C" w:rsidRDefault="00D2660A" w:rsidP="00D2660A">
      <w:pPr>
        <w:pStyle w:val="Normalsmall"/>
        <w:spacing w:after="0"/>
        <w:rPr>
          <w:rFonts w:ascii="Calibri" w:hAnsi="Calibri" w:cs="Calibri"/>
        </w:rPr>
      </w:pPr>
      <w:r w:rsidRPr="00CE797C">
        <w:rPr>
          <w:rFonts w:ascii="Calibri" w:hAnsi="Calibri" w:cs="Calibri"/>
        </w:rPr>
        <w:t>Department of Agriculture, Fisheries and Forestry</w:t>
      </w:r>
    </w:p>
    <w:p w14:paraId="1C0CCEA5" w14:textId="77777777" w:rsidR="00D2660A" w:rsidRPr="00CE797C" w:rsidRDefault="00D2660A" w:rsidP="00D2660A">
      <w:pPr>
        <w:pStyle w:val="Normalsmall"/>
        <w:spacing w:after="0"/>
        <w:rPr>
          <w:rFonts w:ascii="Calibri" w:hAnsi="Calibri" w:cs="Calibri"/>
        </w:rPr>
      </w:pPr>
      <w:r w:rsidRPr="00CE797C">
        <w:rPr>
          <w:rFonts w:ascii="Calibri" w:hAnsi="Calibri" w:cs="Calibri"/>
        </w:rPr>
        <w:t>GPO Box 858 Canberra ACT 2601</w:t>
      </w:r>
    </w:p>
    <w:p w14:paraId="326042BE" w14:textId="77777777" w:rsidR="00D2660A" w:rsidRPr="00CE797C" w:rsidRDefault="00D2660A" w:rsidP="00D2660A">
      <w:pPr>
        <w:pStyle w:val="Normalsmall"/>
        <w:spacing w:after="0"/>
        <w:rPr>
          <w:rFonts w:ascii="Calibri" w:hAnsi="Calibri" w:cs="Calibri"/>
        </w:rPr>
      </w:pPr>
      <w:r w:rsidRPr="00CE797C">
        <w:rPr>
          <w:rFonts w:ascii="Calibri" w:hAnsi="Calibri" w:cs="Calibri"/>
        </w:rPr>
        <w:t>Telephone 1800 900 090</w:t>
      </w:r>
    </w:p>
    <w:p w14:paraId="31ED52B5" w14:textId="77777777" w:rsidR="00D2660A" w:rsidRPr="00CE797C" w:rsidRDefault="00D2660A" w:rsidP="00D2660A">
      <w:pPr>
        <w:pStyle w:val="Normalsmall"/>
        <w:rPr>
          <w:rFonts w:ascii="Calibri" w:hAnsi="Calibri" w:cs="Calibri"/>
        </w:rPr>
      </w:pPr>
      <w:r w:rsidRPr="00CE797C">
        <w:rPr>
          <w:rFonts w:ascii="Calibri" w:hAnsi="Calibri" w:cs="Calibri"/>
        </w:rPr>
        <w:t xml:space="preserve">Web </w:t>
      </w:r>
      <w:hyperlink r:id="rId15" w:history="1">
        <w:r w:rsidRPr="00CE797C">
          <w:rPr>
            <w:rStyle w:val="Hyperlink"/>
            <w:rFonts w:ascii="Calibri" w:hAnsi="Calibri" w:cs="Calibri"/>
          </w:rPr>
          <w:t>agriculture.gov.au</w:t>
        </w:r>
      </w:hyperlink>
    </w:p>
    <w:p w14:paraId="788AC1DE" w14:textId="77777777" w:rsidR="00D2660A" w:rsidRPr="00CE797C" w:rsidRDefault="00D2660A" w:rsidP="00D2660A">
      <w:pPr>
        <w:pStyle w:val="Normalsmall"/>
        <w:rPr>
          <w:rFonts w:ascii="Calibri" w:hAnsi="Calibri" w:cs="Calibri"/>
        </w:rPr>
      </w:pPr>
      <w:r w:rsidRPr="00CE797C">
        <w:rPr>
          <w:rStyle w:val="Strong"/>
          <w:rFonts w:ascii="Calibri" w:hAnsi="Calibri" w:cs="Calibri"/>
        </w:rPr>
        <w:t>Disclaimer</w:t>
      </w:r>
    </w:p>
    <w:p w14:paraId="7E3C52DD" w14:textId="77777777" w:rsidR="00D2660A" w:rsidRPr="00CE797C" w:rsidRDefault="00D2660A" w:rsidP="00450991">
      <w:pPr>
        <w:pStyle w:val="Normalsmall"/>
      </w:pPr>
      <w:r w:rsidRPr="00CE797C">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w:t>
      </w:r>
      <w:proofErr w:type="gramStart"/>
      <w:r w:rsidRPr="00CE797C">
        <w:t>as a result of</w:t>
      </w:r>
      <w:proofErr w:type="gramEnd"/>
      <w:r w:rsidRPr="00CE797C">
        <w:t xml:space="preserve"> accessing, using or relying on any of the information or data in this publication to the maximum extent permitted by law.</w:t>
      </w:r>
    </w:p>
    <w:p w14:paraId="6B43D3CE" w14:textId="77777777" w:rsidR="00D2660A" w:rsidRPr="00D2660A" w:rsidRDefault="00D2660A" w:rsidP="00D2660A">
      <w:pPr>
        <w:pStyle w:val="Normalsmall"/>
        <w:rPr>
          <w:rFonts w:ascii="Calibri" w:hAnsi="Calibri" w:cs="Calibri"/>
        </w:rPr>
      </w:pPr>
      <w:r w:rsidRPr="00CE797C">
        <w:rPr>
          <w:rStyle w:val="Strong"/>
          <w:rFonts w:ascii="Calibri" w:hAnsi="Calibri" w:cs="Calibri"/>
        </w:rPr>
        <w:t>Acknowledgement of Country</w:t>
      </w:r>
    </w:p>
    <w:p w14:paraId="2502A4FD" w14:textId="5D16E59B" w:rsidR="00764D6A" w:rsidRDefault="00D2660A" w:rsidP="00D2660A">
      <w:pPr>
        <w:pStyle w:val="Normalsmall"/>
        <w:rPr>
          <w:rFonts w:ascii="Calibri" w:hAnsi="Calibri" w:cs="Calibri"/>
        </w:rPr>
      </w:pPr>
      <w:r w:rsidRPr="00D2660A">
        <w:rPr>
          <w:rFonts w:ascii="Calibri" w:hAnsi="Calibri" w:cs="Calibri"/>
        </w:rP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40737E7" w14:textId="77777777" w:rsidR="00295D00" w:rsidRDefault="00295D00" w:rsidP="00D2660A">
      <w:pPr>
        <w:pStyle w:val="Normalsmall"/>
        <w:sectPr w:rsidR="00295D00" w:rsidSect="00D81EF4">
          <w:headerReference w:type="even" r:id="rId16"/>
          <w:headerReference w:type="default" r:id="rId17"/>
          <w:footerReference w:type="even" r:id="rId18"/>
          <w:footerReference w:type="default" r:id="rId19"/>
          <w:headerReference w:type="first" r:id="rId20"/>
          <w:pgSz w:w="11906" w:h="16838"/>
          <w:pgMar w:top="1361" w:right="1361" w:bottom="1361" w:left="1361" w:header="567" w:footer="284" w:gutter="0"/>
          <w:pgNumType w:fmt="lowerRoman"/>
          <w:cols w:space="708"/>
          <w:titlePg/>
          <w:docGrid w:linePitch="360"/>
        </w:sectPr>
      </w:pPr>
    </w:p>
    <w:sdt>
      <w:sdtPr>
        <w:rPr>
          <w:rFonts w:asciiTheme="minorHAnsi" w:eastAsiaTheme="minorHAnsi" w:hAnsiTheme="minorHAnsi"/>
          <w:bCs w:val="0"/>
          <w:noProof/>
          <w:color w:val="auto"/>
          <w:sz w:val="22"/>
          <w:szCs w:val="22"/>
          <w:lang w:eastAsia="en-US"/>
        </w:rPr>
        <w:id w:val="-1348406868"/>
        <w:docPartObj>
          <w:docPartGallery w:val="Table of Contents"/>
          <w:docPartUnique/>
        </w:docPartObj>
      </w:sdtPr>
      <w:sdtEndPr>
        <w:rPr>
          <w:rFonts w:ascii="Calibri" w:hAnsi="Calibri"/>
          <w:b/>
        </w:rPr>
      </w:sdtEndPr>
      <w:sdtContent>
        <w:p w14:paraId="518E1D8B" w14:textId="7482C51B" w:rsidR="00FE281E" w:rsidRDefault="00FE281E">
          <w:pPr>
            <w:pStyle w:val="TOCHeading"/>
          </w:pPr>
          <w:r>
            <w:t>Contents</w:t>
          </w:r>
        </w:p>
        <w:p w14:paraId="7C395149" w14:textId="645FD852" w:rsidR="00D81EF4" w:rsidRDefault="006E2BC8">
          <w:pPr>
            <w:pStyle w:val="TOC1"/>
            <w:rPr>
              <w:rFonts w:asciiTheme="minorHAnsi" w:eastAsiaTheme="minorEastAsia" w:hAnsiTheme="minorHAnsi"/>
              <w:kern w:val="2"/>
              <w:sz w:val="24"/>
              <w:szCs w:val="24"/>
              <w:lang w:eastAsia="en-AU"/>
              <w14:ligatures w14:val="standardContextual"/>
            </w:rPr>
          </w:pPr>
          <w:r>
            <w:fldChar w:fldCharType="begin"/>
          </w:r>
          <w:r>
            <w:instrText xml:space="preserve"> TOC \h \z \u \t "Heading 2,1,Heading 3,2,Subtitle,1,TOA Heading,1" </w:instrText>
          </w:r>
          <w:r>
            <w:fldChar w:fldCharType="separate"/>
          </w:r>
          <w:hyperlink w:anchor="_Toc168645236" w:history="1">
            <w:r w:rsidR="00D81EF4" w:rsidRPr="000616F8">
              <w:rPr>
                <w:rStyle w:val="Hyperlink"/>
              </w:rPr>
              <w:t>Introduction</w:t>
            </w:r>
            <w:r w:rsidR="00D81EF4">
              <w:rPr>
                <w:webHidden/>
              </w:rPr>
              <w:tab/>
            </w:r>
            <w:r w:rsidR="00D81EF4">
              <w:rPr>
                <w:webHidden/>
              </w:rPr>
              <w:fldChar w:fldCharType="begin"/>
            </w:r>
            <w:r w:rsidR="00D81EF4">
              <w:rPr>
                <w:webHidden/>
              </w:rPr>
              <w:instrText xml:space="preserve"> PAGEREF _Toc168645236 \h </w:instrText>
            </w:r>
            <w:r w:rsidR="00D81EF4">
              <w:rPr>
                <w:webHidden/>
              </w:rPr>
            </w:r>
            <w:r w:rsidR="00D81EF4">
              <w:rPr>
                <w:webHidden/>
              </w:rPr>
              <w:fldChar w:fldCharType="separate"/>
            </w:r>
            <w:r w:rsidR="006D5EF4">
              <w:rPr>
                <w:webHidden/>
              </w:rPr>
              <w:t>1</w:t>
            </w:r>
            <w:r w:rsidR="00D81EF4">
              <w:rPr>
                <w:webHidden/>
              </w:rPr>
              <w:fldChar w:fldCharType="end"/>
            </w:r>
          </w:hyperlink>
        </w:p>
        <w:p w14:paraId="3DF04765" w14:textId="252FB4C1" w:rsidR="00D81EF4" w:rsidRDefault="005C47B5">
          <w:pPr>
            <w:pStyle w:val="TOC2"/>
            <w:rPr>
              <w:rFonts w:eastAsiaTheme="minorEastAsia"/>
              <w:kern w:val="2"/>
              <w:sz w:val="24"/>
              <w:szCs w:val="24"/>
              <w:lang w:eastAsia="en-AU"/>
              <w14:ligatures w14:val="standardContextual"/>
            </w:rPr>
          </w:pPr>
          <w:hyperlink w:anchor="_Toc168645237" w:history="1">
            <w:r w:rsidR="00D81EF4" w:rsidRPr="000616F8">
              <w:rPr>
                <w:rStyle w:val="Hyperlink"/>
                <w:rFonts w:cstheme="minorHAnsi"/>
                <w:lang w:eastAsia="ja-JP"/>
              </w:rPr>
              <w:t>Purpose</w:t>
            </w:r>
            <w:r w:rsidR="00D81EF4">
              <w:rPr>
                <w:webHidden/>
              </w:rPr>
              <w:tab/>
            </w:r>
            <w:r w:rsidR="00D81EF4">
              <w:rPr>
                <w:webHidden/>
              </w:rPr>
              <w:fldChar w:fldCharType="begin"/>
            </w:r>
            <w:r w:rsidR="00D81EF4">
              <w:rPr>
                <w:webHidden/>
              </w:rPr>
              <w:instrText xml:space="preserve"> PAGEREF _Toc168645237 \h </w:instrText>
            </w:r>
            <w:r w:rsidR="00D81EF4">
              <w:rPr>
                <w:webHidden/>
              </w:rPr>
            </w:r>
            <w:r w:rsidR="00D81EF4">
              <w:rPr>
                <w:webHidden/>
              </w:rPr>
              <w:fldChar w:fldCharType="separate"/>
            </w:r>
            <w:r w:rsidR="006D5EF4">
              <w:rPr>
                <w:webHidden/>
              </w:rPr>
              <w:t>1</w:t>
            </w:r>
            <w:r w:rsidR="00D81EF4">
              <w:rPr>
                <w:webHidden/>
              </w:rPr>
              <w:fldChar w:fldCharType="end"/>
            </w:r>
          </w:hyperlink>
        </w:p>
        <w:p w14:paraId="45EFBA7E" w14:textId="5FC9ABC8" w:rsidR="00D81EF4" w:rsidRDefault="005C47B5">
          <w:pPr>
            <w:pStyle w:val="TOC2"/>
            <w:rPr>
              <w:rFonts w:eastAsiaTheme="minorEastAsia"/>
              <w:kern w:val="2"/>
              <w:sz w:val="24"/>
              <w:szCs w:val="24"/>
              <w:lang w:eastAsia="en-AU"/>
              <w14:ligatures w14:val="standardContextual"/>
            </w:rPr>
          </w:pPr>
          <w:hyperlink w:anchor="_Toc168645238" w:history="1">
            <w:r w:rsidR="00D81EF4" w:rsidRPr="000616F8">
              <w:rPr>
                <w:rStyle w:val="Hyperlink"/>
                <w:rFonts w:cstheme="minorHAnsi"/>
                <w:lang w:eastAsia="ja-JP"/>
              </w:rPr>
              <w:t>Description of the regulatory activity</w:t>
            </w:r>
            <w:r w:rsidR="00D81EF4">
              <w:rPr>
                <w:webHidden/>
              </w:rPr>
              <w:tab/>
            </w:r>
            <w:r w:rsidR="00D81EF4">
              <w:rPr>
                <w:webHidden/>
              </w:rPr>
              <w:fldChar w:fldCharType="begin"/>
            </w:r>
            <w:r w:rsidR="00D81EF4">
              <w:rPr>
                <w:webHidden/>
              </w:rPr>
              <w:instrText xml:space="preserve"> PAGEREF _Toc168645238 \h </w:instrText>
            </w:r>
            <w:r w:rsidR="00D81EF4">
              <w:rPr>
                <w:webHidden/>
              </w:rPr>
            </w:r>
            <w:r w:rsidR="00D81EF4">
              <w:rPr>
                <w:webHidden/>
              </w:rPr>
              <w:fldChar w:fldCharType="separate"/>
            </w:r>
            <w:r w:rsidR="006D5EF4">
              <w:rPr>
                <w:webHidden/>
              </w:rPr>
              <w:t>1</w:t>
            </w:r>
            <w:r w:rsidR="00D81EF4">
              <w:rPr>
                <w:webHidden/>
              </w:rPr>
              <w:fldChar w:fldCharType="end"/>
            </w:r>
          </w:hyperlink>
        </w:p>
        <w:p w14:paraId="18D25495" w14:textId="040E5431" w:rsidR="00D81EF4" w:rsidRDefault="005C47B5">
          <w:pPr>
            <w:pStyle w:val="TOC2"/>
            <w:rPr>
              <w:rFonts w:eastAsiaTheme="minorEastAsia"/>
              <w:kern w:val="2"/>
              <w:sz w:val="24"/>
              <w:szCs w:val="24"/>
              <w:lang w:eastAsia="en-AU"/>
              <w14:ligatures w14:val="standardContextual"/>
            </w:rPr>
          </w:pPr>
          <w:hyperlink w:anchor="_Toc168645239" w:history="1">
            <w:r w:rsidR="00D81EF4" w:rsidRPr="000616F8">
              <w:rPr>
                <w:rStyle w:val="Hyperlink"/>
                <w:rFonts w:cstheme="minorHAnsi"/>
                <w:lang w:eastAsia="ja-JP"/>
              </w:rPr>
              <w:t>Industry and regulatory groups</w:t>
            </w:r>
            <w:r w:rsidR="00D81EF4">
              <w:rPr>
                <w:webHidden/>
              </w:rPr>
              <w:tab/>
            </w:r>
            <w:r w:rsidR="00D81EF4">
              <w:rPr>
                <w:webHidden/>
              </w:rPr>
              <w:fldChar w:fldCharType="begin"/>
            </w:r>
            <w:r w:rsidR="00D81EF4">
              <w:rPr>
                <w:webHidden/>
              </w:rPr>
              <w:instrText xml:space="preserve"> PAGEREF _Toc168645239 \h </w:instrText>
            </w:r>
            <w:r w:rsidR="00D81EF4">
              <w:rPr>
                <w:webHidden/>
              </w:rPr>
            </w:r>
            <w:r w:rsidR="00D81EF4">
              <w:rPr>
                <w:webHidden/>
              </w:rPr>
              <w:fldChar w:fldCharType="separate"/>
            </w:r>
            <w:r w:rsidR="006D5EF4">
              <w:rPr>
                <w:webHidden/>
              </w:rPr>
              <w:t>1</w:t>
            </w:r>
            <w:r w:rsidR="00D81EF4">
              <w:rPr>
                <w:webHidden/>
              </w:rPr>
              <w:fldChar w:fldCharType="end"/>
            </w:r>
          </w:hyperlink>
        </w:p>
        <w:p w14:paraId="5803A5AE" w14:textId="57824847" w:rsidR="00D81EF4" w:rsidRDefault="005C47B5">
          <w:pPr>
            <w:pStyle w:val="TOC2"/>
            <w:rPr>
              <w:rFonts w:eastAsiaTheme="minorEastAsia"/>
              <w:kern w:val="2"/>
              <w:sz w:val="24"/>
              <w:szCs w:val="24"/>
              <w:lang w:eastAsia="en-AU"/>
              <w14:ligatures w14:val="standardContextual"/>
            </w:rPr>
          </w:pPr>
          <w:hyperlink w:anchor="_Toc168645240" w:history="1">
            <w:r w:rsidR="00D81EF4" w:rsidRPr="000616F8">
              <w:rPr>
                <w:rStyle w:val="Hyperlink"/>
                <w:rFonts w:cstheme="minorHAnsi"/>
                <w:lang w:eastAsia="ja-JP"/>
              </w:rPr>
              <w:t>Why cost recovery is appropriate</w:t>
            </w:r>
            <w:r w:rsidR="00D81EF4">
              <w:rPr>
                <w:webHidden/>
              </w:rPr>
              <w:tab/>
            </w:r>
            <w:r w:rsidR="00D81EF4">
              <w:rPr>
                <w:webHidden/>
              </w:rPr>
              <w:fldChar w:fldCharType="begin"/>
            </w:r>
            <w:r w:rsidR="00D81EF4">
              <w:rPr>
                <w:webHidden/>
              </w:rPr>
              <w:instrText xml:space="preserve"> PAGEREF _Toc168645240 \h </w:instrText>
            </w:r>
            <w:r w:rsidR="00D81EF4">
              <w:rPr>
                <w:webHidden/>
              </w:rPr>
            </w:r>
            <w:r w:rsidR="00D81EF4">
              <w:rPr>
                <w:webHidden/>
              </w:rPr>
              <w:fldChar w:fldCharType="separate"/>
            </w:r>
            <w:r w:rsidR="006D5EF4">
              <w:rPr>
                <w:webHidden/>
              </w:rPr>
              <w:t>2</w:t>
            </w:r>
            <w:r w:rsidR="00D81EF4">
              <w:rPr>
                <w:webHidden/>
              </w:rPr>
              <w:fldChar w:fldCharType="end"/>
            </w:r>
          </w:hyperlink>
        </w:p>
        <w:p w14:paraId="1EF7DDFA" w14:textId="0E0F6E1C" w:rsidR="00D81EF4" w:rsidRDefault="005C47B5">
          <w:pPr>
            <w:pStyle w:val="TOC1"/>
            <w:rPr>
              <w:rFonts w:asciiTheme="minorHAnsi" w:eastAsiaTheme="minorEastAsia" w:hAnsiTheme="minorHAnsi"/>
              <w:kern w:val="2"/>
              <w:sz w:val="24"/>
              <w:szCs w:val="24"/>
              <w:lang w:eastAsia="en-AU"/>
              <w14:ligatures w14:val="standardContextual"/>
            </w:rPr>
          </w:pPr>
          <w:hyperlink w:anchor="_Toc168645241" w:history="1">
            <w:r w:rsidR="00D81EF4" w:rsidRPr="000616F8">
              <w:rPr>
                <w:rStyle w:val="Hyperlink"/>
              </w:rPr>
              <w:t>1</w:t>
            </w:r>
            <w:r w:rsidR="00D81EF4">
              <w:rPr>
                <w:rFonts w:asciiTheme="minorHAnsi" w:eastAsiaTheme="minorEastAsia" w:hAnsiTheme="minorHAnsi"/>
                <w:kern w:val="2"/>
                <w:sz w:val="24"/>
                <w:szCs w:val="24"/>
                <w:lang w:eastAsia="en-AU"/>
                <w14:ligatures w14:val="standardContextual"/>
              </w:rPr>
              <w:tab/>
            </w:r>
            <w:r w:rsidR="00D81EF4" w:rsidRPr="000616F8">
              <w:rPr>
                <w:rStyle w:val="Hyperlink"/>
              </w:rPr>
              <w:t>The biosecurity system</w:t>
            </w:r>
            <w:r w:rsidR="00D81EF4">
              <w:rPr>
                <w:webHidden/>
              </w:rPr>
              <w:tab/>
            </w:r>
            <w:r w:rsidR="00D81EF4">
              <w:rPr>
                <w:webHidden/>
              </w:rPr>
              <w:fldChar w:fldCharType="begin"/>
            </w:r>
            <w:r w:rsidR="00D81EF4">
              <w:rPr>
                <w:webHidden/>
              </w:rPr>
              <w:instrText xml:space="preserve"> PAGEREF _Toc168645241 \h </w:instrText>
            </w:r>
            <w:r w:rsidR="00D81EF4">
              <w:rPr>
                <w:webHidden/>
              </w:rPr>
            </w:r>
            <w:r w:rsidR="00D81EF4">
              <w:rPr>
                <w:webHidden/>
              </w:rPr>
              <w:fldChar w:fldCharType="separate"/>
            </w:r>
            <w:r w:rsidR="006D5EF4">
              <w:rPr>
                <w:webHidden/>
              </w:rPr>
              <w:t>3</w:t>
            </w:r>
            <w:r w:rsidR="00D81EF4">
              <w:rPr>
                <w:webHidden/>
              </w:rPr>
              <w:fldChar w:fldCharType="end"/>
            </w:r>
          </w:hyperlink>
        </w:p>
        <w:p w14:paraId="260B8A87" w14:textId="73D672BF" w:rsidR="00D81EF4" w:rsidRDefault="005C47B5">
          <w:pPr>
            <w:pStyle w:val="TOC2"/>
            <w:tabs>
              <w:tab w:val="left" w:pos="1100"/>
            </w:tabs>
            <w:rPr>
              <w:rFonts w:eastAsiaTheme="minorEastAsia"/>
              <w:kern w:val="2"/>
              <w:sz w:val="24"/>
              <w:szCs w:val="24"/>
              <w:lang w:eastAsia="en-AU"/>
              <w14:ligatures w14:val="standardContextual"/>
            </w:rPr>
          </w:pPr>
          <w:hyperlink w:anchor="_Toc168645242" w:history="1">
            <w:r w:rsidR="00D81EF4" w:rsidRPr="000616F8">
              <w:rPr>
                <w:rStyle w:val="Hyperlink"/>
                <w:rFonts w:cstheme="minorHAnsi"/>
              </w:rPr>
              <w:t>1.1</w:t>
            </w:r>
            <w:r w:rsidR="00D81EF4">
              <w:rPr>
                <w:rFonts w:eastAsiaTheme="minorEastAsia"/>
                <w:kern w:val="2"/>
                <w:sz w:val="24"/>
                <w:szCs w:val="24"/>
                <w:lang w:eastAsia="en-AU"/>
                <w14:ligatures w14:val="standardContextual"/>
              </w:rPr>
              <w:tab/>
            </w:r>
            <w:r w:rsidR="00D81EF4" w:rsidRPr="000616F8">
              <w:rPr>
                <w:rStyle w:val="Hyperlink"/>
                <w:rFonts w:cstheme="minorHAnsi"/>
              </w:rPr>
              <w:t>A changing biosecurity system</w:t>
            </w:r>
            <w:r w:rsidR="00D81EF4">
              <w:rPr>
                <w:webHidden/>
              </w:rPr>
              <w:tab/>
            </w:r>
            <w:r w:rsidR="00D81EF4">
              <w:rPr>
                <w:webHidden/>
              </w:rPr>
              <w:fldChar w:fldCharType="begin"/>
            </w:r>
            <w:r w:rsidR="00D81EF4">
              <w:rPr>
                <w:webHidden/>
              </w:rPr>
              <w:instrText xml:space="preserve"> PAGEREF _Toc168645242 \h </w:instrText>
            </w:r>
            <w:r w:rsidR="00D81EF4">
              <w:rPr>
                <w:webHidden/>
              </w:rPr>
            </w:r>
            <w:r w:rsidR="00D81EF4">
              <w:rPr>
                <w:webHidden/>
              </w:rPr>
              <w:fldChar w:fldCharType="separate"/>
            </w:r>
            <w:r w:rsidR="006D5EF4">
              <w:rPr>
                <w:webHidden/>
              </w:rPr>
              <w:t>3</w:t>
            </w:r>
            <w:r w:rsidR="00D81EF4">
              <w:rPr>
                <w:webHidden/>
              </w:rPr>
              <w:fldChar w:fldCharType="end"/>
            </w:r>
          </w:hyperlink>
        </w:p>
        <w:p w14:paraId="23CE1431" w14:textId="7B62B7C2" w:rsidR="00D81EF4" w:rsidRDefault="005C47B5">
          <w:pPr>
            <w:pStyle w:val="TOC1"/>
            <w:rPr>
              <w:rFonts w:asciiTheme="minorHAnsi" w:eastAsiaTheme="minorEastAsia" w:hAnsiTheme="minorHAnsi"/>
              <w:kern w:val="2"/>
              <w:sz w:val="24"/>
              <w:szCs w:val="24"/>
              <w:lang w:eastAsia="en-AU"/>
              <w14:ligatures w14:val="standardContextual"/>
            </w:rPr>
          </w:pPr>
          <w:hyperlink w:anchor="_Toc168645243" w:history="1">
            <w:r w:rsidR="00D81EF4" w:rsidRPr="000616F8">
              <w:rPr>
                <w:rStyle w:val="Hyperlink"/>
                <w:rFonts w:cstheme="minorHAnsi"/>
              </w:rPr>
              <w:t>2</w:t>
            </w:r>
            <w:r w:rsidR="00D81EF4">
              <w:rPr>
                <w:rFonts w:asciiTheme="minorHAnsi" w:eastAsiaTheme="minorEastAsia" w:hAnsiTheme="minorHAnsi"/>
                <w:kern w:val="2"/>
                <w:sz w:val="24"/>
                <w:szCs w:val="24"/>
                <w:lang w:eastAsia="en-AU"/>
                <w14:ligatures w14:val="standardContextual"/>
              </w:rPr>
              <w:tab/>
            </w:r>
            <w:r w:rsidR="00D81EF4" w:rsidRPr="000616F8">
              <w:rPr>
                <w:rStyle w:val="Hyperlink"/>
                <w:rFonts w:cstheme="minorHAnsi"/>
              </w:rPr>
              <w:t>Policy guidance and statutory authority to cost recover</w:t>
            </w:r>
            <w:r w:rsidR="00D81EF4">
              <w:rPr>
                <w:webHidden/>
              </w:rPr>
              <w:tab/>
            </w:r>
            <w:r w:rsidR="00D81EF4">
              <w:rPr>
                <w:webHidden/>
              </w:rPr>
              <w:fldChar w:fldCharType="begin"/>
            </w:r>
            <w:r w:rsidR="00D81EF4">
              <w:rPr>
                <w:webHidden/>
              </w:rPr>
              <w:instrText xml:space="preserve"> PAGEREF _Toc168645243 \h </w:instrText>
            </w:r>
            <w:r w:rsidR="00D81EF4">
              <w:rPr>
                <w:webHidden/>
              </w:rPr>
            </w:r>
            <w:r w:rsidR="00D81EF4">
              <w:rPr>
                <w:webHidden/>
              </w:rPr>
              <w:fldChar w:fldCharType="separate"/>
            </w:r>
            <w:r w:rsidR="006D5EF4">
              <w:rPr>
                <w:webHidden/>
              </w:rPr>
              <w:t>5</w:t>
            </w:r>
            <w:r w:rsidR="00D81EF4">
              <w:rPr>
                <w:webHidden/>
              </w:rPr>
              <w:fldChar w:fldCharType="end"/>
            </w:r>
          </w:hyperlink>
        </w:p>
        <w:p w14:paraId="33E969A7" w14:textId="00EF1273" w:rsidR="00D81EF4" w:rsidRDefault="005C47B5">
          <w:pPr>
            <w:pStyle w:val="TOC2"/>
            <w:tabs>
              <w:tab w:val="left" w:pos="1100"/>
            </w:tabs>
            <w:rPr>
              <w:rFonts w:eastAsiaTheme="minorEastAsia"/>
              <w:kern w:val="2"/>
              <w:sz w:val="24"/>
              <w:szCs w:val="24"/>
              <w:lang w:eastAsia="en-AU"/>
              <w14:ligatures w14:val="standardContextual"/>
            </w:rPr>
          </w:pPr>
          <w:hyperlink w:anchor="_Toc168645244" w:history="1">
            <w:r w:rsidR="00D81EF4" w:rsidRPr="000616F8">
              <w:rPr>
                <w:rStyle w:val="Hyperlink"/>
                <w:rFonts w:cstheme="minorHAnsi"/>
                <w:lang w:eastAsia="ja-JP"/>
              </w:rPr>
              <w:t>2.1</w:t>
            </w:r>
            <w:r w:rsidR="00D81EF4">
              <w:rPr>
                <w:rFonts w:eastAsiaTheme="minorEastAsia"/>
                <w:kern w:val="2"/>
                <w:sz w:val="24"/>
                <w:szCs w:val="24"/>
                <w:lang w:eastAsia="en-AU"/>
                <w14:ligatures w14:val="standardContextual"/>
              </w:rPr>
              <w:tab/>
            </w:r>
            <w:r w:rsidR="00D81EF4" w:rsidRPr="000616F8">
              <w:rPr>
                <w:rStyle w:val="Hyperlink"/>
                <w:rFonts w:cstheme="minorHAnsi"/>
                <w:lang w:eastAsia="ja-JP"/>
              </w:rPr>
              <w:t>Government policy regarding cost recovery for regulation</w:t>
            </w:r>
            <w:r w:rsidR="00D81EF4">
              <w:rPr>
                <w:webHidden/>
              </w:rPr>
              <w:tab/>
            </w:r>
            <w:r w:rsidR="00D81EF4">
              <w:rPr>
                <w:webHidden/>
              </w:rPr>
              <w:fldChar w:fldCharType="begin"/>
            </w:r>
            <w:r w:rsidR="00D81EF4">
              <w:rPr>
                <w:webHidden/>
              </w:rPr>
              <w:instrText xml:space="preserve"> PAGEREF _Toc168645244 \h </w:instrText>
            </w:r>
            <w:r w:rsidR="00D81EF4">
              <w:rPr>
                <w:webHidden/>
              </w:rPr>
            </w:r>
            <w:r w:rsidR="00D81EF4">
              <w:rPr>
                <w:webHidden/>
              </w:rPr>
              <w:fldChar w:fldCharType="separate"/>
            </w:r>
            <w:r w:rsidR="006D5EF4">
              <w:rPr>
                <w:webHidden/>
              </w:rPr>
              <w:t>5</w:t>
            </w:r>
            <w:r w:rsidR="00D81EF4">
              <w:rPr>
                <w:webHidden/>
              </w:rPr>
              <w:fldChar w:fldCharType="end"/>
            </w:r>
          </w:hyperlink>
        </w:p>
        <w:p w14:paraId="1C86FAF2" w14:textId="10D41FC3" w:rsidR="00D81EF4" w:rsidRDefault="005C47B5">
          <w:pPr>
            <w:pStyle w:val="TOC2"/>
            <w:tabs>
              <w:tab w:val="left" w:pos="1100"/>
            </w:tabs>
            <w:rPr>
              <w:rFonts w:eastAsiaTheme="minorEastAsia"/>
              <w:kern w:val="2"/>
              <w:sz w:val="24"/>
              <w:szCs w:val="24"/>
              <w:lang w:eastAsia="en-AU"/>
              <w14:ligatures w14:val="standardContextual"/>
            </w:rPr>
          </w:pPr>
          <w:hyperlink w:anchor="_Toc168645245" w:history="1">
            <w:r w:rsidR="00D81EF4" w:rsidRPr="000616F8">
              <w:rPr>
                <w:rStyle w:val="Hyperlink"/>
                <w:rFonts w:cstheme="minorHAnsi"/>
                <w:lang w:eastAsia="ja-JP"/>
              </w:rPr>
              <w:t>2.2</w:t>
            </w:r>
            <w:r w:rsidR="00D81EF4">
              <w:rPr>
                <w:rFonts w:eastAsiaTheme="minorEastAsia"/>
                <w:kern w:val="2"/>
                <w:sz w:val="24"/>
                <w:szCs w:val="24"/>
                <w:lang w:eastAsia="en-AU"/>
                <w14:ligatures w14:val="standardContextual"/>
              </w:rPr>
              <w:tab/>
            </w:r>
            <w:r w:rsidR="00D81EF4" w:rsidRPr="000616F8">
              <w:rPr>
                <w:rStyle w:val="Hyperlink"/>
                <w:rFonts w:cstheme="minorHAnsi"/>
                <w:lang w:eastAsia="ja-JP"/>
              </w:rPr>
              <w:t>Statutory authority to impose fees and charges (levies)</w:t>
            </w:r>
            <w:r w:rsidR="00D81EF4">
              <w:rPr>
                <w:webHidden/>
              </w:rPr>
              <w:tab/>
            </w:r>
            <w:r w:rsidR="00D81EF4">
              <w:rPr>
                <w:webHidden/>
              </w:rPr>
              <w:fldChar w:fldCharType="begin"/>
            </w:r>
            <w:r w:rsidR="00D81EF4">
              <w:rPr>
                <w:webHidden/>
              </w:rPr>
              <w:instrText xml:space="preserve"> PAGEREF _Toc168645245 \h </w:instrText>
            </w:r>
            <w:r w:rsidR="00D81EF4">
              <w:rPr>
                <w:webHidden/>
              </w:rPr>
            </w:r>
            <w:r w:rsidR="00D81EF4">
              <w:rPr>
                <w:webHidden/>
              </w:rPr>
              <w:fldChar w:fldCharType="separate"/>
            </w:r>
            <w:r w:rsidR="006D5EF4">
              <w:rPr>
                <w:webHidden/>
              </w:rPr>
              <w:t>5</w:t>
            </w:r>
            <w:r w:rsidR="00D81EF4">
              <w:rPr>
                <w:webHidden/>
              </w:rPr>
              <w:fldChar w:fldCharType="end"/>
            </w:r>
          </w:hyperlink>
        </w:p>
        <w:p w14:paraId="0155D023" w14:textId="27D8E4EC" w:rsidR="00D81EF4" w:rsidRDefault="005C47B5">
          <w:pPr>
            <w:pStyle w:val="TOC1"/>
            <w:rPr>
              <w:rFonts w:asciiTheme="minorHAnsi" w:eastAsiaTheme="minorEastAsia" w:hAnsiTheme="minorHAnsi"/>
              <w:kern w:val="2"/>
              <w:sz w:val="24"/>
              <w:szCs w:val="24"/>
              <w:lang w:eastAsia="en-AU"/>
              <w14:ligatures w14:val="standardContextual"/>
            </w:rPr>
          </w:pPr>
          <w:hyperlink w:anchor="_Toc168645246" w:history="1">
            <w:r w:rsidR="00D81EF4" w:rsidRPr="000616F8">
              <w:rPr>
                <w:rStyle w:val="Hyperlink"/>
                <w:rFonts w:cstheme="minorHAnsi"/>
              </w:rPr>
              <w:t>3</w:t>
            </w:r>
            <w:r w:rsidR="00D81EF4">
              <w:rPr>
                <w:rFonts w:asciiTheme="minorHAnsi" w:eastAsiaTheme="minorEastAsia" w:hAnsiTheme="minorHAnsi"/>
                <w:kern w:val="2"/>
                <w:sz w:val="24"/>
                <w:szCs w:val="24"/>
                <w:lang w:eastAsia="en-AU"/>
                <w14:ligatures w14:val="standardContextual"/>
              </w:rPr>
              <w:tab/>
            </w:r>
            <w:r w:rsidR="00D81EF4" w:rsidRPr="000616F8">
              <w:rPr>
                <w:rStyle w:val="Hyperlink"/>
                <w:rFonts w:cstheme="minorHAnsi"/>
              </w:rPr>
              <w:t>Regulatory charging model</w:t>
            </w:r>
            <w:r w:rsidR="00D81EF4">
              <w:rPr>
                <w:webHidden/>
              </w:rPr>
              <w:tab/>
            </w:r>
            <w:r w:rsidR="00D81EF4">
              <w:rPr>
                <w:webHidden/>
              </w:rPr>
              <w:fldChar w:fldCharType="begin"/>
            </w:r>
            <w:r w:rsidR="00D81EF4">
              <w:rPr>
                <w:webHidden/>
              </w:rPr>
              <w:instrText xml:space="preserve"> PAGEREF _Toc168645246 \h </w:instrText>
            </w:r>
            <w:r w:rsidR="00D81EF4">
              <w:rPr>
                <w:webHidden/>
              </w:rPr>
            </w:r>
            <w:r w:rsidR="00D81EF4">
              <w:rPr>
                <w:webHidden/>
              </w:rPr>
              <w:fldChar w:fldCharType="separate"/>
            </w:r>
            <w:r w:rsidR="006D5EF4">
              <w:rPr>
                <w:webHidden/>
              </w:rPr>
              <w:t>7</w:t>
            </w:r>
            <w:r w:rsidR="00D81EF4">
              <w:rPr>
                <w:webHidden/>
              </w:rPr>
              <w:fldChar w:fldCharType="end"/>
            </w:r>
          </w:hyperlink>
        </w:p>
        <w:p w14:paraId="541E875C" w14:textId="281CA756" w:rsidR="00D81EF4" w:rsidRDefault="005C47B5">
          <w:pPr>
            <w:pStyle w:val="TOC2"/>
            <w:tabs>
              <w:tab w:val="left" w:pos="1100"/>
            </w:tabs>
            <w:rPr>
              <w:rFonts w:eastAsiaTheme="minorEastAsia"/>
              <w:kern w:val="2"/>
              <w:sz w:val="24"/>
              <w:szCs w:val="24"/>
              <w:lang w:eastAsia="en-AU"/>
              <w14:ligatures w14:val="standardContextual"/>
            </w:rPr>
          </w:pPr>
          <w:hyperlink w:anchor="_Toc168645247" w:history="1">
            <w:r w:rsidR="00D81EF4" w:rsidRPr="000616F8">
              <w:rPr>
                <w:rStyle w:val="Hyperlink"/>
                <w:rFonts w:cstheme="minorHAnsi"/>
                <w:lang w:eastAsia="ja-JP"/>
              </w:rPr>
              <w:t>3.1</w:t>
            </w:r>
            <w:r w:rsidR="00D81EF4">
              <w:rPr>
                <w:rFonts w:eastAsiaTheme="minorEastAsia"/>
                <w:kern w:val="2"/>
                <w:sz w:val="24"/>
                <w:szCs w:val="24"/>
                <w:lang w:eastAsia="en-AU"/>
                <w14:ligatures w14:val="standardContextual"/>
              </w:rPr>
              <w:tab/>
            </w:r>
            <w:r w:rsidR="00D81EF4" w:rsidRPr="000616F8">
              <w:rPr>
                <w:rStyle w:val="Hyperlink"/>
                <w:rFonts w:cstheme="minorHAnsi"/>
                <w:lang w:eastAsia="ja-JP"/>
              </w:rPr>
              <w:t>Objectives and business processes of regulatory charging</w:t>
            </w:r>
            <w:r w:rsidR="00D81EF4">
              <w:rPr>
                <w:webHidden/>
              </w:rPr>
              <w:tab/>
            </w:r>
            <w:r w:rsidR="00D81EF4">
              <w:rPr>
                <w:webHidden/>
              </w:rPr>
              <w:fldChar w:fldCharType="begin"/>
            </w:r>
            <w:r w:rsidR="00D81EF4">
              <w:rPr>
                <w:webHidden/>
              </w:rPr>
              <w:instrText xml:space="preserve"> PAGEREF _Toc168645247 \h </w:instrText>
            </w:r>
            <w:r w:rsidR="00D81EF4">
              <w:rPr>
                <w:webHidden/>
              </w:rPr>
            </w:r>
            <w:r w:rsidR="00D81EF4">
              <w:rPr>
                <w:webHidden/>
              </w:rPr>
              <w:fldChar w:fldCharType="separate"/>
            </w:r>
            <w:r w:rsidR="006D5EF4">
              <w:rPr>
                <w:webHidden/>
              </w:rPr>
              <w:t>7</w:t>
            </w:r>
            <w:r w:rsidR="00D81EF4">
              <w:rPr>
                <w:webHidden/>
              </w:rPr>
              <w:fldChar w:fldCharType="end"/>
            </w:r>
          </w:hyperlink>
        </w:p>
        <w:p w14:paraId="323BBA8D" w14:textId="0253558D" w:rsidR="00D81EF4" w:rsidRDefault="005C47B5">
          <w:pPr>
            <w:pStyle w:val="TOC2"/>
            <w:tabs>
              <w:tab w:val="left" w:pos="1100"/>
            </w:tabs>
            <w:rPr>
              <w:rFonts w:eastAsiaTheme="minorEastAsia"/>
              <w:kern w:val="2"/>
              <w:sz w:val="24"/>
              <w:szCs w:val="24"/>
              <w:lang w:eastAsia="en-AU"/>
              <w14:ligatures w14:val="standardContextual"/>
            </w:rPr>
          </w:pPr>
          <w:hyperlink w:anchor="_Toc168645248" w:history="1">
            <w:r w:rsidR="00D81EF4" w:rsidRPr="000616F8">
              <w:rPr>
                <w:rStyle w:val="Hyperlink"/>
                <w:rFonts w:cstheme="minorHAnsi"/>
                <w:lang w:eastAsia="ja-JP"/>
              </w:rPr>
              <w:t>3.2</w:t>
            </w:r>
            <w:r w:rsidR="00D81EF4">
              <w:rPr>
                <w:rFonts w:eastAsiaTheme="minorEastAsia"/>
                <w:kern w:val="2"/>
                <w:sz w:val="24"/>
                <w:szCs w:val="24"/>
                <w:lang w:eastAsia="en-AU"/>
                <w14:ligatures w14:val="standardContextual"/>
              </w:rPr>
              <w:tab/>
            </w:r>
            <w:r w:rsidR="00D81EF4" w:rsidRPr="000616F8">
              <w:rPr>
                <w:rStyle w:val="Hyperlink"/>
                <w:rFonts w:cstheme="minorHAnsi"/>
                <w:lang w:eastAsia="ja-JP"/>
              </w:rPr>
              <w:t>Design of regulatory charging</w:t>
            </w:r>
            <w:r w:rsidR="00D81EF4">
              <w:rPr>
                <w:webHidden/>
              </w:rPr>
              <w:tab/>
            </w:r>
            <w:r w:rsidR="00D81EF4">
              <w:rPr>
                <w:webHidden/>
              </w:rPr>
              <w:fldChar w:fldCharType="begin"/>
            </w:r>
            <w:r w:rsidR="00D81EF4">
              <w:rPr>
                <w:webHidden/>
              </w:rPr>
              <w:instrText xml:space="preserve"> PAGEREF _Toc168645248 \h </w:instrText>
            </w:r>
            <w:r w:rsidR="00D81EF4">
              <w:rPr>
                <w:webHidden/>
              </w:rPr>
            </w:r>
            <w:r w:rsidR="00D81EF4">
              <w:rPr>
                <w:webHidden/>
              </w:rPr>
              <w:fldChar w:fldCharType="separate"/>
            </w:r>
            <w:r w:rsidR="006D5EF4">
              <w:rPr>
                <w:webHidden/>
              </w:rPr>
              <w:t>7</w:t>
            </w:r>
            <w:r w:rsidR="00D81EF4">
              <w:rPr>
                <w:webHidden/>
              </w:rPr>
              <w:fldChar w:fldCharType="end"/>
            </w:r>
          </w:hyperlink>
        </w:p>
        <w:p w14:paraId="38708844" w14:textId="3D0A88E1" w:rsidR="00D81EF4" w:rsidRDefault="005C47B5">
          <w:pPr>
            <w:pStyle w:val="TOC2"/>
            <w:tabs>
              <w:tab w:val="left" w:pos="1100"/>
            </w:tabs>
            <w:rPr>
              <w:rFonts w:eastAsiaTheme="minorEastAsia"/>
              <w:kern w:val="2"/>
              <w:sz w:val="24"/>
              <w:szCs w:val="24"/>
              <w:lang w:eastAsia="en-AU"/>
              <w14:ligatures w14:val="standardContextual"/>
            </w:rPr>
          </w:pPr>
          <w:hyperlink w:anchor="_Toc168645249" w:history="1">
            <w:r w:rsidR="00D81EF4" w:rsidRPr="000616F8">
              <w:rPr>
                <w:rStyle w:val="Hyperlink"/>
                <w:rFonts w:cstheme="minorHAnsi"/>
                <w:lang w:eastAsia="ja-JP"/>
              </w:rPr>
              <w:t>3.3</w:t>
            </w:r>
            <w:r w:rsidR="00D81EF4">
              <w:rPr>
                <w:rFonts w:eastAsiaTheme="minorEastAsia"/>
                <w:kern w:val="2"/>
                <w:sz w:val="24"/>
                <w:szCs w:val="24"/>
                <w:lang w:eastAsia="en-AU"/>
                <w14:ligatures w14:val="standardContextual"/>
              </w:rPr>
              <w:tab/>
            </w:r>
            <w:r w:rsidR="00D81EF4" w:rsidRPr="000616F8">
              <w:rPr>
                <w:rStyle w:val="Hyperlink"/>
                <w:rFonts w:cstheme="minorHAnsi"/>
                <w:lang w:eastAsia="ja-JP"/>
              </w:rPr>
              <w:t>Costs of regulatory activity</w:t>
            </w:r>
            <w:r w:rsidR="00D81EF4">
              <w:rPr>
                <w:webHidden/>
              </w:rPr>
              <w:tab/>
            </w:r>
            <w:r w:rsidR="00D81EF4">
              <w:rPr>
                <w:webHidden/>
              </w:rPr>
              <w:fldChar w:fldCharType="begin"/>
            </w:r>
            <w:r w:rsidR="00D81EF4">
              <w:rPr>
                <w:webHidden/>
              </w:rPr>
              <w:instrText xml:space="preserve"> PAGEREF _Toc168645249 \h </w:instrText>
            </w:r>
            <w:r w:rsidR="00D81EF4">
              <w:rPr>
                <w:webHidden/>
              </w:rPr>
            </w:r>
            <w:r w:rsidR="00D81EF4">
              <w:rPr>
                <w:webHidden/>
              </w:rPr>
              <w:fldChar w:fldCharType="separate"/>
            </w:r>
            <w:r w:rsidR="006D5EF4">
              <w:rPr>
                <w:webHidden/>
              </w:rPr>
              <w:t>7</w:t>
            </w:r>
            <w:r w:rsidR="00D81EF4">
              <w:rPr>
                <w:webHidden/>
              </w:rPr>
              <w:fldChar w:fldCharType="end"/>
            </w:r>
          </w:hyperlink>
        </w:p>
        <w:p w14:paraId="502878C3" w14:textId="0F23E13E" w:rsidR="00D81EF4" w:rsidRDefault="005C47B5">
          <w:pPr>
            <w:pStyle w:val="TOC2"/>
            <w:tabs>
              <w:tab w:val="left" w:pos="1100"/>
            </w:tabs>
            <w:rPr>
              <w:rFonts w:eastAsiaTheme="minorEastAsia"/>
              <w:kern w:val="2"/>
              <w:sz w:val="24"/>
              <w:szCs w:val="24"/>
              <w:lang w:eastAsia="en-AU"/>
              <w14:ligatures w14:val="standardContextual"/>
            </w:rPr>
          </w:pPr>
          <w:hyperlink w:anchor="_Toc168645250" w:history="1">
            <w:r w:rsidR="00D81EF4" w:rsidRPr="000616F8">
              <w:rPr>
                <w:rStyle w:val="Hyperlink"/>
                <w:rFonts w:cstheme="minorHAnsi"/>
                <w:lang w:eastAsia="ja-JP"/>
              </w:rPr>
              <w:t>3.4</w:t>
            </w:r>
            <w:r w:rsidR="00D81EF4">
              <w:rPr>
                <w:rFonts w:eastAsiaTheme="minorEastAsia"/>
                <w:kern w:val="2"/>
                <w:sz w:val="24"/>
                <w:szCs w:val="24"/>
                <w:lang w:eastAsia="en-AU"/>
                <w14:ligatures w14:val="standardContextual"/>
              </w:rPr>
              <w:tab/>
            </w:r>
            <w:r w:rsidR="00D81EF4" w:rsidRPr="000616F8">
              <w:rPr>
                <w:rStyle w:val="Hyperlink"/>
                <w:rFonts w:cstheme="minorHAnsi"/>
              </w:rPr>
              <w:t>Cost recovery reserves</w:t>
            </w:r>
            <w:r w:rsidR="00D81EF4">
              <w:rPr>
                <w:webHidden/>
              </w:rPr>
              <w:tab/>
            </w:r>
            <w:r w:rsidR="00D81EF4">
              <w:rPr>
                <w:webHidden/>
              </w:rPr>
              <w:fldChar w:fldCharType="begin"/>
            </w:r>
            <w:r w:rsidR="00D81EF4">
              <w:rPr>
                <w:webHidden/>
              </w:rPr>
              <w:instrText xml:space="preserve"> PAGEREF _Toc168645250 \h </w:instrText>
            </w:r>
            <w:r w:rsidR="00D81EF4">
              <w:rPr>
                <w:webHidden/>
              </w:rPr>
            </w:r>
            <w:r w:rsidR="00D81EF4">
              <w:rPr>
                <w:webHidden/>
              </w:rPr>
              <w:fldChar w:fldCharType="separate"/>
            </w:r>
            <w:r w:rsidR="006D5EF4">
              <w:rPr>
                <w:webHidden/>
              </w:rPr>
              <w:t>11</w:t>
            </w:r>
            <w:r w:rsidR="00D81EF4">
              <w:rPr>
                <w:webHidden/>
              </w:rPr>
              <w:fldChar w:fldCharType="end"/>
            </w:r>
          </w:hyperlink>
        </w:p>
        <w:p w14:paraId="3BADA56F" w14:textId="789BB76A" w:rsidR="00D81EF4" w:rsidRDefault="005C47B5">
          <w:pPr>
            <w:pStyle w:val="TOC2"/>
            <w:tabs>
              <w:tab w:val="left" w:pos="1100"/>
            </w:tabs>
            <w:rPr>
              <w:rFonts w:eastAsiaTheme="minorEastAsia"/>
              <w:kern w:val="2"/>
              <w:sz w:val="24"/>
              <w:szCs w:val="24"/>
              <w:lang w:eastAsia="en-AU"/>
              <w14:ligatures w14:val="standardContextual"/>
            </w:rPr>
          </w:pPr>
          <w:hyperlink w:anchor="_Toc168645251" w:history="1">
            <w:r w:rsidR="00D81EF4" w:rsidRPr="000616F8">
              <w:rPr>
                <w:rStyle w:val="Hyperlink"/>
                <w:rFonts w:cstheme="minorHAnsi"/>
                <w:lang w:eastAsia="ja-JP"/>
              </w:rPr>
              <w:t>3.5</w:t>
            </w:r>
            <w:r w:rsidR="00D81EF4">
              <w:rPr>
                <w:rFonts w:eastAsiaTheme="minorEastAsia"/>
                <w:kern w:val="2"/>
                <w:sz w:val="24"/>
                <w:szCs w:val="24"/>
                <w:lang w:eastAsia="en-AU"/>
                <w14:ligatures w14:val="standardContextual"/>
              </w:rPr>
              <w:tab/>
            </w:r>
            <w:r w:rsidR="00D81EF4" w:rsidRPr="000616F8">
              <w:rPr>
                <w:rStyle w:val="Hyperlink"/>
                <w:rFonts w:cstheme="minorHAnsi"/>
                <w:lang w:eastAsia="ja-JP"/>
              </w:rPr>
              <w:t>Changes to regulatory charging in 2024–25</w:t>
            </w:r>
            <w:r w:rsidR="00D81EF4">
              <w:rPr>
                <w:webHidden/>
              </w:rPr>
              <w:tab/>
            </w:r>
            <w:r w:rsidR="00D81EF4">
              <w:rPr>
                <w:webHidden/>
              </w:rPr>
              <w:fldChar w:fldCharType="begin"/>
            </w:r>
            <w:r w:rsidR="00D81EF4">
              <w:rPr>
                <w:webHidden/>
              </w:rPr>
              <w:instrText xml:space="preserve"> PAGEREF _Toc168645251 \h </w:instrText>
            </w:r>
            <w:r w:rsidR="00D81EF4">
              <w:rPr>
                <w:webHidden/>
              </w:rPr>
            </w:r>
            <w:r w:rsidR="00D81EF4">
              <w:rPr>
                <w:webHidden/>
              </w:rPr>
              <w:fldChar w:fldCharType="separate"/>
            </w:r>
            <w:r w:rsidR="006D5EF4">
              <w:rPr>
                <w:webHidden/>
              </w:rPr>
              <w:t>11</w:t>
            </w:r>
            <w:r w:rsidR="00D81EF4">
              <w:rPr>
                <w:webHidden/>
              </w:rPr>
              <w:fldChar w:fldCharType="end"/>
            </w:r>
          </w:hyperlink>
        </w:p>
        <w:p w14:paraId="0FB06FF0" w14:textId="6DF7B33A" w:rsidR="00D81EF4" w:rsidRDefault="005C47B5">
          <w:pPr>
            <w:pStyle w:val="TOC2"/>
            <w:tabs>
              <w:tab w:val="left" w:pos="1100"/>
            </w:tabs>
            <w:rPr>
              <w:rFonts w:eastAsiaTheme="minorEastAsia"/>
              <w:kern w:val="2"/>
              <w:sz w:val="24"/>
              <w:szCs w:val="24"/>
              <w:lang w:eastAsia="en-AU"/>
              <w14:ligatures w14:val="standardContextual"/>
            </w:rPr>
          </w:pPr>
          <w:hyperlink w:anchor="_Toc168645252" w:history="1">
            <w:r w:rsidR="00D81EF4" w:rsidRPr="000616F8">
              <w:rPr>
                <w:rStyle w:val="Hyperlink"/>
                <w:lang w:eastAsia="ja-JP"/>
              </w:rPr>
              <w:t>3.6</w:t>
            </w:r>
            <w:r w:rsidR="00D81EF4">
              <w:rPr>
                <w:rFonts w:eastAsiaTheme="minorEastAsia"/>
                <w:kern w:val="2"/>
                <w:sz w:val="24"/>
                <w:szCs w:val="24"/>
                <w:lang w:eastAsia="en-AU"/>
                <w14:ligatures w14:val="standardContextual"/>
              </w:rPr>
              <w:tab/>
            </w:r>
            <w:r w:rsidR="00D81EF4" w:rsidRPr="000616F8">
              <w:rPr>
                <w:rStyle w:val="Hyperlink"/>
                <w:lang w:eastAsia="ja-JP"/>
              </w:rPr>
              <w:t>Biosecurity fees and charges (levies)</w:t>
            </w:r>
            <w:r w:rsidR="00D81EF4">
              <w:rPr>
                <w:webHidden/>
              </w:rPr>
              <w:tab/>
            </w:r>
            <w:r w:rsidR="00D81EF4">
              <w:rPr>
                <w:webHidden/>
              </w:rPr>
              <w:fldChar w:fldCharType="begin"/>
            </w:r>
            <w:r w:rsidR="00D81EF4">
              <w:rPr>
                <w:webHidden/>
              </w:rPr>
              <w:instrText xml:space="preserve"> PAGEREF _Toc168645252 \h </w:instrText>
            </w:r>
            <w:r w:rsidR="00D81EF4">
              <w:rPr>
                <w:webHidden/>
              </w:rPr>
            </w:r>
            <w:r w:rsidR="00D81EF4">
              <w:rPr>
                <w:webHidden/>
              </w:rPr>
              <w:fldChar w:fldCharType="separate"/>
            </w:r>
            <w:r w:rsidR="006D5EF4">
              <w:rPr>
                <w:webHidden/>
              </w:rPr>
              <w:t>13</w:t>
            </w:r>
            <w:r w:rsidR="00D81EF4">
              <w:rPr>
                <w:webHidden/>
              </w:rPr>
              <w:fldChar w:fldCharType="end"/>
            </w:r>
          </w:hyperlink>
        </w:p>
        <w:p w14:paraId="7EC31124" w14:textId="6A912D40" w:rsidR="00D81EF4" w:rsidRDefault="005C47B5">
          <w:pPr>
            <w:pStyle w:val="TOC2"/>
            <w:tabs>
              <w:tab w:val="left" w:pos="1100"/>
            </w:tabs>
            <w:rPr>
              <w:rFonts w:eastAsiaTheme="minorEastAsia"/>
              <w:kern w:val="2"/>
              <w:sz w:val="24"/>
              <w:szCs w:val="24"/>
              <w:lang w:eastAsia="en-AU"/>
              <w14:ligatures w14:val="standardContextual"/>
            </w:rPr>
          </w:pPr>
          <w:hyperlink w:anchor="_Toc168645253" w:history="1">
            <w:r w:rsidR="00D81EF4" w:rsidRPr="000616F8">
              <w:rPr>
                <w:rStyle w:val="Hyperlink"/>
                <w:rFonts w:cstheme="minorHAnsi"/>
                <w:lang w:eastAsia="ja-JP"/>
              </w:rPr>
              <w:t>3.7</w:t>
            </w:r>
            <w:r w:rsidR="00D81EF4">
              <w:rPr>
                <w:rFonts w:eastAsiaTheme="minorEastAsia"/>
                <w:kern w:val="2"/>
                <w:sz w:val="24"/>
                <w:szCs w:val="24"/>
                <w:lang w:eastAsia="en-AU"/>
                <w14:ligatures w14:val="standardContextual"/>
              </w:rPr>
              <w:tab/>
            </w:r>
            <w:r w:rsidR="00D81EF4" w:rsidRPr="000616F8">
              <w:rPr>
                <w:rStyle w:val="Hyperlink"/>
                <w:rFonts w:cstheme="minorHAnsi"/>
                <w:lang w:eastAsia="ja-JP"/>
              </w:rPr>
              <w:t>Projected cost base for 2024–25</w:t>
            </w:r>
            <w:r w:rsidR="00D81EF4">
              <w:rPr>
                <w:webHidden/>
              </w:rPr>
              <w:tab/>
            </w:r>
            <w:r w:rsidR="00D81EF4">
              <w:rPr>
                <w:webHidden/>
              </w:rPr>
              <w:fldChar w:fldCharType="begin"/>
            </w:r>
            <w:r w:rsidR="00D81EF4">
              <w:rPr>
                <w:webHidden/>
              </w:rPr>
              <w:instrText xml:space="preserve"> PAGEREF _Toc168645253 \h </w:instrText>
            </w:r>
            <w:r w:rsidR="00D81EF4">
              <w:rPr>
                <w:webHidden/>
              </w:rPr>
            </w:r>
            <w:r w:rsidR="00D81EF4">
              <w:rPr>
                <w:webHidden/>
              </w:rPr>
              <w:fldChar w:fldCharType="separate"/>
            </w:r>
            <w:r w:rsidR="006D5EF4">
              <w:rPr>
                <w:webHidden/>
              </w:rPr>
              <w:t>16</w:t>
            </w:r>
            <w:r w:rsidR="00D81EF4">
              <w:rPr>
                <w:webHidden/>
              </w:rPr>
              <w:fldChar w:fldCharType="end"/>
            </w:r>
          </w:hyperlink>
        </w:p>
        <w:p w14:paraId="1C7592CF" w14:textId="38181927" w:rsidR="00D81EF4" w:rsidRDefault="005C47B5">
          <w:pPr>
            <w:pStyle w:val="TOC1"/>
            <w:rPr>
              <w:rFonts w:asciiTheme="minorHAnsi" w:eastAsiaTheme="minorEastAsia" w:hAnsiTheme="minorHAnsi"/>
              <w:kern w:val="2"/>
              <w:sz w:val="24"/>
              <w:szCs w:val="24"/>
              <w:lang w:eastAsia="en-AU"/>
              <w14:ligatures w14:val="standardContextual"/>
            </w:rPr>
          </w:pPr>
          <w:hyperlink w:anchor="_Toc168645254" w:history="1">
            <w:r w:rsidR="00D81EF4" w:rsidRPr="000616F8">
              <w:rPr>
                <w:rStyle w:val="Hyperlink"/>
                <w:rFonts w:cstheme="minorHAnsi"/>
              </w:rPr>
              <w:t>4</w:t>
            </w:r>
            <w:r w:rsidR="00D81EF4">
              <w:rPr>
                <w:rFonts w:asciiTheme="minorHAnsi" w:eastAsiaTheme="minorEastAsia" w:hAnsiTheme="minorHAnsi"/>
                <w:kern w:val="2"/>
                <w:sz w:val="24"/>
                <w:szCs w:val="24"/>
                <w:lang w:eastAsia="en-AU"/>
                <w14:ligatures w14:val="standardContextual"/>
              </w:rPr>
              <w:tab/>
            </w:r>
            <w:r w:rsidR="00D81EF4" w:rsidRPr="000616F8">
              <w:rPr>
                <w:rStyle w:val="Hyperlink"/>
                <w:rFonts w:cstheme="minorHAnsi"/>
              </w:rPr>
              <w:t>Risk assessment</w:t>
            </w:r>
            <w:r w:rsidR="00D81EF4">
              <w:rPr>
                <w:webHidden/>
              </w:rPr>
              <w:tab/>
            </w:r>
            <w:r w:rsidR="00D81EF4">
              <w:rPr>
                <w:webHidden/>
              </w:rPr>
              <w:fldChar w:fldCharType="begin"/>
            </w:r>
            <w:r w:rsidR="00D81EF4">
              <w:rPr>
                <w:webHidden/>
              </w:rPr>
              <w:instrText xml:space="preserve"> PAGEREF _Toc168645254 \h </w:instrText>
            </w:r>
            <w:r w:rsidR="00D81EF4">
              <w:rPr>
                <w:webHidden/>
              </w:rPr>
            </w:r>
            <w:r w:rsidR="00D81EF4">
              <w:rPr>
                <w:webHidden/>
              </w:rPr>
              <w:fldChar w:fldCharType="separate"/>
            </w:r>
            <w:r w:rsidR="006D5EF4">
              <w:rPr>
                <w:webHidden/>
              </w:rPr>
              <w:t>18</w:t>
            </w:r>
            <w:r w:rsidR="00D81EF4">
              <w:rPr>
                <w:webHidden/>
              </w:rPr>
              <w:fldChar w:fldCharType="end"/>
            </w:r>
          </w:hyperlink>
        </w:p>
        <w:p w14:paraId="658DC512" w14:textId="31FDDC69" w:rsidR="00D81EF4" w:rsidRDefault="005C47B5">
          <w:pPr>
            <w:pStyle w:val="TOC1"/>
            <w:rPr>
              <w:rFonts w:asciiTheme="minorHAnsi" w:eastAsiaTheme="minorEastAsia" w:hAnsiTheme="minorHAnsi"/>
              <w:kern w:val="2"/>
              <w:sz w:val="24"/>
              <w:szCs w:val="24"/>
              <w:lang w:eastAsia="en-AU"/>
              <w14:ligatures w14:val="standardContextual"/>
            </w:rPr>
          </w:pPr>
          <w:hyperlink w:anchor="_Toc168645255" w:history="1">
            <w:r w:rsidR="00D81EF4" w:rsidRPr="000616F8">
              <w:rPr>
                <w:rStyle w:val="Hyperlink"/>
                <w:rFonts w:cstheme="minorHAnsi"/>
              </w:rPr>
              <w:t>5</w:t>
            </w:r>
            <w:r w:rsidR="00D81EF4">
              <w:rPr>
                <w:rFonts w:asciiTheme="minorHAnsi" w:eastAsiaTheme="minorEastAsia" w:hAnsiTheme="minorHAnsi"/>
                <w:kern w:val="2"/>
                <w:sz w:val="24"/>
                <w:szCs w:val="24"/>
                <w:lang w:eastAsia="en-AU"/>
                <w14:ligatures w14:val="standardContextual"/>
              </w:rPr>
              <w:tab/>
            </w:r>
            <w:r w:rsidR="00D81EF4" w:rsidRPr="000616F8">
              <w:rPr>
                <w:rStyle w:val="Hyperlink"/>
                <w:rFonts w:cstheme="minorHAnsi"/>
              </w:rPr>
              <w:t>Stakeholder engagement</w:t>
            </w:r>
            <w:r w:rsidR="00D81EF4">
              <w:rPr>
                <w:webHidden/>
              </w:rPr>
              <w:tab/>
            </w:r>
            <w:r w:rsidR="00D81EF4">
              <w:rPr>
                <w:webHidden/>
              </w:rPr>
              <w:fldChar w:fldCharType="begin"/>
            </w:r>
            <w:r w:rsidR="00D81EF4">
              <w:rPr>
                <w:webHidden/>
              </w:rPr>
              <w:instrText xml:space="preserve"> PAGEREF _Toc168645255 \h </w:instrText>
            </w:r>
            <w:r w:rsidR="00D81EF4">
              <w:rPr>
                <w:webHidden/>
              </w:rPr>
            </w:r>
            <w:r w:rsidR="00D81EF4">
              <w:rPr>
                <w:webHidden/>
              </w:rPr>
              <w:fldChar w:fldCharType="separate"/>
            </w:r>
            <w:r w:rsidR="006D5EF4">
              <w:rPr>
                <w:webHidden/>
              </w:rPr>
              <w:t>19</w:t>
            </w:r>
            <w:r w:rsidR="00D81EF4">
              <w:rPr>
                <w:webHidden/>
              </w:rPr>
              <w:fldChar w:fldCharType="end"/>
            </w:r>
          </w:hyperlink>
        </w:p>
        <w:p w14:paraId="0ACE3462" w14:textId="012BA0D6" w:rsidR="00D81EF4" w:rsidRDefault="005C47B5">
          <w:pPr>
            <w:pStyle w:val="TOC2"/>
            <w:tabs>
              <w:tab w:val="left" w:pos="1100"/>
            </w:tabs>
            <w:rPr>
              <w:rFonts w:eastAsiaTheme="minorEastAsia"/>
              <w:kern w:val="2"/>
              <w:sz w:val="24"/>
              <w:szCs w:val="24"/>
              <w:lang w:eastAsia="en-AU"/>
              <w14:ligatures w14:val="standardContextual"/>
            </w:rPr>
          </w:pPr>
          <w:hyperlink w:anchor="_Toc168645256" w:history="1">
            <w:r w:rsidR="00D81EF4" w:rsidRPr="000616F8">
              <w:rPr>
                <w:rStyle w:val="Hyperlink"/>
                <w:rFonts w:cstheme="minorHAnsi"/>
                <w:lang w:eastAsia="ja-JP"/>
              </w:rPr>
              <w:t>5.1</w:t>
            </w:r>
            <w:r w:rsidR="00D81EF4">
              <w:rPr>
                <w:rFonts w:eastAsiaTheme="minorEastAsia"/>
                <w:kern w:val="2"/>
                <w:sz w:val="24"/>
                <w:szCs w:val="24"/>
                <w:lang w:eastAsia="en-AU"/>
                <w14:ligatures w14:val="standardContextual"/>
              </w:rPr>
              <w:tab/>
            </w:r>
            <w:r w:rsidR="00D81EF4" w:rsidRPr="000616F8">
              <w:rPr>
                <w:rStyle w:val="Hyperlink"/>
                <w:rFonts w:cstheme="minorHAnsi"/>
                <w:lang w:eastAsia="ja-JP"/>
              </w:rPr>
              <w:t>Industry engagement</w:t>
            </w:r>
            <w:r w:rsidR="00D81EF4">
              <w:rPr>
                <w:webHidden/>
              </w:rPr>
              <w:tab/>
            </w:r>
            <w:r w:rsidR="00D81EF4">
              <w:rPr>
                <w:webHidden/>
              </w:rPr>
              <w:fldChar w:fldCharType="begin"/>
            </w:r>
            <w:r w:rsidR="00D81EF4">
              <w:rPr>
                <w:webHidden/>
              </w:rPr>
              <w:instrText xml:space="preserve"> PAGEREF _Toc168645256 \h </w:instrText>
            </w:r>
            <w:r w:rsidR="00D81EF4">
              <w:rPr>
                <w:webHidden/>
              </w:rPr>
            </w:r>
            <w:r w:rsidR="00D81EF4">
              <w:rPr>
                <w:webHidden/>
              </w:rPr>
              <w:fldChar w:fldCharType="separate"/>
            </w:r>
            <w:r w:rsidR="006D5EF4">
              <w:rPr>
                <w:webHidden/>
              </w:rPr>
              <w:t>19</w:t>
            </w:r>
            <w:r w:rsidR="00D81EF4">
              <w:rPr>
                <w:webHidden/>
              </w:rPr>
              <w:fldChar w:fldCharType="end"/>
            </w:r>
          </w:hyperlink>
        </w:p>
        <w:p w14:paraId="23BC5C36" w14:textId="20B51E7C" w:rsidR="00D81EF4" w:rsidRDefault="005C47B5">
          <w:pPr>
            <w:pStyle w:val="TOC2"/>
            <w:tabs>
              <w:tab w:val="left" w:pos="1100"/>
            </w:tabs>
            <w:rPr>
              <w:rFonts w:eastAsiaTheme="minorEastAsia"/>
              <w:kern w:val="2"/>
              <w:sz w:val="24"/>
              <w:szCs w:val="24"/>
              <w:lang w:eastAsia="en-AU"/>
              <w14:ligatures w14:val="standardContextual"/>
            </w:rPr>
          </w:pPr>
          <w:hyperlink w:anchor="_Toc168645257" w:history="1">
            <w:r w:rsidR="00D81EF4" w:rsidRPr="000616F8">
              <w:rPr>
                <w:rStyle w:val="Hyperlink"/>
                <w:rFonts w:cstheme="minorHAnsi"/>
                <w:lang w:eastAsia="ja-JP"/>
              </w:rPr>
              <w:t>5.2</w:t>
            </w:r>
            <w:r w:rsidR="00D81EF4">
              <w:rPr>
                <w:rFonts w:eastAsiaTheme="minorEastAsia"/>
                <w:kern w:val="2"/>
                <w:sz w:val="24"/>
                <w:szCs w:val="24"/>
                <w:lang w:eastAsia="en-AU"/>
                <w14:ligatures w14:val="standardContextual"/>
              </w:rPr>
              <w:tab/>
            </w:r>
            <w:r w:rsidR="00D81EF4" w:rsidRPr="000616F8">
              <w:rPr>
                <w:rStyle w:val="Hyperlink"/>
                <w:rFonts w:cstheme="minorHAnsi"/>
                <w:lang w:eastAsia="ja-JP"/>
              </w:rPr>
              <w:t>Ongoing engagement strategy</w:t>
            </w:r>
            <w:r w:rsidR="00D81EF4">
              <w:rPr>
                <w:webHidden/>
              </w:rPr>
              <w:tab/>
            </w:r>
            <w:r w:rsidR="00D81EF4">
              <w:rPr>
                <w:webHidden/>
              </w:rPr>
              <w:fldChar w:fldCharType="begin"/>
            </w:r>
            <w:r w:rsidR="00D81EF4">
              <w:rPr>
                <w:webHidden/>
              </w:rPr>
              <w:instrText xml:space="preserve"> PAGEREF _Toc168645257 \h </w:instrText>
            </w:r>
            <w:r w:rsidR="00D81EF4">
              <w:rPr>
                <w:webHidden/>
              </w:rPr>
            </w:r>
            <w:r w:rsidR="00D81EF4">
              <w:rPr>
                <w:webHidden/>
              </w:rPr>
              <w:fldChar w:fldCharType="separate"/>
            </w:r>
            <w:r w:rsidR="006D5EF4">
              <w:rPr>
                <w:webHidden/>
              </w:rPr>
              <w:t>19</w:t>
            </w:r>
            <w:r w:rsidR="00D81EF4">
              <w:rPr>
                <w:webHidden/>
              </w:rPr>
              <w:fldChar w:fldCharType="end"/>
            </w:r>
          </w:hyperlink>
        </w:p>
        <w:p w14:paraId="0C2A3779" w14:textId="62AC4838" w:rsidR="00D81EF4" w:rsidRDefault="005C47B5">
          <w:pPr>
            <w:pStyle w:val="TOC1"/>
            <w:rPr>
              <w:rFonts w:asciiTheme="minorHAnsi" w:eastAsiaTheme="minorEastAsia" w:hAnsiTheme="minorHAnsi"/>
              <w:kern w:val="2"/>
              <w:sz w:val="24"/>
              <w:szCs w:val="24"/>
              <w:lang w:eastAsia="en-AU"/>
              <w14:ligatures w14:val="standardContextual"/>
            </w:rPr>
          </w:pPr>
          <w:hyperlink w:anchor="_Toc168645258" w:history="1">
            <w:r w:rsidR="00D81EF4" w:rsidRPr="000616F8">
              <w:rPr>
                <w:rStyle w:val="Hyperlink"/>
                <w:rFonts w:cstheme="minorHAnsi"/>
              </w:rPr>
              <w:t>6</w:t>
            </w:r>
            <w:r w:rsidR="00D81EF4">
              <w:rPr>
                <w:rFonts w:asciiTheme="minorHAnsi" w:eastAsiaTheme="minorEastAsia" w:hAnsiTheme="minorHAnsi"/>
                <w:kern w:val="2"/>
                <w:sz w:val="24"/>
                <w:szCs w:val="24"/>
                <w:lang w:eastAsia="en-AU"/>
                <w14:ligatures w14:val="standardContextual"/>
              </w:rPr>
              <w:tab/>
            </w:r>
            <w:r w:rsidR="00D81EF4" w:rsidRPr="000616F8">
              <w:rPr>
                <w:rStyle w:val="Hyperlink"/>
                <w:rFonts w:cstheme="minorHAnsi"/>
              </w:rPr>
              <w:t>Financial estimates</w:t>
            </w:r>
            <w:r w:rsidR="00D81EF4">
              <w:rPr>
                <w:webHidden/>
              </w:rPr>
              <w:tab/>
            </w:r>
            <w:r w:rsidR="00D81EF4">
              <w:rPr>
                <w:webHidden/>
              </w:rPr>
              <w:fldChar w:fldCharType="begin"/>
            </w:r>
            <w:r w:rsidR="00D81EF4">
              <w:rPr>
                <w:webHidden/>
              </w:rPr>
              <w:instrText xml:space="preserve"> PAGEREF _Toc168645258 \h </w:instrText>
            </w:r>
            <w:r w:rsidR="00D81EF4">
              <w:rPr>
                <w:webHidden/>
              </w:rPr>
            </w:r>
            <w:r w:rsidR="00D81EF4">
              <w:rPr>
                <w:webHidden/>
              </w:rPr>
              <w:fldChar w:fldCharType="separate"/>
            </w:r>
            <w:r w:rsidR="006D5EF4">
              <w:rPr>
                <w:webHidden/>
              </w:rPr>
              <w:t>20</w:t>
            </w:r>
            <w:r w:rsidR="00D81EF4">
              <w:rPr>
                <w:webHidden/>
              </w:rPr>
              <w:fldChar w:fldCharType="end"/>
            </w:r>
          </w:hyperlink>
        </w:p>
        <w:p w14:paraId="4A9EC4BE" w14:textId="0026144E" w:rsidR="00D81EF4" w:rsidRDefault="005C47B5">
          <w:pPr>
            <w:pStyle w:val="TOC2"/>
            <w:tabs>
              <w:tab w:val="left" w:pos="1100"/>
            </w:tabs>
            <w:rPr>
              <w:rFonts w:eastAsiaTheme="minorEastAsia"/>
              <w:kern w:val="2"/>
              <w:sz w:val="24"/>
              <w:szCs w:val="24"/>
              <w:lang w:eastAsia="en-AU"/>
              <w14:ligatures w14:val="standardContextual"/>
            </w:rPr>
          </w:pPr>
          <w:hyperlink w:anchor="_Toc168645259" w:history="1">
            <w:r w:rsidR="00D81EF4" w:rsidRPr="000616F8">
              <w:rPr>
                <w:rStyle w:val="Hyperlink"/>
                <w:rFonts w:cstheme="minorHAnsi"/>
                <w:lang w:eastAsia="ja-JP"/>
              </w:rPr>
              <w:t>6.1</w:t>
            </w:r>
            <w:r w:rsidR="00D81EF4">
              <w:rPr>
                <w:rFonts w:eastAsiaTheme="minorEastAsia"/>
                <w:kern w:val="2"/>
                <w:sz w:val="24"/>
                <w:szCs w:val="24"/>
                <w:lang w:eastAsia="en-AU"/>
                <w14:ligatures w14:val="standardContextual"/>
              </w:rPr>
              <w:tab/>
            </w:r>
            <w:r w:rsidR="00D81EF4" w:rsidRPr="000616F8">
              <w:rPr>
                <w:rStyle w:val="Hyperlink"/>
                <w:rFonts w:cstheme="minorHAnsi"/>
                <w:lang w:eastAsia="ja-JP"/>
              </w:rPr>
              <w:t>Annual estimates</w:t>
            </w:r>
            <w:r w:rsidR="00D81EF4">
              <w:rPr>
                <w:webHidden/>
              </w:rPr>
              <w:tab/>
            </w:r>
            <w:r w:rsidR="00D81EF4">
              <w:rPr>
                <w:webHidden/>
              </w:rPr>
              <w:fldChar w:fldCharType="begin"/>
            </w:r>
            <w:r w:rsidR="00D81EF4">
              <w:rPr>
                <w:webHidden/>
              </w:rPr>
              <w:instrText xml:space="preserve"> PAGEREF _Toc168645259 \h </w:instrText>
            </w:r>
            <w:r w:rsidR="00D81EF4">
              <w:rPr>
                <w:webHidden/>
              </w:rPr>
            </w:r>
            <w:r w:rsidR="00D81EF4">
              <w:rPr>
                <w:webHidden/>
              </w:rPr>
              <w:fldChar w:fldCharType="separate"/>
            </w:r>
            <w:r w:rsidR="006D5EF4">
              <w:rPr>
                <w:webHidden/>
              </w:rPr>
              <w:t>20</w:t>
            </w:r>
            <w:r w:rsidR="00D81EF4">
              <w:rPr>
                <w:webHidden/>
              </w:rPr>
              <w:fldChar w:fldCharType="end"/>
            </w:r>
          </w:hyperlink>
        </w:p>
        <w:p w14:paraId="47EE982C" w14:textId="3707D7E3" w:rsidR="00D81EF4" w:rsidRDefault="005C47B5">
          <w:pPr>
            <w:pStyle w:val="TOC2"/>
            <w:tabs>
              <w:tab w:val="left" w:pos="1100"/>
            </w:tabs>
            <w:rPr>
              <w:rFonts w:eastAsiaTheme="minorEastAsia"/>
              <w:kern w:val="2"/>
              <w:sz w:val="24"/>
              <w:szCs w:val="24"/>
              <w:lang w:eastAsia="en-AU"/>
              <w14:ligatures w14:val="standardContextual"/>
            </w:rPr>
          </w:pPr>
          <w:hyperlink w:anchor="_Toc168645260" w:history="1">
            <w:r w:rsidR="00D81EF4" w:rsidRPr="000616F8">
              <w:rPr>
                <w:rStyle w:val="Hyperlink"/>
                <w:rFonts w:cstheme="minorHAnsi"/>
                <w:lang w:eastAsia="ja-JP"/>
              </w:rPr>
              <w:t>6.2</w:t>
            </w:r>
            <w:r w:rsidR="00D81EF4">
              <w:rPr>
                <w:rFonts w:eastAsiaTheme="minorEastAsia"/>
                <w:kern w:val="2"/>
                <w:sz w:val="24"/>
                <w:szCs w:val="24"/>
                <w:lang w:eastAsia="en-AU"/>
                <w14:ligatures w14:val="standardContextual"/>
              </w:rPr>
              <w:tab/>
            </w:r>
            <w:r w:rsidR="00D81EF4" w:rsidRPr="000616F8">
              <w:rPr>
                <w:rStyle w:val="Hyperlink"/>
                <w:rFonts w:cstheme="minorHAnsi"/>
                <w:lang w:eastAsia="ja-JP"/>
              </w:rPr>
              <w:t>Volume forecasts</w:t>
            </w:r>
            <w:r w:rsidR="00D81EF4">
              <w:rPr>
                <w:webHidden/>
              </w:rPr>
              <w:tab/>
            </w:r>
            <w:r w:rsidR="00D81EF4">
              <w:rPr>
                <w:webHidden/>
              </w:rPr>
              <w:fldChar w:fldCharType="begin"/>
            </w:r>
            <w:r w:rsidR="00D81EF4">
              <w:rPr>
                <w:webHidden/>
              </w:rPr>
              <w:instrText xml:space="preserve"> PAGEREF _Toc168645260 \h </w:instrText>
            </w:r>
            <w:r w:rsidR="00D81EF4">
              <w:rPr>
                <w:webHidden/>
              </w:rPr>
            </w:r>
            <w:r w:rsidR="00D81EF4">
              <w:rPr>
                <w:webHidden/>
              </w:rPr>
              <w:fldChar w:fldCharType="separate"/>
            </w:r>
            <w:r w:rsidR="006D5EF4">
              <w:rPr>
                <w:webHidden/>
              </w:rPr>
              <w:t>21</w:t>
            </w:r>
            <w:r w:rsidR="00D81EF4">
              <w:rPr>
                <w:webHidden/>
              </w:rPr>
              <w:fldChar w:fldCharType="end"/>
            </w:r>
          </w:hyperlink>
        </w:p>
        <w:p w14:paraId="2750A016" w14:textId="544A014C" w:rsidR="00D81EF4" w:rsidRDefault="005C47B5">
          <w:pPr>
            <w:pStyle w:val="TOC1"/>
            <w:rPr>
              <w:rFonts w:asciiTheme="minorHAnsi" w:eastAsiaTheme="minorEastAsia" w:hAnsiTheme="minorHAnsi"/>
              <w:kern w:val="2"/>
              <w:sz w:val="24"/>
              <w:szCs w:val="24"/>
              <w:lang w:eastAsia="en-AU"/>
              <w14:ligatures w14:val="standardContextual"/>
            </w:rPr>
          </w:pPr>
          <w:hyperlink w:anchor="_Toc168645261" w:history="1">
            <w:r w:rsidR="00D81EF4" w:rsidRPr="000616F8">
              <w:rPr>
                <w:rStyle w:val="Hyperlink"/>
                <w:rFonts w:cstheme="minorHAnsi"/>
              </w:rPr>
              <w:t>7</w:t>
            </w:r>
            <w:r w:rsidR="00D81EF4">
              <w:rPr>
                <w:rFonts w:asciiTheme="minorHAnsi" w:eastAsiaTheme="minorEastAsia" w:hAnsiTheme="minorHAnsi"/>
                <w:kern w:val="2"/>
                <w:sz w:val="24"/>
                <w:szCs w:val="24"/>
                <w:lang w:eastAsia="en-AU"/>
                <w14:ligatures w14:val="standardContextual"/>
              </w:rPr>
              <w:tab/>
            </w:r>
            <w:r w:rsidR="00D81EF4" w:rsidRPr="000616F8">
              <w:rPr>
                <w:rStyle w:val="Hyperlink"/>
                <w:rFonts w:cstheme="minorHAnsi"/>
              </w:rPr>
              <w:t>Financial and non-financial performance</w:t>
            </w:r>
            <w:r w:rsidR="00D81EF4">
              <w:rPr>
                <w:webHidden/>
              </w:rPr>
              <w:tab/>
            </w:r>
            <w:r w:rsidR="00D81EF4">
              <w:rPr>
                <w:webHidden/>
              </w:rPr>
              <w:fldChar w:fldCharType="begin"/>
            </w:r>
            <w:r w:rsidR="00D81EF4">
              <w:rPr>
                <w:webHidden/>
              </w:rPr>
              <w:instrText xml:space="preserve"> PAGEREF _Toc168645261 \h </w:instrText>
            </w:r>
            <w:r w:rsidR="00D81EF4">
              <w:rPr>
                <w:webHidden/>
              </w:rPr>
            </w:r>
            <w:r w:rsidR="00D81EF4">
              <w:rPr>
                <w:webHidden/>
              </w:rPr>
              <w:fldChar w:fldCharType="separate"/>
            </w:r>
            <w:r w:rsidR="006D5EF4">
              <w:rPr>
                <w:webHidden/>
              </w:rPr>
              <w:t>22</w:t>
            </w:r>
            <w:r w:rsidR="00D81EF4">
              <w:rPr>
                <w:webHidden/>
              </w:rPr>
              <w:fldChar w:fldCharType="end"/>
            </w:r>
          </w:hyperlink>
        </w:p>
        <w:p w14:paraId="5B1A2623" w14:textId="1C7B97D2" w:rsidR="00D81EF4" w:rsidRDefault="005C47B5">
          <w:pPr>
            <w:pStyle w:val="TOC2"/>
            <w:tabs>
              <w:tab w:val="left" w:pos="1100"/>
            </w:tabs>
            <w:rPr>
              <w:rFonts w:eastAsiaTheme="minorEastAsia"/>
              <w:kern w:val="2"/>
              <w:sz w:val="24"/>
              <w:szCs w:val="24"/>
              <w:lang w:eastAsia="en-AU"/>
              <w14:ligatures w14:val="standardContextual"/>
            </w:rPr>
          </w:pPr>
          <w:hyperlink w:anchor="_Toc168645262" w:history="1">
            <w:r w:rsidR="00D81EF4" w:rsidRPr="000616F8">
              <w:rPr>
                <w:rStyle w:val="Hyperlink"/>
                <w:rFonts w:cstheme="minorHAnsi"/>
                <w:lang w:eastAsia="ja-JP"/>
              </w:rPr>
              <w:t>7.1</w:t>
            </w:r>
            <w:r w:rsidR="00D81EF4">
              <w:rPr>
                <w:rFonts w:eastAsiaTheme="minorEastAsia"/>
                <w:kern w:val="2"/>
                <w:sz w:val="24"/>
                <w:szCs w:val="24"/>
                <w:lang w:eastAsia="en-AU"/>
                <w14:ligatures w14:val="standardContextual"/>
              </w:rPr>
              <w:tab/>
            </w:r>
            <w:r w:rsidR="00D81EF4" w:rsidRPr="000616F8">
              <w:rPr>
                <w:rStyle w:val="Hyperlink"/>
                <w:rFonts w:cstheme="minorHAnsi"/>
                <w:lang w:eastAsia="ja-JP"/>
              </w:rPr>
              <w:t>Financial performance</w:t>
            </w:r>
            <w:r w:rsidR="00D81EF4">
              <w:rPr>
                <w:webHidden/>
              </w:rPr>
              <w:tab/>
            </w:r>
            <w:r w:rsidR="00D81EF4">
              <w:rPr>
                <w:webHidden/>
              </w:rPr>
              <w:fldChar w:fldCharType="begin"/>
            </w:r>
            <w:r w:rsidR="00D81EF4">
              <w:rPr>
                <w:webHidden/>
              </w:rPr>
              <w:instrText xml:space="preserve"> PAGEREF _Toc168645262 \h </w:instrText>
            </w:r>
            <w:r w:rsidR="00D81EF4">
              <w:rPr>
                <w:webHidden/>
              </w:rPr>
            </w:r>
            <w:r w:rsidR="00D81EF4">
              <w:rPr>
                <w:webHidden/>
              </w:rPr>
              <w:fldChar w:fldCharType="separate"/>
            </w:r>
            <w:r w:rsidR="006D5EF4">
              <w:rPr>
                <w:webHidden/>
              </w:rPr>
              <w:t>22</w:t>
            </w:r>
            <w:r w:rsidR="00D81EF4">
              <w:rPr>
                <w:webHidden/>
              </w:rPr>
              <w:fldChar w:fldCharType="end"/>
            </w:r>
          </w:hyperlink>
        </w:p>
        <w:p w14:paraId="1535E4C2" w14:textId="50D993CF" w:rsidR="00D81EF4" w:rsidRDefault="005C47B5">
          <w:pPr>
            <w:pStyle w:val="TOC2"/>
            <w:tabs>
              <w:tab w:val="left" w:pos="1100"/>
            </w:tabs>
            <w:rPr>
              <w:rFonts w:eastAsiaTheme="minorEastAsia"/>
              <w:kern w:val="2"/>
              <w:sz w:val="24"/>
              <w:szCs w:val="24"/>
              <w:lang w:eastAsia="en-AU"/>
              <w14:ligatures w14:val="standardContextual"/>
            </w:rPr>
          </w:pPr>
          <w:hyperlink w:anchor="_Toc168645263" w:history="1">
            <w:r w:rsidR="00D81EF4" w:rsidRPr="000616F8">
              <w:rPr>
                <w:rStyle w:val="Hyperlink"/>
                <w:rFonts w:cstheme="minorHAnsi"/>
              </w:rPr>
              <w:t>7.2</w:t>
            </w:r>
            <w:r w:rsidR="00D81EF4">
              <w:rPr>
                <w:rFonts w:eastAsiaTheme="minorEastAsia"/>
                <w:kern w:val="2"/>
                <w:sz w:val="24"/>
                <w:szCs w:val="24"/>
                <w:lang w:eastAsia="en-AU"/>
                <w14:ligatures w14:val="standardContextual"/>
              </w:rPr>
              <w:tab/>
            </w:r>
            <w:r w:rsidR="00D81EF4" w:rsidRPr="000616F8">
              <w:rPr>
                <w:rStyle w:val="Hyperlink"/>
                <w:rFonts w:cstheme="minorHAnsi"/>
              </w:rPr>
              <w:t>Non-financial performance</w:t>
            </w:r>
            <w:r w:rsidR="00D81EF4">
              <w:rPr>
                <w:webHidden/>
              </w:rPr>
              <w:tab/>
            </w:r>
            <w:r w:rsidR="00D81EF4">
              <w:rPr>
                <w:webHidden/>
              </w:rPr>
              <w:fldChar w:fldCharType="begin"/>
            </w:r>
            <w:r w:rsidR="00D81EF4">
              <w:rPr>
                <w:webHidden/>
              </w:rPr>
              <w:instrText xml:space="preserve"> PAGEREF _Toc168645263 \h </w:instrText>
            </w:r>
            <w:r w:rsidR="00D81EF4">
              <w:rPr>
                <w:webHidden/>
              </w:rPr>
            </w:r>
            <w:r w:rsidR="00D81EF4">
              <w:rPr>
                <w:webHidden/>
              </w:rPr>
              <w:fldChar w:fldCharType="separate"/>
            </w:r>
            <w:r w:rsidR="006D5EF4">
              <w:rPr>
                <w:webHidden/>
              </w:rPr>
              <w:t>22</w:t>
            </w:r>
            <w:r w:rsidR="00D81EF4">
              <w:rPr>
                <w:webHidden/>
              </w:rPr>
              <w:fldChar w:fldCharType="end"/>
            </w:r>
          </w:hyperlink>
        </w:p>
        <w:p w14:paraId="4F95AA5C" w14:textId="47B2D0F3" w:rsidR="00D81EF4" w:rsidRDefault="005C47B5">
          <w:pPr>
            <w:pStyle w:val="TOC1"/>
            <w:rPr>
              <w:rFonts w:asciiTheme="minorHAnsi" w:eastAsiaTheme="minorEastAsia" w:hAnsiTheme="minorHAnsi"/>
              <w:kern w:val="2"/>
              <w:sz w:val="24"/>
              <w:szCs w:val="24"/>
              <w:lang w:eastAsia="en-AU"/>
              <w14:ligatures w14:val="standardContextual"/>
            </w:rPr>
          </w:pPr>
          <w:hyperlink w:anchor="_Toc168645264" w:history="1">
            <w:r w:rsidR="00D81EF4" w:rsidRPr="000616F8">
              <w:rPr>
                <w:rStyle w:val="Hyperlink"/>
              </w:rPr>
              <w:t>8</w:t>
            </w:r>
            <w:r w:rsidR="00D81EF4">
              <w:rPr>
                <w:rFonts w:asciiTheme="minorHAnsi" w:eastAsiaTheme="minorEastAsia" w:hAnsiTheme="minorHAnsi"/>
                <w:kern w:val="2"/>
                <w:sz w:val="24"/>
                <w:szCs w:val="24"/>
                <w:lang w:eastAsia="en-AU"/>
                <w14:ligatures w14:val="standardContextual"/>
              </w:rPr>
              <w:tab/>
            </w:r>
            <w:r w:rsidR="00D81EF4" w:rsidRPr="000616F8">
              <w:rPr>
                <w:rStyle w:val="Hyperlink"/>
              </w:rPr>
              <w:t>Key dates and events</w:t>
            </w:r>
            <w:r w:rsidR="00D81EF4">
              <w:rPr>
                <w:webHidden/>
              </w:rPr>
              <w:tab/>
            </w:r>
            <w:r w:rsidR="00D81EF4">
              <w:rPr>
                <w:webHidden/>
              </w:rPr>
              <w:fldChar w:fldCharType="begin"/>
            </w:r>
            <w:r w:rsidR="00D81EF4">
              <w:rPr>
                <w:webHidden/>
              </w:rPr>
              <w:instrText xml:space="preserve"> PAGEREF _Toc168645264 \h </w:instrText>
            </w:r>
            <w:r w:rsidR="00D81EF4">
              <w:rPr>
                <w:webHidden/>
              </w:rPr>
            </w:r>
            <w:r w:rsidR="00D81EF4">
              <w:rPr>
                <w:webHidden/>
              </w:rPr>
              <w:fldChar w:fldCharType="separate"/>
            </w:r>
            <w:r w:rsidR="006D5EF4">
              <w:rPr>
                <w:webHidden/>
              </w:rPr>
              <w:t>24</w:t>
            </w:r>
            <w:r w:rsidR="00D81EF4">
              <w:rPr>
                <w:webHidden/>
              </w:rPr>
              <w:fldChar w:fldCharType="end"/>
            </w:r>
          </w:hyperlink>
        </w:p>
        <w:p w14:paraId="3BB57AFE" w14:textId="4B63304D" w:rsidR="00D81EF4" w:rsidRDefault="005C47B5">
          <w:pPr>
            <w:pStyle w:val="TOC1"/>
            <w:rPr>
              <w:rFonts w:asciiTheme="minorHAnsi" w:eastAsiaTheme="minorEastAsia" w:hAnsiTheme="minorHAnsi"/>
              <w:kern w:val="2"/>
              <w:sz w:val="24"/>
              <w:szCs w:val="24"/>
              <w:lang w:eastAsia="en-AU"/>
              <w14:ligatures w14:val="standardContextual"/>
            </w:rPr>
          </w:pPr>
          <w:hyperlink w:anchor="_Toc168645265" w:history="1">
            <w:r w:rsidR="00D81EF4" w:rsidRPr="000616F8">
              <w:rPr>
                <w:rStyle w:val="Hyperlink"/>
              </w:rPr>
              <w:t>9</w:t>
            </w:r>
            <w:r w:rsidR="00D81EF4">
              <w:rPr>
                <w:rFonts w:asciiTheme="minorHAnsi" w:eastAsiaTheme="minorEastAsia" w:hAnsiTheme="minorHAnsi"/>
                <w:kern w:val="2"/>
                <w:sz w:val="24"/>
                <w:szCs w:val="24"/>
                <w:lang w:eastAsia="en-AU"/>
                <w14:ligatures w14:val="standardContextual"/>
              </w:rPr>
              <w:tab/>
            </w:r>
            <w:r w:rsidR="00D81EF4" w:rsidRPr="000616F8">
              <w:rPr>
                <w:rStyle w:val="Hyperlink"/>
              </w:rPr>
              <w:t>CRIS approval and change register</w:t>
            </w:r>
            <w:r w:rsidR="00D81EF4">
              <w:rPr>
                <w:webHidden/>
              </w:rPr>
              <w:tab/>
            </w:r>
            <w:r w:rsidR="00D81EF4">
              <w:rPr>
                <w:webHidden/>
              </w:rPr>
              <w:fldChar w:fldCharType="begin"/>
            </w:r>
            <w:r w:rsidR="00D81EF4">
              <w:rPr>
                <w:webHidden/>
              </w:rPr>
              <w:instrText xml:space="preserve"> PAGEREF _Toc168645265 \h </w:instrText>
            </w:r>
            <w:r w:rsidR="00D81EF4">
              <w:rPr>
                <w:webHidden/>
              </w:rPr>
            </w:r>
            <w:r w:rsidR="00D81EF4">
              <w:rPr>
                <w:webHidden/>
              </w:rPr>
              <w:fldChar w:fldCharType="separate"/>
            </w:r>
            <w:r w:rsidR="006D5EF4">
              <w:rPr>
                <w:webHidden/>
              </w:rPr>
              <w:t>25</w:t>
            </w:r>
            <w:r w:rsidR="00D81EF4">
              <w:rPr>
                <w:webHidden/>
              </w:rPr>
              <w:fldChar w:fldCharType="end"/>
            </w:r>
          </w:hyperlink>
        </w:p>
        <w:p w14:paraId="3C3C2782" w14:textId="4F9726E0" w:rsidR="00D81EF4" w:rsidRDefault="005C47B5">
          <w:pPr>
            <w:pStyle w:val="TOC1"/>
            <w:rPr>
              <w:rFonts w:asciiTheme="minorHAnsi" w:eastAsiaTheme="minorEastAsia" w:hAnsiTheme="minorHAnsi"/>
              <w:kern w:val="2"/>
              <w:sz w:val="24"/>
              <w:szCs w:val="24"/>
              <w:lang w:eastAsia="en-AU"/>
              <w14:ligatures w14:val="standardContextual"/>
            </w:rPr>
          </w:pPr>
          <w:hyperlink w:anchor="_Toc168645266" w:history="1">
            <w:r w:rsidR="00D81EF4" w:rsidRPr="000616F8">
              <w:rPr>
                <w:rStyle w:val="Hyperlink"/>
                <w:rFonts w:cstheme="minorHAnsi"/>
              </w:rPr>
              <w:t>Appendix A: Summary tables of volumes and regulatory activities</w:t>
            </w:r>
            <w:r w:rsidR="00D81EF4">
              <w:rPr>
                <w:webHidden/>
              </w:rPr>
              <w:tab/>
            </w:r>
            <w:r w:rsidR="00D81EF4">
              <w:rPr>
                <w:webHidden/>
              </w:rPr>
              <w:fldChar w:fldCharType="begin"/>
            </w:r>
            <w:r w:rsidR="00D81EF4">
              <w:rPr>
                <w:webHidden/>
              </w:rPr>
              <w:instrText xml:space="preserve"> PAGEREF _Toc168645266 \h </w:instrText>
            </w:r>
            <w:r w:rsidR="00D81EF4">
              <w:rPr>
                <w:webHidden/>
              </w:rPr>
            </w:r>
            <w:r w:rsidR="00D81EF4">
              <w:rPr>
                <w:webHidden/>
              </w:rPr>
              <w:fldChar w:fldCharType="separate"/>
            </w:r>
            <w:r w:rsidR="006D5EF4">
              <w:rPr>
                <w:webHidden/>
              </w:rPr>
              <w:t>26</w:t>
            </w:r>
            <w:r w:rsidR="00D81EF4">
              <w:rPr>
                <w:webHidden/>
              </w:rPr>
              <w:fldChar w:fldCharType="end"/>
            </w:r>
          </w:hyperlink>
        </w:p>
        <w:p w14:paraId="6AC479C5" w14:textId="5106FCB1" w:rsidR="00D81EF4" w:rsidRDefault="005C47B5">
          <w:pPr>
            <w:pStyle w:val="TOC1"/>
            <w:rPr>
              <w:rFonts w:asciiTheme="minorHAnsi" w:eastAsiaTheme="minorEastAsia" w:hAnsiTheme="minorHAnsi"/>
              <w:kern w:val="2"/>
              <w:sz w:val="24"/>
              <w:szCs w:val="24"/>
              <w:lang w:eastAsia="en-AU"/>
              <w14:ligatures w14:val="standardContextual"/>
            </w:rPr>
          </w:pPr>
          <w:hyperlink w:anchor="_Toc168645267" w:history="1">
            <w:r w:rsidR="00D81EF4" w:rsidRPr="000616F8">
              <w:rPr>
                <w:rStyle w:val="Hyperlink"/>
                <w:rFonts w:cstheme="minorHAnsi"/>
              </w:rPr>
              <w:t>Appendix B: Description of cost model activities</w:t>
            </w:r>
            <w:r w:rsidR="00D81EF4">
              <w:rPr>
                <w:webHidden/>
              </w:rPr>
              <w:tab/>
            </w:r>
            <w:r w:rsidR="00D81EF4">
              <w:rPr>
                <w:webHidden/>
              </w:rPr>
              <w:fldChar w:fldCharType="begin"/>
            </w:r>
            <w:r w:rsidR="00D81EF4">
              <w:rPr>
                <w:webHidden/>
              </w:rPr>
              <w:instrText xml:space="preserve"> PAGEREF _Toc168645267 \h </w:instrText>
            </w:r>
            <w:r w:rsidR="00D81EF4">
              <w:rPr>
                <w:webHidden/>
              </w:rPr>
            </w:r>
            <w:r w:rsidR="00D81EF4">
              <w:rPr>
                <w:webHidden/>
              </w:rPr>
              <w:fldChar w:fldCharType="separate"/>
            </w:r>
            <w:r w:rsidR="006D5EF4">
              <w:rPr>
                <w:webHidden/>
              </w:rPr>
              <w:t>27</w:t>
            </w:r>
            <w:r w:rsidR="00D81EF4">
              <w:rPr>
                <w:webHidden/>
              </w:rPr>
              <w:fldChar w:fldCharType="end"/>
            </w:r>
          </w:hyperlink>
        </w:p>
        <w:p w14:paraId="0E8068B7" w14:textId="19FD0034" w:rsidR="00D81EF4" w:rsidRDefault="005C47B5">
          <w:pPr>
            <w:pStyle w:val="TOC2"/>
            <w:rPr>
              <w:rFonts w:eastAsiaTheme="minorEastAsia"/>
              <w:kern w:val="2"/>
              <w:sz w:val="24"/>
              <w:szCs w:val="24"/>
              <w:lang w:eastAsia="en-AU"/>
              <w14:ligatures w14:val="standardContextual"/>
            </w:rPr>
          </w:pPr>
          <w:hyperlink w:anchor="_Toc168645268" w:history="1">
            <w:r w:rsidR="00D81EF4" w:rsidRPr="000616F8">
              <w:rPr>
                <w:rStyle w:val="Hyperlink"/>
                <w:rFonts w:cstheme="minorHAnsi"/>
                <w:lang w:eastAsia="ja-JP"/>
              </w:rPr>
              <w:t>Program management and administration activities (charge)</w:t>
            </w:r>
            <w:r w:rsidR="00D81EF4">
              <w:rPr>
                <w:webHidden/>
              </w:rPr>
              <w:tab/>
            </w:r>
            <w:r w:rsidR="00D81EF4">
              <w:rPr>
                <w:webHidden/>
              </w:rPr>
              <w:fldChar w:fldCharType="begin"/>
            </w:r>
            <w:r w:rsidR="00D81EF4">
              <w:rPr>
                <w:webHidden/>
              </w:rPr>
              <w:instrText xml:space="preserve"> PAGEREF _Toc168645268 \h </w:instrText>
            </w:r>
            <w:r w:rsidR="00D81EF4">
              <w:rPr>
                <w:webHidden/>
              </w:rPr>
            </w:r>
            <w:r w:rsidR="00D81EF4">
              <w:rPr>
                <w:webHidden/>
              </w:rPr>
              <w:fldChar w:fldCharType="separate"/>
            </w:r>
            <w:r w:rsidR="006D5EF4">
              <w:rPr>
                <w:webHidden/>
              </w:rPr>
              <w:t>27</w:t>
            </w:r>
            <w:r w:rsidR="00D81EF4">
              <w:rPr>
                <w:webHidden/>
              </w:rPr>
              <w:fldChar w:fldCharType="end"/>
            </w:r>
          </w:hyperlink>
        </w:p>
        <w:p w14:paraId="6F3DE867" w14:textId="2DD16338" w:rsidR="00D81EF4" w:rsidRDefault="005C47B5">
          <w:pPr>
            <w:pStyle w:val="TOC2"/>
            <w:rPr>
              <w:rFonts w:eastAsiaTheme="minorEastAsia"/>
              <w:kern w:val="2"/>
              <w:sz w:val="24"/>
              <w:szCs w:val="24"/>
              <w:lang w:eastAsia="en-AU"/>
              <w14:ligatures w14:val="standardContextual"/>
            </w:rPr>
          </w:pPr>
          <w:hyperlink w:anchor="_Toc168645269" w:history="1">
            <w:r w:rsidR="00D81EF4" w:rsidRPr="000616F8">
              <w:rPr>
                <w:rStyle w:val="Hyperlink"/>
                <w:rFonts w:cstheme="minorHAnsi"/>
                <w:lang w:eastAsia="ja-JP"/>
              </w:rPr>
              <w:t>Assurance activities (charge)</w:t>
            </w:r>
            <w:r w:rsidR="00D81EF4">
              <w:rPr>
                <w:webHidden/>
              </w:rPr>
              <w:tab/>
            </w:r>
            <w:r w:rsidR="00D81EF4">
              <w:rPr>
                <w:webHidden/>
              </w:rPr>
              <w:fldChar w:fldCharType="begin"/>
            </w:r>
            <w:r w:rsidR="00D81EF4">
              <w:rPr>
                <w:webHidden/>
              </w:rPr>
              <w:instrText xml:space="preserve"> PAGEREF _Toc168645269 \h </w:instrText>
            </w:r>
            <w:r w:rsidR="00D81EF4">
              <w:rPr>
                <w:webHidden/>
              </w:rPr>
            </w:r>
            <w:r w:rsidR="00D81EF4">
              <w:rPr>
                <w:webHidden/>
              </w:rPr>
              <w:fldChar w:fldCharType="separate"/>
            </w:r>
            <w:r w:rsidR="006D5EF4">
              <w:rPr>
                <w:webHidden/>
              </w:rPr>
              <w:t>28</w:t>
            </w:r>
            <w:r w:rsidR="00D81EF4">
              <w:rPr>
                <w:webHidden/>
              </w:rPr>
              <w:fldChar w:fldCharType="end"/>
            </w:r>
          </w:hyperlink>
        </w:p>
        <w:p w14:paraId="3509B2E7" w14:textId="00C5D411" w:rsidR="00D81EF4" w:rsidRDefault="005C47B5">
          <w:pPr>
            <w:pStyle w:val="TOC2"/>
            <w:rPr>
              <w:rFonts w:eastAsiaTheme="minorEastAsia"/>
              <w:kern w:val="2"/>
              <w:sz w:val="24"/>
              <w:szCs w:val="24"/>
              <w:lang w:eastAsia="en-AU"/>
              <w14:ligatures w14:val="standardContextual"/>
            </w:rPr>
          </w:pPr>
          <w:hyperlink w:anchor="_Toc168645270" w:history="1">
            <w:r w:rsidR="00D81EF4" w:rsidRPr="000616F8">
              <w:rPr>
                <w:rStyle w:val="Hyperlink"/>
                <w:rFonts w:cstheme="minorHAnsi"/>
                <w:lang w:eastAsia="ja-JP"/>
              </w:rPr>
              <w:t>Incident management activities (charge)</w:t>
            </w:r>
            <w:r w:rsidR="00D81EF4">
              <w:rPr>
                <w:webHidden/>
              </w:rPr>
              <w:tab/>
            </w:r>
            <w:r w:rsidR="00D81EF4">
              <w:rPr>
                <w:webHidden/>
              </w:rPr>
              <w:fldChar w:fldCharType="begin"/>
            </w:r>
            <w:r w:rsidR="00D81EF4">
              <w:rPr>
                <w:webHidden/>
              </w:rPr>
              <w:instrText xml:space="preserve"> PAGEREF _Toc168645270 \h </w:instrText>
            </w:r>
            <w:r w:rsidR="00D81EF4">
              <w:rPr>
                <w:webHidden/>
              </w:rPr>
            </w:r>
            <w:r w:rsidR="00D81EF4">
              <w:rPr>
                <w:webHidden/>
              </w:rPr>
              <w:fldChar w:fldCharType="separate"/>
            </w:r>
            <w:r w:rsidR="006D5EF4">
              <w:rPr>
                <w:webHidden/>
              </w:rPr>
              <w:t>28</w:t>
            </w:r>
            <w:r w:rsidR="00D81EF4">
              <w:rPr>
                <w:webHidden/>
              </w:rPr>
              <w:fldChar w:fldCharType="end"/>
            </w:r>
          </w:hyperlink>
        </w:p>
        <w:p w14:paraId="50210895" w14:textId="087C685C" w:rsidR="00D81EF4" w:rsidRDefault="005C47B5">
          <w:pPr>
            <w:pStyle w:val="TOC2"/>
            <w:rPr>
              <w:rFonts w:eastAsiaTheme="minorEastAsia"/>
              <w:kern w:val="2"/>
              <w:sz w:val="24"/>
              <w:szCs w:val="24"/>
              <w:lang w:eastAsia="en-AU"/>
              <w14:ligatures w14:val="standardContextual"/>
            </w:rPr>
          </w:pPr>
          <w:hyperlink w:anchor="_Toc168645271" w:history="1">
            <w:r w:rsidR="00D81EF4" w:rsidRPr="000616F8">
              <w:rPr>
                <w:rStyle w:val="Hyperlink"/>
                <w:rFonts w:cstheme="minorHAnsi"/>
                <w:lang w:eastAsia="ja-JP"/>
              </w:rPr>
              <w:t>Intervention activities (fee)</w:t>
            </w:r>
            <w:r w:rsidR="00D81EF4">
              <w:rPr>
                <w:webHidden/>
              </w:rPr>
              <w:tab/>
            </w:r>
            <w:r w:rsidR="00D81EF4">
              <w:rPr>
                <w:webHidden/>
              </w:rPr>
              <w:fldChar w:fldCharType="begin"/>
            </w:r>
            <w:r w:rsidR="00D81EF4">
              <w:rPr>
                <w:webHidden/>
              </w:rPr>
              <w:instrText xml:space="preserve"> PAGEREF _Toc168645271 \h </w:instrText>
            </w:r>
            <w:r w:rsidR="00D81EF4">
              <w:rPr>
                <w:webHidden/>
              </w:rPr>
            </w:r>
            <w:r w:rsidR="00D81EF4">
              <w:rPr>
                <w:webHidden/>
              </w:rPr>
              <w:fldChar w:fldCharType="separate"/>
            </w:r>
            <w:r w:rsidR="006D5EF4">
              <w:rPr>
                <w:webHidden/>
              </w:rPr>
              <w:t>29</w:t>
            </w:r>
            <w:r w:rsidR="00D81EF4">
              <w:rPr>
                <w:webHidden/>
              </w:rPr>
              <w:fldChar w:fldCharType="end"/>
            </w:r>
          </w:hyperlink>
        </w:p>
        <w:p w14:paraId="1E530C9B" w14:textId="7F77BD05" w:rsidR="00D81EF4" w:rsidRDefault="005C47B5">
          <w:pPr>
            <w:pStyle w:val="TOC1"/>
            <w:rPr>
              <w:rFonts w:asciiTheme="minorHAnsi" w:eastAsiaTheme="minorEastAsia" w:hAnsiTheme="minorHAnsi"/>
              <w:kern w:val="2"/>
              <w:sz w:val="24"/>
              <w:szCs w:val="24"/>
              <w:lang w:eastAsia="en-AU"/>
              <w14:ligatures w14:val="standardContextual"/>
            </w:rPr>
          </w:pPr>
          <w:hyperlink w:anchor="_Toc168645272" w:history="1">
            <w:r w:rsidR="00D81EF4" w:rsidRPr="000616F8">
              <w:rPr>
                <w:rStyle w:val="Hyperlink"/>
                <w:rFonts w:cstheme="minorHAnsi"/>
              </w:rPr>
              <w:t>Appendix C: Stakeholder engagement</w:t>
            </w:r>
            <w:r w:rsidR="00D81EF4">
              <w:rPr>
                <w:webHidden/>
              </w:rPr>
              <w:tab/>
            </w:r>
            <w:r w:rsidR="00D81EF4">
              <w:rPr>
                <w:webHidden/>
              </w:rPr>
              <w:fldChar w:fldCharType="begin"/>
            </w:r>
            <w:r w:rsidR="00D81EF4">
              <w:rPr>
                <w:webHidden/>
              </w:rPr>
              <w:instrText xml:space="preserve"> PAGEREF _Toc168645272 \h </w:instrText>
            </w:r>
            <w:r w:rsidR="00D81EF4">
              <w:rPr>
                <w:webHidden/>
              </w:rPr>
            </w:r>
            <w:r w:rsidR="00D81EF4">
              <w:rPr>
                <w:webHidden/>
              </w:rPr>
              <w:fldChar w:fldCharType="separate"/>
            </w:r>
            <w:r w:rsidR="006D5EF4">
              <w:rPr>
                <w:webHidden/>
              </w:rPr>
              <w:t>30</w:t>
            </w:r>
            <w:r w:rsidR="00D81EF4">
              <w:rPr>
                <w:webHidden/>
              </w:rPr>
              <w:fldChar w:fldCharType="end"/>
            </w:r>
          </w:hyperlink>
        </w:p>
        <w:p w14:paraId="73174CEE" w14:textId="797A46BA" w:rsidR="00D81EF4" w:rsidRDefault="005C47B5">
          <w:pPr>
            <w:pStyle w:val="TOC1"/>
            <w:rPr>
              <w:rFonts w:asciiTheme="minorHAnsi" w:eastAsiaTheme="minorEastAsia" w:hAnsiTheme="minorHAnsi"/>
              <w:kern w:val="2"/>
              <w:sz w:val="24"/>
              <w:szCs w:val="24"/>
              <w:lang w:eastAsia="en-AU"/>
              <w14:ligatures w14:val="standardContextual"/>
            </w:rPr>
          </w:pPr>
          <w:hyperlink w:anchor="_Toc168645273" w:history="1">
            <w:r w:rsidR="00D81EF4" w:rsidRPr="000616F8">
              <w:rPr>
                <w:rStyle w:val="Hyperlink"/>
              </w:rPr>
              <w:t xml:space="preserve">Appendix </w:t>
            </w:r>
            <w:r w:rsidR="00D81EF4" w:rsidRPr="000616F8">
              <w:rPr>
                <w:rStyle w:val="Hyperlink"/>
                <w:rFonts w:cstheme="minorHAnsi"/>
              </w:rPr>
              <w:t xml:space="preserve">D: </w:t>
            </w:r>
            <w:r w:rsidR="00D81EF4" w:rsidRPr="000616F8">
              <w:rPr>
                <w:rStyle w:val="Hyperlink"/>
              </w:rPr>
              <w:t>Government approach to cost recovery</w:t>
            </w:r>
            <w:r w:rsidR="00D81EF4">
              <w:rPr>
                <w:webHidden/>
              </w:rPr>
              <w:tab/>
            </w:r>
            <w:r w:rsidR="00D81EF4">
              <w:rPr>
                <w:webHidden/>
              </w:rPr>
              <w:fldChar w:fldCharType="begin"/>
            </w:r>
            <w:r w:rsidR="00D81EF4">
              <w:rPr>
                <w:webHidden/>
              </w:rPr>
              <w:instrText xml:space="preserve"> PAGEREF _Toc168645273 \h </w:instrText>
            </w:r>
            <w:r w:rsidR="00D81EF4">
              <w:rPr>
                <w:webHidden/>
              </w:rPr>
            </w:r>
            <w:r w:rsidR="00D81EF4">
              <w:rPr>
                <w:webHidden/>
              </w:rPr>
              <w:fldChar w:fldCharType="separate"/>
            </w:r>
            <w:r w:rsidR="006D5EF4">
              <w:rPr>
                <w:webHidden/>
              </w:rPr>
              <w:t>31</w:t>
            </w:r>
            <w:r w:rsidR="00D81EF4">
              <w:rPr>
                <w:webHidden/>
              </w:rPr>
              <w:fldChar w:fldCharType="end"/>
            </w:r>
          </w:hyperlink>
        </w:p>
        <w:p w14:paraId="54103576" w14:textId="6B988D91" w:rsidR="00FE281E" w:rsidRDefault="005C47B5" w:rsidP="00552870">
          <w:pPr>
            <w:pStyle w:val="TOC1"/>
          </w:pPr>
          <w:hyperlink w:anchor="_Toc168645274" w:history="1">
            <w:r w:rsidR="00D81EF4" w:rsidRPr="000616F8">
              <w:rPr>
                <w:rStyle w:val="Hyperlink"/>
              </w:rPr>
              <w:t>References</w:t>
            </w:r>
            <w:r w:rsidR="00D81EF4">
              <w:rPr>
                <w:webHidden/>
              </w:rPr>
              <w:tab/>
            </w:r>
            <w:r w:rsidR="00D81EF4">
              <w:rPr>
                <w:webHidden/>
              </w:rPr>
              <w:fldChar w:fldCharType="begin"/>
            </w:r>
            <w:r w:rsidR="00D81EF4">
              <w:rPr>
                <w:webHidden/>
              </w:rPr>
              <w:instrText xml:space="preserve"> PAGEREF _Toc168645274 \h </w:instrText>
            </w:r>
            <w:r w:rsidR="00D81EF4">
              <w:rPr>
                <w:webHidden/>
              </w:rPr>
            </w:r>
            <w:r w:rsidR="00D81EF4">
              <w:rPr>
                <w:webHidden/>
              </w:rPr>
              <w:fldChar w:fldCharType="separate"/>
            </w:r>
            <w:r w:rsidR="006D5EF4">
              <w:rPr>
                <w:webHidden/>
              </w:rPr>
              <w:t>33</w:t>
            </w:r>
            <w:r w:rsidR="00D81EF4">
              <w:rPr>
                <w:webHidden/>
              </w:rPr>
              <w:fldChar w:fldCharType="end"/>
            </w:r>
          </w:hyperlink>
          <w:r w:rsidR="006E2BC8">
            <w:fldChar w:fldCharType="end"/>
          </w:r>
        </w:p>
      </w:sdtContent>
    </w:sdt>
    <w:p w14:paraId="4997F363" w14:textId="2E3FD169" w:rsidR="00764D6A" w:rsidRPr="00321955" w:rsidRDefault="00E91D72">
      <w:pPr>
        <w:pStyle w:val="TOCHeading2"/>
        <w:rPr>
          <w:rStyle w:val="Strong"/>
          <w:rFonts w:asciiTheme="minorHAnsi" w:hAnsiTheme="minorHAnsi" w:cstheme="minorHAnsi"/>
        </w:rPr>
      </w:pPr>
      <w:r w:rsidRPr="00321955">
        <w:rPr>
          <w:rStyle w:val="Strong"/>
          <w:rFonts w:asciiTheme="minorHAnsi" w:hAnsiTheme="minorHAnsi" w:cstheme="minorHAnsi"/>
        </w:rPr>
        <w:t>Tables</w:t>
      </w:r>
    </w:p>
    <w:p w14:paraId="6A45E080" w14:textId="1A585955" w:rsidR="00D81EF4" w:rsidRDefault="005A6507">
      <w:pPr>
        <w:pStyle w:val="TableofFigures"/>
        <w:tabs>
          <w:tab w:val="right" w:leader="dot" w:pos="9174"/>
        </w:tabs>
        <w:rPr>
          <w:rFonts w:eastAsiaTheme="minorEastAsia"/>
          <w:noProof/>
          <w:kern w:val="2"/>
          <w:sz w:val="24"/>
          <w:szCs w:val="24"/>
          <w:lang w:eastAsia="en-AU"/>
          <w14:ligatures w14:val="standardContextual"/>
        </w:rPr>
      </w:pPr>
      <w:r>
        <w:rPr>
          <w:rFonts w:cstheme="minorHAnsi"/>
        </w:rPr>
        <w:fldChar w:fldCharType="begin"/>
      </w:r>
      <w:r>
        <w:rPr>
          <w:rFonts w:cstheme="minorHAnsi"/>
        </w:rPr>
        <w:instrText xml:space="preserve"> TOC \h \z \c "Table" </w:instrText>
      </w:r>
      <w:r>
        <w:rPr>
          <w:rFonts w:cstheme="minorHAnsi"/>
        </w:rPr>
        <w:fldChar w:fldCharType="separate"/>
      </w:r>
      <w:hyperlink w:anchor="_Toc168645275" w:history="1">
        <w:r w:rsidR="00D81EF4" w:rsidRPr="0009355D">
          <w:rPr>
            <w:rStyle w:val="Hyperlink"/>
            <w:noProof/>
          </w:rPr>
          <w:t>Table 1 Cost drivers for corporate activities</w:t>
        </w:r>
        <w:r w:rsidR="00D81EF4">
          <w:rPr>
            <w:noProof/>
            <w:webHidden/>
          </w:rPr>
          <w:tab/>
        </w:r>
        <w:r w:rsidR="00D81EF4">
          <w:rPr>
            <w:noProof/>
            <w:webHidden/>
          </w:rPr>
          <w:fldChar w:fldCharType="begin"/>
        </w:r>
        <w:r w:rsidR="00D81EF4">
          <w:rPr>
            <w:noProof/>
            <w:webHidden/>
          </w:rPr>
          <w:instrText xml:space="preserve"> PAGEREF _Toc168645275 \h </w:instrText>
        </w:r>
        <w:r w:rsidR="00D81EF4">
          <w:rPr>
            <w:noProof/>
            <w:webHidden/>
          </w:rPr>
        </w:r>
        <w:r w:rsidR="00D81EF4">
          <w:rPr>
            <w:noProof/>
            <w:webHidden/>
          </w:rPr>
          <w:fldChar w:fldCharType="separate"/>
        </w:r>
        <w:r w:rsidR="006D5EF4">
          <w:rPr>
            <w:noProof/>
            <w:webHidden/>
          </w:rPr>
          <w:t>9</w:t>
        </w:r>
        <w:r w:rsidR="00D81EF4">
          <w:rPr>
            <w:noProof/>
            <w:webHidden/>
          </w:rPr>
          <w:fldChar w:fldCharType="end"/>
        </w:r>
      </w:hyperlink>
    </w:p>
    <w:p w14:paraId="15C27561" w14:textId="09392F2D" w:rsidR="00D81EF4" w:rsidRDefault="005C47B5">
      <w:pPr>
        <w:pStyle w:val="TableofFigures"/>
        <w:tabs>
          <w:tab w:val="right" w:leader="dot" w:pos="9174"/>
        </w:tabs>
        <w:rPr>
          <w:rFonts w:eastAsiaTheme="minorEastAsia"/>
          <w:noProof/>
          <w:kern w:val="2"/>
          <w:sz w:val="24"/>
          <w:szCs w:val="24"/>
          <w:lang w:eastAsia="en-AU"/>
          <w14:ligatures w14:val="standardContextual"/>
        </w:rPr>
      </w:pPr>
      <w:hyperlink w:anchor="_Toc168645276" w:history="1">
        <w:r w:rsidR="00D81EF4" w:rsidRPr="0009355D">
          <w:rPr>
            <w:rStyle w:val="Hyperlink"/>
            <w:noProof/>
          </w:rPr>
          <w:t>Table 2 Biosecurity cost recovery arrangement cost breakdown, 2024–25</w:t>
        </w:r>
        <w:r w:rsidR="00D81EF4">
          <w:rPr>
            <w:noProof/>
            <w:webHidden/>
          </w:rPr>
          <w:tab/>
        </w:r>
        <w:r w:rsidR="00D81EF4">
          <w:rPr>
            <w:noProof/>
            <w:webHidden/>
          </w:rPr>
          <w:fldChar w:fldCharType="begin"/>
        </w:r>
        <w:r w:rsidR="00D81EF4">
          <w:rPr>
            <w:noProof/>
            <w:webHidden/>
          </w:rPr>
          <w:instrText xml:space="preserve"> PAGEREF _Toc168645276 \h </w:instrText>
        </w:r>
        <w:r w:rsidR="00D81EF4">
          <w:rPr>
            <w:noProof/>
            <w:webHidden/>
          </w:rPr>
        </w:r>
        <w:r w:rsidR="00D81EF4">
          <w:rPr>
            <w:noProof/>
            <w:webHidden/>
          </w:rPr>
          <w:fldChar w:fldCharType="separate"/>
        </w:r>
        <w:r w:rsidR="006D5EF4">
          <w:rPr>
            <w:noProof/>
            <w:webHidden/>
          </w:rPr>
          <w:t>10</w:t>
        </w:r>
        <w:r w:rsidR="00D81EF4">
          <w:rPr>
            <w:noProof/>
            <w:webHidden/>
          </w:rPr>
          <w:fldChar w:fldCharType="end"/>
        </w:r>
      </w:hyperlink>
    </w:p>
    <w:p w14:paraId="601DCCC6" w14:textId="59A14F93" w:rsidR="00D81EF4" w:rsidRDefault="005C47B5">
      <w:pPr>
        <w:pStyle w:val="TableofFigures"/>
        <w:tabs>
          <w:tab w:val="right" w:leader="dot" w:pos="9174"/>
        </w:tabs>
        <w:rPr>
          <w:rFonts w:eastAsiaTheme="minorEastAsia"/>
          <w:noProof/>
          <w:kern w:val="2"/>
          <w:sz w:val="24"/>
          <w:szCs w:val="24"/>
          <w:lang w:eastAsia="en-AU"/>
          <w14:ligatures w14:val="standardContextual"/>
        </w:rPr>
      </w:pPr>
      <w:hyperlink w:anchor="_Toc168645277" w:history="1">
        <w:r w:rsidR="00D81EF4" w:rsidRPr="0009355D">
          <w:rPr>
            <w:rStyle w:val="Hyperlink"/>
            <w:noProof/>
          </w:rPr>
          <w:t>Table 3 Fees and charges – cost, estimated volumes and revenue for biosecurity cost recovery arrangement, 2024–25</w:t>
        </w:r>
        <w:r w:rsidR="00D81EF4">
          <w:rPr>
            <w:noProof/>
            <w:webHidden/>
          </w:rPr>
          <w:tab/>
        </w:r>
        <w:r w:rsidR="00D81EF4">
          <w:rPr>
            <w:noProof/>
            <w:webHidden/>
          </w:rPr>
          <w:fldChar w:fldCharType="begin"/>
        </w:r>
        <w:r w:rsidR="00D81EF4">
          <w:rPr>
            <w:noProof/>
            <w:webHidden/>
          </w:rPr>
          <w:instrText xml:space="preserve"> PAGEREF _Toc168645277 \h </w:instrText>
        </w:r>
        <w:r w:rsidR="00D81EF4">
          <w:rPr>
            <w:noProof/>
            <w:webHidden/>
          </w:rPr>
        </w:r>
        <w:r w:rsidR="00D81EF4">
          <w:rPr>
            <w:noProof/>
            <w:webHidden/>
          </w:rPr>
          <w:fldChar w:fldCharType="separate"/>
        </w:r>
        <w:r w:rsidR="006D5EF4">
          <w:rPr>
            <w:noProof/>
            <w:webHidden/>
          </w:rPr>
          <w:t>13</w:t>
        </w:r>
        <w:r w:rsidR="00D81EF4">
          <w:rPr>
            <w:noProof/>
            <w:webHidden/>
          </w:rPr>
          <w:fldChar w:fldCharType="end"/>
        </w:r>
      </w:hyperlink>
    </w:p>
    <w:p w14:paraId="7245AD28" w14:textId="0E1049F4" w:rsidR="00D81EF4" w:rsidRDefault="005C47B5">
      <w:pPr>
        <w:pStyle w:val="TableofFigures"/>
        <w:tabs>
          <w:tab w:val="right" w:leader="dot" w:pos="9174"/>
        </w:tabs>
        <w:rPr>
          <w:rFonts w:eastAsiaTheme="minorEastAsia"/>
          <w:noProof/>
          <w:kern w:val="2"/>
          <w:sz w:val="24"/>
          <w:szCs w:val="24"/>
          <w:lang w:eastAsia="en-AU"/>
          <w14:ligatures w14:val="standardContextual"/>
        </w:rPr>
      </w:pPr>
      <w:hyperlink w:anchor="_Toc168645278" w:history="1">
        <w:r w:rsidR="00D81EF4" w:rsidRPr="0009355D">
          <w:rPr>
            <w:rStyle w:val="Hyperlink"/>
            <w:noProof/>
          </w:rPr>
          <w:t>Table 4 Fee for service on demand – prices, 2024–25</w:t>
        </w:r>
        <w:r w:rsidR="00D81EF4">
          <w:rPr>
            <w:noProof/>
            <w:webHidden/>
          </w:rPr>
          <w:tab/>
        </w:r>
        <w:r w:rsidR="00D81EF4">
          <w:rPr>
            <w:noProof/>
            <w:webHidden/>
          </w:rPr>
          <w:fldChar w:fldCharType="begin"/>
        </w:r>
        <w:r w:rsidR="00D81EF4">
          <w:rPr>
            <w:noProof/>
            <w:webHidden/>
          </w:rPr>
          <w:instrText xml:space="preserve"> PAGEREF _Toc168645278 \h </w:instrText>
        </w:r>
        <w:r w:rsidR="00D81EF4">
          <w:rPr>
            <w:noProof/>
            <w:webHidden/>
          </w:rPr>
        </w:r>
        <w:r w:rsidR="00D81EF4">
          <w:rPr>
            <w:noProof/>
            <w:webHidden/>
          </w:rPr>
          <w:fldChar w:fldCharType="separate"/>
        </w:r>
        <w:r w:rsidR="006D5EF4">
          <w:rPr>
            <w:noProof/>
            <w:webHidden/>
          </w:rPr>
          <w:t>16</w:t>
        </w:r>
        <w:r w:rsidR="00D81EF4">
          <w:rPr>
            <w:noProof/>
            <w:webHidden/>
          </w:rPr>
          <w:fldChar w:fldCharType="end"/>
        </w:r>
      </w:hyperlink>
    </w:p>
    <w:p w14:paraId="7610C094" w14:textId="56AE73B0" w:rsidR="00D81EF4" w:rsidRDefault="005C47B5">
      <w:pPr>
        <w:pStyle w:val="TableofFigures"/>
        <w:tabs>
          <w:tab w:val="right" w:leader="dot" w:pos="9174"/>
        </w:tabs>
        <w:rPr>
          <w:rFonts w:eastAsiaTheme="minorEastAsia"/>
          <w:noProof/>
          <w:kern w:val="2"/>
          <w:sz w:val="24"/>
          <w:szCs w:val="24"/>
          <w:lang w:eastAsia="en-AU"/>
          <w14:ligatures w14:val="standardContextual"/>
        </w:rPr>
      </w:pPr>
      <w:hyperlink w:anchor="_Toc168645279" w:history="1">
        <w:r w:rsidR="00D81EF4" w:rsidRPr="0009355D">
          <w:rPr>
            <w:rStyle w:val="Hyperlink"/>
            <w:noProof/>
          </w:rPr>
          <w:t>Table 5 Cost type breakdown</w:t>
        </w:r>
        <w:r w:rsidR="00D81EF4">
          <w:rPr>
            <w:noProof/>
            <w:webHidden/>
          </w:rPr>
          <w:tab/>
        </w:r>
        <w:r w:rsidR="00D81EF4">
          <w:rPr>
            <w:noProof/>
            <w:webHidden/>
          </w:rPr>
          <w:fldChar w:fldCharType="begin"/>
        </w:r>
        <w:r w:rsidR="00D81EF4">
          <w:rPr>
            <w:noProof/>
            <w:webHidden/>
          </w:rPr>
          <w:instrText xml:space="preserve"> PAGEREF _Toc168645279 \h </w:instrText>
        </w:r>
        <w:r w:rsidR="00D81EF4">
          <w:rPr>
            <w:noProof/>
            <w:webHidden/>
          </w:rPr>
        </w:r>
        <w:r w:rsidR="00D81EF4">
          <w:rPr>
            <w:noProof/>
            <w:webHidden/>
          </w:rPr>
          <w:fldChar w:fldCharType="separate"/>
        </w:r>
        <w:r w:rsidR="006D5EF4">
          <w:rPr>
            <w:noProof/>
            <w:webHidden/>
          </w:rPr>
          <w:t>16</w:t>
        </w:r>
        <w:r w:rsidR="00D81EF4">
          <w:rPr>
            <w:noProof/>
            <w:webHidden/>
          </w:rPr>
          <w:fldChar w:fldCharType="end"/>
        </w:r>
      </w:hyperlink>
    </w:p>
    <w:p w14:paraId="7BB8E114" w14:textId="70D9AE4F" w:rsidR="00D81EF4" w:rsidRDefault="005C47B5">
      <w:pPr>
        <w:pStyle w:val="TableofFigures"/>
        <w:tabs>
          <w:tab w:val="right" w:leader="dot" w:pos="9174"/>
        </w:tabs>
        <w:rPr>
          <w:rFonts w:eastAsiaTheme="minorEastAsia"/>
          <w:noProof/>
          <w:kern w:val="2"/>
          <w:sz w:val="24"/>
          <w:szCs w:val="24"/>
          <w:lang w:eastAsia="en-AU"/>
          <w14:ligatures w14:val="standardContextual"/>
        </w:rPr>
      </w:pPr>
      <w:hyperlink w:anchor="_Toc168645280" w:history="1">
        <w:r w:rsidR="00D81EF4" w:rsidRPr="0009355D">
          <w:rPr>
            <w:rStyle w:val="Hyperlink"/>
            <w:noProof/>
          </w:rPr>
          <w:t>Table 6 Risks for biosecurity cost recovery arrangement</w:t>
        </w:r>
        <w:r w:rsidR="00D81EF4">
          <w:rPr>
            <w:noProof/>
            <w:webHidden/>
          </w:rPr>
          <w:tab/>
        </w:r>
        <w:r w:rsidR="00D81EF4">
          <w:rPr>
            <w:noProof/>
            <w:webHidden/>
          </w:rPr>
          <w:fldChar w:fldCharType="begin"/>
        </w:r>
        <w:r w:rsidR="00D81EF4">
          <w:rPr>
            <w:noProof/>
            <w:webHidden/>
          </w:rPr>
          <w:instrText xml:space="preserve"> PAGEREF _Toc168645280 \h </w:instrText>
        </w:r>
        <w:r w:rsidR="00D81EF4">
          <w:rPr>
            <w:noProof/>
            <w:webHidden/>
          </w:rPr>
        </w:r>
        <w:r w:rsidR="00D81EF4">
          <w:rPr>
            <w:noProof/>
            <w:webHidden/>
          </w:rPr>
          <w:fldChar w:fldCharType="separate"/>
        </w:r>
        <w:r w:rsidR="006D5EF4">
          <w:rPr>
            <w:noProof/>
            <w:webHidden/>
          </w:rPr>
          <w:t>18</w:t>
        </w:r>
        <w:r w:rsidR="00D81EF4">
          <w:rPr>
            <w:noProof/>
            <w:webHidden/>
          </w:rPr>
          <w:fldChar w:fldCharType="end"/>
        </w:r>
      </w:hyperlink>
    </w:p>
    <w:p w14:paraId="7E9FAB15" w14:textId="42F76715" w:rsidR="00D81EF4" w:rsidRDefault="005C47B5">
      <w:pPr>
        <w:pStyle w:val="TableofFigures"/>
        <w:tabs>
          <w:tab w:val="right" w:leader="dot" w:pos="9174"/>
        </w:tabs>
        <w:rPr>
          <w:rFonts w:eastAsiaTheme="minorEastAsia"/>
          <w:noProof/>
          <w:kern w:val="2"/>
          <w:sz w:val="24"/>
          <w:szCs w:val="24"/>
          <w:lang w:eastAsia="en-AU"/>
          <w14:ligatures w14:val="standardContextual"/>
        </w:rPr>
      </w:pPr>
      <w:hyperlink w:anchor="_Toc168645281" w:history="1">
        <w:r w:rsidR="00D81EF4" w:rsidRPr="0009355D">
          <w:rPr>
            <w:rStyle w:val="Hyperlink"/>
            <w:noProof/>
          </w:rPr>
          <w:t>Table 7 Financial estimates for biosecurity cost recovery arrangement, 2023–24 to 2026–27</w:t>
        </w:r>
        <w:r w:rsidR="00D81EF4">
          <w:rPr>
            <w:noProof/>
            <w:webHidden/>
          </w:rPr>
          <w:tab/>
        </w:r>
        <w:r w:rsidR="00D81EF4">
          <w:rPr>
            <w:noProof/>
            <w:webHidden/>
          </w:rPr>
          <w:fldChar w:fldCharType="begin"/>
        </w:r>
        <w:r w:rsidR="00D81EF4">
          <w:rPr>
            <w:noProof/>
            <w:webHidden/>
          </w:rPr>
          <w:instrText xml:space="preserve"> PAGEREF _Toc168645281 \h </w:instrText>
        </w:r>
        <w:r w:rsidR="00D81EF4">
          <w:rPr>
            <w:noProof/>
            <w:webHidden/>
          </w:rPr>
        </w:r>
        <w:r w:rsidR="00D81EF4">
          <w:rPr>
            <w:noProof/>
            <w:webHidden/>
          </w:rPr>
          <w:fldChar w:fldCharType="separate"/>
        </w:r>
        <w:r w:rsidR="006D5EF4">
          <w:rPr>
            <w:noProof/>
            <w:webHidden/>
          </w:rPr>
          <w:t>20</w:t>
        </w:r>
        <w:r w:rsidR="00D81EF4">
          <w:rPr>
            <w:noProof/>
            <w:webHidden/>
          </w:rPr>
          <w:fldChar w:fldCharType="end"/>
        </w:r>
      </w:hyperlink>
    </w:p>
    <w:p w14:paraId="4E733758" w14:textId="63BFF304" w:rsidR="00D81EF4" w:rsidRDefault="005C47B5">
      <w:pPr>
        <w:pStyle w:val="TableofFigures"/>
        <w:tabs>
          <w:tab w:val="right" w:leader="dot" w:pos="9174"/>
        </w:tabs>
        <w:rPr>
          <w:rFonts w:eastAsiaTheme="minorEastAsia"/>
          <w:noProof/>
          <w:kern w:val="2"/>
          <w:sz w:val="24"/>
          <w:szCs w:val="24"/>
          <w:lang w:eastAsia="en-AU"/>
          <w14:ligatures w14:val="standardContextual"/>
        </w:rPr>
      </w:pPr>
      <w:hyperlink w:anchor="_Toc168645282" w:history="1">
        <w:r w:rsidR="00D81EF4" w:rsidRPr="0009355D">
          <w:rPr>
            <w:rStyle w:val="Hyperlink"/>
            <w:noProof/>
          </w:rPr>
          <w:t>Table 8 Financial performance for biosecurity cost recovery arrangement, 2019–20 to 2022–23</w:t>
        </w:r>
        <w:r w:rsidR="00D81EF4">
          <w:rPr>
            <w:noProof/>
            <w:webHidden/>
          </w:rPr>
          <w:tab/>
        </w:r>
        <w:r w:rsidR="00D81EF4">
          <w:rPr>
            <w:noProof/>
            <w:webHidden/>
          </w:rPr>
          <w:fldChar w:fldCharType="begin"/>
        </w:r>
        <w:r w:rsidR="00D81EF4">
          <w:rPr>
            <w:noProof/>
            <w:webHidden/>
          </w:rPr>
          <w:instrText xml:space="preserve"> PAGEREF _Toc168645282 \h </w:instrText>
        </w:r>
        <w:r w:rsidR="00D81EF4">
          <w:rPr>
            <w:noProof/>
            <w:webHidden/>
          </w:rPr>
        </w:r>
        <w:r w:rsidR="00D81EF4">
          <w:rPr>
            <w:noProof/>
            <w:webHidden/>
          </w:rPr>
          <w:fldChar w:fldCharType="separate"/>
        </w:r>
        <w:r w:rsidR="006D5EF4">
          <w:rPr>
            <w:noProof/>
            <w:webHidden/>
          </w:rPr>
          <w:t>22</w:t>
        </w:r>
        <w:r w:rsidR="00D81EF4">
          <w:rPr>
            <w:noProof/>
            <w:webHidden/>
          </w:rPr>
          <w:fldChar w:fldCharType="end"/>
        </w:r>
      </w:hyperlink>
    </w:p>
    <w:p w14:paraId="351F0868" w14:textId="43C1FA10" w:rsidR="00D81EF4" w:rsidRDefault="005C47B5">
      <w:pPr>
        <w:pStyle w:val="TableofFigures"/>
        <w:tabs>
          <w:tab w:val="right" w:leader="dot" w:pos="9174"/>
        </w:tabs>
        <w:rPr>
          <w:rFonts w:eastAsiaTheme="minorEastAsia"/>
          <w:noProof/>
          <w:kern w:val="2"/>
          <w:sz w:val="24"/>
          <w:szCs w:val="24"/>
          <w:lang w:eastAsia="en-AU"/>
          <w14:ligatures w14:val="standardContextual"/>
        </w:rPr>
      </w:pPr>
      <w:hyperlink w:anchor="_Toc168645283" w:history="1">
        <w:r w:rsidR="00D81EF4" w:rsidRPr="0009355D">
          <w:rPr>
            <w:rStyle w:val="Hyperlink"/>
            <w:noProof/>
          </w:rPr>
          <w:t>Table 9 Non-financial performance measures for biosecurity arrangement, 2022–23</w:t>
        </w:r>
        <w:r w:rsidR="00D81EF4">
          <w:rPr>
            <w:noProof/>
            <w:webHidden/>
          </w:rPr>
          <w:tab/>
        </w:r>
        <w:r w:rsidR="00D81EF4">
          <w:rPr>
            <w:noProof/>
            <w:webHidden/>
          </w:rPr>
          <w:fldChar w:fldCharType="begin"/>
        </w:r>
        <w:r w:rsidR="00D81EF4">
          <w:rPr>
            <w:noProof/>
            <w:webHidden/>
          </w:rPr>
          <w:instrText xml:space="preserve"> PAGEREF _Toc168645283 \h </w:instrText>
        </w:r>
        <w:r w:rsidR="00D81EF4">
          <w:rPr>
            <w:noProof/>
            <w:webHidden/>
          </w:rPr>
        </w:r>
        <w:r w:rsidR="00D81EF4">
          <w:rPr>
            <w:noProof/>
            <w:webHidden/>
          </w:rPr>
          <w:fldChar w:fldCharType="separate"/>
        </w:r>
        <w:r w:rsidR="006D5EF4">
          <w:rPr>
            <w:noProof/>
            <w:webHidden/>
          </w:rPr>
          <w:t>22</w:t>
        </w:r>
        <w:r w:rsidR="00D81EF4">
          <w:rPr>
            <w:noProof/>
            <w:webHidden/>
          </w:rPr>
          <w:fldChar w:fldCharType="end"/>
        </w:r>
      </w:hyperlink>
    </w:p>
    <w:p w14:paraId="029244AB" w14:textId="239B11D0" w:rsidR="00D81EF4" w:rsidRDefault="005C47B5">
      <w:pPr>
        <w:pStyle w:val="TableofFigures"/>
        <w:tabs>
          <w:tab w:val="right" w:leader="dot" w:pos="9174"/>
        </w:tabs>
        <w:rPr>
          <w:rFonts w:eastAsiaTheme="minorEastAsia"/>
          <w:noProof/>
          <w:kern w:val="2"/>
          <w:sz w:val="24"/>
          <w:szCs w:val="24"/>
          <w:lang w:eastAsia="en-AU"/>
          <w14:ligatures w14:val="standardContextual"/>
        </w:rPr>
      </w:pPr>
      <w:hyperlink w:anchor="_Toc168645284" w:history="1">
        <w:r w:rsidR="00D81EF4" w:rsidRPr="0009355D">
          <w:rPr>
            <w:rStyle w:val="Hyperlink"/>
            <w:noProof/>
          </w:rPr>
          <w:t>Table 10 Key forward dates and events</w:t>
        </w:r>
        <w:r w:rsidR="00D81EF4">
          <w:rPr>
            <w:noProof/>
            <w:webHidden/>
          </w:rPr>
          <w:tab/>
        </w:r>
        <w:r w:rsidR="00D81EF4">
          <w:rPr>
            <w:noProof/>
            <w:webHidden/>
          </w:rPr>
          <w:fldChar w:fldCharType="begin"/>
        </w:r>
        <w:r w:rsidR="00D81EF4">
          <w:rPr>
            <w:noProof/>
            <w:webHidden/>
          </w:rPr>
          <w:instrText xml:space="preserve"> PAGEREF _Toc168645284 \h </w:instrText>
        </w:r>
        <w:r w:rsidR="00D81EF4">
          <w:rPr>
            <w:noProof/>
            <w:webHidden/>
          </w:rPr>
        </w:r>
        <w:r w:rsidR="00D81EF4">
          <w:rPr>
            <w:noProof/>
            <w:webHidden/>
          </w:rPr>
          <w:fldChar w:fldCharType="separate"/>
        </w:r>
        <w:r w:rsidR="006D5EF4">
          <w:rPr>
            <w:noProof/>
            <w:webHidden/>
          </w:rPr>
          <w:t>24</w:t>
        </w:r>
        <w:r w:rsidR="00D81EF4">
          <w:rPr>
            <w:noProof/>
            <w:webHidden/>
          </w:rPr>
          <w:fldChar w:fldCharType="end"/>
        </w:r>
      </w:hyperlink>
    </w:p>
    <w:p w14:paraId="56390B16" w14:textId="20CF5A7B" w:rsidR="005A6507" w:rsidRDefault="005C47B5">
      <w:pPr>
        <w:pStyle w:val="TableofFigures"/>
        <w:tabs>
          <w:tab w:val="right" w:leader="dot" w:pos="9174"/>
        </w:tabs>
        <w:rPr>
          <w:rFonts w:cstheme="minorHAnsi"/>
        </w:rPr>
      </w:pPr>
      <w:hyperlink w:anchor="_Toc168645285" w:history="1">
        <w:r w:rsidR="00D81EF4" w:rsidRPr="0009355D">
          <w:rPr>
            <w:rStyle w:val="Hyperlink"/>
            <w:noProof/>
          </w:rPr>
          <w:t>Table 11 Change register</w:t>
        </w:r>
        <w:r w:rsidR="00D81EF4">
          <w:rPr>
            <w:noProof/>
            <w:webHidden/>
          </w:rPr>
          <w:tab/>
        </w:r>
        <w:r w:rsidR="00D81EF4">
          <w:rPr>
            <w:noProof/>
            <w:webHidden/>
          </w:rPr>
          <w:fldChar w:fldCharType="begin"/>
        </w:r>
        <w:r w:rsidR="00D81EF4">
          <w:rPr>
            <w:noProof/>
            <w:webHidden/>
          </w:rPr>
          <w:instrText xml:space="preserve"> PAGEREF _Toc168645285 \h </w:instrText>
        </w:r>
        <w:r w:rsidR="00D81EF4">
          <w:rPr>
            <w:noProof/>
            <w:webHidden/>
          </w:rPr>
        </w:r>
        <w:r w:rsidR="00D81EF4">
          <w:rPr>
            <w:noProof/>
            <w:webHidden/>
          </w:rPr>
          <w:fldChar w:fldCharType="separate"/>
        </w:r>
        <w:r w:rsidR="006D5EF4">
          <w:rPr>
            <w:noProof/>
            <w:webHidden/>
          </w:rPr>
          <w:t>25</w:t>
        </w:r>
        <w:r w:rsidR="00D81EF4">
          <w:rPr>
            <w:noProof/>
            <w:webHidden/>
          </w:rPr>
          <w:fldChar w:fldCharType="end"/>
        </w:r>
      </w:hyperlink>
      <w:r w:rsidR="005A6507">
        <w:rPr>
          <w:rFonts w:cstheme="minorHAnsi"/>
        </w:rPr>
        <w:fldChar w:fldCharType="end"/>
      </w:r>
    </w:p>
    <w:p w14:paraId="32A62850" w14:textId="171D677C" w:rsidR="00D81EF4" w:rsidRDefault="003040C6">
      <w:pPr>
        <w:pStyle w:val="TableofFigures"/>
        <w:tabs>
          <w:tab w:val="right" w:leader="dot" w:pos="9174"/>
        </w:tabs>
        <w:rPr>
          <w:rFonts w:eastAsiaTheme="minorEastAsia"/>
          <w:noProof/>
          <w:kern w:val="2"/>
          <w:sz w:val="24"/>
          <w:szCs w:val="24"/>
          <w:lang w:eastAsia="en-AU"/>
          <w14:ligatures w14:val="standardContextual"/>
        </w:rPr>
      </w:pPr>
      <w:r>
        <w:rPr>
          <w:rFonts w:cstheme="minorHAnsi"/>
        </w:rPr>
        <w:fldChar w:fldCharType="begin"/>
      </w:r>
      <w:r>
        <w:rPr>
          <w:rFonts w:cstheme="minorHAnsi"/>
        </w:rPr>
        <w:instrText xml:space="preserve"> TOC \h \z \c "Table A" </w:instrText>
      </w:r>
      <w:r>
        <w:rPr>
          <w:rFonts w:cstheme="minorHAnsi"/>
        </w:rPr>
        <w:fldChar w:fldCharType="separate"/>
      </w:r>
      <w:hyperlink w:anchor="_Toc168645286" w:history="1">
        <w:r w:rsidR="00D81EF4" w:rsidRPr="000E649A">
          <w:rPr>
            <w:rStyle w:val="Hyperlink"/>
            <w:noProof/>
          </w:rPr>
          <w:t>Table A1 Vessel and aircraft</w:t>
        </w:r>
        <w:r w:rsidR="00D81EF4">
          <w:rPr>
            <w:noProof/>
            <w:webHidden/>
          </w:rPr>
          <w:tab/>
        </w:r>
        <w:r w:rsidR="00D81EF4">
          <w:rPr>
            <w:noProof/>
            <w:webHidden/>
          </w:rPr>
          <w:fldChar w:fldCharType="begin"/>
        </w:r>
        <w:r w:rsidR="00D81EF4">
          <w:rPr>
            <w:noProof/>
            <w:webHidden/>
          </w:rPr>
          <w:instrText xml:space="preserve"> PAGEREF _Toc168645286 \h </w:instrText>
        </w:r>
        <w:r w:rsidR="00D81EF4">
          <w:rPr>
            <w:noProof/>
            <w:webHidden/>
          </w:rPr>
        </w:r>
        <w:r w:rsidR="00D81EF4">
          <w:rPr>
            <w:noProof/>
            <w:webHidden/>
          </w:rPr>
          <w:fldChar w:fldCharType="separate"/>
        </w:r>
        <w:r w:rsidR="006D5EF4">
          <w:rPr>
            <w:noProof/>
            <w:webHidden/>
          </w:rPr>
          <w:t>26</w:t>
        </w:r>
        <w:r w:rsidR="00D81EF4">
          <w:rPr>
            <w:noProof/>
            <w:webHidden/>
          </w:rPr>
          <w:fldChar w:fldCharType="end"/>
        </w:r>
      </w:hyperlink>
    </w:p>
    <w:p w14:paraId="2B6557C9" w14:textId="5182287E" w:rsidR="00D81EF4" w:rsidRDefault="005C47B5">
      <w:pPr>
        <w:pStyle w:val="TableofFigures"/>
        <w:tabs>
          <w:tab w:val="right" w:leader="dot" w:pos="9174"/>
        </w:tabs>
        <w:rPr>
          <w:rFonts w:eastAsiaTheme="minorEastAsia"/>
          <w:noProof/>
          <w:kern w:val="2"/>
          <w:sz w:val="24"/>
          <w:szCs w:val="24"/>
          <w:lang w:eastAsia="en-AU"/>
          <w14:ligatures w14:val="standardContextual"/>
        </w:rPr>
      </w:pPr>
      <w:hyperlink w:anchor="_Toc168645287" w:history="1">
        <w:r w:rsidR="00D81EF4" w:rsidRPr="000E649A">
          <w:rPr>
            <w:rStyle w:val="Hyperlink"/>
            <w:noProof/>
          </w:rPr>
          <w:t>Table A2 Cargo</w:t>
        </w:r>
        <w:r w:rsidR="00D81EF4">
          <w:rPr>
            <w:noProof/>
            <w:webHidden/>
          </w:rPr>
          <w:tab/>
        </w:r>
        <w:r w:rsidR="00D81EF4">
          <w:rPr>
            <w:noProof/>
            <w:webHidden/>
          </w:rPr>
          <w:fldChar w:fldCharType="begin"/>
        </w:r>
        <w:r w:rsidR="00D81EF4">
          <w:rPr>
            <w:noProof/>
            <w:webHidden/>
          </w:rPr>
          <w:instrText xml:space="preserve"> PAGEREF _Toc168645287 \h </w:instrText>
        </w:r>
        <w:r w:rsidR="00D81EF4">
          <w:rPr>
            <w:noProof/>
            <w:webHidden/>
          </w:rPr>
        </w:r>
        <w:r w:rsidR="00D81EF4">
          <w:rPr>
            <w:noProof/>
            <w:webHidden/>
          </w:rPr>
          <w:fldChar w:fldCharType="separate"/>
        </w:r>
        <w:r w:rsidR="006D5EF4">
          <w:rPr>
            <w:noProof/>
            <w:webHidden/>
          </w:rPr>
          <w:t>26</w:t>
        </w:r>
        <w:r w:rsidR="00D81EF4">
          <w:rPr>
            <w:noProof/>
            <w:webHidden/>
          </w:rPr>
          <w:fldChar w:fldCharType="end"/>
        </w:r>
      </w:hyperlink>
    </w:p>
    <w:p w14:paraId="5CFA4C8D" w14:textId="1C4BB702" w:rsidR="00D81EF4" w:rsidRDefault="005C47B5" w:rsidP="00EF255B">
      <w:pPr>
        <w:pStyle w:val="TableofFigures"/>
        <w:tabs>
          <w:tab w:val="right" w:leader="dot" w:pos="9174"/>
        </w:tabs>
        <w:rPr>
          <w:noProof/>
        </w:rPr>
      </w:pPr>
      <w:hyperlink w:anchor="_Toc168645288" w:history="1">
        <w:r w:rsidR="00D81EF4" w:rsidRPr="000E649A">
          <w:rPr>
            <w:rStyle w:val="Hyperlink"/>
            <w:noProof/>
          </w:rPr>
          <w:t>Table A3 Import permit applications and animals processed at the PEQ</w:t>
        </w:r>
        <w:r w:rsidR="00D81EF4">
          <w:rPr>
            <w:noProof/>
            <w:webHidden/>
          </w:rPr>
          <w:tab/>
        </w:r>
        <w:r w:rsidR="00D81EF4">
          <w:rPr>
            <w:noProof/>
            <w:webHidden/>
          </w:rPr>
          <w:fldChar w:fldCharType="begin"/>
        </w:r>
        <w:r w:rsidR="00D81EF4">
          <w:rPr>
            <w:noProof/>
            <w:webHidden/>
          </w:rPr>
          <w:instrText xml:space="preserve"> PAGEREF _Toc168645288 \h </w:instrText>
        </w:r>
        <w:r w:rsidR="00D81EF4">
          <w:rPr>
            <w:noProof/>
            <w:webHidden/>
          </w:rPr>
        </w:r>
        <w:r w:rsidR="00D81EF4">
          <w:rPr>
            <w:noProof/>
            <w:webHidden/>
          </w:rPr>
          <w:fldChar w:fldCharType="separate"/>
        </w:r>
        <w:r w:rsidR="006D5EF4">
          <w:rPr>
            <w:noProof/>
            <w:webHidden/>
          </w:rPr>
          <w:t>26</w:t>
        </w:r>
        <w:r w:rsidR="00D81EF4">
          <w:rPr>
            <w:noProof/>
            <w:webHidden/>
          </w:rPr>
          <w:fldChar w:fldCharType="end"/>
        </w:r>
      </w:hyperlink>
      <w:r w:rsidR="003040C6">
        <w:rPr>
          <w:rFonts w:cstheme="minorHAnsi"/>
        </w:rPr>
        <w:fldChar w:fldCharType="end"/>
      </w:r>
      <w:r w:rsidR="00BA36D1" w:rsidRPr="00C744DF">
        <w:rPr>
          <w:rFonts w:cstheme="minorHAnsi"/>
        </w:rPr>
        <w:fldChar w:fldCharType="begin"/>
      </w:r>
      <w:r w:rsidR="00BA36D1" w:rsidRPr="00C744DF">
        <w:rPr>
          <w:rFonts w:cstheme="minorHAnsi"/>
        </w:rPr>
        <w:instrText xml:space="preserve"> TOC \h \z \c "Table D" </w:instrText>
      </w:r>
      <w:r w:rsidR="00BA36D1" w:rsidRPr="00C744DF">
        <w:rPr>
          <w:rFonts w:cstheme="minorHAnsi"/>
        </w:rPr>
        <w:fldChar w:fldCharType="separate"/>
      </w:r>
    </w:p>
    <w:p w14:paraId="4B90B51E" w14:textId="06100C66" w:rsidR="00BA36D1" w:rsidRDefault="005C47B5" w:rsidP="00EF255B">
      <w:pPr>
        <w:pStyle w:val="TableofFigures"/>
        <w:tabs>
          <w:tab w:val="right" w:leader="dot" w:pos="9174"/>
        </w:tabs>
        <w:rPr>
          <w:rFonts w:cstheme="minorHAnsi"/>
        </w:rPr>
      </w:pPr>
      <w:hyperlink w:anchor="_Toc168645289" w:history="1">
        <w:r w:rsidR="00D81EF4" w:rsidRPr="00A227BF">
          <w:rPr>
            <w:rStyle w:val="Hyperlink"/>
            <w:noProof/>
          </w:rPr>
          <w:t>Table D1 Government approval for continued and expanded regulatory charging for biosecurity activities</w:t>
        </w:r>
        <w:r w:rsidR="00D81EF4">
          <w:rPr>
            <w:noProof/>
            <w:webHidden/>
          </w:rPr>
          <w:tab/>
        </w:r>
        <w:r w:rsidR="00D81EF4">
          <w:rPr>
            <w:noProof/>
            <w:webHidden/>
          </w:rPr>
          <w:fldChar w:fldCharType="begin"/>
        </w:r>
        <w:r w:rsidR="00D81EF4">
          <w:rPr>
            <w:noProof/>
            <w:webHidden/>
          </w:rPr>
          <w:instrText xml:space="preserve"> PAGEREF _Toc168645289 \h </w:instrText>
        </w:r>
        <w:r w:rsidR="00D81EF4">
          <w:rPr>
            <w:noProof/>
            <w:webHidden/>
          </w:rPr>
        </w:r>
        <w:r w:rsidR="00D81EF4">
          <w:rPr>
            <w:noProof/>
            <w:webHidden/>
          </w:rPr>
          <w:fldChar w:fldCharType="separate"/>
        </w:r>
        <w:r w:rsidR="006D5EF4">
          <w:rPr>
            <w:noProof/>
            <w:webHidden/>
          </w:rPr>
          <w:t>31</w:t>
        </w:r>
        <w:r w:rsidR="00D81EF4">
          <w:rPr>
            <w:noProof/>
            <w:webHidden/>
          </w:rPr>
          <w:fldChar w:fldCharType="end"/>
        </w:r>
      </w:hyperlink>
      <w:r w:rsidR="00BA36D1" w:rsidRPr="00C744DF">
        <w:rPr>
          <w:rFonts w:cstheme="minorHAnsi"/>
        </w:rPr>
        <w:fldChar w:fldCharType="end"/>
      </w:r>
    </w:p>
    <w:p w14:paraId="10385BDA" w14:textId="77777777" w:rsidR="00764D6A" w:rsidRPr="00C744DF" w:rsidRDefault="00E91D72">
      <w:pPr>
        <w:pStyle w:val="TOCHeading2"/>
        <w:rPr>
          <w:rStyle w:val="Strong"/>
          <w:rFonts w:asciiTheme="minorHAnsi" w:hAnsiTheme="minorHAnsi" w:cstheme="minorHAnsi"/>
        </w:rPr>
      </w:pPr>
      <w:r w:rsidRPr="00C744DF">
        <w:rPr>
          <w:rStyle w:val="Strong"/>
          <w:rFonts w:asciiTheme="minorHAnsi" w:hAnsiTheme="minorHAnsi" w:cstheme="minorHAnsi"/>
        </w:rPr>
        <w:t>Figures</w:t>
      </w:r>
    </w:p>
    <w:p w14:paraId="7F25EAAB" w14:textId="2BBBC47C" w:rsidR="00D81EF4" w:rsidRDefault="00E91D72">
      <w:pPr>
        <w:pStyle w:val="TableofFigures"/>
        <w:tabs>
          <w:tab w:val="right" w:leader="dot" w:pos="9174"/>
        </w:tabs>
        <w:rPr>
          <w:rFonts w:eastAsiaTheme="minorEastAsia"/>
          <w:noProof/>
          <w:kern w:val="2"/>
          <w:sz w:val="24"/>
          <w:szCs w:val="24"/>
          <w:lang w:eastAsia="en-AU"/>
          <w14:ligatures w14:val="standardContextual"/>
        </w:rPr>
      </w:pPr>
      <w:r w:rsidRPr="00C744DF">
        <w:rPr>
          <w:rFonts w:cstheme="minorHAnsi"/>
        </w:rPr>
        <w:fldChar w:fldCharType="begin"/>
      </w:r>
      <w:r w:rsidRPr="00C744DF">
        <w:rPr>
          <w:rFonts w:cstheme="minorHAnsi"/>
        </w:rPr>
        <w:instrText xml:space="preserve"> TOC \h \z \c "Figure" </w:instrText>
      </w:r>
      <w:r w:rsidRPr="00C744DF">
        <w:rPr>
          <w:rFonts w:cstheme="minorHAnsi"/>
        </w:rPr>
        <w:fldChar w:fldCharType="separate"/>
      </w:r>
      <w:hyperlink w:anchor="_Toc168645290" w:history="1">
        <w:r w:rsidR="00D81EF4" w:rsidRPr="007B470C">
          <w:rPr>
            <w:rStyle w:val="Hyperlink"/>
            <w:rFonts w:cstheme="minorHAnsi"/>
            <w:noProof/>
          </w:rPr>
          <w:t>Figure 1 Charge (levy) and fee related activities and associated outputs</w:t>
        </w:r>
        <w:r w:rsidR="00D81EF4">
          <w:rPr>
            <w:noProof/>
            <w:webHidden/>
          </w:rPr>
          <w:tab/>
        </w:r>
        <w:r w:rsidR="00D81EF4">
          <w:rPr>
            <w:noProof/>
            <w:webHidden/>
          </w:rPr>
          <w:fldChar w:fldCharType="begin"/>
        </w:r>
        <w:r w:rsidR="00D81EF4">
          <w:rPr>
            <w:noProof/>
            <w:webHidden/>
          </w:rPr>
          <w:instrText xml:space="preserve"> PAGEREF _Toc168645290 \h </w:instrText>
        </w:r>
        <w:r w:rsidR="00D81EF4">
          <w:rPr>
            <w:noProof/>
            <w:webHidden/>
          </w:rPr>
        </w:r>
        <w:r w:rsidR="00D81EF4">
          <w:rPr>
            <w:noProof/>
            <w:webHidden/>
          </w:rPr>
          <w:fldChar w:fldCharType="separate"/>
        </w:r>
        <w:r w:rsidR="006D5EF4">
          <w:rPr>
            <w:noProof/>
            <w:webHidden/>
          </w:rPr>
          <w:t>9</w:t>
        </w:r>
        <w:r w:rsidR="00D81EF4">
          <w:rPr>
            <w:noProof/>
            <w:webHidden/>
          </w:rPr>
          <w:fldChar w:fldCharType="end"/>
        </w:r>
      </w:hyperlink>
    </w:p>
    <w:p w14:paraId="6CA891E9" w14:textId="4F3D3099" w:rsidR="00D81EF4" w:rsidRDefault="005C47B5">
      <w:pPr>
        <w:pStyle w:val="TableofFigures"/>
        <w:tabs>
          <w:tab w:val="right" w:leader="dot" w:pos="9174"/>
        </w:tabs>
        <w:rPr>
          <w:rFonts w:eastAsiaTheme="minorEastAsia"/>
          <w:noProof/>
          <w:kern w:val="2"/>
          <w:sz w:val="24"/>
          <w:szCs w:val="24"/>
          <w:lang w:eastAsia="en-AU"/>
          <w14:ligatures w14:val="standardContextual"/>
        </w:rPr>
      </w:pPr>
      <w:hyperlink w:anchor="_Toc168645291" w:history="1">
        <w:r w:rsidR="00D81EF4" w:rsidRPr="007B470C">
          <w:rPr>
            <w:rStyle w:val="Hyperlink"/>
            <w:rFonts w:cstheme="minorHAnsi"/>
            <w:noProof/>
          </w:rPr>
          <w:t>Figure 2 Activity based cost model</w:t>
        </w:r>
        <w:r w:rsidR="00D81EF4">
          <w:rPr>
            <w:noProof/>
            <w:webHidden/>
          </w:rPr>
          <w:tab/>
        </w:r>
        <w:r w:rsidR="00D81EF4">
          <w:rPr>
            <w:noProof/>
            <w:webHidden/>
          </w:rPr>
          <w:fldChar w:fldCharType="begin"/>
        </w:r>
        <w:r w:rsidR="00D81EF4">
          <w:rPr>
            <w:noProof/>
            <w:webHidden/>
          </w:rPr>
          <w:instrText xml:space="preserve"> PAGEREF _Toc168645291 \h </w:instrText>
        </w:r>
        <w:r w:rsidR="00D81EF4">
          <w:rPr>
            <w:noProof/>
            <w:webHidden/>
          </w:rPr>
        </w:r>
        <w:r w:rsidR="00D81EF4">
          <w:rPr>
            <w:noProof/>
            <w:webHidden/>
          </w:rPr>
          <w:fldChar w:fldCharType="separate"/>
        </w:r>
        <w:r w:rsidR="006D5EF4">
          <w:rPr>
            <w:noProof/>
            <w:webHidden/>
          </w:rPr>
          <w:t>10</w:t>
        </w:r>
        <w:r w:rsidR="00D81EF4">
          <w:rPr>
            <w:noProof/>
            <w:webHidden/>
          </w:rPr>
          <w:fldChar w:fldCharType="end"/>
        </w:r>
      </w:hyperlink>
    </w:p>
    <w:p w14:paraId="45BF7410" w14:textId="19F29826" w:rsidR="00CA458B" w:rsidRPr="00C744DF" w:rsidRDefault="00E91D72" w:rsidP="00506E0F">
      <w:pPr>
        <w:pStyle w:val="TOCHeading2"/>
        <w:rPr>
          <w:rStyle w:val="Strong"/>
          <w:rFonts w:asciiTheme="minorHAnsi" w:hAnsiTheme="minorHAnsi" w:cstheme="minorHAnsi"/>
        </w:rPr>
      </w:pPr>
      <w:r w:rsidRPr="00C744DF">
        <w:rPr>
          <w:rFonts w:cstheme="minorHAnsi"/>
        </w:rPr>
        <w:fldChar w:fldCharType="end"/>
      </w:r>
      <w:r w:rsidR="004337AA" w:rsidRPr="00C744DF">
        <w:rPr>
          <w:rStyle w:val="Strong"/>
          <w:rFonts w:asciiTheme="minorHAnsi" w:hAnsiTheme="minorHAnsi" w:cstheme="minorHAnsi"/>
        </w:rPr>
        <w:t>Boxes</w:t>
      </w:r>
    </w:p>
    <w:p w14:paraId="34A85D34" w14:textId="79D91F23" w:rsidR="00274907" w:rsidRDefault="004337AA">
      <w:pPr>
        <w:pStyle w:val="TableofFigures"/>
        <w:tabs>
          <w:tab w:val="right" w:leader="dot" w:pos="9174"/>
        </w:tabs>
        <w:rPr>
          <w:rFonts w:eastAsiaTheme="minorEastAsia"/>
          <w:noProof/>
          <w:kern w:val="2"/>
          <w:sz w:val="24"/>
          <w:szCs w:val="24"/>
          <w:lang w:eastAsia="en-AU"/>
          <w14:ligatures w14:val="standardContextual"/>
        </w:rPr>
      </w:pPr>
      <w:r w:rsidRPr="00C744DF">
        <w:rPr>
          <w:rFonts w:cstheme="minorHAnsi"/>
        </w:rPr>
        <w:fldChar w:fldCharType="begin"/>
      </w:r>
      <w:r w:rsidRPr="00C744DF">
        <w:rPr>
          <w:rFonts w:cstheme="minorHAnsi"/>
        </w:rPr>
        <w:instrText xml:space="preserve"> TOC \h \z \c "Box" </w:instrText>
      </w:r>
      <w:r w:rsidRPr="00C744DF">
        <w:rPr>
          <w:rFonts w:cstheme="minorHAnsi"/>
        </w:rPr>
        <w:fldChar w:fldCharType="separate"/>
      </w:r>
      <w:hyperlink w:anchor="_Toc170306732" w:history="1">
        <w:r w:rsidR="00274907" w:rsidRPr="003B526F">
          <w:rPr>
            <w:rStyle w:val="Hyperlink"/>
            <w:rFonts w:cstheme="minorHAnsi"/>
            <w:noProof/>
          </w:rPr>
          <w:t>Box 1 Factors driving change and increased complexity of biosecurity threats</w:t>
        </w:r>
        <w:r w:rsidR="00274907">
          <w:rPr>
            <w:noProof/>
            <w:webHidden/>
          </w:rPr>
          <w:tab/>
        </w:r>
        <w:r w:rsidR="00274907">
          <w:rPr>
            <w:noProof/>
            <w:webHidden/>
          </w:rPr>
          <w:fldChar w:fldCharType="begin"/>
        </w:r>
        <w:r w:rsidR="00274907">
          <w:rPr>
            <w:noProof/>
            <w:webHidden/>
          </w:rPr>
          <w:instrText xml:space="preserve"> PAGEREF _Toc170306732 \h </w:instrText>
        </w:r>
        <w:r w:rsidR="00274907">
          <w:rPr>
            <w:noProof/>
            <w:webHidden/>
          </w:rPr>
        </w:r>
        <w:r w:rsidR="00274907">
          <w:rPr>
            <w:noProof/>
            <w:webHidden/>
          </w:rPr>
          <w:fldChar w:fldCharType="separate"/>
        </w:r>
        <w:r w:rsidR="006D5EF4">
          <w:rPr>
            <w:noProof/>
            <w:webHidden/>
          </w:rPr>
          <w:t>3</w:t>
        </w:r>
        <w:r w:rsidR="00274907">
          <w:rPr>
            <w:noProof/>
            <w:webHidden/>
          </w:rPr>
          <w:fldChar w:fldCharType="end"/>
        </w:r>
      </w:hyperlink>
    </w:p>
    <w:p w14:paraId="452DC597" w14:textId="3A0C6843" w:rsidR="00A34306" w:rsidRDefault="004337AA" w:rsidP="00A34306">
      <w:pPr>
        <w:sectPr w:rsidR="00A34306" w:rsidSect="00A34306">
          <w:pgSz w:w="11906" w:h="16838"/>
          <w:pgMar w:top="1361" w:right="1361" w:bottom="1361" w:left="1361" w:header="567" w:footer="284" w:gutter="0"/>
          <w:pgNumType w:fmt="lowerRoman"/>
          <w:cols w:space="708"/>
          <w:docGrid w:linePitch="360"/>
        </w:sectPr>
      </w:pPr>
      <w:r w:rsidRPr="00C744DF">
        <w:fldChar w:fldCharType="end"/>
      </w:r>
      <w:bookmarkStart w:id="6" w:name="_Toc430782150"/>
      <w:bookmarkStart w:id="7" w:name="_Ref135815660"/>
      <w:bookmarkStart w:id="8" w:name="_Toc168489241"/>
      <w:bookmarkStart w:id="9" w:name="_Toc168489538"/>
      <w:bookmarkStart w:id="10" w:name="_Toc168645236"/>
    </w:p>
    <w:p w14:paraId="0DBFBAF3" w14:textId="3E606DF0" w:rsidR="00764D6A" w:rsidRPr="0029167F" w:rsidRDefault="00E91D72" w:rsidP="000F07BF">
      <w:pPr>
        <w:pStyle w:val="Heading2"/>
        <w:numPr>
          <w:ilvl w:val="0"/>
          <w:numId w:val="0"/>
        </w:numPr>
        <w:ind w:left="720" w:hanging="720"/>
      </w:pPr>
      <w:r w:rsidRPr="0029167F">
        <w:lastRenderedPageBreak/>
        <w:t>Introduction</w:t>
      </w:r>
      <w:bookmarkEnd w:id="6"/>
      <w:bookmarkEnd w:id="7"/>
      <w:bookmarkEnd w:id="8"/>
      <w:bookmarkEnd w:id="9"/>
      <w:bookmarkEnd w:id="10"/>
    </w:p>
    <w:p w14:paraId="69964187" w14:textId="27D89E52" w:rsidR="00075AA9" w:rsidRPr="0029167F" w:rsidRDefault="00075AA9" w:rsidP="000F07BF">
      <w:pPr>
        <w:pStyle w:val="Heading3"/>
        <w:numPr>
          <w:ilvl w:val="0"/>
          <w:numId w:val="0"/>
        </w:numPr>
        <w:ind w:left="964" w:hanging="964"/>
        <w:rPr>
          <w:rFonts w:asciiTheme="minorHAnsi" w:hAnsiTheme="minorHAnsi" w:cstheme="minorHAnsi"/>
          <w:lang w:eastAsia="ja-JP"/>
        </w:rPr>
      </w:pPr>
      <w:bookmarkStart w:id="11" w:name="_Toc168489242"/>
      <w:bookmarkStart w:id="12" w:name="_Toc168489539"/>
      <w:bookmarkStart w:id="13" w:name="_Toc168645237"/>
      <w:r w:rsidRPr="0029167F">
        <w:rPr>
          <w:rFonts w:asciiTheme="minorHAnsi" w:hAnsiTheme="minorHAnsi" w:cstheme="minorHAnsi"/>
          <w:lang w:eastAsia="ja-JP"/>
        </w:rPr>
        <w:t>Purpose</w:t>
      </w:r>
      <w:bookmarkEnd w:id="11"/>
      <w:bookmarkEnd w:id="12"/>
      <w:bookmarkEnd w:id="13"/>
    </w:p>
    <w:p w14:paraId="2521CDE3" w14:textId="173796BA" w:rsidR="0029167F" w:rsidRDefault="00536044" w:rsidP="004D7B1E">
      <w:r w:rsidRPr="00450991">
        <w:t xml:space="preserve">The </w:t>
      </w:r>
      <w:r w:rsidR="003C6D62" w:rsidRPr="00450991">
        <w:t xml:space="preserve">cost recovery implementation statement (CRIS) provides information on how the Department of Agriculture, </w:t>
      </w:r>
      <w:r w:rsidR="002F2374" w:rsidRPr="00450991">
        <w:t>Fisheries and Forestry</w:t>
      </w:r>
      <w:r w:rsidR="0029167F" w:rsidRPr="00450991">
        <w:t xml:space="preserve"> </w:t>
      </w:r>
      <w:r w:rsidR="003C6D62" w:rsidRPr="00450991">
        <w:t xml:space="preserve">implements </w:t>
      </w:r>
      <w:r w:rsidR="0029167F" w:rsidRPr="00450991">
        <w:t>cost recover</w:t>
      </w:r>
      <w:r w:rsidR="0063721A" w:rsidRPr="00450991">
        <w:t>y</w:t>
      </w:r>
      <w:r w:rsidR="0029167F" w:rsidRPr="00450991">
        <w:t xml:space="preserve"> </w:t>
      </w:r>
      <w:r w:rsidR="003C6D62" w:rsidRPr="00450991">
        <w:t>for biosecurity and imported food regulatory activities.</w:t>
      </w:r>
      <w:r w:rsidR="0029167F" w:rsidRPr="00450991">
        <w:t xml:space="preserve"> The department’s regulatory activities are associated with the controls and measures to manage and minimise the risk of pests, weeds and diseases entering, emerging, establishing or spreading within Australia while facilitating trade and the movement of plants, animals, people and products.</w:t>
      </w:r>
    </w:p>
    <w:p w14:paraId="180EEBEA" w14:textId="56AAD9B5" w:rsidR="00075AA9" w:rsidRPr="008F17EF" w:rsidRDefault="00075AA9" w:rsidP="000F07BF">
      <w:pPr>
        <w:pStyle w:val="Heading3"/>
        <w:numPr>
          <w:ilvl w:val="0"/>
          <w:numId w:val="0"/>
        </w:numPr>
        <w:ind w:left="964" w:hanging="964"/>
        <w:rPr>
          <w:rFonts w:asciiTheme="minorHAnsi" w:hAnsiTheme="minorHAnsi" w:cstheme="minorHAnsi"/>
          <w:lang w:eastAsia="ja-JP"/>
        </w:rPr>
      </w:pPr>
      <w:bookmarkStart w:id="14" w:name="_Toc168489243"/>
      <w:bookmarkStart w:id="15" w:name="_Toc168489540"/>
      <w:bookmarkStart w:id="16" w:name="_Toc168645238"/>
      <w:r w:rsidRPr="008F17EF">
        <w:rPr>
          <w:rFonts w:asciiTheme="minorHAnsi" w:hAnsiTheme="minorHAnsi" w:cstheme="minorHAnsi"/>
          <w:lang w:eastAsia="ja-JP"/>
        </w:rPr>
        <w:t xml:space="preserve">Description of the </w:t>
      </w:r>
      <w:r w:rsidR="000F07BF">
        <w:rPr>
          <w:rFonts w:asciiTheme="minorHAnsi" w:hAnsiTheme="minorHAnsi" w:cstheme="minorHAnsi"/>
          <w:lang w:eastAsia="ja-JP"/>
        </w:rPr>
        <w:t xml:space="preserve">regulatory </w:t>
      </w:r>
      <w:r w:rsidRPr="008F17EF">
        <w:rPr>
          <w:rFonts w:asciiTheme="minorHAnsi" w:hAnsiTheme="minorHAnsi" w:cstheme="minorHAnsi"/>
          <w:lang w:eastAsia="ja-JP"/>
        </w:rPr>
        <w:t>activity</w:t>
      </w:r>
      <w:bookmarkEnd w:id="14"/>
      <w:bookmarkEnd w:id="15"/>
      <w:bookmarkEnd w:id="16"/>
    </w:p>
    <w:p w14:paraId="0F7D346C" w14:textId="4A9E1158" w:rsidR="00075AA9" w:rsidRPr="0029167F" w:rsidRDefault="00A91225" w:rsidP="004D7B1E">
      <w:pPr>
        <w:rPr>
          <w:rFonts w:cstheme="minorHAnsi"/>
          <w:lang w:eastAsia="ja-JP"/>
        </w:rPr>
      </w:pPr>
      <w:r>
        <w:rPr>
          <w:rFonts w:cstheme="minorHAnsi"/>
          <w:lang w:eastAsia="ja-JP"/>
        </w:rPr>
        <w:t>The department u</w:t>
      </w:r>
      <w:r w:rsidR="00075AA9" w:rsidRPr="0029167F">
        <w:rPr>
          <w:rFonts w:cstheme="minorHAnsi"/>
          <w:lang w:eastAsia="ja-JP"/>
        </w:rPr>
        <w:t>ndertake</w:t>
      </w:r>
      <w:r>
        <w:rPr>
          <w:rFonts w:cstheme="minorHAnsi"/>
          <w:lang w:eastAsia="ja-JP"/>
        </w:rPr>
        <w:t>s</w:t>
      </w:r>
      <w:r w:rsidR="00075AA9" w:rsidRPr="0029167F">
        <w:rPr>
          <w:rFonts w:cstheme="minorHAnsi"/>
          <w:lang w:eastAsia="ja-JP"/>
        </w:rPr>
        <w:t xml:space="preserve"> regulatory activities to assess and manage biosecurity risks arising from people, </w:t>
      </w:r>
      <w:r w:rsidR="008061C7" w:rsidRPr="0029167F">
        <w:rPr>
          <w:rFonts w:cstheme="minorHAnsi"/>
          <w:lang w:eastAsia="ja-JP"/>
        </w:rPr>
        <w:t>goods,</w:t>
      </w:r>
      <w:r w:rsidR="00075AA9" w:rsidRPr="0029167F">
        <w:rPr>
          <w:rFonts w:cstheme="minorHAnsi"/>
          <w:lang w:eastAsia="ja-JP"/>
        </w:rPr>
        <w:t xml:space="preserve"> and </w:t>
      </w:r>
      <w:r w:rsidR="006F1618" w:rsidRPr="0029167F">
        <w:rPr>
          <w:rFonts w:cstheme="minorHAnsi"/>
          <w:lang w:eastAsia="ja-JP"/>
        </w:rPr>
        <w:t xml:space="preserve">conveyances </w:t>
      </w:r>
      <w:r w:rsidR="00075AA9" w:rsidRPr="0029167F">
        <w:rPr>
          <w:rFonts w:cstheme="minorHAnsi"/>
          <w:lang w:eastAsia="ja-JP"/>
        </w:rPr>
        <w:t>(</w:t>
      </w:r>
      <w:r w:rsidR="006F1618" w:rsidRPr="0029167F">
        <w:rPr>
          <w:rFonts w:cstheme="minorHAnsi"/>
          <w:lang w:eastAsia="ja-JP"/>
        </w:rPr>
        <w:t>vessel</w:t>
      </w:r>
      <w:r>
        <w:rPr>
          <w:rFonts w:cstheme="minorHAnsi"/>
          <w:lang w:eastAsia="ja-JP"/>
        </w:rPr>
        <w:t>s</w:t>
      </w:r>
      <w:r w:rsidR="006F1618" w:rsidRPr="0029167F">
        <w:rPr>
          <w:rFonts w:cstheme="minorHAnsi"/>
          <w:lang w:eastAsia="ja-JP"/>
        </w:rPr>
        <w:t xml:space="preserve"> </w:t>
      </w:r>
      <w:r w:rsidR="00075AA9" w:rsidRPr="0029167F">
        <w:rPr>
          <w:rFonts w:cstheme="minorHAnsi"/>
          <w:lang w:eastAsia="ja-JP"/>
        </w:rPr>
        <w:t>and aircraft) entering Australia. These activities also include assessing compliance of imported food with relevant food standards and public health and safety requirements.</w:t>
      </w:r>
      <w:r>
        <w:rPr>
          <w:rFonts w:cstheme="minorHAnsi"/>
          <w:lang w:eastAsia="ja-JP"/>
        </w:rPr>
        <w:t xml:space="preserve"> </w:t>
      </w:r>
      <w:r w:rsidRPr="0029167F">
        <w:rPr>
          <w:rFonts w:cstheme="minorHAnsi"/>
          <w:lang w:eastAsia="ja-JP"/>
        </w:rPr>
        <w:t>Biosecurity activit</w:t>
      </w:r>
      <w:r>
        <w:rPr>
          <w:rFonts w:cstheme="minorHAnsi"/>
          <w:lang w:eastAsia="ja-JP"/>
        </w:rPr>
        <w:t>ies</w:t>
      </w:r>
      <w:r w:rsidRPr="0029167F">
        <w:rPr>
          <w:rFonts w:cstheme="minorHAnsi"/>
          <w:lang w:eastAsia="ja-JP"/>
        </w:rPr>
        <w:t xml:space="preserve"> </w:t>
      </w:r>
      <w:r>
        <w:rPr>
          <w:rFonts w:cstheme="minorHAnsi"/>
          <w:lang w:eastAsia="ja-JP"/>
        </w:rPr>
        <w:t>are</w:t>
      </w:r>
      <w:r w:rsidRPr="0029167F">
        <w:rPr>
          <w:rFonts w:cstheme="minorHAnsi"/>
          <w:lang w:eastAsia="ja-JP"/>
        </w:rPr>
        <w:t xml:space="preserve"> regulated in accordance with the biosecurity legislative framework outlined in </w:t>
      </w:r>
      <w:hyperlink w:anchor="_Toc134948269" w:history="1">
        <w:r w:rsidR="00AA1462" w:rsidRPr="00AA1C60">
          <w:rPr>
            <w:rStyle w:val="Hyperlink"/>
            <w:rFonts w:cstheme="minorHAnsi"/>
            <w:lang w:eastAsia="ja-JP"/>
          </w:rPr>
          <w:t>section 2.2</w:t>
        </w:r>
      </w:hyperlink>
      <w:r w:rsidR="000A3421" w:rsidRPr="00D81ED3">
        <w:rPr>
          <w:rStyle w:val="Hyperlink"/>
          <w:rFonts w:cstheme="minorHAnsi"/>
          <w:lang w:eastAsia="ja-JP"/>
        </w:rPr>
        <w:t>.</w:t>
      </w:r>
      <w:r w:rsidR="001641D2" w:rsidRPr="00AA1C60">
        <w:rPr>
          <w:rFonts w:cstheme="minorHAnsi"/>
          <w:lang w:eastAsia="ja-JP"/>
        </w:rPr>
        <w:t xml:space="preserve"> </w:t>
      </w:r>
      <w:r w:rsidR="000A3421" w:rsidRPr="00AA1C60">
        <w:rPr>
          <w:rFonts w:cstheme="minorHAnsi"/>
          <w:lang w:eastAsia="ja-JP"/>
        </w:rPr>
        <w:t>These</w:t>
      </w:r>
      <w:r w:rsidR="000A3421" w:rsidRPr="00CE797C">
        <w:rPr>
          <w:rFonts w:cstheme="minorHAnsi"/>
          <w:lang w:eastAsia="ja-JP"/>
        </w:rPr>
        <w:t xml:space="preserve"> essential activities, which occur onshore, offshore and at the border are a major part of our day-to-day business</w:t>
      </w:r>
      <w:r w:rsidR="0054608A" w:rsidRPr="00CE797C">
        <w:rPr>
          <w:rFonts w:cstheme="minorHAnsi"/>
          <w:lang w:eastAsia="ja-JP"/>
        </w:rPr>
        <w:t>.</w:t>
      </w:r>
      <w:r w:rsidR="008F6D9C" w:rsidRPr="00CE797C">
        <w:rPr>
          <w:rFonts w:cstheme="minorHAnsi"/>
          <w:lang w:eastAsia="ja-JP"/>
        </w:rPr>
        <w:t xml:space="preserve"> A more detailed breakdown of our essential activities is provided at </w:t>
      </w:r>
      <w:hyperlink w:anchor="_Appendix_A:_Description" w:history="1">
        <w:r w:rsidR="008F6D9C" w:rsidRPr="00CE797C">
          <w:rPr>
            <w:rStyle w:val="Hyperlink"/>
            <w:rFonts w:cstheme="minorHAnsi"/>
            <w:lang w:eastAsia="ja-JP"/>
          </w:rPr>
          <w:t>Appendix A</w:t>
        </w:r>
      </w:hyperlink>
      <w:r w:rsidR="008F6D9C" w:rsidRPr="00CE797C">
        <w:rPr>
          <w:rFonts w:cstheme="minorHAnsi"/>
          <w:lang w:eastAsia="ja-JP"/>
        </w:rPr>
        <w:t>.</w:t>
      </w:r>
    </w:p>
    <w:p w14:paraId="4A7ED172" w14:textId="1BB068D3" w:rsidR="00DA6A48" w:rsidRPr="0029167F" w:rsidRDefault="00DA6A48" w:rsidP="000F07BF">
      <w:pPr>
        <w:pStyle w:val="Heading3"/>
        <w:numPr>
          <w:ilvl w:val="0"/>
          <w:numId w:val="0"/>
        </w:numPr>
        <w:ind w:left="964" w:hanging="964"/>
        <w:rPr>
          <w:rFonts w:asciiTheme="minorHAnsi" w:hAnsiTheme="minorHAnsi" w:cstheme="minorHAnsi"/>
          <w:lang w:eastAsia="ja-JP"/>
        </w:rPr>
      </w:pPr>
      <w:bookmarkStart w:id="17" w:name="_Toc168489244"/>
      <w:bookmarkStart w:id="18" w:name="_Toc168489541"/>
      <w:bookmarkStart w:id="19" w:name="_Toc168645239"/>
      <w:r>
        <w:rPr>
          <w:rFonts w:asciiTheme="minorHAnsi" w:hAnsiTheme="minorHAnsi" w:cstheme="minorHAnsi"/>
          <w:lang w:eastAsia="ja-JP"/>
        </w:rPr>
        <w:t>Industry</w:t>
      </w:r>
      <w:r w:rsidR="0033541D">
        <w:rPr>
          <w:rFonts w:asciiTheme="minorHAnsi" w:hAnsiTheme="minorHAnsi" w:cstheme="minorHAnsi"/>
          <w:lang w:eastAsia="ja-JP"/>
        </w:rPr>
        <w:t xml:space="preserve"> and </w:t>
      </w:r>
      <w:r>
        <w:rPr>
          <w:rFonts w:asciiTheme="minorHAnsi" w:hAnsiTheme="minorHAnsi" w:cstheme="minorHAnsi"/>
          <w:lang w:eastAsia="ja-JP"/>
        </w:rPr>
        <w:t>regulatory groups</w:t>
      </w:r>
      <w:bookmarkEnd w:id="17"/>
      <w:bookmarkEnd w:id="18"/>
      <w:bookmarkEnd w:id="19"/>
    </w:p>
    <w:p w14:paraId="6B6400BD" w14:textId="3FCE9205" w:rsidR="00CD6886" w:rsidRDefault="00FA4D49" w:rsidP="004D7B1E">
      <w:pPr>
        <w:rPr>
          <w:rFonts w:cstheme="minorHAnsi"/>
          <w:lang w:eastAsia="ja-JP"/>
        </w:rPr>
      </w:pPr>
      <w:r>
        <w:rPr>
          <w:rFonts w:cstheme="minorHAnsi"/>
          <w:lang w:eastAsia="ja-JP"/>
        </w:rPr>
        <w:t>B</w:t>
      </w:r>
      <w:r w:rsidR="00075AA9" w:rsidRPr="0029167F">
        <w:rPr>
          <w:rFonts w:cstheme="minorHAnsi"/>
          <w:lang w:eastAsia="ja-JP"/>
        </w:rPr>
        <w:t xml:space="preserve">iosecurity regulatory charges are imposed on </w:t>
      </w:r>
      <w:r w:rsidR="000B128E" w:rsidRPr="0029167F">
        <w:rPr>
          <w:rFonts w:cstheme="minorHAnsi"/>
          <w:lang w:eastAsia="ja-JP"/>
        </w:rPr>
        <w:t>4</w:t>
      </w:r>
      <w:r w:rsidR="007508F7">
        <w:rPr>
          <w:rFonts w:cstheme="minorHAnsi"/>
          <w:lang w:eastAsia="ja-JP"/>
        </w:rPr>
        <w:t xml:space="preserve"> </w:t>
      </w:r>
      <w:r w:rsidR="00075AA9" w:rsidRPr="0029167F">
        <w:rPr>
          <w:rFonts w:cstheme="minorHAnsi"/>
          <w:lang w:eastAsia="ja-JP"/>
        </w:rPr>
        <w:t xml:space="preserve">key groups: importers, </w:t>
      </w:r>
      <w:r w:rsidR="00FD4105" w:rsidRPr="0029167F">
        <w:rPr>
          <w:rFonts w:cstheme="minorHAnsi"/>
          <w:lang w:eastAsia="ja-JP"/>
        </w:rPr>
        <w:t xml:space="preserve">conveyance </w:t>
      </w:r>
      <w:r w:rsidR="00075AA9" w:rsidRPr="0029167F">
        <w:rPr>
          <w:rFonts w:cstheme="minorHAnsi"/>
          <w:lang w:eastAsia="ja-JP"/>
        </w:rPr>
        <w:t>operators,</w:t>
      </w:r>
      <w:r w:rsidR="00552870">
        <w:rPr>
          <w:rFonts w:cstheme="minorHAnsi"/>
          <w:lang w:eastAsia="ja-JP"/>
        </w:rPr>
        <w:t xml:space="preserve"> b</w:t>
      </w:r>
      <w:r w:rsidR="00607279">
        <w:rPr>
          <w:rFonts w:cstheme="minorHAnsi"/>
          <w:lang w:eastAsia="ja-JP"/>
        </w:rPr>
        <w:t>iosecurity industry</w:t>
      </w:r>
      <w:r w:rsidR="00075AA9" w:rsidRPr="0029167F">
        <w:rPr>
          <w:rFonts w:cstheme="minorHAnsi"/>
          <w:lang w:eastAsia="ja-JP"/>
        </w:rPr>
        <w:t xml:space="preserve"> participants and, to a limited extent, </w:t>
      </w:r>
      <w:r w:rsidR="00743E5C">
        <w:rPr>
          <w:rFonts w:cstheme="minorHAnsi"/>
          <w:lang w:eastAsia="ja-JP"/>
        </w:rPr>
        <w:t xml:space="preserve">international </w:t>
      </w:r>
      <w:r w:rsidR="00075AA9" w:rsidRPr="0029167F">
        <w:rPr>
          <w:rFonts w:cstheme="minorHAnsi"/>
          <w:lang w:eastAsia="ja-JP"/>
        </w:rPr>
        <w:t>passengers</w:t>
      </w:r>
      <w:r w:rsidR="00931E64">
        <w:rPr>
          <w:rFonts w:cstheme="minorHAnsi"/>
          <w:lang w:eastAsia="ja-JP"/>
        </w:rPr>
        <w:t xml:space="preserve"> and the</w:t>
      </w:r>
      <w:r w:rsidR="00C22D36">
        <w:rPr>
          <w:rFonts w:cstheme="minorHAnsi"/>
          <w:lang w:eastAsia="ja-JP"/>
        </w:rPr>
        <w:t>i</w:t>
      </w:r>
      <w:r w:rsidR="00931E64">
        <w:rPr>
          <w:rFonts w:cstheme="minorHAnsi"/>
          <w:lang w:eastAsia="ja-JP"/>
        </w:rPr>
        <w:t>r baggage</w:t>
      </w:r>
      <w:r w:rsidR="00075AA9" w:rsidRPr="0029167F">
        <w:rPr>
          <w:rFonts w:cstheme="minorHAnsi"/>
          <w:lang w:eastAsia="ja-JP"/>
        </w:rPr>
        <w:t>.</w:t>
      </w:r>
    </w:p>
    <w:p w14:paraId="5FEA9AD8" w14:textId="7151D4F7" w:rsidR="00075AA9" w:rsidRPr="0029167F" w:rsidRDefault="00075AA9" w:rsidP="00FC59C1">
      <w:pPr>
        <w:rPr>
          <w:rFonts w:cstheme="minorHAnsi"/>
          <w:lang w:eastAsia="ja-JP"/>
        </w:rPr>
      </w:pPr>
      <w:r w:rsidRPr="0029167F">
        <w:rPr>
          <w:rFonts w:cstheme="minorHAnsi"/>
          <w:lang w:eastAsia="ja-JP"/>
        </w:rPr>
        <w:t>We charge regulated entities to provide the following key biosecurity activities:</w:t>
      </w:r>
    </w:p>
    <w:p w14:paraId="46434C53" w14:textId="119473E8" w:rsidR="00075AA9" w:rsidRPr="00B84A73" w:rsidRDefault="00075AA9" w:rsidP="00FC59C1">
      <w:pPr>
        <w:pStyle w:val="ListBullet"/>
      </w:pPr>
      <w:r w:rsidRPr="00B84A73">
        <w:t>Importers</w:t>
      </w:r>
      <w:r w:rsidR="00807763" w:rsidRPr="00B84A73">
        <w:t xml:space="preserve"> – </w:t>
      </w:r>
      <w:r w:rsidR="00EE56C7" w:rsidRPr="00B84A73">
        <w:t xml:space="preserve">inspection, </w:t>
      </w:r>
      <w:r w:rsidRPr="00B84A73">
        <w:t>assessment and management of the biosecurity risks associated with imported goods and packaging</w:t>
      </w:r>
      <w:r w:rsidR="00743E5C" w:rsidRPr="00B84A73">
        <w:t xml:space="preserve">, </w:t>
      </w:r>
      <w:r w:rsidRPr="00B84A73">
        <w:t>including air and sea cargo,</w:t>
      </w:r>
      <w:r w:rsidR="006A5038" w:rsidRPr="00B84A73">
        <w:t xml:space="preserve"> </w:t>
      </w:r>
      <w:r w:rsidR="0059705C" w:rsidRPr="00B84A73">
        <w:t xml:space="preserve">containers, </w:t>
      </w:r>
      <w:r w:rsidRPr="00B84A73">
        <w:t xml:space="preserve">food, live animals and plants. This includes husbandry activities undertaken by the department, associated with the </w:t>
      </w:r>
      <w:r w:rsidR="00743E5C" w:rsidRPr="00B84A73">
        <w:t xml:space="preserve">quarantine </w:t>
      </w:r>
      <w:r w:rsidRPr="00B84A73">
        <w:t>of live animals and plants prior to release into Australia</w:t>
      </w:r>
      <w:r w:rsidR="00743E5C" w:rsidRPr="00B84A73">
        <w:t xml:space="preserve">, </w:t>
      </w:r>
      <w:r w:rsidRPr="00B84A73">
        <w:t>such as dogs, cats, hatching eggs, birds, ruminants,</w:t>
      </w:r>
      <w:r w:rsidR="00743E5C" w:rsidRPr="00B84A73">
        <w:t xml:space="preserve"> horses, </w:t>
      </w:r>
      <w:r w:rsidRPr="00B84A73">
        <w:t>bees, nursery stock and viable seeds.</w:t>
      </w:r>
    </w:p>
    <w:p w14:paraId="1ED3EFA9" w14:textId="738CE019" w:rsidR="00075AA9" w:rsidRPr="00B84A73" w:rsidRDefault="00321A10" w:rsidP="00FC59C1">
      <w:pPr>
        <w:pStyle w:val="ListBullet"/>
      </w:pPr>
      <w:r w:rsidRPr="00B84A73">
        <w:t>Conveyance operators</w:t>
      </w:r>
      <w:r w:rsidR="00BA1184" w:rsidRPr="00B84A73">
        <w:t xml:space="preserve"> </w:t>
      </w:r>
      <w:r w:rsidR="003A1F01" w:rsidRPr="00B84A73">
        <w:t>–</w:t>
      </w:r>
      <w:r w:rsidR="00BA1184" w:rsidRPr="00B84A73">
        <w:t xml:space="preserve"> </w:t>
      </w:r>
      <w:r w:rsidRPr="00B84A73">
        <w:t>vessel</w:t>
      </w:r>
      <w:r w:rsidR="00BA1184" w:rsidRPr="00B84A73">
        <w:t>s</w:t>
      </w:r>
      <w:r w:rsidRPr="00B84A73">
        <w:t xml:space="preserve"> and aircraft entering Australia. This includes assessments and inspections to manage the risks posed by the vessel itself, contaminants on the vessel, human biosecurity risks, ballast water and biofouling on vessels, and aircraft disinsection (where non-compliant on arrival) and assessment of</w:t>
      </w:r>
      <w:r w:rsidR="00230E2E">
        <w:t xml:space="preserve"> conveyances</w:t>
      </w:r>
      <w:r w:rsidRPr="00B84A73">
        <w:t xml:space="preserve"> for release from biosecurity control.</w:t>
      </w:r>
    </w:p>
    <w:p w14:paraId="439DE243" w14:textId="072F510B" w:rsidR="00075AA9" w:rsidRPr="00B84A73" w:rsidRDefault="00607279" w:rsidP="00B84A73">
      <w:pPr>
        <w:pStyle w:val="ListBullet"/>
      </w:pPr>
      <w:r w:rsidRPr="00B84A73">
        <w:t xml:space="preserve">Biosecurity industry </w:t>
      </w:r>
      <w:r w:rsidR="003562FE" w:rsidRPr="00B84A73">
        <w:t>participants – managing the administration as well as policy processes and conditions setting for regulatory arrangements approved by the department, including biosecurity approved arrangements and imported food compliance agreements.</w:t>
      </w:r>
    </w:p>
    <w:p w14:paraId="1AFE0334" w14:textId="0D7F8FEE" w:rsidR="00075AA9" w:rsidRPr="0029167F" w:rsidRDefault="00743E5C" w:rsidP="00FC59C1">
      <w:pPr>
        <w:pStyle w:val="ListBullet"/>
        <w:rPr>
          <w:lang w:eastAsia="ja-JP"/>
        </w:rPr>
      </w:pPr>
      <w:r w:rsidRPr="00B84A73">
        <w:t>International p</w:t>
      </w:r>
      <w:r w:rsidR="00075AA9" w:rsidRPr="00B84A73">
        <w:t>assengers</w:t>
      </w:r>
      <w:r w:rsidR="00807763" w:rsidRPr="00B84A73">
        <w:t xml:space="preserve"> –</w:t>
      </w:r>
      <w:r w:rsidR="008B40C6">
        <w:t xml:space="preserve"> </w:t>
      </w:r>
      <w:r w:rsidR="00075AA9" w:rsidRPr="00B84A73">
        <w:t xml:space="preserve">management of biosecurity risks posed by </w:t>
      </w:r>
      <w:r w:rsidR="006F2021" w:rsidRPr="00B84A73">
        <w:t xml:space="preserve">baggage accompanying </w:t>
      </w:r>
      <w:r w:rsidR="00075AA9" w:rsidRPr="00B84A73">
        <w:t>passenger</w:t>
      </w:r>
      <w:r w:rsidR="006F2021" w:rsidRPr="00B84A73">
        <w:t>s</w:t>
      </w:r>
      <w:r w:rsidRPr="00B84A73">
        <w:t xml:space="preserve"> arriving from overseas</w:t>
      </w:r>
      <w:r w:rsidR="0043532C">
        <w:t>, where treatment or storage is required</w:t>
      </w:r>
      <w:r w:rsidR="00075AA9" w:rsidRPr="00B84A73">
        <w:t>.</w:t>
      </w:r>
    </w:p>
    <w:p w14:paraId="1DCD93B8" w14:textId="708AEF9D" w:rsidR="00075AA9" w:rsidRPr="0029167F" w:rsidRDefault="00075AA9" w:rsidP="002A4327">
      <w:pPr>
        <w:pStyle w:val="Heading3"/>
        <w:keepLines w:val="0"/>
        <w:pageBreakBefore/>
        <w:widowControl w:val="0"/>
        <w:numPr>
          <w:ilvl w:val="0"/>
          <w:numId w:val="0"/>
        </w:numPr>
        <w:ind w:left="964" w:hanging="964"/>
        <w:rPr>
          <w:rFonts w:asciiTheme="minorHAnsi" w:hAnsiTheme="minorHAnsi" w:cstheme="minorHAnsi"/>
          <w:lang w:eastAsia="ja-JP"/>
        </w:rPr>
      </w:pPr>
      <w:bookmarkStart w:id="20" w:name="_Toc168489245"/>
      <w:bookmarkStart w:id="21" w:name="_Toc168489542"/>
      <w:bookmarkStart w:id="22" w:name="_Toc168645240"/>
      <w:r w:rsidRPr="0029167F">
        <w:rPr>
          <w:rFonts w:asciiTheme="minorHAnsi" w:hAnsiTheme="minorHAnsi" w:cstheme="minorHAnsi"/>
          <w:lang w:eastAsia="ja-JP"/>
        </w:rPr>
        <w:lastRenderedPageBreak/>
        <w:t>Why cost recovery is appropriate</w:t>
      </w:r>
      <w:bookmarkEnd w:id="20"/>
      <w:bookmarkEnd w:id="21"/>
      <w:bookmarkEnd w:id="22"/>
    </w:p>
    <w:p w14:paraId="223B88F5" w14:textId="1F0F04C5" w:rsidR="00743E5C" w:rsidRDefault="005C21FD" w:rsidP="00FC59C1">
      <w:pPr>
        <w:rPr>
          <w:rFonts w:cstheme="minorHAnsi"/>
          <w:lang w:eastAsia="ja-JP"/>
        </w:rPr>
      </w:pPr>
      <w:r w:rsidRPr="005C21FD">
        <w:rPr>
          <w:rFonts w:cstheme="minorHAnsi"/>
          <w:lang w:eastAsia="ja-JP"/>
        </w:rPr>
        <w:t xml:space="preserve">The </w:t>
      </w:r>
      <w:hyperlink r:id="rId21" w:anchor="australian-government-charging-framework" w:history="1">
        <w:r w:rsidRPr="00743E5C">
          <w:rPr>
            <w:rStyle w:val="Hyperlink"/>
            <w:rFonts w:cstheme="minorHAnsi"/>
            <w:lang w:eastAsia="ja-JP"/>
          </w:rPr>
          <w:t>Australian Government Charging Framework</w:t>
        </w:r>
      </w:hyperlink>
      <w:r w:rsidRPr="005C21FD">
        <w:rPr>
          <w:rFonts w:cstheme="minorHAnsi"/>
          <w:lang w:eastAsia="ja-JP"/>
        </w:rPr>
        <w:t xml:space="preserve"> sets the rules and requirements on how a regulator determines costs, set</w:t>
      </w:r>
      <w:r w:rsidR="002B1B3E">
        <w:rPr>
          <w:rFonts w:cstheme="minorHAnsi"/>
          <w:lang w:eastAsia="ja-JP"/>
        </w:rPr>
        <w:t>s</w:t>
      </w:r>
      <w:r w:rsidRPr="005C21FD">
        <w:rPr>
          <w:rFonts w:cstheme="minorHAnsi"/>
          <w:lang w:eastAsia="ja-JP"/>
        </w:rPr>
        <w:t xml:space="preserve"> charges and how it will charge for regulatory activities. A key principle of the </w:t>
      </w:r>
      <w:r w:rsidR="0033541D">
        <w:rPr>
          <w:rFonts w:cstheme="minorHAnsi"/>
          <w:lang w:eastAsia="ja-JP"/>
        </w:rPr>
        <w:t>g</w:t>
      </w:r>
      <w:r w:rsidRPr="005C21FD">
        <w:rPr>
          <w:rFonts w:cstheme="minorHAnsi"/>
          <w:lang w:eastAsia="ja-JP"/>
        </w:rPr>
        <w:t>overnment’s policy is that those who create the need for regulation should bear the cost of that regulatory effort. Prices for a regulatory activity are set to only recover the minimum efficient costs of carrying out that activity</w:t>
      </w:r>
      <w:r w:rsidR="00075AA9" w:rsidRPr="0029167F">
        <w:rPr>
          <w:rFonts w:cstheme="minorHAnsi"/>
          <w:lang w:eastAsia="ja-JP"/>
        </w:rPr>
        <w:t>.</w:t>
      </w:r>
    </w:p>
    <w:p w14:paraId="707330EE" w14:textId="71C1428C" w:rsidR="00743E5C" w:rsidRPr="005C21FD" w:rsidRDefault="00743E5C" w:rsidP="00743E5C">
      <w:pPr>
        <w:rPr>
          <w:rFonts w:cstheme="minorHAnsi"/>
          <w:lang w:eastAsia="ja-JP"/>
        </w:rPr>
      </w:pPr>
      <w:r w:rsidRPr="005C21FD">
        <w:rPr>
          <w:rFonts w:cstheme="minorHAnsi"/>
          <w:lang w:eastAsia="ja-JP"/>
        </w:rPr>
        <w:t xml:space="preserve">The Australian Government’s </w:t>
      </w:r>
      <w:hyperlink r:id="rId22" w:history="1">
        <w:r w:rsidRPr="00743E5C">
          <w:rPr>
            <w:rStyle w:val="Hyperlink"/>
            <w:rFonts w:cstheme="minorHAnsi"/>
            <w:lang w:eastAsia="ja-JP"/>
          </w:rPr>
          <w:t>Regulator Performance Guide 2021</w:t>
        </w:r>
      </w:hyperlink>
      <w:r>
        <w:rPr>
          <w:rFonts w:cstheme="minorHAnsi"/>
          <w:lang w:eastAsia="ja-JP"/>
        </w:rPr>
        <w:t xml:space="preserve"> </w:t>
      </w:r>
      <w:r w:rsidRPr="005C21FD">
        <w:rPr>
          <w:rFonts w:cstheme="minorHAnsi"/>
          <w:lang w:eastAsia="ja-JP"/>
        </w:rPr>
        <w:t xml:space="preserve">is an important part of its commitment to reduce unnecessary and inefficient regulation. The Regulator </w:t>
      </w:r>
      <w:r>
        <w:rPr>
          <w:rFonts w:cstheme="minorHAnsi"/>
          <w:lang w:eastAsia="ja-JP"/>
        </w:rPr>
        <w:t>Performance Guide</w:t>
      </w:r>
      <w:r w:rsidRPr="005C21FD">
        <w:rPr>
          <w:rFonts w:cstheme="minorHAnsi"/>
          <w:lang w:eastAsia="ja-JP"/>
        </w:rPr>
        <w:t xml:space="preserve"> encourages regulators to minimise the regulatory burden created through regulatory administration.</w:t>
      </w:r>
    </w:p>
    <w:p w14:paraId="775F1DEA" w14:textId="77777777" w:rsidR="0047497D" w:rsidRDefault="0047497D" w:rsidP="0047497D">
      <w:pPr>
        <w:pStyle w:val="Heading2"/>
      </w:pPr>
      <w:bookmarkStart w:id="23" w:name="_Reforms:_Building_Australia’s"/>
      <w:bookmarkStart w:id="24" w:name="_Toc129926494"/>
      <w:bookmarkStart w:id="25" w:name="_Toc168489246"/>
      <w:bookmarkStart w:id="26" w:name="_Toc168489543"/>
      <w:bookmarkStart w:id="27" w:name="_Toc168645241"/>
      <w:bookmarkEnd w:id="23"/>
      <w:r>
        <w:lastRenderedPageBreak/>
        <w:t>The biosecurity system</w:t>
      </w:r>
      <w:bookmarkEnd w:id="24"/>
      <w:bookmarkEnd w:id="25"/>
      <w:bookmarkEnd w:id="26"/>
      <w:bookmarkEnd w:id="27"/>
    </w:p>
    <w:p w14:paraId="161D0756" w14:textId="1E22F1B1" w:rsidR="00F51215" w:rsidRPr="001825A7" w:rsidRDefault="0047497D" w:rsidP="00FC59C1">
      <w:pPr>
        <w:rPr>
          <w:rFonts w:cstheme="minorHAnsi"/>
          <w:strike/>
          <w:lang w:eastAsia="ja-JP"/>
        </w:rPr>
      </w:pPr>
      <w:bookmarkStart w:id="28" w:name="_Hlk126739367"/>
      <w:r w:rsidRPr="00DD7EF0">
        <w:rPr>
          <w:rFonts w:cstheme="minorHAnsi"/>
          <w:lang w:eastAsia="ja-JP"/>
        </w:rPr>
        <w:t xml:space="preserve">Our biosecurity system is critical </w:t>
      </w:r>
      <w:r w:rsidR="00DD7EF0">
        <w:rPr>
          <w:rFonts w:cstheme="minorHAnsi"/>
          <w:lang w:eastAsia="ja-JP"/>
        </w:rPr>
        <w:t>in</w:t>
      </w:r>
      <w:r w:rsidRPr="00DD7EF0">
        <w:rPr>
          <w:rFonts w:cstheme="minorHAnsi"/>
          <w:lang w:eastAsia="ja-JP"/>
        </w:rPr>
        <w:t xml:space="preserve"> protect</w:t>
      </w:r>
      <w:r w:rsidR="00DD7EF0">
        <w:rPr>
          <w:rFonts w:cstheme="minorHAnsi"/>
          <w:lang w:eastAsia="ja-JP"/>
        </w:rPr>
        <w:t>ing</w:t>
      </w:r>
      <w:r w:rsidRPr="00DD7EF0">
        <w:rPr>
          <w:rFonts w:cstheme="minorHAnsi"/>
          <w:lang w:eastAsia="ja-JP"/>
        </w:rPr>
        <w:t xml:space="preserve"> Australia’s economy, environment and way of life. By reducing the</w:t>
      </w:r>
      <w:r w:rsidR="00561663" w:rsidRPr="00DD7EF0">
        <w:rPr>
          <w:rFonts w:cstheme="minorHAnsi"/>
          <w:lang w:eastAsia="ja-JP"/>
        </w:rPr>
        <w:t xml:space="preserve"> risk of</w:t>
      </w:r>
      <w:r w:rsidRPr="00DD7EF0">
        <w:rPr>
          <w:rFonts w:cstheme="minorHAnsi"/>
          <w:lang w:eastAsia="ja-JP"/>
        </w:rPr>
        <w:t xml:space="preserve"> impacts of pests and diseases, an effective biosecurity system supports the sustainability, profitability and competitiveness of Australia’s agriculture, fisheries and forestry industries which helps drive a stronger Australian economy</w:t>
      </w:r>
      <w:bookmarkEnd w:id="28"/>
      <w:r w:rsidR="001825A7" w:rsidRPr="00DD7EF0">
        <w:rPr>
          <w:rFonts w:cstheme="minorHAnsi"/>
          <w:lang w:eastAsia="ja-JP"/>
        </w:rPr>
        <w:t>.</w:t>
      </w:r>
    </w:p>
    <w:p w14:paraId="1F23617D" w14:textId="77777777" w:rsidR="0047497D" w:rsidRPr="0047497D" w:rsidRDefault="0047497D" w:rsidP="0047497D">
      <w:pPr>
        <w:pStyle w:val="Heading3"/>
        <w:rPr>
          <w:rFonts w:asciiTheme="minorHAnsi" w:hAnsiTheme="minorHAnsi" w:cstheme="minorHAnsi"/>
        </w:rPr>
      </w:pPr>
      <w:bookmarkStart w:id="29" w:name="_Toc129926495"/>
      <w:bookmarkStart w:id="30" w:name="_Toc168489247"/>
      <w:bookmarkStart w:id="31" w:name="_Toc168489544"/>
      <w:bookmarkStart w:id="32" w:name="_Toc168645242"/>
      <w:r w:rsidRPr="0047497D">
        <w:rPr>
          <w:rFonts w:asciiTheme="minorHAnsi" w:hAnsiTheme="minorHAnsi" w:cstheme="minorHAnsi"/>
        </w:rPr>
        <w:t>A changing biosecurity system</w:t>
      </w:r>
      <w:bookmarkEnd w:id="29"/>
      <w:bookmarkEnd w:id="30"/>
      <w:bookmarkEnd w:id="31"/>
      <w:bookmarkEnd w:id="32"/>
    </w:p>
    <w:p w14:paraId="185E0159" w14:textId="40A33F92" w:rsidR="00813870" w:rsidRDefault="004D66F6" w:rsidP="00FC59C1">
      <w:r>
        <w:t xml:space="preserve">Our biosecurity environment continues to be impacted by significant events and challenges. Changes in the Australian and global </w:t>
      </w:r>
      <w:r w:rsidRPr="00195720">
        <w:t xml:space="preserve">economies, changing risk profiles, biosecurity threats </w:t>
      </w:r>
      <w:r w:rsidR="00ED29D9" w:rsidRPr="00195720">
        <w:t>(</w:t>
      </w:r>
      <w:r w:rsidRPr="00195720">
        <w:t>e.g. foot and mouth disease</w:t>
      </w:r>
      <w:r w:rsidR="00ED29D9" w:rsidRPr="00195720">
        <w:t>)</w:t>
      </w:r>
      <w:r w:rsidRPr="00195720">
        <w:t xml:space="preserve">, increased complexity of imports, changing industry practices and increased volumes </w:t>
      </w:r>
      <w:r w:rsidRPr="00B12E60">
        <w:t>have and continue to</w:t>
      </w:r>
      <w:r w:rsidRPr="00195720">
        <w:t xml:space="preserve"> impact the department’s operations</w:t>
      </w:r>
      <w:r w:rsidR="00813870" w:rsidRPr="00195720">
        <w:t xml:space="preserve">, and increase </w:t>
      </w:r>
      <w:r w:rsidR="002E1939" w:rsidRPr="00195720">
        <w:t>the cost of maintaining</w:t>
      </w:r>
      <w:r w:rsidR="00813870" w:rsidRPr="00195720">
        <w:t xml:space="preserve"> the biosecurity system.</w:t>
      </w:r>
    </w:p>
    <w:p w14:paraId="5951CAB1" w14:textId="51CA958F" w:rsidR="006011BD" w:rsidRDefault="004D66F6" w:rsidP="00FC59C1">
      <w:r>
        <w:t>The department must be able to respond to these challenges and maintain a strong biosecurity system capable of protecting the Australian economy</w:t>
      </w:r>
      <w:r w:rsidR="00A4568B">
        <w:t>.</w:t>
      </w:r>
      <w:r w:rsidR="00813870">
        <w:t xml:space="preserve"> Prices that remain aligned with our costs will support sustainable funding </w:t>
      </w:r>
      <w:r w:rsidR="002E1939">
        <w:t xml:space="preserve">for biosecurity </w:t>
      </w:r>
      <w:r w:rsidR="00813870">
        <w:t>across future years.</w:t>
      </w:r>
    </w:p>
    <w:p w14:paraId="11F5AEE1" w14:textId="4757609C" w:rsidR="006D5EF4" w:rsidRPr="005C47B5" w:rsidRDefault="0047497D" w:rsidP="006D1013">
      <w:pPr>
        <w:pStyle w:val="Heading4"/>
        <w:rPr>
          <w:rFonts w:cstheme="minorHAnsi"/>
        </w:rPr>
      </w:pPr>
      <w:r w:rsidRPr="005C47B5">
        <w:rPr>
          <w:rFonts w:asciiTheme="minorHAnsi" w:eastAsiaTheme="minorHAnsi" w:hAnsiTheme="minorHAnsi" w:cstheme="minorHAnsi"/>
        </w:rPr>
        <w:t>Factors driving change and the increased complexity of biosecurity threats</w:t>
      </w:r>
      <w:r w:rsidR="00A968F0" w:rsidRPr="005C47B5">
        <w:rPr>
          <w:rFonts w:cstheme="minorHAnsi"/>
        </w:rPr>
        <w:fldChar w:fldCharType="begin"/>
      </w:r>
      <w:r w:rsidR="00A968F0" w:rsidRPr="005C47B5">
        <w:rPr>
          <w:rFonts w:cstheme="minorHAnsi"/>
        </w:rPr>
        <w:instrText xml:space="preserve"> REF _Ref163554299 \h </w:instrText>
      </w:r>
      <w:r w:rsidR="00A968F0">
        <w:rPr>
          <w:rFonts w:cstheme="minorHAnsi"/>
        </w:rPr>
      </w:r>
      <w:r w:rsidR="005C47B5" w:rsidRPr="005C47B5">
        <w:rPr>
          <w:rFonts w:cstheme="minorHAnsi"/>
        </w:rPr>
        <w:instrText xml:space="preserve"> \* MERGEFORMAT </w:instrText>
      </w:r>
      <w:r w:rsidR="00A968F0" w:rsidRPr="005C47B5">
        <w:rPr>
          <w:rFonts w:cstheme="minorHAnsi"/>
        </w:rPr>
        <w:fldChar w:fldCharType="separate"/>
      </w:r>
    </w:p>
    <w:p w14:paraId="0F67D512" w14:textId="2AF91A9F" w:rsidR="006D5EF4" w:rsidRDefault="006D5EF4" w:rsidP="006D5EF4">
      <w:pPr>
        <w:rPr>
          <w:rFonts w:cstheme="minorHAnsi"/>
        </w:rPr>
      </w:pPr>
      <w:r w:rsidRPr="005C47B5">
        <w:t xml:space="preserve">Box </w:t>
      </w:r>
      <w:r w:rsidRPr="005C47B5">
        <w:rPr>
          <w:noProof/>
        </w:rPr>
        <w:t>1</w:t>
      </w:r>
      <w:r w:rsidR="00A968F0">
        <w:rPr>
          <w:rFonts w:cstheme="minorHAnsi"/>
        </w:rPr>
        <w:fldChar w:fldCharType="end"/>
      </w:r>
      <w:r w:rsidR="00A968F0">
        <w:rPr>
          <w:rFonts w:cstheme="minorHAnsi"/>
        </w:rPr>
        <w:t xml:space="preserve"> </w:t>
      </w:r>
      <w:r w:rsidR="0047497D" w:rsidRPr="0047497D">
        <w:rPr>
          <w:rFonts w:cstheme="minorHAnsi"/>
        </w:rPr>
        <w:t xml:space="preserve">describes some of the factors driving change across the biosecurity system </w:t>
      </w:r>
      <w:r w:rsidR="00B7295F">
        <w:rPr>
          <w:rFonts w:cstheme="minorHAnsi"/>
        </w:rPr>
        <w:t>that</w:t>
      </w:r>
      <w:r w:rsidR="0047497D" w:rsidRPr="0047497D">
        <w:rPr>
          <w:rFonts w:cstheme="minorHAnsi"/>
        </w:rPr>
        <w:t xml:space="preserve"> contribut</w:t>
      </w:r>
      <w:r w:rsidR="00B7295F">
        <w:rPr>
          <w:rFonts w:cstheme="minorHAnsi"/>
        </w:rPr>
        <w:t>e</w:t>
      </w:r>
      <w:r w:rsidR="0047497D" w:rsidRPr="0047497D">
        <w:rPr>
          <w:rFonts w:cstheme="minorHAnsi"/>
        </w:rPr>
        <w:t xml:space="preserve"> to the increased complexity of biosecurity threats.</w:t>
      </w:r>
      <w:bookmarkStart w:id="33" w:name="_Ref163554271"/>
      <w:bookmarkStart w:id="34" w:name="_Ref163554299"/>
      <w:bookmarkStart w:id="35" w:name="_Toc129351760"/>
      <w:bookmarkStart w:id="36" w:name="_Toc170306732"/>
    </w:p>
    <w:p w14:paraId="51832BC2" w14:textId="559A9A3E" w:rsidR="0047497D" w:rsidRPr="006D5EF4" w:rsidRDefault="0047497D" w:rsidP="006D5EF4">
      <w:pPr>
        <w:rPr>
          <w:rFonts w:cstheme="minorHAnsi"/>
          <w:b/>
          <w:bCs/>
        </w:rPr>
      </w:pPr>
      <w:r w:rsidRPr="006D5EF4">
        <w:rPr>
          <w:b/>
          <w:bCs/>
        </w:rPr>
        <w:t xml:space="preserve">Box </w:t>
      </w:r>
      <w:r w:rsidRPr="006D5EF4">
        <w:rPr>
          <w:b/>
          <w:bCs/>
        </w:rPr>
        <w:fldChar w:fldCharType="begin"/>
      </w:r>
      <w:r w:rsidRPr="006D5EF4">
        <w:rPr>
          <w:b/>
          <w:bCs/>
        </w:rPr>
        <w:instrText xml:space="preserve"> SEQ Box \* ARABIC </w:instrText>
      </w:r>
      <w:r w:rsidRPr="006D5EF4">
        <w:rPr>
          <w:b/>
          <w:bCs/>
        </w:rPr>
        <w:fldChar w:fldCharType="separate"/>
      </w:r>
      <w:r w:rsidR="006D5EF4">
        <w:rPr>
          <w:b/>
          <w:bCs/>
          <w:noProof/>
        </w:rPr>
        <w:t>1</w:t>
      </w:r>
      <w:r w:rsidRPr="006D5EF4">
        <w:rPr>
          <w:b/>
          <w:bCs/>
        </w:rPr>
        <w:fldChar w:fldCharType="end"/>
      </w:r>
      <w:bookmarkEnd w:id="33"/>
      <w:bookmarkEnd w:id="34"/>
      <w:r w:rsidRPr="006D5EF4">
        <w:rPr>
          <w:b/>
          <w:bCs/>
        </w:rPr>
        <w:t xml:space="preserve"> Factors driving change and increased complexity of biosecurity threats</w:t>
      </w:r>
      <w:bookmarkEnd w:id="35"/>
      <w:bookmarkEnd w:id="36"/>
    </w:p>
    <w:p w14:paraId="3032A039" w14:textId="11897CE8" w:rsidR="0047497D" w:rsidRPr="0047497D" w:rsidRDefault="0047497D" w:rsidP="0047497D">
      <w:pPr>
        <w:pStyle w:val="BoxText"/>
        <w:rPr>
          <w:rFonts w:cstheme="minorHAnsi"/>
        </w:rPr>
      </w:pPr>
      <w:r w:rsidRPr="0047497D">
        <w:rPr>
          <w:rFonts w:cstheme="minorHAnsi"/>
          <w:b/>
          <w:bCs/>
        </w:rPr>
        <w:t>Climate change</w:t>
      </w:r>
      <w:r w:rsidRPr="0047497D">
        <w:rPr>
          <w:rFonts w:cstheme="minorHAnsi"/>
        </w:rPr>
        <w:t xml:space="preserve"> is impacting the global environment, causing changes in weather patterns and</w:t>
      </w:r>
      <w:r w:rsidR="0065356E">
        <w:rPr>
          <w:rFonts w:cstheme="minorHAnsi"/>
        </w:rPr>
        <w:t xml:space="preserve"> </w:t>
      </w:r>
      <w:r w:rsidRPr="0047497D">
        <w:rPr>
          <w:rFonts w:cstheme="minorHAnsi"/>
        </w:rPr>
        <w:t>more extreme weather events. It is altering the habitat, range and distribution of many pests,</w:t>
      </w:r>
      <w:r w:rsidR="0065356E">
        <w:rPr>
          <w:rFonts w:cstheme="minorHAnsi"/>
        </w:rPr>
        <w:t xml:space="preserve"> </w:t>
      </w:r>
      <w:r w:rsidRPr="0047497D">
        <w:rPr>
          <w:rFonts w:cstheme="minorHAnsi"/>
        </w:rPr>
        <w:t xml:space="preserve">weeds and diseases, as well as increasing their ability to spread and establish in new areas. This has seen an increase in seasonal pests such as </w:t>
      </w:r>
      <w:hyperlink r:id="rId23" w:anchor="bmsb-resource-hub" w:history="1">
        <w:r w:rsidRPr="0047497D">
          <w:rPr>
            <w:rStyle w:val="Hyperlink"/>
            <w:rFonts w:cstheme="minorHAnsi"/>
          </w:rPr>
          <w:t>brown marmorated stink bug</w:t>
        </w:r>
      </w:hyperlink>
      <w:r w:rsidRPr="0047497D">
        <w:rPr>
          <w:rFonts w:cstheme="minorHAnsi"/>
        </w:rPr>
        <w:t xml:space="preserve"> (BM</w:t>
      </w:r>
      <w:r w:rsidR="00BD6820">
        <w:rPr>
          <w:rFonts w:cstheme="minorHAnsi"/>
        </w:rPr>
        <w:t>S</w:t>
      </w:r>
      <w:r w:rsidRPr="0047497D">
        <w:rPr>
          <w:rFonts w:cstheme="minorHAnsi"/>
        </w:rPr>
        <w:t>B).</w:t>
      </w:r>
    </w:p>
    <w:p w14:paraId="21397005" w14:textId="77777777" w:rsidR="0047497D" w:rsidRPr="0047497D" w:rsidRDefault="0047497D" w:rsidP="0047497D">
      <w:pPr>
        <w:pStyle w:val="BoxText"/>
        <w:rPr>
          <w:rFonts w:cstheme="minorHAnsi"/>
          <w:sz w:val="22"/>
          <w:szCs w:val="24"/>
        </w:rPr>
      </w:pPr>
      <w:r w:rsidRPr="0047497D">
        <w:rPr>
          <w:rFonts w:cstheme="minorHAnsi"/>
          <w:szCs w:val="20"/>
        </w:rPr>
        <w:t xml:space="preserve">BMSB utilise a very wide range of hosts and affects many </w:t>
      </w:r>
      <w:r w:rsidRPr="00B12E60">
        <w:rPr>
          <w:rFonts w:cstheme="minorHAnsi"/>
          <w:szCs w:val="20"/>
        </w:rPr>
        <w:t>plants, particularly tree nuts</w:t>
      </w:r>
      <w:r w:rsidRPr="0047497D">
        <w:rPr>
          <w:rFonts w:cstheme="minorHAnsi"/>
          <w:szCs w:val="20"/>
        </w:rPr>
        <w:t>. While originally from eastern Asia, it has recently been introduced to North America and Europe, quickly having a significant impact on agriculture. Given Australia’s broad range of trading partners and commodities imported, this is just one of many hitchhiker pests we need to be vigilant in monitoring and keeping out of our country.</w:t>
      </w:r>
    </w:p>
    <w:p w14:paraId="338B23F8" w14:textId="77777777" w:rsidR="0047497D" w:rsidRPr="0047497D" w:rsidRDefault="0047497D" w:rsidP="0047497D">
      <w:pPr>
        <w:pStyle w:val="BoxText"/>
        <w:rPr>
          <w:rFonts w:cstheme="minorHAnsi"/>
        </w:rPr>
      </w:pPr>
      <w:r w:rsidRPr="0047497D">
        <w:rPr>
          <w:rFonts w:cstheme="minorHAnsi"/>
          <w:b/>
          <w:bCs/>
        </w:rPr>
        <w:t xml:space="preserve">Shifting trade and travel patterns </w:t>
      </w:r>
      <w:r w:rsidRPr="0047497D">
        <w:rPr>
          <w:rFonts w:cstheme="minorHAnsi"/>
        </w:rPr>
        <w:t>have seen Australia’s supply chains and demand for goods change and increase in complexity, changing the pathways through which biosecurity risk enters our borders, impacting how we work with trading partners and each other.</w:t>
      </w:r>
    </w:p>
    <w:p w14:paraId="7BEFA4C0" w14:textId="77777777" w:rsidR="0047497D" w:rsidRDefault="0047497D" w:rsidP="0047497D">
      <w:pPr>
        <w:pStyle w:val="BoxText"/>
        <w:rPr>
          <w:rFonts w:cstheme="minorHAnsi"/>
          <w:szCs w:val="20"/>
        </w:rPr>
      </w:pPr>
      <w:r w:rsidRPr="0047497D">
        <w:rPr>
          <w:rFonts w:cstheme="minorHAnsi"/>
          <w:szCs w:val="20"/>
        </w:rPr>
        <w:t xml:space="preserve">Predicted increases in trade and vessel movements will result in a greater likelihood of the introduction of marine pests like </w:t>
      </w:r>
      <w:hyperlink r:id="rId24" w:history="1">
        <w:r w:rsidRPr="0047497D">
          <w:rPr>
            <w:rStyle w:val="Hyperlink"/>
            <w:rFonts w:cstheme="minorHAnsi"/>
            <w:szCs w:val="20"/>
          </w:rPr>
          <w:t>Asian green mussel</w:t>
        </w:r>
      </w:hyperlink>
      <w:r w:rsidRPr="0047497D">
        <w:rPr>
          <w:rFonts w:cstheme="minorHAnsi"/>
          <w:szCs w:val="20"/>
        </w:rPr>
        <w:t xml:space="preserve"> (</w:t>
      </w:r>
      <w:r w:rsidRPr="0047497D">
        <w:rPr>
          <w:rFonts w:cstheme="minorHAnsi"/>
          <w:i/>
          <w:iCs/>
          <w:szCs w:val="20"/>
        </w:rPr>
        <w:t>Perna viridis</w:t>
      </w:r>
      <w:r w:rsidRPr="0047497D">
        <w:rPr>
          <w:rFonts w:cstheme="minorHAnsi"/>
          <w:szCs w:val="20"/>
        </w:rPr>
        <w:t>), which poses a serious threat to our aquaculture, native species and ability to export seafood.</w:t>
      </w:r>
    </w:p>
    <w:p w14:paraId="33905AC7" w14:textId="77777777" w:rsidR="0047497D" w:rsidRPr="0047497D" w:rsidRDefault="0047497D" w:rsidP="0047497D">
      <w:pPr>
        <w:pStyle w:val="BoxText"/>
        <w:rPr>
          <w:rFonts w:cstheme="minorHAnsi"/>
        </w:rPr>
      </w:pPr>
      <w:r w:rsidRPr="0047497D">
        <w:rPr>
          <w:rFonts w:cstheme="minorHAnsi"/>
          <w:b/>
          <w:bCs/>
        </w:rPr>
        <w:t>Changing land uses</w:t>
      </w:r>
      <w:r w:rsidRPr="0047497D">
        <w:rPr>
          <w:rFonts w:cstheme="minorHAnsi"/>
        </w:rPr>
        <w:t xml:space="preserve"> are altering the interface between urban and non-urban areas and the environment. As cities expand and scattered and dispersed urban growth increases, the risk of the introduction and spread of pests, weeds and diseases may also increase through land development, habitat loss and the movement of people and goods into new areas.</w:t>
      </w:r>
    </w:p>
    <w:p w14:paraId="43F7560A" w14:textId="77777777" w:rsidR="0047497D" w:rsidRPr="0047497D" w:rsidRDefault="0047497D" w:rsidP="0047497D">
      <w:pPr>
        <w:pStyle w:val="BoxText"/>
        <w:rPr>
          <w:rFonts w:cstheme="minorHAnsi"/>
        </w:rPr>
      </w:pPr>
      <w:r w:rsidRPr="0047497D">
        <w:rPr>
          <w:rFonts w:cstheme="minorHAnsi"/>
          <w:b/>
          <w:bCs/>
        </w:rPr>
        <w:lastRenderedPageBreak/>
        <w:t>Illegal activity</w:t>
      </w:r>
      <w:r w:rsidRPr="0047497D">
        <w:rPr>
          <w:rFonts w:cstheme="minorHAnsi"/>
        </w:rPr>
        <w:t xml:space="preserve"> has increased in recent years, leading to a higher risk of biosecurity threats. The growth and increasing complexity of trade and online shopping – exacerbated by the COVID-19 pandemic – has inadvertently opened new pathways for illegal plants and animals to reach Australia.</w:t>
      </w:r>
    </w:p>
    <w:p w14:paraId="02AC9DFF" w14:textId="3968B79C" w:rsidR="0047497D" w:rsidRPr="0047497D" w:rsidRDefault="0047497D" w:rsidP="0047497D">
      <w:pPr>
        <w:pStyle w:val="BoxText"/>
        <w:rPr>
          <w:rFonts w:cstheme="minorHAnsi"/>
        </w:rPr>
      </w:pPr>
      <w:r w:rsidRPr="0047497D">
        <w:rPr>
          <w:rFonts w:cstheme="minorHAnsi"/>
          <w:b/>
          <w:bCs/>
        </w:rPr>
        <w:t>Major global disruptions such as the COVID-19 pandemic</w:t>
      </w:r>
      <w:r w:rsidRPr="0047497D">
        <w:rPr>
          <w:rFonts w:cstheme="minorHAnsi"/>
        </w:rPr>
        <w:t xml:space="preserve">, can shock supply chains and impact the movement of goods and people. While these changes are often temporary, they can act as a catalyst for permanent changes in behaviour and supply chain pathways. </w:t>
      </w:r>
    </w:p>
    <w:p w14:paraId="3335E361" w14:textId="3CA1B3C2" w:rsidR="0047497D" w:rsidRPr="0047497D" w:rsidRDefault="0047497D" w:rsidP="0047497D">
      <w:pPr>
        <w:rPr>
          <w:rFonts w:cstheme="minorHAnsi"/>
        </w:rPr>
      </w:pPr>
      <w:r w:rsidRPr="0047497D">
        <w:rPr>
          <w:rFonts w:cstheme="minorHAnsi"/>
          <w:lang w:eastAsia="ja-JP"/>
        </w:rPr>
        <w:t xml:space="preserve">Further information about the changing and emerging biosecurity risk and the department’s strategic biosecurity future can be found in both the </w:t>
      </w:r>
      <w:hyperlink r:id="rId25" w:history="1">
        <w:r w:rsidRPr="0047497D">
          <w:rPr>
            <w:rStyle w:val="Hyperlink"/>
            <w:rFonts w:cstheme="minorHAnsi"/>
            <w:lang w:eastAsia="ja-JP"/>
          </w:rPr>
          <w:t>Commonwealth Biosecurity 2030</w:t>
        </w:r>
      </w:hyperlink>
      <w:r w:rsidRPr="0047497D">
        <w:rPr>
          <w:rFonts w:cstheme="minorHAnsi"/>
          <w:lang w:eastAsia="ja-JP"/>
        </w:rPr>
        <w:t xml:space="preserve"> and </w:t>
      </w:r>
      <w:hyperlink r:id="rId26" w:history="1">
        <w:r w:rsidRPr="0047497D">
          <w:rPr>
            <w:rStyle w:val="Hyperlink"/>
            <w:rFonts w:cstheme="minorHAnsi"/>
            <w:lang w:eastAsia="ja-JP"/>
          </w:rPr>
          <w:t>The National Biosecurity Strategy</w:t>
        </w:r>
      </w:hyperlink>
      <w:r w:rsidRPr="0047497D">
        <w:rPr>
          <w:rFonts w:cstheme="minorHAnsi"/>
          <w:lang w:eastAsia="ja-JP"/>
        </w:rPr>
        <w:t>.</w:t>
      </w:r>
    </w:p>
    <w:p w14:paraId="4E1AEF76" w14:textId="68C5EC2F" w:rsidR="000B128E" w:rsidRPr="0029167F" w:rsidRDefault="000B128E" w:rsidP="000B128E">
      <w:pPr>
        <w:pStyle w:val="Heading2"/>
        <w:rPr>
          <w:rFonts w:asciiTheme="minorHAnsi" w:hAnsiTheme="minorHAnsi" w:cstheme="minorHAnsi"/>
        </w:rPr>
      </w:pPr>
      <w:bookmarkStart w:id="37" w:name="_Toc168489248"/>
      <w:bookmarkStart w:id="38" w:name="_Toc168489545"/>
      <w:bookmarkStart w:id="39" w:name="_Toc168645243"/>
      <w:r w:rsidRPr="0029167F">
        <w:rPr>
          <w:rFonts w:asciiTheme="minorHAnsi" w:hAnsiTheme="minorHAnsi" w:cstheme="minorHAnsi"/>
        </w:rPr>
        <w:lastRenderedPageBreak/>
        <w:t xml:space="preserve">Policy </w:t>
      </w:r>
      <w:r w:rsidR="006F5CA8">
        <w:rPr>
          <w:rFonts w:asciiTheme="minorHAnsi" w:hAnsiTheme="minorHAnsi" w:cstheme="minorHAnsi"/>
        </w:rPr>
        <w:t xml:space="preserve">guidance </w:t>
      </w:r>
      <w:r w:rsidRPr="0029167F">
        <w:rPr>
          <w:rFonts w:asciiTheme="minorHAnsi" w:hAnsiTheme="minorHAnsi" w:cstheme="minorHAnsi"/>
        </w:rPr>
        <w:t>and statutory authority to cost recover</w:t>
      </w:r>
      <w:bookmarkEnd w:id="37"/>
      <w:bookmarkEnd w:id="38"/>
      <w:bookmarkEnd w:id="39"/>
    </w:p>
    <w:p w14:paraId="7A6161FF" w14:textId="5ACDFAB0" w:rsidR="000B128E" w:rsidRPr="0029167F" w:rsidRDefault="00B952B5" w:rsidP="000B128E">
      <w:pPr>
        <w:rPr>
          <w:rFonts w:cstheme="minorHAnsi"/>
          <w:lang w:eastAsia="ja-JP"/>
        </w:rPr>
      </w:pPr>
      <w:r>
        <w:rPr>
          <w:rFonts w:cstheme="minorHAnsi"/>
          <w:lang w:eastAsia="ja-JP"/>
        </w:rPr>
        <w:t>T</w:t>
      </w:r>
      <w:r w:rsidR="000B128E" w:rsidRPr="0029167F">
        <w:rPr>
          <w:rFonts w:cstheme="minorHAnsi"/>
          <w:lang w:eastAsia="ja-JP"/>
        </w:rPr>
        <w:t xml:space="preserve">he </w:t>
      </w:r>
      <w:r w:rsidR="006F5CA8" w:rsidRPr="006F5CA8">
        <w:rPr>
          <w:rFonts w:cstheme="minorHAnsi"/>
          <w:lang w:eastAsia="ja-JP"/>
        </w:rPr>
        <w:t>biosecurity and imported food control legislation imposes fees for services and charges (levies) for activities and other matters</w:t>
      </w:r>
      <w:r w:rsidR="006A72A8">
        <w:rPr>
          <w:rFonts w:cstheme="minorHAnsi"/>
          <w:lang w:eastAsia="ja-JP"/>
        </w:rPr>
        <w:t>,</w:t>
      </w:r>
      <w:r w:rsidR="006F5CA8" w:rsidRPr="006F5CA8">
        <w:rPr>
          <w:rFonts w:cstheme="minorHAnsi"/>
          <w:lang w:eastAsia="ja-JP"/>
        </w:rPr>
        <w:t xml:space="preserve"> relating to activities that occur within these legislative schemes</w:t>
      </w:r>
      <w:r w:rsidR="000B128E" w:rsidRPr="0029167F">
        <w:rPr>
          <w:rFonts w:cstheme="minorHAnsi"/>
          <w:lang w:eastAsia="ja-JP"/>
        </w:rPr>
        <w:t>.</w:t>
      </w:r>
    </w:p>
    <w:p w14:paraId="04F97591" w14:textId="3F7E9CDC" w:rsidR="000B128E" w:rsidRPr="0029167F" w:rsidRDefault="000B128E" w:rsidP="000B128E">
      <w:pPr>
        <w:pStyle w:val="Heading3"/>
        <w:rPr>
          <w:rFonts w:asciiTheme="minorHAnsi" w:hAnsiTheme="minorHAnsi" w:cstheme="minorHAnsi"/>
          <w:lang w:eastAsia="ja-JP"/>
        </w:rPr>
      </w:pPr>
      <w:bookmarkStart w:id="40" w:name="_Toc168489249"/>
      <w:bookmarkStart w:id="41" w:name="_Toc168489546"/>
      <w:bookmarkStart w:id="42" w:name="_Toc168645244"/>
      <w:r w:rsidRPr="0029167F">
        <w:rPr>
          <w:rFonts w:asciiTheme="minorHAnsi" w:hAnsiTheme="minorHAnsi" w:cstheme="minorHAnsi"/>
          <w:lang w:eastAsia="ja-JP"/>
        </w:rPr>
        <w:t xml:space="preserve">Government policy </w:t>
      </w:r>
      <w:r w:rsidR="006F5CA8" w:rsidRPr="006F5CA8">
        <w:rPr>
          <w:rFonts w:asciiTheme="minorHAnsi" w:hAnsiTheme="minorHAnsi" w:cstheme="minorHAnsi"/>
          <w:lang w:eastAsia="ja-JP"/>
        </w:rPr>
        <w:t xml:space="preserve">regarding cost recovery for </w:t>
      </w:r>
      <w:r w:rsidR="006F5CA8">
        <w:rPr>
          <w:rFonts w:asciiTheme="minorHAnsi" w:hAnsiTheme="minorHAnsi" w:cstheme="minorHAnsi"/>
          <w:lang w:eastAsia="ja-JP"/>
        </w:rPr>
        <w:t>regulation</w:t>
      </w:r>
      <w:bookmarkEnd w:id="40"/>
      <w:bookmarkEnd w:id="41"/>
      <w:bookmarkEnd w:id="42"/>
    </w:p>
    <w:p w14:paraId="2FEB10AA" w14:textId="2DBAB197" w:rsidR="005C21FD" w:rsidRDefault="00AA2A56" w:rsidP="0014788F">
      <w:pPr>
        <w:rPr>
          <w:rFonts w:cstheme="minorHAnsi"/>
          <w:lang w:eastAsia="ja-JP"/>
        </w:rPr>
      </w:pPr>
      <w:bookmarkStart w:id="43" w:name="_Hlk136354698"/>
      <w:r w:rsidRPr="00AA2A56">
        <w:rPr>
          <w:rFonts w:cstheme="minorHAnsi"/>
          <w:lang w:eastAsia="ja-JP"/>
        </w:rPr>
        <w:t>The department commenced cost recovery of selected biosecurity activities in 1979 and implemented broader biosecurity cost recovery from 1 January 1991.</w:t>
      </w:r>
      <w:bookmarkEnd w:id="43"/>
    </w:p>
    <w:p w14:paraId="74BD5143" w14:textId="4B9372DC" w:rsidR="00561663" w:rsidRDefault="00E82D10" w:rsidP="00561663">
      <w:pPr>
        <w:rPr>
          <w:rFonts w:cstheme="minorHAnsi"/>
        </w:rPr>
      </w:pPr>
      <w:r>
        <w:rPr>
          <w:rFonts w:cstheme="minorHAnsi"/>
        </w:rPr>
        <w:t xml:space="preserve">Announced in the May 2023 budget, the government has </w:t>
      </w:r>
      <w:r w:rsidR="00582895">
        <w:rPr>
          <w:rFonts w:cstheme="minorHAnsi"/>
        </w:rPr>
        <w:t>committed</w:t>
      </w:r>
      <w:r>
        <w:rPr>
          <w:rFonts w:cstheme="minorHAnsi"/>
        </w:rPr>
        <w:t xml:space="preserve"> permanent </w:t>
      </w:r>
      <w:r w:rsidR="00EC0BAD">
        <w:rPr>
          <w:rFonts w:cstheme="minorHAnsi"/>
        </w:rPr>
        <w:t xml:space="preserve">and </w:t>
      </w:r>
      <w:r>
        <w:rPr>
          <w:rFonts w:cstheme="minorHAnsi"/>
        </w:rPr>
        <w:t>increased long</w:t>
      </w:r>
      <w:r w:rsidR="00EC0BAD">
        <w:rPr>
          <w:rFonts w:cstheme="minorHAnsi"/>
        </w:rPr>
        <w:noBreakHyphen/>
      </w:r>
      <w:r>
        <w:rPr>
          <w:rFonts w:cstheme="minorHAnsi"/>
        </w:rPr>
        <w:t xml:space="preserve">term funding for a strengthened biosecurity system to </w:t>
      </w:r>
      <w:r w:rsidRPr="00E82D10">
        <w:rPr>
          <w:rFonts w:cstheme="minorHAnsi"/>
        </w:rPr>
        <w:t>help safeguard against biosecurity incursions that would impact trade, jobs, regional Australia, health and our environment.</w:t>
      </w:r>
      <w:bookmarkStart w:id="44" w:name="_Hlk97630093"/>
    </w:p>
    <w:p w14:paraId="4F761922" w14:textId="0FAA647E" w:rsidR="00561663" w:rsidRDefault="00253F1B" w:rsidP="00561663">
      <w:pPr>
        <w:rPr>
          <w:rFonts w:cstheme="minorHAnsi"/>
        </w:rPr>
      </w:pPr>
      <w:r>
        <w:rPr>
          <w:rFonts w:cstheme="minorHAnsi"/>
        </w:rPr>
        <w:t>An estimated $27 million is forecast to be recovered through a cost recovery charge on low value ($1,000 or less) goods imported into Australia by air or sea.</w:t>
      </w:r>
      <w:r w:rsidR="00561663">
        <w:rPr>
          <w:rFonts w:cstheme="minorHAnsi"/>
        </w:rPr>
        <w:t xml:space="preserve"> </w:t>
      </w:r>
      <w:r w:rsidR="00215112">
        <w:rPr>
          <w:rFonts w:cstheme="minorHAnsi"/>
        </w:rPr>
        <w:t>Charging for this</w:t>
      </w:r>
      <w:r w:rsidR="00561663">
        <w:rPr>
          <w:rFonts w:cstheme="minorHAnsi"/>
        </w:rPr>
        <w:t xml:space="preserve"> new measure will </w:t>
      </w:r>
      <w:r w:rsidR="00215112">
        <w:rPr>
          <w:rFonts w:cstheme="minorHAnsi"/>
        </w:rPr>
        <w:t xml:space="preserve">commence </w:t>
      </w:r>
      <w:r w:rsidR="00322D85">
        <w:rPr>
          <w:rFonts w:cstheme="minorHAnsi"/>
        </w:rPr>
        <w:t xml:space="preserve">in the </w:t>
      </w:r>
      <w:r w:rsidR="00215112">
        <w:rPr>
          <w:rFonts w:cstheme="minorHAnsi"/>
        </w:rPr>
        <w:t>2024</w:t>
      </w:r>
      <w:r w:rsidR="0006656C">
        <w:rPr>
          <w:rFonts w:cstheme="minorHAnsi"/>
        </w:rPr>
        <w:t>—</w:t>
      </w:r>
      <w:r w:rsidR="00322D85">
        <w:rPr>
          <w:rFonts w:cstheme="minorHAnsi"/>
        </w:rPr>
        <w:t>2025 financial year</w:t>
      </w:r>
      <w:r w:rsidR="00F609D7">
        <w:rPr>
          <w:rFonts w:cstheme="minorHAnsi"/>
        </w:rPr>
        <w:t xml:space="preserve">, </w:t>
      </w:r>
      <w:hyperlink w:anchor="_Self-Assessed_Clearance_(SAC)" w:history="1">
        <w:r w:rsidR="0006656C">
          <w:rPr>
            <w:rStyle w:val="Hyperlink"/>
            <w:rFonts w:cstheme="minorHAnsi"/>
          </w:rPr>
          <w:t>section 3.5.2</w:t>
        </w:r>
      </w:hyperlink>
      <w:r w:rsidRPr="0002150E">
        <w:rPr>
          <w:rFonts w:cstheme="minorHAnsi"/>
        </w:rPr>
        <w:t>.</w:t>
      </w:r>
    </w:p>
    <w:p w14:paraId="16FAF6C4" w14:textId="63D880C3" w:rsidR="004B5543" w:rsidRDefault="00253F1B" w:rsidP="00FC59C1">
      <w:pPr>
        <w:rPr>
          <w:rFonts w:cstheme="minorHAnsi"/>
        </w:rPr>
      </w:pPr>
      <w:r>
        <w:rPr>
          <w:rFonts w:cstheme="minorHAnsi"/>
        </w:rPr>
        <w:t xml:space="preserve">More on the </w:t>
      </w:r>
      <w:r w:rsidRPr="005319FF">
        <w:rPr>
          <w:rFonts w:cstheme="minorHAnsi"/>
        </w:rPr>
        <w:t>sustainable biosecurity funding</w:t>
      </w:r>
      <w:r>
        <w:rPr>
          <w:rFonts w:cstheme="minorHAnsi"/>
        </w:rPr>
        <w:t xml:space="preserve"> package can be found in our </w:t>
      </w:r>
      <w:hyperlink r:id="rId27" w:history="1">
        <w:r w:rsidRPr="00253F1B">
          <w:rPr>
            <w:rStyle w:val="Hyperlink"/>
            <w:rFonts w:cstheme="minorHAnsi"/>
          </w:rPr>
          <w:t>Budget Fact Sheets</w:t>
        </w:r>
      </w:hyperlink>
      <w:r>
        <w:rPr>
          <w:rFonts w:cstheme="minorHAnsi"/>
        </w:rPr>
        <w:t xml:space="preserve"> on the department’s website.</w:t>
      </w:r>
    </w:p>
    <w:p w14:paraId="5DD91920" w14:textId="76D57815" w:rsidR="00EC0BAD" w:rsidRPr="00735097" w:rsidRDefault="00EC0BAD" w:rsidP="00FC59C1">
      <w:pPr>
        <w:rPr>
          <w:rFonts w:cstheme="minorHAnsi"/>
        </w:rPr>
      </w:pPr>
      <w:r>
        <w:rPr>
          <w:rFonts w:cstheme="minorHAnsi"/>
        </w:rPr>
        <w:t>Further information on</w:t>
      </w:r>
      <w:r w:rsidR="006F5CA8">
        <w:rPr>
          <w:rFonts w:cstheme="minorHAnsi"/>
        </w:rPr>
        <w:t xml:space="preserve"> the</w:t>
      </w:r>
      <w:r w:rsidR="006F5CA8" w:rsidRPr="006F5CA8">
        <w:rPr>
          <w:rFonts w:cstheme="minorHAnsi"/>
        </w:rPr>
        <w:t xml:space="preserve"> government’s historical approach to cost recovery </w:t>
      </w:r>
      <w:r>
        <w:rPr>
          <w:rFonts w:cstheme="minorHAnsi"/>
        </w:rPr>
        <w:t xml:space="preserve">can be found in </w:t>
      </w:r>
      <w:hyperlink w:anchor="_Appendix_D:_Government_1" w:history="1">
        <w:r w:rsidR="0056358C" w:rsidRPr="00EA5492">
          <w:rPr>
            <w:rStyle w:val="Hyperlink"/>
            <w:rFonts w:cstheme="minorHAnsi"/>
          </w:rPr>
          <w:t>Appendix D.</w:t>
        </w:r>
      </w:hyperlink>
    </w:p>
    <w:p w14:paraId="08297F66" w14:textId="0427D735" w:rsidR="000B128E" w:rsidRPr="0029167F" w:rsidRDefault="000B128E" w:rsidP="000B128E">
      <w:pPr>
        <w:pStyle w:val="Heading3"/>
        <w:rPr>
          <w:rFonts w:asciiTheme="minorHAnsi" w:hAnsiTheme="minorHAnsi" w:cstheme="minorHAnsi"/>
          <w:lang w:eastAsia="ja-JP"/>
        </w:rPr>
      </w:pPr>
      <w:bookmarkStart w:id="45" w:name="_Toc134948269"/>
      <w:bookmarkStart w:id="46" w:name="_Toc135050229"/>
      <w:bookmarkStart w:id="47" w:name="_Toc135304882"/>
      <w:bookmarkStart w:id="48" w:name="_Toc135331055"/>
      <w:bookmarkStart w:id="49" w:name="_Toc135331307"/>
      <w:bookmarkStart w:id="50" w:name="_Toc135332500"/>
      <w:bookmarkStart w:id="51" w:name="_Toc134948270"/>
      <w:bookmarkStart w:id="52" w:name="_Toc135050230"/>
      <w:bookmarkStart w:id="53" w:name="_Toc135304883"/>
      <w:bookmarkStart w:id="54" w:name="_Toc135331056"/>
      <w:bookmarkStart w:id="55" w:name="_Toc135331308"/>
      <w:bookmarkStart w:id="56" w:name="_Toc135332501"/>
      <w:bookmarkStart w:id="57" w:name="_Toc134948271"/>
      <w:bookmarkStart w:id="58" w:name="_Toc135050231"/>
      <w:bookmarkStart w:id="59" w:name="_Toc135304884"/>
      <w:bookmarkStart w:id="60" w:name="_Toc135331057"/>
      <w:bookmarkStart w:id="61" w:name="_Toc135331309"/>
      <w:bookmarkStart w:id="62" w:name="_Toc135332502"/>
      <w:bookmarkStart w:id="63" w:name="_Statutory_authority_to"/>
      <w:bookmarkStart w:id="64" w:name="section_3_2"/>
      <w:bookmarkStart w:id="65" w:name="_Toc168489250"/>
      <w:bookmarkStart w:id="66" w:name="_Toc168489547"/>
      <w:bookmarkStart w:id="67" w:name="_Toc168645245"/>
      <w:bookmarkStart w:id="68" w:name="_Hlk8613823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29167F">
        <w:rPr>
          <w:rFonts w:asciiTheme="minorHAnsi" w:hAnsiTheme="minorHAnsi" w:cstheme="minorHAnsi"/>
          <w:lang w:eastAsia="ja-JP"/>
        </w:rPr>
        <w:t xml:space="preserve">Statutory authority to </w:t>
      </w:r>
      <w:r w:rsidR="006F5CA8">
        <w:rPr>
          <w:rFonts w:asciiTheme="minorHAnsi" w:hAnsiTheme="minorHAnsi" w:cstheme="minorHAnsi"/>
          <w:lang w:eastAsia="ja-JP"/>
        </w:rPr>
        <w:t>impose fees and charges (levies)</w:t>
      </w:r>
      <w:bookmarkEnd w:id="65"/>
      <w:bookmarkEnd w:id="66"/>
      <w:bookmarkEnd w:id="67"/>
    </w:p>
    <w:p w14:paraId="3B091BEF" w14:textId="12A43D5B" w:rsidR="000B128E" w:rsidRPr="0029167F" w:rsidRDefault="000B128E" w:rsidP="00FC59C1">
      <w:pPr>
        <w:rPr>
          <w:rFonts w:cstheme="minorHAnsi"/>
          <w:lang w:eastAsia="ja-JP"/>
        </w:rPr>
      </w:pPr>
      <w:r w:rsidRPr="0029167F">
        <w:rPr>
          <w:rFonts w:cstheme="minorHAnsi"/>
          <w:lang w:eastAsia="ja-JP"/>
        </w:rPr>
        <w:t>Fees and</w:t>
      </w:r>
      <w:r w:rsidR="00290CC8" w:rsidRPr="0029167F">
        <w:rPr>
          <w:rFonts w:cstheme="minorHAnsi"/>
          <w:lang w:eastAsia="ja-JP"/>
        </w:rPr>
        <w:t xml:space="preserve"> charges</w:t>
      </w:r>
      <w:r w:rsidR="00625F72">
        <w:rPr>
          <w:rFonts w:cstheme="minorHAnsi"/>
          <w:lang w:eastAsia="ja-JP"/>
        </w:rPr>
        <w:t xml:space="preserve"> (levies)</w:t>
      </w:r>
      <w:r w:rsidRPr="0029167F">
        <w:rPr>
          <w:rFonts w:cstheme="minorHAnsi"/>
          <w:lang w:eastAsia="ja-JP"/>
        </w:rPr>
        <w:t xml:space="preserve"> for biosecurity </w:t>
      </w:r>
      <w:r w:rsidR="00E3084A">
        <w:rPr>
          <w:rFonts w:cstheme="minorHAnsi"/>
          <w:lang w:eastAsia="ja-JP"/>
        </w:rPr>
        <w:t xml:space="preserve">and imported food </w:t>
      </w:r>
      <w:r w:rsidR="00524504" w:rsidRPr="0029167F">
        <w:rPr>
          <w:rFonts w:cstheme="minorHAnsi"/>
          <w:lang w:eastAsia="ja-JP"/>
        </w:rPr>
        <w:t xml:space="preserve">regulatory </w:t>
      </w:r>
      <w:r w:rsidRPr="0029167F">
        <w:rPr>
          <w:rFonts w:cstheme="minorHAnsi"/>
          <w:lang w:eastAsia="ja-JP"/>
        </w:rPr>
        <w:t xml:space="preserve">activities are recovered under separate </w:t>
      </w:r>
      <w:r w:rsidR="006F5CA8">
        <w:rPr>
          <w:rFonts w:cstheme="minorHAnsi"/>
          <w:lang w:eastAsia="ja-JP"/>
        </w:rPr>
        <w:t>legislation</w:t>
      </w:r>
      <w:r w:rsidRPr="0029167F">
        <w:rPr>
          <w:rFonts w:cstheme="minorHAnsi"/>
          <w:lang w:eastAsia="ja-JP"/>
        </w:rPr>
        <w:t>.</w:t>
      </w:r>
    </w:p>
    <w:p w14:paraId="67817C49" w14:textId="6B605FF3" w:rsidR="000B128E" w:rsidRPr="0029167F" w:rsidRDefault="007755D0" w:rsidP="000B128E">
      <w:pPr>
        <w:pStyle w:val="Heading4"/>
        <w:rPr>
          <w:rFonts w:asciiTheme="minorHAnsi" w:hAnsiTheme="minorHAnsi" w:cstheme="minorHAnsi"/>
          <w:lang w:eastAsia="ja-JP"/>
        </w:rPr>
      </w:pPr>
      <w:r w:rsidRPr="0029167F">
        <w:rPr>
          <w:rFonts w:asciiTheme="minorHAnsi" w:hAnsiTheme="minorHAnsi" w:cstheme="minorHAnsi"/>
          <w:lang w:eastAsia="ja-JP"/>
        </w:rPr>
        <w:t>Fees</w:t>
      </w:r>
    </w:p>
    <w:p w14:paraId="78663A22" w14:textId="323FF6DD" w:rsidR="00520067" w:rsidRDefault="006F5CA8" w:rsidP="007A18BA">
      <w:pPr>
        <w:rPr>
          <w:rFonts w:cstheme="minorHAnsi"/>
          <w:lang w:eastAsia="ja-JP"/>
        </w:rPr>
      </w:pPr>
      <w:r w:rsidRPr="006F5CA8">
        <w:rPr>
          <w:rFonts w:cstheme="minorHAnsi"/>
          <w:lang w:eastAsia="ja-JP"/>
        </w:rPr>
        <w:t xml:space="preserve">A fee for services is a payment for services provided by the department to, or at the request of, the </w:t>
      </w:r>
      <w:proofErr w:type="gramStart"/>
      <w:r w:rsidRPr="006F5CA8">
        <w:rPr>
          <w:rFonts w:cstheme="minorHAnsi"/>
          <w:lang w:eastAsia="ja-JP"/>
        </w:rPr>
        <w:t>particular person</w:t>
      </w:r>
      <w:proofErr w:type="gramEnd"/>
      <w:r w:rsidRPr="006F5CA8">
        <w:rPr>
          <w:rFonts w:cstheme="minorHAnsi"/>
          <w:lang w:eastAsia="ja-JP"/>
        </w:rPr>
        <w:t xml:space="preserve"> being required to make payment. This means that a service has been provided to the person liable to pay the fee.</w:t>
      </w:r>
    </w:p>
    <w:p w14:paraId="00548A60" w14:textId="6D7857B0" w:rsidR="006F5CA8" w:rsidRDefault="006F5CA8" w:rsidP="007A18BA">
      <w:pPr>
        <w:rPr>
          <w:rFonts w:cstheme="minorHAnsi"/>
          <w:lang w:eastAsia="ja-JP"/>
        </w:rPr>
      </w:pPr>
      <w:r w:rsidRPr="006F5CA8">
        <w:rPr>
          <w:rFonts w:cstheme="minorHAnsi"/>
          <w:lang w:eastAsia="ja-JP"/>
        </w:rPr>
        <w:t xml:space="preserve">This could include activities such as fee-for-service activities provided directly to a specific individual or organisation or </w:t>
      </w:r>
      <w:r>
        <w:rPr>
          <w:rFonts w:cstheme="minorHAnsi"/>
          <w:lang w:eastAsia="ja-JP"/>
        </w:rPr>
        <w:t>h</w:t>
      </w:r>
      <w:r w:rsidRPr="006F5CA8">
        <w:rPr>
          <w:rFonts w:cstheme="minorHAnsi"/>
          <w:lang w:eastAsia="ja-JP"/>
        </w:rPr>
        <w:t>usbandry services for plant and animals at post entry quarantine (PEQ)</w:t>
      </w:r>
      <w:r w:rsidR="00A4568B" w:rsidRPr="006F5CA8">
        <w:rPr>
          <w:rFonts w:cstheme="minorHAnsi"/>
          <w:lang w:eastAsia="ja-JP"/>
        </w:rPr>
        <w:t>.</w:t>
      </w:r>
    </w:p>
    <w:p w14:paraId="4425502B" w14:textId="3CC8F213" w:rsidR="001962A1" w:rsidRPr="0029167F" w:rsidRDefault="000B128E" w:rsidP="007A18BA">
      <w:pPr>
        <w:rPr>
          <w:rFonts w:cstheme="minorHAnsi"/>
          <w:lang w:eastAsia="ja-JP"/>
        </w:rPr>
      </w:pPr>
      <w:r w:rsidRPr="0029167F">
        <w:rPr>
          <w:rFonts w:cstheme="minorHAnsi"/>
          <w:lang w:eastAsia="ja-JP"/>
        </w:rPr>
        <w:t xml:space="preserve">The </w:t>
      </w:r>
      <w:hyperlink r:id="rId28" w:history="1">
        <w:r w:rsidRPr="00A968F0">
          <w:rPr>
            <w:rStyle w:val="Hyperlink"/>
            <w:rFonts w:cstheme="minorHAnsi"/>
            <w:lang w:eastAsia="ja-JP"/>
          </w:rPr>
          <w:t>Biosecurity Act 2015</w:t>
        </w:r>
      </w:hyperlink>
      <w:r w:rsidRPr="0033541D">
        <w:rPr>
          <w:rFonts w:cstheme="minorHAnsi"/>
          <w:lang w:eastAsia="ja-JP"/>
        </w:rPr>
        <w:t xml:space="preserve"> i</w:t>
      </w:r>
      <w:r w:rsidRPr="0029167F">
        <w:rPr>
          <w:rFonts w:cstheme="minorHAnsi"/>
          <w:lang w:eastAsia="ja-JP"/>
        </w:rPr>
        <w:t xml:space="preserve">s the primary biosecurity legislation in Australia. </w:t>
      </w:r>
      <w:hyperlink r:id="rId29" w:history="1">
        <w:r w:rsidR="00674B09" w:rsidRPr="00A968F0">
          <w:rPr>
            <w:rStyle w:val="Hyperlink"/>
            <w:rFonts w:cstheme="minorHAnsi"/>
          </w:rPr>
          <w:t>The Imported Food Control Act 1992</w:t>
        </w:r>
      </w:hyperlink>
      <w:r w:rsidR="00674B09" w:rsidRPr="00A968F0">
        <w:rPr>
          <w:rFonts w:cstheme="minorHAnsi"/>
          <w:i/>
          <w:iCs/>
        </w:rPr>
        <w:t xml:space="preserve"> </w:t>
      </w:r>
      <w:r w:rsidR="00674B09" w:rsidRPr="0029167F">
        <w:rPr>
          <w:rFonts w:cstheme="minorHAnsi"/>
        </w:rPr>
        <w:t xml:space="preserve">is the primary </w:t>
      </w:r>
      <w:r w:rsidR="007755D0" w:rsidRPr="0029167F">
        <w:rPr>
          <w:rFonts w:cstheme="minorHAnsi"/>
        </w:rPr>
        <w:t>food importation</w:t>
      </w:r>
      <w:r w:rsidR="00674B09" w:rsidRPr="0029167F">
        <w:rPr>
          <w:rFonts w:cstheme="minorHAnsi"/>
        </w:rPr>
        <w:t xml:space="preserve"> legislation.</w:t>
      </w:r>
    </w:p>
    <w:p w14:paraId="35D981EE" w14:textId="03FB958D" w:rsidR="00600282" w:rsidRDefault="00DF4F56" w:rsidP="00600282">
      <w:pPr>
        <w:rPr>
          <w:rFonts w:cstheme="minorHAnsi"/>
          <w:lang w:eastAsia="ja-JP"/>
        </w:rPr>
      </w:pPr>
      <w:r w:rsidRPr="0029167F">
        <w:rPr>
          <w:rFonts w:cstheme="minorHAnsi"/>
          <w:lang w:eastAsia="ja-JP"/>
        </w:rPr>
        <w:t xml:space="preserve">Section </w:t>
      </w:r>
      <w:bookmarkStart w:id="69" w:name="_Hlk86132079"/>
      <w:r w:rsidR="00600282" w:rsidRPr="0029167F">
        <w:rPr>
          <w:rFonts w:cstheme="minorHAnsi"/>
          <w:lang w:eastAsia="ja-JP"/>
        </w:rPr>
        <w:t xml:space="preserve">592 of the Biosecurity Act </w:t>
      </w:r>
      <w:r w:rsidR="00600282">
        <w:rPr>
          <w:rFonts w:cstheme="minorHAnsi"/>
          <w:lang w:eastAsia="ja-JP"/>
        </w:rPr>
        <w:t xml:space="preserve">provides that the regulations may prescribe </w:t>
      </w:r>
      <w:r w:rsidR="00600282" w:rsidRPr="0029167F">
        <w:rPr>
          <w:rFonts w:cstheme="minorHAnsi"/>
          <w:lang w:eastAsia="ja-JP"/>
        </w:rPr>
        <w:t>fees that may be charged in relation to activities carried out by, or on behalf of the Commonwealth</w:t>
      </w:r>
      <w:r w:rsidR="00600282">
        <w:rPr>
          <w:rFonts w:cstheme="minorHAnsi"/>
          <w:lang w:eastAsia="ja-JP"/>
        </w:rPr>
        <w:t xml:space="preserve"> in performing functions and exercising powers under the Biosecurity Act. </w:t>
      </w:r>
      <w:r w:rsidR="00600282" w:rsidRPr="00B12E60">
        <w:rPr>
          <w:rFonts w:cstheme="minorHAnsi"/>
          <w:lang w:eastAsia="ja-JP"/>
        </w:rPr>
        <w:t>For this purposes</w:t>
      </w:r>
      <w:r w:rsidR="00600282">
        <w:rPr>
          <w:rFonts w:cstheme="minorHAnsi"/>
          <w:lang w:eastAsia="ja-JP"/>
        </w:rPr>
        <w:t xml:space="preserve">, section 106 of the </w:t>
      </w:r>
      <w:hyperlink r:id="rId30" w:history="1">
        <w:r w:rsidR="00600282" w:rsidRPr="00D27FCA">
          <w:rPr>
            <w:rStyle w:val="Hyperlink"/>
            <w:rFonts w:cstheme="minorHAnsi"/>
            <w:lang w:eastAsia="ja-JP"/>
          </w:rPr>
          <w:t>Biosecurity Regulation 2016</w:t>
        </w:r>
      </w:hyperlink>
      <w:r w:rsidR="00600282" w:rsidRPr="00D27FCA">
        <w:rPr>
          <w:rFonts w:cstheme="minorHAnsi"/>
          <w:lang w:eastAsia="ja-JP"/>
        </w:rPr>
        <w:t xml:space="preserve"> prescribes fees that may be charged in relation to </w:t>
      </w:r>
      <w:r w:rsidR="00600282">
        <w:rPr>
          <w:rFonts w:cstheme="minorHAnsi"/>
          <w:lang w:eastAsia="ja-JP"/>
        </w:rPr>
        <w:t xml:space="preserve">specified </w:t>
      </w:r>
      <w:r w:rsidR="00600282" w:rsidRPr="00D27FCA">
        <w:rPr>
          <w:rFonts w:cstheme="minorHAnsi"/>
          <w:lang w:eastAsia="ja-JP"/>
        </w:rPr>
        <w:t>fee-bearing activities</w:t>
      </w:r>
      <w:r w:rsidR="00600282">
        <w:rPr>
          <w:rFonts w:cstheme="minorHAnsi"/>
          <w:lang w:eastAsia="ja-JP"/>
        </w:rPr>
        <w:t>.</w:t>
      </w:r>
    </w:p>
    <w:p w14:paraId="6CE77E7E" w14:textId="0BFFD8C8" w:rsidR="00693DB8" w:rsidRPr="0029167F" w:rsidRDefault="00693DB8" w:rsidP="00600282">
      <w:pPr>
        <w:rPr>
          <w:rFonts w:cstheme="minorHAnsi"/>
          <w:lang w:eastAsia="ja-JP"/>
        </w:rPr>
      </w:pPr>
      <w:r w:rsidRPr="00693DB8">
        <w:rPr>
          <w:rFonts w:cstheme="minorHAnsi"/>
          <w:lang w:eastAsia="ja-JP"/>
        </w:rPr>
        <w:t xml:space="preserve">Section 36 of the Imported Food Control Act provides that a person for whom a </w:t>
      </w:r>
      <w:r w:rsidR="00164614">
        <w:rPr>
          <w:rFonts w:cstheme="minorHAnsi"/>
          <w:lang w:eastAsia="ja-JP"/>
        </w:rPr>
        <w:t>‘</w:t>
      </w:r>
      <w:r w:rsidRPr="00693DB8">
        <w:rPr>
          <w:rFonts w:cstheme="minorHAnsi"/>
          <w:lang w:eastAsia="ja-JP"/>
        </w:rPr>
        <w:t>chargeable service</w:t>
      </w:r>
      <w:r w:rsidR="00164614">
        <w:rPr>
          <w:rFonts w:cstheme="minorHAnsi"/>
          <w:lang w:eastAsia="ja-JP"/>
        </w:rPr>
        <w:t>’</w:t>
      </w:r>
      <w:r w:rsidRPr="00693DB8">
        <w:rPr>
          <w:rFonts w:cstheme="minorHAnsi"/>
          <w:lang w:eastAsia="ja-JP"/>
        </w:rPr>
        <w:t xml:space="preserve"> is provided is liable to pay to the Commonwealth </w:t>
      </w:r>
      <w:r>
        <w:rPr>
          <w:rFonts w:cstheme="minorHAnsi"/>
          <w:lang w:eastAsia="ja-JP"/>
        </w:rPr>
        <w:t xml:space="preserve">the </w:t>
      </w:r>
      <w:r w:rsidRPr="00693DB8">
        <w:rPr>
          <w:rFonts w:cstheme="minorHAnsi"/>
          <w:lang w:eastAsia="ja-JP"/>
        </w:rPr>
        <w:t xml:space="preserve">amount </w:t>
      </w:r>
      <w:r>
        <w:rPr>
          <w:rFonts w:cstheme="minorHAnsi"/>
          <w:lang w:eastAsia="ja-JP"/>
        </w:rPr>
        <w:t xml:space="preserve">for the </w:t>
      </w:r>
      <w:r w:rsidRPr="00693DB8">
        <w:rPr>
          <w:rFonts w:cstheme="minorHAnsi"/>
          <w:lang w:eastAsia="ja-JP"/>
        </w:rPr>
        <w:t>provision of that service as is prescribed</w:t>
      </w:r>
      <w:r w:rsidR="008843DD">
        <w:rPr>
          <w:rFonts w:cstheme="minorHAnsi"/>
          <w:lang w:eastAsia="ja-JP"/>
        </w:rPr>
        <w:t xml:space="preserve">. </w:t>
      </w:r>
      <w:r w:rsidRPr="00693DB8">
        <w:rPr>
          <w:rFonts w:cstheme="minorHAnsi"/>
          <w:lang w:eastAsia="ja-JP"/>
        </w:rPr>
        <w:t xml:space="preserve">For this purpose, part 4 of the </w:t>
      </w:r>
      <w:bookmarkStart w:id="70" w:name="_Hlk162417481"/>
      <w:r>
        <w:fldChar w:fldCharType="begin"/>
      </w:r>
      <w:r>
        <w:instrText>HYPERLINK "https://www.legislation.gov.au/Details/F2019L01006"</w:instrText>
      </w:r>
      <w:r>
        <w:fldChar w:fldCharType="separate"/>
      </w:r>
      <w:r w:rsidRPr="0029167F">
        <w:rPr>
          <w:rStyle w:val="Hyperlink"/>
          <w:rFonts w:cstheme="minorHAnsi"/>
          <w:lang w:eastAsia="ja-JP"/>
        </w:rPr>
        <w:t>Imported Food Regulations 2019</w:t>
      </w:r>
      <w:r>
        <w:rPr>
          <w:rStyle w:val="Hyperlink"/>
          <w:rFonts w:cstheme="minorHAnsi"/>
          <w:lang w:eastAsia="ja-JP"/>
        </w:rPr>
        <w:fldChar w:fldCharType="end"/>
      </w:r>
      <w:bookmarkEnd w:id="70"/>
      <w:r>
        <w:rPr>
          <w:rStyle w:val="Hyperlink"/>
          <w:rFonts w:cstheme="minorHAnsi"/>
          <w:lang w:eastAsia="ja-JP"/>
        </w:rPr>
        <w:t xml:space="preserve"> </w:t>
      </w:r>
      <w:r w:rsidRPr="00693DB8">
        <w:rPr>
          <w:rFonts w:cstheme="minorHAnsi"/>
          <w:lang w:eastAsia="ja-JP"/>
        </w:rPr>
        <w:t>prescribes the payable amount for the provision of specified chargeable services.</w:t>
      </w:r>
    </w:p>
    <w:bookmarkEnd w:id="69"/>
    <w:p w14:paraId="5CC60F86" w14:textId="4AF5C0D0" w:rsidR="000B128E" w:rsidRPr="0029167F" w:rsidRDefault="00A928D3" w:rsidP="000B128E">
      <w:pPr>
        <w:pStyle w:val="Heading4"/>
        <w:rPr>
          <w:rFonts w:asciiTheme="minorHAnsi" w:hAnsiTheme="minorHAnsi" w:cstheme="minorHAnsi"/>
          <w:lang w:eastAsia="ja-JP"/>
        </w:rPr>
      </w:pPr>
      <w:r>
        <w:rPr>
          <w:rFonts w:asciiTheme="minorHAnsi" w:hAnsiTheme="minorHAnsi" w:cstheme="minorHAnsi"/>
          <w:lang w:eastAsia="ja-JP"/>
        </w:rPr>
        <w:t xml:space="preserve">Charges </w:t>
      </w:r>
      <w:r w:rsidR="00693DB8">
        <w:rPr>
          <w:rFonts w:asciiTheme="minorHAnsi" w:hAnsiTheme="minorHAnsi" w:cstheme="minorHAnsi"/>
          <w:lang w:eastAsia="ja-JP"/>
        </w:rPr>
        <w:t>(</w:t>
      </w:r>
      <w:r w:rsidR="00625F72">
        <w:rPr>
          <w:rFonts w:asciiTheme="minorHAnsi" w:hAnsiTheme="minorHAnsi" w:cstheme="minorHAnsi"/>
          <w:lang w:eastAsia="ja-JP"/>
        </w:rPr>
        <w:t>l</w:t>
      </w:r>
      <w:r>
        <w:rPr>
          <w:rFonts w:asciiTheme="minorHAnsi" w:hAnsiTheme="minorHAnsi" w:cstheme="minorHAnsi"/>
          <w:lang w:eastAsia="ja-JP"/>
        </w:rPr>
        <w:t>evies</w:t>
      </w:r>
      <w:r w:rsidR="00693DB8">
        <w:rPr>
          <w:rFonts w:asciiTheme="minorHAnsi" w:hAnsiTheme="minorHAnsi" w:cstheme="minorHAnsi"/>
          <w:lang w:eastAsia="ja-JP"/>
        </w:rPr>
        <w:t>)</w:t>
      </w:r>
    </w:p>
    <w:p w14:paraId="04B859D3" w14:textId="220ABB30" w:rsidR="00550975" w:rsidRDefault="004F209C" w:rsidP="00550975">
      <w:pPr>
        <w:rPr>
          <w:rFonts w:cstheme="minorHAnsi"/>
          <w:lang w:eastAsia="ja-JP"/>
        </w:rPr>
      </w:pPr>
      <w:r>
        <w:rPr>
          <w:rFonts w:cstheme="minorHAnsi"/>
          <w:lang w:eastAsia="ja-JP"/>
        </w:rPr>
        <w:t xml:space="preserve">A </w:t>
      </w:r>
      <w:r w:rsidRPr="004952EE">
        <w:rPr>
          <w:rFonts w:cstheme="minorHAnsi"/>
          <w:lang w:eastAsia="ja-JP"/>
        </w:rPr>
        <w:t xml:space="preserve">cost recovery </w:t>
      </w:r>
      <w:r>
        <w:rPr>
          <w:rFonts w:cstheme="minorHAnsi"/>
          <w:lang w:eastAsia="ja-JP"/>
        </w:rPr>
        <w:t>charge</w:t>
      </w:r>
      <w:r w:rsidRPr="004952EE">
        <w:rPr>
          <w:rFonts w:cstheme="minorHAnsi"/>
          <w:lang w:eastAsia="ja-JP"/>
        </w:rPr>
        <w:t xml:space="preserve"> is a tax </w:t>
      </w:r>
      <w:r>
        <w:rPr>
          <w:rFonts w:cstheme="minorHAnsi"/>
          <w:lang w:eastAsia="ja-JP"/>
        </w:rPr>
        <w:t xml:space="preserve">(that may have a cost recovery component) </w:t>
      </w:r>
      <w:r w:rsidRPr="004952EE">
        <w:rPr>
          <w:rFonts w:cstheme="minorHAnsi"/>
          <w:lang w:eastAsia="ja-JP"/>
        </w:rPr>
        <w:t xml:space="preserve">and is imposed via a separate taxation Act. </w:t>
      </w:r>
      <w:r w:rsidR="00693DB8" w:rsidRPr="00693DB8">
        <w:rPr>
          <w:rFonts w:cstheme="minorHAnsi"/>
          <w:lang w:eastAsia="ja-JP"/>
        </w:rPr>
        <w:t>A charge is imposed for public purposes that do not relate to specific services provided by the department to someone</w:t>
      </w:r>
      <w:r w:rsidR="00A4568B" w:rsidRPr="00693DB8">
        <w:rPr>
          <w:rFonts w:cstheme="minorHAnsi"/>
          <w:lang w:eastAsia="ja-JP"/>
        </w:rPr>
        <w:t>.</w:t>
      </w:r>
    </w:p>
    <w:p w14:paraId="354E6305" w14:textId="151FFFB7" w:rsidR="000B128E" w:rsidRPr="0029167F" w:rsidRDefault="00DF4F56" w:rsidP="000B128E">
      <w:pPr>
        <w:rPr>
          <w:rFonts w:cstheme="minorHAnsi"/>
          <w:lang w:eastAsia="ja-JP"/>
        </w:rPr>
      </w:pPr>
      <w:r w:rsidRPr="0029167F">
        <w:rPr>
          <w:rFonts w:cstheme="minorHAnsi"/>
          <w:lang w:eastAsia="ja-JP"/>
        </w:rPr>
        <w:t xml:space="preserve">Charges are imposed through specific biosecurity and imported food charging acts and associated delegated legislation, which provide powers to impose and collect charges for biosecurity and imported food </w:t>
      </w:r>
      <w:r w:rsidR="00D900EC" w:rsidRPr="0029167F">
        <w:rPr>
          <w:rFonts w:cstheme="minorHAnsi"/>
          <w:lang w:eastAsia="ja-JP"/>
        </w:rPr>
        <w:t>regu</w:t>
      </w:r>
      <w:r w:rsidR="008378B3" w:rsidRPr="0029167F">
        <w:rPr>
          <w:rFonts w:cstheme="minorHAnsi"/>
          <w:lang w:eastAsia="ja-JP"/>
        </w:rPr>
        <w:t xml:space="preserve">latory </w:t>
      </w:r>
      <w:r w:rsidR="00693DB8">
        <w:rPr>
          <w:rFonts w:cstheme="minorHAnsi"/>
          <w:lang w:eastAsia="ja-JP"/>
        </w:rPr>
        <w:t>matters</w:t>
      </w:r>
      <w:r w:rsidR="00962E08">
        <w:rPr>
          <w:rFonts w:cstheme="minorHAnsi"/>
          <w:lang w:eastAsia="ja-JP"/>
        </w:rPr>
        <w:t>,</w:t>
      </w:r>
      <w:r w:rsidR="00693DB8">
        <w:rPr>
          <w:rFonts w:cstheme="minorHAnsi"/>
          <w:lang w:eastAsia="ja-JP"/>
        </w:rPr>
        <w:t xml:space="preserve"> including</w:t>
      </w:r>
      <w:r w:rsidRPr="0029167F">
        <w:rPr>
          <w:rFonts w:cstheme="minorHAnsi"/>
          <w:lang w:eastAsia="ja-JP"/>
        </w:rPr>
        <w:t>:</w:t>
      </w:r>
    </w:p>
    <w:p w14:paraId="1B397A68" w14:textId="29E22ABD" w:rsidR="000B128E" w:rsidRPr="00A968F0" w:rsidRDefault="005C47B5" w:rsidP="007B13E1">
      <w:pPr>
        <w:pStyle w:val="ListBullet"/>
        <w:spacing w:before="0"/>
        <w:rPr>
          <w:rFonts w:cstheme="minorHAnsi"/>
          <w:lang w:eastAsia="ja-JP"/>
        </w:rPr>
      </w:pPr>
      <w:hyperlink r:id="rId31" w:history="1">
        <w:r w:rsidR="000B128E" w:rsidRPr="00A968F0">
          <w:rPr>
            <w:rStyle w:val="Hyperlink"/>
            <w:rFonts w:cstheme="minorHAnsi"/>
            <w:lang w:eastAsia="ja-JP"/>
          </w:rPr>
          <w:t>Biosecurity Charges Imposition (Customs) Act 2015</w:t>
        </w:r>
      </w:hyperlink>
    </w:p>
    <w:p w14:paraId="0719951E" w14:textId="78849641" w:rsidR="000B128E" w:rsidRPr="00A968F0" w:rsidRDefault="005C47B5" w:rsidP="000B128E">
      <w:pPr>
        <w:pStyle w:val="ListBullet"/>
        <w:rPr>
          <w:rFonts w:cstheme="minorHAnsi"/>
          <w:lang w:eastAsia="ja-JP"/>
        </w:rPr>
      </w:pPr>
      <w:hyperlink r:id="rId32" w:history="1">
        <w:r w:rsidR="000B128E" w:rsidRPr="00A968F0">
          <w:rPr>
            <w:rStyle w:val="Hyperlink"/>
            <w:rFonts w:cstheme="minorHAnsi"/>
            <w:lang w:eastAsia="ja-JP"/>
          </w:rPr>
          <w:t>Biosecurity Charges Imposition (Excise) Act 2015</w:t>
        </w:r>
      </w:hyperlink>
    </w:p>
    <w:p w14:paraId="7B7A4F40" w14:textId="52313865" w:rsidR="000B128E" w:rsidRPr="00A968F0" w:rsidRDefault="005C47B5" w:rsidP="000B128E">
      <w:pPr>
        <w:pStyle w:val="ListBullet"/>
        <w:rPr>
          <w:rFonts w:cstheme="minorHAnsi"/>
          <w:lang w:eastAsia="ja-JP"/>
        </w:rPr>
      </w:pPr>
      <w:hyperlink r:id="rId33" w:history="1">
        <w:r w:rsidR="000B128E" w:rsidRPr="00A968F0">
          <w:rPr>
            <w:rStyle w:val="Hyperlink"/>
            <w:rFonts w:cstheme="minorHAnsi"/>
            <w:lang w:eastAsia="ja-JP"/>
          </w:rPr>
          <w:t>Biosecurity Charges Imposition (General) Act 2015</w:t>
        </w:r>
      </w:hyperlink>
    </w:p>
    <w:p w14:paraId="1E3F42AA" w14:textId="4C7D3BF2" w:rsidR="000B128E" w:rsidRPr="00A968F0" w:rsidRDefault="005C47B5" w:rsidP="000B128E">
      <w:pPr>
        <w:pStyle w:val="ListBullet"/>
        <w:rPr>
          <w:rFonts w:cstheme="minorHAnsi"/>
          <w:lang w:eastAsia="ja-JP"/>
        </w:rPr>
      </w:pPr>
      <w:hyperlink r:id="rId34" w:history="1">
        <w:r w:rsidR="000B128E" w:rsidRPr="00A968F0">
          <w:rPr>
            <w:rStyle w:val="Hyperlink"/>
            <w:rFonts w:cstheme="minorHAnsi"/>
            <w:lang w:eastAsia="ja-JP"/>
          </w:rPr>
          <w:t>Imported Food Charges (Imposition—Customs) Act 2015</w:t>
        </w:r>
      </w:hyperlink>
    </w:p>
    <w:p w14:paraId="7BED2355" w14:textId="4DAE21BD" w:rsidR="000B128E" w:rsidRPr="00A968F0" w:rsidRDefault="005C47B5" w:rsidP="000B128E">
      <w:pPr>
        <w:pStyle w:val="ListBullet"/>
        <w:rPr>
          <w:rFonts w:cstheme="minorHAnsi"/>
          <w:lang w:eastAsia="ja-JP"/>
        </w:rPr>
      </w:pPr>
      <w:hyperlink r:id="rId35" w:history="1">
        <w:r w:rsidR="000B128E" w:rsidRPr="00A968F0">
          <w:rPr>
            <w:rStyle w:val="Hyperlink"/>
            <w:rFonts w:cstheme="minorHAnsi"/>
            <w:lang w:eastAsia="ja-JP"/>
          </w:rPr>
          <w:t>Imported Food Charges (Imposition—Excise) Act 2015</w:t>
        </w:r>
      </w:hyperlink>
    </w:p>
    <w:p w14:paraId="53718131" w14:textId="04674773" w:rsidR="000B128E" w:rsidRPr="00A968F0" w:rsidRDefault="005C47B5" w:rsidP="000B128E">
      <w:pPr>
        <w:pStyle w:val="ListBullet"/>
        <w:rPr>
          <w:rFonts w:cstheme="minorHAnsi"/>
          <w:lang w:eastAsia="ja-JP"/>
        </w:rPr>
      </w:pPr>
      <w:hyperlink r:id="rId36" w:history="1">
        <w:r w:rsidR="000B128E" w:rsidRPr="00A968F0">
          <w:rPr>
            <w:rStyle w:val="Hyperlink"/>
            <w:rFonts w:cstheme="minorHAnsi"/>
            <w:lang w:eastAsia="ja-JP"/>
          </w:rPr>
          <w:t>Imported Food Charges (Imposition—General) Act 2015</w:t>
        </w:r>
      </w:hyperlink>
    </w:p>
    <w:p w14:paraId="447624D2" w14:textId="3B18031F" w:rsidR="000B128E" w:rsidRPr="00A968F0" w:rsidRDefault="005C47B5" w:rsidP="000B128E">
      <w:pPr>
        <w:pStyle w:val="ListBullet"/>
        <w:rPr>
          <w:rFonts w:cstheme="minorHAnsi"/>
          <w:lang w:eastAsia="ja-JP"/>
        </w:rPr>
      </w:pPr>
      <w:hyperlink r:id="rId37" w:history="1">
        <w:r w:rsidR="000B128E" w:rsidRPr="00A968F0">
          <w:rPr>
            <w:rStyle w:val="Hyperlink"/>
            <w:rFonts w:cstheme="minorHAnsi"/>
            <w:lang w:eastAsia="ja-JP"/>
          </w:rPr>
          <w:t>Imported Food Charges (Collection) Act 2015</w:t>
        </w:r>
      </w:hyperlink>
    </w:p>
    <w:p w14:paraId="351343D0" w14:textId="24334C22" w:rsidR="000B128E" w:rsidRPr="0029167F" w:rsidRDefault="000B128E" w:rsidP="000B128E">
      <w:pPr>
        <w:rPr>
          <w:rFonts w:cstheme="minorHAnsi"/>
          <w:lang w:eastAsia="ja-JP"/>
        </w:rPr>
      </w:pPr>
      <w:r w:rsidRPr="0029167F">
        <w:rPr>
          <w:rFonts w:cstheme="minorHAnsi"/>
          <w:lang w:eastAsia="ja-JP"/>
        </w:rPr>
        <w:t xml:space="preserve">Specific charges are prescribed in the </w:t>
      </w:r>
      <w:hyperlink r:id="rId38" w:history="1">
        <w:r w:rsidRPr="0029167F">
          <w:rPr>
            <w:rStyle w:val="Hyperlink"/>
            <w:rFonts w:cstheme="minorHAnsi"/>
            <w:lang w:eastAsia="ja-JP"/>
          </w:rPr>
          <w:t>Biosecurity Charges Imposition (Customs) Regulation 2016</w:t>
        </w:r>
      </w:hyperlink>
      <w:r w:rsidRPr="0029167F">
        <w:rPr>
          <w:rFonts w:cstheme="minorHAnsi"/>
          <w:lang w:eastAsia="ja-JP"/>
        </w:rPr>
        <w:t xml:space="preserve"> and the </w:t>
      </w:r>
      <w:hyperlink r:id="rId39" w:history="1">
        <w:r w:rsidRPr="0029167F">
          <w:rPr>
            <w:rStyle w:val="Hyperlink"/>
            <w:rFonts w:cstheme="minorHAnsi"/>
            <w:lang w:eastAsia="ja-JP"/>
          </w:rPr>
          <w:t>Biosecurity Charges Imposition (General) Regulation 2016</w:t>
        </w:r>
      </w:hyperlink>
      <w:r w:rsidRPr="0029167F">
        <w:rPr>
          <w:rFonts w:cstheme="minorHAnsi"/>
          <w:lang w:eastAsia="ja-JP"/>
        </w:rPr>
        <w:t>.</w:t>
      </w:r>
    </w:p>
    <w:p w14:paraId="43CF5DF3" w14:textId="194F6654" w:rsidR="000B128E" w:rsidRPr="0029167F" w:rsidRDefault="00BC2261" w:rsidP="00D052B1">
      <w:pPr>
        <w:rPr>
          <w:rFonts w:cstheme="minorHAnsi"/>
          <w:lang w:eastAsia="ja-JP"/>
        </w:rPr>
      </w:pPr>
      <w:r w:rsidRPr="0029167F">
        <w:rPr>
          <w:rFonts w:cstheme="minorHAnsi"/>
          <w:lang w:eastAsia="ja-JP"/>
        </w:rPr>
        <w:t xml:space="preserve">Specific charges are prescribed in the </w:t>
      </w:r>
      <w:hyperlink r:id="rId40" w:history="1">
        <w:r w:rsidRPr="0029167F">
          <w:rPr>
            <w:rStyle w:val="Hyperlink"/>
            <w:rFonts w:cstheme="minorHAnsi"/>
            <w:lang w:eastAsia="ja-JP"/>
          </w:rPr>
          <w:t xml:space="preserve">Imported Food </w:t>
        </w:r>
        <w:r w:rsidR="00741283" w:rsidRPr="0029167F">
          <w:rPr>
            <w:rStyle w:val="Hyperlink"/>
            <w:rFonts w:cstheme="minorHAnsi"/>
            <w:lang w:eastAsia="ja-JP"/>
          </w:rPr>
          <w:t>Charges</w:t>
        </w:r>
        <w:r w:rsidRPr="0029167F">
          <w:rPr>
            <w:rStyle w:val="Hyperlink"/>
            <w:rFonts w:cstheme="minorHAnsi"/>
            <w:lang w:eastAsia="ja-JP"/>
          </w:rPr>
          <w:t xml:space="preserve"> (</w:t>
        </w:r>
        <w:r w:rsidR="00741283" w:rsidRPr="0029167F">
          <w:rPr>
            <w:rStyle w:val="Hyperlink"/>
            <w:rFonts w:cstheme="minorHAnsi"/>
            <w:lang w:eastAsia="ja-JP"/>
          </w:rPr>
          <w:t>Imposition—Customs</w:t>
        </w:r>
        <w:r w:rsidRPr="0029167F">
          <w:rPr>
            <w:rStyle w:val="Hyperlink"/>
            <w:rFonts w:cstheme="minorHAnsi"/>
            <w:lang w:eastAsia="ja-JP"/>
          </w:rPr>
          <w:t>) Regulation</w:t>
        </w:r>
        <w:r w:rsidR="00741283" w:rsidRPr="0029167F">
          <w:rPr>
            <w:rStyle w:val="Hyperlink"/>
            <w:rFonts w:cstheme="minorHAnsi"/>
            <w:lang w:eastAsia="ja-JP"/>
          </w:rPr>
          <w:t xml:space="preserve"> 2015</w:t>
        </w:r>
      </w:hyperlink>
      <w:r w:rsidR="00741283" w:rsidRPr="0029167F">
        <w:rPr>
          <w:rFonts w:cstheme="minorHAnsi"/>
          <w:lang w:eastAsia="ja-JP"/>
        </w:rPr>
        <w:t xml:space="preserve"> and the </w:t>
      </w:r>
      <w:hyperlink r:id="rId41" w:history="1">
        <w:r w:rsidR="00741283" w:rsidRPr="00550975">
          <w:rPr>
            <w:rStyle w:val="Hyperlink"/>
            <w:rFonts w:cstheme="minorHAnsi"/>
            <w:lang w:eastAsia="ja-JP"/>
          </w:rPr>
          <w:t>Imported Food Charges (Imposition—General) Regulation 2015</w:t>
        </w:r>
      </w:hyperlink>
      <w:r w:rsidR="00741283" w:rsidRPr="0029167F">
        <w:rPr>
          <w:rFonts w:cstheme="minorHAnsi"/>
          <w:lang w:eastAsia="ja-JP"/>
        </w:rPr>
        <w:t>.</w:t>
      </w:r>
      <w:bookmarkEnd w:id="68"/>
    </w:p>
    <w:p w14:paraId="01F46072" w14:textId="2F560013" w:rsidR="000B128E" w:rsidRPr="0029167F" w:rsidRDefault="000B128E" w:rsidP="000B128E">
      <w:pPr>
        <w:pStyle w:val="Heading2"/>
        <w:rPr>
          <w:rFonts w:asciiTheme="minorHAnsi" w:hAnsiTheme="minorHAnsi" w:cstheme="minorHAnsi"/>
        </w:rPr>
      </w:pPr>
      <w:bookmarkStart w:id="71" w:name="_Regulatory_charging_model"/>
      <w:bookmarkStart w:id="72" w:name="_Toc168489251"/>
      <w:bookmarkStart w:id="73" w:name="_Toc168489548"/>
      <w:bookmarkStart w:id="74" w:name="_Toc168645246"/>
      <w:bookmarkEnd w:id="71"/>
      <w:r w:rsidRPr="0029167F">
        <w:rPr>
          <w:rFonts w:asciiTheme="minorHAnsi" w:hAnsiTheme="minorHAnsi" w:cstheme="minorHAnsi"/>
        </w:rPr>
        <w:lastRenderedPageBreak/>
        <w:t>Regulatory charging model</w:t>
      </w:r>
      <w:bookmarkEnd w:id="72"/>
      <w:bookmarkEnd w:id="73"/>
      <w:bookmarkEnd w:id="74"/>
    </w:p>
    <w:p w14:paraId="17249483" w14:textId="5FABF068" w:rsidR="000B128E" w:rsidRPr="0029167F" w:rsidRDefault="0044795A" w:rsidP="006312B3">
      <w:pPr>
        <w:pStyle w:val="Heading3"/>
        <w:rPr>
          <w:rFonts w:asciiTheme="minorHAnsi" w:hAnsiTheme="minorHAnsi" w:cstheme="minorHAnsi"/>
          <w:lang w:eastAsia="ja-JP"/>
        </w:rPr>
      </w:pPr>
      <w:bookmarkStart w:id="75" w:name="_Toc168489252"/>
      <w:bookmarkStart w:id="76" w:name="_Toc168489549"/>
      <w:bookmarkStart w:id="77" w:name="_Toc168645247"/>
      <w:r w:rsidRPr="0029167F">
        <w:rPr>
          <w:rFonts w:asciiTheme="minorHAnsi" w:hAnsiTheme="minorHAnsi" w:cstheme="minorHAnsi"/>
          <w:lang w:eastAsia="ja-JP"/>
        </w:rPr>
        <w:t>O</w:t>
      </w:r>
      <w:r>
        <w:rPr>
          <w:rFonts w:asciiTheme="minorHAnsi" w:hAnsiTheme="minorHAnsi" w:cstheme="minorHAnsi"/>
          <w:lang w:eastAsia="ja-JP"/>
        </w:rPr>
        <w:t>bjective</w:t>
      </w:r>
      <w:r w:rsidRPr="0029167F">
        <w:rPr>
          <w:rFonts w:asciiTheme="minorHAnsi" w:hAnsiTheme="minorHAnsi" w:cstheme="minorHAnsi"/>
          <w:lang w:eastAsia="ja-JP"/>
        </w:rPr>
        <w:t xml:space="preserve">s </w:t>
      </w:r>
      <w:r w:rsidR="000B128E" w:rsidRPr="0029167F">
        <w:rPr>
          <w:rFonts w:asciiTheme="minorHAnsi" w:hAnsiTheme="minorHAnsi" w:cstheme="minorHAnsi"/>
          <w:lang w:eastAsia="ja-JP"/>
        </w:rPr>
        <w:t>and business processes of regulatory charging</w:t>
      </w:r>
      <w:bookmarkEnd w:id="75"/>
      <w:bookmarkEnd w:id="76"/>
      <w:bookmarkEnd w:id="77"/>
    </w:p>
    <w:p w14:paraId="7F671865" w14:textId="77777777" w:rsidR="008F3443" w:rsidRDefault="000B128E" w:rsidP="00E733C1">
      <w:pPr>
        <w:spacing w:before="120"/>
        <w:rPr>
          <w:rFonts w:cstheme="minorHAnsi"/>
          <w:lang w:eastAsia="ja-JP"/>
        </w:rPr>
      </w:pPr>
      <w:r w:rsidRPr="00552870">
        <w:rPr>
          <w:rFonts w:cstheme="minorHAnsi"/>
          <w:lang w:eastAsia="ja-JP"/>
        </w:rPr>
        <w:t xml:space="preserve">The key policy objective for our regulatory </w:t>
      </w:r>
      <w:r w:rsidR="00561663" w:rsidRPr="00552870">
        <w:rPr>
          <w:rFonts w:cstheme="minorHAnsi"/>
          <w:lang w:eastAsia="ja-JP"/>
        </w:rPr>
        <w:t>activity</w:t>
      </w:r>
      <w:r w:rsidRPr="00552870">
        <w:rPr>
          <w:rFonts w:cstheme="minorHAnsi"/>
          <w:lang w:eastAsia="ja-JP"/>
        </w:rPr>
        <w:t xml:space="preserve"> </w:t>
      </w:r>
      <w:r w:rsidR="00C61FB5" w:rsidRPr="00552870">
        <w:rPr>
          <w:rFonts w:cstheme="minorHAnsi"/>
          <w:lang w:eastAsia="ja-JP"/>
        </w:rPr>
        <w:t>is</w:t>
      </w:r>
      <w:r w:rsidRPr="00552870">
        <w:rPr>
          <w:rFonts w:cstheme="minorHAnsi"/>
          <w:lang w:eastAsia="ja-JP"/>
        </w:rPr>
        <w:t xml:space="preserve"> to</w:t>
      </w:r>
    </w:p>
    <w:p w14:paraId="541FE932" w14:textId="72AA31A5" w:rsidR="000B128E" w:rsidRPr="00552870" w:rsidRDefault="000B128E" w:rsidP="00552870">
      <w:pPr>
        <w:pStyle w:val="Quote"/>
      </w:pPr>
      <w:r w:rsidRPr="00552870">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r w:rsidR="00C61FB5" w:rsidRPr="00552870">
        <w:t>.</w:t>
      </w:r>
    </w:p>
    <w:p w14:paraId="7DE7472E" w14:textId="45DAE62A" w:rsidR="00810BEB" w:rsidRPr="0029167F" w:rsidRDefault="004A2FA3" w:rsidP="00735097">
      <w:pPr>
        <w:rPr>
          <w:rFonts w:cstheme="minorHAnsi"/>
        </w:rPr>
      </w:pPr>
      <w:r w:rsidRPr="0029167F">
        <w:rPr>
          <w:rFonts w:cstheme="minorHAnsi"/>
        </w:rPr>
        <w:t>This objective is a</w:t>
      </w:r>
      <w:r w:rsidR="00DF4F56" w:rsidRPr="0029167F">
        <w:rPr>
          <w:rFonts w:cstheme="minorHAnsi"/>
        </w:rPr>
        <w:t xml:space="preserve">vailable in the </w:t>
      </w:r>
      <w:hyperlink r:id="rId42" w:anchor="202122" w:history="1">
        <w:r w:rsidR="00E95360">
          <w:rPr>
            <w:rStyle w:val="Hyperlink"/>
            <w:rFonts w:cstheme="minorHAnsi"/>
          </w:rPr>
          <w:t>Portfolio Budget Statements 2024–25</w:t>
        </w:r>
      </w:hyperlink>
      <w:r w:rsidR="00810BEB" w:rsidRPr="00735097">
        <w:rPr>
          <w:rFonts w:cstheme="minorHAnsi"/>
        </w:rPr>
        <w:t xml:space="preserve"> Outcome </w:t>
      </w:r>
      <w:r w:rsidR="002B4C87" w:rsidRPr="00735097">
        <w:rPr>
          <w:rFonts w:cstheme="minorHAnsi"/>
        </w:rPr>
        <w:t>2</w:t>
      </w:r>
      <w:r w:rsidR="00C61FB5" w:rsidRPr="00735097">
        <w:rPr>
          <w:rFonts w:cstheme="minorHAnsi"/>
        </w:rPr>
        <w:t>,</w:t>
      </w:r>
      <w:r w:rsidR="00810BEB" w:rsidRPr="00735097">
        <w:rPr>
          <w:rFonts w:cstheme="minorHAnsi"/>
        </w:rPr>
        <w:t xml:space="preserve"> </w:t>
      </w:r>
      <w:r w:rsidR="00C61FB5" w:rsidRPr="00735097">
        <w:rPr>
          <w:rFonts w:cstheme="minorHAnsi"/>
        </w:rPr>
        <w:t>page</w:t>
      </w:r>
      <w:r w:rsidR="00810BEB" w:rsidRPr="00735097">
        <w:rPr>
          <w:rFonts w:cstheme="minorHAnsi"/>
        </w:rPr>
        <w:t xml:space="preserve"> </w:t>
      </w:r>
      <w:r w:rsidR="002B4C87">
        <w:rPr>
          <w:rFonts w:cstheme="minorHAnsi"/>
        </w:rPr>
        <w:t>4</w:t>
      </w:r>
      <w:r w:rsidR="00810BEB" w:rsidRPr="0029167F">
        <w:rPr>
          <w:rFonts w:cstheme="minorHAnsi"/>
        </w:rPr>
        <w:t>.</w:t>
      </w:r>
    </w:p>
    <w:p w14:paraId="674214E7" w14:textId="15A6F5F5" w:rsidR="000B128E" w:rsidRPr="0029167F" w:rsidRDefault="000B128E" w:rsidP="006312B3">
      <w:pPr>
        <w:rPr>
          <w:rFonts w:cstheme="minorHAnsi"/>
          <w:lang w:eastAsia="ja-JP"/>
        </w:rPr>
      </w:pPr>
      <w:r w:rsidRPr="0029167F">
        <w:rPr>
          <w:rFonts w:cstheme="minorHAnsi"/>
          <w:lang w:eastAsia="ja-JP"/>
        </w:rPr>
        <w:t xml:space="preserve">Regulatory activities are described in </w:t>
      </w:r>
      <w:hyperlink w:anchor="_Appendix_B:_Description" w:history="1">
        <w:r w:rsidRPr="0029167F">
          <w:rPr>
            <w:rStyle w:val="Hyperlink"/>
            <w:rFonts w:cstheme="minorHAnsi"/>
            <w:lang w:eastAsia="ja-JP"/>
          </w:rPr>
          <w:t>Appendi</w:t>
        </w:r>
        <w:r w:rsidR="00C61FB5" w:rsidRPr="0029167F">
          <w:rPr>
            <w:rStyle w:val="Hyperlink"/>
            <w:rFonts w:cstheme="minorHAnsi"/>
            <w:lang w:eastAsia="ja-JP"/>
          </w:rPr>
          <w:t xml:space="preserve">x </w:t>
        </w:r>
        <w:r w:rsidR="00D83313" w:rsidRPr="0029167F">
          <w:rPr>
            <w:rStyle w:val="Hyperlink"/>
            <w:rFonts w:cstheme="minorHAnsi"/>
            <w:lang w:eastAsia="ja-JP"/>
          </w:rPr>
          <w:t>B</w:t>
        </w:r>
      </w:hyperlink>
      <w:r w:rsidRPr="0029167F">
        <w:rPr>
          <w:rFonts w:cstheme="minorHAnsi"/>
          <w:lang w:eastAsia="ja-JP"/>
        </w:rPr>
        <w:t xml:space="preserve"> and are grouped into </w:t>
      </w:r>
      <w:r w:rsidR="00E25190" w:rsidRPr="0029167F">
        <w:rPr>
          <w:rFonts w:cstheme="minorHAnsi"/>
          <w:lang w:eastAsia="ja-JP"/>
        </w:rPr>
        <w:t>4</w:t>
      </w:r>
      <w:r w:rsidR="00A533C2">
        <w:rPr>
          <w:rFonts w:cstheme="minorHAnsi"/>
        </w:rPr>
        <w:t xml:space="preserve"> </w:t>
      </w:r>
      <w:r w:rsidRPr="0029167F">
        <w:rPr>
          <w:rFonts w:cstheme="minorHAnsi"/>
          <w:lang w:eastAsia="ja-JP"/>
        </w:rPr>
        <w:t>categories</w:t>
      </w:r>
      <w:r w:rsidR="00A928D3">
        <w:rPr>
          <w:rFonts w:cstheme="minorHAnsi"/>
          <w:lang w:eastAsia="ja-JP"/>
        </w:rPr>
        <w:t>, examples of which include</w:t>
      </w:r>
      <w:r w:rsidRPr="0029167F">
        <w:rPr>
          <w:rFonts w:cstheme="minorHAnsi"/>
          <w:lang w:eastAsia="ja-JP"/>
        </w:rPr>
        <w:t>:</w:t>
      </w:r>
    </w:p>
    <w:p w14:paraId="6D28D7C7" w14:textId="2F1A384D" w:rsidR="000B128E" w:rsidRPr="00B84A73" w:rsidRDefault="000B128E" w:rsidP="00B84A73">
      <w:pPr>
        <w:pStyle w:val="ListNumber"/>
      </w:pPr>
      <w:r w:rsidRPr="00B84A73">
        <w:t>Program management and administration</w:t>
      </w:r>
      <w:r w:rsidR="00B6177D" w:rsidRPr="00B84A73">
        <w:t xml:space="preserve"> – </w:t>
      </w:r>
      <w:r w:rsidRPr="00B84A73">
        <w:t xml:space="preserve">administrative activities that support us to deliver our biosecurity </w:t>
      </w:r>
      <w:r w:rsidR="00E71EF3">
        <w:t xml:space="preserve">and imported foods </w:t>
      </w:r>
      <w:r w:rsidRPr="00B84A73">
        <w:t>regulatory activities.</w:t>
      </w:r>
    </w:p>
    <w:p w14:paraId="52EAE2C8" w14:textId="3C4E96CA" w:rsidR="000B128E" w:rsidRPr="00B84A73" w:rsidRDefault="000B128E" w:rsidP="00B84A73">
      <w:pPr>
        <w:pStyle w:val="ListNumber"/>
      </w:pPr>
      <w:r w:rsidRPr="00B84A73">
        <w:t>Assurance</w:t>
      </w:r>
      <w:r w:rsidR="00B6177D" w:rsidRPr="00B84A73">
        <w:t xml:space="preserve"> – </w:t>
      </w:r>
      <w:r w:rsidRPr="00B84A73">
        <w:t>activities that mitigate risks to collective user groups by assessing departmental controls of systems and processes to ensure they operate in accordance with their intended design.</w:t>
      </w:r>
    </w:p>
    <w:p w14:paraId="180AE54E" w14:textId="7260D899" w:rsidR="000B128E" w:rsidRPr="00B84A73" w:rsidRDefault="000B128E" w:rsidP="00B84A73">
      <w:pPr>
        <w:pStyle w:val="ListNumber"/>
      </w:pPr>
      <w:r w:rsidRPr="00B84A73">
        <w:t>Incident management</w:t>
      </w:r>
      <w:r w:rsidR="00B6177D" w:rsidRPr="00B84A73">
        <w:t xml:space="preserve"> – </w:t>
      </w:r>
      <w:r w:rsidRPr="00B84A73">
        <w:t xml:space="preserve">activities that respond to incidents concerning alleged breaches of Australian regulation or </w:t>
      </w:r>
      <w:r w:rsidR="00DF4F56" w:rsidRPr="00B84A73">
        <w:t>import</w:t>
      </w:r>
      <w:r w:rsidRPr="00B84A73">
        <w:t xml:space="preserve"> conditions.</w:t>
      </w:r>
    </w:p>
    <w:p w14:paraId="750BA239" w14:textId="1622B908" w:rsidR="000B128E" w:rsidRPr="00B84A73" w:rsidRDefault="000B128E" w:rsidP="00B84A73">
      <w:pPr>
        <w:pStyle w:val="ListNumber"/>
      </w:pPr>
      <w:r w:rsidRPr="00B84A73">
        <w:t>Intervention</w:t>
      </w:r>
      <w:r w:rsidR="00F75BD4" w:rsidRPr="00B84A73">
        <w:t xml:space="preserve"> </w:t>
      </w:r>
      <w:r w:rsidR="004952EE" w:rsidRPr="00B84A73">
        <w:t xml:space="preserve">– </w:t>
      </w:r>
      <w:r w:rsidR="00F75BD4" w:rsidRPr="00B84A73">
        <w:t xml:space="preserve">inspection and </w:t>
      </w:r>
      <w:r w:rsidR="00DF4F56" w:rsidRPr="00B84A73">
        <w:t xml:space="preserve">assessment </w:t>
      </w:r>
      <w:r w:rsidRPr="00B84A73">
        <w:t>activities provided directly to an individual, business or organisation</w:t>
      </w:r>
      <w:r w:rsidR="00A811E8" w:rsidRPr="00B84A73">
        <w:t>,</w:t>
      </w:r>
      <w:r w:rsidRPr="00B84A73">
        <w:t xml:space="preserve"> to meet import requirements.</w:t>
      </w:r>
    </w:p>
    <w:p w14:paraId="3D8AEE52" w14:textId="26B97193" w:rsidR="00561663" w:rsidRDefault="00561663" w:rsidP="00E25190">
      <w:pPr>
        <w:pStyle w:val="Heading3"/>
        <w:rPr>
          <w:rFonts w:asciiTheme="minorHAnsi" w:hAnsiTheme="minorHAnsi" w:cstheme="minorHAnsi"/>
          <w:lang w:eastAsia="ja-JP"/>
        </w:rPr>
      </w:pPr>
      <w:bookmarkStart w:id="78" w:name="_Toc168489253"/>
      <w:bookmarkStart w:id="79" w:name="_Toc168489550"/>
      <w:bookmarkStart w:id="80" w:name="_Toc168645248"/>
      <w:r>
        <w:rPr>
          <w:rFonts w:asciiTheme="minorHAnsi" w:hAnsiTheme="minorHAnsi" w:cstheme="minorHAnsi"/>
          <w:lang w:eastAsia="ja-JP"/>
        </w:rPr>
        <w:t xml:space="preserve">Design of regulatory </w:t>
      </w:r>
      <w:r w:rsidR="008B40C6">
        <w:rPr>
          <w:rFonts w:asciiTheme="minorHAnsi" w:hAnsiTheme="minorHAnsi" w:cstheme="minorHAnsi"/>
          <w:lang w:eastAsia="ja-JP"/>
        </w:rPr>
        <w:t>charging</w:t>
      </w:r>
      <w:bookmarkEnd w:id="78"/>
      <w:bookmarkEnd w:id="79"/>
      <w:bookmarkEnd w:id="80"/>
    </w:p>
    <w:p w14:paraId="0B29F60F" w14:textId="4136858E" w:rsidR="00561663" w:rsidRPr="00561663" w:rsidRDefault="002E4657" w:rsidP="006312B3">
      <w:pPr>
        <w:rPr>
          <w:rFonts w:cstheme="minorHAnsi"/>
          <w:lang w:eastAsia="ja-JP"/>
        </w:rPr>
      </w:pPr>
      <w:r>
        <w:rPr>
          <w:rFonts w:cstheme="minorHAnsi"/>
          <w:lang w:eastAsia="ja-JP"/>
        </w:rPr>
        <w:t>The department</w:t>
      </w:r>
      <w:r w:rsidRPr="00561663">
        <w:rPr>
          <w:rFonts w:cstheme="minorHAnsi"/>
          <w:lang w:eastAsia="ja-JP"/>
        </w:rPr>
        <w:t xml:space="preserve"> </w:t>
      </w:r>
      <w:r w:rsidR="00561663" w:rsidRPr="00561663">
        <w:rPr>
          <w:rFonts w:cstheme="minorHAnsi"/>
          <w:lang w:eastAsia="ja-JP"/>
        </w:rPr>
        <w:t>determine</w:t>
      </w:r>
      <w:r w:rsidR="006201B1">
        <w:rPr>
          <w:rFonts w:cstheme="minorHAnsi"/>
          <w:lang w:eastAsia="ja-JP"/>
        </w:rPr>
        <w:t>s</w:t>
      </w:r>
      <w:r w:rsidR="00561663" w:rsidRPr="00561663">
        <w:rPr>
          <w:rFonts w:cstheme="minorHAnsi"/>
          <w:lang w:eastAsia="ja-JP"/>
        </w:rPr>
        <w:t xml:space="preserve"> appropriate regulatory cost recovery after establishing activity costs and volumes. We use a combination of regulatory fees and charges depending on whether an activity is for a specific individual or organisation, or group of recipients. Fees are used to recover the costs of direct intervention and certification activities undertaken for </w:t>
      </w:r>
      <w:proofErr w:type="gramStart"/>
      <w:r w:rsidR="00561663" w:rsidRPr="00561663">
        <w:rPr>
          <w:rFonts w:cstheme="minorHAnsi"/>
          <w:lang w:eastAsia="ja-JP"/>
        </w:rPr>
        <w:t>particular importers</w:t>
      </w:r>
      <w:proofErr w:type="gramEnd"/>
      <w:r w:rsidR="00561663" w:rsidRPr="00561663">
        <w:rPr>
          <w:rFonts w:cstheme="minorHAnsi"/>
          <w:lang w:eastAsia="ja-JP"/>
        </w:rPr>
        <w:t xml:space="preserve"> or regulated entities. Charges are imposed when activities are provided to a group of individuals or organisations. This recovers costs not directly linked to a specific individual or organisation but forms part of the costs of the overall biosecurity regulatory system.</w:t>
      </w:r>
    </w:p>
    <w:p w14:paraId="5A5B4A15" w14:textId="4C31DE58" w:rsidR="000B128E" w:rsidRPr="0029167F" w:rsidRDefault="000B128E" w:rsidP="00561663">
      <w:pPr>
        <w:pStyle w:val="Heading3"/>
        <w:rPr>
          <w:rFonts w:asciiTheme="minorHAnsi" w:hAnsiTheme="minorHAnsi" w:cstheme="minorHAnsi"/>
          <w:lang w:eastAsia="ja-JP"/>
        </w:rPr>
      </w:pPr>
      <w:bookmarkStart w:id="81" w:name="_Costs_of_regulatory"/>
      <w:bookmarkStart w:id="82" w:name="_Toc168489254"/>
      <w:bookmarkStart w:id="83" w:name="_Toc168489551"/>
      <w:bookmarkStart w:id="84" w:name="_Toc168645249"/>
      <w:bookmarkEnd w:id="81"/>
      <w:r w:rsidRPr="0029167F">
        <w:rPr>
          <w:rFonts w:asciiTheme="minorHAnsi" w:hAnsiTheme="minorHAnsi" w:cstheme="minorHAnsi"/>
          <w:lang w:eastAsia="ja-JP"/>
        </w:rPr>
        <w:t xml:space="preserve">Costs of </w:t>
      </w:r>
      <w:r w:rsidR="00495B6C" w:rsidRPr="0029167F">
        <w:rPr>
          <w:rFonts w:asciiTheme="minorHAnsi" w:hAnsiTheme="minorHAnsi" w:cstheme="minorHAnsi"/>
          <w:lang w:eastAsia="ja-JP"/>
        </w:rPr>
        <w:t>r</w:t>
      </w:r>
      <w:r w:rsidRPr="0029167F">
        <w:rPr>
          <w:rFonts w:asciiTheme="minorHAnsi" w:hAnsiTheme="minorHAnsi" w:cstheme="minorHAnsi"/>
          <w:lang w:eastAsia="ja-JP"/>
        </w:rPr>
        <w:t xml:space="preserve">egulatory </w:t>
      </w:r>
      <w:r w:rsidR="008B40C6">
        <w:rPr>
          <w:rFonts w:asciiTheme="minorHAnsi" w:hAnsiTheme="minorHAnsi" w:cstheme="minorHAnsi"/>
          <w:lang w:eastAsia="ja-JP"/>
        </w:rPr>
        <w:t>activity</w:t>
      </w:r>
      <w:bookmarkEnd w:id="82"/>
      <w:bookmarkEnd w:id="83"/>
      <w:bookmarkEnd w:id="84"/>
    </w:p>
    <w:p w14:paraId="7B35FEB0" w14:textId="070B5647" w:rsidR="000B128E" w:rsidRPr="0029167F" w:rsidRDefault="000B128E" w:rsidP="00CD6886">
      <w:pPr>
        <w:pStyle w:val="Heading4"/>
        <w:spacing w:before="120"/>
        <w:rPr>
          <w:rFonts w:asciiTheme="minorHAnsi" w:hAnsiTheme="minorHAnsi" w:cstheme="minorHAnsi"/>
          <w:lang w:eastAsia="ja-JP"/>
        </w:rPr>
      </w:pPr>
      <w:bookmarkStart w:id="85" w:name="_Cost_allocation_process"/>
      <w:bookmarkEnd w:id="85"/>
      <w:r w:rsidRPr="0029167F">
        <w:rPr>
          <w:rFonts w:asciiTheme="minorHAnsi" w:hAnsiTheme="minorHAnsi" w:cstheme="minorHAnsi"/>
          <w:lang w:eastAsia="ja-JP"/>
        </w:rPr>
        <w:t>Cost allocation process</w:t>
      </w:r>
    </w:p>
    <w:p w14:paraId="0D7A6C60" w14:textId="77777777" w:rsidR="00E733C1" w:rsidRDefault="0044795A" w:rsidP="00E733C1">
      <w:pPr>
        <w:spacing w:after="1080"/>
        <w:rPr>
          <w:rFonts w:cstheme="minorHAnsi"/>
          <w:lang w:eastAsia="ja-JP"/>
        </w:rPr>
      </w:pPr>
      <w:r>
        <w:rPr>
          <w:rFonts w:cstheme="minorHAnsi"/>
          <w:lang w:eastAsia="ja-JP"/>
        </w:rPr>
        <w:t>A</w:t>
      </w:r>
      <w:r w:rsidRPr="0029167F">
        <w:rPr>
          <w:rFonts w:cstheme="minorHAnsi"/>
          <w:lang w:eastAsia="ja-JP"/>
        </w:rPr>
        <w:t xml:space="preserve">n activity-based costing (ABC) system </w:t>
      </w:r>
      <w:r>
        <w:rPr>
          <w:rFonts w:cstheme="minorHAnsi"/>
          <w:lang w:eastAsia="ja-JP"/>
        </w:rPr>
        <w:t>is used t</w:t>
      </w:r>
      <w:r w:rsidR="000B128E" w:rsidRPr="0029167F">
        <w:rPr>
          <w:rFonts w:cstheme="minorHAnsi"/>
          <w:lang w:eastAsia="ja-JP"/>
        </w:rPr>
        <w:t xml:space="preserve">o determine the cost of regulatory activities. Our ABC allocation methodology reflects effort incurred </w:t>
      </w:r>
      <w:r w:rsidR="00F75BD4" w:rsidRPr="0029167F">
        <w:rPr>
          <w:rFonts w:cstheme="minorHAnsi"/>
          <w:lang w:eastAsia="ja-JP"/>
        </w:rPr>
        <w:t xml:space="preserve">in </w:t>
      </w:r>
      <w:r w:rsidR="00DF4F56" w:rsidRPr="0029167F">
        <w:rPr>
          <w:rFonts w:cstheme="minorHAnsi"/>
          <w:lang w:eastAsia="ja-JP"/>
        </w:rPr>
        <w:t>delivering regulatory</w:t>
      </w:r>
      <w:r w:rsidR="000B128E" w:rsidRPr="0029167F">
        <w:rPr>
          <w:rFonts w:cstheme="minorHAnsi"/>
          <w:lang w:eastAsia="ja-JP"/>
        </w:rPr>
        <w:t xml:space="preserve"> activities to the individual or entity. This provides an accountable and transparent allocation of costs that is also efficient and effective to administer.</w:t>
      </w:r>
    </w:p>
    <w:p w14:paraId="6A657D73" w14:textId="4068BF29" w:rsidR="000B128E" w:rsidRPr="0029167F" w:rsidRDefault="00A811E8" w:rsidP="00E733C1">
      <w:pPr>
        <w:spacing w:after="120"/>
        <w:rPr>
          <w:rFonts w:cstheme="minorHAnsi"/>
          <w:lang w:eastAsia="ja-JP"/>
        </w:rPr>
      </w:pPr>
      <w:r>
        <w:rPr>
          <w:rFonts w:cstheme="minorHAnsi"/>
          <w:lang w:eastAsia="ja-JP"/>
        </w:rPr>
        <w:lastRenderedPageBreak/>
        <w:t xml:space="preserve">Expenses are </w:t>
      </w:r>
      <w:r w:rsidR="000B128E" w:rsidRPr="0029167F">
        <w:rPr>
          <w:rFonts w:cstheme="minorHAnsi"/>
          <w:lang w:eastAsia="ja-JP"/>
        </w:rPr>
        <w:t>categoris</w:t>
      </w:r>
      <w:r>
        <w:rPr>
          <w:rFonts w:cstheme="minorHAnsi"/>
          <w:lang w:eastAsia="ja-JP"/>
        </w:rPr>
        <w:t>ed as either direct or indirect costs</w:t>
      </w:r>
      <w:r w:rsidR="009D333E">
        <w:rPr>
          <w:rFonts w:cstheme="minorHAnsi"/>
          <w:lang w:eastAsia="ja-JP"/>
        </w:rPr>
        <w:t>:</w:t>
      </w:r>
    </w:p>
    <w:p w14:paraId="528A9206" w14:textId="7FC1845D" w:rsidR="000B128E" w:rsidRPr="0029167F" w:rsidRDefault="00B6177D" w:rsidP="002A4327">
      <w:pPr>
        <w:pStyle w:val="ListBullet"/>
        <w:rPr>
          <w:lang w:eastAsia="ja-JP"/>
        </w:rPr>
      </w:pPr>
      <w:r w:rsidRPr="00735097">
        <w:rPr>
          <w:b/>
          <w:bCs/>
          <w:lang w:eastAsia="ja-JP"/>
        </w:rPr>
        <w:t>D</w:t>
      </w:r>
      <w:r w:rsidR="000B128E" w:rsidRPr="00735097">
        <w:rPr>
          <w:b/>
          <w:bCs/>
          <w:lang w:eastAsia="ja-JP"/>
        </w:rPr>
        <w:t xml:space="preserve">irect </w:t>
      </w:r>
      <w:r w:rsidR="009C461A" w:rsidRPr="00735097">
        <w:rPr>
          <w:b/>
          <w:bCs/>
          <w:lang w:eastAsia="ja-JP"/>
        </w:rPr>
        <w:t>costs</w:t>
      </w:r>
      <w:r w:rsidR="009C461A">
        <w:rPr>
          <w:lang w:eastAsia="ja-JP"/>
        </w:rPr>
        <w:t xml:space="preserve"> can</w:t>
      </w:r>
      <w:r w:rsidR="000B128E" w:rsidRPr="0029167F">
        <w:rPr>
          <w:lang w:eastAsia="ja-JP"/>
        </w:rPr>
        <w:t xml:space="preserve"> be directly attributed to the provision of an activity, for example, inspections</w:t>
      </w:r>
      <w:r w:rsidR="0037601D" w:rsidRPr="0029167F">
        <w:rPr>
          <w:lang w:eastAsia="ja-JP"/>
        </w:rPr>
        <w:t xml:space="preserve"> and assessments</w:t>
      </w:r>
      <w:r w:rsidR="000B128E" w:rsidRPr="0029167F">
        <w:rPr>
          <w:lang w:eastAsia="ja-JP"/>
        </w:rPr>
        <w:t>. They comprise staff salaries and supplier costs</w:t>
      </w:r>
      <w:r w:rsidR="00962E08">
        <w:rPr>
          <w:lang w:eastAsia="ja-JP"/>
        </w:rPr>
        <w:t>,</w:t>
      </w:r>
      <w:r w:rsidR="000B128E" w:rsidRPr="0029167F">
        <w:rPr>
          <w:lang w:eastAsia="ja-JP"/>
        </w:rPr>
        <w:t xml:space="preserve"> including direct capital expenses, which includes plant, property and depreciation.</w:t>
      </w:r>
    </w:p>
    <w:p w14:paraId="2910C394" w14:textId="3DFFD0CE" w:rsidR="000B128E" w:rsidRPr="00A928D3" w:rsidRDefault="00B6177D" w:rsidP="002A4327">
      <w:pPr>
        <w:pStyle w:val="ListBullet"/>
        <w:rPr>
          <w:lang w:eastAsia="ja-JP"/>
        </w:rPr>
      </w:pPr>
      <w:r w:rsidRPr="00735097">
        <w:rPr>
          <w:b/>
          <w:bCs/>
          <w:lang w:eastAsia="ja-JP"/>
        </w:rPr>
        <w:t>I</w:t>
      </w:r>
      <w:r w:rsidR="000B128E" w:rsidRPr="00735097">
        <w:rPr>
          <w:b/>
          <w:bCs/>
          <w:lang w:eastAsia="ja-JP"/>
        </w:rPr>
        <w:t xml:space="preserve">ndirect </w:t>
      </w:r>
      <w:r w:rsidR="009C461A" w:rsidRPr="00735097">
        <w:rPr>
          <w:b/>
          <w:bCs/>
          <w:lang w:eastAsia="ja-JP"/>
        </w:rPr>
        <w:t>costs</w:t>
      </w:r>
      <w:r w:rsidR="009C461A" w:rsidRPr="00A928D3">
        <w:rPr>
          <w:lang w:eastAsia="ja-JP"/>
        </w:rPr>
        <w:t xml:space="preserve"> </w:t>
      </w:r>
      <w:r w:rsidR="005046EF" w:rsidRPr="00735097">
        <w:rPr>
          <w:lang w:eastAsia="ja-JP"/>
        </w:rPr>
        <w:t>support</w:t>
      </w:r>
      <w:r w:rsidR="00F75BD4" w:rsidRPr="00735097">
        <w:rPr>
          <w:lang w:eastAsia="ja-JP"/>
        </w:rPr>
        <w:t xml:space="preserve"> the effective and necessary provision of </w:t>
      </w:r>
      <w:r w:rsidR="00DF4F56" w:rsidRPr="00735097">
        <w:rPr>
          <w:lang w:eastAsia="ja-JP"/>
        </w:rPr>
        <w:t>our direct</w:t>
      </w:r>
      <w:r w:rsidR="00F75BD4" w:rsidRPr="00735097">
        <w:rPr>
          <w:lang w:eastAsia="ja-JP"/>
        </w:rPr>
        <w:t xml:space="preserve"> expense activity</w:t>
      </w:r>
      <w:r w:rsidR="000B128E" w:rsidRPr="00A928D3">
        <w:rPr>
          <w:lang w:eastAsia="ja-JP"/>
        </w:rPr>
        <w:t xml:space="preserve">. </w:t>
      </w:r>
      <w:r w:rsidR="00B7295F">
        <w:rPr>
          <w:lang w:eastAsia="ja-JP"/>
        </w:rPr>
        <w:t>They</w:t>
      </w:r>
      <w:r w:rsidR="000B128E" w:rsidRPr="00A928D3">
        <w:rPr>
          <w:lang w:eastAsia="ja-JP"/>
        </w:rPr>
        <w:t xml:space="preserve"> include corporate employee salaries</w:t>
      </w:r>
      <w:r w:rsidR="0044795A">
        <w:rPr>
          <w:lang w:eastAsia="ja-JP"/>
        </w:rPr>
        <w:t xml:space="preserve">, </w:t>
      </w:r>
      <w:r w:rsidR="000B128E" w:rsidRPr="00A928D3">
        <w:rPr>
          <w:lang w:eastAsia="ja-JP"/>
        </w:rPr>
        <w:t>overheads such as information technology, finance, human resource costs and indirect capital expenses</w:t>
      </w:r>
      <w:r w:rsidR="00962E08">
        <w:rPr>
          <w:lang w:eastAsia="ja-JP"/>
        </w:rPr>
        <w:t>,</w:t>
      </w:r>
      <w:r w:rsidR="0044795A">
        <w:rPr>
          <w:lang w:eastAsia="ja-JP"/>
        </w:rPr>
        <w:t xml:space="preserve"> </w:t>
      </w:r>
      <w:r w:rsidR="000B128E" w:rsidRPr="00A928D3">
        <w:rPr>
          <w:lang w:eastAsia="ja-JP"/>
        </w:rPr>
        <w:t>includ</w:t>
      </w:r>
      <w:r w:rsidR="0044795A">
        <w:rPr>
          <w:lang w:eastAsia="ja-JP"/>
        </w:rPr>
        <w:t>ing</w:t>
      </w:r>
      <w:r w:rsidR="000B128E" w:rsidRPr="00A928D3">
        <w:rPr>
          <w:lang w:eastAsia="ja-JP"/>
        </w:rPr>
        <w:t xml:space="preserve"> plant, property and depreciation.</w:t>
      </w:r>
    </w:p>
    <w:p w14:paraId="0CFF1B97" w14:textId="5CCD0800" w:rsidR="00D46711" w:rsidRDefault="00F75BD4" w:rsidP="00767BDD">
      <w:pPr>
        <w:rPr>
          <w:rFonts w:cstheme="minorHAnsi"/>
          <w:lang w:eastAsia="ja-JP"/>
        </w:rPr>
      </w:pPr>
      <w:r w:rsidRPr="0029167F">
        <w:rPr>
          <w:rFonts w:cstheme="minorHAnsi"/>
          <w:lang w:eastAsia="ja-JP"/>
        </w:rPr>
        <w:t xml:space="preserve">The </w:t>
      </w:r>
      <w:r w:rsidRPr="0029167F">
        <w:rPr>
          <w:rFonts w:cstheme="minorHAnsi"/>
        </w:rPr>
        <w:t xml:space="preserve">cost allocation process apportions indirect and direct </w:t>
      </w:r>
      <w:r w:rsidR="009C461A">
        <w:rPr>
          <w:rFonts w:cstheme="minorHAnsi"/>
        </w:rPr>
        <w:t>costs</w:t>
      </w:r>
      <w:r w:rsidRPr="0029167F">
        <w:rPr>
          <w:rFonts w:cstheme="minorHAnsi"/>
        </w:rPr>
        <w:t xml:space="preserve"> to the processes and activities defined in </w:t>
      </w:r>
      <w:hyperlink w:anchor="_Appendix_B:_Description" w:history="1">
        <w:r w:rsidR="00CF46CF" w:rsidRPr="0029167F">
          <w:rPr>
            <w:rStyle w:val="Hyperlink"/>
            <w:rFonts w:cstheme="minorHAnsi"/>
          </w:rPr>
          <w:t>Appendix B</w:t>
        </w:r>
      </w:hyperlink>
      <w:r w:rsidRPr="0029167F">
        <w:rPr>
          <w:rFonts w:cstheme="minorHAnsi"/>
        </w:rPr>
        <w:t xml:space="preserve">. </w:t>
      </w:r>
      <w:r w:rsidRPr="0029167F">
        <w:rPr>
          <w:rFonts w:cstheme="minorHAnsi"/>
          <w:lang w:eastAsia="ja-JP"/>
        </w:rPr>
        <w:t xml:space="preserve">Indirect </w:t>
      </w:r>
      <w:r w:rsidR="009C461A">
        <w:rPr>
          <w:rFonts w:cstheme="minorHAnsi"/>
          <w:lang w:eastAsia="ja-JP"/>
        </w:rPr>
        <w:t>costs</w:t>
      </w:r>
      <w:r w:rsidRPr="0029167F">
        <w:rPr>
          <w:rFonts w:cstheme="minorHAnsi"/>
          <w:lang w:eastAsia="ja-JP"/>
        </w:rPr>
        <w:t xml:space="preserve"> are included in the cost base to reflect the </w:t>
      </w:r>
      <w:r w:rsidR="00A811E8">
        <w:rPr>
          <w:rFonts w:cstheme="minorHAnsi"/>
          <w:lang w:eastAsia="ja-JP"/>
        </w:rPr>
        <w:t xml:space="preserve">staff, </w:t>
      </w:r>
      <w:r w:rsidRPr="0029167F">
        <w:rPr>
          <w:rFonts w:cstheme="minorHAnsi"/>
          <w:lang w:eastAsia="ja-JP"/>
        </w:rPr>
        <w:t>systems and processes that assist with administration</w:t>
      </w:r>
      <w:r w:rsidR="0044795A">
        <w:rPr>
          <w:rFonts w:cstheme="minorHAnsi"/>
          <w:lang w:eastAsia="ja-JP"/>
        </w:rPr>
        <w:t xml:space="preserve"> and benefit </w:t>
      </w:r>
      <w:r w:rsidRPr="0029167F">
        <w:rPr>
          <w:rFonts w:cstheme="minorHAnsi"/>
          <w:lang w:eastAsia="ja-JP"/>
        </w:rPr>
        <w:t>the</w:t>
      </w:r>
      <w:r w:rsidR="00216802">
        <w:rPr>
          <w:rFonts w:cstheme="minorHAnsi"/>
          <w:lang w:eastAsia="ja-JP"/>
        </w:rPr>
        <w:t xml:space="preserve"> </w:t>
      </w:r>
      <w:r w:rsidRPr="0029167F">
        <w:rPr>
          <w:rFonts w:cstheme="minorHAnsi"/>
          <w:lang w:eastAsia="ja-JP"/>
        </w:rPr>
        <w:t>arrangement. The same methodology is employed to allocate indirect costs to activities funded by budget appropriation, in line with our internal cost allocation policy.</w:t>
      </w:r>
    </w:p>
    <w:p w14:paraId="221ECC9C" w14:textId="1A4F2CAF" w:rsidR="00242BF2" w:rsidRDefault="00242BF2" w:rsidP="00FC59C1">
      <w:pPr>
        <w:rPr>
          <w:rFonts w:cstheme="minorHAnsi"/>
          <w:lang w:eastAsia="ja-JP"/>
        </w:rPr>
      </w:pPr>
      <w:r>
        <w:rPr>
          <w:rFonts w:cstheme="minorHAnsi"/>
          <w:lang w:eastAsia="ja-JP"/>
        </w:rPr>
        <w:t xml:space="preserve">The department uses the term </w:t>
      </w:r>
      <w:r w:rsidR="001837AB">
        <w:rPr>
          <w:rFonts w:cstheme="minorHAnsi"/>
          <w:lang w:eastAsia="ja-JP"/>
        </w:rPr>
        <w:t>‘</w:t>
      </w:r>
      <w:r>
        <w:rPr>
          <w:rFonts w:cstheme="minorHAnsi"/>
          <w:lang w:eastAsia="ja-JP"/>
        </w:rPr>
        <w:t>stream</w:t>
      </w:r>
      <w:r w:rsidR="001837AB">
        <w:rPr>
          <w:rFonts w:cstheme="minorHAnsi"/>
          <w:lang w:eastAsia="ja-JP"/>
        </w:rPr>
        <w:t>’</w:t>
      </w:r>
      <w:r>
        <w:rPr>
          <w:rFonts w:cstheme="minorHAnsi"/>
          <w:lang w:eastAsia="ja-JP"/>
        </w:rPr>
        <w:t xml:space="preserve"> to refer to the related activities provided to an industry grouping. </w:t>
      </w:r>
      <w:bookmarkStart w:id="86" w:name="_Hlk136497034"/>
      <w:r>
        <w:rPr>
          <w:rFonts w:cstheme="minorHAnsi"/>
          <w:lang w:eastAsia="ja-JP"/>
        </w:rPr>
        <w:t xml:space="preserve">The department has </w:t>
      </w:r>
      <w:r w:rsidR="00962E08">
        <w:rPr>
          <w:rFonts w:cstheme="minorHAnsi"/>
          <w:lang w:eastAsia="ja-JP"/>
        </w:rPr>
        <w:t>3</w:t>
      </w:r>
      <w:r>
        <w:rPr>
          <w:rFonts w:cstheme="minorHAnsi"/>
          <w:lang w:eastAsia="ja-JP"/>
        </w:rPr>
        <w:t xml:space="preserve"> streams under the biosecurity cost recovery arrangement and </w:t>
      </w:r>
      <w:r w:rsidR="004C3798">
        <w:rPr>
          <w:rFonts w:cstheme="minorHAnsi"/>
          <w:lang w:eastAsia="ja-JP"/>
        </w:rPr>
        <w:t>3</w:t>
      </w:r>
      <w:r>
        <w:rPr>
          <w:rFonts w:cstheme="minorHAnsi"/>
          <w:lang w:eastAsia="ja-JP"/>
        </w:rPr>
        <w:t xml:space="preserve"> sub-streams</w:t>
      </w:r>
      <w:r w:rsidR="00735097">
        <w:rPr>
          <w:rFonts w:cstheme="minorHAnsi"/>
          <w:lang w:eastAsia="ja-JP"/>
        </w:rPr>
        <w:t xml:space="preserve">. </w:t>
      </w:r>
      <w:r>
        <w:rPr>
          <w:rFonts w:cstheme="minorHAnsi"/>
          <w:lang w:eastAsia="ja-JP"/>
        </w:rPr>
        <w:t>The streams are as follows:</w:t>
      </w:r>
    </w:p>
    <w:p w14:paraId="0D5B7D18" w14:textId="052FE453" w:rsidR="00242BF2" w:rsidRDefault="00242BF2" w:rsidP="00B84A73">
      <w:pPr>
        <w:pStyle w:val="ListBullet"/>
        <w:rPr>
          <w:lang w:eastAsia="ja-JP"/>
        </w:rPr>
      </w:pPr>
      <w:r>
        <w:rPr>
          <w:lang w:eastAsia="ja-JP"/>
        </w:rPr>
        <w:t>Import clearance – for cargo import</w:t>
      </w:r>
      <w:r w:rsidR="008347AB">
        <w:rPr>
          <w:lang w:eastAsia="ja-JP"/>
        </w:rPr>
        <w:t>s</w:t>
      </w:r>
      <w:r>
        <w:rPr>
          <w:lang w:eastAsia="ja-JP"/>
        </w:rPr>
        <w:t xml:space="preserve"> and clearance activities</w:t>
      </w:r>
    </w:p>
    <w:p w14:paraId="4BDD452A" w14:textId="00E6CE60" w:rsidR="00242BF2" w:rsidRDefault="00242BF2" w:rsidP="00B84A73">
      <w:pPr>
        <w:pStyle w:val="ListBullet"/>
        <w:rPr>
          <w:lang w:eastAsia="ja-JP"/>
        </w:rPr>
      </w:pPr>
      <w:r>
        <w:rPr>
          <w:lang w:eastAsia="ja-JP"/>
        </w:rPr>
        <w:t>Seaports – for conveyance operators and seaports</w:t>
      </w:r>
    </w:p>
    <w:p w14:paraId="2C8CD132" w14:textId="234E370D" w:rsidR="00242BF2" w:rsidRDefault="006F276F" w:rsidP="00B84A73">
      <w:pPr>
        <w:pStyle w:val="ListBullet"/>
        <w:rPr>
          <w:lang w:eastAsia="ja-JP"/>
        </w:rPr>
      </w:pPr>
      <w:r>
        <w:rPr>
          <w:lang w:eastAsia="ja-JP"/>
        </w:rPr>
        <w:t>PEQ</w:t>
      </w:r>
      <w:r w:rsidR="00242BF2">
        <w:rPr>
          <w:lang w:eastAsia="ja-JP"/>
        </w:rPr>
        <w:t xml:space="preserve"> users</w:t>
      </w:r>
    </w:p>
    <w:p w14:paraId="0D9B37DE" w14:textId="4392022C" w:rsidR="00242BF2" w:rsidRDefault="00242BF2" w:rsidP="00B84A73">
      <w:pPr>
        <w:pStyle w:val="ListBullet2"/>
        <w:rPr>
          <w:lang w:eastAsia="ja-JP"/>
        </w:rPr>
      </w:pPr>
      <w:r>
        <w:rPr>
          <w:lang w:eastAsia="ja-JP"/>
        </w:rPr>
        <w:t>Horse importers</w:t>
      </w:r>
    </w:p>
    <w:p w14:paraId="536A333E" w14:textId="1537759D" w:rsidR="00242BF2" w:rsidRDefault="00242BF2" w:rsidP="00B84A73">
      <w:pPr>
        <w:pStyle w:val="ListBullet2"/>
        <w:rPr>
          <w:lang w:eastAsia="ja-JP"/>
        </w:rPr>
      </w:pPr>
      <w:r>
        <w:rPr>
          <w:lang w:eastAsia="ja-JP"/>
        </w:rPr>
        <w:t>Importers of other animals, including cats, dogs, bees, live birds and hatching eggs</w:t>
      </w:r>
    </w:p>
    <w:p w14:paraId="0BA7D6F0" w14:textId="587A56CF" w:rsidR="00242BF2" w:rsidRPr="00735097" w:rsidRDefault="00242BF2" w:rsidP="00B84A73">
      <w:pPr>
        <w:pStyle w:val="ListBullet2"/>
        <w:rPr>
          <w:lang w:eastAsia="ja-JP"/>
        </w:rPr>
      </w:pPr>
      <w:r>
        <w:rPr>
          <w:lang w:eastAsia="ja-JP"/>
        </w:rPr>
        <w:t xml:space="preserve">Plant </w:t>
      </w:r>
      <w:r w:rsidR="00A4568B">
        <w:rPr>
          <w:lang w:eastAsia="ja-JP"/>
        </w:rPr>
        <w:t>importers.</w:t>
      </w:r>
    </w:p>
    <w:bookmarkEnd w:id="86"/>
    <w:p w14:paraId="403C4934" w14:textId="0C2C329C" w:rsidR="000B128E" w:rsidRPr="0029167F" w:rsidRDefault="00242BF2" w:rsidP="00FC59C1">
      <w:pPr>
        <w:rPr>
          <w:rFonts w:cstheme="minorHAnsi"/>
          <w:lang w:eastAsia="ja-JP"/>
        </w:rPr>
      </w:pPr>
      <w:r>
        <w:rPr>
          <w:rFonts w:cstheme="minorHAnsi"/>
          <w:lang w:eastAsia="ja-JP"/>
        </w:rPr>
        <w:t>T</w:t>
      </w:r>
      <w:r w:rsidR="000B128E" w:rsidRPr="0029167F">
        <w:rPr>
          <w:rFonts w:cstheme="minorHAnsi"/>
          <w:lang w:eastAsia="ja-JP"/>
        </w:rPr>
        <w:t>he ABC system allocates costs in a staged approach</w:t>
      </w:r>
      <w:r>
        <w:rPr>
          <w:rFonts w:cstheme="minorHAnsi"/>
          <w:lang w:eastAsia="ja-JP"/>
        </w:rPr>
        <w:t xml:space="preserve"> to these streams</w:t>
      </w:r>
      <w:r w:rsidR="000B128E" w:rsidRPr="0029167F">
        <w:rPr>
          <w:rFonts w:cstheme="minorHAnsi"/>
          <w:lang w:eastAsia="ja-JP"/>
        </w:rPr>
        <w:t>. The steps are:</w:t>
      </w:r>
    </w:p>
    <w:p w14:paraId="63D12443" w14:textId="601A7D07" w:rsidR="000B128E" w:rsidRPr="005D05CA" w:rsidRDefault="009C461A" w:rsidP="005D05CA">
      <w:pPr>
        <w:pStyle w:val="ListNumber"/>
        <w:numPr>
          <w:ilvl w:val="0"/>
          <w:numId w:val="83"/>
        </w:numPr>
        <w:rPr>
          <w:rFonts w:cstheme="minorHAnsi"/>
          <w:lang w:eastAsia="ja-JP"/>
        </w:rPr>
      </w:pPr>
      <w:r w:rsidRPr="005D05CA">
        <w:rPr>
          <w:rFonts w:cstheme="minorHAnsi"/>
          <w:lang w:eastAsia="ja-JP"/>
        </w:rPr>
        <w:t>Indirect costs are allocated to direct cost centres using a cost driver that estimates the relative use of each activity</w:t>
      </w:r>
      <w:r w:rsidR="000B128E" w:rsidRPr="005D05CA">
        <w:rPr>
          <w:rFonts w:cstheme="minorHAnsi"/>
          <w:lang w:eastAsia="ja-JP"/>
        </w:rPr>
        <w:t>.</w:t>
      </w:r>
      <w:r w:rsidRPr="005D05CA">
        <w:rPr>
          <w:rFonts w:cstheme="minorHAnsi"/>
          <w:lang w:eastAsia="ja-JP"/>
        </w:rPr>
        <w:t xml:space="preserve"> </w:t>
      </w:r>
      <w:r w:rsidRPr="009C461A">
        <w:rPr>
          <w:lang w:eastAsia="ja-JP"/>
        </w:rPr>
        <w:t xml:space="preserve">Cost drivers are reviewed on an annual basis or as required. Changes to cost drivers are substantiated through effort or other data. </w:t>
      </w:r>
      <w:r w:rsidR="000B128E" w:rsidRPr="005D05CA">
        <w:rPr>
          <w:rFonts w:cstheme="minorHAnsi"/>
          <w:lang w:eastAsia="ja-JP"/>
        </w:rPr>
        <w:t xml:space="preserve">Cost drivers for corporate activities </w:t>
      </w:r>
      <w:r w:rsidRPr="005D05CA">
        <w:rPr>
          <w:rFonts w:cstheme="minorHAnsi"/>
          <w:lang w:eastAsia="ja-JP"/>
        </w:rPr>
        <w:t xml:space="preserve">are described in </w:t>
      </w:r>
      <w:r w:rsidR="002F1410" w:rsidRPr="005D05CA">
        <w:rPr>
          <w:rFonts w:cstheme="minorHAnsi"/>
        </w:rPr>
        <w:fldChar w:fldCharType="begin"/>
      </w:r>
      <w:r w:rsidR="002F1410" w:rsidRPr="005D05CA">
        <w:rPr>
          <w:rFonts w:cstheme="minorHAnsi"/>
          <w:lang w:eastAsia="ja-JP"/>
        </w:rPr>
        <w:instrText xml:space="preserve"> REF _Ref135834742 \h </w:instrText>
      </w:r>
      <w:r w:rsidR="002F1410" w:rsidRPr="005D05CA">
        <w:rPr>
          <w:rFonts w:cstheme="minorHAnsi"/>
        </w:rPr>
        <w:instrText xml:space="preserve"> \* MERGEFORMAT </w:instrText>
      </w:r>
      <w:r w:rsidR="002F1410" w:rsidRPr="005D05CA">
        <w:rPr>
          <w:rFonts w:cstheme="minorHAnsi"/>
        </w:rPr>
      </w:r>
      <w:r w:rsidR="002F1410" w:rsidRPr="005D05CA">
        <w:rPr>
          <w:rFonts w:cstheme="minorHAnsi"/>
        </w:rPr>
        <w:fldChar w:fldCharType="separate"/>
      </w:r>
      <w:r w:rsidR="006D5EF4" w:rsidRPr="006D5EF4">
        <w:rPr>
          <w:rFonts w:cstheme="minorHAnsi"/>
        </w:rPr>
        <w:t xml:space="preserve">Table </w:t>
      </w:r>
      <w:r w:rsidR="006D5EF4" w:rsidRPr="006D5EF4">
        <w:rPr>
          <w:rFonts w:cstheme="minorHAnsi"/>
          <w:noProof/>
        </w:rPr>
        <w:t>1</w:t>
      </w:r>
      <w:r w:rsidR="002F1410" w:rsidRPr="005D05CA">
        <w:rPr>
          <w:rFonts w:cstheme="minorHAnsi"/>
        </w:rPr>
        <w:fldChar w:fldCharType="end"/>
      </w:r>
      <w:r w:rsidRPr="005D05CA">
        <w:rPr>
          <w:rFonts w:cstheme="minorHAnsi"/>
          <w:lang w:eastAsia="ja-JP"/>
        </w:rPr>
        <w:t>.</w:t>
      </w:r>
    </w:p>
    <w:p w14:paraId="51EC25B3" w14:textId="62A526EA" w:rsidR="000B128E" w:rsidRPr="00FF145D" w:rsidRDefault="000B128E" w:rsidP="005D05CA">
      <w:pPr>
        <w:pStyle w:val="ListNumber"/>
        <w:rPr>
          <w:rFonts w:cstheme="minorHAnsi"/>
          <w:lang w:eastAsia="ja-JP"/>
        </w:rPr>
      </w:pPr>
      <w:r w:rsidRPr="00FF145D">
        <w:rPr>
          <w:rFonts w:cstheme="minorHAnsi"/>
          <w:lang w:eastAsia="ja-JP"/>
        </w:rPr>
        <w:t>Direct cost</w:t>
      </w:r>
      <w:r w:rsidR="000A790A">
        <w:rPr>
          <w:rFonts w:cstheme="minorHAnsi"/>
          <w:lang w:eastAsia="ja-JP"/>
        </w:rPr>
        <w:t xml:space="preserve"> centre</w:t>
      </w:r>
      <w:r w:rsidR="00607279">
        <w:rPr>
          <w:rFonts w:cstheme="minorHAnsi"/>
          <w:lang w:eastAsia="ja-JP"/>
        </w:rPr>
        <w:t xml:space="preserve"> costs</w:t>
      </w:r>
      <w:r w:rsidR="000A790A">
        <w:rPr>
          <w:rFonts w:cstheme="minorHAnsi"/>
          <w:lang w:eastAsia="ja-JP"/>
        </w:rPr>
        <w:t>,</w:t>
      </w:r>
      <w:r w:rsidRPr="00FF145D">
        <w:rPr>
          <w:rFonts w:cstheme="minorHAnsi"/>
          <w:lang w:eastAsia="ja-JP"/>
        </w:rPr>
        <w:t xml:space="preserve"> which</w:t>
      </w:r>
      <w:r w:rsidR="00607279">
        <w:rPr>
          <w:rFonts w:cstheme="minorHAnsi"/>
          <w:lang w:eastAsia="ja-JP"/>
        </w:rPr>
        <w:t xml:space="preserve"> </w:t>
      </w:r>
      <w:r w:rsidRPr="00FF145D">
        <w:rPr>
          <w:rFonts w:cstheme="minorHAnsi"/>
          <w:lang w:eastAsia="ja-JP"/>
        </w:rPr>
        <w:t>include the indirect costs allocated in step 1</w:t>
      </w:r>
      <w:r w:rsidR="000A790A">
        <w:rPr>
          <w:rFonts w:cstheme="minorHAnsi"/>
          <w:lang w:eastAsia="ja-JP"/>
        </w:rPr>
        <w:t>,</w:t>
      </w:r>
      <w:r w:rsidRPr="00FF145D">
        <w:rPr>
          <w:rFonts w:cstheme="minorHAnsi"/>
          <w:lang w:eastAsia="ja-JP"/>
        </w:rPr>
        <w:t xml:space="preserve"> are allocated to the activity and cost recovered s</w:t>
      </w:r>
      <w:r w:rsidR="000A790A">
        <w:rPr>
          <w:rFonts w:cstheme="minorHAnsi"/>
          <w:lang w:eastAsia="ja-JP"/>
        </w:rPr>
        <w:t>tream</w:t>
      </w:r>
      <w:r w:rsidRPr="00FF145D">
        <w:rPr>
          <w:rFonts w:cstheme="minorHAnsi"/>
          <w:lang w:eastAsia="ja-JP"/>
        </w:rPr>
        <w:t xml:space="preserve"> that best reflect</w:t>
      </w:r>
      <w:r w:rsidR="000A790A">
        <w:rPr>
          <w:rFonts w:cstheme="minorHAnsi"/>
          <w:lang w:eastAsia="ja-JP"/>
        </w:rPr>
        <w:t>s</w:t>
      </w:r>
      <w:r w:rsidRPr="00FF145D">
        <w:rPr>
          <w:rFonts w:cstheme="minorHAnsi"/>
          <w:lang w:eastAsia="ja-JP"/>
        </w:rPr>
        <w:t xml:space="preserve"> the activity undertaken.</w:t>
      </w:r>
    </w:p>
    <w:p w14:paraId="6B6F286E" w14:textId="5F3E0CE4" w:rsidR="000B128E" w:rsidRPr="00FF145D" w:rsidRDefault="000B128E" w:rsidP="005D05CA">
      <w:pPr>
        <w:pStyle w:val="ListNumber"/>
        <w:numPr>
          <w:ilvl w:val="0"/>
          <w:numId w:val="0"/>
        </w:numPr>
        <w:ind w:left="425"/>
        <w:rPr>
          <w:rFonts w:cstheme="minorHAnsi"/>
          <w:lang w:eastAsia="ja-JP"/>
        </w:rPr>
      </w:pPr>
      <w:r w:rsidRPr="00FF145D">
        <w:rPr>
          <w:rFonts w:cstheme="minorHAnsi"/>
          <w:lang w:eastAsia="ja-JP"/>
        </w:rPr>
        <w:t xml:space="preserve">The primary variable used in the allocation of costs to activities is effort. As a result, cost estimates vary with changes in activity. If actual activity levels change </w:t>
      </w:r>
      <w:r w:rsidR="009C461A" w:rsidRPr="00FF145D">
        <w:rPr>
          <w:rFonts w:cstheme="minorHAnsi"/>
          <w:lang w:eastAsia="ja-JP"/>
        </w:rPr>
        <w:t xml:space="preserve">significantly </w:t>
      </w:r>
      <w:r w:rsidRPr="00FF145D">
        <w:rPr>
          <w:rFonts w:cstheme="minorHAnsi"/>
          <w:lang w:eastAsia="ja-JP"/>
        </w:rPr>
        <w:t xml:space="preserve">during a financial year, the costs allocated to </w:t>
      </w:r>
      <w:r w:rsidR="00D46711" w:rsidRPr="00FF145D">
        <w:rPr>
          <w:rFonts w:cstheme="minorHAnsi"/>
          <w:lang w:eastAsia="ja-JP"/>
        </w:rPr>
        <w:t xml:space="preserve">the </w:t>
      </w:r>
      <w:r w:rsidRPr="00FF145D">
        <w:rPr>
          <w:rFonts w:cstheme="minorHAnsi"/>
          <w:lang w:eastAsia="ja-JP"/>
        </w:rPr>
        <w:t xml:space="preserve">arrangement </w:t>
      </w:r>
      <w:r w:rsidR="009C461A" w:rsidRPr="00FF145D">
        <w:rPr>
          <w:rFonts w:cstheme="minorHAnsi"/>
          <w:lang w:eastAsia="ja-JP"/>
        </w:rPr>
        <w:t xml:space="preserve">may </w:t>
      </w:r>
      <w:r w:rsidRPr="00FF145D">
        <w:rPr>
          <w:rFonts w:cstheme="minorHAnsi"/>
          <w:lang w:eastAsia="ja-JP"/>
        </w:rPr>
        <w:t xml:space="preserve">require adjustment to </w:t>
      </w:r>
      <w:r w:rsidR="009C461A" w:rsidRPr="00FF145D">
        <w:rPr>
          <w:rFonts w:cstheme="minorHAnsi"/>
          <w:lang w:eastAsia="ja-JP"/>
        </w:rPr>
        <w:t>re</w:t>
      </w:r>
      <w:r w:rsidRPr="00FF145D">
        <w:rPr>
          <w:rFonts w:cstheme="minorHAnsi"/>
          <w:lang w:eastAsia="ja-JP"/>
        </w:rPr>
        <w:t xml:space="preserve">align </w:t>
      </w:r>
      <w:r w:rsidR="009C461A" w:rsidRPr="00FF145D">
        <w:rPr>
          <w:rFonts w:cstheme="minorHAnsi"/>
          <w:lang w:eastAsia="ja-JP"/>
        </w:rPr>
        <w:t>effort</w:t>
      </w:r>
      <w:r w:rsidRPr="00FF145D">
        <w:rPr>
          <w:rFonts w:cstheme="minorHAnsi"/>
          <w:lang w:eastAsia="ja-JP"/>
        </w:rPr>
        <w:t>.</w:t>
      </w:r>
    </w:p>
    <w:p w14:paraId="7DE08525" w14:textId="04D04B50" w:rsidR="00FF145D" w:rsidRDefault="002A4104" w:rsidP="003A2587">
      <w:pPr>
        <w:pStyle w:val="ListNumber"/>
        <w:spacing w:after="1440"/>
        <w:rPr>
          <w:lang w:eastAsia="ja-JP"/>
        </w:rPr>
      </w:pPr>
      <w:r w:rsidRPr="0029167F">
        <w:t>Activity/</w:t>
      </w:r>
      <w:r w:rsidR="00A811E8">
        <w:t>stream</w:t>
      </w:r>
      <w:r w:rsidR="00A811E8" w:rsidRPr="0029167F">
        <w:t xml:space="preserve"> </w:t>
      </w:r>
      <w:r w:rsidRPr="0029167F">
        <w:t>costs from step 2</w:t>
      </w:r>
      <w:r w:rsidR="00FF145D">
        <w:t>,</w:t>
      </w:r>
      <w:r w:rsidRPr="0029167F">
        <w:t xml:space="preserve"> are allocated to charge points that identify the cost associated with that charge. A combination of regulatory fees and charges is used.</w:t>
      </w:r>
    </w:p>
    <w:p w14:paraId="1C10311C" w14:textId="57C7F000" w:rsidR="00510003" w:rsidRDefault="00510003" w:rsidP="00510003">
      <w:pPr>
        <w:pStyle w:val="Caption"/>
      </w:pPr>
      <w:bookmarkStart w:id="87" w:name="_Ref135834742"/>
      <w:bookmarkStart w:id="88" w:name="_Toc168645275"/>
      <w:r>
        <w:lastRenderedPageBreak/>
        <w:t xml:space="preserve">Table </w:t>
      </w:r>
      <w:r>
        <w:fldChar w:fldCharType="begin"/>
      </w:r>
      <w:r>
        <w:instrText xml:space="preserve"> SEQ Table \* ARABIC </w:instrText>
      </w:r>
      <w:r>
        <w:fldChar w:fldCharType="separate"/>
      </w:r>
      <w:r w:rsidR="006D5EF4">
        <w:rPr>
          <w:noProof/>
        </w:rPr>
        <w:t>1</w:t>
      </w:r>
      <w:r>
        <w:rPr>
          <w:noProof/>
        </w:rPr>
        <w:fldChar w:fldCharType="end"/>
      </w:r>
      <w:bookmarkEnd w:id="87"/>
      <w:r>
        <w:t xml:space="preserve"> Cost drivers for corporate activities</w:t>
      </w:r>
      <w:bookmarkEnd w:id="88"/>
    </w:p>
    <w:tbl>
      <w:tblPr>
        <w:tblW w:w="5000" w:type="pct"/>
        <w:tblBorders>
          <w:top w:val="single" w:sz="4" w:space="0" w:color="auto"/>
          <w:bottom w:val="single" w:sz="4" w:space="0" w:color="auto"/>
          <w:insideH w:val="single" w:sz="4" w:space="0" w:color="auto"/>
        </w:tblBorders>
        <w:tblCellMar>
          <w:left w:w="40" w:type="dxa"/>
          <w:right w:w="40" w:type="dxa"/>
        </w:tblCellMar>
        <w:tblLook w:val="04A0" w:firstRow="1" w:lastRow="0" w:firstColumn="1" w:lastColumn="0" w:noHBand="0" w:noVBand="1"/>
      </w:tblPr>
      <w:tblGrid>
        <w:gridCol w:w="1807"/>
        <w:gridCol w:w="7377"/>
      </w:tblGrid>
      <w:tr w:rsidR="006E067B" w:rsidRPr="009C461A" w14:paraId="4112DAF3" w14:textId="77777777" w:rsidTr="004C1CBD">
        <w:trPr>
          <w:tblHeader/>
        </w:trPr>
        <w:tc>
          <w:tcPr>
            <w:tcW w:w="984" w:type="pct"/>
          </w:tcPr>
          <w:p w14:paraId="3438C348" w14:textId="77777777" w:rsidR="00510003" w:rsidRPr="00A968F0" w:rsidRDefault="00510003" w:rsidP="00DA6D6C">
            <w:pPr>
              <w:pStyle w:val="TableHeading"/>
              <w:rPr>
                <w:rStyle w:val="Strong"/>
                <w:b/>
                <w:bCs w:val="0"/>
              </w:rPr>
            </w:pPr>
            <w:bookmarkStart w:id="89" w:name="Title_1"/>
            <w:bookmarkEnd w:id="89"/>
            <w:r w:rsidRPr="00A968F0">
              <w:rPr>
                <w:rStyle w:val="Strong"/>
                <w:b/>
                <w:bCs w:val="0"/>
              </w:rPr>
              <w:t>Cost driver</w:t>
            </w:r>
          </w:p>
        </w:tc>
        <w:tc>
          <w:tcPr>
            <w:tcW w:w="4016" w:type="pct"/>
          </w:tcPr>
          <w:p w14:paraId="00A87F45" w14:textId="77777777" w:rsidR="00510003" w:rsidRPr="00A968F0" w:rsidRDefault="00510003" w:rsidP="00DA6D6C">
            <w:pPr>
              <w:pStyle w:val="TableHeading"/>
              <w:rPr>
                <w:rStyle w:val="Strong"/>
                <w:b/>
                <w:bCs w:val="0"/>
              </w:rPr>
            </w:pPr>
            <w:r w:rsidRPr="00A968F0">
              <w:rPr>
                <w:rStyle w:val="Strong"/>
                <w:b/>
                <w:bCs w:val="0"/>
              </w:rPr>
              <w:t>Description</w:t>
            </w:r>
          </w:p>
        </w:tc>
      </w:tr>
      <w:tr w:rsidR="006E067B" w:rsidRPr="009C461A" w14:paraId="59EB15A6" w14:textId="77777777" w:rsidTr="004C1CBD">
        <w:tc>
          <w:tcPr>
            <w:tcW w:w="984" w:type="pct"/>
          </w:tcPr>
          <w:p w14:paraId="09D9F5DC" w14:textId="77777777" w:rsidR="00510003" w:rsidRPr="009C461A" w:rsidRDefault="00510003" w:rsidP="00DA6D6C">
            <w:pPr>
              <w:pStyle w:val="TableText"/>
              <w:rPr>
                <w:rFonts w:ascii="Calibri" w:hAnsi="Calibri" w:cs="Calibri"/>
                <w:lang w:eastAsia="ja-JP"/>
              </w:rPr>
            </w:pPr>
            <w:proofErr w:type="spellStart"/>
            <w:r w:rsidRPr="009C461A">
              <w:rPr>
                <w:rFonts w:ascii="Calibri" w:hAnsi="Calibri" w:cs="Calibri"/>
                <w:lang w:eastAsia="ja-JP"/>
              </w:rPr>
              <w:t>Workpoints</w:t>
            </w:r>
            <w:proofErr w:type="spellEnd"/>
          </w:p>
        </w:tc>
        <w:tc>
          <w:tcPr>
            <w:tcW w:w="4016" w:type="pct"/>
          </w:tcPr>
          <w:p w14:paraId="09B9C19B" w14:textId="77777777" w:rsidR="00510003" w:rsidRPr="009C461A" w:rsidRDefault="00510003" w:rsidP="00DA6D6C">
            <w:pPr>
              <w:pStyle w:val="TableText"/>
              <w:rPr>
                <w:rFonts w:ascii="Calibri" w:hAnsi="Calibri" w:cs="Calibri"/>
                <w:lang w:eastAsia="ja-JP"/>
              </w:rPr>
            </w:pPr>
            <w:r w:rsidRPr="009C461A">
              <w:rPr>
                <w:rFonts w:ascii="Calibri" w:hAnsi="Calibri" w:cs="Calibri"/>
                <w:lang w:eastAsia="ja-JP"/>
              </w:rPr>
              <w:t xml:space="preserve">Distributes costs based on space occupied, with the </w:t>
            </w:r>
            <w:proofErr w:type="spellStart"/>
            <w:r w:rsidRPr="009C461A">
              <w:rPr>
                <w:rFonts w:ascii="Calibri" w:hAnsi="Calibri" w:cs="Calibri"/>
                <w:lang w:eastAsia="ja-JP"/>
              </w:rPr>
              <w:t>workpoint</w:t>
            </w:r>
            <w:proofErr w:type="spellEnd"/>
            <w:r w:rsidRPr="009C461A">
              <w:rPr>
                <w:rFonts w:ascii="Calibri" w:hAnsi="Calibri" w:cs="Calibri"/>
                <w:lang w:eastAsia="ja-JP"/>
              </w:rPr>
              <w:t xml:space="preserve"> count reflecting the space where a person may be able to work.</w:t>
            </w:r>
          </w:p>
        </w:tc>
      </w:tr>
      <w:tr w:rsidR="006E067B" w:rsidRPr="009C461A" w14:paraId="0763F4DF" w14:textId="77777777" w:rsidTr="004C1CBD">
        <w:tc>
          <w:tcPr>
            <w:tcW w:w="984" w:type="pct"/>
          </w:tcPr>
          <w:p w14:paraId="12D54605" w14:textId="77777777" w:rsidR="00510003" w:rsidRPr="009C461A" w:rsidRDefault="00510003" w:rsidP="00DA6D6C">
            <w:pPr>
              <w:pStyle w:val="TableText"/>
              <w:rPr>
                <w:rFonts w:ascii="Calibri" w:hAnsi="Calibri" w:cs="Calibri"/>
                <w:lang w:eastAsia="ja-JP"/>
              </w:rPr>
            </w:pPr>
            <w:r w:rsidRPr="009C461A">
              <w:rPr>
                <w:rFonts w:ascii="Calibri" w:hAnsi="Calibri" w:cs="Calibri"/>
                <w:lang w:eastAsia="ja-JP"/>
              </w:rPr>
              <w:t>FTE</w:t>
            </w:r>
          </w:p>
        </w:tc>
        <w:tc>
          <w:tcPr>
            <w:tcW w:w="4016" w:type="pct"/>
          </w:tcPr>
          <w:p w14:paraId="1AEBF2FA" w14:textId="77777777" w:rsidR="00510003" w:rsidRPr="009C461A" w:rsidRDefault="00510003" w:rsidP="00DA6D6C">
            <w:pPr>
              <w:pStyle w:val="TableText"/>
              <w:rPr>
                <w:rFonts w:ascii="Calibri" w:hAnsi="Calibri" w:cs="Calibri"/>
                <w:lang w:eastAsia="ja-JP"/>
              </w:rPr>
            </w:pPr>
            <w:r w:rsidRPr="009C461A">
              <w:rPr>
                <w:rFonts w:ascii="Calibri" w:hAnsi="Calibri" w:cs="Calibri"/>
                <w:lang w:eastAsia="ja-JP"/>
              </w:rPr>
              <w:t>Distributes costs based on each program's full-time equivalent staff numbers.</w:t>
            </w:r>
          </w:p>
        </w:tc>
      </w:tr>
      <w:tr w:rsidR="006E067B" w:rsidRPr="009C461A" w14:paraId="6E7847A9" w14:textId="77777777" w:rsidTr="004C1CBD">
        <w:tc>
          <w:tcPr>
            <w:tcW w:w="984" w:type="pct"/>
          </w:tcPr>
          <w:p w14:paraId="553B6DF5" w14:textId="77777777" w:rsidR="00510003" w:rsidRPr="009C461A" w:rsidRDefault="00510003" w:rsidP="00DA6D6C">
            <w:pPr>
              <w:pStyle w:val="TableText"/>
              <w:rPr>
                <w:rFonts w:ascii="Calibri" w:hAnsi="Calibri" w:cs="Calibri"/>
                <w:lang w:eastAsia="ja-JP"/>
              </w:rPr>
            </w:pPr>
            <w:r w:rsidRPr="009C461A">
              <w:rPr>
                <w:rFonts w:ascii="Calibri" w:hAnsi="Calibri" w:cs="Calibri"/>
                <w:lang w:eastAsia="ja-JP"/>
              </w:rPr>
              <w:t>PC count/IT assets</w:t>
            </w:r>
          </w:p>
        </w:tc>
        <w:tc>
          <w:tcPr>
            <w:tcW w:w="4016" w:type="pct"/>
          </w:tcPr>
          <w:p w14:paraId="63F629EA" w14:textId="77777777" w:rsidR="00510003" w:rsidRPr="009C461A" w:rsidRDefault="00510003" w:rsidP="00DA6D6C">
            <w:pPr>
              <w:pStyle w:val="TableText"/>
              <w:rPr>
                <w:rFonts w:ascii="Calibri" w:hAnsi="Calibri" w:cs="Calibri"/>
                <w:lang w:eastAsia="ja-JP"/>
              </w:rPr>
            </w:pPr>
            <w:r w:rsidRPr="009C461A">
              <w:rPr>
                <w:rFonts w:ascii="Calibri" w:hAnsi="Calibri" w:cs="Calibri"/>
                <w:lang w:eastAsia="ja-JP"/>
              </w:rPr>
              <w:t>Distributes costs based on the number of IT assets in a program.</w:t>
            </w:r>
          </w:p>
        </w:tc>
      </w:tr>
      <w:tr w:rsidR="006E067B" w:rsidRPr="009C461A" w14:paraId="7B917233" w14:textId="77777777" w:rsidTr="004C1CBD">
        <w:tc>
          <w:tcPr>
            <w:tcW w:w="984" w:type="pct"/>
          </w:tcPr>
          <w:p w14:paraId="6D6E495B" w14:textId="77777777" w:rsidR="00510003" w:rsidRPr="009C461A" w:rsidRDefault="00510003" w:rsidP="00DA6D6C">
            <w:pPr>
              <w:pStyle w:val="TableText"/>
              <w:rPr>
                <w:rFonts w:ascii="Calibri" w:hAnsi="Calibri" w:cs="Calibri"/>
                <w:lang w:eastAsia="ja-JP"/>
              </w:rPr>
            </w:pPr>
            <w:r w:rsidRPr="009C461A">
              <w:rPr>
                <w:rFonts w:ascii="Calibri" w:hAnsi="Calibri" w:cs="Calibri"/>
                <w:lang w:eastAsia="ja-JP"/>
              </w:rPr>
              <w:t>Transactions</w:t>
            </w:r>
          </w:p>
        </w:tc>
        <w:tc>
          <w:tcPr>
            <w:tcW w:w="4016" w:type="pct"/>
          </w:tcPr>
          <w:p w14:paraId="3B011D2C" w14:textId="77777777" w:rsidR="00510003" w:rsidRDefault="00510003" w:rsidP="00DA6D6C">
            <w:pPr>
              <w:pStyle w:val="TableText"/>
              <w:rPr>
                <w:rFonts w:ascii="Calibri" w:hAnsi="Calibri" w:cs="Calibri"/>
                <w:lang w:eastAsia="ja-JP"/>
              </w:rPr>
            </w:pPr>
            <w:r w:rsidRPr="009C461A">
              <w:rPr>
                <w:rFonts w:ascii="Calibri" w:hAnsi="Calibri" w:cs="Calibri"/>
                <w:lang w:eastAsia="ja-JP"/>
              </w:rPr>
              <w:t>Distributes costs based on the number of transactions incurred over a period.</w:t>
            </w:r>
          </w:p>
          <w:p w14:paraId="34C8F73A" w14:textId="77777777" w:rsidR="00510003" w:rsidRPr="009C461A" w:rsidRDefault="00510003" w:rsidP="00DA6D6C">
            <w:pPr>
              <w:pStyle w:val="TableText"/>
              <w:rPr>
                <w:rFonts w:ascii="Calibri" w:hAnsi="Calibri" w:cs="Calibri"/>
                <w:lang w:eastAsia="ja-JP"/>
              </w:rPr>
            </w:pPr>
            <w:r w:rsidRPr="009C461A">
              <w:rPr>
                <w:rFonts w:ascii="Calibri" w:hAnsi="Calibri" w:cs="Calibri"/>
                <w:lang w:eastAsia="ja-JP"/>
              </w:rPr>
              <w:t>This driver is used to allocate expenses related to accounts receivable and accounts payable functions.</w:t>
            </w:r>
          </w:p>
        </w:tc>
      </w:tr>
      <w:tr w:rsidR="006E067B" w:rsidRPr="009C461A" w14:paraId="330C88A6" w14:textId="77777777" w:rsidTr="004C1CBD">
        <w:tc>
          <w:tcPr>
            <w:tcW w:w="984" w:type="pct"/>
          </w:tcPr>
          <w:p w14:paraId="3E0868CA" w14:textId="77777777" w:rsidR="00510003" w:rsidRPr="009C461A" w:rsidRDefault="00510003" w:rsidP="00DA6D6C">
            <w:pPr>
              <w:pStyle w:val="TableText"/>
              <w:rPr>
                <w:rFonts w:ascii="Calibri" w:hAnsi="Calibri" w:cs="Calibri"/>
                <w:lang w:eastAsia="ja-JP"/>
              </w:rPr>
            </w:pPr>
            <w:r w:rsidRPr="009C461A">
              <w:rPr>
                <w:rFonts w:ascii="Calibri" w:hAnsi="Calibri" w:cs="Calibri"/>
                <w:lang w:eastAsia="ja-JP"/>
              </w:rPr>
              <w:t>Headcount</w:t>
            </w:r>
          </w:p>
        </w:tc>
        <w:tc>
          <w:tcPr>
            <w:tcW w:w="4016" w:type="pct"/>
          </w:tcPr>
          <w:p w14:paraId="63A8EFFD" w14:textId="77777777" w:rsidR="00510003" w:rsidRPr="009C461A" w:rsidRDefault="00510003" w:rsidP="00DA6D6C">
            <w:pPr>
              <w:pStyle w:val="TableText"/>
              <w:rPr>
                <w:rFonts w:ascii="Calibri" w:hAnsi="Calibri" w:cs="Calibri"/>
                <w:lang w:eastAsia="ja-JP"/>
              </w:rPr>
            </w:pPr>
            <w:r w:rsidRPr="009C461A">
              <w:rPr>
                <w:rFonts w:ascii="Calibri" w:hAnsi="Calibri" w:cs="Calibri"/>
                <w:lang w:eastAsia="ja-JP"/>
              </w:rPr>
              <w:t>Allocates costs based on the number of staff a program area has as a proportion of the total number of the department’s total staff.</w:t>
            </w:r>
          </w:p>
        </w:tc>
      </w:tr>
      <w:tr w:rsidR="006E067B" w:rsidRPr="009C461A" w14:paraId="2292F76D" w14:textId="77777777" w:rsidTr="004C1CBD">
        <w:tc>
          <w:tcPr>
            <w:tcW w:w="984" w:type="pct"/>
          </w:tcPr>
          <w:p w14:paraId="4EDC92D6" w14:textId="77777777" w:rsidR="00510003" w:rsidRPr="009C461A" w:rsidRDefault="00510003" w:rsidP="00DA6D6C">
            <w:pPr>
              <w:pStyle w:val="TableText"/>
              <w:rPr>
                <w:rFonts w:ascii="Calibri" w:hAnsi="Calibri" w:cs="Calibri"/>
                <w:lang w:eastAsia="ja-JP"/>
              </w:rPr>
            </w:pPr>
            <w:r w:rsidRPr="009C461A">
              <w:rPr>
                <w:rFonts w:ascii="Calibri" w:hAnsi="Calibri" w:cs="Calibri"/>
                <w:lang w:eastAsia="ja-JP"/>
              </w:rPr>
              <w:t>Custom drivers</w:t>
            </w:r>
          </w:p>
        </w:tc>
        <w:tc>
          <w:tcPr>
            <w:tcW w:w="4016" w:type="pct"/>
          </w:tcPr>
          <w:p w14:paraId="7EF9EF6F" w14:textId="77777777" w:rsidR="00510003" w:rsidRPr="009C461A" w:rsidRDefault="00510003" w:rsidP="00DA6D6C">
            <w:pPr>
              <w:pStyle w:val="TableText"/>
              <w:rPr>
                <w:rFonts w:ascii="Calibri" w:hAnsi="Calibri" w:cs="Calibri"/>
                <w:lang w:eastAsia="ja-JP"/>
              </w:rPr>
            </w:pPr>
            <w:r w:rsidRPr="009C461A">
              <w:rPr>
                <w:rFonts w:ascii="Calibri" w:hAnsi="Calibri" w:cs="Calibri"/>
                <w:lang w:eastAsia="ja-JP"/>
              </w:rPr>
              <w:t>Allocate costs to specific cost centres, primarily based on usage for shared program resources.</w:t>
            </w:r>
          </w:p>
        </w:tc>
      </w:tr>
    </w:tbl>
    <w:p w14:paraId="5B210D6D" w14:textId="1AC6D615" w:rsidR="00D97FC3" w:rsidRDefault="00506E0F" w:rsidP="00554FF8">
      <w:pPr>
        <w:spacing w:before="360"/>
      </w:pPr>
      <w:r>
        <w:fldChar w:fldCharType="begin"/>
      </w:r>
      <w:r>
        <w:instrText xml:space="preserve"> REF _Ref77242998 \h </w:instrText>
      </w:r>
      <w:r>
        <w:fldChar w:fldCharType="separate"/>
      </w:r>
      <w:r w:rsidR="006D5EF4" w:rsidRPr="0029167F">
        <w:rPr>
          <w:rFonts w:cstheme="minorHAnsi"/>
        </w:rPr>
        <w:t xml:space="preserve">Figure </w:t>
      </w:r>
      <w:r w:rsidR="006D5EF4">
        <w:rPr>
          <w:rFonts w:cstheme="minorHAnsi"/>
          <w:noProof/>
        </w:rPr>
        <w:t>1</w:t>
      </w:r>
      <w:r>
        <w:fldChar w:fldCharType="end"/>
      </w:r>
      <w:r>
        <w:t xml:space="preserve"> </w:t>
      </w:r>
      <w:r w:rsidR="00D97FC3" w:rsidRPr="00D97FC3">
        <w:t>shows how we attribute cost recovered activities to either fees or charges (levies).</w:t>
      </w:r>
    </w:p>
    <w:p w14:paraId="1AAD0BDD" w14:textId="07E4380A" w:rsidR="000B128E" w:rsidRPr="0029167F" w:rsidRDefault="00425B8A" w:rsidP="000634CA">
      <w:pPr>
        <w:pStyle w:val="Caption"/>
        <w:spacing w:before="240"/>
        <w:rPr>
          <w:rFonts w:asciiTheme="minorHAnsi" w:hAnsiTheme="minorHAnsi" w:cstheme="minorHAnsi"/>
        </w:rPr>
      </w:pPr>
      <w:bookmarkStart w:id="90" w:name="_Ref77242998"/>
      <w:bookmarkStart w:id="91" w:name="_Toc168645290"/>
      <w:r w:rsidRPr="0029167F">
        <w:rPr>
          <w:rFonts w:asciiTheme="minorHAnsi" w:hAnsiTheme="minorHAnsi" w:cstheme="minorHAnsi"/>
        </w:rPr>
        <w:t xml:space="preserve">Figure </w:t>
      </w:r>
      <w:r w:rsidR="0047497D" w:rsidRPr="0029167F">
        <w:rPr>
          <w:rFonts w:asciiTheme="minorHAnsi" w:hAnsiTheme="minorHAnsi" w:cstheme="minorHAnsi"/>
        </w:rPr>
        <w:fldChar w:fldCharType="begin"/>
      </w:r>
      <w:r w:rsidR="0047497D" w:rsidRPr="0029167F">
        <w:rPr>
          <w:rFonts w:asciiTheme="minorHAnsi" w:hAnsiTheme="minorHAnsi" w:cstheme="minorHAnsi"/>
        </w:rPr>
        <w:instrText xml:space="preserve"> SEQ Figure \* ARABIC </w:instrText>
      </w:r>
      <w:r w:rsidR="0047497D" w:rsidRPr="0029167F">
        <w:rPr>
          <w:rFonts w:asciiTheme="minorHAnsi" w:hAnsiTheme="minorHAnsi" w:cstheme="minorHAnsi"/>
        </w:rPr>
        <w:fldChar w:fldCharType="separate"/>
      </w:r>
      <w:r w:rsidR="006D5EF4">
        <w:rPr>
          <w:rFonts w:asciiTheme="minorHAnsi" w:hAnsiTheme="minorHAnsi" w:cstheme="minorHAnsi"/>
          <w:noProof/>
        </w:rPr>
        <w:t>1</w:t>
      </w:r>
      <w:r w:rsidR="0047497D" w:rsidRPr="0029167F">
        <w:rPr>
          <w:rFonts w:asciiTheme="minorHAnsi" w:hAnsiTheme="minorHAnsi" w:cstheme="minorHAnsi"/>
          <w:noProof/>
        </w:rPr>
        <w:fldChar w:fldCharType="end"/>
      </w:r>
      <w:bookmarkEnd w:id="90"/>
      <w:r w:rsidRPr="0029167F">
        <w:rPr>
          <w:rFonts w:asciiTheme="minorHAnsi" w:hAnsiTheme="minorHAnsi" w:cstheme="minorHAnsi"/>
        </w:rPr>
        <w:t xml:space="preserve"> </w:t>
      </w:r>
      <w:r w:rsidR="007646BC" w:rsidRPr="0029167F">
        <w:rPr>
          <w:rFonts w:asciiTheme="minorHAnsi" w:hAnsiTheme="minorHAnsi" w:cstheme="minorHAnsi"/>
        </w:rPr>
        <w:t>Charge</w:t>
      </w:r>
      <w:r w:rsidR="008B40C6">
        <w:rPr>
          <w:rFonts w:asciiTheme="minorHAnsi" w:hAnsiTheme="minorHAnsi" w:cstheme="minorHAnsi"/>
        </w:rPr>
        <w:t xml:space="preserve"> (levy)</w:t>
      </w:r>
      <w:r w:rsidRPr="0029167F">
        <w:rPr>
          <w:rFonts w:asciiTheme="minorHAnsi" w:hAnsiTheme="minorHAnsi" w:cstheme="minorHAnsi"/>
        </w:rPr>
        <w:t xml:space="preserve"> and fee related activities</w:t>
      </w:r>
      <w:r w:rsidR="00721502" w:rsidRPr="0029167F">
        <w:rPr>
          <w:rFonts w:asciiTheme="minorHAnsi" w:hAnsiTheme="minorHAnsi" w:cstheme="minorHAnsi"/>
        </w:rPr>
        <w:t xml:space="preserve"> </w:t>
      </w:r>
      <w:r w:rsidR="007B24CC" w:rsidRPr="0029167F">
        <w:rPr>
          <w:rFonts w:asciiTheme="minorHAnsi" w:hAnsiTheme="minorHAnsi" w:cstheme="minorHAnsi"/>
        </w:rPr>
        <w:t xml:space="preserve">and </w:t>
      </w:r>
      <w:r w:rsidR="00721502" w:rsidRPr="0029167F">
        <w:rPr>
          <w:rFonts w:asciiTheme="minorHAnsi" w:hAnsiTheme="minorHAnsi" w:cstheme="minorHAnsi"/>
        </w:rPr>
        <w:t>associated outputs</w:t>
      </w:r>
      <w:bookmarkEnd w:id="91"/>
    </w:p>
    <w:p w14:paraId="2E33659E" w14:textId="2C2BBE42" w:rsidR="00425B8A" w:rsidRDefault="00694601" w:rsidP="00E54A6A">
      <w:pPr>
        <w:spacing w:after="2160"/>
        <w:rPr>
          <w:rFonts w:cstheme="minorHAnsi"/>
          <w:lang w:eastAsia="ja-JP"/>
        </w:rPr>
      </w:pPr>
      <w:r>
        <w:rPr>
          <w:rFonts w:cstheme="minorHAnsi"/>
          <w:noProof/>
          <w:lang w:eastAsia="ja-JP"/>
        </w:rPr>
        <w:drawing>
          <wp:inline distT="0" distB="0" distL="0" distR="0" wp14:anchorId="0216E55C" wp14:editId="79CC9DCF">
            <wp:extent cx="5231130" cy="4267835"/>
            <wp:effectExtent l="0" t="0" r="7620" b="0"/>
            <wp:docPr id="7" name="Picture 7" descr="Shows how we attribute cost recovered activities to either charges or fees. Charges apply to:&#10;program and administration activities such as business systems administration, stakeholder engagement, developing, maintaining, and communicating our policy and instructional material and business improvements. &#10;Assurance activities such as risk management, verification, and surveillance and &#10;Incident management which covers incident management, investigative support, and corrective actions. &#10;Fees apply to assessment, issuing approvals, treatments, diagnostics, husbandry and aud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ows how we attribute cost recovered activities to either charges or fees. Charges apply to:&#10;program and administration activities such as business systems administration, stakeholder engagement, developing, maintaining, and communicating our policy and instructional material and business improvements. &#10;Assurance activities such as risk management, verification, and surveillance and &#10;Incident management which covers incident management, investigative support, and corrective actions. &#10;Fees apply to assessment, issuing approvals, treatments, diagnostics, husbandry and audit.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31130" cy="4267835"/>
                    </a:xfrm>
                    <a:prstGeom prst="rect">
                      <a:avLst/>
                    </a:prstGeom>
                    <a:noFill/>
                  </pic:spPr>
                </pic:pic>
              </a:graphicData>
            </a:graphic>
          </wp:inline>
        </w:drawing>
      </w:r>
    </w:p>
    <w:bookmarkStart w:id="92" w:name="_Ref77243056"/>
    <w:p w14:paraId="373115C7" w14:textId="30921E62" w:rsidR="00E54A6A" w:rsidRDefault="00A859C6" w:rsidP="00E54A6A">
      <w:pPr>
        <w:spacing w:before="360"/>
      </w:pPr>
      <w:r>
        <w:lastRenderedPageBreak/>
        <w:fldChar w:fldCharType="begin"/>
      </w:r>
      <w:r>
        <w:instrText xml:space="preserve"> REF _Ref170308493 \h </w:instrText>
      </w:r>
      <w:r>
        <w:fldChar w:fldCharType="separate"/>
      </w:r>
      <w:r w:rsidR="006D5EF4" w:rsidRPr="0029167F">
        <w:rPr>
          <w:rFonts w:cstheme="minorHAnsi"/>
        </w:rPr>
        <w:t xml:space="preserve">Figure </w:t>
      </w:r>
      <w:r w:rsidR="006D5EF4">
        <w:rPr>
          <w:rFonts w:cstheme="minorHAnsi"/>
          <w:noProof/>
        </w:rPr>
        <w:t>2</w:t>
      </w:r>
      <w:r>
        <w:fldChar w:fldCharType="end"/>
      </w:r>
      <w:r>
        <w:t xml:space="preserve"> </w:t>
      </w:r>
      <w:r w:rsidR="00E54A6A" w:rsidRPr="00D97FC3">
        <w:t>provides an example of costs associated with an activity subject to inspection fees</w:t>
      </w:r>
      <w:r w:rsidR="008F3443">
        <w:t>.</w:t>
      </w:r>
    </w:p>
    <w:p w14:paraId="40450D28" w14:textId="09829711" w:rsidR="00425B8A" w:rsidRDefault="00425B8A" w:rsidP="00E54A6A">
      <w:pPr>
        <w:pStyle w:val="Caption"/>
        <w:spacing w:before="120"/>
        <w:rPr>
          <w:rFonts w:asciiTheme="minorHAnsi" w:hAnsiTheme="minorHAnsi" w:cstheme="minorHAnsi"/>
        </w:rPr>
      </w:pPr>
      <w:bookmarkStart w:id="93" w:name="_Ref170308493"/>
      <w:bookmarkStart w:id="94" w:name="_Toc168645291"/>
      <w:bookmarkStart w:id="95" w:name="_Ref170308476"/>
      <w:r w:rsidRPr="0029167F">
        <w:rPr>
          <w:rFonts w:asciiTheme="minorHAnsi" w:hAnsiTheme="minorHAnsi" w:cstheme="minorHAnsi"/>
        </w:rPr>
        <w:t xml:space="preserve">Figure </w:t>
      </w:r>
      <w:r w:rsidR="0047497D" w:rsidRPr="0029167F">
        <w:rPr>
          <w:rFonts w:asciiTheme="minorHAnsi" w:hAnsiTheme="minorHAnsi" w:cstheme="minorHAnsi"/>
        </w:rPr>
        <w:fldChar w:fldCharType="begin"/>
      </w:r>
      <w:r w:rsidR="0047497D" w:rsidRPr="0029167F">
        <w:rPr>
          <w:rFonts w:asciiTheme="minorHAnsi" w:hAnsiTheme="minorHAnsi" w:cstheme="minorHAnsi"/>
        </w:rPr>
        <w:instrText xml:space="preserve"> SEQ Figure \* ARABIC </w:instrText>
      </w:r>
      <w:r w:rsidR="0047497D" w:rsidRPr="0029167F">
        <w:rPr>
          <w:rFonts w:asciiTheme="minorHAnsi" w:hAnsiTheme="minorHAnsi" w:cstheme="minorHAnsi"/>
        </w:rPr>
        <w:fldChar w:fldCharType="separate"/>
      </w:r>
      <w:r w:rsidR="006D5EF4">
        <w:rPr>
          <w:rFonts w:asciiTheme="minorHAnsi" w:hAnsiTheme="minorHAnsi" w:cstheme="minorHAnsi"/>
          <w:noProof/>
        </w:rPr>
        <w:t>2</w:t>
      </w:r>
      <w:r w:rsidR="0047497D" w:rsidRPr="0029167F">
        <w:rPr>
          <w:rFonts w:asciiTheme="minorHAnsi" w:hAnsiTheme="minorHAnsi" w:cstheme="minorHAnsi"/>
          <w:noProof/>
        </w:rPr>
        <w:fldChar w:fldCharType="end"/>
      </w:r>
      <w:bookmarkEnd w:id="92"/>
      <w:bookmarkEnd w:id="93"/>
      <w:r w:rsidRPr="0029167F">
        <w:rPr>
          <w:rFonts w:asciiTheme="minorHAnsi" w:hAnsiTheme="minorHAnsi" w:cstheme="minorHAnsi"/>
        </w:rPr>
        <w:t xml:space="preserve"> Activity based cost model</w:t>
      </w:r>
      <w:bookmarkEnd w:id="94"/>
      <w:bookmarkEnd w:id="95"/>
    </w:p>
    <w:p w14:paraId="375BCCB2" w14:textId="3E05FE97" w:rsidR="0037124C" w:rsidRPr="0037124C" w:rsidRDefault="0037124C" w:rsidP="000634CA">
      <w:r>
        <w:rPr>
          <w:noProof/>
        </w:rPr>
        <w:drawing>
          <wp:inline distT="0" distB="0" distL="0" distR="0" wp14:anchorId="6109274A" wp14:editId="65675BDC">
            <wp:extent cx="5578475" cy="2158365"/>
            <wp:effectExtent l="0" t="0" r="0" b="0"/>
            <wp:docPr id="1171027174" name="Picture 4" descr="Figure 2 provides an example of costs associated with an activity subject to inspection fees.  The activity is intervention and the output is inspection. There are 3 processes - &#10;1. When the consignment arrives and the pre-inspection occurs in office &#10;and an in office fee of $39 for one quarter hour unit applies. &#10;2. The biosecurity officer undertakes a field inspection which is done out of office and is charged at the rate of $65 for each quarter hour this takes 30 minutes = 2 units of $65 for the inspection.&#10;3. To release the goods from biosecurity control post inspection activity occurs. This is out of office activity and is charged at a rate of $65 per quarter hour = 1 unit x $65.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27174" name="Picture 4" descr="Figure 2 provides an example of costs associated with an activity subject to inspection fees.  The activity is intervention and the output is inspection. There are 3 processes - &#10;1. When the consignment arrives and the pre-inspection occurs in office &#10;and an in office fee of $39 for one quarter hour unit applies. &#10;2. The biosecurity officer undertakes a field inspection which is done out of office and is charged at the rate of $65 for each quarter hour this takes 30 minutes = 2 units of $65 for the inspection.&#10;3. To release the goods from biosecurity control post inspection activity occurs. This is out of office activity and is charged at a rate of $65 per quarter hour = 1 unit x $65.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78475" cy="2158365"/>
                    </a:xfrm>
                    <a:prstGeom prst="rect">
                      <a:avLst/>
                    </a:prstGeom>
                    <a:noFill/>
                  </pic:spPr>
                </pic:pic>
              </a:graphicData>
            </a:graphic>
          </wp:inline>
        </w:drawing>
      </w:r>
    </w:p>
    <w:p w14:paraId="4C8A306E" w14:textId="038B8E47" w:rsidR="00D46711" w:rsidRPr="0029167F" w:rsidRDefault="00AC1EE3" w:rsidP="00735097">
      <w:pPr>
        <w:rPr>
          <w:rFonts w:cstheme="minorHAnsi"/>
        </w:rPr>
      </w:pPr>
      <w:r w:rsidRPr="00AC1EE3">
        <w:rPr>
          <w:rFonts w:cstheme="minorHAnsi"/>
        </w:rPr>
        <w:fldChar w:fldCharType="begin"/>
      </w:r>
      <w:r w:rsidRPr="00AC1EE3">
        <w:rPr>
          <w:rFonts w:cstheme="minorHAnsi"/>
          <w:lang w:eastAsia="ja-JP"/>
        </w:rPr>
        <w:instrText xml:space="preserve"> REF _Ref135823635 \h </w:instrText>
      </w:r>
      <w:r>
        <w:rPr>
          <w:rFonts w:cstheme="minorHAnsi"/>
        </w:rPr>
        <w:instrText xml:space="preserve"> \* MERGEFORMAT </w:instrText>
      </w:r>
      <w:r w:rsidRPr="00AC1EE3">
        <w:rPr>
          <w:rFonts w:cstheme="minorHAnsi"/>
        </w:rPr>
      </w:r>
      <w:r w:rsidRPr="00AC1EE3">
        <w:rPr>
          <w:rFonts w:cstheme="minorHAnsi"/>
        </w:rPr>
        <w:fldChar w:fldCharType="separate"/>
      </w:r>
      <w:r w:rsidR="006D5EF4" w:rsidRPr="006D5EF4">
        <w:rPr>
          <w:rFonts w:cstheme="minorHAnsi"/>
        </w:rPr>
        <w:t xml:space="preserve">Table </w:t>
      </w:r>
      <w:r w:rsidR="006D5EF4" w:rsidRPr="006D5EF4">
        <w:rPr>
          <w:rFonts w:cstheme="minorHAnsi"/>
          <w:noProof/>
        </w:rPr>
        <w:t>2</w:t>
      </w:r>
      <w:r w:rsidRPr="00AC1EE3">
        <w:rPr>
          <w:rFonts w:cstheme="minorHAnsi"/>
        </w:rPr>
        <w:fldChar w:fldCharType="end"/>
      </w:r>
      <w:r>
        <w:rPr>
          <w:rFonts w:cstheme="minorHAnsi"/>
        </w:rPr>
        <w:t xml:space="preserve"> </w:t>
      </w:r>
      <w:r w:rsidR="00E25190" w:rsidRPr="0029167F">
        <w:rPr>
          <w:rFonts w:cstheme="minorHAnsi"/>
          <w:lang w:eastAsia="ja-JP"/>
        </w:rPr>
        <w:t xml:space="preserve">provides a cost breakdown for each output contribution to recover direct and indirect costs for </w:t>
      </w:r>
      <w:r w:rsidR="001157DC" w:rsidRPr="00F700D1">
        <w:rPr>
          <w:rFonts w:cstheme="minorHAnsi"/>
          <w:lang w:eastAsia="ja-JP"/>
        </w:rPr>
        <w:t>2024</w:t>
      </w:r>
      <w:r w:rsidR="00F700D1" w:rsidRPr="00F700D1">
        <w:rPr>
          <w:rFonts w:cstheme="minorHAnsi"/>
          <w:lang w:eastAsia="ja-JP"/>
        </w:rPr>
        <w:t>–</w:t>
      </w:r>
      <w:r w:rsidR="001157DC" w:rsidRPr="00F700D1">
        <w:rPr>
          <w:rFonts w:cstheme="minorHAnsi"/>
          <w:lang w:eastAsia="ja-JP"/>
        </w:rPr>
        <w:t>25</w:t>
      </w:r>
      <w:r w:rsidR="00E25190" w:rsidRPr="00F700D1">
        <w:rPr>
          <w:rFonts w:cstheme="minorHAnsi"/>
          <w:lang w:eastAsia="ja-JP"/>
        </w:rPr>
        <w:t>.</w:t>
      </w:r>
      <w:bookmarkStart w:id="96" w:name="_Ref77249876"/>
    </w:p>
    <w:p w14:paraId="3A30CB56" w14:textId="75C4D6C3" w:rsidR="008D3871" w:rsidRDefault="008D3871" w:rsidP="00060C69">
      <w:pPr>
        <w:pStyle w:val="Caption"/>
        <w:spacing w:after="0"/>
      </w:pPr>
      <w:bookmarkStart w:id="97" w:name="_Ref135823635"/>
      <w:bookmarkStart w:id="98" w:name="_Toc167086229"/>
      <w:bookmarkStart w:id="99" w:name="_Toc168645276"/>
      <w:bookmarkEnd w:id="96"/>
      <w:r>
        <w:t xml:space="preserve">Table </w:t>
      </w:r>
      <w:r w:rsidR="00FD4278">
        <w:fldChar w:fldCharType="begin"/>
      </w:r>
      <w:r w:rsidR="00FD4278">
        <w:instrText xml:space="preserve"> SEQ Table \* ARABIC </w:instrText>
      </w:r>
      <w:r w:rsidR="00FD4278">
        <w:fldChar w:fldCharType="separate"/>
      </w:r>
      <w:r w:rsidR="006D5EF4">
        <w:rPr>
          <w:noProof/>
        </w:rPr>
        <w:t>2</w:t>
      </w:r>
      <w:r w:rsidR="00FD4278">
        <w:rPr>
          <w:noProof/>
        </w:rPr>
        <w:fldChar w:fldCharType="end"/>
      </w:r>
      <w:bookmarkEnd w:id="97"/>
      <w:r>
        <w:t xml:space="preserve"> </w:t>
      </w:r>
      <w:r w:rsidRPr="00C32120">
        <w:t xml:space="preserve">Biosecurity </w:t>
      </w:r>
      <w:r w:rsidR="00956000">
        <w:t xml:space="preserve">cost recovery </w:t>
      </w:r>
      <w:r w:rsidRPr="00C32120">
        <w:t xml:space="preserve">arrangement cost breakdown, </w:t>
      </w:r>
      <w:bookmarkStart w:id="100" w:name="Table_2"/>
      <w:r w:rsidR="001157DC" w:rsidRPr="00F700D1">
        <w:t>2024</w:t>
      </w:r>
      <w:r w:rsidR="00F700D1" w:rsidRPr="00F700D1">
        <w:t>–</w:t>
      </w:r>
      <w:r w:rsidR="001157DC" w:rsidRPr="00F700D1">
        <w:t>25</w:t>
      </w:r>
      <w:bookmarkEnd w:id="98"/>
      <w:bookmarkEnd w:id="99"/>
    </w:p>
    <w:tbl>
      <w:tblPr>
        <w:tblpPr w:leftFromText="180" w:rightFromText="180" w:vertAnchor="text" w:horzAnchor="margin" w:tblpY="151"/>
        <w:tblW w:w="5000" w:type="pct"/>
        <w:tblBorders>
          <w:top w:val="single" w:sz="4" w:space="0" w:color="auto"/>
        </w:tblBorders>
        <w:tblCellMar>
          <w:left w:w="40" w:type="dxa"/>
          <w:right w:w="40" w:type="dxa"/>
        </w:tblCellMar>
        <w:tblLook w:val="04A0" w:firstRow="1" w:lastRow="0" w:firstColumn="1" w:lastColumn="0" w:noHBand="0" w:noVBand="1"/>
      </w:tblPr>
      <w:tblGrid>
        <w:gridCol w:w="5731"/>
        <w:gridCol w:w="1006"/>
        <w:gridCol w:w="1152"/>
        <w:gridCol w:w="1295"/>
      </w:tblGrid>
      <w:tr w:rsidR="00D60848" w:rsidRPr="009F1EFF" w14:paraId="12F9AB59" w14:textId="77777777" w:rsidTr="004C1CBD">
        <w:trPr>
          <w:tblHeader/>
        </w:trPr>
        <w:tc>
          <w:tcPr>
            <w:tcW w:w="1485" w:type="pct"/>
            <w:tcBorders>
              <w:top w:val="single" w:sz="4" w:space="0" w:color="auto"/>
              <w:bottom w:val="single" w:sz="4" w:space="0" w:color="auto"/>
            </w:tcBorders>
            <w:noWrap/>
            <w:hideMark/>
          </w:tcPr>
          <w:p w14:paraId="31EB4868" w14:textId="77777777" w:rsidR="00D60848" w:rsidRPr="00B84A73" w:rsidRDefault="00D60848" w:rsidP="00D60848">
            <w:pPr>
              <w:pStyle w:val="TableHeading"/>
              <w:rPr>
                <w:lang w:eastAsia="ja-JP"/>
              </w:rPr>
            </w:pPr>
            <w:bookmarkStart w:id="101" w:name="Title_2"/>
            <w:bookmarkEnd w:id="101"/>
            <w:r w:rsidRPr="00B84A73">
              <w:rPr>
                <w:lang w:eastAsia="ja-JP"/>
              </w:rPr>
              <w:t>Cost recovery activities</w:t>
            </w:r>
          </w:p>
        </w:tc>
        <w:tc>
          <w:tcPr>
            <w:tcW w:w="1093" w:type="pct"/>
            <w:tcBorders>
              <w:top w:val="single" w:sz="4" w:space="0" w:color="auto"/>
              <w:bottom w:val="single" w:sz="4" w:space="0" w:color="auto"/>
            </w:tcBorders>
            <w:noWrap/>
            <w:hideMark/>
          </w:tcPr>
          <w:p w14:paraId="2A459E24" w14:textId="77777777" w:rsidR="00D60848" w:rsidRPr="00B84A73" w:rsidRDefault="00D60848" w:rsidP="00542B73">
            <w:pPr>
              <w:pStyle w:val="TableHeading"/>
              <w:jc w:val="right"/>
              <w:rPr>
                <w:lang w:eastAsia="ja-JP"/>
              </w:rPr>
            </w:pPr>
            <w:r w:rsidRPr="00B84A73">
              <w:rPr>
                <w:lang w:eastAsia="ja-JP"/>
              </w:rPr>
              <w:t>Direct ($)</w:t>
            </w:r>
          </w:p>
        </w:tc>
        <w:tc>
          <w:tcPr>
            <w:tcW w:w="1172" w:type="pct"/>
            <w:tcBorders>
              <w:top w:val="single" w:sz="4" w:space="0" w:color="auto"/>
              <w:bottom w:val="single" w:sz="4" w:space="0" w:color="auto"/>
            </w:tcBorders>
            <w:noWrap/>
            <w:hideMark/>
          </w:tcPr>
          <w:p w14:paraId="4BD0952F" w14:textId="77777777" w:rsidR="00D60848" w:rsidRPr="00B84A73" w:rsidRDefault="00D60848" w:rsidP="00D60848">
            <w:pPr>
              <w:pStyle w:val="TableHeading"/>
              <w:jc w:val="right"/>
              <w:rPr>
                <w:lang w:eastAsia="ja-JP"/>
              </w:rPr>
            </w:pPr>
            <w:r w:rsidRPr="00B84A73">
              <w:rPr>
                <w:lang w:eastAsia="ja-JP"/>
              </w:rPr>
              <w:t>Indirect ($)</w:t>
            </w:r>
          </w:p>
        </w:tc>
        <w:tc>
          <w:tcPr>
            <w:tcW w:w="1250" w:type="pct"/>
            <w:tcBorders>
              <w:top w:val="single" w:sz="4" w:space="0" w:color="auto"/>
              <w:bottom w:val="single" w:sz="4" w:space="0" w:color="auto"/>
            </w:tcBorders>
            <w:noWrap/>
            <w:hideMark/>
          </w:tcPr>
          <w:p w14:paraId="1BF7F834" w14:textId="77777777" w:rsidR="00D60848" w:rsidRPr="00B84A73" w:rsidRDefault="00D60848" w:rsidP="00D60848">
            <w:pPr>
              <w:pStyle w:val="TableHeading"/>
              <w:jc w:val="right"/>
              <w:rPr>
                <w:lang w:eastAsia="ja-JP"/>
              </w:rPr>
            </w:pPr>
            <w:r w:rsidRPr="00B84A73">
              <w:rPr>
                <w:lang w:eastAsia="ja-JP"/>
              </w:rPr>
              <w:t>Total ($)</w:t>
            </w:r>
          </w:p>
        </w:tc>
      </w:tr>
      <w:tr w:rsidR="00524638" w:rsidRPr="009F1EFF" w14:paraId="7A965FD4" w14:textId="77777777" w:rsidTr="004C1CBD">
        <w:tc>
          <w:tcPr>
            <w:tcW w:w="1485" w:type="pct"/>
            <w:tcBorders>
              <w:top w:val="single" w:sz="4" w:space="0" w:color="auto"/>
              <w:bottom w:val="single" w:sz="4" w:space="0" w:color="auto"/>
            </w:tcBorders>
            <w:noWrap/>
          </w:tcPr>
          <w:p w14:paraId="0F2F419D" w14:textId="77777777" w:rsidR="00524638" w:rsidRPr="00A968F0" w:rsidRDefault="00524638" w:rsidP="00524638">
            <w:pPr>
              <w:pStyle w:val="TableText"/>
              <w:rPr>
                <w:rStyle w:val="Strong"/>
              </w:rPr>
            </w:pPr>
            <w:r w:rsidRPr="00A968F0">
              <w:rPr>
                <w:rStyle w:val="Strong"/>
              </w:rPr>
              <w:t>Charges</w:t>
            </w:r>
          </w:p>
        </w:tc>
        <w:tc>
          <w:tcPr>
            <w:tcW w:w="1093" w:type="pct"/>
            <w:tcBorders>
              <w:top w:val="single" w:sz="4" w:space="0" w:color="auto"/>
              <w:bottom w:val="single" w:sz="4" w:space="0" w:color="auto"/>
            </w:tcBorders>
            <w:noWrap/>
          </w:tcPr>
          <w:p w14:paraId="22F4D411" w14:textId="695CE0EC" w:rsidR="00524638" w:rsidRPr="004375CA" w:rsidRDefault="00524638" w:rsidP="00524638">
            <w:pPr>
              <w:pStyle w:val="TableText"/>
              <w:jc w:val="right"/>
              <w:rPr>
                <w:b/>
                <w:strike/>
                <w:highlight w:val="yellow"/>
                <w:lang w:eastAsia="ja-JP"/>
              </w:rPr>
            </w:pPr>
            <w:r w:rsidRPr="00D52664">
              <w:t>176,431,398</w:t>
            </w:r>
          </w:p>
        </w:tc>
        <w:tc>
          <w:tcPr>
            <w:tcW w:w="1172" w:type="pct"/>
            <w:tcBorders>
              <w:top w:val="single" w:sz="4" w:space="0" w:color="auto"/>
              <w:bottom w:val="single" w:sz="4" w:space="0" w:color="auto"/>
            </w:tcBorders>
            <w:noWrap/>
          </w:tcPr>
          <w:p w14:paraId="25785436" w14:textId="13278585" w:rsidR="00524638" w:rsidRPr="004375CA" w:rsidRDefault="00524638" w:rsidP="00524638">
            <w:pPr>
              <w:pStyle w:val="TableText"/>
              <w:jc w:val="right"/>
              <w:rPr>
                <w:b/>
                <w:strike/>
                <w:highlight w:val="yellow"/>
                <w:lang w:eastAsia="ja-JP"/>
              </w:rPr>
            </w:pPr>
            <w:r w:rsidRPr="00D52664">
              <w:t>109,023,615</w:t>
            </w:r>
          </w:p>
        </w:tc>
        <w:tc>
          <w:tcPr>
            <w:tcW w:w="1250" w:type="pct"/>
            <w:tcBorders>
              <w:top w:val="single" w:sz="4" w:space="0" w:color="auto"/>
              <w:bottom w:val="single" w:sz="4" w:space="0" w:color="auto"/>
            </w:tcBorders>
            <w:noWrap/>
          </w:tcPr>
          <w:p w14:paraId="144372C3" w14:textId="41F5D278" w:rsidR="00524638" w:rsidRPr="00524638" w:rsidRDefault="00524638" w:rsidP="00524638">
            <w:pPr>
              <w:pStyle w:val="TableText"/>
              <w:jc w:val="right"/>
              <w:rPr>
                <w:rStyle w:val="Strong"/>
                <w:highlight w:val="yellow"/>
              </w:rPr>
            </w:pPr>
            <w:r w:rsidRPr="00524638">
              <w:rPr>
                <w:rStyle w:val="Strong"/>
              </w:rPr>
              <w:t>285,455,013</w:t>
            </w:r>
          </w:p>
        </w:tc>
      </w:tr>
      <w:tr w:rsidR="00524638" w:rsidRPr="009F1EFF" w14:paraId="5A494534" w14:textId="77777777" w:rsidTr="004C1CBD">
        <w:tc>
          <w:tcPr>
            <w:tcW w:w="1485" w:type="pct"/>
            <w:tcBorders>
              <w:top w:val="single" w:sz="4" w:space="0" w:color="auto"/>
              <w:bottom w:val="single" w:sz="4" w:space="0" w:color="auto"/>
            </w:tcBorders>
            <w:noWrap/>
          </w:tcPr>
          <w:p w14:paraId="75E742AC" w14:textId="77777777" w:rsidR="00524638" w:rsidRPr="00735097" w:rsidRDefault="00524638" w:rsidP="00524638">
            <w:pPr>
              <w:pStyle w:val="TableText"/>
              <w:rPr>
                <w:b/>
                <w:bCs/>
                <w:lang w:eastAsia="ja-JP"/>
              </w:rPr>
            </w:pPr>
            <w:r w:rsidRPr="00735097">
              <w:rPr>
                <w:bCs/>
                <w:lang w:eastAsia="ja-JP"/>
              </w:rPr>
              <w:t>Full import declaration charges</w:t>
            </w:r>
          </w:p>
        </w:tc>
        <w:tc>
          <w:tcPr>
            <w:tcW w:w="1093" w:type="pct"/>
            <w:tcBorders>
              <w:top w:val="single" w:sz="4" w:space="0" w:color="auto"/>
              <w:bottom w:val="single" w:sz="4" w:space="0" w:color="auto"/>
            </w:tcBorders>
            <w:noWrap/>
          </w:tcPr>
          <w:p w14:paraId="43F5A7A9" w14:textId="7A995269" w:rsidR="00524638" w:rsidRPr="004375CA" w:rsidRDefault="00524638" w:rsidP="00524638">
            <w:pPr>
              <w:pStyle w:val="TableText"/>
              <w:jc w:val="right"/>
              <w:rPr>
                <w:b/>
                <w:bCs/>
                <w:strike/>
                <w:highlight w:val="yellow"/>
                <w:lang w:eastAsia="ja-JP"/>
              </w:rPr>
            </w:pPr>
            <w:r w:rsidRPr="00D52664">
              <w:t>148,559,632</w:t>
            </w:r>
          </w:p>
        </w:tc>
        <w:tc>
          <w:tcPr>
            <w:tcW w:w="1172" w:type="pct"/>
            <w:tcBorders>
              <w:top w:val="single" w:sz="4" w:space="0" w:color="auto"/>
              <w:bottom w:val="single" w:sz="4" w:space="0" w:color="auto"/>
            </w:tcBorders>
            <w:noWrap/>
          </w:tcPr>
          <w:p w14:paraId="422DDCE1" w14:textId="58FF25DB" w:rsidR="00524638" w:rsidRPr="004375CA" w:rsidRDefault="00524638" w:rsidP="00524638">
            <w:pPr>
              <w:pStyle w:val="TableText"/>
              <w:jc w:val="right"/>
              <w:rPr>
                <w:b/>
                <w:bCs/>
                <w:strike/>
                <w:highlight w:val="yellow"/>
                <w:lang w:eastAsia="ja-JP"/>
              </w:rPr>
            </w:pPr>
            <w:r w:rsidRPr="00D52664">
              <w:t>86,314,945</w:t>
            </w:r>
          </w:p>
        </w:tc>
        <w:tc>
          <w:tcPr>
            <w:tcW w:w="1250" w:type="pct"/>
            <w:tcBorders>
              <w:top w:val="single" w:sz="4" w:space="0" w:color="auto"/>
              <w:bottom w:val="single" w:sz="4" w:space="0" w:color="auto"/>
            </w:tcBorders>
            <w:shd w:val="clear" w:color="auto" w:fill="auto"/>
            <w:noWrap/>
          </w:tcPr>
          <w:p w14:paraId="747F7F73" w14:textId="1D4F947E" w:rsidR="00524638" w:rsidRPr="004375CA" w:rsidRDefault="00524638" w:rsidP="00524638">
            <w:pPr>
              <w:pStyle w:val="TableText"/>
              <w:jc w:val="right"/>
              <w:rPr>
                <w:b/>
                <w:bCs/>
                <w:strike/>
                <w:highlight w:val="yellow"/>
                <w:lang w:eastAsia="ja-JP"/>
              </w:rPr>
            </w:pPr>
            <w:r w:rsidRPr="00D52664">
              <w:t>234,874,576</w:t>
            </w:r>
          </w:p>
        </w:tc>
      </w:tr>
      <w:tr w:rsidR="00524638" w:rsidRPr="009F1EFF" w14:paraId="5BDD06E0" w14:textId="77777777" w:rsidTr="004C1CBD">
        <w:tc>
          <w:tcPr>
            <w:tcW w:w="1485" w:type="pct"/>
            <w:tcBorders>
              <w:top w:val="single" w:sz="4" w:space="0" w:color="auto"/>
              <w:bottom w:val="single" w:sz="4" w:space="0" w:color="auto"/>
            </w:tcBorders>
            <w:noWrap/>
          </w:tcPr>
          <w:p w14:paraId="47F0C16B" w14:textId="77777777" w:rsidR="00524638" w:rsidRPr="00735097" w:rsidRDefault="00524638" w:rsidP="00524638">
            <w:pPr>
              <w:pStyle w:val="TableText"/>
              <w:rPr>
                <w:b/>
                <w:bCs/>
                <w:lang w:eastAsia="ja-JP"/>
              </w:rPr>
            </w:pPr>
            <w:r w:rsidRPr="00735097">
              <w:rPr>
                <w:bCs/>
                <w:lang w:eastAsia="ja-JP"/>
              </w:rPr>
              <w:t>Approved arrangements</w:t>
            </w:r>
          </w:p>
        </w:tc>
        <w:tc>
          <w:tcPr>
            <w:tcW w:w="1093" w:type="pct"/>
            <w:tcBorders>
              <w:top w:val="single" w:sz="4" w:space="0" w:color="auto"/>
              <w:bottom w:val="single" w:sz="4" w:space="0" w:color="auto"/>
            </w:tcBorders>
            <w:noWrap/>
          </w:tcPr>
          <w:p w14:paraId="7A39046D" w14:textId="5A43A62E" w:rsidR="00524638" w:rsidRPr="004375CA" w:rsidRDefault="00524638" w:rsidP="00524638">
            <w:pPr>
              <w:pStyle w:val="TableText"/>
              <w:jc w:val="right"/>
              <w:rPr>
                <w:b/>
                <w:bCs/>
                <w:strike/>
                <w:highlight w:val="yellow"/>
                <w:lang w:eastAsia="ja-JP"/>
              </w:rPr>
            </w:pPr>
            <w:r w:rsidRPr="00D52664">
              <w:t>4,764,819</w:t>
            </w:r>
          </w:p>
        </w:tc>
        <w:tc>
          <w:tcPr>
            <w:tcW w:w="1172" w:type="pct"/>
            <w:tcBorders>
              <w:top w:val="single" w:sz="4" w:space="0" w:color="auto"/>
              <w:bottom w:val="single" w:sz="4" w:space="0" w:color="auto"/>
            </w:tcBorders>
            <w:noWrap/>
          </w:tcPr>
          <w:p w14:paraId="786BD2A3" w14:textId="0E24013F" w:rsidR="00524638" w:rsidRPr="004375CA" w:rsidRDefault="00524638" w:rsidP="00524638">
            <w:pPr>
              <w:pStyle w:val="TableText"/>
              <w:jc w:val="right"/>
              <w:rPr>
                <w:b/>
                <w:bCs/>
                <w:strike/>
                <w:highlight w:val="yellow"/>
                <w:lang w:eastAsia="ja-JP"/>
              </w:rPr>
            </w:pPr>
            <w:r w:rsidRPr="00D52664">
              <w:t>2,446,416</w:t>
            </w:r>
          </w:p>
        </w:tc>
        <w:tc>
          <w:tcPr>
            <w:tcW w:w="1250" w:type="pct"/>
            <w:tcBorders>
              <w:top w:val="single" w:sz="4" w:space="0" w:color="auto"/>
              <w:bottom w:val="single" w:sz="4" w:space="0" w:color="auto"/>
            </w:tcBorders>
            <w:shd w:val="clear" w:color="auto" w:fill="auto"/>
            <w:noWrap/>
          </w:tcPr>
          <w:p w14:paraId="5B7CBFF5" w14:textId="29E719CE" w:rsidR="00524638" w:rsidRPr="004375CA" w:rsidRDefault="00524638" w:rsidP="00524638">
            <w:pPr>
              <w:pStyle w:val="TableText"/>
              <w:jc w:val="right"/>
              <w:rPr>
                <w:b/>
                <w:bCs/>
                <w:strike/>
                <w:highlight w:val="yellow"/>
                <w:lang w:eastAsia="ja-JP"/>
              </w:rPr>
            </w:pPr>
            <w:r w:rsidRPr="00D52664">
              <w:t>7,211,235</w:t>
            </w:r>
          </w:p>
        </w:tc>
      </w:tr>
      <w:tr w:rsidR="00524638" w:rsidRPr="009F1EFF" w14:paraId="1642B636" w14:textId="77777777" w:rsidTr="004C1CBD">
        <w:tc>
          <w:tcPr>
            <w:tcW w:w="1485" w:type="pct"/>
            <w:tcBorders>
              <w:top w:val="single" w:sz="4" w:space="0" w:color="auto"/>
              <w:bottom w:val="single" w:sz="4" w:space="0" w:color="auto"/>
            </w:tcBorders>
            <w:noWrap/>
          </w:tcPr>
          <w:p w14:paraId="495D964B" w14:textId="77777777" w:rsidR="00524638" w:rsidRPr="00735097" w:rsidRDefault="00524638" w:rsidP="00524638">
            <w:pPr>
              <w:pStyle w:val="TableText"/>
              <w:rPr>
                <w:b/>
                <w:bCs/>
                <w:lang w:eastAsia="ja-JP"/>
              </w:rPr>
            </w:pPr>
            <w:r w:rsidRPr="00735097">
              <w:rPr>
                <w:bCs/>
                <w:lang w:eastAsia="ja-JP"/>
              </w:rPr>
              <w:t>Vessel arrival charges</w:t>
            </w:r>
          </w:p>
        </w:tc>
        <w:tc>
          <w:tcPr>
            <w:tcW w:w="1093" w:type="pct"/>
            <w:tcBorders>
              <w:top w:val="single" w:sz="4" w:space="0" w:color="auto"/>
              <w:bottom w:val="single" w:sz="4" w:space="0" w:color="auto"/>
            </w:tcBorders>
            <w:noWrap/>
          </w:tcPr>
          <w:p w14:paraId="265B89B3" w14:textId="1D32B1B8" w:rsidR="00524638" w:rsidRPr="004375CA" w:rsidRDefault="00524638" w:rsidP="00524638">
            <w:pPr>
              <w:pStyle w:val="TableText"/>
              <w:jc w:val="right"/>
              <w:rPr>
                <w:b/>
                <w:bCs/>
                <w:strike/>
                <w:highlight w:val="yellow"/>
                <w:lang w:eastAsia="ja-JP"/>
              </w:rPr>
            </w:pPr>
            <w:r w:rsidRPr="00D52664">
              <w:t>14,498,904</w:t>
            </w:r>
          </w:p>
        </w:tc>
        <w:tc>
          <w:tcPr>
            <w:tcW w:w="1172" w:type="pct"/>
            <w:tcBorders>
              <w:top w:val="single" w:sz="4" w:space="0" w:color="auto"/>
              <w:bottom w:val="single" w:sz="4" w:space="0" w:color="auto"/>
            </w:tcBorders>
            <w:noWrap/>
          </w:tcPr>
          <w:p w14:paraId="20BE5253" w14:textId="5D7B6CBC" w:rsidR="00524638" w:rsidRPr="004375CA" w:rsidRDefault="00524638" w:rsidP="00524638">
            <w:pPr>
              <w:pStyle w:val="TableText"/>
              <w:jc w:val="right"/>
              <w:rPr>
                <w:b/>
                <w:bCs/>
                <w:strike/>
                <w:highlight w:val="yellow"/>
                <w:lang w:eastAsia="ja-JP"/>
              </w:rPr>
            </w:pPr>
            <w:r w:rsidRPr="00D52664">
              <w:t>10,844,820</w:t>
            </w:r>
          </w:p>
        </w:tc>
        <w:tc>
          <w:tcPr>
            <w:tcW w:w="1250" w:type="pct"/>
            <w:tcBorders>
              <w:top w:val="single" w:sz="4" w:space="0" w:color="auto"/>
              <w:bottom w:val="single" w:sz="4" w:space="0" w:color="auto"/>
            </w:tcBorders>
            <w:shd w:val="clear" w:color="auto" w:fill="auto"/>
            <w:noWrap/>
          </w:tcPr>
          <w:p w14:paraId="4068F9C4" w14:textId="282ACE45" w:rsidR="00524638" w:rsidRPr="004375CA" w:rsidRDefault="00524638" w:rsidP="00524638">
            <w:pPr>
              <w:pStyle w:val="TableText"/>
              <w:jc w:val="right"/>
              <w:rPr>
                <w:b/>
                <w:bCs/>
                <w:strike/>
                <w:highlight w:val="yellow"/>
                <w:lang w:eastAsia="ja-JP"/>
              </w:rPr>
            </w:pPr>
            <w:r w:rsidRPr="00D52664">
              <w:t>25,343,725</w:t>
            </w:r>
          </w:p>
        </w:tc>
      </w:tr>
      <w:tr w:rsidR="00524638" w:rsidRPr="009F1EFF" w14:paraId="5AEBA5FD" w14:textId="77777777" w:rsidTr="004C1CBD">
        <w:tc>
          <w:tcPr>
            <w:tcW w:w="1485" w:type="pct"/>
            <w:tcBorders>
              <w:top w:val="single" w:sz="4" w:space="0" w:color="auto"/>
              <w:bottom w:val="single" w:sz="4" w:space="0" w:color="auto"/>
            </w:tcBorders>
            <w:noWrap/>
          </w:tcPr>
          <w:p w14:paraId="1854FF93" w14:textId="77777777" w:rsidR="00524638" w:rsidRPr="00735097" w:rsidRDefault="00524638" w:rsidP="00524638">
            <w:pPr>
              <w:pStyle w:val="TableText"/>
              <w:rPr>
                <w:b/>
                <w:bCs/>
                <w:lang w:eastAsia="ja-JP"/>
              </w:rPr>
            </w:pPr>
            <w:r w:rsidRPr="00735097">
              <w:rPr>
                <w:bCs/>
                <w:lang w:eastAsia="ja-JP"/>
              </w:rPr>
              <w:t>Permit Application</w:t>
            </w:r>
          </w:p>
        </w:tc>
        <w:tc>
          <w:tcPr>
            <w:tcW w:w="1093" w:type="pct"/>
            <w:tcBorders>
              <w:top w:val="single" w:sz="4" w:space="0" w:color="auto"/>
              <w:bottom w:val="single" w:sz="4" w:space="0" w:color="auto"/>
            </w:tcBorders>
            <w:noWrap/>
          </w:tcPr>
          <w:p w14:paraId="0FDD6899" w14:textId="34E47834" w:rsidR="00524638" w:rsidRPr="004375CA" w:rsidRDefault="00524638" w:rsidP="00524638">
            <w:pPr>
              <w:pStyle w:val="TableText"/>
              <w:jc w:val="right"/>
              <w:rPr>
                <w:b/>
                <w:bCs/>
                <w:strike/>
                <w:highlight w:val="yellow"/>
                <w:lang w:eastAsia="ja-JP"/>
              </w:rPr>
            </w:pPr>
            <w:r w:rsidRPr="00D52664">
              <w:t>996,167</w:t>
            </w:r>
          </w:p>
        </w:tc>
        <w:tc>
          <w:tcPr>
            <w:tcW w:w="1172" w:type="pct"/>
            <w:tcBorders>
              <w:top w:val="single" w:sz="4" w:space="0" w:color="auto"/>
              <w:bottom w:val="single" w:sz="4" w:space="0" w:color="auto"/>
            </w:tcBorders>
            <w:noWrap/>
          </w:tcPr>
          <w:p w14:paraId="3C025FEB" w14:textId="3A740C37" w:rsidR="00524638" w:rsidRPr="004375CA" w:rsidRDefault="00524638" w:rsidP="00524638">
            <w:pPr>
              <w:pStyle w:val="TableText"/>
              <w:jc w:val="right"/>
              <w:rPr>
                <w:b/>
                <w:bCs/>
                <w:strike/>
                <w:highlight w:val="yellow"/>
                <w:lang w:eastAsia="ja-JP"/>
              </w:rPr>
            </w:pPr>
            <w:r w:rsidRPr="00D52664">
              <w:t>704,493</w:t>
            </w:r>
          </w:p>
        </w:tc>
        <w:tc>
          <w:tcPr>
            <w:tcW w:w="1250" w:type="pct"/>
            <w:tcBorders>
              <w:top w:val="single" w:sz="4" w:space="0" w:color="auto"/>
              <w:bottom w:val="single" w:sz="4" w:space="0" w:color="auto"/>
            </w:tcBorders>
            <w:shd w:val="clear" w:color="auto" w:fill="auto"/>
            <w:noWrap/>
          </w:tcPr>
          <w:p w14:paraId="422685E6" w14:textId="179B2396" w:rsidR="00524638" w:rsidRPr="004375CA" w:rsidRDefault="00524638" w:rsidP="00524638">
            <w:pPr>
              <w:pStyle w:val="TableText"/>
              <w:jc w:val="right"/>
              <w:rPr>
                <w:b/>
                <w:bCs/>
                <w:strike/>
                <w:highlight w:val="yellow"/>
                <w:lang w:eastAsia="ja-JP"/>
              </w:rPr>
            </w:pPr>
            <w:r w:rsidRPr="00D52664">
              <w:t>1,700,659</w:t>
            </w:r>
          </w:p>
        </w:tc>
      </w:tr>
      <w:tr w:rsidR="00524638" w:rsidRPr="009F1EFF" w14:paraId="2D960405" w14:textId="77777777" w:rsidTr="004C1CBD">
        <w:tc>
          <w:tcPr>
            <w:tcW w:w="1485" w:type="pct"/>
            <w:tcBorders>
              <w:top w:val="single" w:sz="4" w:space="0" w:color="auto"/>
              <w:bottom w:val="single" w:sz="4" w:space="0" w:color="auto"/>
            </w:tcBorders>
            <w:noWrap/>
          </w:tcPr>
          <w:p w14:paraId="1D4BC828" w14:textId="77777777" w:rsidR="00524638" w:rsidRPr="00735097" w:rsidRDefault="00524638" w:rsidP="00524638">
            <w:pPr>
              <w:pStyle w:val="TableText"/>
              <w:rPr>
                <w:bCs/>
                <w:lang w:eastAsia="ja-JP"/>
              </w:rPr>
            </w:pPr>
            <w:r>
              <w:rPr>
                <w:bCs/>
                <w:lang w:eastAsia="ja-JP"/>
              </w:rPr>
              <w:t>I</w:t>
            </w:r>
            <w:r w:rsidRPr="00735097">
              <w:rPr>
                <w:bCs/>
                <w:lang w:eastAsia="ja-JP"/>
              </w:rPr>
              <w:t>mportation charges</w:t>
            </w:r>
            <w:r>
              <w:rPr>
                <w:bCs/>
                <w:lang w:eastAsia="ja-JP"/>
              </w:rPr>
              <w:t xml:space="preserve"> (PEQ)</w:t>
            </w:r>
          </w:p>
        </w:tc>
        <w:tc>
          <w:tcPr>
            <w:tcW w:w="1093" w:type="pct"/>
            <w:tcBorders>
              <w:top w:val="single" w:sz="4" w:space="0" w:color="auto"/>
              <w:bottom w:val="single" w:sz="4" w:space="0" w:color="auto"/>
            </w:tcBorders>
            <w:noWrap/>
          </w:tcPr>
          <w:p w14:paraId="7F4A79EC" w14:textId="60ED7180" w:rsidR="00524638" w:rsidRPr="004375CA" w:rsidRDefault="00524638" w:rsidP="00524638">
            <w:pPr>
              <w:pStyle w:val="TableText"/>
              <w:jc w:val="right"/>
              <w:rPr>
                <w:bCs/>
                <w:strike/>
                <w:highlight w:val="yellow"/>
                <w:lang w:eastAsia="ja-JP"/>
              </w:rPr>
            </w:pPr>
            <w:r w:rsidRPr="00D52664">
              <w:t>7,611,876</w:t>
            </w:r>
          </w:p>
        </w:tc>
        <w:tc>
          <w:tcPr>
            <w:tcW w:w="1172" w:type="pct"/>
            <w:tcBorders>
              <w:top w:val="single" w:sz="4" w:space="0" w:color="auto"/>
              <w:bottom w:val="single" w:sz="4" w:space="0" w:color="auto"/>
            </w:tcBorders>
            <w:noWrap/>
          </w:tcPr>
          <w:p w14:paraId="6734594E" w14:textId="71ACC3E3" w:rsidR="00524638" w:rsidRPr="004375CA" w:rsidRDefault="00524638" w:rsidP="00524638">
            <w:pPr>
              <w:pStyle w:val="TableText"/>
              <w:jc w:val="right"/>
              <w:rPr>
                <w:bCs/>
                <w:strike/>
                <w:highlight w:val="yellow"/>
                <w:lang w:eastAsia="ja-JP"/>
              </w:rPr>
            </w:pPr>
            <w:r w:rsidRPr="00D52664">
              <w:t>8,712,941</w:t>
            </w:r>
          </w:p>
        </w:tc>
        <w:tc>
          <w:tcPr>
            <w:tcW w:w="1250" w:type="pct"/>
            <w:tcBorders>
              <w:top w:val="single" w:sz="4" w:space="0" w:color="auto"/>
              <w:bottom w:val="single" w:sz="4" w:space="0" w:color="auto"/>
            </w:tcBorders>
            <w:shd w:val="clear" w:color="auto" w:fill="auto"/>
            <w:noWrap/>
          </w:tcPr>
          <w:p w14:paraId="5E52E7DD" w14:textId="404F36C8" w:rsidR="00524638" w:rsidRPr="004375CA" w:rsidRDefault="00524638" w:rsidP="00524638">
            <w:pPr>
              <w:pStyle w:val="TableText"/>
              <w:jc w:val="right"/>
              <w:rPr>
                <w:bCs/>
                <w:strike/>
                <w:highlight w:val="yellow"/>
                <w:lang w:eastAsia="ja-JP"/>
              </w:rPr>
            </w:pPr>
            <w:r w:rsidRPr="00D52664">
              <w:t>16,324,817</w:t>
            </w:r>
          </w:p>
        </w:tc>
      </w:tr>
      <w:tr w:rsidR="00524638" w:rsidRPr="009F1EFF" w14:paraId="4B0A556D" w14:textId="77777777" w:rsidTr="004C1CBD">
        <w:tc>
          <w:tcPr>
            <w:tcW w:w="1485" w:type="pct"/>
            <w:tcBorders>
              <w:top w:val="single" w:sz="4" w:space="0" w:color="auto"/>
              <w:bottom w:val="single" w:sz="4" w:space="0" w:color="auto"/>
            </w:tcBorders>
            <w:noWrap/>
            <w:hideMark/>
          </w:tcPr>
          <w:p w14:paraId="6F24FB85" w14:textId="77777777" w:rsidR="00524638" w:rsidRPr="00A968F0" w:rsidRDefault="00524638" w:rsidP="00524638">
            <w:pPr>
              <w:pStyle w:val="TableText"/>
              <w:rPr>
                <w:rStyle w:val="Strong"/>
              </w:rPr>
            </w:pPr>
            <w:r w:rsidRPr="00A968F0">
              <w:rPr>
                <w:rStyle w:val="Strong"/>
              </w:rPr>
              <w:t>Fees</w:t>
            </w:r>
          </w:p>
        </w:tc>
        <w:tc>
          <w:tcPr>
            <w:tcW w:w="1093" w:type="pct"/>
            <w:tcBorders>
              <w:top w:val="single" w:sz="4" w:space="0" w:color="auto"/>
              <w:bottom w:val="single" w:sz="4" w:space="0" w:color="auto"/>
            </w:tcBorders>
            <w:noWrap/>
          </w:tcPr>
          <w:p w14:paraId="78D216FF" w14:textId="16B5F7A6" w:rsidR="00524638" w:rsidRPr="004375CA" w:rsidRDefault="00524638" w:rsidP="00524638">
            <w:pPr>
              <w:pStyle w:val="TableText"/>
              <w:jc w:val="right"/>
              <w:rPr>
                <w:b/>
                <w:strike/>
                <w:highlight w:val="yellow"/>
                <w:lang w:eastAsia="ja-JP"/>
              </w:rPr>
            </w:pPr>
            <w:r w:rsidRPr="00D52664">
              <w:t>79,571,578</w:t>
            </w:r>
          </w:p>
        </w:tc>
        <w:tc>
          <w:tcPr>
            <w:tcW w:w="1172" w:type="pct"/>
            <w:tcBorders>
              <w:top w:val="single" w:sz="4" w:space="0" w:color="auto"/>
              <w:bottom w:val="single" w:sz="4" w:space="0" w:color="auto"/>
            </w:tcBorders>
            <w:noWrap/>
          </w:tcPr>
          <w:p w14:paraId="2EC9343E" w14:textId="03A32063" w:rsidR="00524638" w:rsidRPr="004375CA" w:rsidRDefault="00524638" w:rsidP="00524638">
            <w:pPr>
              <w:pStyle w:val="TableText"/>
              <w:jc w:val="right"/>
              <w:rPr>
                <w:b/>
                <w:strike/>
                <w:highlight w:val="yellow"/>
                <w:lang w:eastAsia="ja-JP"/>
              </w:rPr>
            </w:pPr>
            <w:r w:rsidRPr="00D52664">
              <w:t>1,861,014</w:t>
            </w:r>
          </w:p>
        </w:tc>
        <w:tc>
          <w:tcPr>
            <w:tcW w:w="1250" w:type="pct"/>
            <w:tcBorders>
              <w:top w:val="single" w:sz="4" w:space="0" w:color="auto"/>
              <w:bottom w:val="single" w:sz="4" w:space="0" w:color="auto"/>
            </w:tcBorders>
            <w:shd w:val="clear" w:color="auto" w:fill="auto"/>
            <w:noWrap/>
          </w:tcPr>
          <w:p w14:paraId="77E5EEE2" w14:textId="36C66797" w:rsidR="00524638" w:rsidRPr="00524638" w:rsidRDefault="00524638" w:rsidP="00524638">
            <w:pPr>
              <w:pStyle w:val="TableText"/>
              <w:jc w:val="right"/>
              <w:rPr>
                <w:rStyle w:val="Strong"/>
                <w:highlight w:val="yellow"/>
              </w:rPr>
            </w:pPr>
            <w:r w:rsidRPr="00524638">
              <w:rPr>
                <w:rStyle w:val="Strong"/>
              </w:rPr>
              <w:t>80,548,372</w:t>
            </w:r>
          </w:p>
        </w:tc>
      </w:tr>
      <w:tr w:rsidR="00524638" w:rsidRPr="009F1EFF" w14:paraId="5218E38D" w14:textId="77777777" w:rsidTr="004C1CBD">
        <w:tc>
          <w:tcPr>
            <w:tcW w:w="1485" w:type="pct"/>
            <w:tcBorders>
              <w:top w:val="single" w:sz="4" w:space="0" w:color="auto"/>
              <w:bottom w:val="single" w:sz="4" w:space="0" w:color="auto"/>
            </w:tcBorders>
            <w:noWrap/>
            <w:hideMark/>
          </w:tcPr>
          <w:p w14:paraId="667C2437" w14:textId="77777777" w:rsidR="00524638" w:rsidRPr="00735097" w:rsidRDefault="00524638" w:rsidP="00524638">
            <w:pPr>
              <w:pStyle w:val="TableText"/>
              <w:rPr>
                <w:bCs/>
                <w:lang w:eastAsia="ja-JP"/>
              </w:rPr>
            </w:pPr>
            <w:r w:rsidRPr="00735097">
              <w:rPr>
                <w:bCs/>
                <w:lang w:eastAsia="ja-JP"/>
              </w:rPr>
              <w:t>Assessment</w:t>
            </w:r>
          </w:p>
        </w:tc>
        <w:tc>
          <w:tcPr>
            <w:tcW w:w="1093" w:type="pct"/>
            <w:tcBorders>
              <w:top w:val="single" w:sz="4" w:space="0" w:color="auto"/>
              <w:bottom w:val="single" w:sz="4" w:space="0" w:color="auto"/>
            </w:tcBorders>
            <w:noWrap/>
          </w:tcPr>
          <w:p w14:paraId="43864838" w14:textId="0FBC520E" w:rsidR="00524638" w:rsidRPr="004375CA" w:rsidRDefault="00524638" w:rsidP="00524638">
            <w:pPr>
              <w:pStyle w:val="TableText"/>
              <w:jc w:val="right"/>
              <w:rPr>
                <w:bCs/>
                <w:strike/>
                <w:highlight w:val="yellow"/>
                <w:lang w:eastAsia="ja-JP"/>
              </w:rPr>
            </w:pPr>
            <w:r w:rsidRPr="00D52664">
              <w:t>26,774,217</w:t>
            </w:r>
          </w:p>
        </w:tc>
        <w:tc>
          <w:tcPr>
            <w:tcW w:w="1172" w:type="pct"/>
            <w:tcBorders>
              <w:top w:val="single" w:sz="4" w:space="0" w:color="auto"/>
              <w:bottom w:val="single" w:sz="4" w:space="0" w:color="auto"/>
            </w:tcBorders>
            <w:noWrap/>
          </w:tcPr>
          <w:p w14:paraId="118D57F3" w14:textId="349B13B1" w:rsidR="00524638" w:rsidRPr="004375CA" w:rsidRDefault="00524638" w:rsidP="00524638">
            <w:pPr>
              <w:pStyle w:val="TableText"/>
              <w:jc w:val="right"/>
              <w:rPr>
                <w:bCs/>
                <w:strike/>
                <w:highlight w:val="yellow"/>
                <w:lang w:eastAsia="ja-JP"/>
              </w:rPr>
            </w:pPr>
            <w:r w:rsidRPr="00D52664">
              <w:t>526,807</w:t>
            </w:r>
          </w:p>
        </w:tc>
        <w:tc>
          <w:tcPr>
            <w:tcW w:w="1250" w:type="pct"/>
            <w:tcBorders>
              <w:top w:val="single" w:sz="4" w:space="0" w:color="auto"/>
              <w:bottom w:val="single" w:sz="4" w:space="0" w:color="auto"/>
            </w:tcBorders>
            <w:shd w:val="clear" w:color="auto" w:fill="auto"/>
            <w:noWrap/>
          </w:tcPr>
          <w:p w14:paraId="7673C351" w14:textId="454425F6" w:rsidR="00524638" w:rsidRPr="004375CA" w:rsidRDefault="00524638" w:rsidP="00524638">
            <w:pPr>
              <w:pStyle w:val="TableText"/>
              <w:jc w:val="right"/>
              <w:rPr>
                <w:bCs/>
                <w:strike/>
                <w:highlight w:val="yellow"/>
                <w:lang w:eastAsia="ja-JP"/>
              </w:rPr>
            </w:pPr>
            <w:r w:rsidRPr="00D52664">
              <w:t>27,301,024</w:t>
            </w:r>
          </w:p>
        </w:tc>
      </w:tr>
      <w:tr w:rsidR="00524638" w:rsidRPr="009F1EFF" w14:paraId="5C90903D" w14:textId="77777777" w:rsidTr="004C1CBD">
        <w:tc>
          <w:tcPr>
            <w:tcW w:w="1485" w:type="pct"/>
            <w:tcBorders>
              <w:top w:val="single" w:sz="4" w:space="0" w:color="auto"/>
              <w:bottom w:val="single" w:sz="4" w:space="0" w:color="auto"/>
            </w:tcBorders>
            <w:noWrap/>
            <w:hideMark/>
          </w:tcPr>
          <w:p w14:paraId="1FDE6C12" w14:textId="77777777" w:rsidR="00524638" w:rsidRPr="00735097" w:rsidRDefault="00524638" w:rsidP="00524638">
            <w:pPr>
              <w:pStyle w:val="TableText"/>
              <w:rPr>
                <w:bCs/>
                <w:lang w:eastAsia="ja-JP"/>
              </w:rPr>
            </w:pPr>
            <w:r w:rsidRPr="00735097">
              <w:rPr>
                <w:bCs/>
                <w:lang w:eastAsia="ja-JP"/>
              </w:rPr>
              <w:t>Issue Approval Certification</w:t>
            </w:r>
          </w:p>
        </w:tc>
        <w:tc>
          <w:tcPr>
            <w:tcW w:w="1093" w:type="pct"/>
            <w:tcBorders>
              <w:top w:val="single" w:sz="4" w:space="0" w:color="auto"/>
              <w:bottom w:val="single" w:sz="4" w:space="0" w:color="auto"/>
            </w:tcBorders>
            <w:noWrap/>
          </w:tcPr>
          <w:p w14:paraId="32E4ABD5" w14:textId="2A820688" w:rsidR="00524638" w:rsidRPr="004375CA" w:rsidRDefault="00524638" w:rsidP="00524638">
            <w:pPr>
              <w:pStyle w:val="TableText"/>
              <w:jc w:val="right"/>
              <w:rPr>
                <w:bCs/>
                <w:strike/>
                <w:highlight w:val="yellow"/>
                <w:lang w:eastAsia="ja-JP"/>
              </w:rPr>
            </w:pPr>
            <w:r w:rsidRPr="00D52664">
              <w:t>2,834,154</w:t>
            </w:r>
          </w:p>
        </w:tc>
        <w:tc>
          <w:tcPr>
            <w:tcW w:w="1172" w:type="pct"/>
            <w:tcBorders>
              <w:top w:val="single" w:sz="4" w:space="0" w:color="auto"/>
              <w:bottom w:val="single" w:sz="4" w:space="0" w:color="auto"/>
            </w:tcBorders>
            <w:noWrap/>
          </w:tcPr>
          <w:p w14:paraId="09A0D430" w14:textId="399E1388" w:rsidR="00524638" w:rsidRPr="004375CA" w:rsidRDefault="00524638" w:rsidP="00524638">
            <w:pPr>
              <w:pStyle w:val="TableText"/>
              <w:jc w:val="right"/>
              <w:rPr>
                <w:bCs/>
                <w:strike/>
                <w:highlight w:val="yellow"/>
                <w:lang w:eastAsia="ja-JP"/>
              </w:rPr>
            </w:pPr>
            <w:r w:rsidRPr="00D52664">
              <w:t>63,937</w:t>
            </w:r>
          </w:p>
        </w:tc>
        <w:tc>
          <w:tcPr>
            <w:tcW w:w="1250" w:type="pct"/>
            <w:tcBorders>
              <w:top w:val="single" w:sz="4" w:space="0" w:color="auto"/>
              <w:bottom w:val="single" w:sz="4" w:space="0" w:color="auto"/>
            </w:tcBorders>
            <w:shd w:val="clear" w:color="auto" w:fill="auto"/>
            <w:noWrap/>
          </w:tcPr>
          <w:p w14:paraId="79F8E5B0" w14:textId="003FFCE5" w:rsidR="00524638" w:rsidRPr="004375CA" w:rsidRDefault="00524638" w:rsidP="00524638">
            <w:pPr>
              <w:pStyle w:val="TableText"/>
              <w:jc w:val="right"/>
              <w:rPr>
                <w:bCs/>
                <w:strike/>
                <w:highlight w:val="yellow"/>
                <w:lang w:eastAsia="ja-JP"/>
              </w:rPr>
            </w:pPr>
            <w:r w:rsidRPr="00D52664">
              <w:t>2,898,091</w:t>
            </w:r>
          </w:p>
        </w:tc>
      </w:tr>
      <w:tr w:rsidR="00524638" w:rsidRPr="009F1EFF" w14:paraId="261677D4" w14:textId="77777777" w:rsidTr="004C1CBD">
        <w:tc>
          <w:tcPr>
            <w:tcW w:w="1485" w:type="pct"/>
            <w:tcBorders>
              <w:top w:val="single" w:sz="4" w:space="0" w:color="auto"/>
              <w:bottom w:val="single" w:sz="4" w:space="0" w:color="auto"/>
            </w:tcBorders>
            <w:noWrap/>
            <w:hideMark/>
          </w:tcPr>
          <w:p w14:paraId="30FA6561" w14:textId="77777777" w:rsidR="00524638" w:rsidRPr="00735097" w:rsidRDefault="00524638" w:rsidP="00524638">
            <w:pPr>
              <w:pStyle w:val="TableText"/>
              <w:rPr>
                <w:bCs/>
                <w:lang w:eastAsia="ja-JP"/>
              </w:rPr>
            </w:pPr>
            <w:r w:rsidRPr="00735097">
              <w:rPr>
                <w:bCs/>
                <w:lang w:eastAsia="ja-JP"/>
              </w:rPr>
              <w:t>Inspection</w:t>
            </w:r>
          </w:p>
        </w:tc>
        <w:tc>
          <w:tcPr>
            <w:tcW w:w="1093" w:type="pct"/>
            <w:tcBorders>
              <w:top w:val="single" w:sz="4" w:space="0" w:color="auto"/>
              <w:bottom w:val="single" w:sz="4" w:space="0" w:color="auto"/>
            </w:tcBorders>
            <w:noWrap/>
          </w:tcPr>
          <w:p w14:paraId="110FFF53" w14:textId="6835DA83" w:rsidR="00524638" w:rsidRPr="004375CA" w:rsidRDefault="00524638" w:rsidP="00524638">
            <w:pPr>
              <w:pStyle w:val="TableText"/>
              <w:jc w:val="right"/>
              <w:rPr>
                <w:bCs/>
                <w:strike/>
                <w:highlight w:val="yellow"/>
                <w:lang w:eastAsia="ja-JP"/>
              </w:rPr>
            </w:pPr>
            <w:r w:rsidRPr="00D52664">
              <w:t>37,893,312</w:t>
            </w:r>
          </w:p>
        </w:tc>
        <w:tc>
          <w:tcPr>
            <w:tcW w:w="1172" w:type="pct"/>
            <w:tcBorders>
              <w:top w:val="single" w:sz="4" w:space="0" w:color="auto"/>
              <w:bottom w:val="single" w:sz="4" w:space="0" w:color="auto"/>
            </w:tcBorders>
            <w:noWrap/>
          </w:tcPr>
          <w:p w14:paraId="2DC2D8C3" w14:textId="042DC21A" w:rsidR="00524638" w:rsidRPr="004375CA" w:rsidRDefault="00524638" w:rsidP="00524638">
            <w:pPr>
              <w:pStyle w:val="TableText"/>
              <w:jc w:val="right"/>
              <w:rPr>
                <w:bCs/>
                <w:strike/>
                <w:highlight w:val="yellow"/>
                <w:lang w:eastAsia="ja-JP"/>
              </w:rPr>
            </w:pPr>
            <w:r w:rsidRPr="00D52664">
              <w:t>1,121,403</w:t>
            </w:r>
          </w:p>
        </w:tc>
        <w:tc>
          <w:tcPr>
            <w:tcW w:w="1250" w:type="pct"/>
            <w:tcBorders>
              <w:top w:val="single" w:sz="4" w:space="0" w:color="auto"/>
              <w:bottom w:val="single" w:sz="4" w:space="0" w:color="auto"/>
            </w:tcBorders>
            <w:shd w:val="clear" w:color="auto" w:fill="auto"/>
            <w:noWrap/>
          </w:tcPr>
          <w:p w14:paraId="270280DD" w14:textId="3436C1AF" w:rsidR="00524638" w:rsidRPr="004375CA" w:rsidRDefault="00524638" w:rsidP="00524638">
            <w:pPr>
              <w:pStyle w:val="TableText"/>
              <w:jc w:val="right"/>
              <w:rPr>
                <w:bCs/>
                <w:strike/>
                <w:highlight w:val="yellow"/>
                <w:lang w:eastAsia="ja-JP"/>
              </w:rPr>
            </w:pPr>
            <w:r w:rsidRPr="00D52664">
              <w:t>39,014,715</w:t>
            </w:r>
          </w:p>
        </w:tc>
      </w:tr>
      <w:tr w:rsidR="00524638" w:rsidRPr="009F1EFF" w14:paraId="44879F01" w14:textId="77777777" w:rsidTr="004C1CBD">
        <w:tc>
          <w:tcPr>
            <w:tcW w:w="1485" w:type="pct"/>
            <w:tcBorders>
              <w:top w:val="single" w:sz="4" w:space="0" w:color="auto"/>
              <w:bottom w:val="single" w:sz="4" w:space="0" w:color="auto"/>
            </w:tcBorders>
            <w:noWrap/>
            <w:hideMark/>
          </w:tcPr>
          <w:p w14:paraId="46FFB5D0" w14:textId="77777777" w:rsidR="00524638" w:rsidRPr="00735097" w:rsidRDefault="00524638" w:rsidP="00524638">
            <w:pPr>
              <w:pStyle w:val="TableText"/>
              <w:rPr>
                <w:bCs/>
                <w:lang w:eastAsia="ja-JP"/>
              </w:rPr>
            </w:pPr>
            <w:r w:rsidRPr="00735097">
              <w:rPr>
                <w:bCs/>
                <w:lang w:eastAsia="ja-JP"/>
              </w:rPr>
              <w:t>Treatment</w:t>
            </w:r>
          </w:p>
        </w:tc>
        <w:tc>
          <w:tcPr>
            <w:tcW w:w="1093" w:type="pct"/>
            <w:tcBorders>
              <w:top w:val="single" w:sz="4" w:space="0" w:color="auto"/>
              <w:bottom w:val="single" w:sz="4" w:space="0" w:color="auto"/>
            </w:tcBorders>
            <w:noWrap/>
          </w:tcPr>
          <w:p w14:paraId="5AEED66F" w14:textId="2ED1ED3C" w:rsidR="00524638" w:rsidRPr="004375CA" w:rsidRDefault="00524638" w:rsidP="00524638">
            <w:pPr>
              <w:pStyle w:val="TableText"/>
              <w:jc w:val="right"/>
              <w:rPr>
                <w:bCs/>
                <w:strike/>
                <w:highlight w:val="yellow"/>
                <w:lang w:eastAsia="ja-JP"/>
              </w:rPr>
            </w:pPr>
            <w:r w:rsidRPr="00D52664">
              <w:t>2,666,676</w:t>
            </w:r>
          </w:p>
        </w:tc>
        <w:tc>
          <w:tcPr>
            <w:tcW w:w="1172" w:type="pct"/>
            <w:tcBorders>
              <w:top w:val="single" w:sz="4" w:space="0" w:color="auto"/>
              <w:bottom w:val="single" w:sz="4" w:space="0" w:color="auto"/>
            </w:tcBorders>
            <w:noWrap/>
          </w:tcPr>
          <w:p w14:paraId="17A5536B" w14:textId="3EF60F7A" w:rsidR="00524638" w:rsidRPr="004375CA" w:rsidRDefault="00524638" w:rsidP="00524638">
            <w:pPr>
              <w:pStyle w:val="TableText"/>
              <w:jc w:val="right"/>
              <w:rPr>
                <w:bCs/>
                <w:strike/>
                <w:highlight w:val="yellow"/>
                <w:lang w:eastAsia="ja-JP"/>
              </w:rPr>
            </w:pPr>
            <w:r w:rsidRPr="00D52664">
              <w:t>44,943</w:t>
            </w:r>
          </w:p>
        </w:tc>
        <w:tc>
          <w:tcPr>
            <w:tcW w:w="1250" w:type="pct"/>
            <w:tcBorders>
              <w:top w:val="single" w:sz="4" w:space="0" w:color="auto"/>
              <w:bottom w:val="single" w:sz="4" w:space="0" w:color="auto"/>
            </w:tcBorders>
            <w:shd w:val="clear" w:color="auto" w:fill="auto"/>
            <w:noWrap/>
          </w:tcPr>
          <w:p w14:paraId="3C7DE359" w14:textId="5E0953AF" w:rsidR="00524638" w:rsidRPr="004375CA" w:rsidRDefault="00524638" w:rsidP="00524638">
            <w:pPr>
              <w:pStyle w:val="TableText"/>
              <w:jc w:val="right"/>
              <w:rPr>
                <w:bCs/>
                <w:strike/>
                <w:highlight w:val="yellow"/>
                <w:lang w:eastAsia="ja-JP"/>
              </w:rPr>
            </w:pPr>
            <w:r w:rsidRPr="00D52664">
              <w:t>2,711,619</w:t>
            </w:r>
          </w:p>
        </w:tc>
      </w:tr>
      <w:tr w:rsidR="00524638" w:rsidRPr="009F1EFF" w14:paraId="66166BCE" w14:textId="77777777" w:rsidTr="004C1CBD">
        <w:tc>
          <w:tcPr>
            <w:tcW w:w="1485" w:type="pct"/>
            <w:tcBorders>
              <w:top w:val="single" w:sz="4" w:space="0" w:color="auto"/>
              <w:bottom w:val="single" w:sz="4" w:space="0" w:color="auto"/>
            </w:tcBorders>
            <w:noWrap/>
            <w:hideMark/>
          </w:tcPr>
          <w:p w14:paraId="21EBC2C1" w14:textId="77777777" w:rsidR="00524638" w:rsidRPr="00735097" w:rsidRDefault="00524638" w:rsidP="00524638">
            <w:pPr>
              <w:pStyle w:val="TableText"/>
              <w:rPr>
                <w:bCs/>
                <w:lang w:eastAsia="ja-JP"/>
              </w:rPr>
            </w:pPr>
            <w:r w:rsidRPr="00735097">
              <w:rPr>
                <w:bCs/>
                <w:lang w:eastAsia="ja-JP"/>
              </w:rPr>
              <w:t>Audit</w:t>
            </w:r>
          </w:p>
        </w:tc>
        <w:tc>
          <w:tcPr>
            <w:tcW w:w="1093" w:type="pct"/>
            <w:tcBorders>
              <w:top w:val="single" w:sz="4" w:space="0" w:color="auto"/>
              <w:bottom w:val="single" w:sz="4" w:space="0" w:color="auto"/>
            </w:tcBorders>
            <w:noWrap/>
          </w:tcPr>
          <w:p w14:paraId="6C9B3456" w14:textId="6E209EF2" w:rsidR="00524638" w:rsidRPr="004375CA" w:rsidRDefault="00524638" w:rsidP="00524638">
            <w:pPr>
              <w:pStyle w:val="TableText"/>
              <w:jc w:val="right"/>
              <w:rPr>
                <w:bCs/>
                <w:strike/>
                <w:highlight w:val="yellow"/>
                <w:lang w:eastAsia="ja-JP"/>
              </w:rPr>
            </w:pPr>
            <w:r w:rsidRPr="00D52664">
              <w:t>4,499,098</w:t>
            </w:r>
          </w:p>
        </w:tc>
        <w:tc>
          <w:tcPr>
            <w:tcW w:w="1172" w:type="pct"/>
            <w:tcBorders>
              <w:top w:val="single" w:sz="4" w:space="0" w:color="auto"/>
              <w:bottom w:val="single" w:sz="4" w:space="0" w:color="auto"/>
            </w:tcBorders>
            <w:noWrap/>
          </w:tcPr>
          <w:p w14:paraId="1933B95C" w14:textId="386B4894" w:rsidR="00524638" w:rsidRPr="004375CA" w:rsidRDefault="00524638" w:rsidP="00524638">
            <w:pPr>
              <w:pStyle w:val="TableText"/>
              <w:jc w:val="right"/>
              <w:rPr>
                <w:bCs/>
                <w:strike/>
                <w:highlight w:val="yellow"/>
                <w:lang w:eastAsia="ja-JP"/>
              </w:rPr>
            </w:pPr>
            <w:r w:rsidRPr="00D52664">
              <w:t>45,755</w:t>
            </w:r>
          </w:p>
        </w:tc>
        <w:tc>
          <w:tcPr>
            <w:tcW w:w="1250" w:type="pct"/>
            <w:tcBorders>
              <w:top w:val="single" w:sz="4" w:space="0" w:color="auto"/>
              <w:bottom w:val="single" w:sz="4" w:space="0" w:color="auto"/>
            </w:tcBorders>
            <w:shd w:val="clear" w:color="auto" w:fill="auto"/>
            <w:noWrap/>
          </w:tcPr>
          <w:p w14:paraId="705ACA79" w14:textId="5F76BF92" w:rsidR="00524638" w:rsidRPr="004375CA" w:rsidRDefault="00524638" w:rsidP="00524638">
            <w:pPr>
              <w:pStyle w:val="TableText"/>
              <w:jc w:val="right"/>
              <w:rPr>
                <w:bCs/>
                <w:strike/>
                <w:highlight w:val="yellow"/>
                <w:lang w:eastAsia="ja-JP"/>
              </w:rPr>
            </w:pPr>
            <w:r w:rsidRPr="00D52664">
              <w:t>4,544,853</w:t>
            </w:r>
          </w:p>
        </w:tc>
      </w:tr>
      <w:tr w:rsidR="00524638" w:rsidRPr="009F1EFF" w14:paraId="498F291B" w14:textId="77777777" w:rsidTr="004C1CBD">
        <w:tc>
          <w:tcPr>
            <w:tcW w:w="1485" w:type="pct"/>
            <w:tcBorders>
              <w:top w:val="single" w:sz="4" w:space="0" w:color="auto"/>
              <w:bottom w:val="single" w:sz="4" w:space="0" w:color="auto"/>
            </w:tcBorders>
            <w:noWrap/>
            <w:hideMark/>
          </w:tcPr>
          <w:p w14:paraId="0532B4C0" w14:textId="77777777" w:rsidR="00524638" w:rsidRPr="00735097" w:rsidRDefault="00524638" w:rsidP="00524638">
            <w:pPr>
              <w:pStyle w:val="TableText"/>
              <w:rPr>
                <w:bCs/>
                <w:lang w:eastAsia="ja-JP"/>
              </w:rPr>
            </w:pPr>
            <w:r w:rsidRPr="00735097">
              <w:rPr>
                <w:bCs/>
                <w:lang w:eastAsia="ja-JP"/>
              </w:rPr>
              <w:t>Husbandry</w:t>
            </w:r>
          </w:p>
        </w:tc>
        <w:tc>
          <w:tcPr>
            <w:tcW w:w="1093" w:type="pct"/>
            <w:tcBorders>
              <w:top w:val="single" w:sz="4" w:space="0" w:color="auto"/>
              <w:bottom w:val="single" w:sz="4" w:space="0" w:color="auto"/>
            </w:tcBorders>
            <w:noWrap/>
          </w:tcPr>
          <w:p w14:paraId="054CE758" w14:textId="3EFD4E88" w:rsidR="00524638" w:rsidRPr="004375CA" w:rsidRDefault="00524638" w:rsidP="00524638">
            <w:pPr>
              <w:pStyle w:val="TableText"/>
              <w:jc w:val="right"/>
              <w:rPr>
                <w:bCs/>
                <w:strike/>
                <w:highlight w:val="yellow"/>
                <w:lang w:eastAsia="ja-JP"/>
              </w:rPr>
            </w:pPr>
            <w:r w:rsidRPr="00D52664">
              <w:t>4,019,901</w:t>
            </w:r>
          </w:p>
        </w:tc>
        <w:tc>
          <w:tcPr>
            <w:tcW w:w="1172" w:type="pct"/>
            <w:tcBorders>
              <w:top w:val="single" w:sz="4" w:space="0" w:color="auto"/>
              <w:bottom w:val="single" w:sz="4" w:space="0" w:color="auto"/>
            </w:tcBorders>
            <w:noWrap/>
          </w:tcPr>
          <w:p w14:paraId="7253DA48" w14:textId="0D09FF15" w:rsidR="00524638" w:rsidRPr="004375CA" w:rsidRDefault="00524638" w:rsidP="00524638">
            <w:pPr>
              <w:pStyle w:val="TableText"/>
              <w:jc w:val="right"/>
              <w:rPr>
                <w:bCs/>
                <w:strike/>
                <w:highlight w:val="yellow"/>
                <w:lang w:eastAsia="ja-JP"/>
              </w:rPr>
            </w:pPr>
            <w:r w:rsidRPr="00D52664">
              <w:t>58,169</w:t>
            </w:r>
          </w:p>
        </w:tc>
        <w:tc>
          <w:tcPr>
            <w:tcW w:w="1250" w:type="pct"/>
            <w:tcBorders>
              <w:top w:val="single" w:sz="4" w:space="0" w:color="auto"/>
              <w:bottom w:val="single" w:sz="4" w:space="0" w:color="auto"/>
            </w:tcBorders>
            <w:shd w:val="clear" w:color="auto" w:fill="auto"/>
            <w:noWrap/>
          </w:tcPr>
          <w:p w14:paraId="15E9E8A8" w14:textId="2872B180" w:rsidR="00524638" w:rsidRPr="004375CA" w:rsidRDefault="00524638" w:rsidP="00524638">
            <w:pPr>
              <w:pStyle w:val="TableText"/>
              <w:jc w:val="right"/>
              <w:rPr>
                <w:bCs/>
                <w:strike/>
                <w:highlight w:val="yellow"/>
                <w:lang w:eastAsia="ja-JP"/>
              </w:rPr>
            </w:pPr>
            <w:r w:rsidRPr="00D52664">
              <w:t>4,078,070</w:t>
            </w:r>
          </w:p>
        </w:tc>
      </w:tr>
      <w:tr w:rsidR="00524638" w:rsidRPr="00A968F0" w14:paraId="6632049B" w14:textId="77777777" w:rsidTr="004C1CBD">
        <w:tc>
          <w:tcPr>
            <w:tcW w:w="1485" w:type="pct"/>
            <w:tcBorders>
              <w:top w:val="single" w:sz="4" w:space="0" w:color="auto"/>
              <w:bottom w:val="single" w:sz="4" w:space="0" w:color="auto"/>
            </w:tcBorders>
            <w:noWrap/>
            <w:hideMark/>
          </w:tcPr>
          <w:p w14:paraId="1428D3DE" w14:textId="77777777" w:rsidR="00524638" w:rsidRPr="00B84A73" w:rsidRDefault="00524638" w:rsidP="00524638">
            <w:pPr>
              <w:pStyle w:val="TableText"/>
              <w:rPr>
                <w:rStyle w:val="Strong"/>
              </w:rPr>
            </w:pPr>
            <w:r w:rsidRPr="00B84A73">
              <w:rPr>
                <w:rStyle w:val="Strong"/>
              </w:rPr>
              <w:t>Sub-total</w:t>
            </w:r>
          </w:p>
        </w:tc>
        <w:tc>
          <w:tcPr>
            <w:tcW w:w="1093" w:type="pct"/>
            <w:tcBorders>
              <w:top w:val="single" w:sz="4" w:space="0" w:color="auto"/>
              <w:bottom w:val="single" w:sz="4" w:space="0" w:color="auto"/>
            </w:tcBorders>
            <w:noWrap/>
          </w:tcPr>
          <w:p w14:paraId="7D54A411" w14:textId="32A1538F" w:rsidR="00524638" w:rsidRPr="004375CA" w:rsidRDefault="00524638" w:rsidP="00524638">
            <w:pPr>
              <w:pStyle w:val="TableText"/>
              <w:jc w:val="right"/>
              <w:rPr>
                <w:rStyle w:val="Strong"/>
                <w:strike/>
                <w:highlight w:val="yellow"/>
              </w:rPr>
            </w:pPr>
            <w:r w:rsidRPr="00D52664">
              <w:t>255,118,757</w:t>
            </w:r>
          </w:p>
        </w:tc>
        <w:tc>
          <w:tcPr>
            <w:tcW w:w="1172" w:type="pct"/>
            <w:tcBorders>
              <w:top w:val="single" w:sz="4" w:space="0" w:color="auto"/>
              <w:bottom w:val="single" w:sz="4" w:space="0" w:color="auto"/>
            </w:tcBorders>
            <w:noWrap/>
          </w:tcPr>
          <w:p w14:paraId="332717C3" w14:textId="513779CD" w:rsidR="00524638" w:rsidRPr="004375CA" w:rsidRDefault="00524638" w:rsidP="00524638">
            <w:pPr>
              <w:pStyle w:val="TableText"/>
              <w:jc w:val="right"/>
              <w:rPr>
                <w:rStyle w:val="Strong"/>
                <w:strike/>
                <w:highlight w:val="yellow"/>
              </w:rPr>
            </w:pPr>
            <w:r w:rsidRPr="00D52664">
              <w:t>110,884,628</w:t>
            </w:r>
          </w:p>
        </w:tc>
        <w:tc>
          <w:tcPr>
            <w:tcW w:w="1250" w:type="pct"/>
            <w:tcBorders>
              <w:top w:val="single" w:sz="4" w:space="0" w:color="auto"/>
              <w:bottom w:val="single" w:sz="4" w:space="0" w:color="auto"/>
            </w:tcBorders>
            <w:noWrap/>
          </w:tcPr>
          <w:p w14:paraId="7DC769C7" w14:textId="7261CF63" w:rsidR="00524638" w:rsidRPr="00524638" w:rsidRDefault="00524638" w:rsidP="00524638">
            <w:pPr>
              <w:pStyle w:val="TableText"/>
              <w:jc w:val="right"/>
              <w:rPr>
                <w:rStyle w:val="Strong"/>
                <w:highlight w:val="yellow"/>
              </w:rPr>
            </w:pPr>
            <w:r w:rsidRPr="00524638">
              <w:rPr>
                <w:rStyle w:val="Strong"/>
              </w:rPr>
              <w:t>366,003,385</w:t>
            </w:r>
          </w:p>
        </w:tc>
      </w:tr>
      <w:tr w:rsidR="00D60848" w:rsidRPr="009F1EFF" w14:paraId="2DDDA4E4" w14:textId="77777777" w:rsidTr="004C1CBD">
        <w:tc>
          <w:tcPr>
            <w:tcW w:w="1485" w:type="pct"/>
            <w:tcBorders>
              <w:top w:val="single" w:sz="4" w:space="0" w:color="auto"/>
              <w:bottom w:val="single" w:sz="4" w:space="0" w:color="auto"/>
            </w:tcBorders>
            <w:noWrap/>
          </w:tcPr>
          <w:p w14:paraId="27E79E54" w14:textId="77777777" w:rsidR="00D60848" w:rsidRDefault="00D60848" w:rsidP="00D60848">
            <w:pPr>
              <w:pStyle w:val="TableText"/>
              <w:rPr>
                <w:lang w:eastAsia="ja-JP"/>
              </w:rPr>
            </w:pPr>
            <w:r w:rsidRPr="00257ED0">
              <w:rPr>
                <w:bCs/>
                <w:lang w:eastAsia="ja-JP"/>
              </w:rPr>
              <w:t xml:space="preserve">Less </w:t>
            </w:r>
            <w:r>
              <w:rPr>
                <w:bCs/>
                <w:lang w:eastAsia="ja-JP"/>
              </w:rPr>
              <w:t>g</w:t>
            </w:r>
            <w:r w:rsidRPr="00257ED0">
              <w:rPr>
                <w:bCs/>
                <w:lang w:eastAsia="ja-JP"/>
              </w:rPr>
              <w:t xml:space="preserve">overnment </w:t>
            </w:r>
            <w:r>
              <w:rPr>
                <w:bCs/>
                <w:lang w:eastAsia="ja-JP"/>
              </w:rPr>
              <w:t>a</w:t>
            </w:r>
            <w:r w:rsidRPr="00257ED0">
              <w:rPr>
                <w:bCs/>
                <w:lang w:eastAsia="ja-JP"/>
              </w:rPr>
              <w:t xml:space="preserve">ppropriation for </w:t>
            </w:r>
            <w:r>
              <w:rPr>
                <w:bCs/>
                <w:lang w:eastAsia="ja-JP"/>
              </w:rPr>
              <w:t>a</w:t>
            </w:r>
            <w:r w:rsidRPr="00257ED0">
              <w:rPr>
                <w:bCs/>
                <w:lang w:eastAsia="ja-JP"/>
              </w:rPr>
              <w:t>nti-</w:t>
            </w:r>
            <w:r>
              <w:rPr>
                <w:bCs/>
                <w:lang w:eastAsia="ja-JP"/>
              </w:rPr>
              <w:t>s</w:t>
            </w:r>
            <w:r w:rsidRPr="00257ED0">
              <w:rPr>
                <w:bCs/>
                <w:lang w:eastAsia="ja-JP"/>
              </w:rPr>
              <w:t xml:space="preserve">muggling </w:t>
            </w:r>
            <w:r>
              <w:rPr>
                <w:bCs/>
                <w:lang w:eastAsia="ja-JP"/>
              </w:rPr>
              <w:t>m</w:t>
            </w:r>
            <w:r w:rsidRPr="00257ED0">
              <w:rPr>
                <w:bCs/>
                <w:lang w:eastAsia="ja-JP"/>
              </w:rPr>
              <w:t>easures</w:t>
            </w:r>
          </w:p>
        </w:tc>
        <w:tc>
          <w:tcPr>
            <w:tcW w:w="1093" w:type="pct"/>
            <w:tcBorders>
              <w:top w:val="single" w:sz="4" w:space="0" w:color="auto"/>
              <w:bottom w:val="single" w:sz="4" w:space="0" w:color="auto"/>
            </w:tcBorders>
            <w:noWrap/>
          </w:tcPr>
          <w:p w14:paraId="7BB1C531" w14:textId="77777777" w:rsidR="00D60848" w:rsidRPr="004375CA" w:rsidRDefault="00D60848" w:rsidP="00D60848">
            <w:pPr>
              <w:pStyle w:val="TableText"/>
              <w:rPr>
                <w:strike/>
                <w:highlight w:val="yellow"/>
                <w:lang w:eastAsia="ja-JP"/>
              </w:rPr>
            </w:pPr>
            <w:r>
              <w:t>–</w:t>
            </w:r>
          </w:p>
        </w:tc>
        <w:tc>
          <w:tcPr>
            <w:tcW w:w="1172" w:type="pct"/>
            <w:tcBorders>
              <w:top w:val="single" w:sz="4" w:space="0" w:color="auto"/>
              <w:bottom w:val="single" w:sz="4" w:space="0" w:color="auto"/>
            </w:tcBorders>
            <w:noWrap/>
          </w:tcPr>
          <w:p w14:paraId="6DE6F058" w14:textId="77777777" w:rsidR="00D60848" w:rsidRPr="00542B73" w:rsidRDefault="00D60848" w:rsidP="00542B73">
            <w:pPr>
              <w:pStyle w:val="TableText"/>
              <w:rPr>
                <w:highlight w:val="yellow"/>
              </w:rPr>
            </w:pPr>
            <w:r w:rsidRPr="00542B73">
              <w:t>–</w:t>
            </w:r>
          </w:p>
        </w:tc>
        <w:tc>
          <w:tcPr>
            <w:tcW w:w="1250" w:type="pct"/>
            <w:tcBorders>
              <w:top w:val="single" w:sz="4" w:space="0" w:color="auto"/>
              <w:bottom w:val="single" w:sz="4" w:space="0" w:color="auto"/>
            </w:tcBorders>
            <w:noWrap/>
          </w:tcPr>
          <w:p w14:paraId="4F9F506F" w14:textId="77777777" w:rsidR="00D60848" w:rsidRPr="004375CA" w:rsidRDefault="00D60848" w:rsidP="00D60848">
            <w:pPr>
              <w:pStyle w:val="TableText"/>
              <w:jc w:val="right"/>
              <w:rPr>
                <w:strike/>
                <w:highlight w:val="yellow"/>
                <w:lang w:eastAsia="ja-JP"/>
              </w:rPr>
            </w:pPr>
            <w:r>
              <w:t>(</w:t>
            </w:r>
            <w:r w:rsidRPr="006C2F56">
              <w:t>1,618,084</w:t>
            </w:r>
            <w:r>
              <w:t>)</w:t>
            </w:r>
          </w:p>
        </w:tc>
      </w:tr>
      <w:tr w:rsidR="00D60848" w:rsidRPr="009F1EFF" w14:paraId="48C98EC1" w14:textId="77777777" w:rsidTr="004C1CBD">
        <w:tc>
          <w:tcPr>
            <w:tcW w:w="1485" w:type="pct"/>
            <w:tcBorders>
              <w:top w:val="single" w:sz="4" w:space="0" w:color="auto"/>
              <w:bottom w:val="single" w:sz="4" w:space="0" w:color="auto"/>
            </w:tcBorders>
            <w:noWrap/>
          </w:tcPr>
          <w:p w14:paraId="2B0B8E41" w14:textId="77777777" w:rsidR="00D60848" w:rsidRPr="00257ED0" w:rsidRDefault="00D60848" w:rsidP="00D60848">
            <w:pPr>
              <w:pStyle w:val="TableText"/>
              <w:rPr>
                <w:b/>
                <w:bCs/>
                <w:lang w:eastAsia="ja-JP"/>
              </w:rPr>
            </w:pPr>
            <w:r w:rsidRPr="00257ED0">
              <w:rPr>
                <w:bCs/>
                <w:lang w:eastAsia="ja-JP"/>
              </w:rPr>
              <w:t>Less diagnostic consumables recovered at cost</w:t>
            </w:r>
          </w:p>
        </w:tc>
        <w:tc>
          <w:tcPr>
            <w:tcW w:w="1093" w:type="pct"/>
            <w:tcBorders>
              <w:top w:val="single" w:sz="4" w:space="0" w:color="auto"/>
              <w:bottom w:val="single" w:sz="4" w:space="0" w:color="auto"/>
            </w:tcBorders>
            <w:noWrap/>
          </w:tcPr>
          <w:p w14:paraId="755D1BC4" w14:textId="77777777" w:rsidR="00D60848" w:rsidRPr="00542B73" w:rsidRDefault="00D60848" w:rsidP="00542B73">
            <w:pPr>
              <w:pStyle w:val="TableText"/>
              <w:rPr>
                <w:highlight w:val="yellow"/>
              </w:rPr>
            </w:pPr>
            <w:r w:rsidRPr="00542B73">
              <w:t>–</w:t>
            </w:r>
          </w:p>
        </w:tc>
        <w:tc>
          <w:tcPr>
            <w:tcW w:w="1172" w:type="pct"/>
            <w:tcBorders>
              <w:top w:val="single" w:sz="4" w:space="0" w:color="auto"/>
              <w:bottom w:val="single" w:sz="4" w:space="0" w:color="auto"/>
            </w:tcBorders>
            <w:noWrap/>
          </w:tcPr>
          <w:p w14:paraId="0FFF2B56" w14:textId="226ECBA7" w:rsidR="00D60848" w:rsidRPr="00542B73" w:rsidRDefault="00542B73" w:rsidP="00542B73">
            <w:pPr>
              <w:pStyle w:val="TableText"/>
              <w:rPr>
                <w:highlight w:val="yellow"/>
              </w:rPr>
            </w:pPr>
            <w:r w:rsidRPr="00542B73">
              <w:t>–</w:t>
            </w:r>
          </w:p>
        </w:tc>
        <w:tc>
          <w:tcPr>
            <w:tcW w:w="1250" w:type="pct"/>
            <w:tcBorders>
              <w:top w:val="single" w:sz="4" w:space="0" w:color="auto"/>
              <w:bottom w:val="single" w:sz="4" w:space="0" w:color="auto"/>
            </w:tcBorders>
            <w:noWrap/>
          </w:tcPr>
          <w:p w14:paraId="4B2E42E8" w14:textId="77777777" w:rsidR="00D60848" w:rsidRPr="004375CA" w:rsidRDefault="00D60848" w:rsidP="00D60848">
            <w:pPr>
              <w:pStyle w:val="TableText"/>
              <w:jc w:val="right"/>
              <w:rPr>
                <w:b/>
                <w:bCs/>
                <w:strike/>
                <w:highlight w:val="yellow"/>
                <w:lang w:eastAsia="ja-JP"/>
              </w:rPr>
            </w:pPr>
            <w:r>
              <w:t>(</w:t>
            </w:r>
            <w:r w:rsidRPr="006C2F56">
              <w:t>169,861</w:t>
            </w:r>
            <w:r>
              <w:t>)</w:t>
            </w:r>
          </w:p>
        </w:tc>
      </w:tr>
      <w:tr w:rsidR="00D60848" w:rsidRPr="009F1EFF" w14:paraId="35D7E28D" w14:textId="77777777" w:rsidTr="004C1CBD">
        <w:tc>
          <w:tcPr>
            <w:tcW w:w="1485" w:type="pct"/>
            <w:tcBorders>
              <w:top w:val="single" w:sz="4" w:space="0" w:color="auto"/>
              <w:bottom w:val="single" w:sz="4" w:space="0" w:color="auto"/>
            </w:tcBorders>
            <w:noWrap/>
          </w:tcPr>
          <w:p w14:paraId="77765F19" w14:textId="77777777" w:rsidR="00D60848" w:rsidRPr="00257ED0" w:rsidRDefault="00D60848" w:rsidP="00D60848">
            <w:pPr>
              <w:pStyle w:val="TableText"/>
              <w:rPr>
                <w:b/>
                <w:bCs/>
                <w:lang w:eastAsia="ja-JP"/>
              </w:rPr>
            </w:pPr>
            <w:r>
              <w:rPr>
                <w:bCs/>
                <w:lang w:eastAsia="ja-JP"/>
              </w:rPr>
              <w:t>Less costs paid on behalf of and recovered from companion animal importers</w:t>
            </w:r>
          </w:p>
        </w:tc>
        <w:tc>
          <w:tcPr>
            <w:tcW w:w="1093" w:type="pct"/>
            <w:tcBorders>
              <w:top w:val="single" w:sz="4" w:space="0" w:color="auto"/>
              <w:bottom w:val="single" w:sz="4" w:space="0" w:color="auto"/>
            </w:tcBorders>
            <w:noWrap/>
          </w:tcPr>
          <w:p w14:paraId="132B2BE2" w14:textId="77777777" w:rsidR="00D60848" w:rsidRPr="004375CA" w:rsidRDefault="00D60848" w:rsidP="00D60848">
            <w:pPr>
              <w:pStyle w:val="TableText"/>
              <w:rPr>
                <w:strike/>
                <w:highlight w:val="yellow"/>
                <w:lang w:eastAsia="ja-JP"/>
              </w:rPr>
            </w:pPr>
            <w:r>
              <w:t>–</w:t>
            </w:r>
          </w:p>
        </w:tc>
        <w:tc>
          <w:tcPr>
            <w:tcW w:w="1172" w:type="pct"/>
            <w:tcBorders>
              <w:top w:val="single" w:sz="4" w:space="0" w:color="auto"/>
              <w:bottom w:val="single" w:sz="4" w:space="0" w:color="auto"/>
            </w:tcBorders>
            <w:noWrap/>
          </w:tcPr>
          <w:p w14:paraId="7A3F42DB" w14:textId="77777777" w:rsidR="00D60848" w:rsidRPr="004375CA" w:rsidRDefault="00D60848" w:rsidP="00D60848">
            <w:pPr>
              <w:pStyle w:val="TableText"/>
              <w:rPr>
                <w:strike/>
                <w:highlight w:val="yellow"/>
                <w:lang w:eastAsia="ja-JP"/>
              </w:rPr>
            </w:pPr>
            <w:r>
              <w:t>–</w:t>
            </w:r>
          </w:p>
        </w:tc>
        <w:tc>
          <w:tcPr>
            <w:tcW w:w="1250" w:type="pct"/>
            <w:tcBorders>
              <w:top w:val="single" w:sz="4" w:space="0" w:color="auto"/>
              <w:bottom w:val="single" w:sz="4" w:space="0" w:color="auto"/>
            </w:tcBorders>
            <w:noWrap/>
          </w:tcPr>
          <w:p w14:paraId="67F4CFE1" w14:textId="77777777" w:rsidR="00D60848" w:rsidRPr="004375CA" w:rsidRDefault="00D60848" w:rsidP="00D60848">
            <w:pPr>
              <w:pStyle w:val="TableText"/>
              <w:jc w:val="right"/>
              <w:rPr>
                <w:b/>
                <w:bCs/>
                <w:strike/>
                <w:highlight w:val="yellow"/>
                <w:lang w:eastAsia="ja-JP"/>
              </w:rPr>
            </w:pPr>
            <w:r>
              <w:t>(</w:t>
            </w:r>
            <w:r w:rsidRPr="006C2F56">
              <w:t>800,000</w:t>
            </w:r>
            <w:r>
              <w:t>)</w:t>
            </w:r>
          </w:p>
        </w:tc>
      </w:tr>
      <w:tr w:rsidR="00D60848" w:rsidRPr="009F1EFF" w14:paraId="7ADA2C98" w14:textId="77777777" w:rsidTr="004C1CBD">
        <w:tc>
          <w:tcPr>
            <w:tcW w:w="1485" w:type="pct"/>
            <w:tcBorders>
              <w:top w:val="single" w:sz="4" w:space="0" w:color="auto"/>
              <w:bottom w:val="single" w:sz="4" w:space="0" w:color="auto"/>
            </w:tcBorders>
            <w:noWrap/>
          </w:tcPr>
          <w:p w14:paraId="361AFFB5" w14:textId="77777777" w:rsidR="00D60848" w:rsidRPr="00B84A73" w:rsidRDefault="00D60848" w:rsidP="00D60848">
            <w:pPr>
              <w:pStyle w:val="TableText"/>
              <w:rPr>
                <w:rStyle w:val="Strong"/>
              </w:rPr>
            </w:pPr>
            <w:r w:rsidRPr="00B84A73">
              <w:rPr>
                <w:rStyle w:val="Strong"/>
              </w:rPr>
              <w:t>Net costs to be recovered</w:t>
            </w:r>
          </w:p>
        </w:tc>
        <w:tc>
          <w:tcPr>
            <w:tcW w:w="1093" w:type="pct"/>
            <w:tcBorders>
              <w:top w:val="single" w:sz="4" w:space="0" w:color="auto"/>
              <w:bottom w:val="single" w:sz="4" w:space="0" w:color="auto"/>
            </w:tcBorders>
            <w:noWrap/>
          </w:tcPr>
          <w:p w14:paraId="44D09D58" w14:textId="77777777" w:rsidR="00D60848" w:rsidRPr="004375CA" w:rsidRDefault="00D60848" w:rsidP="00D60848">
            <w:pPr>
              <w:pStyle w:val="TableText"/>
              <w:rPr>
                <w:rStyle w:val="Strong"/>
                <w:strike/>
                <w:highlight w:val="yellow"/>
              </w:rPr>
            </w:pPr>
            <w:r>
              <w:t>–</w:t>
            </w:r>
          </w:p>
        </w:tc>
        <w:tc>
          <w:tcPr>
            <w:tcW w:w="1172" w:type="pct"/>
            <w:tcBorders>
              <w:top w:val="single" w:sz="4" w:space="0" w:color="auto"/>
              <w:bottom w:val="single" w:sz="4" w:space="0" w:color="auto"/>
            </w:tcBorders>
            <w:noWrap/>
          </w:tcPr>
          <w:p w14:paraId="1231039A" w14:textId="6FFF7545" w:rsidR="00D60848" w:rsidRPr="004375CA" w:rsidRDefault="00542B73" w:rsidP="00D60848">
            <w:pPr>
              <w:pStyle w:val="TableText"/>
              <w:rPr>
                <w:rStyle w:val="Strong"/>
                <w:strike/>
                <w:highlight w:val="yellow"/>
              </w:rPr>
            </w:pPr>
            <w:r>
              <w:t>–</w:t>
            </w:r>
          </w:p>
        </w:tc>
        <w:tc>
          <w:tcPr>
            <w:tcW w:w="1250" w:type="pct"/>
            <w:tcBorders>
              <w:top w:val="single" w:sz="4" w:space="0" w:color="auto"/>
              <w:bottom w:val="single" w:sz="4" w:space="0" w:color="auto"/>
            </w:tcBorders>
            <w:noWrap/>
          </w:tcPr>
          <w:p w14:paraId="7D63DB1F" w14:textId="260DA00E" w:rsidR="00D60848" w:rsidRPr="00A968F0" w:rsidRDefault="00524638" w:rsidP="00D60848">
            <w:pPr>
              <w:pStyle w:val="TableText"/>
              <w:jc w:val="right"/>
              <w:rPr>
                <w:rStyle w:val="Strong"/>
                <w:highlight w:val="yellow"/>
              </w:rPr>
            </w:pPr>
            <w:r w:rsidRPr="00524638">
              <w:rPr>
                <w:rStyle w:val="Strong"/>
              </w:rPr>
              <w:t>363,415,440</w:t>
            </w:r>
          </w:p>
        </w:tc>
      </w:tr>
    </w:tbl>
    <w:bookmarkEnd w:id="100"/>
    <w:p w14:paraId="3D1615D2" w14:textId="06C0A3A6" w:rsidR="00E25190" w:rsidRPr="0029167F" w:rsidRDefault="00E25190" w:rsidP="00E25190">
      <w:pPr>
        <w:pStyle w:val="Heading4"/>
        <w:spacing w:before="240"/>
        <w:rPr>
          <w:rFonts w:asciiTheme="minorHAnsi" w:hAnsiTheme="minorHAnsi" w:cstheme="minorHAnsi"/>
          <w:lang w:eastAsia="ja-JP"/>
        </w:rPr>
      </w:pPr>
      <w:r w:rsidRPr="0029167F">
        <w:rPr>
          <w:rFonts w:asciiTheme="minorHAnsi" w:hAnsiTheme="minorHAnsi" w:cstheme="minorHAnsi"/>
          <w:lang w:eastAsia="ja-JP"/>
        </w:rPr>
        <w:t>Financial management strategies</w:t>
      </w:r>
    </w:p>
    <w:p w14:paraId="36E295FF" w14:textId="68723739" w:rsidR="008B40C6" w:rsidRPr="0029167F" w:rsidRDefault="008B40C6" w:rsidP="005A660F">
      <w:pPr>
        <w:rPr>
          <w:lang w:eastAsia="ja-JP"/>
        </w:rPr>
      </w:pPr>
      <w:r w:rsidRPr="008B40C6">
        <w:rPr>
          <w:lang w:eastAsia="ja-JP"/>
        </w:rPr>
        <w:t>In line with the Australian Government Charging Framework, we are committed to managing costs in an efficient and effective manner</w:t>
      </w:r>
      <w:r>
        <w:rPr>
          <w:lang w:eastAsia="ja-JP"/>
        </w:rPr>
        <w:t>,</w:t>
      </w:r>
      <w:r w:rsidRPr="008B40C6">
        <w:rPr>
          <w:lang w:eastAsia="ja-JP"/>
        </w:rPr>
        <w:t xml:space="preserve"> as administrators of public resources. We monitor costs monthly for </w:t>
      </w:r>
      <w:r w:rsidRPr="008B40C6">
        <w:rPr>
          <w:lang w:eastAsia="ja-JP"/>
        </w:rPr>
        <w:lastRenderedPageBreak/>
        <w:t xml:space="preserve">variances between budgeted and actual expense and regularly review and improve our workforce models, systems and processes. This informs our annual </w:t>
      </w:r>
      <w:r w:rsidR="005A660F" w:rsidRPr="008B40C6">
        <w:rPr>
          <w:lang w:eastAsia="ja-JP"/>
        </w:rPr>
        <w:t>review,</w:t>
      </w:r>
      <w:r w:rsidRPr="008B40C6">
        <w:rPr>
          <w:lang w:eastAsia="ja-JP"/>
        </w:rPr>
        <w:t xml:space="preserve"> and </w:t>
      </w:r>
      <w:r>
        <w:rPr>
          <w:lang w:eastAsia="ja-JP"/>
        </w:rPr>
        <w:t xml:space="preserve">we </w:t>
      </w:r>
      <w:r w:rsidR="00625F72">
        <w:rPr>
          <w:lang w:eastAsia="ja-JP"/>
        </w:rPr>
        <w:t xml:space="preserve">implement </w:t>
      </w:r>
      <w:r w:rsidRPr="008B40C6">
        <w:rPr>
          <w:lang w:eastAsia="ja-JP"/>
        </w:rPr>
        <w:t>adjustments accordingly.</w:t>
      </w:r>
    </w:p>
    <w:p w14:paraId="2AF873B3" w14:textId="2465C0B2" w:rsidR="00A4763B" w:rsidRPr="0029167F" w:rsidRDefault="00A4763B" w:rsidP="00A4763B">
      <w:pPr>
        <w:pStyle w:val="Heading3"/>
        <w:rPr>
          <w:rFonts w:asciiTheme="minorHAnsi" w:hAnsiTheme="minorHAnsi" w:cstheme="minorHAnsi"/>
          <w:lang w:eastAsia="ja-JP"/>
        </w:rPr>
      </w:pPr>
      <w:bookmarkStart w:id="102" w:name="_Design_of_regulatory"/>
      <w:bookmarkStart w:id="103" w:name="_Cost_recovery_reserves"/>
      <w:bookmarkStart w:id="104" w:name="_Toc168489255"/>
      <w:bookmarkStart w:id="105" w:name="_Toc168489552"/>
      <w:bookmarkStart w:id="106" w:name="_Toc168645250"/>
      <w:bookmarkEnd w:id="102"/>
      <w:bookmarkEnd w:id="103"/>
      <w:r w:rsidRPr="0029167F">
        <w:rPr>
          <w:rFonts w:asciiTheme="minorHAnsi" w:hAnsiTheme="minorHAnsi" w:cstheme="minorHAnsi"/>
        </w:rPr>
        <w:t>Cost recovery reserves</w:t>
      </w:r>
      <w:bookmarkEnd w:id="104"/>
      <w:bookmarkEnd w:id="105"/>
      <w:bookmarkEnd w:id="106"/>
    </w:p>
    <w:p w14:paraId="7DD37D8C" w14:textId="33C8B72E" w:rsidR="001A6F91" w:rsidRPr="0029167F" w:rsidRDefault="00410A5F" w:rsidP="001A6F91">
      <w:pPr>
        <w:rPr>
          <w:rFonts w:cstheme="minorHAnsi"/>
        </w:rPr>
      </w:pPr>
      <w:r w:rsidRPr="0006656C">
        <w:rPr>
          <w:rFonts w:cstheme="minorHAnsi"/>
          <w:lang w:eastAsia="ja-JP"/>
        </w:rPr>
        <w:t xml:space="preserve">The </w:t>
      </w:r>
      <w:r w:rsidR="00E25190" w:rsidRPr="0006656C">
        <w:rPr>
          <w:rFonts w:cstheme="minorHAnsi"/>
          <w:lang w:eastAsia="ja-JP"/>
        </w:rPr>
        <w:t>cost recovery reserve</w:t>
      </w:r>
      <w:r w:rsidRPr="0006656C">
        <w:rPr>
          <w:rFonts w:cstheme="minorHAnsi"/>
          <w:lang w:eastAsia="ja-JP"/>
        </w:rPr>
        <w:t xml:space="preserve">s reflect the accumulated results of the arrangement and </w:t>
      </w:r>
      <w:r w:rsidR="00E25190" w:rsidRPr="0006656C">
        <w:rPr>
          <w:rFonts w:cstheme="minorHAnsi"/>
          <w:lang w:eastAsia="ja-JP"/>
        </w:rPr>
        <w:t>assist with</w:t>
      </w:r>
      <w:r w:rsidR="00E25190" w:rsidRPr="0029167F">
        <w:rPr>
          <w:rFonts w:cstheme="minorHAnsi"/>
          <w:lang w:eastAsia="ja-JP"/>
        </w:rPr>
        <w:t xml:space="preserve"> managing the alignment of revenue and expenses</w:t>
      </w:r>
      <w:r w:rsidR="00D97D81">
        <w:rPr>
          <w:rFonts w:cstheme="minorHAnsi"/>
          <w:lang w:eastAsia="ja-JP"/>
        </w:rPr>
        <w:t xml:space="preserve"> and variations to forecast volumes</w:t>
      </w:r>
      <w:r w:rsidR="00E25190" w:rsidRPr="0029167F">
        <w:rPr>
          <w:rFonts w:cstheme="minorHAnsi"/>
          <w:lang w:eastAsia="ja-JP"/>
        </w:rPr>
        <w:t xml:space="preserve">. Our cost recovery reserve policy requires that a balance of </w:t>
      </w:r>
      <w:r w:rsidR="00BF11DA" w:rsidRPr="0029167F">
        <w:rPr>
          <w:rFonts w:cstheme="minorHAnsi"/>
          <w:lang w:eastAsia="ja-JP"/>
        </w:rPr>
        <w:t xml:space="preserve">up </w:t>
      </w:r>
      <w:r w:rsidR="004A2FA3" w:rsidRPr="0029167F">
        <w:rPr>
          <w:rFonts w:cstheme="minorHAnsi"/>
          <w:lang w:eastAsia="ja-JP"/>
        </w:rPr>
        <w:t xml:space="preserve">to </w:t>
      </w:r>
      <w:r w:rsidR="00E25190" w:rsidRPr="0029167F">
        <w:rPr>
          <w:rFonts w:cstheme="minorHAnsi"/>
          <w:lang w:eastAsia="ja-JP"/>
        </w:rPr>
        <w:t>5</w:t>
      </w:r>
      <w:r w:rsidR="002F1A51">
        <w:rPr>
          <w:rFonts w:cstheme="minorHAnsi"/>
          <w:lang w:eastAsia="ja-JP"/>
        </w:rPr>
        <w:t>%</w:t>
      </w:r>
      <w:r w:rsidR="00E25190" w:rsidRPr="0029167F">
        <w:rPr>
          <w:rFonts w:cstheme="minorHAnsi"/>
          <w:lang w:eastAsia="ja-JP"/>
        </w:rPr>
        <w:t xml:space="preserve"> of annual program expense be maintained. </w:t>
      </w:r>
      <w:r w:rsidR="001A6F91" w:rsidRPr="0029167F">
        <w:rPr>
          <w:rFonts w:cstheme="minorHAnsi"/>
        </w:rPr>
        <w:t xml:space="preserve">The cost recovery reserve is the mechanism used by the department </w:t>
      </w:r>
      <w:r w:rsidR="00C91DAE">
        <w:rPr>
          <w:rFonts w:cstheme="minorHAnsi"/>
        </w:rPr>
        <w:t xml:space="preserve">intended </w:t>
      </w:r>
      <w:r w:rsidR="001A6F91" w:rsidRPr="0029167F">
        <w:rPr>
          <w:rFonts w:cstheme="minorHAnsi"/>
        </w:rPr>
        <w:t xml:space="preserve">to manage under or over recovery of costs. Regulatory charging is set to recover </w:t>
      </w:r>
      <w:r w:rsidR="001A6F91">
        <w:rPr>
          <w:rFonts w:cstheme="minorHAnsi"/>
        </w:rPr>
        <w:t>reasonable costs</w:t>
      </w:r>
      <w:r w:rsidR="001A6F91" w:rsidRPr="0029167F">
        <w:rPr>
          <w:rFonts w:cstheme="minorHAnsi"/>
        </w:rPr>
        <w:t xml:space="preserve">. However, several factors can affect the difference between revenue and expenses. These factors include volume variances and changes in expenses based on </w:t>
      </w:r>
      <w:r w:rsidR="001A6F91">
        <w:rPr>
          <w:rFonts w:cstheme="minorHAnsi"/>
        </w:rPr>
        <w:t>risk profiles</w:t>
      </w:r>
      <w:r w:rsidR="001A6F91" w:rsidRPr="0029167F">
        <w:rPr>
          <w:rFonts w:cstheme="minorHAnsi"/>
        </w:rPr>
        <w:t>.</w:t>
      </w:r>
    </w:p>
    <w:p w14:paraId="60B0A0B3" w14:textId="35845E5E" w:rsidR="0097761C" w:rsidRPr="0029167F" w:rsidRDefault="00E25190" w:rsidP="00A4763B">
      <w:pPr>
        <w:rPr>
          <w:rFonts w:cstheme="minorHAnsi"/>
          <w:lang w:eastAsia="ja-JP"/>
        </w:rPr>
      </w:pPr>
      <w:r w:rsidRPr="0029167F">
        <w:rPr>
          <w:rFonts w:cstheme="minorHAnsi"/>
          <w:lang w:eastAsia="ja-JP"/>
        </w:rPr>
        <w:t xml:space="preserve">Subject to </w:t>
      </w:r>
      <w:r w:rsidR="008E018B" w:rsidRPr="0029167F">
        <w:rPr>
          <w:rFonts w:cstheme="minorHAnsi"/>
          <w:lang w:eastAsia="ja-JP"/>
        </w:rPr>
        <w:t xml:space="preserve">agreement between the department and industry, </w:t>
      </w:r>
      <w:r w:rsidRPr="0029167F">
        <w:rPr>
          <w:rFonts w:cstheme="minorHAnsi"/>
          <w:lang w:eastAsia="ja-JP"/>
        </w:rPr>
        <w:t>over-recoveries may be managed through remittance or investment initiatives.</w:t>
      </w:r>
    </w:p>
    <w:p w14:paraId="02A175AE" w14:textId="36D1B22F" w:rsidR="00A4763B" w:rsidRPr="0029167F" w:rsidRDefault="00E25190" w:rsidP="00A4763B">
      <w:pPr>
        <w:rPr>
          <w:rFonts w:cstheme="minorHAnsi"/>
        </w:rPr>
      </w:pPr>
      <w:r w:rsidRPr="0029167F">
        <w:rPr>
          <w:rFonts w:cstheme="minorHAnsi"/>
          <w:lang w:eastAsia="ja-JP"/>
        </w:rPr>
        <w:t xml:space="preserve">Under-recoveries will result in the arrangement not recovering the expenses of the relevant regulatory </w:t>
      </w:r>
      <w:r w:rsidR="00D97D81">
        <w:rPr>
          <w:rFonts w:cstheme="minorHAnsi"/>
          <w:lang w:eastAsia="ja-JP"/>
        </w:rPr>
        <w:t>activities</w:t>
      </w:r>
      <w:r w:rsidRPr="0029167F">
        <w:rPr>
          <w:rFonts w:cstheme="minorHAnsi"/>
          <w:lang w:eastAsia="ja-JP"/>
        </w:rPr>
        <w:t xml:space="preserve">. This in turn will result in the arrangement operating at a loss, and adversely impact on the reserve balance for the arrangement at year’s end. Ongoing under recovery will lead to the need for further review of the regulatory charging arrangement to </w:t>
      </w:r>
      <w:r w:rsidR="004563D6">
        <w:rPr>
          <w:rFonts w:cstheme="minorHAnsi"/>
          <w:lang w:eastAsia="ja-JP"/>
        </w:rPr>
        <w:t>support</w:t>
      </w:r>
      <w:r w:rsidRPr="0029167F">
        <w:rPr>
          <w:rFonts w:cstheme="minorHAnsi"/>
          <w:lang w:eastAsia="ja-JP"/>
        </w:rPr>
        <w:t xml:space="preserve"> its return to sustainable recovery of all regulatory costs</w:t>
      </w:r>
      <w:r w:rsidR="008E018B" w:rsidRPr="0029167F">
        <w:rPr>
          <w:rFonts w:cstheme="minorHAnsi"/>
          <w:lang w:eastAsia="ja-JP"/>
        </w:rPr>
        <w:t>.</w:t>
      </w:r>
    </w:p>
    <w:p w14:paraId="475637A1" w14:textId="704777A5" w:rsidR="00785C62" w:rsidRPr="0029167F" w:rsidRDefault="00A4763B" w:rsidP="00FC59C1">
      <w:pPr>
        <w:rPr>
          <w:rFonts w:cstheme="minorHAnsi"/>
          <w:lang w:eastAsia="ja-JP"/>
        </w:rPr>
      </w:pPr>
      <w:r w:rsidRPr="0029167F">
        <w:rPr>
          <w:rFonts w:cstheme="minorHAnsi"/>
        </w:rPr>
        <w:t>Once a fee or charge is paid by industry, it becomes government revenue. The department will consult with industry on any under-recovery or over-recovery.</w:t>
      </w:r>
    </w:p>
    <w:p w14:paraId="066C1FAC" w14:textId="526FEF10" w:rsidR="00E25190" w:rsidRPr="0029167F" w:rsidRDefault="00D800A2" w:rsidP="00E25190">
      <w:pPr>
        <w:pStyle w:val="Heading3"/>
        <w:rPr>
          <w:rFonts w:asciiTheme="minorHAnsi" w:hAnsiTheme="minorHAnsi" w:cstheme="minorHAnsi"/>
          <w:lang w:eastAsia="ja-JP"/>
        </w:rPr>
      </w:pPr>
      <w:bookmarkStart w:id="107" w:name="Charges"/>
      <w:bookmarkStart w:id="108" w:name="_Toc168489256"/>
      <w:bookmarkStart w:id="109" w:name="_Toc168489553"/>
      <w:bookmarkStart w:id="110" w:name="_Toc168645251"/>
      <w:bookmarkEnd w:id="107"/>
      <w:r w:rsidRPr="0029167F">
        <w:rPr>
          <w:rFonts w:asciiTheme="minorHAnsi" w:hAnsiTheme="minorHAnsi" w:cstheme="minorHAnsi"/>
          <w:lang w:eastAsia="ja-JP"/>
        </w:rPr>
        <w:t>Changes</w:t>
      </w:r>
      <w:r w:rsidR="00802F22" w:rsidRPr="0029167F">
        <w:rPr>
          <w:rFonts w:asciiTheme="minorHAnsi" w:hAnsiTheme="minorHAnsi" w:cstheme="minorHAnsi"/>
          <w:lang w:eastAsia="ja-JP"/>
        </w:rPr>
        <w:t xml:space="preserve"> to regulatory charging</w:t>
      </w:r>
      <w:r w:rsidR="00AA30C7">
        <w:rPr>
          <w:rFonts w:asciiTheme="minorHAnsi" w:hAnsiTheme="minorHAnsi" w:cstheme="minorHAnsi"/>
          <w:lang w:eastAsia="ja-JP"/>
        </w:rPr>
        <w:t xml:space="preserve"> in 2024</w:t>
      </w:r>
      <w:r w:rsidR="000F07BF">
        <w:rPr>
          <w:rFonts w:asciiTheme="minorHAnsi" w:hAnsiTheme="minorHAnsi" w:cstheme="minorHAnsi"/>
          <w:lang w:eastAsia="ja-JP"/>
        </w:rPr>
        <w:t>–</w:t>
      </w:r>
      <w:r w:rsidR="00AA30C7">
        <w:rPr>
          <w:rFonts w:asciiTheme="minorHAnsi" w:hAnsiTheme="minorHAnsi" w:cstheme="minorHAnsi"/>
          <w:lang w:eastAsia="ja-JP"/>
        </w:rPr>
        <w:t>25</w:t>
      </w:r>
      <w:bookmarkEnd w:id="108"/>
      <w:bookmarkEnd w:id="109"/>
      <w:bookmarkEnd w:id="110"/>
    </w:p>
    <w:p w14:paraId="7045E8FE" w14:textId="0CB8D729" w:rsidR="003354D5" w:rsidRDefault="00A667E2" w:rsidP="003354D5">
      <w:pPr>
        <w:rPr>
          <w:rFonts w:cstheme="minorHAnsi"/>
          <w:lang w:eastAsia="ja-JP"/>
        </w:rPr>
      </w:pPr>
      <w:bookmarkStart w:id="111" w:name="_Hlk112921486"/>
      <w:r w:rsidRPr="008347AB">
        <w:t xml:space="preserve">In </w:t>
      </w:r>
      <w:r w:rsidRPr="00F700D1">
        <w:t>2023</w:t>
      </w:r>
      <w:r w:rsidR="00F700D1" w:rsidRPr="00F700D1">
        <w:t>–</w:t>
      </w:r>
      <w:r w:rsidRPr="00F700D1">
        <w:t>24</w:t>
      </w:r>
      <w:r w:rsidRPr="008347AB">
        <w:t xml:space="preserve"> t</w:t>
      </w:r>
      <w:r w:rsidR="00394E18" w:rsidRPr="008347AB">
        <w:t xml:space="preserve">he </w:t>
      </w:r>
      <w:r w:rsidR="008347AB" w:rsidRPr="008347AB">
        <w:t>d</w:t>
      </w:r>
      <w:r w:rsidR="00394E18" w:rsidRPr="008347AB">
        <w:t>epartment embedd</w:t>
      </w:r>
      <w:r w:rsidR="008347AB" w:rsidRPr="008347AB">
        <w:t>ed</w:t>
      </w:r>
      <w:r w:rsidR="00394E18" w:rsidRPr="008347AB">
        <w:t xml:space="preserve"> </w:t>
      </w:r>
      <w:r w:rsidR="008347AB" w:rsidRPr="008347AB">
        <w:t xml:space="preserve">the </w:t>
      </w:r>
      <w:r w:rsidR="00394E18" w:rsidRPr="008347AB">
        <w:t xml:space="preserve">annual review cycle of </w:t>
      </w:r>
      <w:r w:rsidR="00A55DF0" w:rsidRPr="008347AB">
        <w:t xml:space="preserve">the </w:t>
      </w:r>
      <w:r w:rsidR="00394E18" w:rsidRPr="008347AB">
        <w:t>biosecurity cost recovery</w:t>
      </w:r>
      <w:r w:rsidR="00A55DF0" w:rsidRPr="008347AB">
        <w:t xml:space="preserve"> arrangement</w:t>
      </w:r>
      <w:r w:rsidR="00394E18" w:rsidRPr="008347AB">
        <w:t xml:space="preserve">. The review </w:t>
      </w:r>
      <w:r w:rsidR="00813870" w:rsidRPr="008347AB">
        <w:t>include</w:t>
      </w:r>
      <w:r w:rsidR="00813870">
        <w:t>d</w:t>
      </w:r>
      <w:r w:rsidR="00813870" w:rsidRPr="008347AB">
        <w:t xml:space="preserve"> </w:t>
      </w:r>
      <w:r w:rsidR="00394E18" w:rsidRPr="008347AB">
        <w:t xml:space="preserve">monitoring and analysis of </w:t>
      </w:r>
      <w:r w:rsidR="00AF7F70" w:rsidRPr="008347AB">
        <w:t>the impact of changes</w:t>
      </w:r>
      <w:r w:rsidR="006A209B" w:rsidRPr="008347AB">
        <w:t xml:space="preserve"> introduced on 1</w:t>
      </w:r>
      <w:r w:rsidR="009127EC">
        <w:t> </w:t>
      </w:r>
      <w:r w:rsidR="006A209B" w:rsidRPr="008347AB">
        <w:t>July</w:t>
      </w:r>
      <w:r w:rsidR="009127EC">
        <w:t> </w:t>
      </w:r>
      <w:r w:rsidR="006A209B" w:rsidRPr="008347AB">
        <w:t>2023</w:t>
      </w:r>
      <w:r w:rsidR="00394E18" w:rsidRPr="008347AB">
        <w:t xml:space="preserve">. </w:t>
      </w:r>
      <w:r w:rsidR="003354D5" w:rsidRPr="008347AB">
        <w:rPr>
          <w:rFonts w:cstheme="minorHAnsi"/>
          <w:lang w:eastAsia="ja-JP"/>
        </w:rPr>
        <w:t>R</w:t>
      </w:r>
      <w:r w:rsidRPr="008347AB">
        <w:rPr>
          <w:rFonts w:cstheme="minorHAnsi"/>
          <w:lang w:eastAsia="ja-JP"/>
        </w:rPr>
        <w:t>ecognis</w:t>
      </w:r>
      <w:r w:rsidR="003354D5" w:rsidRPr="008347AB">
        <w:rPr>
          <w:rFonts w:cstheme="minorHAnsi"/>
          <w:lang w:eastAsia="ja-JP"/>
        </w:rPr>
        <w:t>ing</w:t>
      </w:r>
      <w:r w:rsidRPr="008347AB">
        <w:rPr>
          <w:rFonts w:cstheme="minorHAnsi"/>
          <w:lang w:eastAsia="ja-JP"/>
        </w:rPr>
        <w:t xml:space="preserve"> that our costs do not remain static and to avoid large increases in the future, legislation was amended </w:t>
      </w:r>
      <w:r w:rsidR="003354D5" w:rsidRPr="008347AB">
        <w:rPr>
          <w:rFonts w:cstheme="minorHAnsi"/>
          <w:lang w:eastAsia="ja-JP"/>
        </w:rPr>
        <w:t xml:space="preserve">in 2023 </w:t>
      </w:r>
      <w:r w:rsidRPr="008347AB">
        <w:rPr>
          <w:rFonts w:cstheme="minorHAnsi"/>
          <w:lang w:eastAsia="ja-JP"/>
        </w:rPr>
        <w:t xml:space="preserve">to introduce indexation of appropriate cost elements annually, based on the all-groups CPI </w:t>
      </w:r>
      <w:r w:rsidRPr="008347AB">
        <w:t xml:space="preserve">published by the </w:t>
      </w:r>
      <w:hyperlink r:id="rId45" w:history="1">
        <w:r w:rsidRPr="008347AB">
          <w:rPr>
            <w:rStyle w:val="Hyperlink"/>
            <w:rFonts w:cstheme="minorHAnsi"/>
            <w:lang w:eastAsia="ja-JP"/>
          </w:rPr>
          <w:t>Australian Bureau of Statistics</w:t>
        </w:r>
      </w:hyperlink>
      <w:r w:rsidRPr="008347AB">
        <w:rPr>
          <w:rFonts w:cstheme="minorHAnsi"/>
          <w:lang w:eastAsia="ja-JP"/>
        </w:rPr>
        <w:t>.</w:t>
      </w:r>
    </w:p>
    <w:p w14:paraId="27399F97" w14:textId="2CB1282C" w:rsidR="00F97F8E" w:rsidRDefault="00F97F8E" w:rsidP="00F97F8E">
      <w:pPr>
        <w:pStyle w:val="Heading4"/>
        <w:rPr>
          <w:lang w:eastAsia="ja-JP"/>
        </w:rPr>
      </w:pPr>
      <w:r>
        <w:rPr>
          <w:lang w:eastAsia="ja-JP"/>
        </w:rPr>
        <w:t>Indexation</w:t>
      </w:r>
    </w:p>
    <w:p w14:paraId="6A64BA5E" w14:textId="44F98020" w:rsidR="00846898" w:rsidRDefault="00F97F8E" w:rsidP="003354D5">
      <w:r w:rsidRPr="00F97F8E">
        <w:t xml:space="preserve">Indexation provisions in biosecurity </w:t>
      </w:r>
      <w:r>
        <w:t>and imported food legislation</w:t>
      </w:r>
      <w:r w:rsidRPr="00F97F8E">
        <w:t xml:space="preserve"> </w:t>
      </w:r>
      <w:r w:rsidR="00F328FB">
        <w:t>provide the</w:t>
      </w:r>
      <w:r w:rsidRPr="00F97F8E">
        <w:t xml:space="preserve"> methodology for </w:t>
      </w:r>
      <w:r w:rsidR="00433EFC">
        <w:t xml:space="preserve">determining if indexation will </w:t>
      </w:r>
      <w:r w:rsidR="00433EFC" w:rsidRPr="00433EFC">
        <w:t>increase the dollar amounts imposed for specified fees or charges</w:t>
      </w:r>
      <w:r w:rsidR="00433EFC">
        <w:t>. Th</w:t>
      </w:r>
      <w:r w:rsidR="00846898">
        <w:t>is</w:t>
      </w:r>
      <w:r w:rsidR="00433EFC">
        <w:t xml:space="preserve"> is a 2-step process, where the indexation factor is calculated</w:t>
      </w:r>
      <w:r w:rsidR="00382F48">
        <w:t xml:space="preserve"> </w:t>
      </w:r>
      <w:r w:rsidR="00433EFC">
        <w:t xml:space="preserve">and if greater than </w:t>
      </w:r>
      <w:r w:rsidR="009127EC">
        <w:t>one</w:t>
      </w:r>
      <w:r w:rsidR="00846898">
        <w:t xml:space="preserve">, </w:t>
      </w:r>
      <w:r w:rsidR="00433EFC">
        <w:t>is used to calculate the indexed fee or charge.</w:t>
      </w:r>
    </w:p>
    <w:p w14:paraId="6C80D2DF" w14:textId="492702DF" w:rsidR="00F97F8E" w:rsidRDefault="005C47B5" w:rsidP="003354D5">
      <w:hyperlink w:anchor="_Step__1" w:history="1">
        <w:r w:rsidR="00B14194" w:rsidRPr="00B14194">
          <w:rPr>
            <w:rStyle w:val="Hyperlink"/>
          </w:rPr>
          <w:t>Step 1</w:t>
        </w:r>
      </w:hyperlink>
      <w:r w:rsidR="00B14194">
        <w:t xml:space="preserve"> </w:t>
      </w:r>
      <w:r w:rsidR="00057750">
        <w:t xml:space="preserve">describes how the indexation factor </w:t>
      </w:r>
      <w:r w:rsidR="00382F48">
        <w:t>was</w:t>
      </w:r>
      <w:r w:rsidR="00057750">
        <w:t xml:space="preserve"> calculated</w:t>
      </w:r>
      <w:r w:rsidR="00433EFC">
        <w:t xml:space="preserve"> and </w:t>
      </w:r>
      <w:hyperlink w:anchor="_Step_2_Calculate" w:history="1">
        <w:r w:rsidR="00B14194" w:rsidRPr="00B14194">
          <w:rPr>
            <w:rStyle w:val="Hyperlink"/>
          </w:rPr>
          <w:t>Step 2</w:t>
        </w:r>
      </w:hyperlink>
      <w:r w:rsidR="00B14194">
        <w:t xml:space="preserve"> </w:t>
      </w:r>
      <w:r w:rsidR="00116E0A">
        <w:fldChar w:fldCharType="begin"/>
      </w:r>
      <w:r w:rsidR="00116E0A">
        <w:instrText xml:space="preserve"> REF Box_3 \h </w:instrText>
      </w:r>
      <w:r w:rsidR="00116E0A">
        <w:fldChar w:fldCharType="end"/>
      </w:r>
      <w:r w:rsidR="008247FF">
        <w:fldChar w:fldCharType="begin"/>
      </w:r>
      <w:r w:rsidR="008247FF">
        <w:instrText xml:space="preserve"> REF Box_3 \h </w:instrText>
      </w:r>
      <w:r w:rsidR="008247FF">
        <w:fldChar w:fldCharType="end"/>
      </w:r>
      <w:r w:rsidR="00433EFC">
        <w:t xml:space="preserve">describes how the indexed amount for 1 July 2024 was </w:t>
      </w:r>
      <w:r w:rsidR="00846898">
        <w:t>calculated.</w:t>
      </w:r>
    </w:p>
    <w:p w14:paraId="642CA413" w14:textId="77777777" w:rsidR="008D249D" w:rsidRPr="008C27C9" w:rsidRDefault="008D249D" w:rsidP="008C27C9">
      <w:pPr>
        <w:pStyle w:val="Heading5"/>
      </w:pPr>
      <w:bookmarkStart w:id="112" w:name="_Step__1"/>
      <w:bookmarkEnd w:id="112"/>
      <w:r w:rsidRPr="008C27C9">
        <w:t>Step 1 Calculate the ‘indexation factor’ for 1 July 2024</w:t>
      </w:r>
    </w:p>
    <w:p w14:paraId="06101CB0" w14:textId="77777777" w:rsidR="008D249D" w:rsidRDefault="008D249D" w:rsidP="008D249D">
      <w:r w:rsidRPr="008D249D">
        <w:t xml:space="preserve">The indexation factor for 1 July 2024 is </w:t>
      </w:r>
      <w:r>
        <w:t>calculated</w:t>
      </w:r>
      <w:r w:rsidRPr="008D249D">
        <w:t xml:space="preserve"> using the </w:t>
      </w:r>
      <w:hyperlink r:id="rId46" w:history="1">
        <w:r>
          <w:rPr>
            <w:rStyle w:val="Hyperlink"/>
          </w:rPr>
          <w:t>All-Groups Consumer Price Index (CPI) number</w:t>
        </w:r>
      </w:hyperlink>
      <w:r w:rsidRPr="008D249D">
        <w:t xml:space="preserve"> for the 2023 December quarter and the CPI for the 2022 December quarter.</w:t>
      </w:r>
    </w:p>
    <w:p w14:paraId="4115F041" w14:textId="6CF0FD0D" w:rsidR="008D249D" w:rsidRPr="008D249D" w:rsidRDefault="008D249D" w:rsidP="008C27C9">
      <w:r w:rsidRPr="008D249D">
        <w:t>The formula is:</w:t>
      </w:r>
    </w:p>
    <w:p w14:paraId="411F7998" w14:textId="2E615D97" w:rsidR="008D249D" w:rsidRDefault="008D249D" w:rsidP="008D249D">
      <w:pPr>
        <w:pStyle w:val="Quote"/>
      </w:pPr>
      <w:r w:rsidRPr="00485201">
        <w:lastRenderedPageBreak/>
        <w:t>CPI for the 2023 December quarter (reference quarter) ÷ CPI for the 2022 December quarter (base quarter) = Indexation factor</w:t>
      </w:r>
      <w:r w:rsidRPr="0083269C">
        <w:t xml:space="preserve"> (136.1 ÷ 130.8 </w:t>
      </w:r>
      <w:r w:rsidRPr="00485201">
        <w:t>=</w:t>
      </w:r>
      <w:r w:rsidRPr="0083269C">
        <w:t xml:space="preserve"> </w:t>
      </w:r>
      <w:r w:rsidRPr="00485201">
        <w:t>1.041</w:t>
      </w:r>
      <w:r w:rsidRPr="0083269C">
        <w:t>)</w:t>
      </w:r>
    </w:p>
    <w:p w14:paraId="37387524" w14:textId="67576533" w:rsidR="008D249D" w:rsidRDefault="008D249D" w:rsidP="008D249D">
      <w:r w:rsidRPr="008D249D">
        <w:t>Based on this formula, the indexation factor for July 2024 is 1.041.</w:t>
      </w:r>
    </w:p>
    <w:p w14:paraId="6180AA55" w14:textId="4EFDF5D0" w:rsidR="008D249D" w:rsidRDefault="008D249D" w:rsidP="00B14194">
      <w:pPr>
        <w:pStyle w:val="Heading5"/>
      </w:pPr>
      <w:bookmarkStart w:id="113" w:name="_Step_2_Calculate"/>
      <w:bookmarkEnd w:id="113"/>
      <w:r w:rsidRPr="006571E3">
        <w:t>Step 2 Calculate the ‘indexed amount’ for the fee or charge in question</w:t>
      </w:r>
    </w:p>
    <w:p w14:paraId="48838E49" w14:textId="6AE7BBAA" w:rsidR="008D249D" w:rsidRDefault="008D249D" w:rsidP="008D249D">
      <w:r w:rsidRPr="008D249D">
        <w:t>Because the indexation factor for 1 July 2024 is greater than 1, fees and charges covered by an indexation provision will be indexed using:</w:t>
      </w:r>
    </w:p>
    <w:p w14:paraId="5723ED75" w14:textId="65DFCEC6" w:rsidR="008D249D" w:rsidRDefault="008D249D" w:rsidP="008D249D">
      <w:pPr>
        <w:pStyle w:val="Quote"/>
      </w:pPr>
      <w:r w:rsidRPr="008D249D">
        <w:t>the dollar amount of the relevant fee or charge immediately before 1 July 2024 × the indexation factor for 1 July 2024 (1.041).</w:t>
      </w:r>
    </w:p>
    <w:p w14:paraId="45D6325C" w14:textId="48C5A497" w:rsidR="008D249D" w:rsidRPr="008D249D" w:rsidRDefault="008D249D" w:rsidP="008D249D">
      <w:r w:rsidRPr="008D249D">
        <w:t>The indexed amount of the fee or charge is to the nearest whole dollar</w:t>
      </w:r>
      <w:r w:rsidR="008C27C9">
        <w:t>.</w:t>
      </w:r>
    </w:p>
    <w:p w14:paraId="3EBA2DBD" w14:textId="437508F6" w:rsidR="008C27C9" w:rsidRDefault="00545DBC" w:rsidP="00846898">
      <w:bookmarkStart w:id="114" w:name="Box_3"/>
      <w:bookmarkStart w:id="115" w:name="Title_A4"/>
      <w:bookmarkEnd w:id="114"/>
      <w:r w:rsidRPr="00545DBC">
        <w:t xml:space="preserve">The methodology for </w:t>
      </w:r>
      <w:r w:rsidR="00266818">
        <w:t>calculating</w:t>
      </w:r>
      <w:r>
        <w:t xml:space="preserve"> indexed prices for </w:t>
      </w:r>
      <w:r w:rsidRPr="00545DBC">
        <w:t>biosecurity fees and charges is prescribed in the</w:t>
      </w:r>
      <w:r w:rsidR="008C27C9">
        <w:t>:</w:t>
      </w:r>
    </w:p>
    <w:p w14:paraId="463B77AC" w14:textId="1E638C05" w:rsidR="008C27C9" w:rsidRDefault="00545DBC" w:rsidP="008C27C9">
      <w:pPr>
        <w:pStyle w:val="ListBullet"/>
      </w:pPr>
      <w:r w:rsidRPr="00545DBC">
        <w:t>Biosecurity Regulation 2016, Chapter 9, Part 2, Division 1, Section 107A (indexation of fees)</w:t>
      </w:r>
    </w:p>
    <w:p w14:paraId="5DE240D3" w14:textId="5B9D8390" w:rsidR="008C27C9" w:rsidRDefault="008C27C9" w:rsidP="008C27C9">
      <w:pPr>
        <w:pStyle w:val="ListBullet"/>
      </w:pPr>
      <w:r w:rsidRPr="00545DBC">
        <w:t>Biosecurity Charges Imposition (Customs) Regulation 2016</w:t>
      </w:r>
      <w:r w:rsidR="00545DBC" w:rsidRPr="00545DBC">
        <w:t xml:space="preserve"> Part 2, Section 9A (indexation of charges) </w:t>
      </w:r>
    </w:p>
    <w:p w14:paraId="7C8B235C" w14:textId="088C7EA4" w:rsidR="00545DBC" w:rsidRDefault="008C27C9" w:rsidP="008C27C9">
      <w:pPr>
        <w:pStyle w:val="ListBullet"/>
      </w:pPr>
      <w:r w:rsidRPr="00545DBC">
        <w:t>Biosecurity Charges Imposition (General) Regulation 2016</w:t>
      </w:r>
      <w:r>
        <w:t xml:space="preserve">, </w:t>
      </w:r>
      <w:r w:rsidR="00545DBC" w:rsidRPr="00545DBC">
        <w:t>Part 2, Section 9A (indexation of charges)</w:t>
      </w:r>
      <w:r>
        <w:t>.</w:t>
      </w:r>
    </w:p>
    <w:p w14:paraId="0D199022" w14:textId="7BE5A4AC" w:rsidR="009127EC" w:rsidRDefault="00545DBC" w:rsidP="00545DBC">
      <w:r>
        <w:t xml:space="preserve">The methodology for </w:t>
      </w:r>
      <w:r w:rsidR="00266818">
        <w:t>calculating</w:t>
      </w:r>
      <w:r>
        <w:t xml:space="preserve"> indexed prices for imported food chargeable services and charges </w:t>
      </w:r>
      <w:r w:rsidR="00382F48">
        <w:t>is</w:t>
      </w:r>
      <w:r>
        <w:t xml:space="preserve"> prescribed in</w:t>
      </w:r>
      <w:r w:rsidR="008C27C9">
        <w:t xml:space="preserve"> the</w:t>
      </w:r>
      <w:r w:rsidR="009127EC">
        <w:t>:</w:t>
      </w:r>
    </w:p>
    <w:p w14:paraId="52B72CCF" w14:textId="61482399" w:rsidR="008C27C9" w:rsidRDefault="00545DBC" w:rsidP="008C27C9">
      <w:pPr>
        <w:pStyle w:val="ListBullet"/>
      </w:pPr>
      <w:r>
        <w:t>Imported Food Control Regulations 2019, Part 4, Section 30A (indexation of charges)</w:t>
      </w:r>
    </w:p>
    <w:p w14:paraId="762E62C3" w14:textId="6304BB93" w:rsidR="008C27C9" w:rsidRDefault="008C27C9" w:rsidP="008C27C9">
      <w:pPr>
        <w:pStyle w:val="ListBullet"/>
      </w:pPr>
      <w:r>
        <w:t xml:space="preserve">Imported Food Charges (Imposition – Customs) Regulation 2015, </w:t>
      </w:r>
      <w:r w:rsidR="00545DBC">
        <w:t xml:space="preserve">Part 2, Section 6A (indexation of charges) </w:t>
      </w:r>
    </w:p>
    <w:p w14:paraId="1BC69FEA" w14:textId="1FB69CA5" w:rsidR="00545DBC" w:rsidRDefault="008C27C9" w:rsidP="00324DFC">
      <w:pPr>
        <w:pStyle w:val="ListBullet"/>
      </w:pPr>
      <w:r>
        <w:t xml:space="preserve">Imported Food Charges (Imposition - General) Regulation </w:t>
      </w:r>
      <w:r w:rsidR="00A60972">
        <w:t xml:space="preserve">2015 </w:t>
      </w:r>
      <w:r w:rsidR="00A60972" w:rsidRPr="00A60972">
        <w:t>Part</w:t>
      </w:r>
      <w:r w:rsidR="00545DBC">
        <w:t xml:space="preserve"> 2, Section 6A (Indexation of charges) </w:t>
      </w:r>
    </w:p>
    <w:p w14:paraId="505FA2DC" w14:textId="77777777" w:rsidR="00545DBC" w:rsidRDefault="00545DBC" w:rsidP="00545DBC">
      <w:r w:rsidRPr="00846898">
        <w:t xml:space="preserve">The department applied indexation in accordance with legislation, to set regulatory charges for 2024–25. These updated prices will be in effect from 1 July 2024, </w:t>
      </w:r>
      <w:hyperlink w:anchor="_Toc158750463" w:history="1">
        <w:r w:rsidRPr="00846898">
          <w:rPr>
            <w:rStyle w:val="Hyperlink"/>
          </w:rPr>
          <w:t>section 3.6</w:t>
        </w:r>
      </w:hyperlink>
      <w:r w:rsidRPr="00846898">
        <w:t>.</w:t>
      </w:r>
    </w:p>
    <w:p w14:paraId="216F1FBF" w14:textId="5410EEC3" w:rsidR="00AA193C" w:rsidRPr="00CE797C" w:rsidRDefault="00E95A96" w:rsidP="00846898">
      <w:pPr>
        <w:pStyle w:val="Heading4"/>
        <w:rPr>
          <w:lang w:eastAsia="ja-JP"/>
        </w:rPr>
      </w:pPr>
      <w:bookmarkStart w:id="116" w:name="_Self-Assessed_Clearance_(SAC)"/>
      <w:bookmarkEnd w:id="116"/>
      <w:r w:rsidRPr="00CE797C">
        <w:rPr>
          <w:lang w:eastAsia="ja-JP"/>
        </w:rPr>
        <w:t>Self-As</w:t>
      </w:r>
      <w:r w:rsidR="007E7793" w:rsidRPr="00CE797C">
        <w:rPr>
          <w:lang w:eastAsia="ja-JP"/>
        </w:rPr>
        <w:t>sessed Clearance</w:t>
      </w:r>
      <w:r w:rsidR="00F848FC">
        <w:rPr>
          <w:lang w:eastAsia="ja-JP"/>
        </w:rPr>
        <w:t xml:space="preserve"> (SAC)</w:t>
      </w:r>
      <w:r w:rsidR="007E7793" w:rsidRPr="00CE797C">
        <w:rPr>
          <w:lang w:eastAsia="ja-JP"/>
        </w:rPr>
        <w:t xml:space="preserve"> cost recovery</w:t>
      </w:r>
    </w:p>
    <w:bookmarkEnd w:id="115"/>
    <w:p w14:paraId="46DADAC3" w14:textId="62BC4B38" w:rsidR="00010421" w:rsidRDefault="00010421" w:rsidP="00010421">
      <w:pPr>
        <w:rPr>
          <w:lang w:eastAsia="ja-JP"/>
        </w:rPr>
      </w:pPr>
      <w:r>
        <w:rPr>
          <w:lang w:eastAsia="ja-JP"/>
        </w:rPr>
        <w:t xml:space="preserve">As part of its election commitment to sustainably fund the Commonwealth biosecurity system, the government announced in the </w:t>
      </w:r>
      <w:r w:rsidRPr="00F700D1">
        <w:rPr>
          <w:lang w:eastAsia="ja-JP"/>
        </w:rPr>
        <w:t>2023</w:t>
      </w:r>
      <w:r w:rsidR="00F700D1" w:rsidRPr="00F700D1">
        <w:rPr>
          <w:lang w:eastAsia="ja-JP"/>
        </w:rPr>
        <w:t>–</w:t>
      </w:r>
      <w:r w:rsidRPr="00F700D1">
        <w:rPr>
          <w:lang w:eastAsia="ja-JP"/>
        </w:rPr>
        <w:t>24</w:t>
      </w:r>
      <w:r>
        <w:rPr>
          <w:lang w:eastAsia="ja-JP"/>
        </w:rPr>
        <w:t xml:space="preserve"> Federal Budget that it will extend the biosecurity industry cost recovery arrangement to include low value goods imported into Australian territory </w:t>
      </w:r>
      <w:r w:rsidR="00322D85">
        <w:rPr>
          <w:lang w:eastAsia="ja-JP"/>
        </w:rPr>
        <w:t xml:space="preserve">in the </w:t>
      </w:r>
      <w:r>
        <w:rPr>
          <w:lang w:eastAsia="ja-JP"/>
        </w:rPr>
        <w:t>2024</w:t>
      </w:r>
      <w:r w:rsidR="0006656C">
        <w:rPr>
          <w:lang w:eastAsia="ja-JP"/>
        </w:rPr>
        <w:t>–</w:t>
      </w:r>
      <w:r w:rsidR="00322D85">
        <w:rPr>
          <w:lang w:eastAsia="ja-JP"/>
        </w:rPr>
        <w:t>2025 financial year</w:t>
      </w:r>
      <w:r>
        <w:rPr>
          <w:lang w:eastAsia="ja-JP"/>
        </w:rPr>
        <w:t>. These costs are currently being met by general taxpayers. Revenue raised from this new charge will flow directly to biosecurity. Industry engagement on the design of this measure is underway.</w:t>
      </w:r>
    </w:p>
    <w:p w14:paraId="58045FF0" w14:textId="16EC0477" w:rsidR="007D110A" w:rsidRDefault="00010421" w:rsidP="00010421">
      <w:pPr>
        <w:rPr>
          <w:lang w:eastAsia="ja-JP"/>
        </w:rPr>
      </w:pPr>
      <w:r>
        <w:rPr>
          <w:lang w:eastAsia="ja-JP"/>
        </w:rPr>
        <w:t xml:space="preserve">The volume and nature of low value goods coming into Australia, via air or sea, and the underlying countries of origin, have been steadily increasing. This largely reflects the growing international ecommerce market. In </w:t>
      </w:r>
      <w:r w:rsidRPr="00F700D1">
        <w:rPr>
          <w:lang w:eastAsia="ja-JP"/>
        </w:rPr>
        <w:t>2022</w:t>
      </w:r>
      <w:r w:rsidR="00F700D1" w:rsidRPr="00F700D1">
        <w:rPr>
          <w:lang w:eastAsia="ja-JP"/>
        </w:rPr>
        <w:t>–</w:t>
      </w:r>
      <w:r w:rsidRPr="00F700D1">
        <w:rPr>
          <w:lang w:eastAsia="ja-JP"/>
        </w:rPr>
        <w:t>23</w:t>
      </w:r>
      <w:r w:rsidRPr="000352E9">
        <w:rPr>
          <w:lang w:eastAsia="ja-JP"/>
        </w:rPr>
        <w:t>,</w:t>
      </w:r>
      <w:r>
        <w:rPr>
          <w:lang w:eastAsia="ja-JP"/>
        </w:rPr>
        <w:t xml:space="preserve"> over 85 million items were brought in. However, as with other cargo and mail items, Australia is facing growing biosecurity risks </w:t>
      </w:r>
      <w:r w:rsidR="00813870">
        <w:rPr>
          <w:lang w:eastAsia="ja-JP"/>
        </w:rPr>
        <w:t xml:space="preserve">through </w:t>
      </w:r>
      <w:r>
        <w:rPr>
          <w:lang w:eastAsia="ja-JP"/>
        </w:rPr>
        <w:t xml:space="preserve">this pathway. Our biosecurity </w:t>
      </w:r>
      <w:r>
        <w:rPr>
          <w:lang w:eastAsia="ja-JP"/>
        </w:rPr>
        <w:lastRenderedPageBreak/>
        <w:t>efforts, in partnership with industry, need to support efficient clearance of low-risk items while ensuring adequate protections against introduction of higher risk items.</w:t>
      </w:r>
    </w:p>
    <w:p w14:paraId="475BA6BF" w14:textId="6B68B098" w:rsidR="001618E7" w:rsidRDefault="001618E7" w:rsidP="00010421">
      <w:pPr>
        <w:rPr>
          <w:lang w:eastAsia="ja-JP"/>
        </w:rPr>
      </w:pPr>
      <w:r>
        <w:rPr>
          <w:lang w:eastAsia="ja-JP"/>
        </w:rPr>
        <w:t xml:space="preserve">In the first year of operation there will be a separate document describing SAC cost recovery in detail. </w:t>
      </w:r>
      <w:r w:rsidR="006B0998">
        <w:rPr>
          <w:lang w:eastAsia="ja-JP"/>
        </w:rPr>
        <w:t>In subsequent years</w:t>
      </w:r>
      <w:r w:rsidR="00813870">
        <w:rPr>
          <w:lang w:eastAsia="ja-JP"/>
        </w:rPr>
        <w:t>,</w:t>
      </w:r>
      <w:r>
        <w:rPr>
          <w:lang w:eastAsia="ja-JP"/>
        </w:rPr>
        <w:t xml:space="preserve"> cost recovery for SACs will be reflected in the </w:t>
      </w:r>
      <w:r w:rsidRPr="004A07DC">
        <w:t>Biosecurity Cost Recovery Arrangement</w:t>
      </w:r>
      <w:r>
        <w:t xml:space="preserve"> </w:t>
      </w:r>
      <w:r w:rsidR="006B0998">
        <w:t>CRIS</w:t>
      </w:r>
      <w:r>
        <w:t>.</w:t>
      </w:r>
    </w:p>
    <w:p w14:paraId="62E67596" w14:textId="0AFEC21C" w:rsidR="00D34343" w:rsidRPr="0029167F" w:rsidRDefault="00D34343" w:rsidP="00CD6886">
      <w:pPr>
        <w:pStyle w:val="Heading3"/>
        <w:rPr>
          <w:lang w:eastAsia="ja-JP"/>
        </w:rPr>
      </w:pPr>
      <w:bookmarkStart w:id="117" w:name="_Toc158750463"/>
      <w:bookmarkStart w:id="118" w:name="_Toc158891113"/>
      <w:bookmarkStart w:id="119" w:name="_Toc158750464"/>
      <w:bookmarkStart w:id="120" w:name="_Toc158891114"/>
      <w:bookmarkStart w:id="121" w:name="_Toc158750465"/>
      <w:bookmarkStart w:id="122" w:name="_Toc158891115"/>
      <w:bookmarkStart w:id="123" w:name="_Toc158750466"/>
      <w:bookmarkStart w:id="124" w:name="_Toc158891116"/>
      <w:bookmarkStart w:id="125" w:name="_Toc158750467"/>
      <w:bookmarkStart w:id="126" w:name="_Toc158891117"/>
      <w:bookmarkStart w:id="127" w:name="_Toc158750468"/>
      <w:bookmarkStart w:id="128" w:name="_Toc158891118"/>
      <w:bookmarkStart w:id="129" w:name="_Biosecurity_fees_and"/>
      <w:bookmarkStart w:id="130" w:name="_Toc158750469"/>
      <w:bookmarkStart w:id="131" w:name="_Toc158891119"/>
      <w:bookmarkStart w:id="132" w:name="_Ref135815618"/>
      <w:bookmarkStart w:id="133" w:name="_Ref135815682"/>
      <w:bookmarkStart w:id="134" w:name="_Ref135815717"/>
      <w:bookmarkStart w:id="135" w:name="_Toc168489257"/>
      <w:bookmarkStart w:id="136" w:name="_Toc168489554"/>
      <w:bookmarkStart w:id="137" w:name="_Toc168645252"/>
      <w:bookmarkEnd w:id="111"/>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29167F">
        <w:rPr>
          <w:lang w:eastAsia="ja-JP"/>
        </w:rPr>
        <w:t>Biosecurity fees and charges</w:t>
      </w:r>
      <w:bookmarkEnd w:id="132"/>
      <w:bookmarkEnd w:id="133"/>
      <w:bookmarkEnd w:id="134"/>
      <w:r w:rsidR="008B40C6">
        <w:rPr>
          <w:lang w:eastAsia="ja-JP"/>
        </w:rPr>
        <w:t xml:space="preserve"> (levies)</w:t>
      </w:r>
      <w:bookmarkEnd w:id="135"/>
      <w:bookmarkEnd w:id="136"/>
      <w:bookmarkEnd w:id="137"/>
    </w:p>
    <w:p w14:paraId="64F491CA" w14:textId="53C5BA21" w:rsidR="0071200E" w:rsidRPr="00257ED0" w:rsidRDefault="0071200E" w:rsidP="0071200E">
      <w:pPr>
        <w:rPr>
          <w:rFonts w:cstheme="minorHAnsi"/>
          <w:lang w:eastAsia="ja-JP"/>
        </w:rPr>
      </w:pPr>
      <w:r w:rsidRPr="00A22A9A">
        <w:rPr>
          <w:rFonts w:cstheme="minorHAnsi"/>
          <w:lang w:eastAsia="ja-JP"/>
        </w:rPr>
        <w:t>Fees and charges</w:t>
      </w:r>
      <w:r w:rsidR="008B40C6">
        <w:rPr>
          <w:rFonts w:cstheme="minorHAnsi"/>
          <w:lang w:eastAsia="ja-JP"/>
        </w:rPr>
        <w:t xml:space="preserve"> (levies)</w:t>
      </w:r>
      <w:r w:rsidRPr="00A22A9A">
        <w:rPr>
          <w:rFonts w:cstheme="minorHAnsi"/>
          <w:lang w:eastAsia="ja-JP"/>
        </w:rPr>
        <w:t xml:space="preserve"> have been rounded to </w:t>
      </w:r>
      <w:r w:rsidR="00AA1462">
        <w:rPr>
          <w:rFonts w:cstheme="minorHAnsi"/>
          <w:lang w:eastAsia="ja-JP"/>
        </w:rPr>
        <w:t xml:space="preserve">the </w:t>
      </w:r>
      <w:r w:rsidRPr="00A22A9A">
        <w:rPr>
          <w:rFonts w:cstheme="minorHAnsi"/>
          <w:lang w:eastAsia="ja-JP"/>
        </w:rPr>
        <w:t>nearest whole dollar for ease of calculation</w:t>
      </w:r>
      <w:r w:rsidR="004563D6">
        <w:rPr>
          <w:rFonts w:cstheme="minorHAnsi"/>
          <w:lang w:eastAsia="ja-JP"/>
        </w:rPr>
        <w:t>.</w:t>
      </w:r>
      <w:r w:rsidRPr="00A22A9A">
        <w:rPr>
          <w:rFonts w:cstheme="minorHAnsi"/>
          <w:lang w:eastAsia="ja-JP"/>
        </w:rPr>
        <w:t xml:space="preserve"> Variances between estimated costs and estimated revenue are the result of applying rounding to prices. Actual recovery of costs is dependent upon the costs incurred and the volume of transactions, imports or activities performed.</w:t>
      </w:r>
    </w:p>
    <w:p w14:paraId="3B01634B" w14:textId="77777777" w:rsidR="00324DFC" w:rsidRDefault="0071200E" w:rsidP="0071200E">
      <w:pPr>
        <w:rPr>
          <w:rFonts w:cstheme="minorHAnsi"/>
          <w:lang w:eastAsia="ja-JP"/>
        </w:rPr>
      </w:pPr>
      <w:r w:rsidRPr="00257ED0">
        <w:rPr>
          <w:rFonts w:cstheme="minorHAnsi"/>
          <w:lang w:eastAsia="ja-JP"/>
        </w:rPr>
        <w:t>For some animal imports at the PEQ, we do not have any forecast import volumes, however, there are fixed costs that we cannot avoid. These costs are not cross subsidised by other imports but are managed by the department through other funding sources, typically government appropriation. A</w:t>
      </w:r>
      <w:r w:rsidR="00220E49">
        <w:rPr>
          <w:rFonts w:cstheme="minorHAnsi"/>
          <w:lang w:eastAsia="ja-JP"/>
        </w:rPr>
        <w:t xml:space="preserve"> </w:t>
      </w:r>
      <w:r w:rsidRPr="00257ED0">
        <w:rPr>
          <w:rFonts w:cstheme="minorHAnsi"/>
          <w:lang w:eastAsia="ja-JP"/>
        </w:rPr>
        <w:t>price is determined to recover some of those fixed costs along with the variable costs, should an import occur.</w:t>
      </w:r>
    </w:p>
    <w:p w14:paraId="085202ED" w14:textId="1DC12FF2" w:rsidR="00E25190" w:rsidRDefault="00E25190" w:rsidP="0071200E">
      <w:pPr>
        <w:rPr>
          <w:rFonts w:cstheme="minorHAnsi"/>
          <w:lang w:eastAsia="ja-JP"/>
        </w:rPr>
      </w:pPr>
      <w:r w:rsidRPr="0029167F">
        <w:rPr>
          <w:rFonts w:cstheme="minorHAnsi"/>
          <w:lang w:eastAsia="ja-JP"/>
        </w:rPr>
        <w:t xml:space="preserve">The amounts payable shown in </w:t>
      </w:r>
      <w:r w:rsidR="004058A7" w:rsidRPr="004058A7">
        <w:rPr>
          <w:rFonts w:cstheme="minorHAnsi"/>
          <w:lang w:eastAsia="ja-JP"/>
        </w:rPr>
        <w:fldChar w:fldCharType="begin"/>
      </w:r>
      <w:r w:rsidR="004058A7" w:rsidRPr="004058A7">
        <w:rPr>
          <w:rFonts w:cstheme="minorHAnsi"/>
          <w:lang w:eastAsia="ja-JP"/>
        </w:rPr>
        <w:instrText xml:space="preserve"> REF _Ref135836336 \h </w:instrText>
      </w:r>
      <w:r w:rsidR="004058A7">
        <w:rPr>
          <w:rFonts w:cstheme="minorHAnsi"/>
          <w:lang w:eastAsia="ja-JP"/>
        </w:rPr>
        <w:instrText xml:space="preserve"> \* MERGEFORMAT </w:instrText>
      </w:r>
      <w:r w:rsidR="004058A7" w:rsidRPr="004058A7">
        <w:rPr>
          <w:rFonts w:cstheme="minorHAnsi"/>
          <w:lang w:eastAsia="ja-JP"/>
        </w:rPr>
      </w:r>
      <w:r w:rsidR="004058A7" w:rsidRPr="004058A7">
        <w:rPr>
          <w:rFonts w:cstheme="minorHAnsi"/>
          <w:lang w:eastAsia="ja-JP"/>
        </w:rPr>
        <w:fldChar w:fldCharType="separate"/>
      </w:r>
      <w:r w:rsidR="006D5EF4" w:rsidRPr="006D5EF4">
        <w:rPr>
          <w:rFonts w:cstheme="minorHAnsi"/>
        </w:rPr>
        <w:t xml:space="preserve">Table </w:t>
      </w:r>
      <w:r w:rsidR="006D5EF4" w:rsidRPr="006D5EF4">
        <w:rPr>
          <w:rFonts w:cstheme="minorHAnsi"/>
          <w:noProof/>
        </w:rPr>
        <w:t>3</w:t>
      </w:r>
      <w:r w:rsidR="004058A7" w:rsidRPr="004058A7">
        <w:rPr>
          <w:rFonts w:cstheme="minorHAnsi"/>
          <w:lang w:eastAsia="ja-JP"/>
        </w:rPr>
        <w:fldChar w:fldCharType="end"/>
      </w:r>
      <w:r w:rsidR="00735D54">
        <w:rPr>
          <w:rFonts w:cstheme="minorHAnsi"/>
          <w:lang w:eastAsia="ja-JP"/>
        </w:rPr>
        <w:t xml:space="preserve"> </w:t>
      </w:r>
      <w:r w:rsidR="00CF46CF" w:rsidRPr="0029167F">
        <w:rPr>
          <w:rFonts w:cstheme="minorHAnsi"/>
          <w:lang w:eastAsia="ja-JP"/>
        </w:rPr>
        <w:t>reflect</w:t>
      </w:r>
      <w:r w:rsidR="008F1B4E">
        <w:rPr>
          <w:rFonts w:cstheme="minorHAnsi"/>
          <w:lang w:eastAsia="ja-JP"/>
        </w:rPr>
        <w:t>s</w:t>
      </w:r>
      <w:r w:rsidR="00CF46CF" w:rsidRPr="0029167F">
        <w:rPr>
          <w:rFonts w:cstheme="minorHAnsi"/>
          <w:lang w:eastAsia="ja-JP"/>
        </w:rPr>
        <w:t xml:space="preserve"> the volumes </w:t>
      </w:r>
      <w:r w:rsidR="00565E5F" w:rsidRPr="0029167F">
        <w:rPr>
          <w:rFonts w:cstheme="minorHAnsi"/>
          <w:lang w:eastAsia="ja-JP"/>
        </w:rPr>
        <w:t xml:space="preserve">and </w:t>
      </w:r>
      <w:r w:rsidR="001A6F91">
        <w:rPr>
          <w:rFonts w:cstheme="minorHAnsi"/>
          <w:lang w:eastAsia="ja-JP"/>
        </w:rPr>
        <w:t>current</w:t>
      </w:r>
      <w:r w:rsidR="001A6F91" w:rsidRPr="0029167F">
        <w:rPr>
          <w:rFonts w:cstheme="minorHAnsi"/>
          <w:lang w:eastAsia="ja-JP"/>
        </w:rPr>
        <w:t xml:space="preserve"> </w:t>
      </w:r>
      <w:r w:rsidR="00565E5F" w:rsidRPr="0029167F">
        <w:rPr>
          <w:rFonts w:cstheme="minorHAnsi"/>
          <w:lang w:eastAsia="ja-JP"/>
        </w:rPr>
        <w:t xml:space="preserve">costs </w:t>
      </w:r>
      <w:r w:rsidR="00CF46CF" w:rsidRPr="0029167F">
        <w:rPr>
          <w:rFonts w:cstheme="minorHAnsi"/>
          <w:lang w:eastAsia="ja-JP"/>
        </w:rPr>
        <w:t>associated with biosecurity regulatory activities</w:t>
      </w:r>
      <w:r w:rsidR="00D2565A">
        <w:rPr>
          <w:rFonts w:cstheme="minorHAnsi"/>
          <w:lang w:eastAsia="ja-JP"/>
        </w:rPr>
        <w:t>.</w:t>
      </w:r>
    </w:p>
    <w:p w14:paraId="171B7BF6" w14:textId="15ABA93E" w:rsidR="00E62A4D" w:rsidRDefault="00E62A4D" w:rsidP="00E62A4D">
      <w:pPr>
        <w:pStyle w:val="Caption"/>
      </w:pPr>
      <w:bookmarkStart w:id="138" w:name="_Ref135836336"/>
      <w:bookmarkStart w:id="139" w:name="_Toc167086230"/>
      <w:bookmarkStart w:id="140" w:name="_Toc168645277"/>
      <w:r w:rsidRPr="00E54871">
        <w:t xml:space="preserve">Table </w:t>
      </w:r>
      <w:r w:rsidR="00FD4278">
        <w:fldChar w:fldCharType="begin"/>
      </w:r>
      <w:r w:rsidR="00FD4278">
        <w:instrText xml:space="preserve"> SEQ Table \* ARABIC </w:instrText>
      </w:r>
      <w:r w:rsidR="00FD4278">
        <w:fldChar w:fldCharType="separate"/>
      </w:r>
      <w:r w:rsidR="006D5EF4">
        <w:rPr>
          <w:noProof/>
        </w:rPr>
        <w:t>3</w:t>
      </w:r>
      <w:r w:rsidR="00FD4278">
        <w:rPr>
          <w:noProof/>
        </w:rPr>
        <w:fldChar w:fldCharType="end"/>
      </w:r>
      <w:bookmarkEnd w:id="138"/>
      <w:r w:rsidRPr="00E54871">
        <w:t xml:space="preserve"> </w:t>
      </w:r>
      <w:r w:rsidR="003C74E3" w:rsidRPr="00E54871">
        <w:t>Fees and c</w:t>
      </w:r>
      <w:r w:rsidRPr="00E54871">
        <w:t>harges</w:t>
      </w:r>
      <w:r w:rsidR="005A1D5C" w:rsidRPr="00E54871">
        <w:t xml:space="preserve"> </w:t>
      </w:r>
      <w:r w:rsidR="009B7B7A" w:rsidRPr="00E54871">
        <w:t>–</w:t>
      </w:r>
      <w:r w:rsidR="005A1D5C" w:rsidRPr="00E54871">
        <w:t xml:space="preserve"> </w:t>
      </w:r>
      <w:r w:rsidR="00905EEF" w:rsidRPr="00E54871">
        <w:t>cost</w:t>
      </w:r>
      <w:r w:rsidR="009B7B7A" w:rsidRPr="00E54871">
        <w:t xml:space="preserve">, </w:t>
      </w:r>
      <w:r w:rsidR="00905EEF" w:rsidRPr="00E54871">
        <w:t>estimated</w:t>
      </w:r>
      <w:r w:rsidRPr="00E54871">
        <w:t xml:space="preserve"> volumes </w:t>
      </w:r>
      <w:r w:rsidR="00905EEF" w:rsidRPr="00E54871">
        <w:t xml:space="preserve">and revenue </w:t>
      </w:r>
      <w:r w:rsidRPr="00E54871">
        <w:t xml:space="preserve">for biosecurity </w:t>
      </w:r>
      <w:r w:rsidR="008F1B4E" w:rsidRPr="00E54871">
        <w:t xml:space="preserve">cost recovery </w:t>
      </w:r>
      <w:r w:rsidRPr="00E54871">
        <w:t xml:space="preserve">arrangement, </w:t>
      </w:r>
      <w:bookmarkStart w:id="141" w:name="Table_3"/>
      <w:r w:rsidR="008E669F" w:rsidRPr="00E54871">
        <w:t>2024</w:t>
      </w:r>
      <w:r w:rsidR="006F1DEE">
        <w:t>–</w:t>
      </w:r>
      <w:r w:rsidR="008E669F" w:rsidRPr="00E54871">
        <w:t>25</w:t>
      </w:r>
      <w:bookmarkEnd w:id="139"/>
      <w:bookmarkEnd w:id="140"/>
    </w:p>
    <w:tbl>
      <w:tblPr>
        <w:tblW w:w="5040" w:type="pct"/>
        <w:tblBorders>
          <w:top w:val="single" w:sz="4" w:space="0" w:color="auto"/>
          <w:bottom w:val="single" w:sz="4" w:space="0" w:color="auto"/>
          <w:insideH w:val="single" w:sz="4" w:space="0" w:color="auto"/>
        </w:tblBorders>
        <w:tblLayout w:type="fixed"/>
        <w:tblCellMar>
          <w:left w:w="40" w:type="dxa"/>
          <w:right w:w="40" w:type="dxa"/>
        </w:tblCellMar>
        <w:tblLook w:val="04A0" w:firstRow="1" w:lastRow="0" w:firstColumn="1" w:lastColumn="0" w:noHBand="0" w:noVBand="1"/>
      </w:tblPr>
      <w:tblGrid>
        <w:gridCol w:w="1275"/>
        <w:gridCol w:w="1135"/>
        <w:gridCol w:w="2551"/>
        <w:gridCol w:w="1213"/>
        <w:gridCol w:w="772"/>
        <w:gridCol w:w="1102"/>
        <w:gridCol w:w="1209"/>
      </w:tblGrid>
      <w:tr w:rsidR="00BB4FCF" w:rsidRPr="00BB4FCF" w14:paraId="414A0C29" w14:textId="77777777" w:rsidTr="004C1CBD">
        <w:trPr>
          <w:tblHeader/>
        </w:trPr>
        <w:tc>
          <w:tcPr>
            <w:tcW w:w="689" w:type="pct"/>
          </w:tcPr>
          <w:p w14:paraId="465A1BE4" w14:textId="77777777" w:rsidR="00BB4FCF" w:rsidRPr="004375CA" w:rsidRDefault="00BB4FCF" w:rsidP="006F1DEE">
            <w:pPr>
              <w:pStyle w:val="TableHeading"/>
            </w:pPr>
            <w:bookmarkStart w:id="142" w:name="Title_3"/>
            <w:bookmarkEnd w:id="141"/>
            <w:bookmarkEnd w:id="142"/>
            <w:r w:rsidRPr="004375CA">
              <w:t>Type of charge</w:t>
            </w:r>
          </w:p>
        </w:tc>
        <w:tc>
          <w:tcPr>
            <w:tcW w:w="613" w:type="pct"/>
          </w:tcPr>
          <w:p w14:paraId="09ECC822" w14:textId="77777777" w:rsidR="00BB4FCF" w:rsidRPr="00BB4FCF" w:rsidRDefault="00BB4FCF" w:rsidP="006F1DEE">
            <w:pPr>
              <w:pStyle w:val="TableHeading"/>
            </w:pPr>
            <w:r w:rsidRPr="00BB4FCF">
              <w:t>Estimated total cost ($)</w:t>
            </w:r>
          </w:p>
        </w:tc>
        <w:tc>
          <w:tcPr>
            <w:tcW w:w="1378" w:type="pct"/>
          </w:tcPr>
          <w:p w14:paraId="5BC66CB5" w14:textId="77777777" w:rsidR="00BB4FCF" w:rsidRPr="004375CA" w:rsidRDefault="00BB4FCF" w:rsidP="006F1DEE">
            <w:pPr>
              <w:pStyle w:val="TableHeading"/>
            </w:pPr>
            <w:r w:rsidRPr="004375CA">
              <w:t>Charge point</w:t>
            </w:r>
          </w:p>
        </w:tc>
        <w:tc>
          <w:tcPr>
            <w:tcW w:w="655" w:type="pct"/>
          </w:tcPr>
          <w:p w14:paraId="664549F9" w14:textId="77777777" w:rsidR="00BB4FCF" w:rsidRPr="004375CA" w:rsidRDefault="00BB4FCF" w:rsidP="006F1DEE">
            <w:pPr>
              <w:pStyle w:val="TableHeading"/>
            </w:pPr>
            <w:r w:rsidRPr="004375CA">
              <w:t>Unit</w:t>
            </w:r>
          </w:p>
        </w:tc>
        <w:tc>
          <w:tcPr>
            <w:tcW w:w="417" w:type="pct"/>
          </w:tcPr>
          <w:p w14:paraId="0B33B6B8" w14:textId="77777777" w:rsidR="00BB4FCF" w:rsidRPr="00BB4FCF" w:rsidRDefault="00BB4FCF" w:rsidP="00A968F0">
            <w:pPr>
              <w:pStyle w:val="TableHeading"/>
            </w:pPr>
            <w:r w:rsidRPr="00BB4FCF">
              <w:t>Price ($)</w:t>
            </w:r>
          </w:p>
        </w:tc>
        <w:tc>
          <w:tcPr>
            <w:tcW w:w="595" w:type="pct"/>
          </w:tcPr>
          <w:p w14:paraId="59F55B7A" w14:textId="77777777" w:rsidR="00BB4FCF" w:rsidRPr="00BB4FCF" w:rsidRDefault="00BB4FCF" w:rsidP="00A968F0">
            <w:pPr>
              <w:pStyle w:val="TableHeading"/>
            </w:pPr>
            <w:r w:rsidRPr="00BB4FCF">
              <w:t>Estimated volume (units)</w:t>
            </w:r>
          </w:p>
        </w:tc>
        <w:tc>
          <w:tcPr>
            <w:tcW w:w="653" w:type="pct"/>
          </w:tcPr>
          <w:p w14:paraId="34C33EB9" w14:textId="77777777" w:rsidR="00BB4FCF" w:rsidRPr="00BB4FCF" w:rsidRDefault="00BB4FCF" w:rsidP="00A968F0">
            <w:pPr>
              <w:pStyle w:val="TableHeading"/>
            </w:pPr>
            <w:r w:rsidRPr="00BB4FCF">
              <w:t>Estimated total revenue ($)</w:t>
            </w:r>
          </w:p>
        </w:tc>
      </w:tr>
      <w:tr w:rsidR="0013492B" w:rsidRPr="009213D8" w14:paraId="50D48FF2" w14:textId="77777777" w:rsidTr="004C1CBD">
        <w:tc>
          <w:tcPr>
            <w:tcW w:w="689" w:type="pct"/>
            <w:vMerge w:val="restart"/>
          </w:tcPr>
          <w:p w14:paraId="50C14946" w14:textId="77777777" w:rsidR="0013492B" w:rsidRPr="0018484D" w:rsidRDefault="0013492B" w:rsidP="006F1DEE">
            <w:pPr>
              <w:pStyle w:val="TableText"/>
            </w:pPr>
            <w:r w:rsidRPr="0018484D">
              <w:t>Charges</w:t>
            </w:r>
          </w:p>
        </w:tc>
        <w:tc>
          <w:tcPr>
            <w:tcW w:w="613" w:type="pct"/>
            <w:shd w:val="clear" w:color="auto" w:fill="auto"/>
          </w:tcPr>
          <w:p w14:paraId="2224EE1B" w14:textId="5930A09F" w:rsidR="0013492B" w:rsidRPr="0018484D" w:rsidRDefault="008B40C6" w:rsidP="006F1DEE">
            <w:pPr>
              <w:pStyle w:val="TableText"/>
            </w:pPr>
            <w:r w:rsidRPr="0018484D">
              <w:t>104,789,575</w:t>
            </w:r>
          </w:p>
        </w:tc>
        <w:tc>
          <w:tcPr>
            <w:tcW w:w="1378" w:type="pct"/>
            <w:shd w:val="clear" w:color="auto" w:fill="auto"/>
          </w:tcPr>
          <w:p w14:paraId="7DCF35F5" w14:textId="77777777" w:rsidR="0013492B" w:rsidRPr="009213D8" w:rsidRDefault="0013492B" w:rsidP="006F1DEE">
            <w:pPr>
              <w:pStyle w:val="TableText"/>
            </w:pPr>
            <w:r w:rsidRPr="009213D8">
              <w:t>Full Import Declaration charge – air</w:t>
            </w:r>
          </w:p>
        </w:tc>
        <w:tc>
          <w:tcPr>
            <w:tcW w:w="655" w:type="pct"/>
            <w:shd w:val="clear" w:color="auto" w:fill="auto"/>
          </w:tcPr>
          <w:p w14:paraId="1155E208" w14:textId="77777777" w:rsidR="0013492B" w:rsidRPr="009213D8" w:rsidRDefault="0013492B" w:rsidP="006F1DEE">
            <w:pPr>
              <w:pStyle w:val="TableText"/>
            </w:pPr>
            <w:r w:rsidRPr="009213D8">
              <w:t>Per import declaration</w:t>
            </w:r>
          </w:p>
        </w:tc>
        <w:tc>
          <w:tcPr>
            <w:tcW w:w="417" w:type="pct"/>
            <w:shd w:val="clear" w:color="auto" w:fill="auto"/>
          </w:tcPr>
          <w:p w14:paraId="26CD0148" w14:textId="61689AFD" w:rsidR="0013492B" w:rsidRPr="001825A7" w:rsidRDefault="0013492B" w:rsidP="000634CA">
            <w:pPr>
              <w:pStyle w:val="TableText"/>
              <w:jc w:val="right"/>
            </w:pPr>
            <w:r>
              <w:rPr>
                <w:rFonts w:ascii="Calibri" w:hAnsi="Calibri"/>
                <w:color w:val="000000"/>
                <w:szCs w:val="18"/>
              </w:rPr>
              <w:t>45</w:t>
            </w:r>
          </w:p>
        </w:tc>
        <w:tc>
          <w:tcPr>
            <w:tcW w:w="595" w:type="pct"/>
            <w:shd w:val="clear" w:color="auto" w:fill="auto"/>
          </w:tcPr>
          <w:p w14:paraId="21B6FFB9" w14:textId="050ECC28" w:rsidR="0013492B" w:rsidRPr="00C32CCF" w:rsidRDefault="0013492B" w:rsidP="000634CA">
            <w:pPr>
              <w:pStyle w:val="TableText"/>
              <w:jc w:val="right"/>
              <w:rPr>
                <w:rFonts w:ascii="Calibri" w:hAnsi="Calibri"/>
                <w:color w:val="000000"/>
                <w:szCs w:val="18"/>
              </w:rPr>
            </w:pPr>
            <w:r>
              <w:rPr>
                <w:rFonts w:ascii="Calibri" w:hAnsi="Calibri"/>
                <w:color w:val="000000"/>
                <w:szCs w:val="18"/>
              </w:rPr>
              <w:t>2,329,394</w:t>
            </w:r>
          </w:p>
        </w:tc>
        <w:tc>
          <w:tcPr>
            <w:tcW w:w="653" w:type="pct"/>
            <w:shd w:val="clear" w:color="auto" w:fill="auto"/>
          </w:tcPr>
          <w:p w14:paraId="047D2A83" w14:textId="23BAD1C1" w:rsidR="0013492B" w:rsidRPr="00C32CCF" w:rsidRDefault="0013492B" w:rsidP="000634CA">
            <w:pPr>
              <w:pStyle w:val="TableText"/>
              <w:jc w:val="right"/>
              <w:rPr>
                <w:highlight w:val="yellow"/>
              </w:rPr>
            </w:pPr>
            <w:r>
              <w:rPr>
                <w:rFonts w:ascii="Calibri" w:hAnsi="Calibri"/>
                <w:color w:val="000000"/>
                <w:szCs w:val="18"/>
              </w:rPr>
              <w:t>104,822,730</w:t>
            </w:r>
          </w:p>
        </w:tc>
      </w:tr>
      <w:tr w:rsidR="0013492B" w:rsidRPr="009213D8" w14:paraId="2CA99711" w14:textId="77777777" w:rsidTr="004C1CBD">
        <w:tc>
          <w:tcPr>
            <w:tcW w:w="689" w:type="pct"/>
            <w:vMerge/>
          </w:tcPr>
          <w:p w14:paraId="05A32523" w14:textId="77777777" w:rsidR="0013492B" w:rsidRPr="0018484D" w:rsidRDefault="0013492B" w:rsidP="006F1DEE">
            <w:pPr>
              <w:pStyle w:val="TableText"/>
            </w:pPr>
          </w:p>
        </w:tc>
        <w:tc>
          <w:tcPr>
            <w:tcW w:w="613" w:type="pct"/>
            <w:shd w:val="clear" w:color="auto" w:fill="auto"/>
          </w:tcPr>
          <w:p w14:paraId="5ED46A9B" w14:textId="29E34DB9" w:rsidR="0013492B" w:rsidRPr="0018484D" w:rsidRDefault="008B40C6" w:rsidP="006F1DEE">
            <w:pPr>
              <w:pStyle w:val="TableText"/>
            </w:pPr>
            <w:r w:rsidRPr="0018484D">
              <w:t>127,532,369</w:t>
            </w:r>
          </w:p>
        </w:tc>
        <w:tc>
          <w:tcPr>
            <w:tcW w:w="1378" w:type="pct"/>
            <w:shd w:val="clear" w:color="auto" w:fill="auto"/>
          </w:tcPr>
          <w:p w14:paraId="160AB3AC" w14:textId="77777777" w:rsidR="0013492B" w:rsidRPr="009213D8" w:rsidRDefault="0013492B" w:rsidP="006F1DEE">
            <w:pPr>
              <w:pStyle w:val="TableText"/>
            </w:pPr>
            <w:r w:rsidRPr="009213D8">
              <w:t>Full Import Declaration charge – sea</w:t>
            </w:r>
          </w:p>
        </w:tc>
        <w:tc>
          <w:tcPr>
            <w:tcW w:w="655" w:type="pct"/>
            <w:shd w:val="clear" w:color="auto" w:fill="auto"/>
          </w:tcPr>
          <w:p w14:paraId="339B8E86" w14:textId="77777777" w:rsidR="0013492B" w:rsidRPr="009213D8" w:rsidRDefault="0013492B" w:rsidP="006F1DEE">
            <w:pPr>
              <w:pStyle w:val="TableText"/>
            </w:pPr>
            <w:r w:rsidRPr="009213D8">
              <w:t>Per import declaration</w:t>
            </w:r>
          </w:p>
        </w:tc>
        <w:tc>
          <w:tcPr>
            <w:tcW w:w="417" w:type="pct"/>
            <w:shd w:val="clear" w:color="auto" w:fill="auto"/>
          </w:tcPr>
          <w:p w14:paraId="71B777A1" w14:textId="14D674FB" w:rsidR="0013492B" w:rsidRPr="001825A7" w:rsidRDefault="0013492B" w:rsidP="000634CA">
            <w:pPr>
              <w:pStyle w:val="TableText"/>
              <w:jc w:val="right"/>
            </w:pPr>
            <w:r>
              <w:rPr>
                <w:rFonts w:ascii="Calibri" w:hAnsi="Calibri"/>
                <w:color w:val="000000"/>
                <w:szCs w:val="18"/>
              </w:rPr>
              <w:t>66</w:t>
            </w:r>
          </w:p>
        </w:tc>
        <w:tc>
          <w:tcPr>
            <w:tcW w:w="595" w:type="pct"/>
            <w:shd w:val="clear" w:color="auto" w:fill="auto"/>
          </w:tcPr>
          <w:p w14:paraId="26754A3C" w14:textId="02527BC8" w:rsidR="0013492B" w:rsidRPr="00C32CCF" w:rsidRDefault="0013492B" w:rsidP="000634CA">
            <w:pPr>
              <w:pStyle w:val="TableText"/>
              <w:jc w:val="right"/>
              <w:rPr>
                <w:rFonts w:ascii="Calibri" w:hAnsi="Calibri"/>
                <w:color w:val="000000"/>
                <w:szCs w:val="18"/>
              </w:rPr>
            </w:pPr>
            <w:r>
              <w:rPr>
                <w:rFonts w:ascii="Calibri" w:hAnsi="Calibri"/>
                <w:color w:val="000000"/>
                <w:szCs w:val="18"/>
              </w:rPr>
              <w:t>1,932,920</w:t>
            </w:r>
          </w:p>
        </w:tc>
        <w:tc>
          <w:tcPr>
            <w:tcW w:w="653" w:type="pct"/>
            <w:shd w:val="clear" w:color="auto" w:fill="auto"/>
          </w:tcPr>
          <w:p w14:paraId="7CADA541" w14:textId="31635CC8" w:rsidR="0013492B" w:rsidRPr="00C32CCF" w:rsidRDefault="0013492B" w:rsidP="000634CA">
            <w:pPr>
              <w:pStyle w:val="TableText"/>
              <w:jc w:val="right"/>
              <w:rPr>
                <w:highlight w:val="yellow"/>
              </w:rPr>
            </w:pPr>
            <w:r>
              <w:rPr>
                <w:rFonts w:ascii="Calibri" w:hAnsi="Calibri"/>
                <w:color w:val="000000"/>
                <w:szCs w:val="18"/>
              </w:rPr>
              <w:t>127,572,720</w:t>
            </w:r>
          </w:p>
        </w:tc>
      </w:tr>
      <w:tr w:rsidR="0013492B" w:rsidRPr="009213D8" w14:paraId="6C19250A" w14:textId="77777777" w:rsidTr="004C1CBD">
        <w:tc>
          <w:tcPr>
            <w:tcW w:w="689" w:type="pct"/>
            <w:vMerge/>
          </w:tcPr>
          <w:p w14:paraId="011522BF" w14:textId="77777777" w:rsidR="0013492B" w:rsidRPr="0018484D" w:rsidRDefault="0013492B" w:rsidP="006F1DEE">
            <w:pPr>
              <w:pStyle w:val="TableText"/>
            </w:pPr>
          </w:p>
        </w:tc>
        <w:tc>
          <w:tcPr>
            <w:tcW w:w="613" w:type="pct"/>
            <w:shd w:val="clear" w:color="auto" w:fill="auto"/>
          </w:tcPr>
          <w:p w14:paraId="22E2BC60" w14:textId="04F11B39" w:rsidR="0013492B" w:rsidRPr="0018484D" w:rsidRDefault="008B40C6" w:rsidP="006F1DEE">
            <w:pPr>
              <w:pStyle w:val="TableText"/>
            </w:pPr>
            <w:r w:rsidRPr="0018484D">
              <w:t>24,884,267</w:t>
            </w:r>
          </w:p>
        </w:tc>
        <w:tc>
          <w:tcPr>
            <w:tcW w:w="1378" w:type="pct"/>
            <w:shd w:val="clear" w:color="auto" w:fill="auto"/>
          </w:tcPr>
          <w:p w14:paraId="6F61712F" w14:textId="510AE13D" w:rsidR="0013492B" w:rsidRPr="009213D8" w:rsidRDefault="0013492B" w:rsidP="006F1DEE">
            <w:pPr>
              <w:pStyle w:val="TableText"/>
            </w:pPr>
            <w:r w:rsidRPr="009213D8">
              <w:t>Vessel, other than a non-commercial vessel arrival charge</w:t>
            </w:r>
          </w:p>
        </w:tc>
        <w:tc>
          <w:tcPr>
            <w:tcW w:w="655" w:type="pct"/>
            <w:shd w:val="clear" w:color="auto" w:fill="auto"/>
          </w:tcPr>
          <w:p w14:paraId="08401A44" w14:textId="77777777" w:rsidR="0013492B" w:rsidRPr="009213D8" w:rsidRDefault="0013492B" w:rsidP="006F1DEE">
            <w:pPr>
              <w:pStyle w:val="TableText"/>
            </w:pPr>
            <w:r w:rsidRPr="009213D8">
              <w:t>Per vessel</w:t>
            </w:r>
          </w:p>
        </w:tc>
        <w:tc>
          <w:tcPr>
            <w:tcW w:w="417" w:type="pct"/>
            <w:shd w:val="clear" w:color="auto" w:fill="auto"/>
          </w:tcPr>
          <w:p w14:paraId="1E3C5A14" w14:textId="4DAE39AC" w:rsidR="0013492B" w:rsidRPr="001825A7" w:rsidRDefault="0013492B" w:rsidP="000634CA">
            <w:pPr>
              <w:pStyle w:val="TableText"/>
              <w:jc w:val="right"/>
            </w:pPr>
            <w:r>
              <w:rPr>
                <w:rFonts w:ascii="Calibri" w:hAnsi="Calibri"/>
                <w:color w:val="000000"/>
                <w:szCs w:val="18"/>
              </w:rPr>
              <w:t>1,410</w:t>
            </w:r>
          </w:p>
        </w:tc>
        <w:tc>
          <w:tcPr>
            <w:tcW w:w="595" w:type="pct"/>
            <w:shd w:val="clear" w:color="auto" w:fill="auto"/>
          </w:tcPr>
          <w:p w14:paraId="0C586DA9" w14:textId="2FE7583F" w:rsidR="0013492B" w:rsidRPr="00C32CCF" w:rsidRDefault="0013492B" w:rsidP="000634CA">
            <w:pPr>
              <w:pStyle w:val="TableText"/>
              <w:jc w:val="right"/>
              <w:rPr>
                <w:rFonts w:ascii="Calibri" w:hAnsi="Calibri"/>
                <w:color w:val="000000"/>
                <w:szCs w:val="18"/>
              </w:rPr>
            </w:pPr>
            <w:r>
              <w:rPr>
                <w:rFonts w:ascii="Calibri" w:hAnsi="Calibri"/>
                <w:color w:val="000000"/>
                <w:szCs w:val="18"/>
              </w:rPr>
              <w:t>17,654</w:t>
            </w:r>
          </w:p>
        </w:tc>
        <w:tc>
          <w:tcPr>
            <w:tcW w:w="653" w:type="pct"/>
            <w:shd w:val="clear" w:color="auto" w:fill="auto"/>
          </w:tcPr>
          <w:p w14:paraId="3773AF4E" w14:textId="59313DC7" w:rsidR="0013492B" w:rsidRPr="00C32CCF" w:rsidRDefault="0013492B" w:rsidP="000634CA">
            <w:pPr>
              <w:pStyle w:val="TableText"/>
              <w:jc w:val="right"/>
              <w:rPr>
                <w:highlight w:val="yellow"/>
              </w:rPr>
            </w:pPr>
            <w:r>
              <w:rPr>
                <w:rFonts w:ascii="Calibri" w:hAnsi="Calibri"/>
                <w:color w:val="000000"/>
                <w:szCs w:val="18"/>
              </w:rPr>
              <w:t>24,892,140</w:t>
            </w:r>
          </w:p>
        </w:tc>
      </w:tr>
      <w:tr w:rsidR="0013492B" w:rsidRPr="009213D8" w14:paraId="2B4816A7" w14:textId="77777777" w:rsidTr="004C1CBD">
        <w:tc>
          <w:tcPr>
            <w:tcW w:w="689" w:type="pct"/>
            <w:vMerge/>
          </w:tcPr>
          <w:p w14:paraId="1BAEEB71" w14:textId="77777777" w:rsidR="0013492B" w:rsidRPr="0018484D" w:rsidRDefault="0013492B" w:rsidP="006F1DEE">
            <w:pPr>
              <w:pStyle w:val="TableText"/>
            </w:pPr>
          </w:p>
        </w:tc>
        <w:tc>
          <w:tcPr>
            <w:tcW w:w="613" w:type="pct"/>
            <w:shd w:val="clear" w:color="auto" w:fill="auto"/>
          </w:tcPr>
          <w:p w14:paraId="208B1CCD" w14:textId="07B34C34" w:rsidR="0013492B" w:rsidRPr="0018484D" w:rsidRDefault="008B40C6" w:rsidP="006F1DEE">
            <w:pPr>
              <w:pStyle w:val="TableText"/>
              <w:rPr>
                <w:rFonts w:cstheme="minorHAnsi"/>
              </w:rPr>
            </w:pPr>
            <w:r w:rsidRPr="0018484D">
              <w:rPr>
                <w:rFonts w:cstheme="minorHAnsi"/>
              </w:rPr>
              <w:t>85,464</w:t>
            </w:r>
          </w:p>
        </w:tc>
        <w:tc>
          <w:tcPr>
            <w:tcW w:w="1378" w:type="pct"/>
            <w:shd w:val="clear" w:color="auto" w:fill="auto"/>
          </w:tcPr>
          <w:p w14:paraId="13DCBAA5" w14:textId="60A60F34" w:rsidR="0013492B" w:rsidRPr="009213D8" w:rsidRDefault="0013492B" w:rsidP="006F1DEE">
            <w:pPr>
              <w:pStyle w:val="TableText"/>
            </w:pPr>
            <w:r w:rsidRPr="009213D8">
              <w:t>Non-commercial vessel arrival charge</w:t>
            </w:r>
          </w:p>
        </w:tc>
        <w:tc>
          <w:tcPr>
            <w:tcW w:w="655" w:type="pct"/>
            <w:shd w:val="clear" w:color="auto" w:fill="auto"/>
          </w:tcPr>
          <w:p w14:paraId="15F0FB13" w14:textId="77777777" w:rsidR="0013492B" w:rsidRPr="009213D8" w:rsidRDefault="0013492B" w:rsidP="006F1DEE">
            <w:pPr>
              <w:pStyle w:val="TableText"/>
            </w:pPr>
            <w:r w:rsidRPr="009213D8">
              <w:t>Per vessel</w:t>
            </w:r>
          </w:p>
        </w:tc>
        <w:tc>
          <w:tcPr>
            <w:tcW w:w="417" w:type="pct"/>
            <w:shd w:val="clear" w:color="auto" w:fill="auto"/>
          </w:tcPr>
          <w:p w14:paraId="58DCC50B" w14:textId="3863F621" w:rsidR="0013492B" w:rsidRPr="001825A7" w:rsidRDefault="0013492B" w:rsidP="000634CA">
            <w:pPr>
              <w:pStyle w:val="TableText"/>
              <w:jc w:val="right"/>
            </w:pPr>
            <w:r>
              <w:rPr>
                <w:rFonts w:ascii="Calibri" w:hAnsi="Calibri"/>
                <w:color w:val="000000"/>
                <w:szCs w:val="18"/>
              </w:rPr>
              <w:t>161</w:t>
            </w:r>
          </w:p>
        </w:tc>
        <w:tc>
          <w:tcPr>
            <w:tcW w:w="595" w:type="pct"/>
            <w:shd w:val="clear" w:color="auto" w:fill="auto"/>
          </w:tcPr>
          <w:p w14:paraId="2880193B" w14:textId="6DE62BD9" w:rsidR="0013492B" w:rsidRPr="00C32CCF" w:rsidRDefault="0013492B" w:rsidP="000634CA">
            <w:pPr>
              <w:pStyle w:val="TableText"/>
              <w:jc w:val="right"/>
              <w:rPr>
                <w:rFonts w:ascii="Calibri" w:hAnsi="Calibri"/>
                <w:color w:val="000000"/>
                <w:szCs w:val="18"/>
              </w:rPr>
            </w:pPr>
            <w:r>
              <w:rPr>
                <w:rFonts w:ascii="Calibri" w:hAnsi="Calibri"/>
                <w:color w:val="000000"/>
                <w:szCs w:val="18"/>
              </w:rPr>
              <w:t>531</w:t>
            </w:r>
          </w:p>
        </w:tc>
        <w:tc>
          <w:tcPr>
            <w:tcW w:w="653" w:type="pct"/>
            <w:shd w:val="clear" w:color="auto" w:fill="auto"/>
          </w:tcPr>
          <w:p w14:paraId="5554A4EE" w14:textId="322D1832" w:rsidR="0013492B" w:rsidRPr="00C32CCF" w:rsidRDefault="0013492B" w:rsidP="000634CA">
            <w:pPr>
              <w:pStyle w:val="TableText"/>
              <w:jc w:val="right"/>
              <w:rPr>
                <w:highlight w:val="yellow"/>
              </w:rPr>
            </w:pPr>
            <w:r>
              <w:rPr>
                <w:rFonts w:ascii="Calibri" w:hAnsi="Calibri"/>
                <w:color w:val="000000"/>
                <w:szCs w:val="18"/>
              </w:rPr>
              <w:t>85,491</w:t>
            </w:r>
          </w:p>
        </w:tc>
      </w:tr>
      <w:tr w:rsidR="0013492B" w:rsidRPr="009213D8" w14:paraId="28AC454D" w14:textId="77777777" w:rsidTr="004C1CBD">
        <w:tc>
          <w:tcPr>
            <w:tcW w:w="689" w:type="pct"/>
            <w:vMerge/>
          </w:tcPr>
          <w:p w14:paraId="0799D67E" w14:textId="77777777" w:rsidR="0013492B" w:rsidRPr="0018484D" w:rsidRDefault="0013492B" w:rsidP="006F1DEE">
            <w:pPr>
              <w:pStyle w:val="TableText"/>
            </w:pPr>
          </w:p>
        </w:tc>
        <w:tc>
          <w:tcPr>
            <w:tcW w:w="613" w:type="pct"/>
            <w:shd w:val="clear" w:color="auto" w:fill="auto"/>
          </w:tcPr>
          <w:p w14:paraId="33C660BD" w14:textId="4A89BD1C" w:rsidR="0013492B" w:rsidRPr="0018484D" w:rsidRDefault="008B40C6" w:rsidP="006F1DEE">
            <w:pPr>
              <w:pStyle w:val="TableText"/>
              <w:rPr>
                <w:rFonts w:cstheme="minorHAnsi"/>
              </w:rPr>
            </w:pPr>
            <w:r w:rsidRPr="0018484D">
              <w:rPr>
                <w:rFonts w:cstheme="minorHAnsi"/>
              </w:rPr>
              <w:t>1,718,528</w:t>
            </w:r>
          </w:p>
        </w:tc>
        <w:tc>
          <w:tcPr>
            <w:tcW w:w="1378" w:type="pct"/>
            <w:shd w:val="clear" w:color="auto" w:fill="auto"/>
          </w:tcPr>
          <w:p w14:paraId="5C79F8A4" w14:textId="77777777" w:rsidR="0013492B" w:rsidRPr="009213D8" w:rsidRDefault="0013492B" w:rsidP="006F1DEE">
            <w:pPr>
              <w:pStyle w:val="TableText"/>
            </w:pPr>
            <w:r w:rsidRPr="009213D8">
              <w:t>Permit application charge</w:t>
            </w:r>
          </w:p>
        </w:tc>
        <w:tc>
          <w:tcPr>
            <w:tcW w:w="655" w:type="pct"/>
            <w:shd w:val="clear" w:color="auto" w:fill="auto"/>
          </w:tcPr>
          <w:p w14:paraId="4E449E71" w14:textId="77777777" w:rsidR="0013492B" w:rsidRPr="009213D8" w:rsidRDefault="0013492B" w:rsidP="006F1DEE">
            <w:pPr>
              <w:pStyle w:val="TableText"/>
            </w:pPr>
            <w:r w:rsidRPr="009213D8">
              <w:t>Per application</w:t>
            </w:r>
          </w:p>
        </w:tc>
        <w:tc>
          <w:tcPr>
            <w:tcW w:w="417" w:type="pct"/>
            <w:shd w:val="clear" w:color="auto" w:fill="auto"/>
          </w:tcPr>
          <w:p w14:paraId="397F4059" w14:textId="0F250217" w:rsidR="0013492B" w:rsidRPr="001825A7" w:rsidRDefault="0013492B" w:rsidP="000634CA">
            <w:pPr>
              <w:pStyle w:val="TableText"/>
              <w:jc w:val="right"/>
            </w:pPr>
            <w:r>
              <w:rPr>
                <w:rFonts w:ascii="Calibri" w:hAnsi="Calibri"/>
                <w:color w:val="000000"/>
                <w:szCs w:val="18"/>
              </w:rPr>
              <w:t>127</w:t>
            </w:r>
          </w:p>
        </w:tc>
        <w:tc>
          <w:tcPr>
            <w:tcW w:w="595" w:type="pct"/>
            <w:shd w:val="clear" w:color="auto" w:fill="auto"/>
          </w:tcPr>
          <w:p w14:paraId="61D4745E" w14:textId="19CDE1A2" w:rsidR="0013492B" w:rsidRPr="00C32CCF" w:rsidRDefault="0013492B" w:rsidP="000634CA">
            <w:pPr>
              <w:pStyle w:val="TableText"/>
              <w:jc w:val="right"/>
              <w:rPr>
                <w:rFonts w:ascii="Calibri" w:hAnsi="Calibri"/>
                <w:color w:val="000000"/>
                <w:szCs w:val="18"/>
              </w:rPr>
            </w:pPr>
            <w:r>
              <w:rPr>
                <w:rFonts w:ascii="Calibri" w:hAnsi="Calibri"/>
                <w:color w:val="000000"/>
                <w:szCs w:val="18"/>
              </w:rPr>
              <w:t>13,536</w:t>
            </w:r>
          </w:p>
        </w:tc>
        <w:tc>
          <w:tcPr>
            <w:tcW w:w="653" w:type="pct"/>
            <w:shd w:val="clear" w:color="auto" w:fill="auto"/>
          </w:tcPr>
          <w:p w14:paraId="2E81126A" w14:textId="0A55BCF3" w:rsidR="0013492B" w:rsidRPr="00C32CCF" w:rsidRDefault="0013492B" w:rsidP="000634CA">
            <w:pPr>
              <w:pStyle w:val="TableText"/>
              <w:jc w:val="right"/>
              <w:rPr>
                <w:highlight w:val="yellow"/>
              </w:rPr>
            </w:pPr>
            <w:r>
              <w:rPr>
                <w:rFonts w:ascii="Calibri" w:hAnsi="Calibri"/>
                <w:color w:val="000000"/>
                <w:szCs w:val="18"/>
              </w:rPr>
              <w:t>1,719,072</w:t>
            </w:r>
          </w:p>
        </w:tc>
      </w:tr>
      <w:tr w:rsidR="0013492B" w:rsidRPr="009213D8" w14:paraId="0D00CC23" w14:textId="77777777" w:rsidTr="004C1CBD">
        <w:tc>
          <w:tcPr>
            <w:tcW w:w="689" w:type="pct"/>
            <w:vMerge/>
          </w:tcPr>
          <w:p w14:paraId="73EB57D0" w14:textId="77777777" w:rsidR="0013492B" w:rsidRPr="0018484D" w:rsidRDefault="0013492B" w:rsidP="006F1DEE">
            <w:pPr>
              <w:pStyle w:val="TableText"/>
            </w:pPr>
          </w:p>
        </w:tc>
        <w:tc>
          <w:tcPr>
            <w:tcW w:w="613" w:type="pct"/>
            <w:shd w:val="clear" w:color="auto" w:fill="auto"/>
          </w:tcPr>
          <w:p w14:paraId="2694B349" w14:textId="1C22BC56" w:rsidR="0013492B" w:rsidRPr="0018484D" w:rsidRDefault="008B40C6" w:rsidP="006F1DEE">
            <w:pPr>
              <w:pStyle w:val="TableText"/>
              <w:rPr>
                <w:rFonts w:cstheme="minorHAnsi"/>
              </w:rPr>
            </w:pPr>
            <w:r w:rsidRPr="0018484D">
              <w:rPr>
                <w:rFonts w:cstheme="minorHAnsi"/>
              </w:rPr>
              <w:t>18,376</w:t>
            </w:r>
          </w:p>
        </w:tc>
        <w:tc>
          <w:tcPr>
            <w:tcW w:w="1378" w:type="pct"/>
            <w:shd w:val="clear" w:color="auto" w:fill="auto"/>
          </w:tcPr>
          <w:p w14:paraId="31AEC093" w14:textId="77777777" w:rsidR="0013492B" w:rsidRPr="009213D8" w:rsidRDefault="0013492B" w:rsidP="006F1DEE">
            <w:pPr>
              <w:pStyle w:val="TableText"/>
            </w:pPr>
            <w:r w:rsidRPr="009213D8">
              <w:t>Approved arrangement application charge</w:t>
            </w:r>
          </w:p>
        </w:tc>
        <w:tc>
          <w:tcPr>
            <w:tcW w:w="655" w:type="pct"/>
            <w:shd w:val="clear" w:color="auto" w:fill="auto"/>
          </w:tcPr>
          <w:p w14:paraId="181EA511" w14:textId="77777777" w:rsidR="0013492B" w:rsidRPr="009213D8" w:rsidRDefault="0013492B" w:rsidP="006F1DEE">
            <w:pPr>
              <w:pStyle w:val="TableText"/>
            </w:pPr>
            <w:r w:rsidRPr="009213D8">
              <w:t>Per application</w:t>
            </w:r>
          </w:p>
        </w:tc>
        <w:tc>
          <w:tcPr>
            <w:tcW w:w="417" w:type="pct"/>
            <w:shd w:val="clear" w:color="auto" w:fill="auto"/>
          </w:tcPr>
          <w:p w14:paraId="6AAF3299" w14:textId="75C787A0" w:rsidR="0013492B" w:rsidRPr="001825A7" w:rsidRDefault="0013492B" w:rsidP="000634CA">
            <w:pPr>
              <w:pStyle w:val="TableText"/>
              <w:jc w:val="right"/>
            </w:pPr>
            <w:r>
              <w:rPr>
                <w:rFonts w:ascii="Calibri" w:hAnsi="Calibri"/>
                <w:color w:val="000000"/>
                <w:szCs w:val="18"/>
              </w:rPr>
              <w:t>202</w:t>
            </w:r>
          </w:p>
        </w:tc>
        <w:tc>
          <w:tcPr>
            <w:tcW w:w="595" w:type="pct"/>
            <w:shd w:val="clear" w:color="auto" w:fill="auto"/>
          </w:tcPr>
          <w:p w14:paraId="5E3504FA" w14:textId="02AAEF74" w:rsidR="0013492B" w:rsidRPr="00C32CCF" w:rsidRDefault="0013492B" w:rsidP="000634CA">
            <w:pPr>
              <w:pStyle w:val="TableText"/>
              <w:jc w:val="right"/>
              <w:rPr>
                <w:rFonts w:ascii="Calibri" w:hAnsi="Calibri"/>
                <w:color w:val="000000"/>
                <w:szCs w:val="18"/>
              </w:rPr>
            </w:pPr>
            <w:r>
              <w:rPr>
                <w:rFonts w:ascii="Calibri" w:hAnsi="Calibri"/>
                <w:color w:val="000000"/>
                <w:szCs w:val="18"/>
              </w:rPr>
              <w:t>91</w:t>
            </w:r>
          </w:p>
        </w:tc>
        <w:tc>
          <w:tcPr>
            <w:tcW w:w="653" w:type="pct"/>
            <w:shd w:val="clear" w:color="auto" w:fill="auto"/>
          </w:tcPr>
          <w:p w14:paraId="330CCC27" w14:textId="72B0DF06" w:rsidR="0013492B" w:rsidRPr="00C32CCF" w:rsidRDefault="0013492B" w:rsidP="000634CA">
            <w:pPr>
              <w:pStyle w:val="TableText"/>
              <w:jc w:val="right"/>
              <w:rPr>
                <w:highlight w:val="yellow"/>
              </w:rPr>
            </w:pPr>
            <w:r>
              <w:rPr>
                <w:rFonts w:ascii="Calibri" w:hAnsi="Calibri"/>
                <w:color w:val="000000"/>
                <w:szCs w:val="18"/>
              </w:rPr>
              <w:t>18,382</w:t>
            </w:r>
          </w:p>
        </w:tc>
      </w:tr>
      <w:tr w:rsidR="0013492B" w:rsidRPr="009213D8" w14:paraId="44FD92BD" w14:textId="77777777" w:rsidTr="004C1CBD">
        <w:tc>
          <w:tcPr>
            <w:tcW w:w="689" w:type="pct"/>
            <w:vMerge/>
          </w:tcPr>
          <w:p w14:paraId="72A417A1" w14:textId="77777777" w:rsidR="0013492B" w:rsidRPr="0018484D" w:rsidRDefault="0013492B" w:rsidP="006F1DEE">
            <w:pPr>
              <w:pStyle w:val="TableText"/>
            </w:pPr>
          </w:p>
        </w:tc>
        <w:tc>
          <w:tcPr>
            <w:tcW w:w="613" w:type="pct"/>
            <w:shd w:val="clear" w:color="auto" w:fill="auto"/>
          </w:tcPr>
          <w:p w14:paraId="1C2B6F2E" w14:textId="35770304" w:rsidR="0013492B" w:rsidRPr="0018484D" w:rsidRDefault="008B40C6" w:rsidP="006F1DEE">
            <w:pPr>
              <w:pStyle w:val="TableText"/>
              <w:rPr>
                <w:rFonts w:cstheme="minorHAnsi"/>
              </w:rPr>
            </w:pPr>
            <w:r w:rsidRPr="0018484D">
              <w:rPr>
                <w:rFonts w:cstheme="minorHAnsi"/>
              </w:rPr>
              <w:t>2,995,584</w:t>
            </w:r>
          </w:p>
        </w:tc>
        <w:tc>
          <w:tcPr>
            <w:tcW w:w="1378" w:type="pct"/>
            <w:shd w:val="clear" w:color="auto" w:fill="auto"/>
          </w:tcPr>
          <w:p w14:paraId="4954FC92" w14:textId="10A23A46" w:rsidR="0013492B" w:rsidRPr="009213D8" w:rsidRDefault="0013492B" w:rsidP="006F1DEE">
            <w:pPr>
              <w:pStyle w:val="TableText"/>
            </w:pPr>
            <w:r w:rsidRPr="009213D8">
              <w:t>Approved arrangement –AEPCOMM</w:t>
            </w:r>
            <w:r w:rsidR="00806775">
              <w:t xml:space="preserve"> entry</w:t>
            </w:r>
          </w:p>
        </w:tc>
        <w:tc>
          <w:tcPr>
            <w:tcW w:w="655" w:type="pct"/>
            <w:shd w:val="clear" w:color="auto" w:fill="auto"/>
          </w:tcPr>
          <w:p w14:paraId="5C6A441B" w14:textId="77777777" w:rsidR="0013492B" w:rsidRPr="009213D8" w:rsidRDefault="0013492B" w:rsidP="006F1DEE">
            <w:pPr>
              <w:pStyle w:val="TableText"/>
            </w:pPr>
            <w:r w:rsidRPr="009213D8">
              <w:t>Per item</w:t>
            </w:r>
          </w:p>
        </w:tc>
        <w:tc>
          <w:tcPr>
            <w:tcW w:w="417" w:type="pct"/>
            <w:shd w:val="clear" w:color="auto" w:fill="auto"/>
          </w:tcPr>
          <w:p w14:paraId="73C39C31" w14:textId="7F24FBFF" w:rsidR="0013492B" w:rsidRPr="001825A7" w:rsidRDefault="0013492B" w:rsidP="000634CA">
            <w:pPr>
              <w:pStyle w:val="TableText"/>
              <w:jc w:val="right"/>
            </w:pPr>
            <w:r>
              <w:rPr>
                <w:rFonts w:ascii="Calibri" w:hAnsi="Calibri"/>
                <w:color w:val="000000"/>
                <w:szCs w:val="18"/>
              </w:rPr>
              <w:t>21</w:t>
            </w:r>
          </w:p>
        </w:tc>
        <w:tc>
          <w:tcPr>
            <w:tcW w:w="595" w:type="pct"/>
            <w:shd w:val="clear" w:color="auto" w:fill="auto"/>
          </w:tcPr>
          <w:p w14:paraId="324C0295" w14:textId="48E474E6" w:rsidR="0013492B" w:rsidRPr="00C32CCF" w:rsidRDefault="0013492B" w:rsidP="000634CA">
            <w:pPr>
              <w:pStyle w:val="TableText"/>
              <w:jc w:val="right"/>
              <w:rPr>
                <w:rFonts w:ascii="Calibri" w:hAnsi="Calibri"/>
                <w:color w:val="000000"/>
                <w:szCs w:val="18"/>
              </w:rPr>
            </w:pPr>
            <w:r>
              <w:rPr>
                <w:rFonts w:ascii="Calibri" w:hAnsi="Calibri"/>
                <w:color w:val="000000"/>
                <w:szCs w:val="18"/>
              </w:rPr>
              <w:t>142,692</w:t>
            </w:r>
          </w:p>
        </w:tc>
        <w:tc>
          <w:tcPr>
            <w:tcW w:w="653" w:type="pct"/>
            <w:shd w:val="clear" w:color="auto" w:fill="auto"/>
          </w:tcPr>
          <w:p w14:paraId="290BCE7E" w14:textId="7F6580C7" w:rsidR="0013492B" w:rsidRPr="00C32CCF" w:rsidRDefault="0013492B" w:rsidP="000634CA">
            <w:pPr>
              <w:pStyle w:val="TableText"/>
              <w:jc w:val="right"/>
              <w:rPr>
                <w:highlight w:val="yellow"/>
              </w:rPr>
            </w:pPr>
            <w:r>
              <w:rPr>
                <w:rFonts w:ascii="Calibri" w:hAnsi="Calibri"/>
                <w:color w:val="000000"/>
                <w:szCs w:val="18"/>
              </w:rPr>
              <w:t>2,996,532</w:t>
            </w:r>
          </w:p>
        </w:tc>
      </w:tr>
      <w:tr w:rsidR="0013492B" w:rsidRPr="009213D8" w14:paraId="54664721" w14:textId="77777777" w:rsidTr="004C1CBD">
        <w:tc>
          <w:tcPr>
            <w:tcW w:w="689" w:type="pct"/>
            <w:vMerge/>
          </w:tcPr>
          <w:p w14:paraId="4EF323C4" w14:textId="77777777" w:rsidR="0013492B" w:rsidRPr="0018484D" w:rsidRDefault="0013492B" w:rsidP="006F1DEE">
            <w:pPr>
              <w:pStyle w:val="TableText"/>
            </w:pPr>
          </w:p>
        </w:tc>
        <w:tc>
          <w:tcPr>
            <w:tcW w:w="613" w:type="pct"/>
            <w:shd w:val="clear" w:color="auto" w:fill="auto"/>
          </w:tcPr>
          <w:p w14:paraId="60AFFE80" w14:textId="7168944C" w:rsidR="0013492B" w:rsidRPr="0018484D" w:rsidRDefault="008B40C6" w:rsidP="006F1DEE">
            <w:pPr>
              <w:pStyle w:val="TableText"/>
              <w:rPr>
                <w:rFonts w:cstheme="minorHAnsi"/>
              </w:rPr>
            </w:pPr>
            <w:r w:rsidRPr="0018484D">
              <w:rPr>
                <w:rFonts w:cstheme="minorHAnsi"/>
              </w:rPr>
              <w:t>3,363,676</w:t>
            </w:r>
          </w:p>
        </w:tc>
        <w:tc>
          <w:tcPr>
            <w:tcW w:w="1378" w:type="pct"/>
            <w:shd w:val="clear" w:color="auto" w:fill="auto"/>
          </w:tcPr>
          <w:p w14:paraId="5AC36EB5" w14:textId="3AA24022" w:rsidR="0013492B" w:rsidRPr="009213D8" w:rsidRDefault="0013492B" w:rsidP="006F1DEE">
            <w:pPr>
              <w:pStyle w:val="TableText"/>
            </w:pPr>
            <w:r w:rsidRPr="009213D8">
              <w:t>Approved arrangement – single– including food import compliance agreements</w:t>
            </w:r>
          </w:p>
        </w:tc>
        <w:tc>
          <w:tcPr>
            <w:tcW w:w="655" w:type="pct"/>
            <w:shd w:val="clear" w:color="auto" w:fill="auto"/>
          </w:tcPr>
          <w:p w14:paraId="167AF969" w14:textId="77777777" w:rsidR="0013492B" w:rsidRPr="009213D8" w:rsidRDefault="0013492B" w:rsidP="006F1DEE">
            <w:pPr>
              <w:pStyle w:val="TableText"/>
            </w:pPr>
            <w:r w:rsidRPr="009213D8">
              <w:t>Per item</w:t>
            </w:r>
          </w:p>
        </w:tc>
        <w:tc>
          <w:tcPr>
            <w:tcW w:w="417" w:type="pct"/>
            <w:shd w:val="clear" w:color="auto" w:fill="auto"/>
          </w:tcPr>
          <w:p w14:paraId="06BEFAF4" w14:textId="4D5329B4" w:rsidR="0013492B" w:rsidRPr="001825A7" w:rsidRDefault="0013492B" w:rsidP="000634CA">
            <w:pPr>
              <w:pStyle w:val="TableText"/>
              <w:jc w:val="right"/>
            </w:pPr>
            <w:r>
              <w:rPr>
                <w:rFonts w:ascii="Calibri" w:hAnsi="Calibri"/>
                <w:color w:val="000000"/>
                <w:szCs w:val="18"/>
              </w:rPr>
              <w:t>2,790</w:t>
            </w:r>
          </w:p>
        </w:tc>
        <w:tc>
          <w:tcPr>
            <w:tcW w:w="595" w:type="pct"/>
            <w:shd w:val="clear" w:color="auto" w:fill="auto"/>
          </w:tcPr>
          <w:p w14:paraId="67AE12E4" w14:textId="0A73CD37" w:rsidR="0013492B" w:rsidRPr="00C32CCF" w:rsidRDefault="0013492B" w:rsidP="000634CA">
            <w:pPr>
              <w:pStyle w:val="TableText"/>
              <w:jc w:val="right"/>
              <w:rPr>
                <w:rFonts w:ascii="Calibri" w:hAnsi="Calibri"/>
                <w:color w:val="000000"/>
                <w:szCs w:val="18"/>
              </w:rPr>
            </w:pPr>
            <w:r>
              <w:rPr>
                <w:rFonts w:ascii="Calibri" w:hAnsi="Calibri"/>
                <w:color w:val="000000"/>
                <w:szCs w:val="18"/>
              </w:rPr>
              <w:t>1,206</w:t>
            </w:r>
          </w:p>
        </w:tc>
        <w:tc>
          <w:tcPr>
            <w:tcW w:w="653" w:type="pct"/>
            <w:shd w:val="clear" w:color="auto" w:fill="auto"/>
          </w:tcPr>
          <w:p w14:paraId="1C17B422" w14:textId="17945CE6" w:rsidR="0013492B" w:rsidRPr="00C32CCF" w:rsidRDefault="0013492B" w:rsidP="000634CA">
            <w:pPr>
              <w:pStyle w:val="TableText"/>
              <w:jc w:val="right"/>
              <w:rPr>
                <w:highlight w:val="yellow"/>
              </w:rPr>
            </w:pPr>
            <w:r>
              <w:rPr>
                <w:rFonts w:ascii="Calibri" w:hAnsi="Calibri"/>
                <w:color w:val="000000"/>
                <w:szCs w:val="18"/>
              </w:rPr>
              <w:t>3,364,740</w:t>
            </w:r>
          </w:p>
        </w:tc>
      </w:tr>
      <w:tr w:rsidR="0013492B" w:rsidRPr="009213D8" w14:paraId="0E7F4DC5" w14:textId="77777777" w:rsidTr="004C1CBD">
        <w:tc>
          <w:tcPr>
            <w:tcW w:w="689" w:type="pct"/>
            <w:vMerge/>
          </w:tcPr>
          <w:p w14:paraId="72C3A177" w14:textId="77777777" w:rsidR="0013492B" w:rsidRPr="0018484D" w:rsidRDefault="0013492B" w:rsidP="006F1DEE">
            <w:pPr>
              <w:pStyle w:val="TableText"/>
            </w:pPr>
          </w:p>
        </w:tc>
        <w:tc>
          <w:tcPr>
            <w:tcW w:w="613" w:type="pct"/>
            <w:shd w:val="clear" w:color="auto" w:fill="auto"/>
          </w:tcPr>
          <w:p w14:paraId="56164252" w14:textId="23440EC2" w:rsidR="0013492B" w:rsidRPr="0018484D" w:rsidRDefault="008B40C6" w:rsidP="006F1DEE">
            <w:pPr>
              <w:pStyle w:val="TableText"/>
              <w:rPr>
                <w:rFonts w:cstheme="minorHAnsi"/>
              </w:rPr>
            </w:pPr>
            <w:r w:rsidRPr="0018484D">
              <w:rPr>
                <w:rFonts w:cstheme="minorHAnsi"/>
              </w:rPr>
              <w:t>1,472,824</w:t>
            </w:r>
          </w:p>
        </w:tc>
        <w:tc>
          <w:tcPr>
            <w:tcW w:w="1378" w:type="pct"/>
            <w:shd w:val="clear" w:color="auto" w:fill="auto"/>
          </w:tcPr>
          <w:p w14:paraId="2EFB39CD" w14:textId="7D8334BC" w:rsidR="0013492B" w:rsidRPr="009213D8" w:rsidRDefault="0013492B" w:rsidP="006F1DEE">
            <w:pPr>
              <w:pStyle w:val="TableText"/>
            </w:pPr>
            <w:r w:rsidRPr="009213D8">
              <w:t>Approved arrangement – multi</w:t>
            </w:r>
            <w:r w:rsidR="00806775">
              <w:t>ple</w:t>
            </w:r>
            <w:r w:rsidRPr="009213D8">
              <w:t xml:space="preserve"> </w:t>
            </w:r>
          </w:p>
        </w:tc>
        <w:tc>
          <w:tcPr>
            <w:tcW w:w="655" w:type="pct"/>
            <w:shd w:val="clear" w:color="auto" w:fill="auto"/>
          </w:tcPr>
          <w:p w14:paraId="76E54A88" w14:textId="77777777" w:rsidR="0013492B" w:rsidRPr="009213D8" w:rsidRDefault="0013492B" w:rsidP="006F1DEE">
            <w:pPr>
              <w:pStyle w:val="TableText"/>
            </w:pPr>
            <w:r w:rsidRPr="009213D8">
              <w:t>Per item</w:t>
            </w:r>
          </w:p>
        </w:tc>
        <w:tc>
          <w:tcPr>
            <w:tcW w:w="417" w:type="pct"/>
            <w:shd w:val="clear" w:color="auto" w:fill="auto"/>
          </w:tcPr>
          <w:p w14:paraId="5569342C" w14:textId="2A76A587" w:rsidR="0013492B" w:rsidRPr="001825A7" w:rsidRDefault="0013492B" w:rsidP="000634CA">
            <w:pPr>
              <w:pStyle w:val="TableText"/>
              <w:jc w:val="right"/>
            </w:pPr>
            <w:r>
              <w:rPr>
                <w:rFonts w:ascii="Calibri" w:hAnsi="Calibri"/>
                <w:color w:val="000000"/>
                <w:szCs w:val="18"/>
              </w:rPr>
              <w:t>3,238</w:t>
            </w:r>
          </w:p>
        </w:tc>
        <w:tc>
          <w:tcPr>
            <w:tcW w:w="595" w:type="pct"/>
            <w:shd w:val="clear" w:color="auto" w:fill="auto"/>
          </w:tcPr>
          <w:p w14:paraId="4003640F" w14:textId="24B90330" w:rsidR="0013492B" w:rsidRPr="00C32CCF" w:rsidRDefault="0013492B" w:rsidP="000634CA">
            <w:pPr>
              <w:pStyle w:val="TableText"/>
              <w:jc w:val="right"/>
              <w:rPr>
                <w:rFonts w:ascii="Calibri" w:hAnsi="Calibri"/>
                <w:color w:val="000000"/>
                <w:szCs w:val="18"/>
              </w:rPr>
            </w:pPr>
            <w:r>
              <w:rPr>
                <w:rFonts w:ascii="Calibri" w:hAnsi="Calibri"/>
                <w:color w:val="000000"/>
                <w:szCs w:val="18"/>
              </w:rPr>
              <w:t>455</w:t>
            </w:r>
          </w:p>
        </w:tc>
        <w:tc>
          <w:tcPr>
            <w:tcW w:w="653" w:type="pct"/>
            <w:shd w:val="clear" w:color="auto" w:fill="auto"/>
          </w:tcPr>
          <w:p w14:paraId="5D2278C0" w14:textId="68BC056D" w:rsidR="0013492B" w:rsidRPr="00C32CCF" w:rsidRDefault="0013492B" w:rsidP="000634CA">
            <w:pPr>
              <w:pStyle w:val="TableText"/>
              <w:jc w:val="right"/>
              <w:rPr>
                <w:highlight w:val="yellow"/>
              </w:rPr>
            </w:pPr>
            <w:r>
              <w:rPr>
                <w:rFonts w:ascii="Calibri" w:hAnsi="Calibri"/>
                <w:color w:val="000000"/>
                <w:szCs w:val="18"/>
              </w:rPr>
              <w:t>1,473,290</w:t>
            </w:r>
          </w:p>
        </w:tc>
      </w:tr>
      <w:tr w:rsidR="0013492B" w:rsidRPr="009213D8" w14:paraId="2ADCD68C" w14:textId="77777777" w:rsidTr="004C1CBD">
        <w:tc>
          <w:tcPr>
            <w:tcW w:w="689" w:type="pct"/>
            <w:vMerge/>
          </w:tcPr>
          <w:p w14:paraId="44D7473F" w14:textId="77777777" w:rsidR="0013492B" w:rsidRPr="0018484D" w:rsidRDefault="0013492B" w:rsidP="006F1DEE">
            <w:pPr>
              <w:pStyle w:val="TableText"/>
            </w:pPr>
          </w:p>
        </w:tc>
        <w:tc>
          <w:tcPr>
            <w:tcW w:w="613" w:type="pct"/>
            <w:shd w:val="clear" w:color="auto" w:fill="auto"/>
          </w:tcPr>
          <w:p w14:paraId="11D51D12" w14:textId="7EB94AC8" w:rsidR="0013492B" w:rsidRPr="0018484D" w:rsidRDefault="008B40C6" w:rsidP="006F1DEE">
            <w:pPr>
              <w:pStyle w:val="TableText"/>
              <w:rPr>
                <w:rFonts w:cstheme="minorHAnsi"/>
              </w:rPr>
            </w:pPr>
            <w:r w:rsidRPr="0018484D">
              <w:rPr>
                <w:rFonts w:cstheme="minorHAnsi"/>
              </w:rPr>
              <w:t>215,878</w:t>
            </w:r>
          </w:p>
        </w:tc>
        <w:tc>
          <w:tcPr>
            <w:tcW w:w="1378" w:type="pct"/>
            <w:shd w:val="clear" w:color="auto" w:fill="auto"/>
          </w:tcPr>
          <w:p w14:paraId="37C90592" w14:textId="2D8B0F14" w:rsidR="0013492B" w:rsidRPr="009213D8" w:rsidRDefault="0013492B" w:rsidP="006F1DEE">
            <w:pPr>
              <w:pStyle w:val="TableText"/>
            </w:pPr>
            <w:r w:rsidRPr="009213D8">
              <w:t>Approved arrangement –</w:t>
            </w:r>
            <w:r w:rsidR="00806775">
              <w:t>c</w:t>
            </w:r>
            <w:r w:rsidR="009927A6">
              <w:t>lass 19</w:t>
            </w:r>
          </w:p>
        </w:tc>
        <w:tc>
          <w:tcPr>
            <w:tcW w:w="655" w:type="pct"/>
            <w:shd w:val="clear" w:color="auto" w:fill="auto"/>
          </w:tcPr>
          <w:p w14:paraId="35E77733" w14:textId="77777777" w:rsidR="0013492B" w:rsidRPr="009213D8" w:rsidRDefault="0013492B" w:rsidP="006F1DEE">
            <w:pPr>
              <w:pStyle w:val="TableText"/>
            </w:pPr>
            <w:r w:rsidRPr="009213D8">
              <w:t>Per item</w:t>
            </w:r>
          </w:p>
        </w:tc>
        <w:tc>
          <w:tcPr>
            <w:tcW w:w="417" w:type="pct"/>
            <w:shd w:val="clear" w:color="auto" w:fill="auto"/>
          </w:tcPr>
          <w:p w14:paraId="0BD4AC1C" w14:textId="14EDA1B8" w:rsidR="0013492B" w:rsidRPr="001825A7" w:rsidRDefault="0013492B" w:rsidP="000634CA">
            <w:pPr>
              <w:pStyle w:val="TableText"/>
              <w:jc w:val="right"/>
            </w:pPr>
            <w:r>
              <w:rPr>
                <w:rFonts w:ascii="Calibri" w:hAnsi="Calibri"/>
                <w:color w:val="000000"/>
                <w:szCs w:val="18"/>
              </w:rPr>
              <w:t>558</w:t>
            </w:r>
          </w:p>
        </w:tc>
        <w:tc>
          <w:tcPr>
            <w:tcW w:w="595" w:type="pct"/>
            <w:shd w:val="clear" w:color="auto" w:fill="auto"/>
          </w:tcPr>
          <w:p w14:paraId="78DB53B5" w14:textId="7B61C0EB" w:rsidR="0013492B" w:rsidRPr="00C32CCF" w:rsidRDefault="0013492B" w:rsidP="000634CA">
            <w:pPr>
              <w:pStyle w:val="TableText"/>
              <w:jc w:val="right"/>
              <w:rPr>
                <w:rFonts w:ascii="Calibri" w:hAnsi="Calibri"/>
                <w:color w:val="000000"/>
                <w:szCs w:val="18"/>
              </w:rPr>
            </w:pPr>
            <w:r>
              <w:rPr>
                <w:rFonts w:ascii="Calibri" w:hAnsi="Calibri"/>
                <w:color w:val="000000"/>
                <w:szCs w:val="18"/>
              </w:rPr>
              <w:t>387</w:t>
            </w:r>
          </w:p>
        </w:tc>
        <w:tc>
          <w:tcPr>
            <w:tcW w:w="653" w:type="pct"/>
            <w:shd w:val="clear" w:color="auto" w:fill="auto"/>
          </w:tcPr>
          <w:p w14:paraId="11274709" w14:textId="7032F699" w:rsidR="0013492B" w:rsidRPr="00C32CCF" w:rsidRDefault="0013492B" w:rsidP="000634CA">
            <w:pPr>
              <w:pStyle w:val="TableText"/>
              <w:jc w:val="right"/>
              <w:rPr>
                <w:highlight w:val="yellow"/>
              </w:rPr>
            </w:pPr>
            <w:r>
              <w:rPr>
                <w:rFonts w:ascii="Calibri" w:hAnsi="Calibri"/>
                <w:color w:val="000000"/>
                <w:szCs w:val="18"/>
              </w:rPr>
              <w:t>215,946</w:t>
            </w:r>
          </w:p>
        </w:tc>
      </w:tr>
      <w:tr w:rsidR="00E7560A" w:rsidRPr="009213D8" w14:paraId="3DF8468E" w14:textId="77777777" w:rsidTr="004C1CBD">
        <w:tc>
          <w:tcPr>
            <w:tcW w:w="689" w:type="pct"/>
            <w:vMerge/>
          </w:tcPr>
          <w:p w14:paraId="02A6BA53" w14:textId="77777777" w:rsidR="00E7560A" w:rsidRPr="0018484D" w:rsidRDefault="00E7560A" w:rsidP="006F1DEE">
            <w:pPr>
              <w:pStyle w:val="TableText"/>
            </w:pPr>
          </w:p>
        </w:tc>
        <w:tc>
          <w:tcPr>
            <w:tcW w:w="613" w:type="pct"/>
            <w:shd w:val="clear" w:color="auto" w:fill="auto"/>
          </w:tcPr>
          <w:p w14:paraId="5146AB96" w14:textId="4ACE32A1" w:rsidR="00E7560A" w:rsidRPr="0018484D" w:rsidRDefault="002D1941" w:rsidP="006F1DEE">
            <w:pPr>
              <w:pStyle w:val="TableText"/>
              <w:rPr>
                <w:rFonts w:cstheme="minorHAnsi"/>
              </w:rPr>
            </w:pPr>
            <w:r w:rsidRPr="0018484D">
              <w:rPr>
                <w:rFonts w:cstheme="minorHAnsi"/>
              </w:rPr>
              <w:t>776,667</w:t>
            </w:r>
          </w:p>
        </w:tc>
        <w:tc>
          <w:tcPr>
            <w:tcW w:w="1378" w:type="pct"/>
            <w:shd w:val="clear" w:color="auto" w:fill="auto"/>
          </w:tcPr>
          <w:p w14:paraId="1F31847F" w14:textId="399E9A40" w:rsidR="00E7560A" w:rsidRPr="009213D8" w:rsidRDefault="00E7560A" w:rsidP="006F1DEE">
            <w:pPr>
              <w:pStyle w:val="TableText"/>
            </w:pPr>
            <w:r>
              <w:t>Reservation</w:t>
            </w:r>
            <w:r w:rsidRPr="009213D8">
              <w:t xml:space="preserve"> charge – horses </w:t>
            </w:r>
          </w:p>
        </w:tc>
        <w:tc>
          <w:tcPr>
            <w:tcW w:w="655" w:type="pct"/>
            <w:shd w:val="clear" w:color="auto" w:fill="auto"/>
          </w:tcPr>
          <w:p w14:paraId="49B4AEF0" w14:textId="493D6CB2" w:rsidR="00E7560A" w:rsidRPr="009213D8" w:rsidRDefault="00E7560A" w:rsidP="006F1DEE">
            <w:pPr>
              <w:pStyle w:val="TableText"/>
            </w:pPr>
            <w:r w:rsidRPr="009213D8">
              <w:t>Per animal</w:t>
            </w:r>
          </w:p>
        </w:tc>
        <w:tc>
          <w:tcPr>
            <w:tcW w:w="417" w:type="pct"/>
            <w:shd w:val="clear" w:color="auto" w:fill="auto"/>
          </w:tcPr>
          <w:p w14:paraId="33A80CDF" w14:textId="14904B31" w:rsidR="00E7560A" w:rsidRPr="00E7560A" w:rsidRDefault="00E7560A" w:rsidP="000634CA">
            <w:pPr>
              <w:pStyle w:val="TableText"/>
              <w:jc w:val="right"/>
            </w:pPr>
            <w:r w:rsidRPr="003302C5">
              <w:t>1,023</w:t>
            </w:r>
          </w:p>
        </w:tc>
        <w:tc>
          <w:tcPr>
            <w:tcW w:w="595" w:type="pct"/>
            <w:shd w:val="clear" w:color="auto" w:fill="auto"/>
          </w:tcPr>
          <w:p w14:paraId="51029F20" w14:textId="7C6F8A8F" w:rsidR="00E7560A" w:rsidRPr="003302C5" w:rsidRDefault="00E7560A" w:rsidP="000634CA">
            <w:pPr>
              <w:pStyle w:val="TableText"/>
              <w:jc w:val="right"/>
            </w:pPr>
            <w:r w:rsidRPr="003302C5">
              <w:t>759</w:t>
            </w:r>
          </w:p>
        </w:tc>
        <w:tc>
          <w:tcPr>
            <w:tcW w:w="653" w:type="pct"/>
            <w:shd w:val="clear" w:color="auto" w:fill="auto"/>
          </w:tcPr>
          <w:p w14:paraId="6C9F7FD7" w14:textId="7EA14447" w:rsidR="00E7560A" w:rsidRPr="00C32CCF" w:rsidRDefault="00E7560A" w:rsidP="000634CA">
            <w:pPr>
              <w:pStyle w:val="TableText"/>
              <w:jc w:val="right"/>
              <w:rPr>
                <w:highlight w:val="yellow"/>
              </w:rPr>
            </w:pPr>
            <w:r w:rsidRPr="00D7514D">
              <w:t>776,457</w:t>
            </w:r>
          </w:p>
        </w:tc>
      </w:tr>
      <w:tr w:rsidR="0018484D" w:rsidRPr="009213D8" w14:paraId="441CE6B9" w14:textId="77777777" w:rsidTr="004C1CBD">
        <w:tc>
          <w:tcPr>
            <w:tcW w:w="689" w:type="pct"/>
            <w:vMerge/>
          </w:tcPr>
          <w:p w14:paraId="295636A7" w14:textId="77777777" w:rsidR="0018484D" w:rsidRPr="0018484D" w:rsidRDefault="0018484D" w:rsidP="006F1DEE">
            <w:pPr>
              <w:pStyle w:val="TableText"/>
            </w:pPr>
          </w:p>
        </w:tc>
        <w:tc>
          <w:tcPr>
            <w:tcW w:w="613" w:type="pct"/>
            <w:shd w:val="clear" w:color="auto" w:fill="auto"/>
          </w:tcPr>
          <w:p w14:paraId="6B7B7716" w14:textId="0821F81B" w:rsidR="0018484D" w:rsidRPr="0018484D" w:rsidRDefault="0018484D" w:rsidP="006F1DEE">
            <w:pPr>
              <w:pStyle w:val="TableText"/>
              <w:rPr>
                <w:rFonts w:cstheme="minorHAnsi"/>
              </w:rPr>
            </w:pPr>
            <w:r w:rsidRPr="0018484D">
              <w:rPr>
                <w:rFonts w:cstheme="minorHAnsi"/>
              </w:rPr>
              <w:t>3,106,666</w:t>
            </w:r>
          </w:p>
        </w:tc>
        <w:tc>
          <w:tcPr>
            <w:tcW w:w="1378" w:type="pct"/>
            <w:shd w:val="clear" w:color="auto" w:fill="auto"/>
          </w:tcPr>
          <w:p w14:paraId="7A947FB3" w14:textId="3B3D2A7F" w:rsidR="0018484D" w:rsidRDefault="0018484D" w:rsidP="006F1DEE">
            <w:pPr>
              <w:pStyle w:val="TableText"/>
            </w:pPr>
            <w:r w:rsidRPr="0018484D">
              <w:t>Confirmation of reservation charge-horses</w:t>
            </w:r>
          </w:p>
        </w:tc>
        <w:tc>
          <w:tcPr>
            <w:tcW w:w="655" w:type="pct"/>
            <w:shd w:val="clear" w:color="auto" w:fill="auto"/>
          </w:tcPr>
          <w:p w14:paraId="2DF3E7D8" w14:textId="4263D6BF" w:rsidR="0018484D" w:rsidRPr="009213D8" w:rsidRDefault="0018484D" w:rsidP="006F1DEE">
            <w:pPr>
              <w:pStyle w:val="TableText"/>
            </w:pPr>
            <w:r w:rsidRPr="0018484D">
              <w:t>Per animal</w:t>
            </w:r>
          </w:p>
        </w:tc>
        <w:tc>
          <w:tcPr>
            <w:tcW w:w="417" w:type="pct"/>
            <w:shd w:val="clear" w:color="auto" w:fill="auto"/>
          </w:tcPr>
          <w:p w14:paraId="01122004" w14:textId="38DD1602" w:rsidR="0018484D" w:rsidRDefault="0018484D" w:rsidP="000634CA">
            <w:pPr>
              <w:pStyle w:val="TableText"/>
              <w:jc w:val="right"/>
              <w:rPr>
                <w:rFonts w:ascii="Calibri" w:hAnsi="Calibri"/>
                <w:color w:val="000000"/>
                <w:szCs w:val="18"/>
              </w:rPr>
            </w:pPr>
            <w:r>
              <w:rPr>
                <w:rFonts w:ascii="Calibri" w:hAnsi="Calibri"/>
                <w:color w:val="000000"/>
                <w:szCs w:val="18"/>
              </w:rPr>
              <w:t>4095</w:t>
            </w:r>
          </w:p>
        </w:tc>
        <w:tc>
          <w:tcPr>
            <w:tcW w:w="595" w:type="pct"/>
            <w:shd w:val="clear" w:color="auto" w:fill="auto"/>
          </w:tcPr>
          <w:p w14:paraId="2F62E510" w14:textId="374E2DEE" w:rsidR="0018484D" w:rsidRDefault="0018484D" w:rsidP="000634CA">
            <w:pPr>
              <w:pStyle w:val="TableText"/>
              <w:jc w:val="right"/>
              <w:rPr>
                <w:rFonts w:ascii="Calibri" w:hAnsi="Calibri"/>
                <w:color w:val="000000"/>
                <w:szCs w:val="18"/>
              </w:rPr>
            </w:pPr>
            <w:r>
              <w:rPr>
                <w:rFonts w:ascii="Calibri" w:hAnsi="Calibri"/>
                <w:color w:val="000000"/>
                <w:szCs w:val="18"/>
              </w:rPr>
              <w:t>759</w:t>
            </w:r>
          </w:p>
        </w:tc>
        <w:tc>
          <w:tcPr>
            <w:tcW w:w="653" w:type="pct"/>
            <w:shd w:val="clear" w:color="auto" w:fill="auto"/>
          </w:tcPr>
          <w:p w14:paraId="7FFA65B6" w14:textId="65B68A49" w:rsidR="0018484D" w:rsidRDefault="0018484D" w:rsidP="000634CA">
            <w:pPr>
              <w:pStyle w:val="TableText"/>
              <w:jc w:val="right"/>
              <w:rPr>
                <w:rFonts w:ascii="Calibri" w:hAnsi="Calibri"/>
                <w:color w:val="000000"/>
                <w:szCs w:val="18"/>
              </w:rPr>
            </w:pPr>
            <w:r>
              <w:rPr>
                <w:rFonts w:ascii="Calibri" w:hAnsi="Calibri"/>
                <w:color w:val="000000"/>
                <w:szCs w:val="18"/>
              </w:rPr>
              <w:t>3,108,105</w:t>
            </w:r>
          </w:p>
        </w:tc>
      </w:tr>
      <w:tr w:rsidR="0013492B" w:rsidRPr="009213D8" w14:paraId="1DF681B0" w14:textId="77777777" w:rsidTr="004C1CBD">
        <w:tc>
          <w:tcPr>
            <w:tcW w:w="689" w:type="pct"/>
            <w:vMerge/>
          </w:tcPr>
          <w:p w14:paraId="751F8E20" w14:textId="77777777" w:rsidR="0013492B" w:rsidRPr="0018484D" w:rsidRDefault="0013492B" w:rsidP="006F1DEE">
            <w:pPr>
              <w:pStyle w:val="TableText"/>
            </w:pPr>
          </w:p>
        </w:tc>
        <w:tc>
          <w:tcPr>
            <w:tcW w:w="613" w:type="pct"/>
            <w:shd w:val="clear" w:color="auto" w:fill="auto"/>
          </w:tcPr>
          <w:p w14:paraId="569C5696" w14:textId="0BC561D0" w:rsidR="0013492B" w:rsidRPr="0018484D" w:rsidRDefault="001D68E2" w:rsidP="006F1DEE">
            <w:pPr>
              <w:pStyle w:val="TableText"/>
              <w:rPr>
                <w:rFonts w:cstheme="minorHAnsi"/>
              </w:rPr>
            </w:pPr>
            <w:r w:rsidRPr="0018484D">
              <w:rPr>
                <w:rFonts w:cstheme="minorHAnsi"/>
              </w:rPr>
              <w:t>–</w:t>
            </w:r>
          </w:p>
        </w:tc>
        <w:tc>
          <w:tcPr>
            <w:tcW w:w="1378" w:type="pct"/>
            <w:shd w:val="clear" w:color="auto" w:fill="auto"/>
          </w:tcPr>
          <w:p w14:paraId="46B2A729" w14:textId="2E463285" w:rsidR="0013492B" w:rsidRPr="009213D8" w:rsidRDefault="00411C54" w:rsidP="006F1DEE">
            <w:pPr>
              <w:pStyle w:val="TableText"/>
            </w:pPr>
            <w:r>
              <w:t>Reservation</w:t>
            </w:r>
            <w:r w:rsidRPr="009213D8">
              <w:t xml:space="preserve"> charge </w:t>
            </w:r>
            <w:r w:rsidR="0013492B" w:rsidRPr="009213D8">
              <w:t>– ruminants</w:t>
            </w:r>
          </w:p>
        </w:tc>
        <w:tc>
          <w:tcPr>
            <w:tcW w:w="655" w:type="pct"/>
            <w:shd w:val="clear" w:color="auto" w:fill="auto"/>
          </w:tcPr>
          <w:p w14:paraId="4EC3B499" w14:textId="77777777" w:rsidR="0013492B" w:rsidRPr="009213D8" w:rsidRDefault="0013492B" w:rsidP="006F1DEE">
            <w:pPr>
              <w:pStyle w:val="TableText"/>
            </w:pPr>
            <w:r w:rsidRPr="009213D8">
              <w:t>Per animal</w:t>
            </w:r>
          </w:p>
        </w:tc>
        <w:tc>
          <w:tcPr>
            <w:tcW w:w="417" w:type="pct"/>
            <w:shd w:val="clear" w:color="auto" w:fill="auto"/>
          </w:tcPr>
          <w:p w14:paraId="44F43037" w14:textId="560CD682" w:rsidR="0013492B" w:rsidRPr="001825A7" w:rsidRDefault="00E7560A" w:rsidP="000634CA">
            <w:pPr>
              <w:pStyle w:val="TableText"/>
              <w:jc w:val="right"/>
            </w:pPr>
            <w:r>
              <w:rPr>
                <w:rFonts w:ascii="Calibri" w:hAnsi="Calibri"/>
                <w:color w:val="000000"/>
                <w:szCs w:val="18"/>
              </w:rPr>
              <w:t>1,046</w:t>
            </w:r>
          </w:p>
        </w:tc>
        <w:tc>
          <w:tcPr>
            <w:tcW w:w="595" w:type="pct"/>
            <w:shd w:val="clear" w:color="auto" w:fill="auto"/>
          </w:tcPr>
          <w:p w14:paraId="66EA97A1" w14:textId="6EF67FD4" w:rsidR="0013492B" w:rsidRPr="00C32CCF" w:rsidRDefault="0013492B" w:rsidP="000634CA">
            <w:pPr>
              <w:pStyle w:val="TableText"/>
              <w:jc w:val="right"/>
              <w:rPr>
                <w:rFonts w:ascii="Calibri" w:hAnsi="Calibri"/>
                <w:color w:val="000000"/>
                <w:szCs w:val="18"/>
              </w:rPr>
            </w:pPr>
            <w:r>
              <w:rPr>
                <w:rFonts w:ascii="Calibri" w:hAnsi="Calibri"/>
                <w:color w:val="000000"/>
                <w:szCs w:val="18"/>
              </w:rPr>
              <w:t>0</w:t>
            </w:r>
          </w:p>
        </w:tc>
        <w:tc>
          <w:tcPr>
            <w:tcW w:w="653" w:type="pct"/>
            <w:shd w:val="clear" w:color="auto" w:fill="auto"/>
          </w:tcPr>
          <w:p w14:paraId="50C7D9AC" w14:textId="27224513" w:rsidR="0013492B" w:rsidRPr="00C32CCF" w:rsidRDefault="0013492B" w:rsidP="000634CA">
            <w:pPr>
              <w:pStyle w:val="TableText"/>
              <w:jc w:val="right"/>
              <w:rPr>
                <w:highlight w:val="yellow"/>
              </w:rPr>
            </w:pPr>
            <w:r>
              <w:rPr>
                <w:rFonts w:ascii="Calibri" w:hAnsi="Calibri"/>
                <w:color w:val="000000"/>
                <w:szCs w:val="18"/>
              </w:rPr>
              <w:t>0</w:t>
            </w:r>
          </w:p>
        </w:tc>
      </w:tr>
      <w:tr w:rsidR="00411C54" w:rsidRPr="009213D8" w14:paraId="315112C6" w14:textId="77777777" w:rsidTr="004C1CBD">
        <w:tc>
          <w:tcPr>
            <w:tcW w:w="689" w:type="pct"/>
            <w:vMerge/>
          </w:tcPr>
          <w:p w14:paraId="73CE7DF2" w14:textId="77777777" w:rsidR="00411C54" w:rsidRPr="0018484D" w:rsidRDefault="00411C54" w:rsidP="006F1DEE">
            <w:pPr>
              <w:pStyle w:val="TableText"/>
            </w:pPr>
          </w:p>
        </w:tc>
        <w:tc>
          <w:tcPr>
            <w:tcW w:w="613" w:type="pct"/>
            <w:shd w:val="clear" w:color="auto" w:fill="auto"/>
          </w:tcPr>
          <w:p w14:paraId="53C2ACF7" w14:textId="20355FFC" w:rsidR="00411C54" w:rsidRPr="0018484D" w:rsidRDefault="001D68E2" w:rsidP="006F1DEE">
            <w:pPr>
              <w:pStyle w:val="TableText"/>
              <w:rPr>
                <w:rFonts w:cstheme="minorHAnsi"/>
              </w:rPr>
            </w:pPr>
            <w:r w:rsidRPr="0018484D">
              <w:rPr>
                <w:rFonts w:cstheme="minorHAnsi"/>
              </w:rPr>
              <w:t>–</w:t>
            </w:r>
          </w:p>
        </w:tc>
        <w:tc>
          <w:tcPr>
            <w:tcW w:w="1378" w:type="pct"/>
            <w:shd w:val="clear" w:color="auto" w:fill="auto"/>
          </w:tcPr>
          <w:p w14:paraId="6E7269E7" w14:textId="7B4AC227" w:rsidR="00411C54" w:rsidRDefault="00411C54" w:rsidP="006F1DEE">
            <w:pPr>
              <w:pStyle w:val="TableText"/>
            </w:pPr>
            <w:r>
              <w:t>Confirmation of reservation</w:t>
            </w:r>
            <w:r w:rsidRPr="009213D8">
              <w:t xml:space="preserve"> charge – ruminants</w:t>
            </w:r>
          </w:p>
        </w:tc>
        <w:tc>
          <w:tcPr>
            <w:tcW w:w="655" w:type="pct"/>
            <w:shd w:val="clear" w:color="auto" w:fill="auto"/>
          </w:tcPr>
          <w:p w14:paraId="3655AB85" w14:textId="3EEBD90A" w:rsidR="00411C54" w:rsidRPr="009213D8" w:rsidRDefault="00411C54" w:rsidP="006F1DEE">
            <w:pPr>
              <w:pStyle w:val="TableText"/>
            </w:pPr>
            <w:r w:rsidRPr="009213D8">
              <w:t>Per animal</w:t>
            </w:r>
          </w:p>
        </w:tc>
        <w:tc>
          <w:tcPr>
            <w:tcW w:w="417" w:type="pct"/>
            <w:shd w:val="clear" w:color="auto" w:fill="auto"/>
          </w:tcPr>
          <w:p w14:paraId="0FA1D6AD" w14:textId="795E743E" w:rsidR="00411C54" w:rsidRDefault="00E7560A" w:rsidP="000634CA">
            <w:pPr>
              <w:pStyle w:val="TableText"/>
              <w:jc w:val="right"/>
              <w:rPr>
                <w:rFonts w:ascii="Calibri" w:hAnsi="Calibri"/>
                <w:color w:val="000000"/>
                <w:szCs w:val="18"/>
              </w:rPr>
            </w:pPr>
            <w:r>
              <w:rPr>
                <w:rFonts w:ascii="Calibri" w:hAnsi="Calibri"/>
                <w:color w:val="000000"/>
                <w:szCs w:val="18"/>
              </w:rPr>
              <w:t>4,184</w:t>
            </w:r>
          </w:p>
        </w:tc>
        <w:tc>
          <w:tcPr>
            <w:tcW w:w="595" w:type="pct"/>
            <w:shd w:val="clear" w:color="auto" w:fill="auto"/>
          </w:tcPr>
          <w:p w14:paraId="4EB557A7" w14:textId="20A42A86" w:rsidR="00411C54" w:rsidRDefault="00E7560A" w:rsidP="000634CA">
            <w:pPr>
              <w:pStyle w:val="TableText"/>
              <w:jc w:val="right"/>
              <w:rPr>
                <w:rFonts w:ascii="Calibri" w:hAnsi="Calibri"/>
                <w:color w:val="000000"/>
                <w:szCs w:val="18"/>
              </w:rPr>
            </w:pPr>
            <w:r>
              <w:rPr>
                <w:rFonts w:ascii="Calibri" w:hAnsi="Calibri"/>
                <w:color w:val="000000"/>
                <w:szCs w:val="18"/>
              </w:rPr>
              <w:t>0</w:t>
            </w:r>
          </w:p>
        </w:tc>
        <w:tc>
          <w:tcPr>
            <w:tcW w:w="653" w:type="pct"/>
            <w:shd w:val="clear" w:color="auto" w:fill="auto"/>
          </w:tcPr>
          <w:p w14:paraId="1DF09356" w14:textId="1DD6E183" w:rsidR="00411C54" w:rsidRDefault="00E7560A" w:rsidP="000634CA">
            <w:pPr>
              <w:pStyle w:val="TableText"/>
              <w:jc w:val="right"/>
              <w:rPr>
                <w:rFonts w:ascii="Calibri" w:hAnsi="Calibri"/>
                <w:color w:val="000000"/>
                <w:szCs w:val="18"/>
              </w:rPr>
            </w:pPr>
            <w:r>
              <w:rPr>
                <w:rFonts w:ascii="Calibri" w:hAnsi="Calibri"/>
                <w:color w:val="000000"/>
                <w:szCs w:val="18"/>
              </w:rPr>
              <w:t>0</w:t>
            </w:r>
          </w:p>
        </w:tc>
      </w:tr>
      <w:tr w:rsidR="0013492B" w:rsidRPr="009213D8" w14:paraId="43C3B244" w14:textId="77777777" w:rsidTr="004C1CBD">
        <w:tc>
          <w:tcPr>
            <w:tcW w:w="689" w:type="pct"/>
            <w:vMerge/>
          </w:tcPr>
          <w:p w14:paraId="14DA0D7D" w14:textId="77777777" w:rsidR="0013492B" w:rsidRPr="0018484D" w:rsidRDefault="0013492B" w:rsidP="006F1DEE">
            <w:pPr>
              <w:pStyle w:val="TableText"/>
            </w:pPr>
          </w:p>
        </w:tc>
        <w:tc>
          <w:tcPr>
            <w:tcW w:w="613" w:type="pct"/>
            <w:shd w:val="clear" w:color="auto" w:fill="auto"/>
          </w:tcPr>
          <w:p w14:paraId="0C443201" w14:textId="458E09ED" w:rsidR="0013492B" w:rsidRPr="0018484D" w:rsidRDefault="002D1941" w:rsidP="006F1DEE">
            <w:pPr>
              <w:pStyle w:val="TableText"/>
              <w:rPr>
                <w:rFonts w:cstheme="minorHAnsi"/>
              </w:rPr>
            </w:pPr>
            <w:r w:rsidRPr="0018484D">
              <w:rPr>
                <w:rFonts w:cstheme="minorHAnsi"/>
              </w:rPr>
              <w:t>1,455,299</w:t>
            </w:r>
          </w:p>
        </w:tc>
        <w:tc>
          <w:tcPr>
            <w:tcW w:w="1378" w:type="pct"/>
            <w:shd w:val="clear" w:color="auto" w:fill="auto"/>
          </w:tcPr>
          <w:p w14:paraId="2F3F0FAE" w14:textId="751F949F" w:rsidR="0013492B" w:rsidRPr="009213D8" w:rsidRDefault="009257DB" w:rsidP="006F1DEE">
            <w:pPr>
              <w:pStyle w:val="TableText"/>
            </w:pPr>
            <w:r w:rsidRPr="009257DB">
              <w:t xml:space="preserve">Reservation charge </w:t>
            </w:r>
            <w:r w:rsidR="0013492B" w:rsidRPr="009213D8">
              <w:t>– animal not covered by another item of this table (includes cat or dog)</w:t>
            </w:r>
          </w:p>
        </w:tc>
        <w:tc>
          <w:tcPr>
            <w:tcW w:w="655" w:type="pct"/>
            <w:shd w:val="clear" w:color="auto" w:fill="auto"/>
          </w:tcPr>
          <w:p w14:paraId="21494C59" w14:textId="77777777" w:rsidR="0013492B" w:rsidRPr="009213D8" w:rsidRDefault="0013492B" w:rsidP="006F1DEE">
            <w:pPr>
              <w:pStyle w:val="TableText"/>
            </w:pPr>
            <w:r w:rsidRPr="009213D8">
              <w:t>Per animal</w:t>
            </w:r>
          </w:p>
        </w:tc>
        <w:tc>
          <w:tcPr>
            <w:tcW w:w="417" w:type="pct"/>
            <w:shd w:val="clear" w:color="auto" w:fill="auto"/>
          </w:tcPr>
          <w:p w14:paraId="1402A669" w14:textId="57959B8F" w:rsidR="0013492B" w:rsidRPr="001825A7" w:rsidRDefault="00E7560A" w:rsidP="000634CA">
            <w:pPr>
              <w:pStyle w:val="TableText"/>
              <w:jc w:val="right"/>
            </w:pPr>
            <w:r w:rsidRPr="00E7560A">
              <w:rPr>
                <w:rFonts w:ascii="Calibri" w:hAnsi="Calibri"/>
                <w:color w:val="000000"/>
                <w:szCs w:val="18"/>
              </w:rPr>
              <w:t>263</w:t>
            </w:r>
          </w:p>
        </w:tc>
        <w:tc>
          <w:tcPr>
            <w:tcW w:w="595" w:type="pct"/>
            <w:shd w:val="clear" w:color="auto" w:fill="auto"/>
          </w:tcPr>
          <w:p w14:paraId="44B6C6D6" w14:textId="15288B8A" w:rsidR="0013492B" w:rsidRPr="00C32CCF" w:rsidRDefault="0013492B" w:rsidP="000634CA">
            <w:pPr>
              <w:pStyle w:val="TableText"/>
              <w:jc w:val="right"/>
              <w:rPr>
                <w:rFonts w:ascii="Calibri" w:hAnsi="Calibri"/>
                <w:color w:val="000000"/>
                <w:szCs w:val="18"/>
              </w:rPr>
            </w:pPr>
            <w:r>
              <w:rPr>
                <w:rFonts w:ascii="Calibri" w:hAnsi="Calibri"/>
                <w:color w:val="000000"/>
                <w:szCs w:val="18"/>
              </w:rPr>
              <w:t>5,531</w:t>
            </w:r>
          </w:p>
        </w:tc>
        <w:tc>
          <w:tcPr>
            <w:tcW w:w="653" w:type="pct"/>
            <w:shd w:val="clear" w:color="auto" w:fill="auto"/>
          </w:tcPr>
          <w:p w14:paraId="32F6DE87" w14:textId="5A02ED8D" w:rsidR="0013492B" w:rsidRPr="00C32CCF" w:rsidRDefault="00382F48" w:rsidP="000634CA">
            <w:pPr>
              <w:pStyle w:val="TableText"/>
              <w:jc w:val="right"/>
              <w:rPr>
                <w:highlight w:val="yellow"/>
              </w:rPr>
            </w:pPr>
            <w:r w:rsidRPr="00382F48">
              <w:rPr>
                <w:rFonts w:ascii="Calibri" w:hAnsi="Calibri"/>
                <w:color w:val="000000"/>
                <w:szCs w:val="18"/>
              </w:rPr>
              <w:t>1,454,653</w:t>
            </w:r>
          </w:p>
        </w:tc>
      </w:tr>
      <w:tr w:rsidR="009257DB" w:rsidRPr="009213D8" w14:paraId="339CEFC1" w14:textId="77777777" w:rsidTr="004C1CBD">
        <w:tc>
          <w:tcPr>
            <w:tcW w:w="689" w:type="pct"/>
            <w:vMerge/>
          </w:tcPr>
          <w:p w14:paraId="262EDA00" w14:textId="77777777" w:rsidR="009257DB" w:rsidRPr="0018484D" w:rsidRDefault="009257DB" w:rsidP="006F1DEE">
            <w:pPr>
              <w:pStyle w:val="TableText"/>
            </w:pPr>
          </w:p>
        </w:tc>
        <w:tc>
          <w:tcPr>
            <w:tcW w:w="613" w:type="pct"/>
            <w:shd w:val="clear" w:color="auto" w:fill="auto"/>
          </w:tcPr>
          <w:p w14:paraId="6E6DEAB8" w14:textId="51E8B8F9" w:rsidR="009257DB" w:rsidRPr="0018484D" w:rsidRDefault="002D1941" w:rsidP="006F1DEE">
            <w:pPr>
              <w:pStyle w:val="TableText"/>
              <w:rPr>
                <w:rFonts w:cstheme="minorHAnsi"/>
              </w:rPr>
            </w:pPr>
            <w:r w:rsidRPr="0018484D">
              <w:rPr>
                <w:rFonts w:cstheme="minorHAnsi"/>
              </w:rPr>
              <w:t>5,821,195</w:t>
            </w:r>
          </w:p>
        </w:tc>
        <w:tc>
          <w:tcPr>
            <w:tcW w:w="1378" w:type="pct"/>
            <w:shd w:val="clear" w:color="auto" w:fill="auto"/>
          </w:tcPr>
          <w:p w14:paraId="09D281F1" w14:textId="5F2C3479" w:rsidR="009257DB" w:rsidRPr="009213D8" w:rsidRDefault="009257DB" w:rsidP="006F1DEE">
            <w:pPr>
              <w:pStyle w:val="TableText"/>
            </w:pPr>
            <w:r>
              <w:t>Confirmation of r</w:t>
            </w:r>
            <w:r w:rsidRPr="009257DB">
              <w:t xml:space="preserve">eservation charge </w:t>
            </w:r>
            <w:r w:rsidRPr="009213D8">
              <w:t>– animal not covered by another item of this table (includes cat or dog)</w:t>
            </w:r>
          </w:p>
        </w:tc>
        <w:tc>
          <w:tcPr>
            <w:tcW w:w="655" w:type="pct"/>
            <w:shd w:val="clear" w:color="auto" w:fill="auto"/>
          </w:tcPr>
          <w:p w14:paraId="6BCFC002" w14:textId="43F29BFE" w:rsidR="009257DB" w:rsidRPr="009213D8" w:rsidRDefault="009257DB" w:rsidP="006F1DEE">
            <w:pPr>
              <w:pStyle w:val="TableText"/>
            </w:pPr>
            <w:r>
              <w:t>Per animal</w:t>
            </w:r>
          </w:p>
        </w:tc>
        <w:tc>
          <w:tcPr>
            <w:tcW w:w="417" w:type="pct"/>
            <w:shd w:val="clear" w:color="auto" w:fill="auto"/>
          </w:tcPr>
          <w:p w14:paraId="1C05F52E" w14:textId="0D92A1A9" w:rsidR="009257DB" w:rsidRDefault="002D1941" w:rsidP="000634CA">
            <w:pPr>
              <w:pStyle w:val="TableText"/>
              <w:jc w:val="right"/>
              <w:rPr>
                <w:rFonts w:ascii="Calibri" w:hAnsi="Calibri"/>
                <w:color w:val="000000"/>
                <w:szCs w:val="18"/>
              </w:rPr>
            </w:pPr>
            <w:r>
              <w:rPr>
                <w:rFonts w:ascii="Calibri" w:hAnsi="Calibri"/>
                <w:color w:val="000000"/>
                <w:szCs w:val="18"/>
              </w:rPr>
              <w:t>1,053</w:t>
            </w:r>
          </w:p>
        </w:tc>
        <w:tc>
          <w:tcPr>
            <w:tcW w:w="595" w:type="pct"/>
            <w:shd w:val="clear" w:color="auto" w:fill="auto"/>
          </w:tcPr>
          <w:p w14:paraId="2B9BA148" w14:textId="7850DB02" w:rsidR="009257DB" w:rsidRDefault="002D1941" w:rsidP="000634CA">
            <w:pPr>
              <w:pStyle w:val="TableText"/>
              <w:jc w:val="right"/>
              <w:rPr>
                <w:rFonts w:ascii="Calibri" w:hAnsi="Calibri"/>
                <w:color w:val="000000"/>
                <w:szCs w:val="18"/>
              </w:rPr>
            </w:pPr>
            <w:r w:rsidRPr="002D1941">
              <w:rPr>
                <w:rFonts w:ascii="Calibri" w:hAnsi="Calibri"/>
                <w:color w:val="000000"/>
                <w:szCs w:val="18"/>
              </w:rPr>
              <w:t>5,531</w:t>
            </w:r>
          </w:p>
        </w:tc>
        <w:tc>
          <w:tcPr>
            <w:tcW w:w="653" w:type="pct"/>
            <w:shd w:val="clear" w:color="auto" w:fill="auto"/>
          </w:tcPr>
          <w:p w14:paraId="0C870A25" w14:textId="64DF3778" w:rsidR="009257DB" w:rsidRDefault="002D1941" w:rsidP="000634CA">
            <w:pPr>
              <w:pStyle w:val="TableText"/>
              <w:jc w:val="right"/>
              <w:rPr>
                <w:rFonts w:ascii="Calibri" w:hAnsi="Calibri"/>
                <w:color w:val="000000"/>
                <w:szCs w:val="18"/>
              </w:rPr>
            </w:pPr>
            <w:r w:rsidRPr="002D1941">
              <w:rPr>
                <w:rFonts w:ascii="Calibri" w:hAnsi="Calibri"/>
                <w:color w:val="000000"/>
                <w:szCs w:val="18"/>
              </w:rPr>
              <w:t>5,824,143</w:t>
            </w:r>
          </w:p>
        </w:tc>
      </w:tr>
      <w:tr w:rsidR="0013492B" w:rsidRPr="009213D8" w14:paraId="16A8C1CF" w14:textId="77777777" w:rsidTr="004C1CBD">
        <w:tc>
          <w:tcPr>
            <w:tcW w:w="689" w:type="pct"/>
            <w:vMerge/>
          </w:tcPr>
          <w:p w14:paraId="459AB0A5" w14:textId="77777777" w:rsidR="0013492B" w:rsidRPr="0018484D" w:rsidRDefault="0013492B" w:rsidP="006F1DEE">
            <w:pPr>
              <w:pStyle w:val="TableText"/>
            </w:pPr>
          </w:p>
        </w:tc>
        <w:tc>
          <w:tcPr>
            <w:tcW w:w="613" w:type="pct"/>
            <w:shd w:val="clear" w:color="auto" w:fill="auto"/>
          </w:tcPr>
          <w:p w14:paraId="5A7790E4" w14:textId="217DAA46" w:rsidR="0013492B" w:rsidRPr="0018484D" w:rsidRDefault="00EB5E2C" w:rsidP="006F1DEE">
            <w:pPr>
              <w:pStyle w:val="TableText"/>
              <w:rPr>
                <w:rFonts w:cstheme="minorHAnsi"/>
              </w:rPr>
            </w:pPr>
            <w:r w:rsidRPr="0018484D">
              <w:rPr>
                <w:rFonts w:cstheme="minorHAnsi"/>
              </w:rPr>
              <w:t>871</w:t>
            </w:r>
          </w:p>
        </w:tc>
        <w:tc>
          <w:tcPr>
            <w:tcW w:w="1378" w:type="pct"/>
            <w:shd w:val="clear" w:color="auto" w:fill="auto"/>
          </w:tcPr>
          <w:p w14:paraId="37FE6AB2" w14:textId="6CF9F36D" w:rsidR="0013492B" w:rsidRPr="009213D8" w:rsidRDefault="009257DB" w:rsidP="006F1DEE">
            <w:pPr>
              <w:pStyle w:val="TableText"/>
            </w:pPr>
            <w:r>
              <w:t xml:space="preserve">Reservation </w:t>
            </w:r>
            <w:r w:rsidR="0013492B" w:rsidRPr="009213D8">
              <w:t>charge – bees</w:t>
            </w:r>
          </w:p>
        </w:tc>
        <w:tc>
          <w:tcPr>
            <w:tcW w:w="655" w:type="pct"/>
            <w:shd w:val="clear" w:color="auto" w:fill="auto"/>
          </w:tcPr>
          <w:p w14:paraId="36500FC6" w14:textId="77777777" w:rsidR="0013492B" w:rsidRPr="009213D8" w:rsidRDefault="0013492B" w:rsidP="006F1DEE">
            <w:pPr>
              <w:pStyle w:val="TableText"/>
            </w:pPr>
            <w:r w:rsidRPr="009213D8">
              <w:t>Per bee consignment</w:t>
            </w:r>
          </w:p>
        </w:tc>
        <w:tc>
          <w:tcPr>
            <w:tcW w:w="417" w:type="pct"/>
            <w:shd w:val="clear" w:color="auto" w:fill="auto"/>
          </w:tcPr>
          <w:p w14:paraId="3879E1FE" w14:textId="4BFC9F0C" w:rsidR="0013492B" w:rsidRPr="001825A7" w:rsidRDefault="00EB5E2C" w:rsidP="000634CA">
            <w:pPr>
              <w:pStyle w:val="TableText"/>
              <w:jc w:val="right"/>
            </w:pPr>
            <w:r>
              <w:rPr>
                <w:rFonts w:ascii="Calibri" w:hAnsi="Calibri"/>
                <w:color w:val="000000"/>
                <w:szCs w:val="18"/>
              </w:rPr>
              <w:t>871</w:t>
            </w:r>
          </w:p>
        </w:tc>
        <w:tc>
          <w:tcPr>
            <w:tcW w:w="595" w:type="pct"/>
            <w:shd w:val="clear" w:color="auto" w:fill="auto"/>
          </w:tcPr>
          <w:p w14:paraId="36DF968E" w14:textId="2F9D06C2" w:rsidR="0013492B" w:rsidRPr="00C32CCF" w:rsidRDefault="0013492B" w:rsidP="000634CA">
            <w:pPr>
              <w:pStyle w:val="TableText"/>
              <w:jc w:val="right"/>
              <w:rPr>
                <w:rFonts w:ascii="Calibri" w:hAnsi="Calibri"/>
                <w:color w:val="000000"/>
                <w:szCs w:val="18"/>
              </w:rPr>
            </w:pPr>
            <w:r>
              <w:rPr>
                <w:rFonts w:ascii="Calibri" w:hAnsi="Calibri"/>
                <w:color w:val="000000"/>
                <w:szCs w:val="18"/>
              </w:rPr>
              <w:t>1</w:t>
            </w:r>
          </w:p>
        </w:tc>
        <w:tc>
          <w:tcPr>
            <w:tcW w:w="653" w:type="pct"/>
            <w:shd w:val="clear" w:color="auto" w:fill="auto"/>
          </w:tcPr>
          <w:p w14:paraId="3A9F91CA" w14:textId="356E7257" w:rsidR="0013492B" w:rsidRPr="00C32CCF" w:rsidRDefault="00EB5E2C" w:rsidP="000634CA">
            <w:pPr>
              <w:pStyle w:val="TableText"/>
              <w:jc w:val="right"/>
              <w:rPr>
                <w:highlight w:val="yellow"/>
              </w:rPr>
            </w:pPr>
            <w:r>
              <w:rPr>
                <w:rFonts w:ascii="Calibri" w:hAnsi="Calibri"/>
                <w:color w:val="000000"/>
                <w:szCs w:val="18"/>
              </w:rPr>
              <w:t>871</w:t>
            </w:r>
          </w:p>
        </w:tc>
      </w:tr>
      <w:tr w:rsidR="009257DB" w:rsidRPr="009213D8" w14:paraId="1B577046" w14:textId="77777777" w:rsidTr="004C1CBD">
        <w:tc>
          <w:tcPr>
            <w:tcW w:w="689" w:type="pct"/>
            <w:vMerge/>
          </w:tcPr>
          <w:p w14:paraId="041C51B2" w14:textId="77777777" w:rsidR="009257DB" w:rsidRPr="009213D8" w:rsidRDefault="009257DB" w:rsidP="006F1DEE">
            <w:pPr>
              <w:pStyle w:val="TableText"/>
            </w:pPr>
          </w:p>
        </w:tc>
        <w:tc>
          <w:tcPr>
            <w:tcW w:w="613" w:type="pct"/>
            <w:shd w:val="clear" w:color="auto" w:fill="auto"/>
          </w:tcPr>
          <w:p w14:paraId="4D76DC6D" w14:textId="57899729" w:rsidR="009257DB" w:rsidRPr="008B40C6" w:rsidRDefault="00EB5E2C" w:rsidP="006F1DEE">
            <w:pPr>
              <w:pStyle w:val="TableText"/>
              <w:rPr>
                <w:rFonts w:cstheme="minorHAnsi"/>
              </w:rPr>
            </w:pPr>
            <w:r>
              <w:rPr>
                <w:rFonts w:cstheme="minorHAnsi"/>
              </w:rPr>
              <w:t>3,486</w:t>
            </w:r>
          </w:p>
        </w:tc>
        <w:tc>
          <w:tcPr>
            <w:tcW w:w="1378" w:type="pct"/>
            <w:shd w:val="clear" w:color="auto" w:fill="auto"/>
          </w:tcPr>
          <w:p w14:paraId="63F3155E" w14:textId="4545B4CF" w:rsidR="009257DB" w:rsidRPr="009213D8" w:rsidRDefault="009257DB" w:rsidP="006F1DEE">
            <w:pPr>
              <w:pStyle w:val="TableText"/>
            </w:pPr>
            <w:r>
              <w:t xml:space="preserve">Confirmation of reservation </w:t>
            </w:r>
            <w:r w:rsidRPr="009213D8">
              <w:t>charge – bees</w:t>
            </w:r>
          </w:p>
        </w:tc>
        <w:tc>
          <w:tcPr>
            <w:tcW w:w="655" w:type="pct"/>
            <w:shd w:val="clear" w:color="auto" w:fill="auto"/>
          </w:tcPr>
          <w:p w14:paraId="7F8793D5" w14:textId="2BF3C4EB" w:rsidR="009257DB" w:rsidRPr="009213D8" w:rsidRDefault="009257DB" w:rsidP="006F1DEE">
            <w:pPr>
              <w:pStyle w:val="TableText"/>
            </w:pPr>
            <w:r w:rsidRPr="009213D8">
              <w:t>Per bee consignment</w:t>
            </w:r>
          </w:p>
        </w:tc>
        <w:tc>
          <w:tcPr>
            <w:tcW w:w="417" w:type="pct"/>
            <w:shd w:val="clear" w:color="auto" w:fill="auto"/>
          </w:tcPr>
          <w:p w14:paraId="0F3F46AC" w14:textId="545090FC" w:rsidR="009257DB" w:rsidRDefault="00EB5E2C" w:rsidP="000634CA">
            <w:pPr>
              <w:pStyle w:val="TableText"/>
              <w:jc w:val="right"/>
              <w:rPr>
                <w:rFonts w:ascii="Calibri" w:hAnsi="Calibri"/>
                <w:color w:val="000000"/>
                <w:szCs w:val="18"/>
              </w:rPr>
            </w:pPr>
            <w:r>
              <w:rPr>
                <w:rFonts w:ascii="Calibri" w:hAnsi="Calibri"/>
                <w:color w:val="000000"/>
                <w:szCs w:val="18"/>
              </w:rPr>
              <w:t>3,487</w:t>
            </w:r>
          </w:p>
        </w:tc>
        <w:tc>
          <w:tcPr>
            <w:tcW w:w="595" w:type="pct"/>
            <w:shd w:val="clear" w:color="auto" w:fill="auto"/>
          </w:tcPr>
          <w:p w14:paraId="0986E45E" w14:textId="2749083E" w:rsidR="009257DB" w:rsidRDefault="00EB5E2C" w:rsidP="000634CA">
            <w:pPr>
              <w:pStyle w:val="TableText"/>
              <w:jc w:val="right"/>
              <w:rPr>
                <w:rFonts w:ascii="Calibri" w:hAnsi="Calibri"/>
                <w:color w:val="000000"/>
                <w:szCs w:val="18"/>
              </w:rPr>
            </w:pPr>
            <w:r>
              <w:rPr>
                <w:rFonts w:ascii="Calibri" w:hAnsi="Calibri"/>
                <w:color w:val="000000"/>
                <w:szCs w:val="18"/>
              </w:rPr>
              <w:t>1</w:t>
            </w:r>
          </w:p>
        </w:tc>
        <w:tc>
          <w:tcPr>
            <w:tcW w:w="653" w:type="pct"/>
            <w:shd w:val="clear" w:color="auto" w:fill="auto"/>
          </w:tcPr>
          <w:p w14:paraId="16F3A040" w14:textId="489365CD" w:rsidR="009257DB" w:rsidRDefault="00EB5E2C" w:rsidP="000634CA">
            <w:pPr>
              <w:pStyle w:val="TableText"/>
              <w:jc w:val="right"/>
              <w:rPr>
                <w:rFonts w:ascii="Calibri" w:hAnsi="Calibri"/>
                <w:color w:val="000000"/>
                <w:szCs w:val="18"/>
              </w:rPr>
            </w:pPr>
            <w:r>
              <w:rPr>
                <w:rFonts w:ascii="Calibri" w:hAnsi="Calibri"/>
                <w:color w:val="000000"/>
                <w:szCs w:val="18"/>
              </w:rPr>
              <w:t>3</w:t>
            </w:r>
            <w:r w:rsidR="004759DB">
              <w:rPr>
                <w:rFonts w:ascii="Calibri" w:hAnsi="Calibri"/>
                <w:color w:val="000000"/>
                <w:szCs w:val="18"/>
              </w:rPr>
              <w:t>,</w:t>
            </w:r>
            <w:r>
              <w:rPr>
                <w:rFonts w:ascii="Calibri" w:hAnsi="Calibri"/>
                <w:color w:val="000000"/>
                <w:szCs w:val="18"/>
              </w:rPr>
              <w:t>487</w:t>
            </w:r>
          </w:p>
        </w:tc>
      </w:tr>
      <w:tr w:rsidR="0013492B" w:rsidRPr="009213D8" w14:paraId="3529F044" w14:textId="77777777" w:rsidTr="004C1CBD">
        <w:tc>
          <w:tcPr>
            <w:tcW w:w="689" w:type="pct"/>
            <w:vMerge/>
          </w:tcPr>
          <w:p w14:paraId="631FEA5A" w14:textId="77777777" w:rsidR="0013492B" w:rsidRPr="009213D8" w:rsidRDefault="0013492B" w:rsidP="006F1DEE">
            <w:pPr>
              <w:pStyle w:val="TableText"/>
            </w:pPr>
          </w:p>
        </w:tc>
        <w:tc>
          <w:tcPr>
            <w:tcW w:w="613" w:type="pct"/>
            <w:shd w:val="clear" w:color="auto" w:fill="auto"/>
          </w:tcPr>
          <w:p w14:paraId="5A6E7BD3" w14:textId="69254B6B" w:rsidR="0013492B" w:rsidRPr="005A660F" w:rsidRDefault="00713A6F" w:rsidP="006F1DEE">
            <w:pPr>
              <w:pStyle w:val="TableText"/>
              <w:rPr>
                <w:rFonts w:cstheme="minorHAnsi"/>
              </w:rPr>
            </w:pPr>
            <w:r w:rsidRPr="00713A6F">
              <w:rPr>
                <w:rFonts w:cstheme="minorHAnsi"/>
              </w:rPr>
              <w:t>122,775</w:t>
            </w:r>
          </w:p>
        </w:tc>
        <w:tc>
          <w:tcPr>
            <w:tcW w:w="1378" w:type="pct"/>
            <w:shd w:val="clear" w:color="auto" w:fill="auto"/>
          </w:tcPr>
          <w:p w14:paraId="5B913487" w14:textId="56CB4394" w:rsidR="0013492B" w:rsidRPr="009213D8" w:rsidRDefault="009257DB" w:rsidP="006F1DEE">
            <w:pPr>
              <w:pStyle w:val="TableText"/>
            </w:pPr>
            <w:r>
              <w:t>Reservation</w:t>
            </w:r>
            <w:r w:rsidRPr="009213D8">
              <w:t xml:space="preserve"> </w:t>
            </w:r>
            <w:r w:rsidR="0013492B" w:rsidRPr="009213D8">
              <w:t>charge – avian (fertile eggs)</w:t>
            </w:r>
          </w:p>
        </w:tc>
        <w:tc>
          <w:tcPr>
            <w:tcW w:w="655" w:type="pct"/>
            <w:shd w:val="clear" w:color="auto" w:fill="auto"/>
          </w:tcPr>
          <w:p w14:paraId="6C9907F1" w14:textId="77777777" w:rsidR="0013492B" w:rsidRPr="009213D8" w:rsidRDefault="0013492B" w:rsidP="006F1DEE">
            <w:pPr>
              <w:pStyle w:val="TableText"/>
            </w:pPr>
            <w:r w:rsidRPr="009213D8">
              <w:t>Per hatching egg consignment</w:t>
            </w:r>
          </w:p>
        </w:tc>
        <w:tc>
          <w:tcPr>
            <w:tcW w:w="417" w:type="pct"/>
            <w:shd w:val="clear" w:color="auto" w:fill="auto"/>
          </w:tcPr>
          <w:p w14:paraId="45D28DC7" w14:textId="4EEC5A55" w:rsidR="0013492B" w:rsidRPr="001825A7" w:rsidRDefault="00713A6F" w:rsidP="000634CA">
            <w:pPr>
              <w:pStyle w:val="TableText"/>
              <w:jc w:val="right"/>
            </w:pPr>
            <w:r w:rsidRPr="00713A6F">
              <w:rPr>
                <w:rFonts w:ascii="Calibri" w:hAnsi="Calibri"/>
                <w:color w:val="000000"/>
                <w:szCs w:val="18"/>
              </w:rPr>
              <w:t>13,646</w:t>
            </w:r>
          </w:p>
        </w:tc>
        <w:tc>
          <w:tcPr>
            <w:tcW w:w="595" w:type="pct"/>
            <w:shd w:val="clear" w:color="auto" w:fill="auto"/>
          </w:tcPr>
          <w:p w14:paraId="3995F46B" w14:textId="3C06C334" w:rsidR="0013492B" w:rsidRPr="00C32CCF" w:rsidRDefault="0013492B" w:rsidP="000634CA">
            <w:pPr>
              <w:pStyle w:val="TableText"/>
              <w:jc w:val="right"/>
              <w:rPr>
                <w:rFonts w:ascii="Calibri" w:hAnsi="Calibri"/>
                <w:color w:val="000000"/>
                <w:szCs w:val="18"/>
              </w:rPr>
            </w:pPr>
            <w:r>
              <w:rPr>
                <w:rFonts w:ascii="Calibri" w:hAnsi="Calibri"/>
                <w:color w:val="000000"/>
                <w:szCs w:val="18"/>
              </w:rPr>
              <w:t>9</w:t>
            </w:r>
          </w:p>
        </w:tc>
        <w:tc>
          <w:tcPr>
            <w:tcW w:w="653" w:type="pct"/>
            <w:shd w:val="clear" w:color="auto" w:fill="auto"/>
          </w:tcPr>
          <w:p w14:paraId="48CE80A4" w14:textId="5C52595A" w:rsidR="0013492B" w:rsidRPr="00C32CCF" w:rsidRDefault="00713A6F" w:rsidP="000634CA">
            <w:pPr>
              <w:pStyle w:val="TableText"/>
              <w:jc w:val="right"/>
              <w:rPr>
                <w:highlight w:val="yellow"/>
              </w:rPr>
            </w:pPr>
            <w:r w:rsidRPr="00713A6F">
              <w:rPr>
                <w:rFonts w:ascii="Calibri" w:hAnsi="Calibri"/>
                <w:color w:val="000000"/>
                <w:szCs w:val="18"/>
              </w:rPr>
              <w:t>122,814</w:t>
            </w:r>
          </w:p>
        </w:tc>
      </w:tr>
      <w:tr w:rsidR="009257DB" w:rsidRPr="009213D8" w14:paraId="2554651D" w14:textId="77777777" w:rsidTr="004C1CBD">
        <w:tc>
          <w:tcPr>
            <w:tcW w:w="689" w:type="pct"/>
            <w:vMerge/>
          </w:tcPr>
          <w:p w14:paraId="4F5168AE" w14:textId="77777777" w:rsidR="009257DB" w:rsidRPr="009213D8" w:rsidRDefault="009257DB" w:rsidP="006F1DEE">
            <w:pPr>
              <w:pStyle w:val="TableText"/>
            </w:pPr>
          </w:p>
        </w:tc>
        <w:tc>
          <w:tcPr>
            <w:tcW w:w="613" w:type="pct"/>
            <w:shd w:val="clear" w:color="auto" w:fill="auto"/>
          </w:tcPr>
          <w:p w14:paraId="0129CC22" w14:textId="2DEE1F3A" w:rsidR="009257DB" w:rsidRPr="008B40C6" w:rsidRDefault="00713A6F" w:rsidP="006F1DEE">
            <w:pPr>
              <w:pStyle w:val="TableText"/>
              <w:rPr>
                <w:rFonts w:cstheme="minorHAnsi"/>
              </w:rPr>
            </w:pPr>
            <w:r w:rsidRPr="00713A6F">
              <w:rPr>
                <w:rFonts w:cstheme="minorHAnsi"/>
              </w:rPr>
              <w:t>491,10</w:t>
            </w:r>
            <w:r>
              <w:rPr>
                <w:rFonts w:cstheme="minorHAnsi"/>
              </w:rPr>
              <w:t>1</w:t>
            </w:r>
          </w:p>
        </w:tc>
        <w:tc>
          <w:tcPr>
            <w:tcW w:w="1378" w:type="pct"/>
            <w:shd w:val="clear" w:color="auto" w:fill="auto"/>
          </w:tcPr>
          <w:p w14:paraId="3B88DD90" w14:textId="0509AB80" w:rsidR="009257DB" w:rsidRPr="009213D8" w:rsidRDefault="009257DB" w:rsidP="006F1DEE">
            <w:pPr>
              <w:pStyle w:val="TableText"/>
            </w:pPr>
            <w:r>
              <w:t>Confirmation of reservation</w:t>
            </w:r>
            <w:r w:rsidRPr="009213D8">
              <w:t xml:space="preserve"> charge – avian (fertile eggs)</w:t>
            </w:r>
          </w:p>
        </w:tc>
        <w:tc>
          <w:tcPr>
            <w:tcW w:w="655" w:type="pct"/>
            <w:shd w:val="clear" w:color="auto" w:fill="auto"/>
          </w:tcPr>
          <w:p w14:paraId="0CA8B369" w14:textId="405A22BE" w:rsidR="009257DB" w:rsidRPr="009213D8" w:rsidRDefault="009257DB" w:rsidP="006F1DEE">
            <w:pPr>
              <w:pStyle w:val="TableText"/>
            </w:pPr>
            <w:r w:rsidRPr="009213D8">
              <w:t>Per hatching egg consignment</w:t>
            </w:r>
          </w:p>
        </w:tc>
        <w:tc>
          <w:tcPr>
            <w:tcW w:w="417" w:type="pct"/>
            <w:shd w:val="clear" w:color="auto" w:fill="auto"/>
          </w:tcPr>
          <w:p w14:paraId="3EF776C5" w14:textId="0E63957C" w:rsidR="009257DB" w:rsidRDefault="00713A6F" w:rsidP="000634CA">
            <w:pPr>
              <w:pStyle w:val="TableText"/>
              <w:jc w:val="right"/>
              <w:rPr>
                <w:rFonts w:ascii="Calibri" w:hAnsi="Calibri"/>
                <w:color w:val="000000"/>
                <w:szCs w:val="18"/>
              </w:rPr>
            </w:pPr>
            <w:r w:rsidRPr="00713A6F">
              <w:rPr>
                <w:rFonts w:ascii="Calibri" w:hAnsi="Calibri"/>
                <w:color w:val="000000"/>
                <w:szCs w:val="18"/>
              </w:rPr>
              <w:t>54,584</w:t>
            </w:r>
          </w:p>
        </w:tc>
        <w:tc>
          <w:tcPr>
            <w:tcW w:w="595" w:type="pct"/>
            <w:shd w:val="clear" w:color="auto" w:fill="auto"/>
          </w:tcPr>
          <w:p w14:paraId="3694432D" w14:textId="38805803" w:rsidR="009257DB" w:rsidRDefault="00713A6F" w:rsidP="000634CA">
            <w:pPr>
              <w:pStyle w:val="TableText"/>
              <w:jc w:val="right"/>
              <w:rPr>
                <w:rFonts w:ascii="Calibri" w:hAnsi="Calibri"/>
                <w:color w:val="000000"/>
                <w:szCs w:val="18"/>
              </w:rPr>
            </w:pPr>
            <w:r>
              <w:rPr>
                <w:rFonts w:ascii="Calibri" w:hAnsi="Calibri"/>
                <w:color w:val="000000"/>
                <w:szCs w:val="18"/>
              </w:rPr>
              <w:t>9</w:t>
            </w:r>
          </w:p>
        </w:tc>
        <w:tc>
          <w:tcPr>
            <w:tcW w:w="653" w:type="pct"/>
            <w:shd w:val="clear" w:color="auto" w:fill="auto"/>
          </w:tcPr>
          <w:p w14:paraId="70E1E67E" w14:textId="46A5D419" w:rsidR="009257DB" w:rsidRDefault="00713A6F" w:rsidP="000634CA">
            <w:pPr>
              <w:pStyle w:val="TableText"/>
              <w:jc w:val="right"/>
              <w:rPr>
                <w:rFonts w:ascii="Calibri" w:hAnsi="Calibri"/>
                <w:color w:val="000000"/>
                <w:szCs w:val="18"/>
              </w:rPr>
            </w:pPr>
            <w:r w:rsidRPr="00713A6F">
              <w:rPr>
                <w:rFonts w:ascii="Calibri" w:hAnsi="Calibri"/>
                <w:color w:val="000000"/>
                <w:szCs w:val="18"/>
              </w:rPr>
              <w:t>491,256</w:t>
            </w:r>
          </w:p>
        </w:tc>
      </w:tr>
      <w:tr w:rsidR="0013492B" w:rsidRPr="009213D8" w14:paraId="735D5445" w14:textId="77777777" w:rsidTr="004C1CBD">
        <w:tc>
          <w:tcPr>
            <w:tcW w:w="689" w:type="pct"/>
            <w:vMerge/>
          </w:tcPr>
          <w:p w14:paraId="24F32EA1" w14:textId="77777777" w:rsidR="0013492B" w:rsidRPr="009213D8" w:rsidRDefault="0013492B" w:rsidP="006F1DEE">
            <w:pPr>
              <w:pStyle w:val="TableText"/>
            </w:pPr>
          </w:p>
        </w:tc>
        <w:tc>
          <w:tcPr>
            <w:tcW w:w="613" w:type="pct"/>
            <w:shd w:val="clear" w:color="auto" w:fill="auto"/>
          </w:tcPr>
          <w:p w14:paraId="2050ACBC" w14:textId="4B89541E" w:rsidR="0013492B" w:rsidRPr="005A660F" w:rsidRDefault="009257DB" w:rsidP="006F1DEE">
            <w:pPr>
              <w:pStyle w:val="TableText"/>
              <w:rPr>
                <w:rFonts w:cstheme="minorHAnsi"/>
              </w:rPr>
            </w:pPr>
            <w:r>
              <w:rPr>
                <w:rFonts w:cstheme="minorHAnsi"/>
              </w:rPr>
              <w:t>4</w:t>
            </w:r>
            <w:r w:rsidR="00C97B05">
              <w:rPr>
                <w:rFonts w:cstheme="minorHAnsi"/>
              </w:rPr>
              <w:t>,</w:t>
            </w:r>
            <w:r>
              <w:rPr>
                <w:rFonts w:cstheme="minorHAnsi"/>
              </w:rPr>
              <w:t>898</w:t>
            </w:r>
          </w:p>
        </w:tc>
        <w:tc>
          <w:tcPr>
            <w:tcW w:w="1378" w:type="pct"/>
            <w:shd w:val="clear" w:color="auto" w:fill="auto"/>
          </w:tcPr>
          <w:p w14:paraId="51FF5E65" w14:textId="586DF435" w:rsidR="0013492B" w:rsidRPr="009213D8" w:rsidRDefault="009257DB" w:rsidP="006F1DEE">
            <w:pPr>
              <w:pStyle w:val="TableText"/>
            </w:pPr>
            <w:r>
              <w:t>Reservation</w:t>
            </w:r>
            <w:r w:rsidRPr="009213D8">
              <w:t xml:space="preserve"> </w:t>
            </w:r>
            <w:r w:rsidR="0013492B" w:rsidRPr="009213D8">
              <w:t>charge – avian (live bird)</w:t>
            </w:r>
          </w:p>
        </w:tc>
        <w:tc>
          <w:tcPr>
            <w:tcW w:w="655" w:type="pct"/>
            <w:shd w:val="clear" w:color="auto" w:fill="auto"/>
          </w:tcPr>
          <w:p w14:paraId="4CD52813" w14:textId="77777777" w:rsidR="0013492B" w:rsidRPr="009213D8" w:rsidRDefault="0013492B" w:rsidP="006F1DEE">
            <w:pPr>
              <w:pStyle w:val="TableText"/>
            </w:pPr>
            <w:r w:rsidRPr="009213D8">
              <w:t>Per live bird consignment</w:t>
            </w:r>
          </w:p>
        </w:tc>
        <w:tc>
          <w:tcPr>
            <w:tcW w:w="417" w:type="pct"/>
            <w:shd w:val="clear" w:color="auto" w:fill="auto"/>
          </w:tcPr>
          <w:p w14:paraId="286F4382" w14:textId="0D3E78D6" w:rsidR="0013492B" w:rsidRPr="001825A7" w:rsidRDefault="001D68E2" w:rsidP="000634CA">
            <w:pPr>
              <w:pStyle w:val="TableText"/>
              <w:jc w:val="right"/>
            </w:pPr>
            <w:r>
              <w:rPr>
                <w:rFonts w:ascii="Calibri" w:hAnsi="Calibri"/>
                <w:color w:val="000000"/>
                <w:szCs w:val="18"/>
              </w:rPr>
              <w:t>4,900</w:t>
            </w:r>
          </w:p>
        </w:tc>
        <w:tc>
          <w:tcPr>
            <w:tcW w:w="595" w:type="pct"/>
            <w:shd w:val="clear" w:color="auto" w:fill="auto"/>
          </w:tcPr>
          <w:p w14:paraId="4F7DAD90" w14:textId="5751FA29" w:rsidR="0013492B" w:rsidRPr="00C32CCF" w:rsidRDefault="0013492B" w:rsidP="000634CA">
            <w:pPr>
              <w:pStyle w:val="TableText"/>
              <w:jc w:val="right"/>
              <w:rPr>
                <w:rFonts w:ascii="Calibri" w:hAnsi="Calibri"/>
                <w:color w:val="000000"/>
                <w:szCs w:val="18"/>
              </w:rPr>
            </w:pPr>
            <w:r>
              <w:rPr>
                <w:rFonts w:ascii="Calibri" w:hAnsi="Calibri"/>
                <w:color w:val="000000"/>
                <w:szCs w:val="18"/>
              </w:rPr>
              <w:t>1</w:t>
            </w:r>
          </w:p>
        </w:tc>
        <w:tc>
          <w:tcPr>
            <w:tcW w:w="653" w:type="pct"/>
            <w:shd w:val="clear" w:color="auto" w:fill="auto"/>
          </w:tcPr>
          <w:p w14:paraId="23785743" w14:textId="30AE6C94" w:rsidR="0013492B" w:rsidRPr="00C32CCF" w:rsidRDefault="001D68E2" w:rsidP="000634CA">
            <w:pPr>
              <w:pStyle w:val="TableText"/>
              <w:jc w:val="right"/>
              <w:rPr>
                <w:highlight w:val="yellow"/>
              </w:rPr>
            </w:pPr>
            <w:r>
              <w:rPr>
                <w:rFonts w:ascii="Calibri" w:hAnsi="Calibri"/>
                <w:color w:val="000000"/>
                <w:szCs w:val="18"/>
              </w:rPr>
              <w:t>4,900</w:t>
            </w:r>
          </w:p>
        </w:tc>
      </w:tr>
      <w:tr w:rsidR="009257DB" w:rsidRPr="009213D8" w14:paraId="52BBB366" w14:textId="77777777" w:rsidTr="004C1CBD">
        <w:tc>
          <w:tcPr>
            <w:tcW w:w="689" w:type="pct"/>
            <w:vMerge/>
          </w:tcPr>
          <w:p w14:paraId="6251821B" w14:textId="77777777" w:rsidR="009257DB" w:rsidRPr="009213D8" w:rsidRDefault="009257DB" w:rsidP="006F1DEE">
            <w:pPr>
              <w:pStyle w:val="TableText"/>
            </w:pPr>
          </w:p>
        </w:tc>
        <w:tc>
          <w:tcPr>
            <w:tcW w:w="613" w:type="pct"/>
            <w:shd w:val="clear" w:color="auto" w:fill="auto"/>
          </w:tcPr>
          <w:p w14:paraId="6BF92D82" w14:textId="5FCD852A" w:rsidR="009257DB" w:rsidRPr="008B40C6" w:rsidRDefault="009257DB" w:rsidP="006F1DEE">
            <w:pPr>
              <w:pStyle w:val="TableText"/>
              <w:rPr>
                <w:rFonts w:cstheme="minorHAnsi"/>
              </w:rPr>
            </w:pPr>
            <w:r>
              <w:rPr>
                <w:rFonts w:cstheme="minorHAnsi"/>
              </w:rPr>
              <w:t>19593</w:t>
            </w:r>
          </w:p>
        </w:tc>
        <w:tc>
          <w:tcPr>
            <w:tcW w:w="1378" w:type="pct"/>
            <w:shd w:val="clear" w:color="auto" w:fill="auto"/>
          </w:tcPr>
          <w:p w14:paraId="5153BD0D" w14:textId="64C90751" w:rsidR="009257DB" w:rsidRPr="009213D8" w:rsidRDefault="009257DB" w:rsidP="006F1DEE">
            <w:pPr>
              <w:pStyle w:val="TableText"/>
            </w:pPr>
            <w:r>
              <w:t>Confirmation of reservation</w:t>
            </w:r>
            <w:r w:rsidRPr="009213D8">
              <w:t xml:space="preserve"> charge – avian (live bird)</w:t>
            </w:r>
          </w:p>
        </w:tc>
        <w:tc>
          <w:tcPr>
            <w:tcW w:w="655" w:type="pct"/>
            <w:shd w:val="clear" w:color="auto" w:fill="auto"/>
          </w:tcPr>
          <w:p w14:paraId="14887A0F" w14:textId="0BA8E47E" w:rsidR="009257DB" w:rsidRPr="009213D8" w:rsidRDefault="009257DB" w:rsidP="006F1DEE">
            <w:pPr>
              <w:pStyle w:val="TableText"/>
            </w:pPr>
            <w:r w:rsidRPr="009213D8">
              <w:t>Per live bird consignment</w:t>
            </w:r>
          </w:p>
        </w:tc>
        <w:tc>
          <w:tcPr>
            <w:tcW w:w="417" w:type="pct"/>
            <w:shd w:val="clear" w:color="auto" w:fill="auto"/>
          </w:tcPr>
          <w:p w14:paraId="52BF5F39" w14:textId="2EB06D32" w:rsidR="009257DB" w:rsidRDefault="001D68E2" w:rsidP="000634CA">
            <w:pPr>
              <w:pStyle w:val="TableText"/>
              <w:jc w:val="right"/>
              <w:rPr>
                <w:rFonts w:ascii="Calibri" w:hAnsi="Calibri"/>
                <w:color w:val="000000"/>
                <w:szCs w:val="18"/>
              </w:rPr>
            </w:pPr>
            <w:r>
              <w:rPr>
                <w:rFonts w:ascii="Calibri" w:hAnsi="Calibri"/>
                <w:color w:val="000000"/>
                <w:szCs w:val="18"/>
              </w:rPr>
              <w:t>19,599</w:t>
            </w:r>
          </w:p>
        </w:tc>
        <w:tc>
          <w:tcPr>
            <w:tcW w:w="595" w:type="pct"/>
            <w:shd w:val="clear" w:color="auto" w:fill="auto"/>
          </w:tcPr>
          <w:p w14:paraId="12B4FC61" w14:textId="59B55418" w:rsidR="009257DB" w:rsidRDefault="004759DB" w:rsidP="000634CA">
            <w:pPr>
              <w:pStyle w:val="TableText"/>
              <w:jc w:val="right"/>
              <w:rPr>
                <w:rFonts w:ascii="Calibri" w:hAnsi="Calibri"/>
                <w:color w:val="000000"/>
                <w:szCs w:val="18"/>
              </w:rPr>
            </w:pPr>
            <w:r>
              <w:rPr>
                <w:rFonts w:ascii="Calibri" w:hAnsi="Calibri"/>
                <w:color w:val="000000"/>
                <w:szCs w:val="18"/>
              </w:rPr>
              <w:t>1</w:t>
            </w:r>
          </w:p>
        </w:tc>
        <w:tc>
          <w:tcPr>
            <w:tcW w:w="653" w:type="pct"/>
            <w:shd w:val="clear" w:color="auto" w:fill="auto"/>
          </w:tcPr>
          <w:p w14:paraId="4442D394" w14:textId="63E754D9" w:rsidR="009257DB" w:rsidRDefault="001D68E2" w:rsidP="000634CA">
            <w:pPr>
              <w:pStyle w:val="TableText"/>
              <w:jc w:val="right"/>
              <w:rPr>
                <w:rFonts w:ascii="Calibri" w:hAnsi="Calibri"/>
                <w:color w:val="000000"/>
                <w:szCs w:val="18"/>
              </w:rPr>
            </w:pPr>
            <w:r>
              <w:rPr>
                <w:rFonts w:ascii="Calibri" w:hAnsi="Calibri"/>
                <w:color w:val="000000"/>
                <w:szCs w:val="18"/>
              </w:rPr>
              <w:t>19,599</w:t>
            </w:r>
          </w:p>
        </w:tc>
      </w:tr>
      <w:tr w:rsidR="0013492B" w:rsidRPr="009213D8" w14:paraId="66ECB178" w14:textId="77777777" w:rsidTr="004C1CBD">
        <w:tc>
          <w:tcPr>
            <w:tcW w:w="689" w:type="pct"/>
            <w:vMerge/>
          </w:tcPr>
          <w:p w14:paraId="720823FC" w14:textId="77777777" w:rsidR="0013492B" w:rsidRPr="009213D8" w:rsidRDefault="0013492B" w:rsidP="006F1DEE">
            <w:pPr>
              <w:pStyle w:val="TableText"/>
            </w:pPr>
          </w:p>
        </w:tc>
        <w:tc>
          <w:tcPr>
            <w:tcW w:w="613" w:type="pct"/>
            <w:shd w:val="clear" w:color="auto" w:fill="auto"/>
          </w:tcPr>
          <w:p w14:paraId="3D5972F5" w14:textId="0A75AFCA" w:rsidR="0013492B" w:rsidRPr="005A660F" w:rsidRDefault="008B40C6" w:rsidP="006F1DEE">
            <w:pPr>
              <w:pStyle w:val="TableText"/>
              <w:rPr>
                <w:rFonts w:cstheme="minorHAnsi"/>
              </w:rPr>
            </w:pPr>
            <w:r w:rsidRPr="008B40C6">
              <w:rPr>
                <w:rFonts w:cstheme="minorHAnsi"/>
              </w:rPr>
              <w:t>1,984,931</w:t>
            </w:r>
          </w:p>
        </w:tc>
        <w:tc>
          <w:tcPr>
            <w:tcW w:w="1378" w:type="pct"/>
            <w:shd w:val="clear" w:color="auto" w:fill="auto"/>
          </w:tcPr>
          <w:p w14:paraId="2B9BF6F3" w14:textId="260E25EE" w:rsidR="0013492B" w:rsidRPr="009213D8" w:rsidRDefault="0013492B" w:rsidP="006F1DEE">
            <w:pPr>
              <w:pStyle w:val="TableText"/>
            </w:pPr>
            <w:r w:rsidRPr="009213D8">
              <w:t>Importation charge – plants</w:t>
            </w:r>
          </w:p>
        </w:tc>
        <w:tc>
          <w:tcPr>
            <w:tcW w:w="655" w:type="pct"/>
            <w:shd w:val="clear" w:color="auto" w:fill="auto"/>
          </w:tcPr>
          <w:p w14:paraId="195D88DE" w14:textId="0430FE4A" w:rsidR="0013492B" w:rsidRPr="009213D8" w:rsidRDefault="0013492B" w:rsidP="006F1DEE">
            <w:pPr>
              <w:pStyle w:val="TableText"/>
            </w:pPr>
            <w:r w:rsidRPr="009213D8">
              <w:t>Per m</w:t>
            </w:r>
            <w:r w:rsidRPr="009213D8">
              <w:rPr>
                <w:vertAlign w:val="superscript"/>
              </w:rPr>
              <w:t xml:space="preserve">2 </w:t>
            </w:r>
            <w:r w:rsidRPr="009213D8">
              <w:t>per month</w:t>
            </w:r>
          </w:p>
        </w:tc>
        <w:tc>
          <w:tcPr>
            <w:tcW w:w="417" w:type="pct"/>
            <w:shd w:val="clear" w:color="auto" w:fill="auto"/>
          </w:tcPr>
          <w:p w14:paraId="34587627" w14:textId="7AD95D41" w:rsidR="0013492B" w:rsidRPr="001825A7" w:rsidRDefault="0013492B" w:rsidP="000634CA">
            <w:pPr>
              <w:pStyle w:val="TableText"/>
              <w:jc w:val="right"/>
            </w:pPr>
            <w:r>
              <w:rPr>
                <w:rFonts w:ascii="Calibri" w:hAnsi="Calibri"/>
                <w:color w:val="000000"/>
                <w:szCs w:val="18"/>
              </w:rPr>
              <w:t>303</w:t>
            </w:r>
          </w:p>
        </w:tc>
        <w:tc>
          <w:tcPr>
            <w:tcW w:w="595" w:type="pct"/>
            <w:shd w:val="clear" w:color="auto" w:fill="auto"/>
          </w:tcPr>
          <w:p w14:paraId="40B99746" w14:textId="50D9CC6F" w:rsidR="0013492B" w:rsidRPr="00C32CCF" w:rsidRDefault="0013492B" w:rsidP="000634CA">
            <w:pPr>
              <w:pStyle w:val="TableText"/>
              <w:jc w:val="right"/>
              <w:rPr>
                <w:rFonts w:ascii="Calibri" w:hAnsi="Calibri"/>
                <w:color w:val="000000"/>
                <w:szCs w:val="18"/>
              </w:rPr>
            </w:pPr>
            <w:r>
              <w:rPr>
                <w:rFonts w:ascii="Calibri" w:hAnsi="Calibri"/>
                <w:color w:val="000000"/>
                <w:szCs w:val="18"/>
              </w:rPr>
              <w:t>6,553</w:t>
            </w:r>
          </w:p>
        </w:tc>
        <w:tc>
          <w:tcPr>
            <w:tcW w:w="653" w:type="pct"/>
            <w:shd w:val="clear" w:color="auto" w:fill="auto"/>
          </w:tcPr>
          <w:p w14:paraId="2AED41DB" w14:textId="4E849504" w:rsidR="0013492B" w:rsidRPr="00C32CCF" w:rsidRDefault="0013492B" w:rsidP="000634CA">
            <w:pPr>
              <w:pStyle w:val="TableText"/>
              <w:jc w:val="right"/>
              <w:rPr>
                <w:highlight w:val="yellow"/>
              </w:rPr>
            </w:pPr>
            <w:r>
              <w:rPr>
                <w:rFonts w:ascii="Calibri" w:hAnsi="Calibri"/>
                <w:color w:val="000000"/>
                <w:szCs w:val="18"/>
              </w:rPr>
              <w:t>1,985,559</w:t>
            </w:r>
          </w:p>
        </w:tc>
      </w:tr>
      <w:tr w:rsidR="0013492B" w:rsidRPr="009213D8" w14:paraId="512ABB68" w14:textId="77777777" w:rsidTr="004C1CBD">
        <w:tc>
          <w:tcPr>
            <w:tcW w:w="689" w:type="pct"/>
            <w:vMerge w:val="restart"/>
          </w:tcPr>
          <w:p w14:paraId="1BDEFF4F" w14:textId="6BAF06D6" w:rsidR="0013492B" w:rsidRPr="009213D8" w:rsidRDefault="0013492B" w:rsidP="006F1DEE">
            <w:pPr>
              <w:pStyle w:val="TableText"/>
            </w:pPr>
            <w:r w:rsidRPr="0018484D">
              <w:t>Fee for service – inspection (including virtual inspections), examination, document assessment, analysis, diagnostic activity, clearance of cargo, treatment, audit, supervision and training</w:t>
            </w:r>
            <w:r w:rsidRPr="009213D8">
              <w:t>.</w:t>
            </w:r>
          </w:p>
        </w:tc>
        <w:tc>
          <w:tcPr>
            <w:tcW w:w="613" w:type="pct"/>
            <w:shd w:val="clear" w:color="auto" w:fill="auto"/>
          </w:tcPr>
          <w:p w14:paraId="54F54932" w14:textId="51A715EC" w:rsidR="0013492B" w:rsidRPr="001825A7" w:rsidRDefault="005806AC" w:rsidP="006F1DEE">
            <w:pPr>
              <w:pStyle w:val="TableText"/>
              <w:rPr>
                <w:rFonts w:cstheme="minorHAnsi"/>
                <w:highlight w:val="yellow"/>
              </w:rPr>
            </w:pPr>
            <w:r w:rsidRPr="005806AC">
              <w:rPr>
                <w:rFonts w:cstheme="minorHAnsi"/>
              </w:rPr>
              <w:t>37,984,317</w:t>
            </w:r>
          </w:p>
        </w:tc>
        <w:tc>
          <w:tcPr>
            <w:tcW w:w="1378" w:type="pct"/>
            <w:shd w:val="clear" w:color="auto" w:fill="auto"/>
          </w:tcPr>
          <w:p w14:paraId="6105F8A6" w14:textId="34A63B73" w:rsidR="0013492B" w:rsidRPr="009213D8" w:rsidRDefault="0013492B" w:rsidP="006F1DEE">
            <w:pPr>
              <w:pStyle w:val="TableText"/>
            </w:pPr>
            <w:r w:rsidRPr="009213D8">
              <w:t>In-office fee during ordinary hours of duty</w:t>
            </w:r>
          </w:p>
        </w:tc>
        <w:tc>
          <w:tcPr>
            <w:tcW w:w="655" w:type="pct"/>
            <w:shd w:val="clear" w:color="auto" w:fill="auto"/>
          </w:tcPr>
          <w:p w14:paraId="3D20F150" w14:textId="77777777" w:rsidR="0013492B" w:rsidRPr="009213D8" w:rsidRDefault="0013492B" w:rsidP="006F1DEE">
            <w:pPr>
              <w:pStyle w:val="TableText"/>
            </w:pPr>
            <w:r w:rsidRPr="009213D8">
              <w:t>Per 15 minutes</w:t>
            </w:r>
          </w:p>
        </w:tc>
        <w:tc>
          <w:tcPr>
            <w:tcW w:w="417" w:type="pct"/>
            <w:shd w:val="clear" w:color="auto" w:fill="auto"/>
          </w:tcPr>
          <w:p w14:paraId="33D67151" w14:textId="220FA872" w:rsidR="0013492B" w:rsidRPr="001825A7" w:rsidRDefault="0013492B" w:rsidP="000634CA">
            <w:pPr>
              <w:pStyle w:val="TableText"/>
              <w:jc w:val="right"/>
            </w:pPr>
            <w:r>
              <w:rPr>
                <w:rFonts w:ascii="Calibri" w:hAnsi="Calibri"/>
                <w:color w:val="000000"/>
                <w:szCs w:val="18"/>
              </w:rPr>
              <w:t>39</w:t>
            </w:r>
          </w:p>
        </w:tc>
        <w:tc>
          <w:tcPr>
            <w:tcW w:w="595" w:type="pct"/>
            <w:shd w:val="clear" w:color="auto" w:fill="auto"/>
          </w:tcPr>
          <w:p w14:paraId="44C5EF71" w14:textId="1149A052" w:rsidR="0013492B" w:rsidRPr="00C32CCF" w:rsidRDefault="00314EDC" w:rsidP="000634CA">
            <w:pPr>
              <w:pStyle w:val="TableText"/>
              <w:jc w:val="right"/>
              <w:rPr>
                <w:rFonts w:ascii="Calibri" w:hAnsi="Calibri"/>
                <w:color w:val="000000"/>
                <w:szCs w:val="18"/>
              </w:rPr>
            </w:pPr>
            <w:r>
              <w:rPr>
                <w:rFonts w:ascii="Calibri" w:hAnsi="Calibri"/>
                <w:color w:val="000000"/>
                <w:szCs w:val="18"/>
              </w:rPr>
              <w:t>826,743</w:t>
            </w:r>
          </w:p>
        </w:tc>
        <w:tc>
          <w:tcPr>
            <w:tcW w:w="653" w:type="pct"/>
            <w:shd w:val="clear" w:color="auto" w:fill="auto"/>
          </w:tcPr>
          <w:p w14:paraId="787F92AC" w14:textId="1626E3BF" w:rsidR="0013492B" w:rsidRPr="00C32CCF" w:rsidRDefault="00314EDC" w:rsidP="000634CA">
            <w:pPr>
              <w:pStyle w:val="TableText"/>
              <w:jc w:val="right"/>
              <w:rPr>
                <w:highlight w:val="yellow"/>
              </w:rPr>
            </w:pPr>
            <w:r>
              <w:rPr>
                <w:rFonts w:ascii="Calibri" w:hAnsi="Calibri"/>
                <w:color w:val="000000"/>
                <w:szCs w:val="18"/>
              </w:rPr>
              <w:t>32,242,977</w:t>
            </w:r>
          </w:p>
        </w:tc>
      </w:tr>
      <w:tr w:rsidR="00E26F65" w:rsidRPr="009213D8" w14:paraId="58386BE6" w14:textId="77777777" w:rsidTr="004C1CBD">
        <w:tc>
          <w:tcPr>
            <w:tcW w:w="689" w:type="pct"/>
            <w:vMerge/>
          </w:tcPr>
          <w:p w14:paraId="496CE9C1" w14:textId="77777777" w:rsidR="00E26F65" w:rsidRPr="009213D8" w:rsidRDefault="00E26F65" w:rsidP="006F1DEE">
            <w:pPr>
              <w:pStyle w:val="TableText"/>
            </w:pPr>
          </w:p>
        </w:tc>
        <w:tc>
          <w:tcPr>
            <w:tcW w:w="613" w:type="pct"/>
            <w:shd w:val="clear" w:color="auto" w:fill="auto"/>
          </w:tcPr>
          <w:p w14:paraId="72506C73" w14:textId="6787681D" w:rsidR="00E26F65" w:rsidRPr="005806AC" w:rsidRDefault="00E26F65" w:rsidP="006F1DEE">
            <w:pPr>
              <w:pStyle w:val="TableText"/>
              <w:rPr>
                <w:rFonts w:cstheme="minorHAnsi"/>
              </w:rPr>
            </w:pPr>
            <w:r w:rsidRPr="00E26F65">
              <w:rPr>
                <w:rFonts w:cstheme="minorHAnsi"/>
              </w:rPr>
              <w:t>5,751,538</w:t>
            </w:r>
          </w:p>
        </w:tc>
        <w:tc>
          <w:tcPr>
            <w:tcW w:w="1378" w:type="pct"/>
            <w:shd w:val="clear" w:color="auto" w:fill="auto"/>
          </w:tcPr>
          <w:p w14:paraId="125D61BB" w14:textId="543F93E5" w:rsidR="00E26F65" w:rsidRPr="009213D8" w:rsidRDefault="00314EDC" w:rsidP="006F1DEE">
            <w:pPr>
              <w:pStyle w:val="TableText"/>
            </w:pPr>
            <w:r w:rsidRPr="00314EDC">
              <w:rPr>
                <w:rFonts w:cstheme="minorHAnsi"/>
              </w:rPr>
              <w:t>Assessment of a permit application</w:t>
            </w:r>
          </w:p>
        </w:tc>
        <w:tc>
          <w:tcPr>
            <w:tcW w:w="655" w:type="pct"/>
            <w:shd w:val="clear" w:color="auto" w:fill="auto"/>
          </w:tcPr>
          <w:p w14:paraId="237AF06B" w14:textId="444FA016" w:rsidR="00E26F65" w:rsidRPr="009213D8" w:rsidRDefault="00E26F65" w:rsidP="006F1DEE">
            <w:pPr>
              <w:pStyle w:val="TableText"/>
            </w:pPr>
            <w:r>
              <w:t>Per 30 minutes</w:t>
            </w:r>
          </w:p>
        </w:tc>
        <w:tc>
          <w:tcPr>
            <w:tcW w:w="417" w:type="pct"/>
            <w:shd w:val="clear" w:color="auto" w:fill="auto"/>
          </w:tcPr>
          <w:p w14:paraId="3E65F62A" w14:textId="3A7A4647" w:rsidR="00E26F65" w:rsidRDefault="00E26F65" w:rsidP="000634CA">
            <w:pPr>
              <w:pStyle w:val="TableText"/>
              <w:jc w:val="right"/>
              <w:rPr>
                <w:rFonts w:ascii="Calibri" w:hAnsi="Calibri"/>
                <w:color w:val="000000"/>
                <w:szCs w:val="18"/>
              </w:rPr>
            </w:pPr>
            <w:r w:rsidRPr="00AB2532">
              <w:t>77</w:t>
            </w:r>
          </w:p>
        </w:tc>
        <w:tc>
          <w:tcPr>
            <w:tcW w:w="595" w:type="pct"/>
            <w:shd w:val="clear" w:color="auto" w:fill="auto"/>
          </w:tcPr>
          <w:p w14:paraId="68A1730F" w14:textId="7FE6F751" w:rsidR="00E26F65" w:rsidRDefault="00E26F65" w:rsidP="000634CA">
            <w:pPr>
              <w:pStyle w:val="TableText"/>
              <w:jc w:val="right"/>
              <w:rPr>
                <w:rFonts w:ascii="Calibri" w:hAnsi="Calibri"/>
                <w:color w:val="000000"/>
                <w:szCs w:val="18"/>
              </w:rPr>
            </w:pPr>
            <w:r w:rsidRPr="00AB2532">
              <w:t>74,719</w:t>
            </w:r>
          </w:p>
        </w:tc>
        <w:tc>
          <w:tcPr>
            <w:tcW w:w="653" w:type="pct"/>
            <w:shd w:val="clear" w:color="auto" w:fill="auto"/>
          </w:tcPr>
          <w:p w14:paraId="14C8036F" w14:textId="5AAAE359" w:rsidR="00E26F65" w:rsidRDefault="00E26F65" w:rsidP="000634CA">
            <w:pPr>
              <w:pStyle w:val="TableText"/>
              <w:jc w:val="right"/>
              <w:rPr>
                <w:rFonts w:ascii="Calibri" w:hAnsi="Calibri"/>
                <w:color w:val="000000"/>
                <w:szCs w:val="18"/>
              </w:rPr>
            </w:pPr>
            <w:r w:rsidRPr="00AB2532">
              <w:t>5,753,363</w:t>
            </w:r>
          </w:p>
        </w:tc>
      </w:tr>
      <w:tr w:rsidR="0013492B" w:rsidRPr="009213D8" w14:paraId="52AA9EA2" w14:textId="77777777" w:rsidTr="004C1CBD">
        <w:tc>
          <w:tcPr>
            <w:tcW w:w="689" w:type="pct"/>
            <w:vMerge/>
          </w:tcPr>
          <w:p w14:paraId="6F646669" w14:textId="77777777" w:rsidR="0013492B" w:rsidRPr="009213D8" w:rsidRDefault="0013492B" w:rsidP="006F1DEE">
            <w:pPr>
              <w:pStyle w:val="TableText"/>
            </w:pPr>
          </w:p>
        </w:tc>
        <w:tc>
          <w:tcPr>
            <w:tcW w:w="613" w:type="pct"/>
            <w:shd w:val="clear" w:color="auto" w:fill="auto"/>
          </w:tcPr>
          <w:p w14:paraId="79B9BDFB" w14:textId="5E793557" w:rsidR="0013492B" w:rsidRPr="001825A7" w:rsidRDefault="005806AC" w:rsidP="006F1DEE">
            <w:pPr>
              <w:pStyle w:val="TableText"/>
              <w:rPr>
                <w:rFonts w:cstheme="minorHAnsi"/>
                <w:highlight w:val="yellow"/>
              </w:rPr>
            </w:pPr>
            <w:r w:rsidRPr="005806AC">
              <w:rPr>
                <w:rFonts w:cstheme="minorHAnsi"/>
              </w:rPr>
              <w:t>40,900,854</w:t>
            </w:r>
          </w:p>
        </w:tc>
        <w:tc>
          <w:tcPr>
            <w:tcW w:w="1378" w:type="pct"/>
            <w:shd w:val="clear" w:color="auto" w:fill="auto"/>
          </w:tcPr>
          <w:p w14:paraId="65BA3F7E" w14:textId="631D876E" w:rsidR="0013492B" w:rsidRPr="009213D8" w:rsidRDefault="0013492B" w:rsidP="006F1DEE">
            <w:pPr>
              <w:pStyle w:val="TableText"/>
            </w:pPr>
            <w:r w:rsidRPr="009213D8">
              <w:t>Out-of-office fee during ordinary hours of duty</w:t>
            </w:r>
          </w:p>
        </w:tc>
        <w:tc>
          <w:tcPr>
            <w:tcW w:w="655" w:type="pct"/>
            <w:shd w:val="clear" w:color="auto" w:fill="auto"/>
          </w:tcPr>
          <w:p w14:paraId="3522A19C" w14:textId="77777777" w:rsidR="0013492B" w:rsidRPr="009213D8" w:rsidRDefault="0013492B" w:rsidP="006F1DEE">
            <w:pPr>
              <w:pStyle w:val="TableText"/>
            </w:pPr>
            <w:r w:rsidRPr="009213D8">
              <w:t>Per 15 minutes</w:t>
            </w:r>
          </w:p>
        </w:tc>
        <w:tc>
          <w:tcPr>
            <w:tcW w:w="417" w:type="pct"/>
            <w:shd w:val="clear" w:color="auto" w:fill="auto"/>
          </w:tcPr>
          <w:p w14:paraId="0C9EB98A" w14:textId="66D27DDC" w:rsidR="0013492B" w:rsidRPr="001825A7" w:rsidRDefault="0013492B" w:rsidP="000634CA">
            <w:pPr>
              <w:pStyle w:val="TableText"/>
              <w:jc w:val="right"/>
            </w:pPr>
            <w:r>
              <w:rPr>
                <w:rFonts w:ascii="Calibri" w:hAnsi="Calibri"/>
                <w:color w:val="000000"/>
                <w:szCs w:val="18"/>
              </w:rPr>
              <w:t>65</w:t>
            </w:r>
          </w:p>
        </w:tc>
        <w:tc>
          <w:tcPr>
            <w:tcW w:w="595" w:type="pct"/>
            <w:shd w:val="clear" w:color="auto" w:fill="auto"/>
          </w:tcPr>
          <w:p w14:paraId="40408AC5" w14:textId="34334015" w:rsidR="0013492B" w:rsidRPr="00C32CCF" w:rsidRDefault="0013492B" w:rsidP="000634CA">
            <w:pPr>
              <w:pStyle w:val="TableText"/>
              <w:jc w:val="right"/>
              <w:rPr>
                <w:rFonts w:ascii="Calibri" w:hAnsi="Calibri"/>
                <w:color w:val="000000"/>
                <w:szCs w:val="18"/>
              </w:rPr>
            </w:pPr>
            <w:r>
              <w:rPr>
                <w:rFonts w:ascii="Calibri" w:hAnsi="Calibri"/>
                <w:color w:val="000000"/>
                <w:szCs w:val="18"/>
              </w:rPr>
              <w:t>629,443</w:t>
            </w:r>
          </w:p>
        </w:tc>
        <w:tc>
          <w:tcPr>
            <w:tcW w:w="653" w:type="pct"/>
            <w:shd w:val="clear" w:color="auto" w:fill="auto"/>
          </w:tcPr>
          <w:p w14:paraId="071884C8" w14:textId="2D2E3355" w:rsidR="0013492B" w:rsidRPr="00C32CCF" w:rsidRDefault="0013492B" w:rsidP="000634CA">
            <w:pPr>
              <w:pStyle w:val="TableText"/>
              <w:jc w:val="right"/>
              <w:rPr>
                <w:highlight w:val="yellow"/>
              </w:rPr>
            </w:pPr>
            <w:r>
              <w:rPr>
                <w:rFonts w:ascii="Calibri" w:hAnsi="Calibri"/>
                <w:color w:val="000000"/>
                <w:szCs w:val="18"/>
              </w:rPr>
              <w:t>40,913,795</w:t>
            </w:r>
          </w:p>
        </w:tc>
      </w:tr>
      <w:tr w:rsidR="0013492B" w:rsidRPr="009213D8" w14:paraId="71EE4FDA" w14:textId="77777777" w:rsidTr="004C1CBD">
        <w:tc>
          <w:tcPr>
            <w:tcW w:w="689" w:type="pct"/>
            <w:vMerge/>
          </w:tcPr>
          <w:p w14:paraId="76948C9B" w14:textId="77777777" w:rsidR="0013492B" w:rsidRPr="009213D8" w:rsidRDefault="0013492B" w:rsidP="006F1DEE">
            <w:pPr>
              <w:pStyle w:val="TableText"/>
            </w:pPr>
          </w:p>
        </w:tc>
        <w:tc>
          <w:tcPr>
            <w:tcW w:w="613" w:type="pct"/>
            <w:shd w:val="clear" w:color="auto" w:fill="auto"/>
          </w:tcPr>
          <w:p w14:paraId="3BE31BC2" w14:textId="1590E920" w:rsidR="0013492B" w:rsidRPr="001825A7" w:rsidRDefault="005806AC" w:rsidP="006F1DEE">
            <w:pPr>
              <w:pStyle w:val="TableText"/>
              <w:rPr>
                <w:rFonts w:cstheme="minorHAnsi"/>
                <w:highlight w:val="yellow"/>
              </w:rPr>
            </w:pPr>
            <w:r w:rsidRPr="005806AC">
              <w:rPr>
                <w:rFonts w:cstheme="minorHAnsi"/>
              </w:rPr>
              <w:t>321,461</w:t>
            </w:r>
          </w:p>
        </w:tc>
        <w:tc>
          <w:tcPr>
            <w:tcW w:w="1378" w:type="pct"/>
            <w:shd w:val="clear" w:color="auto" w:fill="auto"/>
          </w:tcPr>
          <w:p w14:paraId="04C0C4F3" w14:textId="7092EBF3" w:rsidR="0013492B" w:rsidRPr="009213D8" w:rsidRDefault="0013492B" w:rsidP="006F1DEE">
            <w:pPr>
              <w:pStyle w:val="TableText"/>
            </w:pPr>
            <w:r w:rsidRPr="009213D8">
              <w:t xml:space="preserve">Out-of-office fee during ordinary hours of duty </w:t>
            </w:r>
          </w:p>
        </w:tc>
        <w:tc>
          <w:tcPr>
            <w:tcW w:w="655" w:type="pct"/>
            <w:shd w:val="clear" w:color="auto" w:fill="auto"/>
          </w:tcPr>
          <w:p w14:paraId="72505C3E" w14:textId="34515327" w:rsidR="0013492B" w:rsidRPr="009213D8" w:rsidRDefault="0013492B" w:rsidP="006F1DEE">
            <w:pPr>
              <w:pStyle w:val="TableText"/>
            </w:pPr>
            <w:r w:rsidRPr="009213D8">
              <w:t>Daily</w:t>
            </w:r>
          </w:p>
        </w:tc>
        <w:tc>
          <w:tcPr>
            <w:tcW w:w="417" w:type="pct"/>
            <w:shd w:val="clear" w:color="auto" w:fill="auto"/>
          </w:tcPr>
          <w:p w14:paraId="0FEF98AF" w14:textId="5DF8F7CE" w:rsidR="0013492B" w:rsidRPr="001825A7" w:rsidRDefault="0013492B" w:rsidP="000634CA">
            <w:pPr>
              <w:pStyle w:val="TableText"/>
              <w:jc w:val="right"/>
            </w:pPr>
            <w:r>
              <w:rPr>
                <w:rFonts w:ascii="Calibri" w:hAnsi="Calibri"/>
                <w:color w:val="000000"/>
                <w:szCs w:val="18"/>
              </w:rPr>
              <w:t>1,271</w:t>
            </w:r>
          </w:p>
        </w:tc>
        <w:tc>
          <w:tcPr>
            <w:tcW w:w="595" w:type="pct"/>
            <w:shd w:val="clear" w:color="auto" w:fill="auto"/>
          </w:tcPr>
          <w:p w14:paraId="75C12340" w14:textId="33477819" w:rsidR="0013492B" w:rsidRPr="00C32CCF" w:rsidRDefault="0013492B" w:rsidP="000634CA">
            <w:pPr>
              <w:pStyle w:val="TableText"/>
              <w:jc w:val="right"/>
              <w:rPr>
                <w:rFonts w:ascii="Calibri" w:hAnsi="Calibri"/>
                <w:color w:val="000000"/>
                <w:szCs w:val="18"/>
              </w:rPr>
            </w:pPr>
            <w:r>
              <w:rPr>
                <w:rFonts w:ascii="Calibri" w:hAnsi="Calibri"/>
                <w:color w:val="000000"/>
                <w:szCs w:val="18"/>
              </w:rPr>
              <w:t>253</w:t>
            </w:r>
          </w:p>
        </w:tc>
        <w:tc>
          <w:tcPr>
            <w:tcW w:w="653" w:type="pct"/>
            <w:shd w:val="clear" w:color="auto" w:fill="auto"/>
          </w:tcPr>
          <w:p w14:paraId="0D723880" w14:textId="57D71DE3" w:rsidR="0013492B" w:rsidRPr="00C32CCF" w:rsidRDefault="0013492B" w:rsidP="000634CA">
            <w:pPr>
              <w:pStyle w:val="TableText"/>
              <w:jc w:val="right"/>
              <w:rPr>
                <w:highlight w:val="yellow"/>
              </w:rPr>
            </w:pPr>
            <w:r>
              <w:rPr>
                <w:rFonts w:ascii="Calibri" w:hAnsi="Calibri"/>
                <w:color w:val="000000"/>
                <w:szCs w:val="18"/>
              </w:rPr>
              <w:t>321,563</w:t>
            </w:r>
          </w:p>
        </w:tc>
      </w:tr>
      <w:tr w:rsidR="0013492B" w:rsidRPr="009213D8" w14:paraId="5706539E" w14:textId="77777777" w:rsidTr="004C1CBD">
        <w:tc>
          <w:tcPr>
            <w:tcW w:w="689" w:type="pct"/>
            <w:vMerge/>
          </w:tcPr>
          <w:p w14:paraId="664EF157" w14:textId="77777777" w:rsidR="0013492B" w:rsidRPr="009213D8" w:rsidRDefault="0013492B" w:rsidP="006F1DEE">
            <w:pPr>
              <w:pStyle w:val="TableText"/>
            </w:pPr>
          </w:p>
        </w:tc>
        <w:tc>
          <w:tcPr>
            <w:tcW w:w="613" w:type="pct"/>
            <w:shd w:val="clear" w:color="auto" w:fill="auto"/>
          </w:tcPr>
          <w:p w14:paraId="7D8D869F" w14:textId="34774239" w:rsidR="0013492B" w:rsidRPr="005A660F" w:rsidRDefault="00F700D1" w:rsidP="006F1DEE">
            <w:pPr>
              <w:pStyle w:val="TableText"/>
              <w:rPr>
                <w:rFonts w:cstheme="minorHAnsi"/>
              </w:rPr>
            </w:pPr>
            <w:r>
              <w:rPr>
                <w:rFonts w:cstheme="minorHAnsi"/>
              </w:rPr>
              <w:t>–</w:t>
            </w:r>
          </w:p>
        </w:tc>
        <w:tc>
          <w:tcPr>
            <w:tcW w:w="1378" w:type="pct"/>
            <w:shd w:val="clear" w:color="auto" w:fill="auto"/>
          </w:tcPr>
          <w:p w14:paraId="397270CE" w14:textId="5DC3C616" w:rsidR="0013492B" w:rsidRPr="005A660F" w:rsidRDefault="0013492B" w:rsidP="006F1DEE">
            <w:pPr>
              <w:pStyle w:val="TableText"/>
            </w:pPr>
            <w:r w:rsidRPr="005A660F">
              <w:t>In-office fee outside ordinary hours – weekday for continuous activity provided immediately before or after ordinary hours</w:t>
            </w:r>
          </w:p>
        </w:tc>
        <w:tc>
          <w:tcPr>
            <w:tcW w:w="655" w:type="pct"/>
            <w:shd w:val="clear" w:color="auto" w:fill="auto"/>
          </w:tcPr>
          <w:p w14:paraId="765E702A" w14:textId="6E13062F" w:rsidR="0013492B" w:rsidRPr="009213D8" w:rsidRDefault="0013492B" w:rsidP="006F1DEE">
            <w:pPr>
              <w:pStyle w:val="TableText"/>
            </w:pPr>
            <w:r w:rsidRPr="009213D8">
              <w:t>Per 15 minutes</w:t>
            </w:r>
          </w:p>
        </w:tc>
        <w:tc>
          <w:tcPr>
            <w:tcW w:w="417" w:type="pct"/>
            <w:shd w:val="clear" w:color="auto" w:fill="auto"/>
          </w:tcPr>
          <w:p w14:paraId="2001F997" w14:textId="5F1F21F1" w:rsidR="0013492B" w:rsidRPr="001825A7" w:rsidRDefault="0013492B" w:rsidP="000634CA">
            <w:pPr>
              <w:pStyle w:val="TableText"/>
              <w:jc w:val="right"/>
            </w:pPr>
            <w:r>
              <w:rPr>
                <w:rFonts w:ascii="Calibri" w:hAnsi="Calibri"/>
                <w:color w:val="000000"/>
                <w:szCs w:val="18"/>
              </w:rPr>
              <w:t>57</w:t>
            </w:r>
          </w:p>
        </w:tc>
        <w:tc>
          <w:tcPr>
            <w:tcW w:w="595" w:type="pct"/>
            <w:shd w:val="clear" w:color="auto" w:fill="auto"/>
          </w:tcPr>
          <w:p w14:paraId="06D0D2ED" w14:textId="4865FCC8" w:rsidR="0013492B" w:rsidRPr="00C32CCF" w:rsidRDefault="0013492B" w:rsidP="000634CA">
            <w:pPr>
              <w:pStyle w:val="TableText"/>
              <w:jc w:val="right"/>
              <w:rPr>
                <w:rFonts w:ascii="Calibri" w:hAnsi="Calibri"/>
                <w:color w:val="000000"/>
                <w:szCs w:val="18"/>
              </w:rPr>
            </w:pPr>
            <w:r>
              <w:rPr>
                <w:rFonts w:ascii="Calibri" w:hAnsi="Calibri"/>
                <w:color w:val="000000"/>
                <w:szCs w:val="18"/>
              </w:rPr>
              <w:t>0</w:t>
            </w:r>
          </w:p>
        </w:tc>
        <w:tc>
          <w:tcPr>
            <w:tcW w:w="653" w:type="pct"/>
            <w:shd w:val="clear" w:color="auto" w:fill="auto"/>
          </w:tcPr>
          <w:p w14:paraId="14388300" w14:textId="387DAAAE" w:rsidR="0013492B" w:rsidRPr="00C32CCF" w:rsidRDefault="0013492B" w:rsidP="000634CA">
            <w:pPr>
              <w:pStyle w:val="TableText"/>
              <w:jc w:val="right"/>
              <w:rPr>
                <w:highlight w:val="yellow"/>
              </w:rPr>
            </w:pPr>
            <w:r>
              <w:rPr>
                <w:rFonts w:ascii="Calibri" w:hAnsi="Calibri"/>
                <w:color w:val="000000"/>
                <w:szCs w:val="18"/>
              </w:rPr>
              <w:t>0</w:t>
            </w:r>
          </w:p>
        </w:tc>
      </w:tr>
      <w:tr w:rsidR="0013492B" w:rsidRPr="009213D8" w14:paraId="524CD280" w14:textId="77777777" w:rsidTr="004C1CBD">
        <w:tc>
          <w:tcPr>
            <w:tcW w:w="689" w:type="pct"/>
            <w:vMerge/>
          </w:tcPr>
          <w:p w14:paraId="2E6606D5" w14:textId="77777777" w:rsidR="0013492B" w:rsidRPr="009213D8" w:rsidRDefault="0013492B" w:rsidP="006F1DEE">
            <w:pPr>
              <w:pStyle w:val="TableText"/>
            </w:pPr>
          </w:p>
        </w:tc>
        <w:tc>
          <w:tcPr>
            <w:tcW w:w="613" w:type="pct"/>
            <w:shd w:val="clear" w:color="auto" w:fill="auto"/>
          </w:tcPr>
          <w:p w14:paraId="1B20D8EC" w14:textId="168CBB88" w:rsidR="0013492B" w:rsidRPr="005A660F" w:rsidRDefault="00F700D1" w:rsidP="006F1DEE">
            <w:pPr>
              <w:pStyle w:val="TableText"/>
              <w:rPr>
                <w:rFonts w:cstheme="minorHAnsi"/>
              </w:rPr>
            </w:pPr>
            <w:r>
              <w:rPr>
                <w:rFonts w:cstheme="minorHAnsi"/>
              </w:rPr>
              <w:t>–</w:t>
            </w:r>
          </w:p>
        </w:tc>
        <w:tc>
          <w:tcPr>
            <w:tcW w:w="1378" w:type="pct"/>
            <w:shd w:val="clear" w:color="auto" w:fill="auto"/>
          </w:tcPr>
          <w:p w14:paraId="562E8A68" w14:textId="7209C118" w:rsidR="0013492B" w:rsidRPr="005A660F" w:rsidRDefault="0013492B" w:rsidP="006F1DEE">
            <w:pPr>
              <w:pStyle w:val="TableText"/>
            </w:pPr>
            <w:r w:rsidRPr="005A660F">
              <w:t>In-office fee outside ordinary hours – weekday for non-continuous activity provided before or after ordinary hours only</w:t>
            </w:r>
          </w:p>
        </w:tc>
        <w:tc>
          <w:tcPr>
            <w:tcW w:w="655" w:type="pct"/>
            <w:shd w:val="clear" w:color="auto" w:fill="auto"/>
          </w:tcPr>
          <w:p w14:paraId="5280AC38" w14:textId="378F1DCD" w:rsidR="0013492B" w:rsidRPr="009213D8" w:rsidRDefault="0013492B" w:rsidP="006F1DEE">
            <w:pPr>
              <w:pStyle w:val="TableText"/>
            </w:pPr>
            <w:r w:rsidRPr="009213D8">
              <w:t>Per 30 minutes</w:t>
            </w:r>
          </w:p>
        </w:tc>
        <w:tc>
          <w:tcPr>
            <w:tcW w:w="417" w:type="pct"/>
            <w:shd w:val="clear" w:color="auto" w:fill="auto"/>
          </w:tcPr>
          <w:p w14:paraId="2D5BC486" w14:textId="7CB99724" w:rsidR="0013492B" w:rsidRPr="001825A7" w:rsidRDefault="0013492B" w:rsidP="000634CA">
            <w:pPr>
              <w:pStyle w:val="TableText"/>
              <w:jc w:val="right"/>
            </w:pPr>
            <w:r>
              <w:rPr>
                <w:rFonts w:ascii="Calibri" w:hAnsi="Calibri"/>
                <w:color w:val="000000"/>
                <w:szCs w:val="18"/>
              </w:rPr>
              <w:t>114</w:t>
            </w:r>
          </w:p>
        </w:tc>
        <w:tc>
          <w:tcPr>
            <w:tcW w:w="595" w:type="pct"/>
            <w:shd w:val="clear" w:color="auto" w:fill="auto"/>
          </w:tcPr>
          <w:p w14:paraId="348F1CE6" w14:textId="76E83843" w:rsidR="0013492B" w:rsidRPr="00C32CCF" w:rsidRDefault="0013492B" w:rsidP="000634CA">
            <w:pPr>
              <w:pStyle w:val="TableText"/>
              <w:jc w:val="right"/>
              <w:rPr>
                <w:rFonts w:ascii="Calibri" w:hAnsi="Calibri"/>
                <w:color w:val="000000"/>
                <w:szCs w:val="18"/>
              </w:rPr>
            </w:pPr>
            <w:r>
              <w:rPr>
                <w:rFonts w:ascii="Calibri" w:hAnsi="Calibri"/>
                <w:color w:val="000000"/>
                <w:szCs w:val="18"/>
              </w:rPr>
              <w:t>0</w:t>
            </w:r>
          </w:p>
        </w:tc>
        <w:tc>
          <w:tcPr>
            <w:tcW w:w="653" w:type="pct"/>
            <w:shd w:val="clear" w:color="auto" w:fill="auto"/>
          </w:tcPr>
          <w:p w14:paraId="715483AF" w14:textId="40AFEF57" w:rsidR="0013492B" w:rsidRPr="00C32CCF" w:rsidRDefault="0013492B" w:rsidP="000634CA">
            <w:pPr>
              <w:pStyle w:val="TableText"/>
              <w:jc w:val="right"/>
              <w:rPr>
                <w:highlight w:val="yellow"/>
              </w:rPr>
            </w:pPr>
            <w:r>
              <w:rPr>
                <w:rFonts w:ascii="Calibri" w:hAnsi="Calibri"/>
                <w:color w:val="000000"/>
                <w:szCs w:val="18"/>
              </w:rPr>
              <w:t>0</w:t>
            </w:r>
          </w:p>
        </w:tc>
      </w:tr>
      <w:tr w:rsidR="0013492B" w:rsidRPr="009213D8" w14:paraId="222F3B3B" w14:textId="77777777" w:rsidTr="004C1CBD">
        <w:tc>
          <w:tcPr>
            <w:tcW w:w="689" w:type="pct"/>
            <w:vMerge/>
          </w:tcPr>
          <w:p w14:paraId="3E9A6674" w14:textId="77777777" w:rsidR="0013492B" w:rsidRPr="009213D8" w:rsidRDefault="0013492B" w:rsidP="006F1DEE">
            <w:pPr>
              <w:pStyle w:val="TableText"/>
            </w:pPr>
          </w:p>
        </w:tc>
        <w:tc>
          <w:tcPr>
            <w:tcW w:w="613" w:type="pct"/>
            <w:shd w:val="clear" w:color="auto" w:fill="auto"/>
          </w:tcPr>
          <w:p w14:paraId="44594EB3" w14:textId="0469A7A5" w:rsidR="0013492B" w:rsidRPr="005A660F" w:rsidRDefault="00F700D1" w:rsidP="006F1DEE">
            <w:pPr>
              <w:pStyle w:val="TableText"/>
              <w:rPr>
                <w:rFonts w:cstheme="minorHAnsi"/>
              </w:rPr>
            </w:pPr>
            <w:r>
              <w:rPr>
                <w:rFonts w:cstheme="minorHAnsi"/>
              </w:rPr>
              <w:t>–</w:t>
            </w:r>
          </w:p>
        </w:tc>
        <w:tc>
          <w:tcPr>
            <w:tcW w:w="1378" w:type="pct"/>
            <w:shd w:val="clear" w:color="auto" w:fill="auto"/>
          </w:tcPr>
          <w:p w14:paraId="312D0BB6" w14:textId="4175180E" w:rsidR="0013492B" w:rsidRPr="005A660F" w:rsidRDefault="0013492B" w:rsidP="006F1DEE">
            <w:pPr>
              <w:pStyle w:val="TableText"/>
            </w:pPr>
            <w:bookmarkStart w:id="143" w:name="_Hlk163721824"/>
            <w:r w:rsidRPr="005A660F">
              <w:t xml:space="preserve">In-office fee outside ordinary hours </w:t>
            </w:r>
            <w:bookmarkEnd w:id="143"/>
            <w:r w:rsidRPr="005A660F">
              <w:t>– weekend or departmental holiday</w:t>
            </w:r>
          </w:p>
        </w:tc>
        <w:tc>
          <w:tcPr>
            <w:tcW w:w="655" w:type="pct"/>
            <w:shd w:val="clear" w:color="auto" w:fill="auto"/>
          </w:tcPr>
          <w:p w14:paraId="28270110" w14:textId="0691445F" w:rsidR="0013492B" w:rsidRPr="009213D8" w:rsidRDefault="0013492B" w:rsidP="006F1DEE">
            <w:pPr>
              <w:pStyle w:val="TableText"/>
            </w:pPr>
            <w:r w:rsidRPr="009213D8">
              <w:t>Per 30 minutes</w:t>
            </w:r>
          </w:p>
        </w:tc>
        <w:tc>
          <w:tcPr>
            <w:tcW w:w="417" w:type="pct"/>
            <w:shd w:val="clear" w:color="auto" w:fill="auto"/>
          </w:tcPr>
          <w:p w14:paraId="7B608246" w14:textId="6FEDEB2D" w:rsidR="0013492B" w:rsidRPr="001825A7" w:rsidRDefault="0013492B" w:rsidP="000634CA">
            <w:pPr>
              <w:pStyle w:val="TableText"/>
              <w:jc w:val="right"/>
            </w:pPr>
            <w:r>
              <w:rPr>
                <w:rFonts w:ascii="Calibri" w:hAnsi="Calibri"/>
                <w:color w:val="000000"/>
                <w:szCs w:val="18"/>
              </w:rPr>
              <w:t>124</w:t>
            </w:r>
          </w:p>
        </w:tc>
        <w:tc>
          <w:tcPr>
            <w:tcW w:w="595" w:type="pct"/>
            <w:shd w:val="clear" w:color="auto" w:fill="auto"/>
          </w:tcPr>
          <w:p w14:paraId="4072B1DD" w14:textId="1564172F" w:rsidR="0013492B" w:rsidRPr="00C32CCF" w:rsidRDefault="0013492B" w:rsidP="000634CA">
            <w:pPr>
              <w:pStyle w:val="TableText"/>
              <w:jc w:val="right"/>
              <w:rPr>
                <w:rFonts w:ascii="Calibri" w:hAnsi="Calibri"/>
                <w:color w:val="000000"/>
                <w:szCs w:val="18"/>
              </w:rPr>
            </w:pPr>
            <w:r>
              <w:rPr>
                <w:rFonts w:ascii="Calibri" w:hAnsi="Calibri"/>
                <w:color w:val="000000"/>
                <w:szCs w:val="18"/>
              </w:rPr>
              <w:t>0</w:t>
            </w:r>
          </w:p>
        </w:tc>
        <w:tc>
          <w:tcPr>
            <w:tcW w:w="653" w:type="pct"/>
            <w:shd w:val="clear" w:color="auto" w:fill="auto"/>
          </w:tcPr>
          <w:p w14:paraId="0B1E3DA3" w14:textId="2C255D08" w:rsidR="0013492B" w:rsidRPr="00C32CCF" w:rsidRDefault="0013492B" w:rsidP="000634CA">
            <w:pPr>
              <w:pStyle w:val="TableText"/>
              <w:jc w:val="right"/>
              <w:rPr>
                <w:highlight w:val="yellow"/>
              </w:rPr>
            </w:pPr>
            <w:r>
              <w:rPr>
                <w:rFonts w:ascii="Calibri" w:hAnsi="Calibri"/>
                <w:color w:val="000000"/>
                <w:szCs w:val="18"/>
              </w:rPr>
              <w:t>0</w:t>
            </w:r>
          </w:p>
        </w:tc>
      </w:tr>
      <w:tr w:rsidR="0013492B" w:rsidRPr="009213D8" w14:paraId="32B89532" w14:textId="77777777" w:rsidTr="004C1CBD">
        <w:tc>
          <w:tcPr>
            <w:tcW w:w="689" w:type="pct"/>
            <w:vMerge/>
          </w:tcPr>
          <w:p w14:paraId="0CA6A4EA" w14:textId="77777777" w:rsidR="0013492B" w:rsidRPr="009213D8" w:rsidRDefault="0013492B" w:rsidP="006F1DEE">
            <w:pPr>
              <w:pStyle w:val="TableText"/>
            </w:pPr>
          </w:p>
        </w:tc>
        <w:tc>
          <w:tcPr>
            <w:tcW w:w="613" w:type="pct"/>
            <w:shd w:val="clear" w:color="auto" w:fill="auto"/>
          </w:tcPr>
          <w:p w14:paraId="7011533C" w14:textId="1858D912" w:rsidR="0013492B" w:rsidRPr="005A660F" w:rsidRDefault="00F700D1" w:rsidP="006F1DEE">
            <w:pPr>
              <w:pStyle w:val="TableText"/>
              <w:rPr>
                <w:rFonts w:cstheme="minorHAnsi"/>
              </w:rPr>
            </w:pPr>
            <w:r>
              <w:rPr>
                <w:rFonts w:cstheme="minorHAnsi"/>
              </w:rPr>
              <w:t>–</w:t>
            </w:r>
          </w:p>
        </w:tc>
        <w:tc>
          <w:tcPr>
            <w:tcW w:w="1378" w:type="pct"/>
            <w:shd w:val="clear" w:color="auto" w:fill="auto"/>
          </w:tcPr>
          <w:p w14:paraId="63B327C5" w14:textId="59650E56" w:rsidR="0013492B" w:rsidRPr="005A660F" w:rsidRDefault="0013492B" w:rsidP="006F1DEE">
            <w:pPr>
              <w:pStyle w:val="TableText"/>
            </w:pPr>
            <w:r w:rsidRPr="005A660F">
              <w:t>In office fee outside ordinary hours, after the first 30 minutes – weekend or departmental holiday</w:t>
            </w:r>
          </w:p>
        </w:tc>
        <w:tc>
          <w:tcPr>
            <w:tcW w:w="655" w:type="pct"/>
            <w:shd w:val="clear" w:color="auto" w:fill="auto"/>
          </w:tcPr>
          <w:p w14:paraId="6B099DE2" w14:textId="35ABD47B" w:rsidR="0013492B" w:rsidRPr="009213D8" w:rsidRDefault="0013492B" w:rsidP="006F1DEE">
            <w:pPr>
              <w:pStyle w:val="TableText"/>
            </w:pPr>
            <w:r w:rsidRPr="009213D8">
              <w:t>Per 15 minutes</w:t>
            </w:r>
          </w:p>
        </w:tc>
        <w:tc>
          <w:tcPr>
            <w:tcW w:w="417" w:type="pct"/>
            <w:shd w:val="clear" w:color="auto" w:fill="auto"/>
          </w:tcPr>
          <w:p w14:paraId="6AFAE7D3" w14:textId="3B18709E" w:rsidR="0013492B" w:rsidRPr="001825A7" w:rsidRDefault="0013492B" w:rsidP="000634CA">
            <w:pPr>
              <w:pStyle w:val="TableText"/>
              <w:jc w:val="right"/>
            </w:pPr>
            <w:r>
              <w:rPr>
                <w:rFonts w:ascii="Calibri" w:hAnsi="Calibri"/>
                <w:color w:val="000000"/>
                <w:szCs w:val="18"/>
              </w:rPr>
              <w:t>62</w:t>
            </w:r>
          </w:p>
        </w:tc>
        <w:tc>
          <w:tcPr>
            <w:tcW w:w="595" w:type="pct"/>
            <w:shd w:val="clear" w:color="auto" w:fill="auto"/>
          </w:tcPr>
          <w:p w14:paraId="369C8C41" w14:textId="33A529E7" w:rsidR="0013492B" w:rsidRPr="00C32CCF" w:rsidRDefault="0013492B" w:rsidP="000634CA">
            <w:pPr>
              <w:pStyle w:val="TableText"/>
              <w:jc w:val="right"/>
              <w:rPr>
                <w:rFonts w:ascii="Calibri" w:hAnsi="Calibri"/>
                <w:color w:val="000000"/>
                <w:szCs w:val="18"/>
              </w:rPr>
            </w:pPr>
            <w:r>
              <w:rPr>
                <w:rFonts w:ascii="Calibri" w:hAnsi="Calibri"/>
                <w:color w:val="000000"/>
                <w:szCs w:val="18"/>
              </w:rPr>
              <w:t>0</w:t>
            </w:r>
          </w:p>
        </w:tc>
        <w:tc>
          <w:tcPr>
            <w:tcW w:w="653" w:type="pct"/>
            <w:shd w:val="clear" w:color="auto" w:fill="auto"/>
          </w:tcPr>
          <w:p w14:paraId="2EBD642B" w14:textId="306EC32A" w:rsidR="0013492B" w:rsidRPr="00C32CCF" w:rsidRDefault="0013492B" w:rsidP="000634CA">
            <w:pPr>
              <w:pStyle w:val="TableText"/>
              <w:jc w:val="right"/>
              <w:rPr>
                <w:highlight w:val="yellow"/>
              </w:rPr>
            </w:pPr>
            <w:r>
              <w:rPr>
                <w:rFonts w:ascii="Calibri" w:hAnsi="Calibri"/>
                <w:color w:val="000000"/>
                <w:szCs w:val="18"/>
              </w:rPr>
              <w:t>0</w:t>
            </w:r>
          </w:p>
        </w:tc>
      </w:tr>
      <w:tr w:rsidR="0013492B" w:rsidRPr="009213D8" w14:paraId="7B93C0FB" w14:textId="77777777" w:rsidTr="004C1CBD">
        <w:tc>
          <w:tcPr>
            <w:tcW w:w="689" w:type="pct"/>
            <w:vMerge/>
          </w:tcPr>
          <w:p w14:paraId="00BADB88" w14:textId="77777777" w:rsidR="0013492B" w:rsidRPr="009213D8" w:rsidRDefault="0013492B" w:rsidP="006F1DEE">
            <w:pPr>
              <w:pStyle w:val="TableText"/>
            </w:pPr>
          </w:p>
        </w:tc>
        <w:tc>
          <w:tcPr>
            <w:tcW w:w="613" w:type="pct"/>
            <w:shd w:val="clear" w:color="auto" w:fill="auto"/>
          </w:tcPr>
          <w:p w14:paraId="1B8492BA" w14:textId="54C105A2" w:rsidR="0013492B" w:rsidRPr="005A660F" w:rsidRDefault="00F700D1" w:rsidP="006F1DEE">
            <w:pPr>
              <w:pStyle w:val="TableText"/>
              <w:rPr>
                <w:rFonts w:cstheme="minorHAnsi"/>
              </w:rPr>
            </w:pPr>
            <w:r>
              <w:rPr>
                <w:rFonts w:cstheme="minorHAnsi"/>
              </w:rPr>
              <w:t>–</w:t>
            </w:r>
          </w:p>
        </w:tc>
        <w:tc>
          <w:tcPr>
            <w:tcW w:w="1378" w:type="pct"/>
            <w:shd w:val="clear" w:color="auto" w:fill="auto"/>
          </w:tcPr>
          <w:p w14:paraId="47FDA464" w14:textId="45C52208" w:rsidR="0013492B" w:rsidRPr="005A660F" w:rsidRDefault="0013492B" w:rsidP="006F1DEE">
            <w:pPr>
              <w:pStyle w:val="TableText"/>
            </w:pPr>
            <w:r w:rsidRPr="005A660F">
              <w:t>Out-of-office fee outside ordinary hours – weekday for continuous activity provided immediately before or after ordinary hours only</w:t>
            </w:r>
          </w:p>
        </w:tc>
        <w:tc>
          <w:tcPr>
            <w:tcW w:w="655" w:type="pct"/>
            <w:shd w:val="clear" w:color="auto" w:fill="auto"/>
          </w:tcPr>
          <w:p w14:paraId="689865DB" w14:textId="55CD7317" w:rsidR="0013492B" w:rsidRPr="009213D8" w:rsidRDefault="0013492B" w:rsidP="006F1DEE">
            <w:pPr>
              <w:pStyle w:val="TableText"/>
              <w:rPr>
                <w:b/>
                <w:bCs/>
              </w:rPr>
            </w:pPr>
            <w:r w:rsidRPr="009213D8">
              <w:t>Per 15 minutes</w:t>
            </w:r>
          </w:p>
        </w:tc>
        <w:tc>
          <w:tcPr>
            <w:tcW w:w="417" w:type="pct"/>
            <w:shd w:val="clear" w:color="auto" w:fill="auto"/>
          </w:tcPr>
          <w:p w14:paraId="39887CB1" w14:textId="16E2543C" w:rsidR="0013492B" w:rsidRPr="001825A7" w:rsidRDefault="0013492B" w:rsidP="000634CA">
            <w:pPr>
              <w:pStyle w:val="TableText"/>
              <w:jc w:val="right"/>
            </w:pPr>
            <w:r>
              <w:rPr>
                <w:rFonts w:ascii="Calibri" w:hAnsi="Calibri"/>
                <w:color w:val="000000"/>
                <w:szCs w:val="18"/>
              </w:rPr>
              <w:t>83</w:t>
            </w:r>
          </w:p>
        </w:tc>
        <w:tc>
          <w:tcPr>
            <w:tcW w:w="595" w:type="pct"/>
            <w:shd w:val="clear" w:color="auto" w:fill="auto"/>
          </w:tcPr>
          <w:p w14:paraId="44246EFD" w14:textId="03C633B4" w:rsidR="0013492B" w:rsidRPr="00C32CCF" w:rsidRDefault="0013492B" w:rsidP="000634CA">
            <w:pPr>
              <w:pStyle w:val="TableText"/>
              <w:jc w:val="right"/>
              <w:rPr>
                <w:rFonts w:ascii="Calibri" w:hAnsi="Calibri"/>
                <w:color w:val="000000"/>
                <w:szCs w:val="18"/>
              </w:rPr>
            </w:pPr>
            <w:r>
              <w:rPr>
                <w:rFonts w:ascii="Calibri" w:hAnsi="Calibri"/>
                <w:color w:val="000000"/>
                <w:szCs w:val="18"/>
              </w:rPr>
              <w:t>0</w:t>
            </w:r>
          </w:p>
        </w:tc>
        <w:tc>
          <w:tcPr>
            <w:tcW w:w="653" w:type="pct"/>
            <w:shd w:val="clear" w:color="auto" w:fill="auto"/>
          </w:tcPr>
          <w:p w14:paraId="44C2ADD6" w14:textId="2441F222" w:rsidR="0013492B" w:rsidRPr="00C32CCF" w:rsidRDefault="0013492B" w:rsidP="000634CA">
            <w:pPr>
              <w:pStyle w:val="TableText"/>
              <w:jc w:val="right"/>
              <w:rPr>
                <w:highlight w:val="yellow"/>
              </w:rPr>
            </w:pPr>
            <w:r>
              <w:rPr>
                <w:rFonts w:ascii="Calibri" w:hAnsi="Calibri"/>
                <w:color w:val="000000"/>
                <w:szCs w:val="18"/>
              </w:rPr>
              <w:t>0</w:t>
            </w:r>
          </w:p>
        </w:tc>
      </w:tr>
      <w:tr w:rsidR="0013492B" w:rsidRPr="009213D8" w14:paraId="2A94C9B4" w14:textId="77777777" w:rsidTr="004C1CBD">
        <w:tc>
          <w:tcPr>
            <w:tcW w:w="689" w:type="pct"/>
            <w:vMerge/>
          </w:tcPr>
          <w:p w14:paraId="79DE369B" w14:textId="77777777" w:rsidR="0013492B" w:rsidRPr="009213D8" w:rsidRDefault="0013492B" w:rsidP="006F1DEE">
            <w:pPr>
              <w:pStyle w:val="TableText"/>
            </w:pPr>
          </w:p>
        </w:tc>
        <w:tc>
          <w:tcPr>
            <w:tcW w:w="613" w:type="pct"/>
            <w:shd w:val="clear" w:color="auto" w:fill="auto"/>
          </w:tcPr>
          <w:p w14:paraId="5CE1CDB8" w14:textId="314F2229" w:rsidR="0013492B" w:rsidRPr="005A660F" w:rsidRDefault="00F700D1" w:rsidP="006F1DEE">
            <w:pPr>
              <w:pStyle w:val="TableText"/>
              <w:rPr>
                <w:rFonts w:cstheme="minorHAnsi"/>
              </w:rPr>
            </w:pPr>
            <w:r>
              <w:rPr>
                <w:rFonts w:cstheme="minorHAnsi"/>
              </w:rPr>
              <w:t>–</w:t>
            </w:r>
          </w:p>
        </w:tc>
        <w:tc>
          <w:tcPr>
            <w:tcW w:w="1378" w:type="pct"/>
            <w:shd w:val="clear" w:color="auto" w:fill="auto"/>
          </w:tcPr>
          <w:p w14:paraId="5D9DFDF5" w14:textId="0D76F74C" w:rsidR="0013492B" w:rsidRPr="005A660F" w:rsidRDefault="0013492B" w:rsidP="006F1DEE">
            <w:pPr>
              <w:pStyle w:val="TableText"/>
            </w:pPr>
            <w:r w:rsidRPr="005A660F">
              <w:t>Out-of-office fee outside ordinary hours – weekday for non-continuous activity provided before or after ordinary hours only</w:t>
            </w:r>
          </w:p>
        </w:tc>
        <w:tc>
          <w:tcPr>
            <w:tcW w:w="655" w:type="pct"/>
            <w:shd w:val="clear" w:color="auto" w:fill="auto"/>
          </w:tcPr>
          <w:p w14:paraId="11249259" w14:textId="7F1BB0AE" w:rsidR="0013492B" w:rsidRPr="009213D8" w:rsidRDefault="0013492B" w:rsidP="006F1DEE">
            <w:pPr>
              <w:pStyle w:val="TableText"/>
            </w:pPr>
            <w:r w:rsidRPr="009213D8">
              <w:t>Per 30 minutes</w:t>
            </w:r>
          </w:p>
        </w:tc>
        <w:tc>
          <w:tcPr>
            <w:tcW w:w="417" w:type="pct"/>
            <w:shd w:val="clear" w:color="auto" w:fill="auto"/>
          </w:tcPr>
          <w:p w14:paraId="430F1ADA" w14:textId="333C5F22" w:rsidR="0013492B" w:rsidRPr="001825A7" w:rsidRDefault="0013492B" w:rsidP="000634CA">
            <w:pPr>
              <w:pStyle w:val="TableText"/>
              <w:jc w:val="right"/>
            </w:pPr>
            <w:r>
              <w:rPr>
                <w:rFonts w:ascii="Calibri" w:hAnsi="Calibri"/>
                <w:color w:val="000000"/>
                <w:szCs w:val="18"/>
              </w:rPr>
              <w:t>166</w:t>
            </w:r>
          </w:p>
        </w:tc>
        <w:tc>
          <w:tcPr>
            <w:tcW w:w="595" w:type="pct"/>
            <w:shd w:val="clear" w:color="auto" w:fill="auto"/>
          </w:tcPr>
          <w:p w14:paraId="3585F1B7" w14:textId="2E1A61B6" w:rsidR="0013492B" w:rsidRPr="00C32CCF" w:rsidRDefault="0013492B" w:rsidP="000634CA">
            <w:pPr>
              <w:pStyle w:val="TableText"/>
              <w:jc w:val="right"/>
              <w:rPr>
                <w:rFonts w:ascii="Calibri" w:hAnsi="Calibri"/>
                <w:color w:val="000000"/>
                <w:szCs w:val="18"/>
              </w:rPr>
            </w:pPr>
            <w:r>
              <w:rPr>
                <w:rFonts w:ascii="Calibri" w:hAnsi="Calibri"/>
                <w:color w:val="000000"/>
                <w:szCs w:val="18"/>
              </w:rPr>
              <w:t>0</w:t>
            </w:r>
          </w:p>
        </w:tc>
        <w:tc>
          <w:tcPr>
            <w:tcW w:w="653" w:type="pct"/>
            <w:shd w:val="clear" w:color="auto" w:fill="auto"/>
          </w:tcPr>
          <w:p w14:paraId="6E96CF1F" w14:textId="10F2CDF5" w:rsidR="0013492B" w:rsidRPr="00C32CCF" w:rsidRDefault="0013492B" w:rsidP="000634CA">
            <w:pPr>
              <w:pStyle w:val="TableText"/>
              <w:jc w:val="right"/>
              <w:rPr>
                <w:highlight w:val="yellow"/>
              </w:rPr>
            </w:pPr>
            <w:r>
              <w:rPr>
                <w:rFonts w:ascii="Calibri" w:hAnsi="Calibri"/>
                <w:color w:val="000000"/>
                <w:szCs w:val="18"/>
              </w:rPr>
              <w:t>0</w:t>
            </w:r>
          </w:p>
        </w:tc>
      </w:tr>
      <w:tr w:rsidR="0013492B" w:rsidRPr="009213D8" w14:paraId="239134B4" w14:textId="77777777" w:rsidTr="004C1CBD">
        <w:tc>
          <w:tcPr>
            <w:tcW w:w="689" w:type="pct"/>
            <w:vMerge/>
          </w:tcPr>
          <w:p w14:paraId="7E673AAB" w14:textId="77777777" w:rsidR="0013492B" w:rsidRPr="009213D8" w:rsidRDefault="0013492B" w:rsidP="006F1DEE">
            <w:pPr>
              <w:pStyle w:val="TableText"/>
            </w:pPr>
          </w:p>
        </w:tc>
        <w:tc>
          <w:tcPr>
            <w:tcW w:w="613" w:type="pct"/>
            <w:shd w:val="clear" w:color="auto" w:fill="auto"/>
          </w:tcPr>
          <w:p w14:paraId="5942AB81" w14:textId="43BFB8D0" w:rsidR="0013492B" w:rsidRPr="005A660F" w:rsidRDefault="00F700D1" w:rsidP="006F1DEE">
            <w:pPr>
              <w:pStyle w:val="TableText"/>
              <w:rPr>
                <w:rFonts w:cstheme="minorHAnsi"/>
              </w:rPr>
            </w:pPr>
            <w:r>
              <w:rPr>
                <w:rFonts w:cstheme="minorHAnsi"/>
              </w:rPr>
              <w:t>–</w:t>
            </w:r>
          </w:p>
        </w:tc>
        <w:tc>
          <w:tcPr>
            <w:tcW w:w="1378" w:type="pct"/>
            <w:shd w:val="clear" w:color="auto" w:fill="auto"/>
          </w:tcPr>
          <w:p w14:paraId="6DBA5797" w14:textId="5CDBD986" w:rsidR="0013492B" w:rsidRPr="005A660F" w:rsidRDefault="0013492B" w:rsidP="006F1DEE">
            <w:pPr>
              <w:pStyle w:val="TableText"/>
            </w:pPr>
            <w:bookmarkStart w:id="144" w:name="_Hlk163721848"/>
            <w:r w:rsidRPr="005A660F">
              <w:t xml:space="preserve">Out-of-office fee outside ordinary hours </w:t>
            </w:r>
            <w:bookmarkEnd w:id="144"/>
            <w:r w:rsidRPr="005A660F">
              <w:t>– weekend or departmental holiday</w:t>
            </w:r>
          </w:p>
        </w:tc>
        <w:tc>
          <w:tcPr>
            <w:tcW w:w="655" w:type="pct"/>
            <w:shd w:val="clear" w:color="auto" w:fill="auto"/>
          </w:tcPr>
          <w:p w14:paraId="20BF32FE" w14:textId="154395F0" w:rsidR="0013492B" w:rsidRPr="009213D8" w:rsidRDefault="0013492B" w:rsidP="006F1DEE">
            <w:pPr>
              <w:pStyle w:val="TableText"/>
            </w:pPr>
            <w:r w:rsidRPr="009213D8">
              <w:t>Per 30 minutes</w:t>
            </w:r>
          </w:p>
        </w:tc>
        <w:tc>
          <w:tcPr>
            <w:tcW w:w="417" w:type="pct"/>
            <w:shd w:val="clear" w:color="auto" w:fill="auto"/>
          </w:tcPr>
          <w:p w14:paraId="62140CEB" w14:textId="762B31C5" w:rsidR="0013492B" w:rsidRPr="001825A7" w:rsidRDefault="0013492B" w:rsidP="000634CA">
            <w:pPr>
              <w:pStyle w:val="TableText"/>
              <w:jc w:val="right"/>
            </w:pPr>
            <w:r>
              <w:rPr>
                <w:rFonts w:ascii="Calibri" w:hAnsi="Calibri"/>
                <w:color w:val="000000"/>
                <w:szCs w:val="18"/>
              </w:rPr>
              <w:t>176</w:t>
            </w:r>
          </w:p>
        </w:tc>
        <w:tc>
          <w:tcPr>
            <w:tcW w:w="595" w:type="pct"/>
            <w:shd w:val="clear" w:color="auto" w:fill="auto"/>
          </w:tcPr>
          <w:p w14:paraId="36407AA0" w14:textId="722158D6" w:rsidR="0013492B" w:rsidRPr="00C32CCF" w:rsidRDefault="0013492B" w:rsidP="000634CA">
            <w:pPr>
              <w:pStyle w:val="TableText"/>
              <w:jc w:val="right"/>
              <w:rPr>
                <w:rFonts w:ascii="Calibri" w:hAnsi="Calibri"/>
                <w:color w:val="000000"/>
                <w:szCs w:val="18"/>
              </w:rPr>
            </w:pPr>
            <w:r>
              <w:rPr>
                <w:rFonts w:ascii="Calibri" w:hAnsi="Calibri"/>
                <w:color w:val="000000"/>
                <w:szCs w:val="18"/>
              </w:rPr>
              <w:t>0</w:t>
            </w:r>
          </w:p>
        </w:tc>
        <w:tc>
          <w:tcPr>
            <w:tcW w:w="653" w:type="pct"/>
            <w:shd w:val="clear" w:color="auto" w:fill="auto"/>
          </w:tcPr>
          <w:p w14:paraId="62AD0B23" w14:textId="4DD3EE0B" w:rsidR="0013492B" w:rsidRPr="00C32CCF" w:rsidRDefault="0013492B" w:rsidP="000634CA">
            <w:pPr>
              <w:pStyle w:val="TableText"/>
              <w:jc w:val="right"/>
              <w:rPr>
                <w:highlight w:val="yellow"/>
              </w:rPr>
            </w:pPr>
            <w:r>
              <w:rPr>
                <w:rFonts w:ascii="Calibri" w:hAnsi="Calibri"/>
                <w:color w:val="000000"/>
                <w:szCs w:val="18"/>
              </w:rPr>
              <w:t>0</w:t>
            </w:r>
          </w:p>
        </w:tc>
      </w:tr>
      <w:tr w:rsidR="0013492B" w:rsidRPr="009213D8" w14:paraId="149A9554" w14:textId="77777777" w:rsidTr="004C1CBD">
        <w:tc>
          <w:tcPr>
            <w:tcW w:w="689" w:type="pct"/>
            <w:vMerge/>
          </w:tcPr>
          <w:p w14:paraId="31B57C93" w14:textId="77777777" w:rsidR="0013492B" w:rsidRPr="009213D8" w:rsidRDefault="0013492B" w:rsidP="006F1DEE">
            <w:pPr>
              <w:pStyle w:val="TableText"/>
            </w:pPr>
          </w:p>
        </w:tc>
        <w:tc>
          <w:tcPr>
            <w:tcW w:w="613" w:type="pct"/>
            <w:shd w:val="clear" w:color="auto" w:fill="auto"/>
          </w:tcPr>
          <w:p w14:paraId="1A78E767" w14:textId="093CF2D1" w:rsidR="0013492B" w:rsidRPr="005A660F" w:rsidRDefault="00F700D1" w:rsidP="006F1DEE">
            <w:pPr>
              <w:pStyle w:val="TableText"/>
              <w:rPr>
                <w:rFonts w:cstheme="minorHAnsi"/>
              </w:rPr>
            </w:pPr>
            <w:r>
              <w:rPr>
                <w:rFonts w:cstheme="minorHAnsi"/>
              </w:rPr>
              <w:t>–</w:t>
            </w:r>
          </w:p>
        </w:tc>
        <w:tc>
          <w:tcPr>
            <w:tcW w:w="1378" w:type="pct"/>
            <w:shd w:val="clear" w:color="auto" w:fill="auto"/>
          </w:tcPr>
          <w:p w14:paraId="2B520AC9" w14:textId="30FF8EAB" w:rsidR="0013492B" w:rsidRPr="005A660F" w:rsidRDefault="0013492B" w:rsidP="006F1DEE">
            <w:pPr>
              <w:pStyle w:val="TableText"/>
            </w:pPr>
            <w:r w:rsidRPr="005A660F">
              <w:t>Out-of-office fee outside ordinary hours – weekend or departmental holiday after the first 30 minutes</w:t>
            </w:r>
          </w:p>
        </w:tc>
        <w:tc>
          <w:tcPr>
            <w:tcW w:w="655" w:type="pct"/>
            <w:shd w:val="clear" w:color="auto" w:fill="auto"/>
          </w:tcPr>
          <w:p w14:paraId="0574913C" w14:textId="63AE6F11" w:rsidR="0013492B" w:rsidRPr="009213D8" w:rsidRDefault="0013492B" w:rsidP="006F1DEE">
            <w:pPr>
              <w:pStyle w:val="TableText"/>
            </w:pPr>
            <w:r w:rsidRPr="009213D8">
              <w:t>Per 15 minutes</w:t>
            </w:r>
          </w:p>
        </w:tc>
        <w:tc>
          <w:tcPr>
            <w:tcW w:w="417" w:type="pct"/>
            <w:shd w:val="clear" w:color="auto" w:fill="auto"/>
          </w:tcPr>
          <w:p w14:paraId="63F45C36" w14:textId="0A5C7BC6" w:rsidR="0013492B" w:rsidRPr="001825A7" w:rsidRDefault="0013492B" w:rsidP="000634CA">
            <w:pPr>
              <w:pStyle w:val="TableText"/>
              <w:jc w:val="right"/>
            </w:pPr>
            <w:r>
              <w:rPr>
                <w:rFonts w:ascii="Calibri" w:hAnsi="Calibri"/>
                <w:color w:val="000000"/>
                <w:szCs w:val="18"/>
              </w:rPr>
              <w:t>88</w:t>
            </w:r>
          </w:p>
        </w:tc>
        <w:tc>
          <w:tcPr>
            <w:tcW w:w="595" w:type="pct"/>
            <w:shd w:val="clear" w:color="auto" w:fill="auto"/>
          </w:tcPr>
          <w:p w14:paraId="308268A9" w14:textId="190501BF" w:rsidR="0013492B" w:rsidRPr="00C32CCF" w:rsidRDefault="0013492B" w:rsidP="000634CA">
            <w:pPr>
              <w:pStyle w:val="TableText"/>
              <w:jc w:val="right"/>
              <w:rPr>
                <w:rFonts w:ascii="Calibri" w:hAnsi="Calibri"/>
                <w:color w:val="000000"/>
                <w:szCs w:val="18"/>
              </w:rPr>
            </w:pPr>
            <w:r>
              <w:rPr>
                <w:rFonts w:ascii="Calibri" w:hAnsi="Calibri"/>
                <w:color w:val="000000"/>
                <w:szCs w:val="18"/>
              </w:rPr>
              <w:t>0</w:t>
            </w:r>
          </w:p>
        </w:tc>
        <w:tc>
          <w:tcPr>
            <w:tcW w:w="653" w:type="pct"/>
            <w:shd w:val="clear" w:color="auto" w:fill="auto"/>
          </w:tcPr>
          <w:p w14:paraId="15F5DFE2" w14:textId="5660051F" w:rsidR="0013492B" w:rsidRPr="00C32CCF" w:rsidRDefault="0013492B" w:rsidP="000634CA">
            <w:pPr>
              <w:pStyle w:val="TableText"/>
              <w:jc w:val="right"/>
              <w:rPr>
                <w:highlight w:val="yellow"/>
              </w:rPr>
            </w:pPr>
            <w:r>
              <w:rPr>
                <w:rFonts w:ascii="Calibri" w:hAnsi="Calibri"/>
                <w:color w:val="000000"/>
                <w:szCs w:val="18"/>
              </w:rPr>
              <w:t>0</w:t>
            </w:r>
          </w:p>
        </w:tc>
      </w:tr>
      <w:tr w:rsidR="0013492B" w:rsidRPr="009213D8" w14:paraId="10FC8171" w14:textId="77777777" w:rsidTr="004C1CBD">
        <w:tc>
          <w:tcPr>
            <w:tcW w:w="689" w:type="pct"/>
            <w:vMerge/>
          </w:tcPr>
          <w:p w14:paraId="276F9F36" w14:textId="77777777" w:rsidR="0013492B" w:rsidRPr="009213D8" w:rsidRDefault="0013492B" w:rsidP="006F1DEE">
            <w:pPr>
              <w:pStyle w:val="TableText"/>
            </w:pPr>
          </w:p>
        </w:tc>
        <w:tc>
          <w:tcPr>
            <w:tcW w:w="613" w:type="pct"/>
            <w:shd w:val="clear" w:color="auto" w:fill="auto"/>
          </w:tcPr>
          <w:p w14:paraId="003B8FE5" w14:textId="7174E4C3" w:rsidR="0013492B" w:rsidRPr="005A660F" w:rsidRDefault="0013492B" w:rsidP="006F1DEE">
            <w:pPr>
              <w:pStyle w:val="TableText"/>
              <w:rPr>
                <w:rFonts w:cstheme="minorHAnsi"/>
              </w:rPr>
            </w:pPr>
            <w:r w:rsidRPr="005A660F">
              <w:rPr>
                <w:rFonts w:cstheme="minorHAnsi"/>
              </w:rPr>
              <w:t>At cost</w:t>
            </w:r>
          </w:p>
        </w:tc>
        <w:tc>
          <w:tcPr>
            <w:tcW w:w="1378" w:type="pct"/>
            <w:shd w:val="clear" w:color="auto" w:fill="auto"/>
          </w:tcPr>
          <w:p w14:paraId="080BFD4A" w14:textId="1559E999" w:rsidR="0013492B" w:rsidRPr="005A660F" w:rsidRDefault="0013492B" w:rsidP="006F1DEE">
            <w:pPr>
              <w:pStyle w:val="TableText"/>
            </w:pPr>
            <w:r w:rsidRPr="005A660F">
              <w:t>Treatment – fumigation of commodity or import</w:t>
            </w:r>
          </w:p>
        </w:tc>
        <w:tc>
          <w:tcPr>
            <w:tcW w:w="655" w:type="pct"/>
            <w:shd w:val="clear" w:color="auto" w:fill="auto"/>
          </w:tcPr>
          <w:p w14:paraId="4F00C318" w14:textId="5EE8EAAE" w:rsidR="0013492B" w:rsidRPr="009213D8" w:rsidRDefault="0013492B" w:rsidP="006F1DEE">
            <w:pPr>
              <w:pStyle w:val="TableText"/>
            </w:pPr>
            <w:r w:rsidRPr="009213D8">
              <w:t>Per treatment</w:t>
            </w:r>
          </w:p>
        </w:tc>
        <w:tc>
          <w:tcPr>
            <w:tcW w:w="417" w:type="pct"/>
            <w:shd w:val="clear" w:color="auto" w:fill="auto"/>
          </w:tcPr>
          <w:p w14:paraId="6B49554F" w14:textId="6FA9E4E3" w:rsidR="0013492B" w:rsidRPr="001825A7" w:rsidRDefault="0013492B" w:rsidP="000634CA">
            <w:pPr>
              <w:pStyle w:val="TableText"/>
              <w:jc w:val="right"/>
              <w:rPr>
                <w:highlight w:val="yellow"/>
              </w:rPr>
            </w:pPr>
            <w:r>
              <w:rPr>
                <w:rFonts w:ascii="Calibri" w:hAnsi="Calibri"/>
                <w:color w:val="000000"/>
                <w:szCs w:val="18"/>
              </w:rPr>
              <w:t>9</w:t>
            </w:r>
            <w:r w:rsidR="009C17CB">
              <w:rPr>
                <w:rFonts w:ascii="Calibri" w:hAnsi="Calibri"/>
                <w:color w:val="000000"/>
                <w:szCs w:val="18"/>
              </w:rPr>
              <w:t>4</w:t>
            </w:r>
          </w:p>
        </w:tc>
        <w:tc>
          <w:tcPr>
            <w:tcW w:w="595" w:type="pct"/>
            <w:shd w:val="clear" w:color="auto" w:fill="auto"/>
          </w:tcPr>
          <w:p w14:paraId="775AB44D" w14:textId="318BBD02" w:rsidR="0013492B" w:rsidRPr="00C32CCF" w:rsidDel="009E47BC" w:rsidRDefault="0013492B" w:rsidP="000634CA">
            <w:pPr>
              <w:pStyle w:val="TableText"/>
              <w:jc w:val="right"/>
              <w:rPr>
                <w:rFonts w:ascii="Calibri" w:hAnsi="Calibri"/>
                <w:color w:val="000000"/>
                <w:szCs w:val="18"/>
              </w:rPr>
            </w:pPr>
            <w:r>
              <w:rPr>
                <w:rFonts w:ascii="Calibri" w:hAnsi="Calibri"/>
                <w:color w:val="000000"/>
                <w:szCs w:val="18"/>
              </w:rPr>
              <w:t>457</w:t>
            </w:r>
          </w:p>
        </w:tc>
        <w:tc>
          <w:tcPr>
            <w:tcW w:w="653" w:type="pct"/>
            <w:shd w:val="clear" w:color="auto" w:fill="auto"/>
          </w:tcPr>
          <w:p w14:paraId="6DC3F0DF" w14:textId="21FEB8BD" w:rsidR="0013492B" w:rsidRPr="00D43FF8" w:rsidDel="009E47BC" w:rsidRDefault="0013492B" w:rsidP="000634CA">
            <w:pPr>
              <w:pStyle w:val="TableText"/>
              <w:jc w:val="right"/>
              <w:rPr>
                <w:highlight w:val="yellow"/>
              </w:rPr>
            </w:pPr>
            <w:r>
              <w:rPr>
                <w:rFonts w:ascii="Calibri" w:hAnsi="Calibri"/>
                <w:color w:val="000000"/>
                <w:szCs w:val="18"/>
              </w:rPr>
              <w:t>4</w:t>
            </w:r>
            <w:r w:rsidR="009C17CB">
              <w:rPr>
                <w:rFonts w:ascii="Calibri" w:hAnsi="Calibri"/>
                <w:color w:val="000000"/>
                <w:szCs w:val="18"/>
              </w:rPr>
              <w:t>2</w:t>
            </w:r>
            <w:r>
              <w:rPr>
                <w:rFonts w:ascii="Calibri" w:hAnsi="Calibri"/>
                <w:color w:val="000000"/>
                <w:szCs w:val="18"/>
              </w:rPr>
              <w:t>,</w:t>
            </w:r>
            <w:r w:rsidR="009C17CB">
              <w:rPr>
                <w:rFonts w:ascii="Calibri" w:hAnsi="Calibri"/>
                <w:color w:val="000000"/>
                <w:szCs w:val="18"/>
              </w:rPr>
              <w:t>958</w:t>
            </w:r>
          </w:p>
        </w:tc>
      </w:tr>
      <w:tr w:rsidR="0013492B" w:rsidRPr="009213D8" w14:paraId="59B08CEC" w14:textId="77777777" w:rsidTr="004C1CBD">
        <w:tc>
          <w:tcPr>
            <w:tcW w:w="689" w:type="pct"/>
            <w:vMerge/>
          </w:tcPr>
          <w:p w14:paraId="680E33FF" w14:textId="77777777" w:rsidR="0013492B" w:rsidRPr="009213D8" w:rsidRDefault="0013492B" w:rsidP="006F1DEE">
            <w:pPr>
              <w:pStyle w:val="TableText"/>
            </w:pPr>
          </w:p>
        </w:tc>
        <w:tc>
          <w:tcPr>
            <w:tcW w:w="613" w:type="pct"/>
            <w:shd w:val="clear" w:color="auto" w:fill="auto"/>
          </w:tcPr>
          <w:p w14:paraId="03EDA5CB" w14:textId="13DE55AF" w:rsidR="0013492B" w:rsidRPr="005A660F" w:rsidRDefault="0013492B" w:rsidP="006F1DEE">
            <w:pPr>
              <w:pStyle w:val="TableText"/>
              <w:rPr>
                <w:rFonts w:cstheme="minorHAnsi"/>
              </w:rPr>
            </w:pPr>
            <w:r w:rsidRPr="005A660F">
              <w:rPr>
                <w:rFonts w:cstheme="minorHAnsi"/>
              </w:rPr>
              <w:t>At cost</w:t>
            </w:r>
          </w:p>
        </w:tc>
        <w:tc>
          <w:tcPr>
            <w:tcW w:w="1378" w:type="pct"/>
            <w:shd w:val="clear" w:color="auto" w:fill="auto"/>
          </w:tcPr>
          <w:p w14:paraId="4EFDFC4A" w14:textId="0C0C1F57" w:rsidR="0013492B" w:rsidRPr="005A660F" w:rsidRDefault="0013492B" w:rsidP="006F1DEE">
            <w:pPr>
              <w:pStyle w:val="TableText"/>
            </w:pPr>
            <w:r w:rsidRPr="005A660F">
              <w:t>Treatment – Re-export or return to sender of item</w:t>
            </w:r>
          </w:p>
        </w:tc>
        <w:tc>
          <w:tcPr>
            <w:tcW w:w="655" w:type="pct"/>
            <w:shd w:val="clear" w:color="auto" w:fill="auto"/>
          </w:tcPr>
          <w:p w14:paraId="00C48EC9" w14:textId="33B41383" w:rsidR="0013492B" w:rsidRPr="009213D8" w:rsidRDefault="0013492B" w:rsidP="006F1DEE">
            <w:pPr>
              <w:pStyle w:val="TableText"/>
            </w:pPr>
            <w:r w:rsidRPr="009213D8">
              <w:t>Per item</w:t>
            </w:r>
          </w:p>
        </w:tc>
        <w:tc>
          <w:tcPr>
            <w:tcW w:w="417" w:type="pct"/>
            <w:shd w:val="clear" w:color="auto" w:fill="auto"/>
          </w:tcPr>
          <w:p w14:paraId="0FA657B7" w14:textId="23120E55" w:rsidR="0013492B" w:rsidRPr="001825A7" w:rsidRDefault="0013492B" w:rsidP="000634CA">
            <w:pPr>
              <w:pStyle w:val="TableText"/>
              <w:jc w:val="right"/>
              <w:rPr>
                <w:highlight w:val="yellow"/>
              </w:rPr>
            </w:pPr>
            <w:r>
              <w:rPr>
                <w:rFonts w:ascii="Calibri" w:hAnsi="Calibri"/>
                <w:color w:val="000000"/>
                <w:szCs w:val="18"/>
              </w:rPr>
              <w:t>12</w:t>
            </w:r>
            <w:r w:rsidR="009C17CB">
              <w:rPr>
                <w:rFonts w:ascii="Calibri" w:hAnsi="Calibri"/>
                <w:color w:val="000000"/>
                <w:szCs w:val="18"/>
              </w:rPr>
              <w:t>5</w:t>
            </w:r>
          </w:p>
        </w:tc>
        <w:tc>
          <w:tcPr>
            <w:tcW w:w="595" w:type="pct"/>
            <w:shd w:val="clear" w:color="auto" w:fill="auto"/>
          </w:tcPr>
          <w:p w14:paraId="7B7FBEC7" w14:textId="24CC8019" w:rsidR="0013492B" w:rsidRPr="00C32CCF" w:rsidDel="009E47BC" w:rsidRDefault="0013492B" w:rsidP="000634CA">
            <w:pPr>
              <w:pStyle w:val="TableText"/>
              <w:jc w:val="right"/>
              <w:rPr>
                <w:rFonts w:ascii="Calibri" w:hAnsi="Calibri"/>
                <w:color w:val="000000"/>
                <w:szCs w:val="18"/>
              </w:rPr>
            </w:pPr>
            <w:r>
              <w:rPr>
                <w:rFonts w:ascii="Calibri" w:hAnsi="Calibri"/>
                <w:color w:val="000000"/>
                <w:szCs w:val="18"/>
              </w:rPr>
              <w:t>2</w:t>
            </w:r>
          </w:p>
        </w:tc>
        <w:tc>
          <w:tcPr>
            <w:tcW w:w="653" w:type="pct"/>
            <w:shd w:val="clear" w:color="auto" w:fill="auto"/>
          </w:tcPr>
          <w:p w14:paraId="6EC6BF94" w14:textId="0DFEAEBF" w:rsidR="0013492B" w:rsidRPr="00D43FF8" w:rsidDel="009E47BC" w:rsidRDefault="0013492B" w:rsidP="000634CA">
            <w:pPr>
              <w:pStyle w:val="TableText"/>
              <w:jc w:val="right"/>
              <w:rPr>
                <w:highlight w:val="yellow"/>
              </w:rPr>
            </w:pPr>
            <w:r>
              <w:rPr>
                <w:rFonts w:ascii="Calibri" w:hAnsi="Calibri"/>
                <w:color w:val="000000"/>
                <w:szCs w:val="18"/>
              </w:rPr>
              <w:t>25</w:t>
            </w:r>
            <w:r w:rsidR="009C17CB">
              <w:rPr>
                <w:rFonts w:ascii="Calibri" w:hAnsi="Calibri"/>
                <w:color w:val="000000"/>
                <w:szCs w:val="18"/>
              </w:rPr>
              <w:t>0</w:t>
            </w:r>
          </w:p>
        </w:tc>
      </w:tr>
      <w:tr w:rsidR="0013492B" w:rsidRPr="009213D8" w14:paraId="65A3B6BA" w14:textId="77777777" w:rsidTr="004C1CBD">
        <w:tc>
          <w:tcPr>
            <w:tcW w:w="689" w:type="pct"/>
            <w:vMerge w:val="restart"/>
          </w:tcPr>
          <w:p w14:paraId="0F6EDAE9" w14:textId="57CE48D5" w:rsidR="0013492B" w:rsidRPr="009213D8" w:rsidRDefault="0013492B" w:rsidP="006F1DEE">
            <w:pPr>
              <w:pStyle w:val="TableText"/>
            </w:pPr>
            <w:r w:rsidRPr="009213D8">
              <w:t xml:space="preserve">Fee for service </w:t>
            </w:r>
            <w:r w:rsidR="005114E6">
              <w:t>–</w:t>
            </w:r>
            <w:r w:rsidRPr="009213D8">
              <w:t xml:space="preserve"> husbandry</w:t>
            </w:r>
          </w:p>
        </w:tc>
        <w:tc>
          <w:tcPr>
            <w:tcW w:w="613" w:type="pct"/>
            <w:shd w:val="clear" w:color="auto" w:fill="auto"/>
          </w:tcPr>
          <w:p w14:paraId="2AD0C628" w14:textId="4E5C6B1C" w:rsidR="0013492B" w:rsidRPr="005A660F" w:rsidRDefault="00F700D1" w:rsidP="006F1DEE">
            <w:pPr>
              <w:pStyle w:val="TableText"/>
              <w:rPr>
                <w:rFonts w:cstheme="minorHAnsi"/>
              </w:rPr>
            </w:pPr>
            <w:r>
              <w:rPr>
                <w:rFonts w:cstheme="minorHAnsi"/>
              </w:rPr>
              <w:t>–</w:t>
            </w:r>
          </w:p>
        </w:tc>
        <w:tc>
          <w:tcPr>
            <w:tcW w:w="1378" w:type="pct"/>
            <w:shd w:val="clear" w:color="auto" w:fill="auto"/>
          </w:tcPr>
          <w:p w14:paraId="264EB823" w14:textId="0E769CA4" w:rsidR="0013492B" w:rsidRPr="005A660F" w:rsidRDefault="0013492B" w:rsidP="006F1DEE">
            <w:pPr>
              <w:pStyle w:val="TableText"/>
            </w:pPr>
            <w:r w:rsidRPr="005A660F">
              <w:t>Husbandry fee – horses that overstay the initial 14</w:t>
            </w:r>
            <w:r w:rsidRPr="005A660F">
              <w:noBreakHyphen/>
              <w:t>day period</w:t>
            </w:r>
          </w:p>
        </w:tc>
        <w:tc>
          <w:tcPr>
            <w:tcW w:w="655" w:type="pct"/>
            <w:shd w:val="clear" w:color="auto" w:fill="auto"/>
          </w:tcPr>
          <w:p w14:paraId="34FAD4C2" w14:textId="0C114C91" w:rsidR="0013492B" w:rsidRPr="009213D8" w:rsidRDefault="0013492B" w:rsidP="006F1DEE">
            <w:pPr>
              <w:pStyle w:val="TableText"/>
            </w:pPr>
            <w:r w:rsidRPr="009213D8">
              <w:t>Per animal per day over 14 days</w:t>
            </w:r>
          </w:p>
        </w:tc>
        <w:tc>
          <w:tcPr>
            <w:tcW w:w="417" w:type="pct"/>
            <w:shd w:val="clear" w:color="auto" w:fill="auto"/>
          </w:tcPr>
          <w:p w14:paraId="15C0D93E" w14:textId="617B49E3" w:rsidR="0013492B" w:rsidRPr="001825A7" w:rsidRDefault="0013492B" w:rsidP="000634CA">
            <w:pPr>
              <w:pStyle w:val="TableText"/>
              <w:jc w:val="right"/>
            </w:pPr>
            <w:r>
              <w:rPr>
                <w:rFonts w:ascii="Calibri" w:hAnsi="Calibri"/>
                <w:color w:val="000000"/>
                <w:szCs w:val="18"/>
              </w:rPr>
              <w:t>46</w:t>
            </w:r>
          </w:p>
        </w:tc>
        <w:tc>
          <w:tcPr>
            <w:tcW w:w="595" w:type="pct"/>
            <w:shd w:val="clear" w:color="auto" w:fill="auto"/>
          </w:tcPr>
          <w:p w14:paraId="225ACCEF" w14:textId="51CE7151" w:rsidR="0013492B" w:rsidRPr="00C32CCF" w:rsidRDefault="0013492B" w:rsidP="000634CA">
            <w:pPr>
              <w:pStyle w:val="TableText"/>
              <w:jc w:val="right"/>
              <w:rPr>
                <w:rFonts w:ascii="Calibri" w:hAnsi="Calibri"/>
                <w:color w:val="000000"/>
                <w:szCs w:val="18"/>
              </w:rPr>
            </w:pPr>
            <w:r>
              <w:rPr>
                <w:rFonts w:ascii="Calibri" w:hAnsi="Calibri"/>
                <w:color w:val="000000"/>
                <w:szCs w:val="18"/>
              </w:rPr>
              <w:t>0</w:t>
            </w:r>
          </w:p>
        </w:tc>
        <w:tc>
          <w:tcPr>
            <w:tcW w:w="653" w:type="pct"/>
            <w:shd w:val="clear" w:color="auto" w:fill="auto"/>
          </w:tcPr>
          <w:p w14:paraId="1074A327" w14:textId="464E2225" w:rsidR="0013492B" w:rsidRPr="00C32CCF" w:rsidRDefault="0013492B" w:rsidP="000634CA">
            <w:pPr>
              <w:pStyle w:val="TableText"/>
              <w:jc w:val="right"/>
              <w:rPr>
                <w:highlight w:val="yellow"/>
              </w:rPr>
            </w:pPr>
            <w:r>
              <w:rPr>
                <w:rFonts w:ascii="Calibri" w:hAnsi="Calibri"/>
                <w:color w:val="000000"/>
                <w:szCs w:val="18"/>
              </w:rPr>
              <w:t>0</w:t>
            </w:r>
          </w:p>
        </w:tc>
      </w:tr>
      <w:tr w:rsidR="0013492B" w:rsidRPr="009213D8" w14:paraId="756D6AD7" w14:textId="77777777" w:rsidTr="004C1CBD">
        <w:tc>
          <w:tcPr>
            <w:tcW w:w="689" w:type="pct"/>
            <w:vMerge/>
          </w:tcPr>
          <w:p w14:paraId="6332A396" w14:textId="77777777" w:rsidR="0013492B" w:rsidRPr="009213D8" w:rsidRDefault="0013492B" w:rsidP="006F1DEE">
            <w:pPr>
              <w:pStyle w:val="TableText"/>
            </w:pPr>
          </w:p>
        </w:tc>
        <w:tc>
          <w:tcPr>
            <w:tcW w:w="613" w:type="pct"/>
            <w:shd w:val="clear" w:color="auto" w:fill="auto"/>
          </w:tcPr>
          <w:p w14:paraId="28BAA628" w14:textId="0F36B387" w:rsidR="0013492B" w:rsidRPr="00625F72" w:rsidRDefault="00F700D1" w:rsidP="006F1DEE">
            <w:pPr>
              <w:pStyle w:val="TableText"/>
              <w:rPr>
                <w:rFonts w:cstheme="minorHAnsi"/>
              </w:rPr>
            </w:pPr>
            <w:r>
              <w:rPr>
                <w:rFonts w:cstheme="minorHAnsi"/>
              </w:rPr>
              <w:t>–</w:t>
            </w:r>
          </w:p>
        </w:tc>
        <w:tc>
          <w:tcPr>
            <w:tcW w:w="1378" w:type="pct"/>
            <w:shd w:val="clear" w:color="auto" w:fill="auto"/>
          </w:tcPr>
          <w:p w14:paraId="1B851F41" w14:textId="53898E10" w:rsidR="0013492B" w:rsidRPr="00625F72" w:rsidRDefault="0013492B" w:rsidP="006F1DEE">
            <w:pPr>
              <w:pStyle w:val="TableText"/>
            </w:pPr>
            <w:r w:rsidRPr="00625F72">
              <w:t>Husbandry fee – ruminants</w:t>
            </w:r>
          </w:p>
        </w:tc>
        <w:tc>
          <w:tcPr>
            <w:tcW w:w="655" w:type="pct"/>
            <w:shd w:val="clear" w:color="auto" w:fill="auto"/>
          </w:tcPr>
          <w:p w14:paraId="5D0CC878" w14:textId="718B5C47" w:rsidR="0013492B" w:rsidRPr="009213D8" w:rsidRDefault="0013492B" w:rsidP="006F1DEE">
            <w:pPr>
              <w:pStyle w:val="TableText"/>
            </w:pPr>
            <w:r w:rsidRPr="009213D8">
              <w:t>Per animal per day</w:t>
            </w:r>
          </w:p>
        </w:tc>
        <w:tc>
          <w:tcPr>
            <w:tcW w:w="417" w:type="pct"/>
            <w:shd w:val="clear" w:color="auto" w:fill="auto"/>
          </w:tcPr>
          <w:p w14:paraId="4E7384DA" w14:textId="1AD274AC" w:rsidR="0013492B" w:rsidRPr="001825A7" w:rsidRDefault="0013492B" w:rsidP="000634CA">
            <w:pPr>
              <w:pStyle w:val="TableText"/>
              <w:jc w:val="right"/>
            </w:pPr>
            <w:r>
              <w:rPr>
                <w:rFonts w:ascii="Calibri" w:hAnsi="Calibri"/>
                <w:color w:val="000000"/>
                <w:szCs w:val="18"/>
              </w:rPr>
              <w:t>105</w:t>
            </w:r>
          </w:p>
        </w:tc>
        <w:tc>
          <w:tcPr>
            <w:tcW w:w="595" w:type="pct"/>
            <w:shd w:val="clear" w:color="auto" w:fill="auto"/>
          </w:tcPr>
          <w:p w14:paraId="40BC7031" w14:textId="16D2B20B" w:rsidR="0013492B" w:rsidRPr="00C32CCF" w:rsidRDefault="0013492B" w:rsidP="000634CA">
            <w:pPr>
              <w:pStyle w:val="TableText"/>
              <w:jc w:val="right"/>
              <w:rPr>
                <w:rFonts w:ascii="Calibri" w:hAnsi="Calibri"/>
                <w:color w:val="000000"/>
                <w:szCs w:val="18"/>
              </w:rPr>
            </w:pPr>
            <w:r>
              <w:rPr>
                <w:rFonts w:ascii="Calibri" w:hAnsi="Calibri"/>
                <w:color w:val="000000"/>
                <w:szCs w:val="18"/>
              </w:rPr>
              <w:t>0</w:t>
            </w:r>
          </w:p>
        </w:tc>
        <w:tc>
          <w:tcPr>
            <w:tcW w:w="653" w:type="pct"/>
            <w:shd w:val="clear" w:color="auto" w:fill="auto"/>
          </w:tcPr>
          <w:p w14:paraId="1828EF34" w14:textId="3E80BBAF" w:rsidR="0013492B" w:rsidRPr="00C32CCF" w:rsidRDefault="0013492B" w:rsidP="000634CA">
            <w:pPr>
              <w:pStyle w:val="TableText"/>
              <w:jc w:val="right"/>
              <w:rPr>
                <w:highlight w:val="yellow"/>
              </w:rPr>
            </w:pPr>
            <w:r>
              <w:rPr>
                <w:rFonts w:ascii="Calibri" w:hAnsi="Calibri"/>
                <w:color w:val="000000"/>
                <w:szCs w:val="18"/>
              </w:rPr>
              <w:t>0</w:t>
            </w:r>
          </w:p>
        </w:tc>
      </w:tr>
      <w:tr w:rsidR="0013492B" w:rsidRPr="009213D8" w14:paraId="0BBFFA04" w14:textId="77777777" w:rsidTr="004C1CBD">
        <w:tc>
          <w:tcPr>
            <w:tcW w:w="689" w:type="pct"/>
            <w:vMerge/>
          </w:tcPr>
          <w:p w14:paraId="68907FC7" w14:textId="77777777" w:rsidR="0013492B" w:rsidRPr="009213D8" w:rsidRDefault="0013492B" w:rsidP="006F1DEE">
            <w:pPr>
              <w:pStyle w:val="TableText"/>
            </w:pPr>
          </w:p>
        </w:tc>
        <w:tc>
          <w:tcPr>
            <w:tcW w:w="613" w:type="pct"/>
            <w:shd w:val="clear" w:color="auto" w:fill="auto"/>
          </w:tcPr>
          <w:p w14:paraId="0A82F4AD" w14:textId="114FC275" w:rsidR="0013492B" w:rsidRPr="001825A7" w:rsidRDefault="005806AC" w:rsidP="006F1DEE">
            <w:pPr>
              <w:pStyle w:val="TableText"/>
              <w:rPr>
                <w:rFonts w:cstheme="minorHAnsi"/>
                <w:highlight w:val="yellow"/>
              </w:rPr>
            </w:pPr>
            <w:r w:rsidRPr="005806AC">
              <w:rPr>
                <w:rFonts w:cstheme="minorHAnsi"/>
              </w:rPr>
              <w:t>2,875,002</w:t>
            </w:r>
          </w:p>
        </w:tc>
        <w:tc>
          <w:tcPr>
            <w:tcW w:w="1378" w:type="pct"/>
            <w:shd w:val="clear" w:color="auto" w:fill="auto"/>
          </w:tcPr>
          <w:p w14:paraId="5CF13C3B" w14:textId="0A6D64C1" w:rsidR="0013492B" w:rsidRPr="009213D8" w:rsidRDefault="0013492B" w:rsidP="006F1DEE">
            <w:pPr>
              <w:pStyle w:val="TableText"/>
            </w:pPr>
            <w:r w:rsidRPr="009213D8">
              <w:t>Husbandry fee – cat or dog or animal not covered by another item of this table</w:t>
            </w:r>
          </w:p>
        </w:tc>
        <w:tc>
          <w:tcPr>
            <w:tcW w:w="655" w:type="pct"/>
            <w:shd w:val="clear" w:color="auto" w:fill="auto"/>
          </w:tcPr>
          <w:p w14:paraId="2DA083CB" w14:textId="77777777" w:rsidR="0013492B" w:rsidRPr="009213D8" w:rsidRDefault="0013492B" w:rsidP="006F1DEE">
            <w:pPr>
              <w:pStyle w:val="TableText"/>
            </w:pPr>
            <w:r w:rsidRPr="009213D8">
              <w:t>Per animal per day</w:t>
            </w:r>
          </w:p>
        </w:tc>
        <w:tc>
          <w:tcPr>
            <w:tcW w:w="417" w:type="pct"/>
            <w:shd w:val="clear" w:color="auto" w:fill="auto"/>
          </w:tcPr>
          <w:p w14:paraId="01ECCCDB" w14:textId="5A120BB8" w:rsidR="0013492B" w:rsidRPr="001825A7" w:rsidRDefault="0013492B" w:rsidP="000634CA">
            <w:pPr>
              <w:pStyle w:val="TableText"/>
              <w:jc w:val="right"/>
            </w:pPr>
            <w:r>
              <w:rPr>
                <w:rFonts w:ascii="Calibri" w:hAnsi="Calibri"/>
                <w:color w:val="000000"/>
                <w:szCs w:val="18"/>
              </w:rPr>
              <w:t>52</w:t>
            </w:r>
          </w:p>
        </w:tc>
        <w:tc>
          <w:tcPr>
            <w:tcW w:w="595" w:type="pct"/>
            <w:shd w:val="clear" w:color="auto" w:fill="auto"/>
          </w:tcPr>
          <w:p w14:paraId="747B9352" w14:textId="015877C0" w:rsidR="0013492B" w:rsidRPr="00C32CCF" w:rsidRDefault="0013492B" w:rsidP="000634CA">
            <w:pPr>
              <w:pStyle w:val="TableText"/>
              <w:jc w:val="right"/>
              <w:rPr>
                <w:rFonts w:ascii="Calibri" w:hAnsi="Calibri"/>
                <w:color w:val="000000"/>
                <w:szCs w:val="18"/>
              </w:rPr>
            </w:pPr>
            <w:r>
              <w:rPr>
                <w:rFonts w:ascii="Calibri" w:hAnsi="Calibri"/>
                <w:color w:val="000000"/>
                <w:szCs w:val="18"/>
              </w:rPr>
              <w:t>55,306</w:t>
            </w:r>
          </w:p>
        </w:tc>
        <w:tc>
          <w:tcPr>
            <w:tcW w:w="653" w:type="pct"/>
            <w:shd w:val="clear" w:color="auto" w:fill="auto"/>
          </w:tcPr>
          <w:p w14:paraId="43CF9F9C" w14:textId="39F6B56D" w:rsidR="0013492B" w:rsidRPr="00C32CCF" w:rsidRDefault="0013492B" w:rsidP="000634CA">
            <w:pPr>
              <w:pStyle w:val="TableText"/>
              <w:jc w:val="right"/>
              <w:rPr>
                <w:highlight w:val="yellow"/>
              </w:rPr>
            </w:pPr>
            <w:r>
              <w:rPr>
                <w:rFonts w:ascii="Calibri" w:hAnsi="Calibri"/>
                <w:color w:val="000000"/>
                <w:szCs w:val="18"/>
              </w:rPr>
              <w:t>2,875,912</w:t>
            </w:r>
          </w:p>
        </w:tc>
      </w:tr>
      <w:tr w:rsidR="0013492B" w:rsidRPr="009213D8" w14:paraId="402DD285" w14:textId="77777777" w:rsidTr="004C1CBD">
        <w:tc>
          <w:tcPr>
            <w:tcW w:w="689" w:type="pct"/>
            <w:vMerge/>
          </w:tcPr>
          <w:p w14:paraId="00B68BF9" w14:textId="77777777" w:rsidR="0013492B" w:rsidRPr="009213D8" w:rsidRDefault="0013492B" w:rsidP="006F1DEE">
            <w:pPr>
              <w:pStyle w:val="TableText"/>
            </w:pPr>
          </w:p>
        </w:tc>
        <w:tc>
          <w:tcPr>
            <w:tcW w:w="613" w:type="pct"/>
            <w:shd w:val="clear" w:color="auto" w:fill="auto"/>
          </w:tcPr>
          <w:p w14:paraId="76246DF3" w14:textId="23A080D9" w:rsidR="0013492B" w:rsidRPr="001825A7" w:rsidRDefault="005806AC" w:rsidP="006F1DEE">
            <w:pPr>
              <w:pStyle w:val="TableText"/>
              <w:rPr>
                <w:rFonts w:cstheme="minorHAnsi"/>
                <w:highlight w:val="yellow"/>
              </w:rPr>
            </w:pPr>
            <w:r w:rsidRPr="005806AC">
              <w:rPr>
                <w:rFonts w:cstheme="minorHAnsi"/>
              </w:rPr>
              <w:t>62,548</w:t>
            </w:r>
          </w:p>
        </w:tc>
        <w:tc>
          <w:tcPr>
            <w:tcW w:w="1378" w:type="pct"/>
            <w:shd w:val="clear" w:color="auto" w:fill="auto"/>
          </w:tcPr>
          <w:p w14:paraId="6E9B00B5" w14:textId="3FD76425" w:rsidR="0013492B" w:rsidRPr="009213D8" w:rsidRDefault="0013492B" w:rsidP="006F1DEE">
            <w:pPr>
              <w:pStyle w:val="TableText"/>
            </w:pPr>
            <w:r w:rsidRPr="009213D8">
              <w:t>Husbandry fee – avian (bird eggs for hatching)</w:t>
            </w:r>
          </w:p>
        </w:tc>
        <w:tc>
          <w:tcPr>
            <w:tcW w:w="655" w:type="pct"/>
            <w:shd w:val="clear" w:color="auto" w:fill="auto"/>
          </w:tcPr>
          <w:p w14:paraId="4B7707AE" w14:textId="77777777" w:rsidR="0013492B" w:rsidRPr="009213D8" w:rsidRDefault="0013492B" w:rsidP="006F1DEE">
            <w:pPr>
              <w:pStyle w:val="TableText"/>
            </w:pPr>
            <w:r w:rsidRPr="009213D8">
              <w:t>Per egg consignment per day</w:t>
            </w:r>
          </w:p>
        </w:tc>
        <w:tc>
          <w:tcPr>
            <w:tcW w:w="417" w:type="pct"/>
            <w:shd w:val="clear" w:color="auto" w:fill="auto"/>
          </w:tcPr>
          <w:p w14:paraId="306E75A7" w14:textId="79438A20" w:rsidR="0013492B" w:rsidRPr="001825A7" w:rsidRDefault="0013492B" w:rsidP="000634CA">
            <w:pPr>
              <w:pStyle w:val="TableText"/>
              <w:jc w:val="right"/>
            </w:pPr>
            <w:r>
              <w:rPr>
                <w:rFonts w:ascii="Calibri" w:hAnsi="Calibri"/>
                <w:color w:val="000000"/>
                <w:szCs w:val="18"/>
              </w:rPr>
              <w:t>79</w:t>
            </w:r>
          </w:p>
        </w:tc>
        <w:tc>
          <w:tcPr>
            <w:tcW w:w="595" w:type="pct"/>
            <w:shd w:val="clear" w:color="auto" w:fill="auto"/>
          </w:tcPr>
          <w:p w14:paraId="18A46089" w14:textId="2F16E031" w:rsidR="0013492B" w:rsidRPr="00C32CCF" w:rsidRDefault="0013492B" w:rsidP="000634CA">
            <w:pPr>
              <w:pStyle w:val="TableText"/>
              <w:jc w:val="right"/>
              <w:rPr>
                <w:rFonts w:ascii="Calibri" w:hAnsi="Calibri"/>
                <w:color w:val="000000"/>
                <w:szCs w:val="18"/>
              </w:rPr>
            </w:pPr>
            <w:r>
              <w:rPr>
                <w:rFonts w:ascii="Calibri" w:hAnsi="Calibri"/>
                <w:color w:val="000000"/>
                <w:szCs w:val="18"/>
              </w:rPr>
              <w:t>792</w:t>
            </w:r>
          </w:p>
        </w:tc>
        <w:tc>
          <w:tcPr>
            <w:tcW w:w="653" w:type="pct"/>
            <w:shd w:val="clear" w:color="auto" w:fill="auto"/>
          </w:tcPr>
          <w:p w14:paraId="75182B94" w14:textId="1BA3874D" w:rsidR="0013492B" w:rsidRPr="00C32CCF" w:rsidRDefault="0013492B" w:rsidP="000634CA">
            <w:pPr>
              <w:pStyle w:val="TableText"/>
              <w:jc w:val="right"/>
              <w:rPr>
                <w:highlight w:val="yellow"/>
              </w:rPr>
            </w:pPr>
            <w:r>
              <w:rPr>
                <w:rFonts w:ascii="Calibri" w:hAnsi="Calibri"/>
                <w:color w:val="000000"/>
                <w:szCs w:val="18"/>
              </w:rPr>
              <w:t>62,568</w:t>
            </w:r>
          </w:p>
        </w:tc>
      </w:tr>
      <w:tr w:rsidR="0013492B" w:rsidRPr="009213D8" w14:paraId="758D5192" w14:textId="77777777" w:rsidTr="004C1CBD">
        <w:tc>
          <w:tcPr>
            <w:tcW w:w="689" w:type="pct"/>
            <w:vMerge/>
          </w:tcPr>
          <w:p w14:paraId="08D6A082" w14:textId="77777777" w:rsidR="0013492B" w:rsidRPr="009213D8" w:rsidRDefault="0013492B" w:rsidP="006F1DEE">
            <w:pPr>
              <w:pStyle w:val="TableText"/>
            </w:pPr>
          </w:p>
        </w:tc>
        <w:tc>
          <w:tcPr>
            <w:tcW w:w="613" w:type="pct"/>
            <w:shd w:val="clear" w:color="auto" w:fill="auto"/>
          </w:tcPr>
          <w:p w14:paraId="2CD84809" w14:textId="31CD61D8" w:rsidR="0013492B" w:rsidRPr="004759DB" w:rsidRDefault="005806AC" w:rsidP="006F1DEE">
            <w:pPr>
              <w:pStyle w:val="TableText"/>
              <w:rPr>
                <w:rFonts w:cstheme="minorHAnsi"/>
              </w:rPr>
            </w:pPr>
            <w:r w:rsidRPr="004759DB">
              <w:rPr>
                <w:rFonts w:cstheme="minorHAnsi"/>
              </w:rPr>
              <w:t>590</w:t>
            </w:r>
          </w:p>
        </w:tc>
        <w:tc>
          <w:tcPr>
            <w:tcW w:w="1378" w:type="pct"/>
            <w:shd w:val="clear" w:color="auto" w:fill="auto"/>
          </w:tcPr>
          <w:p w14:paraId="00504C94" w14:textId="7ABE06DE" w:rsidR="0013492B" w:rsidRPr="004759DB" w:rsidRDefault="0013492B" w:rsidP="006F1DEE">
            <w:pPr>
              <w:pStyle w:val="TableText"/>
            </w:pPr>
            <w:r w:rsidRPr="004759DB">
              <w:t>Husbandry fee – avian (consignment of birds)</w:t>
            </w:r>
          </w:p>
        </w:tc>
        <w:tc>
          <w:tcPr>
            <w:tcW w:w="655" w:type="pct"/>
            <w:shd w:val="clear" w:color="auto" w:fill="auto"/>
          </w:tcPr>
          <w:p w14:paraId="23966BEF" w14:textId="77777777" w:rsidR="0013492B" w:rsidRPr="004759DB" w:rsidRDefault="0013492B" w:rsidP="006F1DEE">
            <w:pPr>
              <w:pStyle w:val="TableText"/>
            </w:pPr>
            <w:r w:rsidRPr="004759DB">
              <w:t>Per live bird consignment per day</w:t>
            </w:r>
          </w:p>
        </w:tc>
        <w:tc>
          <w:tcPr>
            <w:tcW w:w="417" w:type="pct"/>
            <w:shd w:val="clear" w:color="auto" w:fill="auto"/>
          </w:tcPr>
          <w:p w14:paraId="5CB78312" w14:textId="372EE5BB" w:rsidR="0013492B" w:rsidRPr="004759DB" w:rsidRDefault="0013492B" w:rsidP="000634CA">
            <w:pPr>
              <w:pStyle w:val="TableText"/>
              <w:jc w:val="right"/>
            </w:pPr>
            <w:r w:rsidRPr="004759DB">
              <w:rPr>
                <w:rFonts w:ascii="Calibri" w:hAnsi="Calibri"/>
                <w:color w:val="000000"/>
                <w:szCs w:val="18"/>
              </w:rPr>
              <w:t>59</w:t>
            </w:r>
          </w:p>
        </w:tc>
        <w:tc>
          <w:tcPr>
            <w:tcW w:w="595" w:type="pct"/>
            <w:shd w:val="clear" w:color="auto" w:fill="auto"/>
          </w:tcPr>
          <w:p w14:paraId="072C2A33" w14:textId="51043995" w:rsidR="0013492B" w:rsidRPr="004759DB" w:rsidRDefault="004759DB" w:rsidP="000634CA">
            <w:pPr>
              <w:pStyle w:val="TableText"/>
              <w:jc w:val="right"/>
              <w:rPr>
                <w:rFonts w:ascii="Calibri" w:hAnsi="Calibri"/>
                <w:color w:val="000000"/>
                <w:szCs w:val="18"/>
              </w:rPr>
            </w:pPr>
            <w:r w:rsidRPr="004759DB">
              <w:rPr>
                <w:rFonts w:ascii="Calibri" w:hAnsi="Calibri"/>
                <w:color w:val="000000"/>
                <w:szCs w:val="18"/>
              </w:rPr>
              <w:t>45</w:t>
            </w:r>
          </w:p>
        </w:tc>
        <w:tc>
          <w:tcPr>
            <w:tcW w:w="653" w:type="pct"/>
            <w:shd w:val="clear" w:color="auto" w:fill="auto"/>
          </w:tcPr>
          <w:p w14:paraId="445BA624" w14:textId="1AA10720" w:rsidR="0013492B" w:rsidRPr="004759DB" w:rsidRDefault="004759DB" w:rsidP="000634CA">
            <w:pPr>
              <w:pStyle w:val="TableText"/>
              <w:jc w:val="right"/>
            </w:pPr>
            <w:r w:rsidRPr="004759DB">
              <w:rPr>
                <w:rFonts w:ascii="Calibri" w:hAnsi="Calibri"/>
                <w:color w:val="000000"/>
                <w:szCs w:val="18"/>
              </w:rPr>
              <w:t>2,655</w:t>
            </w:r>
          </w:p>
        </w:tc>
      </w:tr>
      <w:tr w:rsidR="0013492B" w:rsidRPr="009213D8" w14:paraId="617A7A15" w14:textId="77777777" w:rsidTr="004C1CBD">
        <w:tc>
          <w:tcPr>
            <w:tcW w:w="689" w:type="pct"/>
            <w:vMerge/>
          </w:tcPr>
          <w:p w14:paraId="56C136F2" w14:textId="77777777" w:rsidR="0013492B" w:rsidRPr="009213D8" w:rsidRDefault="0013492B" w:rsidP="006F1DEE">
            <w:pPr>
              <w:pStyle w:val="TableText"/>
            </w:pPr>
          </w:p>
        </w:tc>
        <w:tc>
          <w:tcPr>
            <w:tcW w:w="613" w:type="pct"/>
            <w:shd w:val="clear" w:color="auto" w:fill="auto"/>
          </w:tcPr>
          <w:p w14:paraId="4D65C678" w14:textId="64155007" w:rsidR="0013492B" w:rsidRPr="001825A7" w:rsidRDefault="005806AC" w:rsidP="006F1DEE">
            <w:pPr>
              <w:pStyle w:val="TableText"/>
              <w:rPr>
                <w:rFonts w:cstheme="minorHAnsi"/>
                <w:highlight w:val="yellow"/>
              </w:rPr>
            </w:pPr>
            <w:r w:rsidRPr="005806AC">
              <w:rPr>
                <w:rFonts w:cstheme="minorHAnsi"/>
              </w:rPr>
              <w:t>488</w:t>
            </w:r>
          </w:p>
        </w:tc>
        <w:tc>
          <w:tcPr>
            <w:tcW w:w="1378" w:type="pct"/>
            <w:shd w:val="clear" w:color="auto" w:fill="auto"/>
          </w:tcPr>
          <w:p w14:paraId="547BBA4A" w14:textId="70BCDB16" w:rsidR="0013492B" w:rsidRPr="009213D8" w:rsidRDefault="0013492B" w:rsidP="006F1DEE">
            <w:pPr>
              <w:pStyle w:val="TableText"/>
            </w:pPr>
            <w:r w:rsidRPr="009213D8">
              <w:t>Husbandry fee – bees</w:t>
            </w:r>
          </w:p>
        </w:tc>
        <w:tc>
          <w:tcPr>
            <w:tcW w:w="655" w:type="pct"/>
            <w:shd w:val="clear" w:color="auto" w:fill="auto"/>
          </w:tcPr>
          <w:p w14:paraId="29A69AC7" w14:textId="3E0FFE19" w:rsidR="0013492B" w:rsidRPr="009213D8" w:rsidRDefault="0013492B" w:rsidP="006F1DEE">
            <w:pPr>
              <w:pStyle w:val="TableText"/>
            </w:pPr>
            <w:r w:rsidRPr="009213D8">
              <w:t>Per bee consignment Monthly or part thereof</w:t>
            </w:r>
          </w:p>
        </w:tc>
        <w:tc>
          <w:tcPr>
            <w:tcW w:w="417" w:type="pct"/>
            <w:shd w:val="clear" w:color="auto" w:fill="auto"/>
          </w:tcPr>
          <w:p w14:paraId="778C7B5D" w14:textId="49723C26" w:rsidR="0013492B" w:rsidRPr="001825A7" w:rsidRDefault="0013492B" w:rsidP="000634CA">
            <w:pPr>
              <w:pStyle w:val="TableText"/>
              <w:jc w:val="right"/>
            </w:pPr>
            <w:r>
              <w:rPr>
                <w:rFonts w:ascii="Calibri" w:hAnsi="Calibri"/>
                <w:color w:val="000000"/>
                <w:szCs w:val="18"/>
              </w:rPr>
              <w:t>488</w:t>
            </w:r>
          </w:p>
        </w:tc>
        <w:tc>
          <w:tcPr>
            <w:tcW w:w="595" w:type="pct"/>
            <w:shd w:val="clear" w:color="auto" w:fill="auto"/>
          </w:tcPr>
          <w:p w14:paraId="63658C07" w14:textId="3E7A5BD7" w:rsidR="0013492B" w:rsidRPr="00C32CCF" w:rsidRDefault="0013492B" w:rsidP="000634CA">
            <w:pPr>
              <w:pStyle w:val="TableText"/>
              <w:jc w:val="right"/>
              <w:rPr>
                <w:rFonts w:ascii="Calibri" w:hAnsi="Calibri"/>
                <w:color w:val="000000"/>
                <w:szCs w:val="18"/>
              </w:rPr>
            </w:pPr>
            <w:r>
              <w:rPr>
                <w:rFonts w:ascii="Calibri" w:hAnsi="Calibri"/>
                <w:color w:val="000000"/>
                <w:szCs w:val="18"/>
              </w:rPr>
              <w:t>1</w:t>
            </w:r>
          </w:p>
        </w:tc>
        <w:tc>
          <w:tcPr>
            <w:tcW w:w="653" w:type="pct"/>
            <w:shd w:val="clear" w:color="auto" w:fill="auto"/>
          </w:tcPr>
          <w:p w14:paraId="49B9E273" w14:textId="77221F5E" w:rsidR="0013492B" w:rsidRPr="00C32CCF" w:rsidRDefault="0013492B" w:rsidP="000634CA">
            <w:pPr>
              <w:pStyle w:val="TableText"/>
              <w:jc w:val="right"/>
              <w:rPr>
                <w:highlight w:val="yellow"/>
              </w:rPr>
            </w:pPr>
            <w:r>
              <w:rPr>
                <w:rFonts w:ascii="Calibri" w:hAnsi="Calibri"/>
                <w:color w:val="000000"/>
                <w:szCs w:val="18"/>
              </w:rPr>
              <w:t>488</w:t>
            </w:r>
          </w:p>
        </w:tc>
      </w:tr>
      <w:tr w:rsidR="0013492B" w:rsidRPr="009213D8" w14:paraId="5A5B5E2C" w14:textId="77777777" w:rsidTr="004C1CBD">
        <w:tc>
          <w:tcPr>
            <w:tcW w:w="689" w:type="pct"/>
            <w:vMerge/>
          </w:tcPr>
          <w:p w14:paraId="2C078F06" w14:textId="77777777" w:rsidR="0013492B" w:rsidRPr="009213D8" w:rsidRDefault="0013492B" w:rsidP="006F1DEE">
            <w:pPr>
              <w:pStyle w:val="TableText"/>
            </w:pPr>
          </w:p>
        </w:tc>
        <w:tc>
          <w:tcPr>
            <w:tcW w:w="613" w:type="pct"/>
            <w:shd w:val="clear" w:color="auto" w:fill="auto"/>
          </w:tcPr>
          <w:p w14:paraId="3906AE60" w14:textId="6D4D7C48" w:rsidR="0013492B" w:rsidRPr="001825A7" w:rsidRDefault="005806AC" w:rsidP="006F1DEE">
            <w:pPr>
              <w:pStyle w:val="TableText"/>
              <w:rPr>
                <w:rFonts w:cstheme="minorHAnsi"/>
                <w:highlight w:val="yellow"/>
              </w:rPr>
            </w:pPr>
            <w:r w:rsidRPr="005806AC">
              <w:rPr>
                <w:rFonts w:cstheme="minorHAnsi"/>
              </w:rPr>
              <w:t>406,157</w:t>
            </w:r>
          </w:p>
        </w:tc>
        <w:tc>
          <w:tcPr>
            <w:tcW w:w="1378" w:type="pct"/>
            <w:shd w:val="clear" w:color="auto" w:fill="auto"/>
          </w:tcPr>
          <w:p w14:paraId="505C6081" w14:textId="15DD83AF" w:rsidR="0013492B" w:rsidRPr="009213D8" w:rsidRDefault="0013492B" w:rsidP="006F1DEE">
            <w:pPr>
              <w:pStyle w:val="TableText"/>
            </w:pPr>
            <w:r w:rsidRPr="009213D8">
              <w:t>Husbandry fee – plants</w:t>
            </w:r>
          </w:p>
        </w:tc>
        <w:tc>
          <w:tcPr>
            <w:tcW w:w="655" w:type="pct"/>
            <w:shd w:val="clear" w:color="auto" w:fill="auto"/>
          </w:tcPr>
          <w:p w14:paraId="02EF2795" w14:textId="74BE6628" w:rsidR="0013492B" w:rsidRPr="009213D8" w:rsidRDefault="0013492B" w:rsidP="006F1DEE">
            <w:pPr>
              <w:pStyle w:val="TableText"/>
            </w:pPr>
            <w:r w:rsidRPr="009213D8">
              <w:t>Per m</w:t>
            </w:r>
            <w:r w:rsidRPr="009213D8">
              <w:rPr>
                <w:vertAlign w:val="superscript"/>
              </w:rPr>
              <w:t>2</w:t>
            </w:r>
            <w:r w:rsidRPr="009213D8">
              <w:t xml:space="preserve"> or part thereof Monthly or part thereof</w:t>
            </w:r>
          </w:p>
        </w:tc>
        <w:tc>
          <w:tcPr>
            <w:tcW w:w="417" w:type="pct"/>
            <w:shd w:val="clear" w:color="auto" w:fill="auto"/>
          </w:tcPr>
          <w:p w14:paraId="2BCE3621" w14:textId="54BA6540" w:rsidR="0013492B" w:rsidRPr="001825A7" w:rsidRDefault="0013492B" w:rsidP="000634CA">
            <w:pPr>
              <w:pStyle w:val="TableText"/>
              <w:jc w:val="right"/>
            </w:pPr>
            <w:r>
              <w:rPr>
                <w:rFonts w:ascii="Calibri" w:hAnsi="Calibri"/>
                <w:color w:val="000000"/>
                <w:szCs w:val="18"/>
              </w:rPr>
              <w:t>62</w:t>
            </w:r>
          </w:p>
        </w:tc>
        <w:tc>
          <w:tcPr>
            <w:tcW w:w="595" w:type="pct"/>
            <w:shd w:val="clear" w:color="auto" w:fill="auto"/>
          </w:tcPr>
          <w:p w14:paraId="20FF4FE8" w14:textId="0DCB3C05" w:rsidR="0013492B" w:rsidRPr="00C32CCF" w:rsidRDefault="0013492B" w:rsidP="000634CA">
            <w:pPr>
              <w:pStyle w:val="TableText"/>
              <w:jc w:val="right"/>
              <w:rPr>
                <w:rFonts w:ascii="Calibri" w:hAnsi="Calibri"/>
                <w:color w:val="000000"/>
                <w:szCs w:val="18"/>
              </w:rPr>
            </w:pPr>
            <w:r>
              <w:rPr>
                <w:rFonts w:ascii="Calibri" w:hAnsi="Calibri"/>
                <w:color w:val="000000"/>
                <w:szCs w:val="18"/>
              </w:rPr>
              <w:t>6,553</w:t>
            </w:r>
          </w:p>
        </w:tc>
        <w:tc>
          <w:tcPr>
            <w:tcW w:w="653" w:type="pct"/>
            <w:shd w:val="clear" w:color="auto" w:fill="auto"/>
          </w:tcPr>
          <w:p w14:paraId="7DA93F6F" w14:textId="48CA3148" w:rsidR="0013492B" w:rsidRPr="00C32CCF" w:rsidRDefault="0013492B" w:rsidP="000634CA">
            <w:pPr>
              <w:pStyle w:val="TableText"/>
              <w:jc w:val="right"/>
              <w:rPr>
                <w:highlight w:val="yellow"/>
              </w:rPr>
            </w:pPr>
            <w:r>
              <w:rPr>
                <w:rFonts w:ascii="Calibri" w:hAnsi="Calibri"/>
                <w:color w:val="000000"/>
                <w:szCs w:val="18"/>
              </w:rPr>
              <w:t>406,286</w:t>
            </w:r>
          </w:p>
        </w:tc>
      </w:tr>
      <w:tr w:rsidR="00511C95" w:rsidRPr="009213D8" w14:paraId="2F15B673" w14:textId="77777777" w:rsidTr="004C1CBD">
        <w:tc>
          <w:tcPr>
            <w:tcW w:w="689" w:type="pct"/>
          </w:tcPr>
          <w:p w14:paraId="760B3C01" w14:textId="77777777" w:rsidR="00511C95" w:rsidRPr="009213D8" w:rsidRDefault="00511C95" w:rsidP="006F1DEE">
            <w:pPr>
              <w:pStyle w:val="TableText"/>
              <w:rPr>
                <w:b/>
                <w:bCs/>
              </w:rPr>
            </w:pPr>
            <w:r w:rsidRPr="009213D8">
              <w:rPr>
                <w:b/>
                <w:bCs/>
              </w:rPr>
              <w:lastRenderedPageBreak/>
              <w:t>Totals</w:t>
            </w:r>
          </w:p>
        </w:tc>
        <w:tc>
          <w:tcPr>
            <w:tcW w:w="613" w:type="pct"/>
            <w:shd w:val="clear" w:color="auto" w:fill="auto"/>
          </w:tcPr>
          <w:p w14:paraId="2809E5C1" w14:textId="0A16233F" w:rsidR="00511C95" w:rsidRPr="005A660F" w:rsidRDefault="005806AC" w:rsidP="006F1DEE">
            <w:pPr>
              <w:pStyle w:val="TableText"/>
              <w:rPr>
                <w:b/>
                <w:bCs/>
              </w:rPr>
            </w:pPr>
            <w:r w:rsidRPr="005A660F">
              <w:rPr>
                <w:b/>
                <w:bCs/>
              </w:rPr>
              <w:t>363,415,440</w:t>
            </w:r>
          </w:p>
        </w:tc>
        <w:tc>
          <w:tcPr>
            <w:tcW w:w="1378" w:type="pct"/>
            <w:shd w:val="clear" w:color="auto" w:fill="auto"/>
          </w:tcPr>
          <w:p w14:paraId="1EBFEC77" w14:textId="4FEAA7B0" w:rsidR="00511C95" w:rsidRPr="009213D8" w:rsidRDefault="001D68E2" w:rsidP="006F1DEE">
            <w:pPr>
              <w:pStyle w:val="TableText"/>
            </w:pPr>
            <w:r>
              <w:rPr>
                <w:rFonts w:cstheme="minorHAnsi"/>
              </w:rPr>
              <w:t>–</w:t>
            </w:r>
          </w:p>
        </w:tc>
        <w:tc>
          <w:tcPr>
            <w:tcW w:w="655" w:type="pct"/>
            <w:shd w:val="clear" w:color="auto" w:fill="auto"/>
          </w:tcPr>
          <w:p w14:paraId="43DF526B" w14:textId="793FE431" w:rsidR="00511C95" w:rsidRPr="009213D8" w:rsidRDefault="001D68E2" w:rsidP="006F1DEE">
            <w:pPr>
              <w:pStyle w:val="TableText"/>
            </w:pPr>
            <w:r>
              <w:rPr>
                <w:rFonts w:cstheme="minorHAnsi"/>
              </w:rPr>
              <w:t>–</w:t>
            </w:r>
          </w:p>
        </w:tc>
        <w:tc>
          <w:tcPr>
            <w:tcW w:w="417" w:type="pct"/>
            <w:shd w:val="clear" w:color="auto" w:fill="auto"/>
          </w:tcPr>
          <w:p w14:paraId="6969ADC2" w14:textId="3778170B" w:rsidR="00511C95" w:rsidRPr="001825A7" w:rsidRDefault="001D68E2" w:rsidP="000634CA">
            <w:pPr>
              <w:pStyle w:val="TableText"/>
              <w:jc w:val="right"/>
              <w:rPr>
                <w:highlight w:val="yellow"/>
              </w:rPr>
            </w:pPr>
            <w:r>
              <w:rPr>
                <w:rFonts w:cstheme="minorHAnsi"/>
              </w:rPr>
              <w:t>–</w:t>
            </w:r>
          </w:p>
        </w:tc>
        <w:tc>
          <w:tcPr>
            <w:tcW w:w="595" w:type="pct"/>
            <w:shd w:val="clear" w:color="auto" w:fill="auto"/>
          </w:tcPr>
          <w:p w14:paraId="163BD1FB" w14:textId="05212096" w:rsidR="00511C95" w:rsidRPr="001825A7" w:rsidRDefault="001D68E2" w:rsidP="000634CA">
            <w:pPr>
              <w:pStyle w:val="TableText"/>
              <w:jc w:val="right"/>
              <w:rPr>
                <w:highlight w:val="yellow"/>
              </w:rPr>
            </w:pPr>
            <w:r>
              <w:rPr>
                <w:rFonts w:cstheme="minorHAnsi"/>
              </w:rPr>
              <w:t>–</w:t>
            </w:r>
          </w:p>
        </w:tc>
        <w:tc>
          <w:tcPr>
            <w:tcW w:w="653" w:type="pct"/>
            <w:shd w:val="clear" w:color="auto" w:fill="auto"/>
          </w:tcPr>
          <w:p w14:paraId="0FF3503F" w14:textId="55869DE1" w:rsidR="00511C95" w:rsidRPr="001825A7" w:rsidRDefault="0013492B" w:rsidP="000634CA">
            <w:pPr>
              <w:pStyle w:val="TableText"/>
              <w:jc w:val="right"/>
              <w:rPr>
                <w:b/>
                <w:bCs/>
                <w:highlight w:val="yellow"/>
              </w:rPr>
            </w:pPr>
            <w:r>
              <w:rPr>
                <w:b/>
                <w:bCs/>
              </w:rPr>
              <w:t>363,</w:t>
            </w:r>
            <w:r w:rsidR="009C17CB">
              <w:rPr>
                <w:b/>
                <w:bCs/>
              </w:rPr>
              <w:t>57</w:t>
            </w:r>
            <w:r w:rsidR="00A502ED">
              <w:rPr>
                <w:b/>
                <w:bCs/>
              </w:rPr>
              <w:t>5</w:t>
            </w:r>
            <w:r w:rsidR="009C17CB">
              <w:rPr>
                <w:b/>
                <w:bCs/>
              </w:rPr>
              <w:t>,</w:t>
            </w:r>
            <w:r w:rsidR="00314EDC">
              <w:rPr>
                <w:b/>
                <w:bCs/>
              </w:rPr>
              <w:t>702</w:t>
            </w:r>
          </w:p>
        </w:tc>
      </w:tr>
    </w:tbl>
    <w:p w14:paraId="508759FC" w14:textId="25B66A81" w:rsidR="00DF386F" w:rsidRPr="001837AB" w:rsidRDefault="006F1DEE" w:rsidP="001837AB">
      <w:pPr>
        <w:pStyle w:val="FigureTableNoteSource"/>
      </w:pPr>
      <w:r>
        <w:t xml:space="preserve">Note: </w:t>
      </w:r>
      <w:r w:rsidR="00F87E0C" w:rsidRPr="00314EDC">
        <w:t>Treatments, bee and avian costs</w:t>
      </w:r>
      <w:r w:rsidR="00661D9D" w:rsidRPr="00314EDC">
        <w:t xml:space="preserve"> are not fully cost recovered due to low </w:t>
      </w:r>
      <w:r w:rsidR="00EE049C" w:rsidRPr="00314EDC">
        <w:t>volumes or</w:t>
      </w:r>
      <w:r w:rsidR="00661D9D" w:rsidRPr="00314EDC">
        <w:t xml:space="preserve"> represent </w:t>
      </w:r>
      <w:r w:rsidR="004E56C8" w:rsidRPr="00314EDC">
        <w:t xml:space="preserve">only </w:t>
      </w:r>
      <w:r w:rsidR="00661D9D" w:rsidRPr="00314EDC">
        <w:t xml:space="preserve">a contribution to the department’s costs for these </w:t>
      </w:r>
      <w:r w:rsidR="00C13EAB" w:rsidRPr="00314EDC">
        <w:t>activities</w:t>
      </w:r>
      <w:r w:rsidR="00661D9D" w:rsidRPr="00314EDC">
        <w:t>.</w:t>
      </w:r>
      <w:r w:rsidR="009663B9" w:rsidRPr="00314EDC">
        <w:t xml:space="preserve"> Expenses not met by cost recovery are funded through other departmental sources.</w:t>
      </w:r>
      <w:r>
        <w:t xml:space="preserve"> </w:t>
      </w:r>
      <w:r w:rsidR="008079AC" w:rsidRPr="00314EDC">
        <w:t>The reservation charge is non-refundable unless exceptional circumstances apply. The confirmation of reservation charge is payable, along with the applicable husbandry fee, when the animal is confirmed for entry at the PEQ.</w:t>
      </w:r>
      <w:r>
        <w:t xml:space="preserve"> </w:t>
      </w:r>
      <w:r w:rsidR="00A664EA" w:rsidRPr="00314EDC">
        <w:t xml:space="preserve">Prices </w:t>
      </w:r>
      <w:r w:rsidR="00114019" w:rsidRPr="00314EDC">
        <w:t xml:space="preserve">are </w:t>
      </w:r>
      <w:r w:rsidR="00A664EA" w:rsidRPr="00314EDC">
        <w:t>rounded to the nearest whole dollar.</w:t>
      </w:r>
      <w:r w:rsidR="00114019" w:rsidRPr="00314EDC">
        <w:t xml:space="preserve"> </w:t>
      </w:r>
      <w:r w:rsidR="009663B9" w:rsidRPr="00314EDC">
        <w:t>Recovery of costs is only a forecast and under- or over-recovery is dependent on actual volumes and costs.</w:t>
      </w:r>
    </w:p>
    <w:p w14:paraId="796462E9" w14:textId="7C3B89C0" w:rsidR="007F0964" w:rsidRDefault="007F0964" w:rsidP="007F0964">
      <w:pPr>
        <w:pStyle w:val="Caption"/>
      </w:pPr>
      <w:bookmarkStart w:id="145" w:name="_Ref135836357"/>
      <w:bookmarkStart w:id="146" w:name="_Toc167086231"/>
      <w:bookmarkStart w:id="147" w:name="_Toc168645278"/>
      <w:r>
        <w:t xml:space="preserve">Table </w:t>
      </w:r>
      <w:r w:rsidR="00FD4278">
        <w:fldChar w:fldCharType="begin"/>
      </w:r>
      <w:r w:rsidR="00FD4278">
        <w:instrText xml:space="preserve"> SEQ Table \* ARABIC </w:instrText>
      </w:r>
      <w:r w:rsidR="00FD4278">
        <w:fldChar w:fldCharType="separate"/>
      </w:r>
      <w:r w:rsidR="006D5EF4">
        <w:rPr>
          <w:noProof/>
        </w:rPr>
        <w:t>4</w:t>
      </w:r>
      <w:r w:rsidR="00FD4278">
        <w:rPr>
          <w:noProof/>
        </w:rPr>
        <w:fldChar w:fldCharType="end"/>
      </w:r>
      <w:bookmarkEnd w:id="145"/>
      <w:r>
        <w:t xml:space="preserve"> </w:t>
      </w:r>
      <w:r w:rsidRPr="00820D37">
        <w:t>Fee</w:t>
      </w:r>
      <w:r w:rsidR="00283C48">
        <w:t xml:space="preserve"> for service o</w:t>
      </w:r>
      <w:r w:rsidR="00CE1E77">
        <w:t>n</w:t>
      </w:r>
      <w:r w:rsidR="00283C48">
        <w:t xml:space="preserve"> demand</w:t>
      </w:r>
      <w:r w:rsidRPr="00820D37">
        <w:t xml:space="preserve"> </w:t>
      </w:r>
      <w:r w:rsidR="005114E6">
        <w:t>–</w:t>
      </w:r>
      <w:r w:rsidRPr="00820D37">
        <w:t xml:space="preserve"> </w:t>
      </w:r>
      <w:r w:rsidR="00CE1E77">
        <w:t>prices</w:t>
      </w:r>
      <w:r w:rsidRPr="00820D37">
        <w:t xml:space="preserve">, </w:t>
      </w:r>
      <w:r w:rsidR="008E669F" w:rsidRPr="00F700D1">
        <w:t>2024</w:t>
      </w:r>
      <w:r w:rsidR="00F700D1" w:rsidRPr="00F700D1">
        <w:t>–</w:t>
      </w:r>
      <w:r w:rsidR="008E669F" w:rsidRPr="00F700D1">
        <w:t>25</w:t>
      </w:r>
      <w:bookmarkEnd w:id="146"/>
      <w:bookmarkEnd w:id="147"/>
    </w:p>
    <w:tbl>
      <w:tblPr>
        <w:tblW w:w="5000" w:type="pct"/>
        <w:tblBorders>
          <w:top w:val="single" w:sz="4" w:space="0" w:color="auto"/>
          <w:bottom w:val="single" w:sz="4" w:space="0" w:color="auto"/>
          <w:insideH w:val="single" w:sz="4" w:space="0" w:color="auto"/>
        </w:tblBorders>
        <w:tblLayout w:type="fixed"/>
        <w:tblCellMar>
          <w:left w:w="40" w:type="dxa"/>
          <w:right w:w="40" w:type="dxa"/>
        </w:tblCellMar>
        <w:tblLook w:val="04A0" w:firstRow="1" w:lastRow="0" w:firstColumn="1" w:lastColumn="0" w:noHBand="0" w:noVBand="1"/>
      </w:tblPr>
      <w:tblGrid>
        <w:gridCol w:w="2013"/>
        <w:gridCol w:w="2008"/>
        <w:gridCol w:w="2290"/>
        <w:gridCol w:w="1438"/>
        <w:gridCol w:w="1435"/>
      </w:tblGrid>
      <w:tr w:rsidR="00B60EA5" w:rsidRPr="00BB4FCF" w14:paraId="4A001975" w14:textId="77777777" w:rsidTr="00A4372E">
        <w:trPr>
          <w:tblHeader/>
        </w:trPr>
        <w:tc>
          <w:tcPr>
            <w:tcW w:w="1096" w:type="pct"/>
            <w:tcBorders>
              <w:bottom w:val="single" w:sz="4" w:space="0" w:color="auto"/>
            </w:tcBorders>
          </w:tcPr>
          <w:p w14:paraId="4A8A4E23" w14:textId="77777777" w:rsidR="009663B9" w:rsidRPr="00BB4FCF" w:rsidRDefault="009663B9" w:rsidP="00A968F0">
            <w:pPr>
              <w:pStyle w:val="TableHeading"/>
            </w:pPr>
            <w:bookmarkStart w:id="148" w:name="Title_4"/>
            <w:bookmarkEnd w:id="148"/>
            <w:r w:rsidRPr="00BB4FCF">
              <w:t>Type of charge</w:t>
            </w:r>
          </w:p>
        </w:tc>
        <w:tc>
          <w:tcPr>
            <w:tcW w:w="1093" w:type="pct"/>
            <w:tcBorders>
              <w:bottom w:val="single" w:sz="4" w:space="0" w:color="auto"/>
            </w:tcBorders>
          </w:tcPr>
          <w:p w14:paraId="36E48389" w14:textId="77777777" w:rsidR="009663B9" w:rsidRPr="00BB4FCF" w:rsidRDefault="009663B9" w:rsidP="00A968F0">
            <w:pPr>
              <w:pStyle w:val="TableHeading"/>
            </w:pPr>
            <w:r w:rsidRPr="00BB4FCF">
              <w:t>Estimated total cost ($)</w:t>
            </w:r>
          </w:p>
        </w:tc>
        <w:tc>
          <w:tcPr>
            <w:tcW w:w="1247" w:type="pct"/>
            <w:tcBorders>
              <w:bottom w:val="single" w:sz="4" w:space="0" w:color="auto"/>
            </w:tcBorders>
          </w:tcPr>
          <w:p w14:paraId="7796EB0B" w14:textId="77777777" w:rsidR="009663B9" w:rsidRPr="00BB4FCF" w:rsidRDefault="009663B9" w:rsidP="00A968F0">
            <w:pPr>
              <w:pStyle w:val="TableHeading"/>
            </w:pPr>
            <w:r w:rsidRPr="00BB4FCF">
              <w:t>Charge point</w:t>
            </w:r>
          </w:p>
        </w:tc>
        <w:tc>
          <w:tcPr>
            <w:tcW w:w="783" w:type="pct"/>
            <w:tcBorders>
              <w:bottom w:val="single" w:sz="4" w:space="0" w:color="auto"/>
            </w:tcBorders>
          </w:tcPr>
          <w:p w14:paraId="73C401C0" w14:textId="77777777" w:rsidR="009663B9" w:rsidRPr="00BB4FCF" w:rsidRDefault="009663B9" w:rsidP="00A968F0">
            <w:pPr>
              <w:pStyle w:val="TableHeading"/>
            </w:pPr>
            <w:r w:rsidRPr="00BB4FCF">
              <w:t>Unit</w:t>
            </w:r>
          </w:p>
        </w:tc>
        <w:tc>
          <w:tcPr>
            <w:tcW w:w="781" w:type="pct"/>
            <w:tcBorders>
              <w:bottom w:val="single" w:sz="4" w:space="0" w:color="auto"/>
            </w:tcBorders>
          </w:tcPr>
          <w:p w14:paraId="41840D39" w14:textId="77777777" w:rsidR="009663B9" w:rsidRPr="00BB4FCF" w:rsidRDefault="009663B9" w:rsidP="00A968F0">
            <w:pPr>
              <w:pStyle w:val="TableHeading"/>
            </w:pPr>
            <w:r w:rsidRPr="00BB4FCF">
              <w:t>Price ($)</w:t>
            </w:r>
          </w:p>
        </w:tc>
      </w:tr>
      <w:tr w:rsidR="00801FF5" w:rsidRPr="000A26DB" w14:paraId="5456421D" w14:textId="77777777" w:rsidTr="00A4372E">
        <w:tc>
          <w:tcPr>
            <w:tcW w:w="1096" w:type="pct"/>
            <w:vMerge w:val="restart"/>
            <w:tcBorders>
              <w:top w:val="single" w:sz="4" w:space="0" w:color="auto"/>
              <w:left w:val="nil"/>
              <w:right w:val="nil"/>
            </w:tcBorders>
          </w:tcPr>
          <w:p w14:paraId="00DD721A" w14:textId="00520D0C" w:rsidR="00801FF5" w:rsidRPr="008B7CF3" w:rsidRDefault="00801FF5" w:rsidP="00A968F0">
            <w:pPr>
              <w:pStyle w:val="TableText"/>
            </w:pPr>
            <w:r w:rsidRPr="008B7CF3">
              <w:t>Fee for service activities – apply when required</w:t>
            </w:r>
          </w:p>
        </w:tc>
        <w:tc>
          <w:tcPr>
            <w:tcW w:w="1093" w:type="pct"/>
            <w:tcBorders>
              <w:top w:val="single" w:sz="4" w:space="0" w:color="auto"/>
              <w:left w:val="nil"/>
              <w:bottom w:val="single" w:sz="4" w:space="0" w:color="auto"/>
              <w:right w:val="nil"/>
            </w:tcBorders>
            <w:shd w:val="clear" w:color="auto" w:fill="auto"/>
          </w:tcPr>
          <w:p w14:paraId="4A6F05B1" w14:textId="223DC55D" w:rsidR="00801FF5" w:rsidRPr="008B7CF3" w:rsidRDefault="00801FF5" w:rsidP="00A968F0">
            <w:pPr>
              <w:pStyle w:val="TableText"/>
            </w:pPr>
            <w:r w:rsidRPr="008B7CF3">
              <w:t>n/a</w:t>
            </w:r>
          </w:p>
        </w:tc>
        <w:tc>
          <w:tcPr>
            <w:tcW w:w="1247" w:type="pct"/>
            <w:tcBorders>
              <w:top w:val="single" w:sz="4" w:space="0" w:color="auto"/>
              <w:left w:val="nil"/>
              <w:bottom w:val="single" w:sz="4" w:space="0" w:color="auto"/>
              <w:right w:val="nil"/>
            </w:tcBorders>
            <w:shd w:val="clear" w:color="auto" w:fill="auto"/>
          </w:tcPr>
          <w:p w14:paraId="7C15E267" w14:textId="77777777" w:rsidR="00801FF5" w:rsidRPr="008B7CF3" w:rsidRDefault="00801FF5" w:rsidP="00A968F0">
            <w:pPr>
              <w:pStyle w:val="TableText"/>
              <w:rPr>
                <w:szCs w:val="18"/>
              </w:rPr>
            </w:pPr>
            <w:r w:rsidRPr="008B7CF3">
              <w:rPr>
                <w:szCs w:val="18"/>
              </w:rPr>
              <w:t>Out-of-hours fee – weekday (permit assessment only)</w:t>
            </w:r>
          </w:p>
        </w:tc>
        <w:tc>
          <w:tcPr>
            <w:tcW w:w="783" w:type="pct"/>
            <w:tcBorders>
              <w:top w:val="single" w:sz="4" w:space="0" w:color="auto"/>
              <w:left w:val="nil"/>
              <w:bottom w:val="single" w:sz="4" w:space="0" w:color="auto"/>
              <w:right w:val="nil"/>
            </w:tcBorders>
            <w:shd w:val="clear" w:color="auto" w:fill="auto"/>
          </w:tcPr>
          <w:p w14:paraId="203A44A0" w14:textId="352650A9" w:rsidR="00801FF5" w:rsidRPr="008B7CF3" w:rsidRDefault="00801FF5" w:rsidP="00A968F0">
            <w:pPr>
              <w:pStyle w:val="TableText"/>
              <w:rPr>
                <w:rFonts w:cstheme="minorHAnsi"/>
                <w:szCs w:val="18"/>
              </w:rPr>
            </w:pPr>
            <w:r w:rsidRPr="008B7CF3">
              <w:rPr>
                <w:rFonts w:cstheme="minorHAnsi"/>
                <w:szCs w:val="18"/>
              </w:rPr>
              <w:t>Per 15 minutes</w:t>
            </w:r>
          </w:p>
        </w:tc>
        <w:tc>
          <w:tcPr>
            <w:tcW w:w="781" w:type="pct"/>
            <w:tcBorders>
              <w:top w:val="single" w:sz="4" w:space="0" w:color="auto"/>
              <w:left w:val="nil"/>
              <w:bottom w:val="single" w:sz="4" w:space="0" w:color="auto"/>
              <w:right w:val="nil"/>
            </w:tcBorders>
            <w:shd w:val="clear" w:color="auto" w:fill="auto"/>
          </w:tcPr>
          <w:p w14:paraId="78E40DEC" w14:textId="2693CEF4" w:rsidR="00801FF5" w:rsidRPr="00D63264" w:rsidRDefault="00801FF5" w:rsidP="00A968F0">
            <w:pPr>
              <w:pStyle w:val="TableText"/>
              <w:rPr>
                <w:rFonts w:cstheme="minorHAnsi"/>
                <w:szCs w:val="18"/>
              </w:rPr>
            </w:pPr>
            <w:r w:rsidRPr="00D63264">
              <w:rPr>
                <w:rFonts w:cstheme="minorHAnsi"/>
                <w:szCs w:val="18"/>
              </w:rPr>
              <w:t>1</w:t>
            </w:r>
            <w:r w:rsidR="00835F54" w:rsidRPr="00D63264">
              <w:rPr>
                <w:rFonts w:cstheme="minorHAnsi"/>
                <w:szCs w:val="18"/>
              </w:rPr>
              <w:t>9</w:t>
            </w:r>
          </w:p>
        </w:tc>
      </w:tr>
      <w:tr w:rsidR="00801FF5" w:rsidRPr="000A26DB" w14:paraId="4CA72B8A" w14:textId="77777777" w:rsidTr="00A4372E">
        <w:tc>
          <w:tcPr>
            <w:tcW w:w="1096" w:type="pct"/>
            <w:vMerge/>
            <w:tcBorders>
              <w:left w:val="nil"/>
              <w:bottom w:val="single" w:sz="4" w:space="0" w:color="auto"/>
              <w:right w:val="nil"/>
            </w:tcBorders>
          </w:tcPr>
          <w:p w14:paraId="0C3343E8" w14:textId="77777777" w:rsidR="00801FF5" w:rsidRPr="008B7CF3" w:rsidRDefault="00801FF5" w:rsidP="00A968F0">
            <w:pPr>
              <w:pStyle w:val="TableText"/>
            </w:pPr>
          </w:p>
        </w:tc>
        <w:tc>
          <w:tcPr>
            <w:tcW w:w="1093" w:type="pct"/>
            <w:tcBorders>
              <w:top w:val="single" w:sz="4" w:space="0" w:color="auto"/>
              <w:left w:val="nil"/>
              <w:bottom w:val="single" w:sz="4" w:space="0" w:color="auto"/>
              <w:right w:val="nil"/>
            </w:tcBorders>
            <w:shd w:val="clear" w:color="auto" w:fill="auto"/>
          </w:tcPr>
          <w:p w14:paraId="25C0C7F1" w14:textId="7127AE2C" w:rsidR="00801FF5" w:rsidRPr="008B7CF3" w:rsidRDefault="00801FF5" w:rsidP="00A968F0">
            <w:pPr>
              <w:pStyle w:val="TableText"/>
            </w:pPr>
            <w:r w:rsidRPr="008B7CF3">
              <w:t>n/a</w:t>
            </w:r>
          </w:p>
        </w:tc>
        <w:tc>
          <w:tcPr>
            <w:tcW w:w="1247" w:type="pct"/>
            <w:tcBorders>
              <w:top w:val="single" w:sz="4" w:space="0" w:color="auto"/>
              <w:left w:val="nil"/>
              <w:bottom w:val="single" w:sz="4" w:space="0" w:color="auto"/>
              <w:right w:val="nil"/>
            </w:tcBorders>
            <w:shd w:val="clear" w:color="auto" w:fill="auto"/>
          </w:tcPr>
          <w:p w14:paraId="6FC325EA" w14:textId="705C09A5" w:rsidR="00801FF5" w:rsidRPr="008B7CF3" w:rsidRDefault="00801FF5" w:rsidP="00A968F0">
            <w:pPr>
              <w:pStyle w:val="TableText"/>
            </w:pPr>
            <w:r w:rsidRPr="008B7CF3">
              <w:t>Out-of-hours fee – weekend (permit assessment only)</w:t>
            </w:r>
          </w:p>
        </w:tc>
        <w:tc>
          <w:tcPr>
            <w:tcW w:w="783" w:type="pct"/>
            <w:tcBorders>
              <w:top w:val="single" w:sz="4" w:space="0" w:color="auto"/>
              <w:left w:val="nil"/>
              <w:bottom w:val="single" w:sz="4" w:space="0" w:color="auto"/>
              <w:right w:val="nil"/>
            </w:tcBorders>
            <w:shd w:val="clear" w:color="auto" w:fill="auto"/>
          </w:tcPr>
          <w:p w14:paraId="2C927925" w14:textId="6442D130" w:rsidR="00801FF5" w:rsidRPr="008B7CF3" w:rsidRDefault="00801FF5" w:rsidP="00A968F0">
            <w:pPr>
              <w:pStyle w:val="TableText"/>
            </w:pPr>
            <w:r w:rsidRPr="008B7CF3">
              <w:rPr>
                <w:rFonts w:cstheme="minorHAnsi"/>
                <w:szCs w:val="18"/>
              </w:rPr>
              <w:t>Per 15 minutes</w:t>
            </w:r>
          </w:p>
        </w:tc>
        <w:tc>
          <w:tcPr>
            <w:tcW w:w="781" w:type="pct"/>
            <w:tcBorders>
              <w:top w:val="single" w:sz="4" w:space="0" w:color="auto"/>
              <w:left w:val="nil"/>
              <w:bottom w:val="single" w:sz="4" w:space="0" w:color="auto"/>
              <w:right w:val="nil"/>
            </w:tcBorders>
            <w:shd w:val="clear" w:color="auto" w:fill="auto"/>
          </w:tcPr>
          <w:p w14:paraId="0A3E5317" w14:textId="0F771C71" w:rsidR="00801FF5" w:rsidRPr="00D63264" w:rsidRDefault="00801FF5" w:rsidP="00A968F0">
            <w:pPr>
              <w:pStyle w:val="TableText"/>
            </w:pPr>
            <w:r w:rsidRPr="00D63264">
              <w:t>2</w:t>
            </w:r>
            <w:r w:rsidR="00835F54" w:rsidRPr="00D63264">
              <w:t>4</w:t>
            </w:r>
          </w:p>
        </w:tc>
      </w:tr>
      <w:tr w:rsidR="00B60EA5" w:rsidRPr="000A26DB" w14:paraId="6F880A67" w14:textId="77777777" w:rsidTr="00A4372E">
        <w:tc>
          <w:tcPr>
            <w:tcW w:w="1096" w:type="pct"/>
            <w:tcBorders>
              <w:top w:val="single" w:sz="4" w:space="0" w:color="auto"/>
              <w:left w:val="nil"/>
              <w:bottom w:val="single" w:sz="4" w:space="0" w:color="auto"/>
              <w:right w:val="nil"/>
            </w:tcBorders>
          </w:tcPr>
          <w:p w14:paraId="385572C8" w14:textId="2D6AD96C" w:rsidR="00B60EA5" w:rsidRPr="008B7CF3" w:rsidRDefault="00B60EA5" w:rsidP="00A968F0">
            <w:pPr>
              <w:pStyle w:val="TableText"/>
            </w:pPr>
            <w:r w:rsidRPr="008B7CF3">
              <w:t>Fee for service – temporary storage in relation to international travellers and their baggage</w:t>
            </w:r>
          </w:p>
        </w:tc>
        <w:tc>
          <w:tcPr>
            <w:tcW w:w="1093" w:type="pct"/>
            <w:tcBorders>
              <w:top w:val="single" w:sz="4" w:space="0" w:color="auto"/>
              <w:left w:val="nil"/>
              <w:bottom w:val="single" w:sz="4" w:space="0" w:color="auto"/>
              <w:right w:val="nil"/>
            </w:tcBorders>
            <w:shd w:val="clear" w:color="auto" w:fill="auto"/>
          </w:tcPr>
          <w:p w14:paraId="412131B5" w14:textId="1D33DDED" w:rsidR="00B60EA5" w:rsidRPr="008B7CF3" w:rsidRDefault="00B60EA5" w:rsidP="00A968F0">
            <w:pPr>
              <w:pStyle w:val="TableText"/>
            </w:pPr>
            <w:r w:rsidRPr="008B7CF3">
              <w:t>n/a</w:t>
            </w:r>
          </w:p>
        </w:tc>
        <w:tc>
          <w:tcPr>
            <w:tcW w:w="1247" w:type="pct"/>
            <w:tcBorders>
              <w:top w:val="single" w:sz="4" w:space="0" w:color="auto"/>
              <w:left w:val="nil"/>
              <w:bottom w:val="single" w:sz="4" w:space="0" w:color="auto"/>
              <w:right w:val="nil"/>
            </w:tcBorders>
            <w:shd w:val="clear" w:color="auto" w:fill="auto"/>
          </w:tcPr>
          <w:p w14:paraId="317CB86F" w14:textId="3C81D605" w:rsidR="00B60EA5" w:rsidRPr="008B7CF3" w:rsidRDefault="00B60EA5" w:rsidP="00A968F0">
            <w:pPr>
              <w:pStyle w:val="TableText"/>
              <w:rPr>
                <w:szCs w:val="18"/>
              </w:rPr>
            </w:pPr>
            <w:r w:rsidRPr="008B7CF3">
              <w:rPr>
                <w:szCs w:val="18"/>
              </w:rPr>
              <w:t>Temporary storage at premises owned or managed by the Commonwealth for baggage brought into Australian territory</w:t>
            </w:r>
          </w:p>
        </w:tc>
        <w:tc>
          <w:tcPr>
            <w:tcW w:w="783" w:type="pct"/>
            <w:tcBorders>
              <w:top w:val="single" w:sz="4" w:space="0" w:color="auto"/>
              <w:left w:val="nil"/>
              <w:bottom w:val="single" w:sz="4" w:space="0" w:color="auto"/>
              <w:right w:val="nil"/>
            </w:tcBorders>
            <w:shd w:val="clear" w:color="auto" w:fill="auto"/>
          </w:tcPr>
          <w:p w14:paraId="18BC3F56" w14:textId="71E0B9FD" w:rsidR="00B60EA5" w:rsidRPr="008B7CF3" w:rsidRDefault="00B60EA5" w:rsidP="00A968F0">
            <w:pPr>
              <w:pStyle w:val="TableText"/>
              <w:rPr>
                <w:rFonts w:cstheme="minorHAnsi"/>
                <w:szCs w:val="18"/>
              </w:rPr>
            </w:pPr>
            <w:r w:rsidRPr="008B7CF3">
              <w:rPr>
                <w:szCs w:val="18"/>
              </w:rPr>
              <w:t>Per 30 days per item of baggage</w:t>
            </w:r>
          </w:p>
        </w:tc>
        <w:tc>
          <w:tcPr>
            <w:tcW w:w="781" w:type="pct"/>
            <w:tcBorders>
              <w:top w:val="single" w:sz="4" w:space="0" w:color="auto"/>
              <w:left w:val="nil"/>
              <w:bottom w:val="single" w:sz="4" w:space="0" w:color="auto"/>
              <w:right w:val="nil"/>
            </w:tcBorders>
            <w:shd w:val="clear" w:color="auto" w:fill="auto"/>
          </w:tcPr>
          <w:p w14:paraId="08D684E3" w14:textId="7DEA1B0F" w:rsidR="00B60EA5" w:rsidRPr="008B7CF3" w:rsidRDefault="00CB1CF9" w:rsidP="00A968F0">
            <w:pPr>
              <w:pStyle w:val="TableText"/>
              <w:rPr>
                <w:szCs w:val="18"/>
              </w:rPr>
            </w:pPr>
            <w:r>
              <w:rPr>
                <w:szCs w:val="18"/>
              </w:rPr>
              <w:t>47</w:t>
            </w:r>
          </w:p>
        </w:tc>
      </w:tr>
      <w:tr w:rsidR="00F700D1" w:rsidRPr="000A26DB" w14:paraId="48CD2738" w14:textId="77777777" w:rsidTr="00A4372E">
        <w:tc>
          <w:tcPr>
            <w:tcW w:w="1096" w:type="pct"/>
            <w:vMerge w:val="restart"/>
            <w:tcBorders>
              <w:top w:val="single" w:sz="4" w:space="0" w:color="auto"/>
              <w:left w:val="nil"/>
              <w:right w:val="nil"/>
            </w:tcBorders>
          </w:tcPr>
          <w:p w14:paraId="51040FE5" w14:textId="6D55DEEB" w:rsidR="00F700D1" w:rsidRPr="008B7CF3" w:rsidRDefault="00F700D1" w:rsidP="00A968F0">
            <w:pPr>
              <w:pStyle w:val="TableText"/>
            </w:pPr>
            <w:r w:rsidRPr="008B7CF3">
              <w:t>Fee for service – special processing areas, agreed fee for international travellers and their baggage</w:t>
            </w:r>
          </w:p>
        </w:tc>
        <w:tc>
          <w:tcPr>
            <w:tcW w:w="1093" w:type="pct"/>
            <w:tcBorders>
              <w:top w:val="single" w:sz="4" w:space="0" w:color="auto"/>
              <w:left w:val="nil"/>
              <w:bottom w:val="single" w:sz="4" w:space="0" w:color="auto"/>
              <w:right w:val="nil"/>
            </w:tcBorders>
            <w:shd w:val="clear" w:color="auto" w:fill="auto"/>
          </w:tcPr>
          <w:p w14:paraId="23E2B569" w14:textId="7360031E" w:rsidR="00F700D1" w:rsidRPr="008B7CF3" w:rsidRDefault="00F700D1" w:rsidP="00A968F0">
            <w:pPr>
              <w:pStyle w:val="TableText"/>
              <w:rPr>
                <w:szCs w:val="18"/>
              </w:rPr>
            </w:pPr>
            <w:r w:rsidRPr="008B7CF3">
              <w:rPr>
                <w:szCs w:val="18"/>
              </w:rPr>
              <w:t>Any period up to 3 hours during which one or more fee bearing activities are carried out</w:t>
            </w:r>
          </w:p>
        </w:tc>
        <w:tc>
          <w:tcPr>
            <w:tcW w:w="1247" w:type="pct"/>
            <w:tcBorders>
              <w:top w:val="single" w:sz="4" w:space="0" w:color="auto"/>
              <w:left w:val="nil"/>
              <w:bottom w:val="single" w:sz="4" w:space="0" w:color="auto"/>
              <w:right w:val="nil"/>
            </w:tcBorders>
            <w:shd w:val="clear" w:color="auto" w:fill="auto"/>
          </w:tcPr>
          <w:p w14:paraId="4B56423A" w14:textId="45647FD9" w:rsidR="00F700D1" w:rsidRPr="008B7CF3" w:rsidRDefault="00F700D1" w:rsidP="00A968F0">
            <w:pPr>
              <w:pStyle w:val="TableText"/>
              <w:rPr>
                <w:szCs w:val="18"/>
              </w:rPr>
            </w:pPr>
            <w:r w:rsidRPr="008B7CF3">
              <w:rPr>
                <w:szCs w:val="18"/>
              </w:rPr>
              <w:t>First 3 hours for each person carrying out those activities</w:t>
            </w:r>
          </w:p>
        </w:tc>
        <w:tc>
          <w:tcPr>
            <w:tcW w:w="783" w:type="pct"/>
            <w:tcBorders>
              <w:top w:val="single" w:sz="4" w:space="0" w:color="auto"/>
              <w:left w:val="nil"/>
              <w:bottom w:val="single" w:sz="4" w:space="0" w:color="auto"/>
              <w:right w:val="nil"/>
            </w:tcBorders>
            <w:shd w:val="clear" w:color="auto" w:fill="auto"/>
          </w:tcPr>
          <w:p w14:paraId="4737970B" w14:textId="55ADB82A" w:rsidR="00F700D1" w:rsidRPr="008B7CF3" w:rsidRDefault="00F700D1" w:rsidP="00A968F0">
            <w:pPr>
              <w:pStyle w:val="TableText"/>
              <w:rPr>
                <w:rFonts w:cstheme="minorHAnsi"/>
                <w:szCs w:val="18"/>
              </w:rPr>
            </w:pPr>
            <w:r w:rsidRPr="008B7CF3">
              <w:rPr>
                <w:rFonts w:cstheme="minorHAnsi"/>
                <w:szCs w:val="18"/>
              </w:rPr>
              <w:t>Per first 3 hours</w:t>
            </w:r>
          </w:p>
        </w:tc>
        <w:tc>
          <w:tcPr>
            <w:tcW w:w="781" w:type="pct"/>
            <w:tcBorders>
              <w:top w:val="single" w:sz="4" w:space="0" w:color="auto"/>
              <w:left w:val="nil"/>
              <w:bottom w:val="single" w:sz="4" w:space="0" w:color="auto"/>
              <w:right w:val="nil"/>
            </w:tcBorders>
            <w:shd w:val="clear" w:color="auto" w:fill="auto"/>
          </w:tcPr>
          <w:p w14:paraId="3AAA5105" w14:textId="10D28B76" w:rsidR="00F700D1" w:rsidRPr="008B7CF3" w:rsidRDefault="00F700D1" w:rsidP="00A968F0">
            <w:pPr>
              <w:pStyle w:val="TableText"/>
            </w:pPr>
            <w:r w:rsidRPr="008B7CF3">
              <w:t xml:space="preserve">At least </w:t>
            </w:r>
            <w:r>
              <w:t>537</w:t>
            </w:r>
            <w:r w:rsidRPr="008B7CF3">
              <w:t>, but not more than 1,0</w:t>
            </w:r>
            <w:r>
              <w:t>74</w:t>
            </w:r>
          </w:p>
        </w:tc>
      </w:tr>
      <w:tr w:rsidR="00F700D1" w:rsidRPr="000A26DB" w14:paraId="3C2189D3" w14:textId="77777777" w:rsidTr="00A4372E">
        <w:tc>
          <w:tcPr>
            <w:tcW w:w="1096" w:type="pct"/>
            <w:vMerge/>
            <w:tcBorders>
              <w:left w:val="nil"/>
              <w:bottom w:val="single" w:sz="4" w:space="0" w:color="auto"/>
              <w:right w:val="nil"/>
            </w:tcBorders>
          </w:tcPr>
          <w:p w14:paraId="55A261F6" w14:textId="7C37A3D2" w:rsidR="00F700D1" w:rsidRPr="008B7CF3" w:rsidRDefault="00F700D1" w:rsidP="00A968F0">
            <w:pPr>
              <w:pStyle w:val="TableText"/>
            </w:pPr>
          </w:p>
        </w:tc>
        <w:tc>
          <w:tcPr>
            <w:tcW w:w="1093" w:type="pct"/>
            <w:tcBorders>
              <w:top w:val="single" w:sz="4" w:space="0" w:color="auto"/>
              <w:left w:val="nil"/>
              <w:bottom w:val="single" w:sz="4" w:space="0" w:color="auto"/>
              <w:right w:val="nil"/>
            </w:tcBorders>
            <w:shd w:val="clear" w:color="auto" w:fill="auto"/>
          </w:tcPr>
          <w:p w14:paraId="5195000B" w14:textId="5C3C631C" w:rsidR="00F700D1" w:rsidRPr="008B7CF3" w:rsidRDefault="00F700D1" w:rsidP="00A968F0">
            <w:pPr>
              <w:pStyle w:val="TableText"/>
            </w:pPr>
            <w:r w:rsidRPr="008B7CF3">
              <w:t>Immediately following the first 3 hours during which those activities are carried out</w:t>
            </w:r>
          </w:p>
        </w:tc>
        <w:tc>
          <w:tcPr>
            <w:tcW w:w="1247" w:type="pct"/>
            <w:tcBorders>
              <w:top w:val="single" w:sz="4" w:space="0" w:color="auto"/>
              <w:left w:val="nil"/>
              <w:bottom w:val="single" w:sz="4" w:space="0" w:color="auto"/>
              <w:right w:val="nil"/>
            </w:tcBorders>
            <w:shd w:val="clear" w:color="auto" w:fill="auto"/>
          </w:tcPr>
          <w:p w14:paraId="5C2F927E" w14:textId="275717AD" w:rsidR="00F700D1" w:rsidRPr="008B7CF3" w:rsidRDefault="00F700D1" w:rsidP="00A968F0">
            <w:pPr>
              <w:pStyle w:val="TableText"/>
            </w:pPr>
            <w:r w:rsidRPr="008B7CF3">
              <w:t>Per 15 minutes immediately following first 3 hours for each person carrying out those activities</w:t>
            </w:r>
          </w:p>
        </w:tc>
        <w:tc>
          <w:tcPr>
            <w:tcW w:w="783" w:type="pct"/>
            <w:tcBorders>
              <w:top w:val="single" w:sz="4" w:space="0" w:color="auto"/>
              <w:left w:val="nil"/>
              <w:bottom w:val="single" w:sz="4" w:space="0" w:color="auto"/>
              <w:right w:val="nil"/>
            </w:tcBorders>
            <w:shd w:val="clear" w:color="auto" w:fill="auto"/>
          </w:tcPr>
          <w:p w14:paraId="2813C637" w14:textId="7349B627" w:rsidR="00F700D1" w:rsidRPr="008B7CF3" w:rsidRDefault="00F700D1" w:rsidP="00A968F0">
            <w:pPr>
              <w:pStyle w:val="TableText"/>
              <w:rPr>
                <w:rFonts w:cstheme="minorHAnsi"/>
                <w:szCs w:val="18"/>
              </w:rPr>
            </w:pPr>
            <w:r w:rsidRPr="008B7CF3">
              <w:rPr>
                <w:rFonts w:cstheme="minorHAnsi"/>
                <w:szCs w:val="18"/>
              </w:rPr>
              <w:t>Per each 15 minutes after the first 3 hours</w:t>
            </w:r>
          </w:p>
        </w:tc>
        <w:tc>
          <w:tcPr>
            <w:tcW w:w="781" w:type="pct"/>
            <w:tcBorders>
              <w:top w:val="single" w:sz="4" w:space="0" w:color="auto"/>
              <w:left w:val="nil"/>
              <w:bottom w:val="single" w:sz="4" w:space="0" w:color="auto"/>
              <w:right w:val="nil"/>
            </w:tcBorders>
            <w:shd w:val="clear" w:color="auto" w:fill="auto"/>
          </w:tcPr>
          <w:p w14:paraId="19A7E8AD" w14:textId="2DDF96A5" w:rsidR="00F700D1" w:rsidRPr="008B7CF3" w:rsidRDefault="00F700D1" w:rsidP="00A968F0">
            <w:pPr>
              <w:pStyle w:val="TableText"/>
            </w:pPr>
            <w:r w:rsidRPr="008B7CF3">
              <w:t>At least 4</w:t>
            </w:r>
            <w:r>
              <w:t>5</w:t>
            </w:r>
            <w:r w:rsidRPr="008B7CF3">
              <w:t xml:space="preserve">, but not more than </w:t>
            </w:r>
            <w:r>
              <w:t>90</w:t>
            </w:r>
          </w:p>
        </w:tc>
      </w:tr>
    </w:tbl>
    <w:p w14:paraId="68A7450F" w14:textId="2E587BAD" w:rsidR="004D73B2" w:rsidRDefault="00B43817" w:rsidP="005B0E38">
      <w:pPr>
        <w:pStyle w:val="FigureTableNoteSource"/>
      </w:pPr>
      <w:r>
        <w:t xml:space="preserve">Note: </w:t>
      </w:r>
      <w:r w:rsidR="00B60EA5">
        <w:t>These f</w:t>
      </w:r>
      <w:r w:rsidR="00BC2201" w:rsidRPr="005B0E38">
        <w:t>ee</w:t>
      </w:r>
      <w:r w:rsidR="00B60EA5">
        <w:t>-</w:t>
      </w:r>
      <w:r w:rsidR="00B60EA5" w:rsidRPr="005B0E38">
        <w:t>for</w:t>
      </w:r>
      <w:r w:rsidR="00B60EA5">
        <w:t>-</w:t>
      </w:r>
      <w:r w:rsidR="00BC2201" w:rsidRPr="005B0E38">
        <w:t xml:space="preserve">service activities </w:t>
      </w:r>
      <w:r w:rsidR="00B60EA5">
        <w:t xml:space="preserve">will </w:t>
      </w:r>
      <w:r w:rsidR="00BC2201" w:rsidRPr="005B0E38">
        <w:t>only apply when the activity is requested by industry</w:t>
      </w:r>
      <w:r w:rsidR="00D95834">
        <w:t>.</w:t>
      </w:r>
    </w:p>
    <w:p w14:paraId="6A720C08" w14:textId="7A7A15ED" w:rsidR="00AA4A78" w:rsidRPr="0029167F" w:rsidRDefault="00056AD4" w:rsidP="00735097">
      <w:pPr>
        <w:pStyle w:val="Heading3"/>
        <w:rPr>
          <w:rFonts w:asciiTheme="minorHAnsi" w:hAnsiTheme="minorHAnsi" w:cstheme="minorHAnsi"/>
          <w:lang w:eastAsia="ja-JP"/>
        </w:rPr>
      </w:pPr>
      <w:bookmarkStart w:id="149" w:name="_Toc168489258"/>
      <w:bookmarkStart w:id="150" w:name="_Toc168489555"/>
      <w:bookmarkStart w:id="151" w:name="_Toc168645253"/>
      <w:r w:rsidRPr="0029167F">
        <w:rPr>
          <w:rFonts w:asciiTheme="minorHAnsi" w:hAnsiTheme="minorHAnsi" w:cstheme="minorHAnsi"/>
          <w:lang w:eastAsia="ja-JP"/>
        </w:rPr>
        <w:t xml:space="preserve">Projected cost base for </w:t>
      </w:r>
      <w:r w:rsidR="00051B63">
        <w:rPr>
          <w:rFonts w:asciiTheme="minorHAnsi" w:hAnsiTheme="minorHAnsi" w:cstheme="minorHAnsi"/>
          <w:lang w:eastAsia="ja-JP"/>
        </w:rPr>
        <w:t>2024</w:t>
      </w:r>
      <w:r w:rsidR="00F700D1">
        <w:rPr>
          <w:rFonts w:asciiTheme="minorHAnsi" w:hAnsiTheme="minorHAnsi" w:cstheme="minorHAnsi"/>
          <w:lang w:eastAsia="ja-JP"/>
        </w:rPr>
        <w:t>–</w:t>
      </w:r>
      <w:r w:rsidR="00051B63">
        <w:rPr>
          <w:rFonts w:asciiTheme="minorHAnsi" w:hAnsiTheme="minorHAnsi" w:cstheme="minorHAnsi"/>
          <w:lang w:eastAsia="ja-JP"/>
        </w:rPr>
        <w:t>25</w:t>
      </w:r>
      <w:bookmarkEnd w:id="149"/>
      <w:bookmarkEnd w:id="150"/>
      <w:bookmarkEnd w:id="151"/>
    </w:p>
    <w:p w14:paraId="0E31F0DE" w14:textId="3364971B" w:rsidR="00056AD4" w:rsidRPr="00314EDC" w:rsidRDefault="00056AD4" w:rsidP="00FC59C1">
      <w:pPr>
        <w:rPr>
          <w:rFonts w:cstheme="minorHAnsi"/>
        </w:rPr>
      </w:pPr>
      <w:r w:rsidRPr="00314EDC">
        <w:rPr>
          <w:rFonts w:cstheme="minorHAnsi"/>
        </w:rPr>
        <w:t>The cost base for the biosecurity regulatory charging arrangement i</w:t>
      </w:r>
      <w:r w:rsidR="00EE3B48" w:rsidRPr="00314EDC">
        <w:rPr>
          <w:rFonts w:cstheme="minorHAnsi"/>
        </w:rPr>
        <w:t xml:space="preserve">n </w:t>
      </w:r>
      <w:r w:rsidR="00051B63" w:rsidRPr="00314EDC">
        <w:rPr>
          <w:rFonts w:cstheme="minorHAnsi"/>
        </w:rPr>
        <w:t>2024</w:t>
      </w:r>
      <w:r w:rsidR="00F700D1" w:rsidRPr="00314EDC">
        <w:rPr>
          <w:rFonts w:cstheme="minorHAnsi"/>
        </w:rPr>
        <w:t>–</w:t>
      </w:r>
      <w:r w:rsidR="00051B63" w:rsidRPr="00314EDC">
        <w:rPr>
          <w:rFonts w:cstheme="minorHAnsi"/>
        </w:rPr>
        <w:t>25</w:t>
      </w:r>
      <w:r w:rsidR="00EE3B48" w:rsidRPr="00314EDC">
        <w:rPr>
          <w:rFonts w:cstheme="minorHAnsi"/>
        </w:rPr>
        <w:t xml:space="preserve"> is projected to </w:t>
      </w:r>
      <w:r w:rsidR="00C922F1" w:rsidRPr="00314EDC">
        <w:rPr>
          <w:rFonts w:cstheme="minorHAnsi"/>
        </w:rPr>
        <w:t>be $</w:t>
      </w:r>
      <w:r w:rsidR="005937A4" w:rsidRPr="00314EDC">
        <w:rPr>
          <w:rFonts w:cstheme="minorHAnsi"/>
        </w:rPr>
        <w:t>3</w:t>
      </w:r>
      <w:r w:rsidR="00647F7A" w:rsidRPr="00314EDC">
        <w:rPr>
          <w:rFonts w:cstheme="minorHAnsi"/>
        </w:rPr>
        <w:t>66</w:t>
      </w:r>
      <w:r w:rsidR="001837AB" w:rsidRPr="00314EDC">
        <w:rPr>
          <w:rFonts w:cstheme="minorHAnsi"/>
        </w:rPr>
        <w:t> </w:t>
      </w:r>
      <w:r w:rsidRPr="00314EDC">
        <w:rPr>
          <w:rFonts w:cstheme="minorHAnsi"/>
        </w:rPr>
        <w:t>million. This is made up of:</w:t>
      </w:r>
    </w:p>
    <w:p w14:paraId="2CF238D6" w14:textId="7C182C30" w:rsidR="00056AD4" w:rsidRPr="00314EDC" w:rsidRDefault="00056AD4" w:rsidP="00056AD4">
      <w:pPr>
        <w:pStyle w:val="ListBullet"/>
        <w:rPr>
          <w:rFonts w:cstheme="minorHAnsi"/>
        </w:rPr>
      </w:pPr>
      <w:r w:rsidRPr="00314EDC">
        <w:rPr>
          <w:rFonts w:cstheme="minorHAnsi"/>
        </w:rPr>
        <w:t>$</w:t>
      </w:r>
      <w:r w:rsidR="005937A4" w:rsidRPr="00314EDC">
        <w:rPr>
          <w:rFonts w:cstheme="minorHAnsi"/>
        </w:rPr>
        <w:t>28</w:t>
      </w:r>
      <w:r w:rsidR="00647F7A" w:rsidRPr="00314EDC">
        <w:rPr>
          <w:rFonts w:cstheme="minorHAnsi"/>
        </w:rPr>
        <w:t>5</w:t>
      </w:r>
      <w:r w:rsidR="005937A4" w:rsidRPr="00314EDC">
        <w:rPr>
          <w:rFonts w:cstheme="minorHAnsi"/>
        </w:rPr>
        <w:t>.</w:t>
      </w:r>
      <w:r w:rsidR="00647F7A" w:rsidRPr="00314EDC">
        <w:rPr>
          <w:rFonts w:cstheme="minorHAnsi"/>
        </w:rPr>
        <w:t>4</w:t>
      </w:r>
      <w:r w:rsidR="005937A4" w:rsidRPr="00314EDC">
        <w:rPr>
          <w:rFonts w:cstheme="minorHAnsi"/>
        </w:rPr>
        <w:t xml:space="preserve"> </w:t>
      </w:r>
      <w:r w:rsidRPr="00314EDC">
        <w:rPr>
          <w:rFonts w:cstheme="minorHAnsi"/>
        </w:rPr>
        <w:t xml:space="preserve">million in </w:t>
      </w:r>
      <w:r w:rsidR="006A2234" w:rsidRPr="00314EDC">
        <w:rPr>
          <w:rFonts w:cstheme="minorHAnsi"/>
        </w:rPr>
        <w:t>charge</w:t>
      </w:r>
      <w:r w:rsidR="005806AC" w:rsidRPr="00314EDC">
        <w:rPr>
          <w:rFonts w:cstheme="minorHAnsi"/>
        </w:rPr>
        <w:t xml:space="preserve"> (levy)</w:t>
      </w:r>
      <w:r w:rsidRPr="00314EDC">
        <w:rPr>
          <w:rFonts w:cstheme="minorHAnsi"/>
        </w:rPr>
        <w:t>-related activities</w:t>
      </w:r>
    </w:p>
    <w:p w14:paraId="08D7CC08" w14:textId="4B46FABA" w:rsidR="00056AD4" w:rsidRPr="00314EDC" w:rsidRDefault="00056AD4" w:rsidP="00056AD4">
      <w:pPr>
        <w:pStyle w:val="ListBullet"/>
        <w:rPr>
          <w:rFonts w:cstheme="minorHAnsi"/>
        </w:rPr>
      </w:pPr>
      <w:r w:rsidRPr="00314EDC">
        <w:rPr>
          <w:rFonts w:cstheme="minorHAnsi"/>
        </w:rPr>
        <w:t>$</w:t>
      </w:r>
      <w:r w:rsidR="005937A4" w:rsidRPr="00314EDC">
        <w:rPr>
          <w:rFonts w:cstheme="minorHAnsi"/>
        </w:rPr>
        <w:t>8</w:t>
      </w:r>
      <w:r w:rsidR="00647F7A" w:rsidRPr="00314EDC">
        <w:rPr>
          <w:rFonts w:cstheme="minorHAnsi"/>
        </w:rPr>
        <w:t>0</w:t>
      </w:r>
      <w:r w:rsidR="005937A4" w:rsidRPr="00314EDC">
        <w:rPr>
          <w:rFonts w:cstheme="minorHAnsi"/>
        </w:rPr>
        <w:t>.</w:t>
      </w:r>
      <w:r w:rsidR="00647F7A" w:rsidRPr="00314EDC">
        <w:rPr>
          <w:rFonts w:cstheme="minorHAnsi"/>
        </w:rPr>
        <w:t>6</w:t>
      </w:r>
      <w:r w:rsidR="00362834" w:rsidRPr="00314EDC">
        <w:rPr>
          <w:rFonts w:cstheme="minorHAnsi"/>
        </w:rPr>
        <w:t xml:space="preserve"> </w:t>
      </w:r>
      <w:r w:rsidRPr="00314EDC">
        <w:rPr>
          <w:rFonts w:cstheme="minorHAnsi"/>
        </w:rPr>
        <w:t>million in fee-related activities.</w:t>
      </w:r>
    </w:p>
    <w:p w14:paraId="54E6DCCA" w14:textId="1F548012" w:rsidR="00056AD4" w:rsidRPr="0029167F" w:rsidRDefault="00F700D1" w:rsidP="00056AD4">
      <w:pPr>
        <w:rPr>
          <w:rFonts w:cstheme="minorHAnsi"/>
        </w:rPr>
      </w:pPr>
      <w:r>
        <w:rPr>
          <w:rFonts w:cstheme="minorHAnsi"/>
        </w:rPr>
        <w:fldChar w:fldCharType="begin"/>
      </w:r>
      <w:r>
        <w:rPr>
          <w:rFonts w:cstheme="minorHAnsi"/>
        </w:rPr>
        <w:instrText xml:space="preserve"> REF _Ref163555143 \h </w:instrText>
      </w:r>
      <w:r>
        <w:rPr>
          <w:rFonts w:cstheme="minorHAnsi"/>
        </w:rPr>
      </w:r>
      <w:r>
        <w:rPr>
          <w:rFonts w:cstheme="minorHAnsi"/>
        </w:rPr>
        <w:fldChar w:fldCharType="separate"/>
      </w:r>
      <w:r w:rsidR="006D5EF4">
        <w:t xml:space="preserve">Table </w:t>
      </w:r>
      <w:r w:rsidR="006D5EF4">
        <w:rPr>
          <w:noProof/>
        </w:rPr>
        <w:t>5</w:t>
      </w:r>
      <w:r>
        <w:rPr>
          <w:rFonts w:cstheme="minorHAnsi"/>
        </w:rPr>
        <w:fldChar w:fldCharType="end"/>
      </w:r>
      <w:r>
        <w:rPr>
          <w:rFonts w:cstheme="minorHAnsi"/>
        </w:rPr>
        <w:t xml:space="preserve"> </w:t>
      </w:r>
      <w:r w:rsidR="00056AD4" w:rsidRPr="0029167F">
        <w:rPr>
          <w:rFonts w:cstheme="minorHAnsi"/>
        </w:rPr>
        <w:t xml:space="preserve">provides a breakdown of </w:t>
      </w:r>
      <w:r w:rsidR="00FC2FED" w:rsidRPr="0029167F">
        <w:rPr>
          <w:rFonts w:cstheme="minorHAnsi"/>
        </w:rPr>
        <w:t xml:space="preserve">the </w:t>
      </w:r>
      <w:r w:rsidR="00056AD4" w:rsidRPr="0029167F">
        <w:rPr>
          <w:rFonts w:cstheme="minorHAnsi"/>
        </w:rPr>
        <w:t xml:space="preserve">modelled cost base of the biosecurity regulatory charging </w:t>
      </w:r>
      <w:r w:rsidR="00550BCA" w:rsidRPr="0029167F">
        <w:rPr>
          <w:rFonts w:cstheme="minorHAnsi"/>
        </w:rPr>
        <w:t>type by</w:t>
      </w:r>
      <w:r w:rsidR="00056AD4" w:rsidRPr="0029167F">
        <w:rPr>
          <w:rFonts w:cstheme="minorHAnsi"/>
        </w:rPr>
        <w:t xml:space="preserve"> activity</w:t>
      </w:r>
      <w:r w:rsidR="00550BCA" w:rsidRPr="0029167F">
        <w:rPr>
          <w:rFonts w:cstheme="minorHAnsi"/>
        </w:rPr>
        <w:t xml:space="preserve">. </w:t>
      </w:r>
      <w:r w:rsidR="00056AD4" w:rsidRPr="0029167F">
        <w:rPr>
          <w:rFonts w:cstheme="minorHAnsi"/>
        </w:rPr>
        <w:t xml:space="preserve">For a detailed description of cost activities, see </w:t>
      </w:r>
      <w:hyperlink w:anchor="_Appendix_B:_Description" w:history="1">
        <w:r w:rsidR="00550BCA" w:rsidRPr="0029167F">
          <w:rPr>
            <w:rStyle w:val="Hyperlink"/>
            <w:rFonts w:cstheme="minorHAnsi"/>
          </w:rPr>
          <w:t>Appendix B</w:t>
        </w:r>
      </w:hyperlink>
      <w:r w:rsidR="00056AD4" w:rsidRPr="0029167F">
        <w:rPr>
          <w:rFonts w:cstheme="minorHAnsi"/>
        </w:rPr>
        <w:t xml:space="preserve">. The methodology for attributing costs to these activities is provided in </w:t>
      </w:r>
      <w:hyperlink w:anchor="_Regulatory_charging_model" w:history="1">
        <w:r w:rsidR="0002150E" w:rsidRPr="0002150E">
          <w:rPr>
            <w:rStyle w:val="Hyperlink"/>
            <w:rFonts w:cstheme="minorHAnsi"/>
          </w:rPr>
          <w:t>section 3.</w:t>
        </w:r>
      </w:hyperlink>
    </w:p>
    <w:p w14:paraId="61AF9888" w14:textId="0B095563" w:rsidR="002753FF" w:rsidRPr="002753FF" w:rsidRDefault="002753FF" w:rsidP="002753FF">
      <w:pPr>
        <w:pStyle w:val="Caption"/>
      </w:pPr>
      <w:bookmarkStart w:id="152" w:name="_Ref163555143"/>
      <w:bookmarkStart w:id="153" w:name="_Toc167086232"/>
      <w:bookmarkStart w:id="154" w:name="_Toc168645279"/>
      <w:bookmarkStart w:id="155" w:name="Table_4"/>
      <w:r>
        <w:t xml:space="preserve">Table </w:t>
      </w:r>
      <w:r w:rsidR="00FD4278">
        <w:fldChar w:fldCharType="begin"/>
      </w:r>
      <w:r w:rsidR="00FD4278">
        <w:instrText xml:space="preserve"> SEQ Table \* ARABIC </w:instrText>
      </w:r>
      <w:r w:rsidR="00FD4278">
        <w:fldChar w:fldCharType="separate"/>
      </w:r>
      <w:r w:rsidR="006D5EF4">
        <w:rPr>
          <w:noProof/>
        </w:rPr>
        <w:t>5</w:t>
      </w:r>
      <w:r w:rsidR="00FD4278">
        <w:rPr>
          <w:noProof/>
        </w:rPr>
        <w:fldChar w:fldCharType="end"/>
      </w:r>
      <w:bookmarkEnd w:id="152"/>
      <w:r>
        <w:t xml:space="preserve"> Cost type breakdown</w:t>
      </w:r>
      <w:bookmarkEnd w:id="153"/>
      <w:bookmarkEnd w:id="154"/>
    </w:p>
    <w:tbl>
      <w:tblPr>
        <w:tblW w:w="5000" w:type="pct"/>
        <w:tblBorders>
          <w:top w:val="single" w:sz="4" w:space="0" w:color="auto"/>
          <w:bottom w:val="single" w:sz="4" w:space="0" w:color="auto"/>
          <w:insideH w:val="single" w:sz="4" w:space="0" w:color="auto"/>
        </w:tblBorders>
        <w:tblCellMar>
          <w:left w:w="40" w:type="dxa"/>
          <w:right w:w="40" w:type="dxa"/>
        </w:tblCellMar>
        <w:tblLook w:val="04A0" w:firstRow="1" w:lastRow="0" w:firstColumn="1" w:lastColumn="0" w:noHBand="0" w:noVBand="1"/>
      </w:tblPr>
      <w:tblGrid>
        <w:gridCol w:w="2020"/>
        <w:gridCol w:w="2122"/>
        <w:gridCol w:w="2711"/>
        <w:gridCol w:w="2331"/>
      </w:tblGrid>
      <w:tr w:rsidR="00540815" w:rsidRPr="0029167F" w14:paraId="7CB9387B" w14:textId="77777777" w:rsidTr="00A4372E">
        <w:trPr>
          <w:tblHeader/>
        </w:trPr>
        <w:tc>
          <w:tcPr>
            <w:tcW w:w="1100" w:type="pct"/>
          </w:tcPr>
          <w:p w14:paraId="42A8895C" w14:textId="77777777" w:rsidR="00540815" w:rsidRPr="001837AB" w:rsidRDefault="00540815" w:rsidP="001837AB">
            <w:pPr>
              <w:pStyle w:val="TableHeading"/>
            </w:pPr>
            <w:bookmarkStart w:id="156" w:name="Title_5"/>
            <w:bookmarkStart w:id="157" w:name="_Hlk135045459"/>
            <w:bookmarkEnd w:id="155"/>
            <w:bookmarkEnd w:id="156"/>
            <w:r w:rsidRPr="001837AB">
              <w:t>Charge type</w:t>
            </w:r>
          </w:p>
        </w:tc>
        <w:tc>
          <w:tcPr>
            <w:tcW w:w="1155" w:type="pct"/>
          </w:tcPr>
          <w:p w14:paraId="56AA7273" w14:textId="77777777" w:rsidR="00540815" w:rsidRPr="001837AB" w:rsidRDefault="00540815" w:rsidP="001837AB">
            <w:pPr>
              <w:pStyle w:val="TableHeading"/>
            </w:pPr>
            <w:r w:rsidRPr="001837AB">
              <w:t>Activity group</w:t>
            </w:r>
          </w:p>
        </w:tc>
        <w:tc>
          <w:tcPr>
            <w:tcW w:w="1476" w:type="pct"/>
          </w:tcPr>
          <w:p w14:paraId="63F5926C" w14:textId="77777777" w:rsidR="00540815" w:rsidRPr="001837AB" w:rsidRDefault="00540815" w:rsidP="001837AB">
            <w:pPr>
              <w:pStyle w:val="TableHeading"/>
            </w:pPr>
            <w:r w:rsidRPr="001837AB">
              <w:t>Activity</w:t>
            </w:r>
          </w:p>
        </w:tc>
        <w:tc>
          <w:tcPr>
            <w:tcW w:w="1269" w:type="pct"/>
          </w:tcPr>
          <w:p w14:paraId="5EFF219C" w14:textId="77777777" w:rsidR="00540815" w:rsidRPr="001837AB" w:rsidRDefault="00540815" w:rsidP="00A968F0">
            <w:pPr>
              <w:pStyle w:val="TableHeading"/>
            </w:pPr>
            <w:r w:rsidRPr="001837AB">
              <w:t>Expense ($)</w:t>
            </w:r>
          </w:p>
        </w:tc>
      </w:tr>
      <w:tr w:rsidR="00647F7A" w:rsidRPr="00AF77B2" w14:paraId="08204346" w14:textId="77777777" w:rsidTr="00A4372E">
        <w:tc>
          <w:tcPr>
            <w:tcW w:w="1100" w:type="pct"/>
            <w:vMerge w:val="restart"/>
          </w:tcPr>
          <w:p w14:paraId="68B8CC94" w14:textId="77777777" w:rsidR="00647F7A" w:rsidRPr="00563A46" w:rsidRDefault="00647F7A" w:rsidP="00647F7A">
            <w:pPr>
              <w:pStyle w:val="TableText"/>
              <w:rPr>
                <w:rFonts w:ascii="Calibri" w:hAnsi="Calibri" w:cs="Calibri"/>
                <w:szCs w:val="18"/>
              </w:rPr>
            </w:pPr>
            <w:r w:rsidRPr="00563A46">
              <w:rPr>
                <w:rFonts w:ascii="Calibri" w:hAnsi="Calibri" w:cs="Calibri"/>
                <w:szCs w:val="18"/>
              </w:rPr>
              <w:t>Charges</w:t>
            </w:r>
          </w:p>
        </w:tc>
        <w:tc>
          <w:tcPr>
            <w:tcW w:w="1155" w:type="pct"/>
            <w:vMerge w:val="restart"/>
          </w:tcPr>
          <w:p w14:paraId="148D3A63" w14:textId="77777777" w:rsidR="00647F7A" w:rsidRPr="00563A46" w:rsidRDefault="00647F7A" w:rsidP="00647F7A">
            <w:pPr>
              <w:pStyle w:val="TableText"/>
              <w:rPr>
                <w:rFonts w:ascii="Calibri" w:hAnsi="Calibri" w:cs="Calibri"/>
                <w:szCs w:val="18"/>
              </w:rPr>
            </w:pPr>
            <w:r w:rsidRPr="00563A46">
              <w:rPr>
                <w:rFonts w:ascii="Calibri" w:hAnsi="Calibri" w:cs="Calibri"/>
                <w:szCs w:val="18"/>
              </w:rPr>
              <w:t>Program management and administration</w:t>
            </w:r>
          </w:p>
        </w:tc>
        <w:tc>
          <w:tcPr>
            <w:tcW w:w="1476" w:type="pct"/>
          </w:tcPr>
          <w:p w14:paraId="09059BAB" w14:textId="77777777" w:rsidR="00647F7A" w:rsidRPr="004375CA" w:rsidRDefault="00647F7A" w:rsidP="00647F7A">
            <w:pPr>
              <w:pStyle w:val="TableText"/>
              <w:rPr>
                <w:rFonts w:ascii="Calibri" w:hAnsi="Calibri" w:cs="Calibri"/>
                <w:szCs w:val="18"/>
              </w:rPr>
            </w:pPr>
            <w:r w:rsidRPr="004375CA">
              <w:rPr>
                <w:rFonts w:ascii="Calibri" w:hAnsi="Calibri" w:cs="Calibri"/>
                <w:szCs w:val="18"/>
              </w:rPr>
              <w:t>Workforce and business administration</w:t>
            </w:r>
          </w:p>
        </w:tc>
        <w:tc>
          <w:tcPr>
            <w:tcW w:w="1269" w:type="pct"/>
          </w:tcPr>
          <w:p w14:paraId="3731AF56" w14:textId="16ED847D" w:rsidR="00647F7A" w:rsidRPr="00C32CCF" w:rsidRDefault="00647F7A" w:rsidP="00647F7A">
            <w:pPr>
              <w:pStyle w:val="TableText"/>
              <w:jc w:val="right"/>
              <w:rPr>
                <w:rFonts w:cstheme="minorHAnsi"/>
                <w:strike/>
                <w:szCs w:val="18"/>
                <w:highlight w:val="yellow"/>
              </w:rPr>
            </w:pPr>
            <w:r w:rsidRPr="00D64D94">
              <w:t>143,879,381</w:t>
            </w:r>
          </w:p>
        </w:tc>
      </w:tr>
      <w:tr w:rsidR="00647F7A" w:rsidRPr="00AF77B2" w14:paraId="050CD373" w14:textId="77777777" w:rsidTr="00A4372E">
        <w:tc>
          <w:tcPr>
            <w:tcW w:w="1100" w:type="pct"/>
            <w:vMerge/>
          </w:tcPr>
          <w:p w14:paraId="58C17D6A" w14:textId="77777777" w:rsidR="00647F7A" w:rsidRPr="00563A46" w:rsidRDefault="00647F7A" w:rsidP="00647F7A">
            <w:pPr>
              <w:pStyle w:val="TableText"/>
              <w:rPr>
                <w:rFonts w:ascii="Calibri" w:hAnsi="Calibri" w:cs="Calibri"/>
                <w:szCs w:val="18"/>
              </w:rPr>
            </w:pPr>
          </w:p>
        </w:tc>
        <w:tc>
          <w:tcPr>
            <w:tcW w:w="1155" w:type="pct"/>
            <w:vMerge/>
          </w:tcPr>
          <w:p w14:paraId="11F53310" w14:textId="77777777" w:rsidR="00647F7A" w:rsidRPr="00563A46" w:rsidRDefault="00647F7A" w:rsidP="00647F7A">
            <w:pPr>
              <w:pStyle w:val="TableText"/>
              <w:rPr>
                <w:rFonts w:ascii="Calibri" w:hAnsi="Calibri" w:cs="Calibri"/>
                <w:szCs w:val="18"/>
              </w:rPr>
            </w:pPr>
          </w:p>
        </w:tc>
        <w:tc>
          <w:tcPr>
            <w:tcW w:w="1476" w:type="pct"/>
          </w:tcPr>
          <w:p w14:paraId="06B4A157" w14:textId="77777777" w:rsidR="00647F7A" w:rsidRPr="004375CA" w:rsidRDefault="00647F7A" w:rsidP="00647F7A">
            <w:pPr>
              <w:pStyle w:val="TableText"/>
              <w:rPr>
                <w:rFonts w:ascii="Calibri" w:hAnsi="Calibri" w:cs="Calibri"/>
                <w:szCs w:val="18"/>
              </w:rPr>
            </w:pPr>
            <w:r w:rsidRPr="004375CA">
              <w:rPr>
                <w:rFonts w:ascii="Calibri" w:hAnsi="Calibri" w:cs="Calibri"/>
                <w:szCs w:val="18"/>
              </w:rPr>
              <w:t>Business system administration</w:t>
            </w:r>
          </w:p>
        </w:tc>
        <w:tc>
          <w:tcPr>
            <w:tcW w:w="1269" w:type="pct"/>
          </w:tcPr>
          <w:p w14:paraId="5A9E46BE" w14:textId="7B311E58" w:rsidR="00647F7A" w:rsidRPr="00C32CCF" w:rsidRDefault="00647F7A" w:rsidP="00647F7A">
            <w:pPr>
              <w:pStyle w:val="TableText"/>
              <w:jc w:val="right"/>
              <w:rPr>
                <w:rFonts w:cstheme="minorHAnsi"/>
                <w:strike/>
                <w:szCs w:val="18"/>
                <w:highlight w:val="yellow"/>
              </w:rPr>
            </w:pPr>
            <w:r w:rsidRPr="00D64D94">
              <w:t>20,056,401</w:t>
            </w:r>
          </w:p>
        </w:tc>
      </w:tr>
      <w:tr w:rsidR="00647F7A" w:rsidRPr="00AF77B2" w14:paraId="3E139E66" w14:textId="77777777" w:rsidTr="00A4372E">
        <w:tc>
          <w:tcPr>
            <w:tcW w:w="1100" w:type="pct"/>
            <w:vMerge/>
          </w:tcPr>
          <w:p w14:paraId="58188FE2" w14:textId="77777777" w:rsidR="00647F7A" w:rsidRPr="00563A46" w:rsidRDefault="00647F7A" w:rsidP="00647F7A">
            <w:pPr>
              <w:pStyle w:val="TableText"/>
              <w:rPr>
                <w:rFonts w:ascii="Calibri" w:hAnsi="Calibri" w:cs="Calibri"/>
                <w:szCs w:val="18"/>
              </w:rPr>
            </w:pPr>
          </w:p>
        </w:tc>
        <w:tc>
          <w:tcPr>
            <w:tcW w:w="1155" w:type="pct"/>
            <w:vMerge/>
          </w:tcPr>
          <w:p w14:paraId="4154B847" w14:textId="77777777" w:rsidR="00647F7A" w:rsidRPr="00563A46" w:rsidRDefault="00647F7A" w:rsidP="00647F7A">
            <w:pPr>
              <w:pStyle w:val="TableText"/>
              <w:rPr>
                <w:rFonts w:ascii="Calibri" w:hAnsi="Calibri" w:cs="Calibri"/>
                <w:szCs w:val="18"/>
              </w:rPr>
            </w:pPr>
          </w:p>
        </w:tc>
        <w:tc>
          <w:tcPr>
            <w:tcW w:w="1476" w:type="pct"/>
          </w:tcPr>
          <w:p w14:paraId="6A2E5A33" w14:textId="77777777" w:rsidR="00647F7A" w:rsidRPr="004375CA" w:rsidRDefault="00647F7A" w:rsidP="00647F7A">
            <w:pPr>
              <w:pStyle w:val="TableText"/>
              <w:rPr>
                <w:rFonts w:ascii="Calibri" w:hAnsi="Calibri" w:cs="Calibri"/>
                <w:szCs w:val="18"/>
              </w:rPr>
            </w:pPr>
            <w:r w:rsidRPr="004375CA">
              <w:rPr>
                <w:rFonts w:ascii="Calibri" w:hAnsi="Calibri" w:cs="Calibri"/>
                <w:szCs w:val="18"/>
              </w:rPr>
              <w:t>Stakeholder engagement</w:t>
            </w:r>
          </w:p>
        </w:tc>
        <w:tc>
          <w:tcPr>
            <w:tcW w:w="1269" w:type="pct"/>
            <w:shd w:val="clear" w:color="auto" w:fill="auto"/>
          </w:tcPr>
          <w:p w14:paraId="0F4751A3" w14:textId="334E2040" w:rsidR="00647F7A" w:rsidRPr="00C32CCF" w:rsidRDefault="00647F7A" w:rsidP="00647F7A">
            <w:pPr>
              <w:pStyle w:val="TableText"/>
              <w:jc w:val="right"/>
              <w:rPr>
                <w:rFonts w:cstheme="minorHAnsi"/>
                <w:strike/>
                <w:szCs w:val="18"/>
                <w:highlight w:val="yellow"/>
              </w:rPr>
            </w:pPr>
            <w:r w:rsidRPr="00D64D94">
              <w:t>20,082,531</w:t>
            </w:r>
          </w:p>
        </w:tc>
      </w:tr>
      <w:tr w:rsidR="00647F7A" w:rsidRPr="00AF77B2" w14:paraId="01E66602" w14:textId="77777777" w:rsidTr="00A4372E">
        <w:tc>
          <w:tcPr>
            <w:tcW w:w="1100" w:type="pct"/>
            <w:vMerge/>
          </w:tcPr>
          <w:p w14:paraId="11B09423" w14:textId="77777777" w:rsidR="00647F7A" w:rsidRPr="00563A46" w:rsidRDefault="00647F7A" w:rsidP="00647F7A">
            <w:pPr>
              <w:pStyle w:val="TableText"/>
              <w:rPr>
                <w:rFonts w:ascii="Calibri" w:hAnsi="Calibri" w:cs="Calibri"/>
                <w:szCs w:val="18"/>
              </w:rPr>
            </w:pPr>
          </w:p>
        </w:tc>
        <w:tc>
          <w:tcPr>
            <w:tcW w:w="1155" w:type="pct"/>
            <w:vMerge/>
          </w:tcPr>
          <w:p w14:paraId="3E2FB777" w14:textId="77777777" w:rsidR="00647F7A" w:rsidRPr="00563A46" w:rsidRDefault="00647F7A" w:rsidP="00647F7A">
            <w:pPr>
              <w:pStyle w:val="TableText"/>
              <w:rPr>
                <w:rFonts w:ascii="Calibri" w:hAnsi="Calibri" w:cs="Calibri"/>
                <w:szCs w:val="18"/>
              </w:rPr>
            </w:pPr>
          </w:p>
        </w:tc>
        <w:tc>
          <w:tcPr>
            <w:tcW w:w="1476" w:type="pct"/>
          </w:tcPr>
          <w:p w14:paraId="479E2546" w14:textId="77777777" w:rsidR="00647F7A" w:rsidRPr="004375CA" w:rsidRDefault="00647F7A" w:rsidP="00647F7A">
            <w:pPr>
              <w:pStyle w:val="TableText"/>
              <w:rPr>
                <w:rFonts w:ascii="Calibri" w:hAnsi="Calibri" w:cs="Calibri"/>
                <w:szCs w:val="18"/>
              </w:rPr>
            </w:pPr>
            <w:r w:rsidRPr="004375CA">
              <w:rPr>
                <w:rFonts w:ascii="Calibri" w:hAnsi="Calibri" w:cs="Calibri"/>
                <w:szCs w:val="18"/>
              </w:rPr>
              <w:t>Policy and instructional material</w:t>
            </w:r>
          </w:p>
        </w:tc>
        <w:tc>
          <w:tcPr>
            <w:tcW w:w="1269" w:type="pct"/>
          </w:tcPr>
          <w:p w14:paraId="1908CE7E" w14:textId="1AF7A7EC" w:rsidR="00647F7A" w:rsidRPr="00C32CCF" w:rsidRDefault="00647F7A" w:rsidP="00647F7A">
            <w:pPr>
              <w:pStyle w:val="TableText"/>
              <w:jc w:val="right"/>
              <w:rPr>
                <w:rFonts w:cstheme="minorHAnsi"/>
                <w:strike/>
                <w:szCs w:val="18"/>
                <w:highlight w:val="yellow"/>
              </w:rPr>
            </w:pPr>
            <w:r w:rsidRPr="00D64D94">
              <w:t>30,505,423</w:t>
            </w:r>
          </w:p>
        </w:tc>
      </w:tr>
      <w:tr w:rsidR="00647F7A" w:rsidRPr="00AF77B2" w14:paraId="6E6AF03C" w14:textId="77777777" w:rsidTr="00A4372E">
        <w:tc>
          <w:tcPr>
            <w:tcW w:w="1100" w:type="pct"/>
            <w:vMerge/>
          </w:tcPr>
          <w:p w14:paraId="7EE410F9" w14:textId="77777777" w:rsidR="00647F7A" w:rsidRPr="00563A46" w:rsidRDefault="00647F7A" w:rsidP="00647F7A">
            <w:pPr>
              <w:pStyle w:val="TableText"/>
              <w:rPr>
                <w:rFonts w:ascii="Calibri" w:hAnsi="Calibri" w:cs="Calibri"/>
                <w:szCs w:val="18"/>
              </w:rPr>
            </w:pPr>
          </w:p>
        </w:tc>
        <w:tc>
          <w:tcPr>
            <w:tcW w:w="1155" w:type="pct"/>
            <w:vMerge/>
          </w:tcPr>
          <w:p w14:paraId="0E6C0DC8" w14:textId="77777777" w:rsidR="00647F7A" w:rsidRPr="00563A46" w:rsidRDefault="00647F7A" w:rsidP="00647F7A">
            <w:pPr>
              <w:pStyle w:val="TableText"/>
              <w:rPr>
                <w:rFonts w:ascii="Calibri" w:hAnsi="Calibri" w:cs="Calibri"/>
                <w:szCs w:val="18"/>
              </w:rPr>
            </w:pPr>
          </w:p>
        </w:tc>
        <w:tc>
          <w:tcPr>
            <w:tcW w:w="1476" w:type="pct"/>
          </w:tcPr>
          <w:p w14:paraId="62597CA8" w14:textId="77777777" w:rsidR="00647F7A" w:rsidRPr="004375CA" w:rsidRDefault="00647F7A" w:rsidP="00647F7A">
            <w:pPr>
              <w:pStyle w:val="TableText"/>
              <w:rPr>
                <w:rFonts w:ascii="Calibri" w:hAnsi="Calibri" w:cs="Calibri"/>
                <w:szCs w:val="18"/>
              </w:rPr>
            </w:pPr>
            <w:r w:rsidRPr="004375CA">
              <w:rPr>
                <w:rFonts w:ascii="Calibri" w:hAnsi="Calibri" w:cs="Calibri"/>
                <w:szCs w:val="18"/>
              </w:rPr>
              <w:t>Business improvement</w:t>
            </w:r>
          </w:p>
        </w:tc>
        <w:tc>
          <w:tcPr>
            <w:tcW w:w="1269" w:type="pct"/>
          </w:tcPr>
          <w:p w14:paraId="1E10326B" w14:textId="39D11529" w:rsidR="00647F7A" w:rsidRPr="00C32CCF" w:rsidRDefault="00647F7A" w:rsidP="00647F7A">
            <w:pPr>
              <w:pStyle w:val="TableText"/>
              <w:jc w:val="right"/>
              <w:rPr>
                <w:rFonts w:cstheme="minorHAnsi"/>
                <w:strike/>
                <w:szCs w:val="18"/>
                <w:highlight w:val="yellow"/>
              </w:rPr>
            </w:pPr>
            <w:r w:rsidRPr="00D64D94">
              <w:t>15,332,726</w:t>
            </w:r>
          </w:p>
        </w:tc>
      </w:tr>
      <w:tr w:rsidR="00647F7A" w:rsidRPr="00AF77B2" w14:paraId="1C4DB175" w14:textId="77777777" w:rsidTr="00A4372E">
        <w:tc>
          <w:tcPr>
            <w:tcW w:w="1100" w:type="pct"/>
            <w:vMerge/>
          </w:tcPr>
          <w:p w14:paraId="178F24F0" w14:textId="77777777" w:rsidR="00647F7A" w:rsidRPr="00563A46" w:rsidRDefault="00647F7A" w:rsidP="00647F7A">
            <w:pPr>
              <w:pStyle w:val="TableText"/>
              <w:rPr>
                <w:rFonts w:ascii="Calibri" w:hAnsi="Calibri" w:cs="Calibri"/>
                <w:szCs w:val="18"/>
              </w:rPr>
            </w:pPr>
          </w:p>
        </w:tc>
        <w:tc>
          <w:tcPr>
            <w:tcW w:w="1155" w:type="pct"/>
            <w:vMerge/>
          </w:tcPr>
          <w:p w14:paraId="6988B778" w14:textId="77777777" w:rsidR="00647F7A" w:rsidRPr="00563A46" w:rsidRDefault="00647F7A" w:rsidP="00647F7A">
            <w:pPr>
              <w:pStyle w:val="TableText"/>
              <w:rPr>
                <w:rFonts w:ascii="Calibri" w:hAnsi="Calibri" w:cs="Calibri"/>
                <w:szCs w:val="18"/>
              </w:rPr>
            </w:pPr>
          </w:p>
        </w:tc>
        <w:tc>
          <w:tcPr>
            <w:tcW w:w="1476" w:type="pct"/>
          </w:tcPr>
          <w:p w14:paraId="3CF35DD8" w14:textId="77777777" w:rsidR="00647F7A" w:rsidRPr="004375CA" w:rsidRDefault="00647F7A" w:rsidP="00647F7A">
            <w:pPr>
              <w:pStyle w:val="TableText"/>
              <w:rPr>
                <w:rStyle w:val="Strong"/>
                <w:rFonts w:ascii="Calibri" w:hAnsi="Calibri" w:cs="Calibri"/>
                <w:szCs w:val="18"/>
              </w:rPr>
            </w:pPr>
            <w:r w:rsidRPr="004375CA">
              <w:rPr>
                <w:rStyle w:val="Strong"/>
                <w:rFonts w:ascii="Calibri" w:hAnsi="Calibri" w:cs="Calibri"/>
                <w:szCs w:val="18"/>
              </w:rPr>
              <w:t>Subtotal</w:t>
            </w:r>
          </w:p>
        </w:tc>
        <w:tc>
          <w:tcPr>
            <w:tcW w:w="1269" w:type="pct"/>
          </w:tcPr>
          <w:p w14:paraId="5F640CD8" w14:textId="2EBE68DC" w:rsidR="00647F7A" w:rsidRPr="00C32CCF" w:rsidRDefault="00647F7A" w:rsidP="00647F7A">
            <w:pPr>
              <w:pStyle w:val="TableText"/>
              <w:jc w:val="right"/>
              <w:rPr>
                <w:rStyle w:val="Strong"/>
                <w:rFonts w:cstheme="minorHAnsi"/>
                <w:b w:val="0"/>
                <w:bCs w:val="0"/>
                <w:strike/>
                <w:szCs w:val="18"/>
                <w:highlight w:val="yellow"/>
              </w:rPr>
            </w:pPr>
            <w:r w:rsidRPr="00D64D94">
              <w:t>229,856,463</w:t>
            </w:r>
          </w:p>
        </w:tc>
      </w:tr>
      <w:tr w:rsidR="00647F7A" w:rsidRPr="00AF77B2" w14:paraId="46BAC4AE" w14:textId="77777777" w:rsidTr="00A4372E">
        <w:tc>
          <w:tcPr>
            <w:tcW w:w="1100" w:type="pct"/>
            <w:vMerge/>
          </w:tcPr>
          <w:p w14:paraId="6B9D9A10" w14:textId="77777777" w:rsidR="00647F7A" w:rsidRPr="00563A46" w:rsidRDefault="00647F7A" w:rsidP="00647F7A">
            <w:pPr>
              <w:pStyle w:val="TableText"/>
              <w:rPr>
                <w:rFonts w:ascii="Calibri" w:hAnsi="Calibri" w:cs="Calibri"/>
                <w:szCs w:val="18"/>
              </w:rPr>
            </w:pPr>
          </w:p>
        </w:tc>
        <w:tc>
          <w:tcPr>
            <w:tcW w:w="1155" w:type="pct"/>
            <w:vMerge w:val="restart"/>
          </w:tcPr>
          <w:p w14:paraId="182C395F" w14:textId="77777777" w:rsidR="00647F7A" w:rsidRPr="00563A46" w:rsidRDefault="00647F7A" w:rsidP="00647F7A">
            <w:pPr>
              <w:pStyle w:val="TableText"/>
              <w:rPr>
                <w:rFonts w:ascii="Calibri" w:hAnsi="Calibri" w:cs="Calibri"/>
                <w:szCs w:val="18"/>
              </w:rPr>
            </w:pPr>
            <w:r w:rsidRPr="00563A46">
              <w:rPr>
                <w:rFonts w:ascii="Calibri" w:hAnsi="Calibri" w:cs="Calibri"/>
                <w:szCs w:val="18"/>
              </w:rPr>
              <w:t>Assurance</w:t>
            </w:r>
          </w:p>
        </w:tc>
        <w:tc>
          <w:tcPr>
            <w:tcW w:w="1476" w:type="pct"/>
          </w:tcPr>
          <w:p w14:paraId="73A1B82B" w14:textId="77777777" w:rsidR="00647F7A" w:rsidRPr="004375CA" w:rsidRDefault="00647F7A" w:rsidP="00647F7A">
            <w:pPr>
              <w:pStyle w:val="TableText"/>
              <w:rPr>
                <w:rFonts w:ascii="Calibri" w:hAnsi="Calibri" w:cs="Calibri"/>
                <w:szCs w:val="18"/>
              </w:rPr>
            </w:pPr>
            <w:r w:rsidRPr="004375CA">
              <w:rPr>
                <w:rFonts w:ascii="Calibri" w:hAnsi="Calibri" w:cs="Calibri"/>
                <w:szCs w:val="18"/>
              </w:rPr>
              <w:t>Risk management</w:t>
            </w:r>
          </w:p>
        </w:tc>
        <w:tc>
          <w:tcPr>
            <w:tcW w:w="1269" w:type="pct"/>
          </w:tcPr>
          <w:p w14:paraId="1E232E7A" w14:textId="058BB378" w:rsidR="00647F7A" w:rsidRPr="00C32CCF" w:rsidRDefault="00647F7A" w:rsidP="00647F7A">
            <w:pPr>
              <w:pStyle w:val="TableText"/>
              <w:jc w:val="right"/>
              <w:rPr>
                <w:rFonts w:cstheme="minorHAnsi"/>
                <w:strike/>
                <w:szCs w:val="18"/>
                <w:highlight w:val="yellow"/>
              </w:rPr>
            </w:pPr>
            <w:r w:rsidRPr="00FC5324">
              <w:t>17,647,966</w:t>
            </w:r>
          </w:p>
        </w:tc>
      </w:tr>
      <w:tr w:rsidR="00647F7A" w:rsidRPr="00AF77B2" w14:paraId="5C163B5C" w14:textId="77777777" w:rsidTr="00A4372E">
        <w:tc>
          <w:tcPr>
            <w:tcW w:w="1100" w:type="pct"/>
            <w:vMerge/>
          </w:tcPr>
          <w:p w14:paraId="06181032" w14:textId="77777777" w:rsidR="00647F7A" w:rsidRPr="00563A46" w:rsidRDefault="00647F7A" w:rsidP="00647F7A">
            <w:pPr>
              <w:pStyle w:val="TableText"/>
              <w:rPr>
                <w:rFonts w:ascii="Calibri" w:hAnsi="Calibri" w:cs="Calibri"/>
                <w:szCs w:val="18"/>
              </w:rPr>
            </w:pPr>
          </w:p>
        </w:tc>
        <w:tc>
          <w:tcPr>
            <w:tcW w:w="1155" w:type="pct"/>
            <w:vMerge/>
          </w:tcPr>
          <w:p w14:paraId="6431FE7E" w14:textId="77777777" w:rsidR="00647F7A" w:rsidRPr="00563A46" w:rsidRDefault="00647F7A" w:rsidP="00647F7A">
            <w:pPr>
              <w:pStyle w:val="TableText"/>
              <w:rPr>
                <w:rFonts w:ascii="Calibri" w:hAnsi="Calibri" w:cs="Calibri"/>
                <w:szCs w:val="18"/>
              </w:rPr>
            </w:pPr>
          </w:p>
        </w:tc>
        <w:tc>
          <w:tcPr>
            <w:tcW w:w="1476" w:type="pct"/>
          </w:tcPr>
          <w:p w14:paraId="6CFD07AE" w14:textId="77777777" w:rsidR="00647F7A" w:rsidRPr="004375CA" w:rsidRDefault="00647F7A" w:rsidP="00647F7A">
            <w:pPr>
              <w:pStyle w:val="TableText"/>
              <w:rPr>
                <w:rFonts w:ascii="Calibri" w:hAnsi="Calibri" w:cs="Calibri"/>
                <w:szCs w:val="18"/>
              </w:rPr>
            </w:pPr>
            <w:r w:rsidRPr="004375CA">
              <w:rPr>
                <w:rFonts w:ascii="Calibri" w:hAnsi="Calibri" w:cs="Calibri"/>
                <w:szCs w:val="18"/>
              </w:rPr>
              <w:t>Verification</w:t>
            </w:r>
          </w:p>
        </w:tc>
        <w:tc>
          <w:tcPr>
            <w:tcW w:w="1269" w:type="pct"/>
            <w:shd w:val="clear" w:color="auto" w:fill="auto"/>
          </w:tcPr>
          <w:p w14:paraId="421C8B3B" w14:textId="0C9892A4" w:rsidR="00647F7A" w:rsidRPr="00C32CCF" w:rsidRDefault="00647F7A" w:rsidP="00647F7A">
            <w:pPr>
              <w:pStyle w:val="TableText"/>
              <w:jc w:val="right"/>
              <w:rPr>
                <w:rFonts w:cstheme="minorHAnsi"/>
                <w:strike/>
                <w:szCs w:val="18"/>
                <w:highlight w:val="yellow"/>
              </w:rPr>
            </w:pPr>
            <w:r w:rsidRPr="00FC5324">
              <w:t>14,315,743</w:t>
            </w:r>
          </w:p>
        </w:tc>
      </w:tr>
      <w:tr w:rsidR="00647F7A" w:rsidRPr="00AF77B2" w14:paraId="5A0CBC09" w14:textId="77777777" w:rsidTr="00A4372E">
        <w:tc>
          <w:tcPr>
            <w:tcW w:w="1100" w:type="pct"/>
            <w:vMerge/>
          </w:tcPr>
          <w:p w14:paraId="5BF02BF6" w14:textId="77777777" w:rsidR="00647F7A" w:rsidRPr="00563A46" w:rsidRDefault="00647F7A" w:rsidP="00647F7A">
            <w:pPr>
              <w:pStyle w:val="TableText"/>
              <w:rPr>
                <w:rFonts w:ascii="Calibri" w:hAnsi="Calibri" w:cs="Calibri"/>
                <w:szCs w:val="18"/>
              </w:rPr>
            </w:pPr>
          </w:p>
        </w:tc>
        <w:tc>
          <w:tcPr>
            <w:tcW w:w="1155" w:type="pct"/>
            <w:vMerge/>
          </w:tcPr>
          <w:p w14:paraId="27D359A8" w14:textId="77777777" w:rsidR="00647F7A" w:rsidRPr="00563A46" w:rsidRDefault="00647F7A" w:rsidP="00647F7A">
            <w:pPr>
              <w:pStyle w:val="TableText"/>
              <w:rPr>
                <w:rFonts w:ascii="Calibri" w:hAnsi="Calibri" w:cs="Calibri"/>
                <w:szCs w:val="18"/>
              </w:rPr>
            </w:pPr>
          </w:p>
        </w:tc>
        <w:tc>
          <w:tcPr>
            <w:tcW w:w="1476" w:type="pct"/>
          </w:tcPr>
          <w:p w14:paraId="72233AF9" w14:textId="77777777" w:rsidR="00647F7A" w:rsidRPr="004375CA" w:rsidRDefault="00647F7A" w:rsidP="00647F7A">
            <w:pPr>
              <w:pStyle w:val="TableText"/>
              <w:rPr>
                <w:rFonts w:ascii="Calibri" w:hAnsi="Calibri" w:cs="Calibri"/>
                <w:szCs w:val="18"/>
              </w:rPr>
            </w:pPr>
            <w:r w:rsidRPr="004375CA">
              <w:rPr>
                <w:rFonts w:ascii="Calibri" w:hAnsi="Calibri" w:cs="Calibri"/>
                <w:szCs w:val="18"/>
              </w:rPr>
              <w:t>Surveillance</w:t>
            </w:r>
          </w:p>
        </w:tc>
        <w:tc>
          <w:tcPr>
            <w:tcW w:w="1269" w:type="pct"/>
          </w:tcPr>
          <w:p w14:paraId="4C9A6475" w14:textId="73991033" w:rsidR="00647F7A" w:rsidRPr="00C32CCF" w:rsidRDefault="00647F7A" w:rsidP="00647F7A">
            <w:pPr>
              <w:pStyle w:val="TableText"/>
              <w:jc w:val="right"/>
              <w:rPr>
                <w:rFonts w:cstheme="minorHAnsi"/>
                <w:strike/>
                <w:szCs w:val="18"/>
                <w:highlight w:val="yellow"/>
              </w:rPr>
            </w:pPr>
            <w:r w:rsidRPr="00FC5324">
              <w:t>15,491,833</w:t>
            </w:r>
          </w:p>
        </w:tc>
      </w:tr>
      <w:tr w:rsidR="00647F7A" w:rsidRPr="00AF77B2" w14:paraId="57354170" w14:textId="77777777" w:rsidTr="00A4372E">
        <w:tc>
          <w:tcPr>
            <w:tcW w:w="1100" w:type="pct"/>
            <w:vMerge/>
          </w:tcPr>
          <w:p w14:paraId="359695D0" w14:textId="77777777" w:rsidR="00647F7A" w:rsidRPr="00563A46" w:rsidRDefault="00647F7A" w:rsidP="00647F7A">
            <w:pPr>
              <w:pStyle w:val="TableText"/>
              <w:rPr>
                <w:rFonts w:ascii="Calibri" w:hAnsi="Calibri" w:cs="Calibri"/>
                <w:szCs w:val="18"/>
              </w:rPr>
            </w:pPr>
          </w:p>
        </w:tc>
        <w:tc>
          <w:tcPr>
            <w:tcW w:w="1155" w:type="pct"/>
            <w:vMerge/>
          </w:tcPr>
          <w:p w14:paraId="6CFE1FA8" w14:textId="77777777" w:rsidR="00647F7A" w:rsidRPr="00563A46" w:rsidRDefault="00647F7A" w:rsidP="00647F7A">
            <w:pPr>
              <w:pStyle w:val="TableText"/>
              <w:rPr>
                <w:rFonts w:ascii="Calibri" w:hAnsi="Calibri" w:cs="Calibri"/>
                <w:szCs w:val="18"/>
              </w:rPr>
            </w:pPr>
          </w:p>
        </w:tc>
        <w:tc>
          <w:tcPr>
            <w:tcW w:w="1476" w:type="pct"/>
          </w:tcPr>
          <w:p w14:paraId="6C115ABA" w14:textId="77777777" w:rsidR="00647F7A" w:rsidRPr="004375CA" w:rsidRDefault="00647F7A" w:rsidP="00647F7A">
            <w:pPr>
              <w:pStyle w:val="TableText"/>
              <w:rPr>
                <w:rStyle w:val="Strong"/>
                <w:rFonts w:ascii="Calibri" w:hAnsi="Calibri" w:cs="Calibri"/>
                <w:szCs w:val="18"/>
              </w:rPr>
            </w:pPr>
            <w:r w:rsidRPr="004375CA">
              <w:rPr>
                <w:rStyle w:val="Strong"/>
                <w:rFonts w:ascii="Calibri" w:hAnsi="Calibri" w:cs="Calibri"/>
                <w:szCs w:val="18"/>
              </w:rPr>
              <w:t>Subtotal</w:t>
            </w:r>
          </w:p>
        </w:tc>
        <w:tc>
          <w:tcPr>
            <w:tcW w:w="1269" w:type="pct"/>
          </w:tcPr>
          <w:p w14:paraId="70D28495" w14:textId="31EA8A8D" w:rsidR="00647F7A" w:rsidRPr="00C32CCF" w:rsidRDefault="00647F7A" w:rsidP="00647F7A">
            <w:pPr>
              <w:pStyle w:val="TableText"/>
              <w:jc w:val="right"/>
              <w:rPr>
                <w:rStyle w:val="Strong"/>
                <w:rFonts w:cstheme="minorHAnsi"/>
                <w:b w:val="0"/>
                <w:bCs w:val="0"/>
                <w:strike/>
                <w:szCs w:val="18"/>
                <w:highlight w:val="yellow"/>
              </w:rPr>
            </w:pPr>
            <w:r w:rsidRPr="00FC5324">
              <w:t>47,455,542</w:t>
            </w:r>
          </w:p>
        </w:tc>
      </w:tr>
      <w:tr w:rsidR="00647F7A" w:rsidRPr="00AF77B2" w14:paraId="7B7523AB" w14:textId="77777777" w:rsidTr="00A4372E">
        <w:tc>
          <w:tcPr>
            <w:tcW w:w="1100" w:type="pct"/>
            <w:vMerge/>
          </w:tcPr>
          <w:p w14:paraId="311C4286" w14:textId="77777777" w:rsidR="00647F7A" w:rsidRPr="00563A46" w:rsidRDefault="00647F7A" w:rsidP="00647F7A">
            <w:pPr>
              <w:pStyle w:val="TableText"/>
              <w:rPr>
                <w:rFonts w:ascii="Calibri" w:hAnsi="Calibri" w:cs="Calibri"/>
                <w:szCs w:val="18"/>
              </w:rPr>
            </w:pPr>
          </w:p>
        </w:tc>
        <w:tc>
          <w:tcPr>
            <w:tcW w:w="1155" w:type="pct"/>
            <w:vMerge w:val="restart"/>
          </w:tcPr>
          <w:p w14:paraId="2430EA8B" w14:textId="77777777" w:rsidR="00647F7A" w:rsidRPr="00563A46" w:rsidRDefault="00647F7A" w:rsidP="00647F7A">
            <w:pPr>
              <w:pStyle w:val="TableText"/>
              <w:rPr>
                <w:rFonts w:ascii="Calibri" w:hAnsi="Calibri" w:cs="Calibri"/>
                <w:szCs w:val="18"/>
              </w:rPr>
            </w:pPr>
            <w:r w:rsidRPr="00563A46">
              <w:rPr>
                <w:rFonts w:ascii="Calibri" w:hAnsi="Calibri" w:cs="Calibri"/>
                <w:szCs w:val="18"/>
              </w:rPr>
              <w:t>Incident management</w:t>
            </w:r>
          </w:p>
        </w:tc>
        <w:tc>
          <w:tcPr>
            <w:tcW w:w="1476" w:type="pct"/>
          </w:tcPr>
          <w:p w14:paraId="03A2A480" w14:textId="77777777" w:rsidR="00647F7A" w:rsidRPr="004375CA" w:rsidRDefault="00647F7A" w:rsidP="00647F7A">
            <w:pPr>
              <w:pStyle w:val="TableText"/>
              <w:rPr>
                <w:rFonts w:ascii="Calibri" w:hAnsi="Calibri" w:cs="Calibri"/>
                <w:szCs w:val="18"/>
              </w:rPr>
            </w:pPr>
            <w:r w:rsidRPr="004375CA">
              <w:rPr>
                <w:rFonts w:ascii="Calibri" w:hAnsi="Calibri" w:cs="Calibri"/>
                <w:szCs w:val="18"/>
              </w:rPr>
              <w:t>Incident management</w:t>
            </w:r>
          </w:p>
        </w:tc>
        <w:tc>
          <w:tcPr>
            <w:tcW w:w="1269" w:type="pct"/>
          </w:tcPr>
          <w:p w14:paraId="118D795A" w14:textId="2B5FD942" w:rsidR="00647F7A" w:rsidRPr="00C32CCF" w:rsidRDefault="00647F7A" w:rsidP="00647F7A">
            <w:pPr>
              <w:pStyle w:val="TableText"/>
              <w:jc w:val="right"/>
              <w:rPr>
                <w:rFonts w:cstheme="minorHAnsi"/>
                <w:strike/>
                <w:szCs w:val="18"/>
                <w:highlight w:val="yellow"/>
              </w:rPr>
            </w:pPr>
            <w:r w:rsidRPr="00BD03D3">
              <w:t>3,120,686</w:t>
            </w:r>
          </w:p>
        </w:tc>
      </w:tr>
      <w:tr w:rsidR="00647F7A" w:rsidRPr="00AF77B2" w14:paraId="7E9F1503" w14:textId="77777777" w:rsidTr="00A4372E">
        <w:tc>
          <w:tcPr>
            <w:tcW w:w="1100" w:type="pct"/>
            <w:vMerge/>
          </w:tcPr>
          <w:p w14:paraId="57E65D3E" w14:textId="77777777" w:rsidR="00647F7A" w:rsidRPr="00563A46" w:rsidRDefault="00647F7A" w:rsidP="00647F7A">
            <w:pPr>
              <w:pStyle w:val="TableText"/>
              <w:rPr>
                <w:rFonts w:ascii="Calibri" w:hAnsi="Calibri" w:cs="Calibri"/>
                <w:szCs w:val="18"/>
              </w:rPr>
            </w:pPr>
          </w:p>
        </w:tc>
        <w:tc>
          <w:tcPr>
            <w:tcW w:w="1155" w:type="pct"/>
            <w:vMerge/>
          </w:tcPr>
          <w:p w14:paraId="3B93F2C2" w14:textId="77777777" w:rsidR="00647F7A" w:rsidRPr="00563A46" w:rsidRDefault="00647F7A" w:rsidP="00647F7A">
            <w:pPr>
              <w:pStyle w:val="TableText"/>
              <w:rPr>
                <w:rFonts w:ascii="Calibri" w:hAnsi="Calibri" w:cs="Calibri"/>
                <w:szCs w:val="18"/>
              </w:rPr>
            </w:pPr>
          </w:p>
        </w:tc>
        <w:tc>
          <w:tcPr>
            <w:tcW w:w="1476" w:type="pct"/>
          </w:tcPr>
          <w:p w14:paraId="35D4D125" w14:textId="77777777" w:rsidR="00647F7A" w:rsidRPr="004375CA" w:rsidRDefault="00647F7A" w:rsidP="00647F7A">
            <w:pPr>
              <w:pStyle w:val="TableText"/>
              <w:rPr>
                <w:rFonts w:ascii="Calibri" w:hAnsi="Calibri" w:cs="Calibri"/>
                <w:szCs w:val="18"/>
              </w:rPr>
            </w:pPr>
            <w:r w:rsidRPr="004375CA">
              <w:rPr>
                <w:rFonts w:ascii="Calibri" w:hAnsi="Calibri" w:cs="Calibri"/>
                <w:szCs w:val="18"/>
              </w:rPr>
              <w:t>Investigative support</w:t>
            </w:r>
          </w:p>
        </w:tc>
        <w:tc>
          <w:tcPr>
            <w:tcW w:w="1269" w:type="pct"/>
            <w:shd w:val="clear" w:color="auto" w:fill="auto"/>
          </w:tcPr>
          <w:p w14:paraId="40685C05" w14:textId="08DC85A8" w:rsidR="00647F7A" w:rsidRPr="00C32CCF" w:rsidRDefault="00647F7A" w:rsidP="00647F7A">
            <w:pPr>
              <w:pStyle w:val="TableText"/>
              <w:jc w:val="right"/>
              <w:rPr>
                <w:rFonts w:cstheme="minorHAnsi"/>
                <w:strike/>
                <w:szCs w:val="18"/>
                <w:highlight w:val="yellow"/>
              </w:rPr>
            </w:pPr>
            <w:r w:rsidRPr="00BD03D3">
              <w:t>1,398,304</w:t>
            </w:r>
          </w:p>
        </w:tc>
      </w:tr>
      <w:tr w:rsidR="00647F7A" w:rsidRPr="00AF77B2" w14:paraId="5C21354D" w14:textId="77777777" w:rsidTr="00A4372E">
        <w:tc>
          <w:tcPr>
            <w:tcW w:w="1100" w:type="pct"/>
            <w:vMerge/>
          </w:tcPr>
          <w:p w14:paraId="37F61531" w14:textId="77777777" w:rsidR="00647F7A" w:rsidRPr="00563A46" w:rsidRDefault="00647F7A" w:rsidP="00647F7A">
            <w:pPr>
              <w:pStyle w:val="TableText"/>
              <w:rPr>
                <w:rFonts w:ascii="Calibri" w:hAnsi="Calibri" w:cs="Calibri"/>
                <w:szCs w:val="18"/>
              </w:rPr>
            </w:pPr>
          </w:p>
        </w:tc>
        <w:tc>
          <w:tcPr>
            <w:tcW w:w="1155" w:type="pct"/>
            <w:vMerge/>
          </w:tcPr>
          <w:p w14:paraId="7697D170" w14:textId="77777777" w:rsidR="00647F7A" w:rsidRPr="00563A46" w:rsidRDefault="00647F7A" w:rsidP="00647F7A">
            <w:pPr>
              <w:pStyle w:val="TableText"/>
              <w:rPr>
                <w:rFonts w:ascii="Calibri" w:hAnsi="Calibri" w:cs="Calibri"/>
                <w:szCs w:val="18"/>
              </w:rPr>
            </w:pPr>
          </w:p>
        </w:tc>
        <w:tc>
          <w:tcPr>
            <w:tcW w:w="1476" w:type="pct"/>
          </w:tcPr>
          <w:p w14:paraId="394AB152" w14:textId="77777777" w:rsidR="00647F7A" w:rsidRPr="004375CA" w:rsidRDefault="00647F7A" w:rsidP="00647F7A">
            <w:pPr>
              <w:pStyle w:val="TableText"/>
              <w:rPr>
                <w:rFonts w:ascii="Calibri" w:hAnsi="Calibri" w:cs="Calibri"/>
                <w:szCs w:val="18"/>
              </w:rPr>
            </w:pPr>
            <w:r w:rsidRPr="004375CA">
              <w:rPr>
                <w:rFonts w:ascii="Calibri" w:hAnsi="Calibri" w:cs="Calibri"/>
                <w:szCs w:val="18"/>
              </w:rPr>
              <w:t>Corrective action</w:t>
            </w:r>
          </w:p>
        </w:tc>
        <w:tc>
          <w:tcPr>
            <w:tcW w:w="1269" w:type="pct"/>
          </w:tcPr>
          <w:p w14:paraId="0181658B" w14:textId="154A1BF8" w:rsidR="00647F7A" w:rsidRPr="00C32CCF" w:rsidRDefault="00647F7A" w:rsidP="00647F7A">
            <w:pPr>
              <w:pStyle w:val="TableText"/>
              <w:jc w:val="right"/>
              <w:rPr>
                <w:rFonts w:cstheme="minorHAnsi"/>
                <w:strike/>
                <w:szCs w:val="18"/>
                <w:highlight w:val="yellow"/>
              </w:rPr>
            </w:pPr>
            <w:r w:rsidRPr="00BD03D3">
              <w:t>3,624,019</w:t>
            </w:r>
          </w:p>
        </w:tc>
      </w:tr>
      <w:tr w:rsidR="00647F7A" w:rsidRPr="00AF77B2" w14:paraId="1EF65C38" w14:textId="77777777" w:rsidTr="00A4372E">
        <w:tc>
          <w:tcPr>
            <w:tcW w:w="1100" w:type="pct"/>
            <w:vMerge/>
          </w:tcPr>
          <w:p w14:paraId="0106A079" w14:textId="77777777" w:rsidR="00647F7A" w:rsidRPr="00563A46" w:rsidRDefault="00647F7A" w:rsidP="00647F7A">
            <w:pPr>
              <w:pStyle w:val="TableText"/>
              <w:rPr>
                <w:rFonts w:ascii="Calibri" w:hAnsi="Calibri" w:cs="Calibri"/>
                <w:szCs w:val="18"/>
              </w:rPr>
            </w:pPr>
          </w:p>
        </w:tc>
        <w:tc>
          <w:tcPr>
            <w:tcW w:w="1155" w:type="pct"/>
            <w:vMerge/>
          </w:tcPr>
          <w:p w14:paraId="7646E432" w14:textId="77777777" w:rsidR="00647F7A" w:rsidRPr="00563A46" w:rsidRDefault="00647F7A" w:rsidP="00647F7A">
            <w:pPr>
              <w:pStyle w:val="TableText"/>
              <w:rPr>
                <w:rFonts w:ascii="Calibri" w:hAnsi="Calibri" w:cs="Calibri"/>
                <w:szCs w:val="18"/>
              </w:rPr>
            </w:pPr>
          </w:p>
        </w:tc>
        <w:tc>
          <w:tcPr>
            <w:tcW w:w="1476" w:type="pct"/>
          </w:tcPr>
          <w:p w14:paraId="18AD52BF" w14:textId="77777777" w:rsidR="00647F7A" w:rsidRPr="004375CA" w:rsidRDefault="00647F7A" w:rsidP="00647F7A">
            <w:pPr>
              <w:pStyle w:val="TableText"/>
              <w:rPr>
                <w:rStyle w:val="Strong"/>
                <w:rFonts w:ascii="Calibri" w:hAnsi="Calibri" w:cs="Calibri"/>
                <w:szCs w:val="18"/>
              </w:rPr>
            </w:pPr>
            <w:r w:rsidRPr="004375CA">
              <w:rPr>
                <w:rStyle w:val="Strong"/>
                <w:rFonts w:ascii="Calibri" w:hAnsi="Calibri" w:cs="Calibri"/>
                <w:szCs w:val="18"/>
              </w:rPr>
              <w:t>Subtotal</w:t>
            </w:r>
          </w:p>
        </w:tc>
        <w:tc>
          <w:tcPr>
            <w:tcW w:w="1269" w:type="pct"/>
          </w:tcPr>
          <w:p w14:paraId="4C4C1CB6" w14:textId="3F409D76" w:rsidR="00647F7A" w:rsidRPr="00C32CCF" w:rsidRDefault="00647F7A" w:rsidP="00647F7A">
            <w:pPr>
              <w:pStyle w:val="TableText"/>
              <w:jc w:val="right"/>
              <w:rPr>
                <w:rStyle w:val="Strong"/>
                <w:rFonts w:cstheme="minorHAnsi"/>
                <w:b w:val="0"/>
                <w:bCs w:val="0"/>
                <w:strike/>
                <w:szCs w:val="18"/>
                <w:highlight w:val="yellow"/>
              </w:rPr>
            </w:pPr>
            <w:r w:rsidRPr="00241ABE">
              <w:t>8,143,009</w:t>
            </w:r>
          </w:p>
        </w:tc>
      </w:tr>
      <w:tr w:rsidR="00647F7A" w:rsidRPr="00AF77B2" w14:paraId="77E9BD4C" w14:textId="77777777" w:rsidTr="00A4372E">
        <w:tc>
          <w:tcPr>
            <w:tcW w:w="1100" w:type="pct"/>
            <w:vMerge/>
          </w:tcPr>
          <w:p w14:paraId="6C3C8B9C" w14:textId="77777777" w:rsidR="00647F7A" w:rsidRPr="00563A46" w:rsidRDefault="00647F7A" w:rsidP="00647F7A">
            <w:pPr>
              <w:pStyle w:val="TableText"/>
              <w:rPr>
                <w:rFonts w:ascii="Calibri" w:hAnsi="Calibri" w:cs="Calibri"/>
                <w:szCs w:val="18"/>
              </w:rPr>
            </w:pPr>
          </w:p>
        </w:tc>
        <w:tc>
          <w:tcPr>
            <w:tcW w:w="1155" w:type="pct"/>
            <w:vMerge/>
          </w:tcPr>
          <w:p w14:paraId="69C4D382" w14:textId="77777777" w:rsidR="00647F7A" w:rsidRPr="00563A46" w:rsidRDefault="00647F7A" w:rsidP="00647F7A">
            <w:pPr>
              <w:pStyle w:val="TableText"/>
              <w:rPr>
                <w:rFonts w:ascii="Calibri" w:hAnsi="Calibri" w:cs="Calibri"/>
                <w:szCs w:val="18"/>
              </w:rPr>
            </w:pPr>
          </w:p>
        </w:tc>
        <w:tc>
          <w:tcPr>
            <w:tcW w:w="1476" w:type="pct"/>
          </w:tcPr>
          <w:p w14:paraId="3EF31B89" w14:textId="77777777" w:rsidR="00647F7A" w:rsidRPr="004375CA" w:rsidRDefault="00647F7A" w:rsidP="00647F7A">
            <w:pPr>
              <w:pStyle w:val="TableText"/>
              <w:rPr>
                <w:rStyle w:val="Strong"/>
                <w:rFonts w:ascii="Calibri" w:hAnsi="Calibri" w:cs="Calibri"/>
                <w:szCs w:val="18"/>
              </w:rPr>
            </w:pPr>
            <w:r w:rsidRPr="004375CA">
              <w:rPr>
                <w:rStyle w:val="Strong"/>
                <w:rFonts w:ascii="Calibri" w:hAnsi="Calibri" w:cs="Calibri"/>
                <w:szCs w:val="18"/>
              </w:rPr>
              <w:t>Total charges</w:t>
            </w:r>
          </w:p>
        </w:tc>
        <w:tc>
          <w:tcPr>
            <w:tcW w:w="1269" w:type="pct"/>
          </w:tcPr>
          <w:p w14:paraId="0F743389" w14:textId="7CA0CF1B" w:rsidR="00647F7A" w:rsidRPr="00647F7A" w:rsidRDefault="00647F7A" w:rsidP="00647F7A">
            <w:pPr>
              <w:pStyle w:val="TableText"/>
              <w:jc w:val="right"/>
              <w:rPr>
                <w:rStyle w:val="Strong"/>
                <w:highlight w:val="yellow"/>
              </w:rPr>
            </w:pPr>
            <w:r w:rsidRPr="00647F7A">
              <w:rPr>
                <w:rStyle w:val="Strong"/>
              </w:rPr>
              <w:t>285,455,014</w:t>
            </w:r>
          </w:p>
        </w:tc>
      </w:tr>
      <w:tr w:rsidR="00563A46" w:rsidRPr="00AF77B2" w14:paraId="66DFCD81" w14:textId="77777777" w:rsidTr="00A4372E">
        <w:tc>
          <w:tcPr>
            <w:tcW w:w="1100" w:type="pct"/>
            <w:vMerge w:val="restart"/>
          </w:tcPr>
          <w:p w14:paraId="5D100518" w14:textId="5D5EE8E0" w:rsidR="00563A46" w:rsidRPr="00563A46" w:rsidRDefault="00563A46" w:rsidP="00563A46">
            <w:pPr>
              <w:pStyle w:val="TableText"/>
              <w:rPr>
                <w:rFonts w:ascii="Calibri" w:hAnsi="Calibri" w:cs="Calibri"/>
                <w:szCs w:val="18"/>
              </w:rPr>
            </w:pPr>
            <w:r w:rsidRPr="00563A46">
              <w:rPr>
                <w:rFonts w:ascii="Calibri" w:hAnsi="Calibri" w:cs="Calibri"/>
                <w:szCs w:val="18"/>
              </w:rPr>
              <w:t>Fees</w:t>
            </w:r>
          </w:p>
        </w:tc>
        <w:tc>
          <w:tcPr>
            <w:tcW w:w="1155" w:type="pct"/>
            <w:vMerge w:val="restart"/>
          </w:tcPr>
          <w:p w14:paraId="4AA0468E" w14:textId="77777777" w:rsidR="00563A46" w:rsidRPr="00563A46" w:rsidRDefault="00563A46" w:rsidP="00563A46">
            <w:pPr>
              <w:pStyle w:val="TableText"/>
              <w:rPr>
                <w:rFonts w:ascii="Calibri" w:hAnsi="Calibri" w:cs="Calibri"/>
                <w:szCs w:val="18"/>
              </w:rPr>
            </w:pPr>
            <w:r w:rsidRPr="00563A46">
              <w:rPr>
                <w:rFonts w:ascii="Calibri" w:hAnsi="Calibri" w:cs="Calibri"/>
                <w:szCs w:val="18"/>
              </w:rPr>
              <w:t>Intervention</w:t>
            </w:r>
          </w:p>
        </w:tc>
        <w:tc>
          <w:tcPr>
            <w:tcW w:w="1476" w:type="pct"/>
          </w:tcPr>
          <w:p w14:paraId="01BF9174" w14:textId="77777777" w:rsidR="00563A46" w:rsidRPr="004375CA" w:rsidRDefault="00563A46" w:rsidP="00563A46">
            <w:pPr>
              <w:pStyle w:val="TableText"/>
              <w:rPr>
                <w:rFonts w:ascii="Calibri" w:hAnsi="Calibri" w:cs="Calibri"/>
                <w:szCs w:val="18"/>
              </w:rPr>
            </w:pPr>
            <w:r w:rsidRPr="004375CA">
              <w:rPr>
                <w:rFonts w:ascii="Calibri" w:hAnsi="Calibri" w:cs="Calibri"/>
                <w:szCs w:val="18"/>
              </w:rPr>
              <w:t>Assessment</w:t>
            </w:r>
          </w:p>
        </w:tc>
        <w:tc>
          <w:tcPr>
            <w:tcW w:w="1269" w:type="pct"/>
          </w:tcPr>
          <w:p w14:paraId="2D3BB6C7" w14:textId="30CE5CC4" w:rsidR="00563A46" w:rsidRPr="00C32CCF" w:rsidRDefault="00563A46" w:rsidP="00563A46">
            <w:pPr>
              <w:pStyle w:val="TableText"/>
              <w:jc w:val="right"/>
              <w:rPr>
                <w:rFonts w:cstheme="minorHAnsi"/>
                <w:strike/>
                <w:szCs w:val="18"/>
                <w:highlight w:val="yellow"/>
              </w:rPr>
            </w:pPr>
            <w:r w:rsidRPr="001A3A43">
              <w:t>27,301,024</w:t>
            </w:r>
          </w:p>
        </w:tc>
      </w:tr>
      <w:tr w:rsidR="00563A46" w:rsidRPr="00AF77B2" w14:paraId="24F3178E" w14:textId="77777777" w:rsidTr="00A4372E">
        <w:tc>
          <w:tcPr>
            <w:tcW w:w="1100" w:type="pct"/>
            <w:vMerge/>
          </w:tcPr>
          <w:p w14:paraId="32DBBD35" w14:textId="77777777" w:rsidR="00563A46" w:rsidRPr="004375CA" w:rsidRDefault="00563A46" w:rsidP="00563A46">
            <w:pPr>
              <w:pStyle w:val="TableText"/>
              <w:rPr>
                <w:rFonts w:ascii="Calibri" w:hAnsi="Calibri" w:cs="Calibri"/>
                <w:szCs w:val="18"/>
              </w:rPr>
            </w:pPr>
          </w:p>
        </w:tc>
        <w:tc>
          <w:tcPr>
            <w:tcW w:w="1155" w:type="pct"/>
            <w:vMerge/>
          </w:tcPr>
          <w:p w14:paraId="32F670F2" w14:textId="77777777" w:rsidR="00563A46" w:rsidRPr="004375CA" w:rsidRDefault="00563A46" w:rsidP="00563A46">
            <w:pPr>
              <w:pStyle w:val="TableText"/>
              <w:rPr>
                <w:rFonts w:ascii="Calibri" w:hAnsi="Calibri" w:cs="Calibri"/>
                <w:szCs w:val="18"/>
              </w:rPr>
            </w:pPr>
          </w:p>
        </w:tc>
        <w:tc>
          <w:tcPr>
            <w:tcW w:w="1476" w:type="pct"/>
          </w:tcPr>
          <w:p w14:paraId="3357D3D3" w14:textId="77777777" w:rsidR="00563A46" w:rsidRPr="004375CA" w:rsidRDefault="00563A46" w:rsidP="00563A46">
            <w:pPr>
              <w:pStyle w:val="TableText"/>
              <w:rPr>
                <w:rFonts w:ascii="Calibri" w:hAnsi="Calibri" w:cs="Calibri"/>
                <w:szCs w:val="18"/>
              </w:rPr>
            </w:pPr>
            <w:r w:rsidRPr="004375CA">
              <w:rPr>
                <w:rFonts w:ascii="Calibri" w:hAnsi="Calibri" w:cs="Calibri"/>
                <w:szCs w:val="18"/>
              </w:rPr>
              <w:t>Issue approvals/certification</w:t>
            </w:r>
          </w:p>
        </w:tc>
        <w:tc>
          <w:tcPr>
            <w:tcW w:w="1269" w:type="pct"/>
          </w:tcPr>
          <w:p w14:paraId="4B660C4F" w14:textId="0C719852" w:rsidR="00563A46" w:rsidRPr="00C32CCF" w:rsidRDefault="00563A46" w:rsidP="00563A46">
            <w:pPr>
              <w:pStyle w:val="TableText"/>
              <w:jc w:val="right"/>
              <w:rPr>
                <w:rFonts w:cstheme="minorHAnsi"/>
                <w:strike/>
                <w:szCs w:val="18"/>
                <w:highlight w:val="yellow"/>
              </w:rPr>
            </w:pPr>
            <w:r w:rsidRPr="001A3A43">
              <w:t>2,898,091</w:t>
            </w:r>
          </w:p>
        </w:tc>
      </w:tr>
      <w:tr w:rsidR="00563A46" w:rsidRPr="00AF77B2" w14:paraId="32185403" w14:textId="77777777" w:rsidTr="00A4372E">
        <w:tc>
          <w:tcPr>
            <w:tcW w:w="1100" w:type="pct"/>
            <w:vMerge/>
          </w:tcPr>
          <w:p w14:paraId="1CDB68CC" w14:textId="77777777" w:rsidR="00563A46" w:rsidRPr="004375CA" w:rsidRDefault="00563A46" w:rsidP="00563A46">
            <w:pPr>
              <w:pStyle w:val="TableText"/>
              <w:rPr>
                <w:rFonts w:ascii="Calibri" w:hAnsi="Calibri" w:cs="Calibri"/>
                <w:szCs w:val="18"/>
              </w:rPr>
            </w:pPr>
          </w:p>
        </w:tc>
        <w:tc>
          <w:tcPr>
            <w:tcW w:w="1155" w:type="pct"/>
            <w:vMerge/>
          </w:tcPr>
          <w:p w14:paraId="28501528" w14:textId="77777777" w:rsidR="00563A46" w:rsidRPr="004375CA" w:rsidRDefault="00563A46" w:rsidP="00563A46">
            <w:pPr>
              <w:pStyle w:val="TableText"/>
              <w:rPr>
                <w:rFonts w:ascii="Calibri" w:hAnsi="Calibri" w:cs="Calibri"/>
                <w:szCs w:val="18"/>
              </w:rPr>
            </w:pPr>
          </w:p>
        </w:tc>
        <w:tc>
          <w:tcPr>
            <w:tcW w:w="1476" w:type="pct"/>
          </w:tcPr>
          <w:p w14:paraId="2348581B" w14:textId="77777777" w:rsidR="00563A46" w:rsidRPr="004375CA" w:rsidRDefault="00563A46" w:rsidP="00563A46">
            <w:pPr>
              <w:pStyle w:val="TableText"/>
              <w:rPr>
                <w:rFonts w:ascii="Calibri" w:hAnsi="Calibri" w:cs="Calibri"/>
                <w:szCs w:val="18"/>
              </w:rPr>
            </w:pPr>
            <w:r w:rsidRPr="004375CA">
              <w:rPr>
                <w:rFonts w:ascii="Calibri" w:hAnsi="Calibri" w:cs="Calibri"/>
                <w:szCs w:val="18"/>
              </w:rPr>
              <w:t>Inspection</w:t>
            </w:r>
          </w:p>
        </w:tc>
        <w:tc>
          <w:tcPr>
            <w:tcW w:w="1269" w:type="pct"/>
          </w:tcPr>
          <w:p w14:paraId="2968BC9B" w14:textId="33100427" w:rsidR="00563A46" w:rsidRPr="00C32CCF" w:rsidRDefault="00563A46" w:rsidP="00563A46">
            <w:pPr>
              <w:pStyle w:val="TableText"/>
              <w:jc w:val="right"/>
              <w:rPr>
                <w:rFonts w:cstheme="minorHAnsi"/>
                <w:strike/>
                <w:szCs w:val="18"/>
                <w:highlight w:val="yellow"/>
              </w:rPr>
            </w:pPr>
            <w:r w:rsidRPr="001A3A43">
              <w:t>39,014,715</w:t>
            </w:r>
          </w:p>
        </w:tc>
      </w:tr>
      <w:tr w:rsidR="00563A46" w:rsidRPr="00AF77B2" w14:paraId="53A68957" w14:textId="77777777" w:rsidTr="00A4372E">
        <w:tc>
          <w:tcPr>
            <w:tcW w:w="1100" w:type="pct"/>
            <w:vMerge/>
          </w:tcPr>
          <w:p w14:paraId="6A5BB86D" w14:textId="77777777" w:rsidR="00563A46" w:rsidRPr="004375CA" w:rsidRDefault="00563A46" w:rsidP="00563A46">
            <w:pPr>
              <w:pStyle w:val="TableText"/>
              <w:rPr>
                <w:rFonts w:ascii="Calibri" w:hAnsi="Calibri" w:cs="Calibri"/>
                <w:szCs w:val="18"/>
              </w:rPr>
            </w:pPr>
          </w:p>
        </w:tc>
        <w:tc>
          <w:tcPr>
            <w:tcW w:w="1155" w:type="pct"/>
            <w:vMerge/>
          </w:tcPr>
          <w:p w14:paraId="5BBF166C" w14:textId="77777777" w:rsidR="00563A46" w:rsidRPr="004375CA" w:rsidRDefault="00563A46" w:rsidP="00563A46">
            <w:pPr>
              <w:pStyle w:val="TableText"/>
              <w:rPr>
                <w:rFonts w:ascii="Calibri" w:hAnsi="Calibri" w:cs="Calibri"/>
                <w:szCs w:val="18"/>
              </w:rPr>
            </w:pPr>
          </w:p>
        </w:tc>
        <w:tc>
          <w:tcPr>
            <w:tcW w:w="1476" w:type="pct"/>
          </w:tcPr>
          <w:p w14:paraId="4CCC0B7E" w14:textId="1F3CAA8C" w:rsidR="00563A46" w:rsidRPr="004375CA" w:rsidRDefault="00563A46" w:rsidP="00563A46">
            <w:pPr>
              <w:pStyle w:val="TableText"/>
              <w:rPr>
                <w:rFonts w:ascii="Calibri" w:hAnsi="Calibri" w:cs="Calibri"/>
                <w:szCs w:val="18"/>
              </w:rPr>
            </w:pPr>
            <w:r w:rsidRPr="004375CA">
              <w:rPr>
                <w:rFonts w:ascii="Calibri" w:hAnsi="Calibri" w:cs="Calibri"/>
                <w:szCs w:val="18"/>
              </w:rPr>
              <w:t>Diagnostics</w:t>
            </w:r>
          </w:p>
        </w:tc>
        <w:tc>
          <w:tcPr>
            <w:tcW w:w="1269" w:type="pct"/>
          </w:tcPr>
          <w:p w14:paraId="4AE1CDF2" w14:textId="1BAE84B7" w:rsidR="00563A46" w:rsidRPr="00C32CCF" w:rsidRDefault="00563A46" w:rsidP="00563A46">
            <w:pPr>
              <w:pStyle w:val="TableText"/>
              <w:jc w:val="right"/>
              <w:rPr>
                <w:rFonts w:cstheme="minorHAnsi"/>
                <w:strike/>
                <w:szCs w:val="18"/>
                <w:highlight w:val="yellow"/>
              </w:rPr>
            </w:pPr>
            <w:r w:rsidRPr="001A3A43">
              <w:t>2,711,618</w:t>
            </w:r>
          </w:p>
        </w:tc>
      </w:tr>
      <w:tr w:rsidR="00563A46" w:rsidRPr="00AF77B2" w14:paraId="7DF8796D" w14:textId="77777777" w:rsidTr="00A4372E">
        <w:tc>
          <w:tcPr>
            <w:tcW w:w="1100" w:type="pct"/>
            <w:vMerge/>
          </w:tcPr>
          <w:p w14:paraId="36EFB2EF" w14:textId="77777777" w:rsidR="00563A46" w:rsidRPr="004375CA" w:rsidRDefault="00563A46" w:rsidP="00563A46">
            <w:pPr>
              <w:pStyle w:val="TableText"/>
              <w:rPr>
                <w:rFonts w:ascii="Calibri" w:hAnsi="Calibri" w:cs="Calibri"/>
                <w:szCs w:val="18"/>
              </w:rPr>
            </w:pPr>
          </w:p>
        </w:tc>
        <w:tc>
          <w:tcPr>
            <w:tcW w:w="1155" w:type="pct"/>
            <w:vMerge/>
          </w:tcPr>
          <w:p w14:paraId="24B05CFB" w14:textId="77777777" w:rsidR="00563A46" w:rsidRPr="004375CA" w:rsidRDefault="00563A46" w:rsidP="00563A46">
            <w:pPr>
              <w:pStyle w:val="TableText"/>
              <w:rPr>
                <w:rFonts w:ascii="Calibri" w:hAnsi="Calibri" w:cs="Calibri"/>
                <w:szCs w:val="18"/>
              </w:rPr>
            </w:pPr>
          </w:p>
        </w:tc>
        <w:tc>
          <w:tcPr>
            <w:tcW w:w="1476" w:type="pct"/>
          </w:tcPr>
          <w:p w14:paraId="1CEBE114" w14:textId="47B2C872" w:rsidR="00563A46" w:rsidRPr="004375CA" w:rsidRDefault="00563A46" w:rsidP="00563A46">
            <w:pPr>
              <w:pStyle w:val="TableText"/>
              <w:rPr>
                <w:rFonts w:ascii="Calibri" w:hAnsi="Calibri" w:cs="Calibri"/>
                <w:szCs w:val="18"/>
              </w:rPr>
            </w:pPr>
            <w:r w:rsidRPr="004375CA">
              <w:rPr>
                <w:rFonts w:ascii="Calibri" w:hAnsi="Calibri" w:cs="Calibri"/>
                <w:szCs w:val="18"/>
              </w:rPr>
              <w:t>Audit</w:t>
            </w:r>
          </w:p>
        </w:tc>
        <w:tc>
          <w:tcPr>
            <w:tcW w:w="1269" w:type="pct"/>
          </w:tcPr>
          <w:p w14:paraId="20267237" w14:textId="1AD6E715" w:rsidR="00563A46" w:rsidRPr="00C32CCF" w:rsidRDefault="00563A46" w:rsidP="00563A46">
            <w:pPr>
              <w:pStyle w:val="TableText"/>
              <w:jc w:val="right"/>
              <w:rPr>
                <w:rFonts w:cstheme="minorHAnsi"/>
                <w:strike/>
                <w:szCs w:val="18"/>
                <w:highlight w:val="yellow"/>
              </w:rPr>
            </w:pPr>
            <w:r w:rsidRPr="00BC7254">
              <w:t>4,544,853</w:t>
            </w:r>
          </w:p>
        </w:tc>
      </w:tr>
      <w:tr w:rsidR="00563A46" w:rsidRPr="00AF77B2" w14:paraId="645F770B" w14:textId="77777777" w:rsidTr="00A4372E">
        <w:tc>
          <w:tcPr>
            <w:tcW w:w="1100" w:type="pct"/>
            <w:vMerge/>
          </w:tcPr>
          <w:p w14:paraId="40573572" w14:textId="77777777" w:rsidR="00563A46" w:rsidRPr="004375CA" w:rsidRDefault="00563A46" w:rsidP="00563A46">
            <w:pPr>
              <w:pStyle w:val="TableText"/>
              <w:rPr>
                <w:rFonts w:ascii="Calibri" w:hAnsi="Calibri" w:cs="Calibri"/>
                <w:szCs w:val="18"/>
              </w:rPr>
            </w:pPr>
          </w:p>
        </w:tc>
        <w:tc>
          <w:tcPr>
            <w:tcW w:w="1155" w:type="pct"/>
            <w:vMerge/>
          </w:tcPr>
          <w:p w14:paraId="6CAA3126" w14:textId="77777777" w:rsidR="00563A46" w:rsidRPr="004375CA" w:rsidRDefault="00563A46" w:rsidP="00563A46">
            <w:pPr>
              <w:pStyle w:val="TableText"/>
              <w:rPr>
                <w:rFonts w:ascii="Calibri" w:hAnsi="Calibri" w:cs="Calibri"/>
                <w:szCs w:val="18"/>
              </w:rPr>
            </w:pPr>
          </w:p>
        </w:tc>
        <w:tc>
          <w:tcPr>
            <w:tcW w:w="1476" w:type="pct"/>
          </w:tcPr>
          <w:p w14:paraId="582C7DBB" w14:textId="6532C468" w:rsidR="00563A46" w:rsidRPr="004375CA" w:rsidRDefault="00563A46" w:rsidP="00563A46">
            <w:pPr>
              <w:pStyle w:val="TableText"/>
              <w:rPr>
                <w:rFonts w:ascii="Calibri" w:hAnsi="Calibri" w:cs="Calibri"/>
                <w:szCs w:val="18"/>
              </w:rPr>
            </w:pPr>
            <w:r w:rsidRPr="004375CA">
              <w:rPr>
                <w:rFonts w:ascii="Calibri" w:hAnsi="Calibri" w:cs="Calibri"/>
                <w:szCs w:val="18"/>
              </w:rPr>
              <w:t>Husbandry</w:t>
            </w:r>
          </w:p>
        </w:tc>
        <w:tc>
          <w:tcPr>
            <w:tcW w:w="1269" w:type="pct"/>
          </w:tcPr>
          <w:p w14:paraId="3DE063BF" w14:textId="612EF05F" w:rsidR="00563A46" w:rsidRPr="00C32CCF" w:rsidRDefault="00563A46" w:rsidP="00563A46">
            <w:pPr>
              <w:pStyle w:val="TableText"/>
              <w:jc w:val="right"/>
              <w:rPr>
                <w:rFonts w:cstheme="minorHAnsi"/>
                <w:strike/>
                <w:szCs w:val="18"/>
                <w:highlight w:val="yellow"/>
              </w:rPr>
            </w:pPr>
            <w:r w:rsidRPr="00BC7254">
              <w:t>4,078,069</w:t>
            </w:r>
          </w:p>
        </w:tc>
      </w:tr>
      <w:tr w:rsidR="00563A46" w:rsidRPr="00AF77B2" w14:paraId="1DE73B30" w14:textId="77777777" w:rsidTr="00A4372E">
        <w:tc>
          <w:tcPr>
            <w:tcW w:w="1100" w:type="pct"/>
            <w:vMerge/>
          </w:tcPr>
          <w:p w14:paraId="3D66C6F9" w14:textId="77777777" w:rsidR="00563A46" w:rsidRPr="004375CA" w:rsidRDefault="00563A46" w:rsidP="00563A46">
            <w:pPr>
              <w:pStyle w:val="TableText"/>
              <w:rPr>
                <w:rFonts w:ascii="Calibri" w:hAnsi="Calibri" w:cs="Calibri"/>
                <w:szCs w:val="18"/>
              </w:rPr>
            </w:pPr>
          </w:p>
        </w:tc>
        <w:tc>
          <w:tcPr>
            <w:tcW w:w="1155" w:type="pct"/>
            <w:vMerge/>
          </w:tcPr>
          <w:p w14:paraId="2AEC2077" w14:textId="77777777" w:rsidR="00563A46" w:rsidRPr="004375CA" w:rsidRDefault="00563A46" w:rsidP="00563A46">
            <w:pPr>
              <w:pStyle w:val="TableText"/>
              <w:rPr>
                <w:rFonts w:ascii="Calibri" w:hAnsi="Calibri" w:cs="Calibri"/>
                <w:szCs w:val="18"/>
              </w:rPr>
            </w:pPr>
          </w:p>
        </w:tc>
        <w:tc>
          <w:tcPr>
            <w:tcW w:w="1476" w:type="pct"/>
          </w:tcPr>
          <w:p w14:paraId="3FA63F2F" w14:textId="77777777" w:rsidR="00563A46" w:rsidRPr="004375CA" w:rsidRDefault="00563A46" w:rsidP="00563A46">
            <w:pPr>
              <w:pStyle w:val="TableText"/>
              <w:rPr>
                <w:rStyle w:val="Strong"/>
                <w:rFonts w:ascii="Calibri" w:hAnsi="Calibri" w:cs="Calibri"/>
                <w:szCs w:val="18"/>
              </w:rPr>
            </w:pPr>
            <w:r w:rsidRPr="004375CA">
              <w:rPr>
                <w:rStyle w:val="Strong"/>
                <w:rFonts w:ascii="Calibri" w:hAnsi="Calibri" w:cs="Calibri"/>
                <w:szCs w:val="18"/>
              </w:rPr>
              <w:t>Subtotal</w:t>
            </w:r>
          </w:p>
        </w:tc>
        <w:tc>
          <w:tcPr>
            <w:tcW w:w="1269" w:type="pct"/>
          </w:tcPr>
          <w:p w14:paraId="67D2D2A0" w14:textId="29FC47F1" w:rsidR="00563A46" w:rsidRPr="00C32CCF" w:rsidRDefault="00563A46" w:rsidP="00563A46">
            <w:pPr>
              <w:pStyle w:val="TableText"/>
              <w:jc w:val="right"/>
              <w:rPr>
                <w:rStyle w:val="Strong"/>
                <w:rFonts w:cstheme="minorHAnsi"/>
                <w:b w:val="0"/>
                <w:strike/>
                <w:szCs w:val="18"/>
                <w:highlight w:val="yellow"/>
              </w:rPr>
            </w:pPr>
            <w:r w:rsidRPr="00F56B50">
              <w:t>80,548,371</w:t>
            </w:r>
          </w:p>
        </w:tc>
      </w:tr>
      <w:tr w:rsidR="00563A46" w:rsidRPr="00AF77B2" w14:paraId="27000430" w14:textId="77777777" w:rsidTr="00A4372E">
        <w:tc>
          <w:tcPr>
            <w:tcW w:w="1100" w:type="pct"/>
            <w:vMerge/>
            <w:tcBorders>
              <w:bottom w:val="single" w:sz="4" w:space="0" w:color="auto"/>
            </w:tcBorders>
          </w:tcPr>
          <w:p w14:paraId="4AD66BF7" w14:textId="77777777" w:rsidR="00563A46" w:rsidRPr="004375CA" w:rsidRDefault="00563A46" w:rsidP="00563A46">
            <w:pPr>
              <w:pStyle w:val="TableText"/>
              <w:rPr>
                <w:rFonts w:ascii="Calibri" w:hAnsi="Calibri" w:cs="Calibri"/>
                <w:szCs w:val="18"/>
              </w:rPr>
            </w:pPr>
          </w:p>
        </w:tc>
        <w:tc>
          <w:tcPr>
            <w:tcW w:w="1155" w:type="pct"/>
            <w:vMerge/>
            <w:tcBorders>
              <w:bottom w:val="single" w:sz="4" w:space="0" w:color="auto"/>
            </w:tcBorders>
          </w:tcPr>
          <w:p w14:paraId="1EF8C02B" w14:textId="77777777" w:rsidR="00563A46" w:rsidRPr="004375CA" w:rsidRDefault="00563A46" w:rsidP="00563A46">
            <w:pPr>
              <w:pStyle w:val="TableText"/>
              <w:rPr>
                <w:rFonts w:ascii="Calibri" w:hAnsi="Calibri" w:cs="Calibri"/>
                <w:szCs w:val="18"/>
              </w:rPr>
            </w:pPr>
          </w:p>
        </w:tc>
        <w:tc>
          <w:tcPr>
            <w:tcW w:w="1476" w:type="pct"/>
            <w:tcBorders>
              <w:bottom w:val="single" w:sz="4" w:space="0" w:color="auto"/>
            </w:tcBorders>
          </w:tcPr>
          <w:p w14:paraId="47F0F881" w14:textId="77777777" w:rsidR="00563A46" w:rsidRPr="004375CA" w:rsidRDefault="00563A46" w:rsidP="00563A46">
            <w:pPr>
              <w:pStyle w:val="TableText"/>
              <w:rPr>
                <w:rStyle w:val="Strong"/>
                <w:rFonts w:ascii="Calibri" w:hAnsi="Calibri" w:cs="Calibri"/>
                <w:szCs w:val="18"/>
              </w:rPr>
            </w:pPr>
            <w:r w:rsidRPr="004375CA">
              <w:rPr>
                <w:rStyle w:val="Strong"/>
                <w:rFonts w:ascii="Calibri" w:hAnsi="Calibri" w:cs="Calibri"/>
                <w:szCs w:val="18"/>
              </w:rPr>
              <w:t>Total fee for service</w:t>
            </w:r>
          </w:p>
        </w:tc>
        <w:tc>
          <w:tcPr>
            <w:tcW w:w="1269" w:type="pct"/>
            <w:tcBorders>
              <w:bottom w:val="single" w:sz="4" w:space="0" w:color="auto"/>
            </w:tcBorders>
          </w:tcPr>
          <w:p w14:paraId="027A4043" w14:textId="6DF4EBB1" w:rsidR="00563A46" w:rsidRPr="00C32CCF" w:rsidRDefault="00563A46" w:rsidP="00563A46">
            <w:pPr>
              <w:pStyle w:val="TableText"/>
              <w:jc w:val="right"/>
              <w:rPr>
                <w:rStyle w:val="Strong"/>
                <w:rFonts w:cstheme="minorHAnsi"/>
                <w:b w:val="0"/>
                <w:strike/>
                <w:szCs w:val="18"/>
                <w:highlight w:val="yellow"/>
              </w:rPr>
            </w:pPr>
            <w:r w:rsidRPr="00F56B50">
              <w:t>80,548,371</w:t>
            </w:r>
          </w:p>
        </w:tc>
      </w:tr>
      <w:tr w:rsidR="00563A46" w:rsidRPr="00AF77B2" w14:paraId="1C2BC381" w14:textId="77777777" w:rsidTr="00A4372E">
        <w:tc>
          <w:tcPr>
            <w:tcW w:w="1100" w:type="pct"/>
            <w:tcBorders>
              <w:bottom w:val="single" w:sz="4" w:space="0" w:color="auto"/>
            </w:tcBorders>
          </w:tcPr>
          <w:p w14:paraId="23F25C26" w14:textId="765A8E08" w:rsidR="00563A46" w:rsidRPr="00647F7A" w:rsidRDefault="00563A46" w:rsidP="00563A46">
            <w:pPr>
              <w:pStyle w:val="TableText"/>
              <w:rPr>
                <w:rStyle w:val="Strong"/>
              </w:rPr>
            </w:pPr>
            <w:r w:rsidRPr="00647F7A">
              <w:rPr>
                <w:rStyle w:val="Strong"/>
              </w:rPr>
              <w:t>Sub total</w:t>
            </w:r>
          </w:p>
        </w:tc>
        <w:tc>
          <w:tcPr>
            <w:tcW w:w="1155" w:type="pct"/>
            <w:tcBorders>
              <w:bottom w:val="single" w:sz="4" w:space="0" w:color="auto"/>
            </w:tcBorders>
            <w:vAlign w:val="center"/>
          </w:tcPr>
          <w:p w14:paraId="23C5E97C" w14:textId="7E6D405C" w:rsidR="00563A46" w:rsidRDefault="00563A46" w:rsidP="00563A46">
            <w:pPr>
              <w:pStyle w:val="TableText"/>
              <w:jc w:val="right"/>
              <w:rPr>
                <w:rFonts w:ascii="Calibri" w:hAnsi="Calibri" w:cs="Calibri"/>
                <w:szCs w:val="18"/>
              </w:rPr>
            </w:pPr>
            <w:r w:rsidRPr="00647F7A">
              <w:rPr>
                <w:rFonts w:ascii="Calibri" w:hAnsi="Calibri" w:cs="Calibri"/>
                <w:szCs w:val="18"/>
              </w:rPr>
              <w:t>–</w:t>
            </w:r>
          </w:p>
        </w:tc>
        <w:tc>
          <w:tcPr>
            <w:tcW w:w="1476" w:type="pct"/>
            <w:tcBorders>
              <w:bottom w:val="single" w:sz="4" w:space="0" w:color="auto"/>
            </w:tcBorders>
            <w:vAlign w:val="center"/>
          </w:tcPr>
          <w:p w14:paraId="7A9AFF0D" w14:textId="77777777" w:rsidR="00563A46" w:rsidRDefault="00563A46" w:rsidP="00563A46">
            <w:pPr>
              <w:pStyle w:val="TableText"/>
              <w:jc w:val="right"/>
              <w:rPr>
                <w:rStyle w:val="Strong"/>
                <w:rFonts w:ascii="Calibri" w:hAnsi="Calibri" w:cs="Calibri"/>
                <w:szCs w:val="18"/>
              </w:rPr>
            </w:pPr>
          </w:p>
        </w:tc>
        <w:tc>
          <w:tcPr>
            <w:tcW w:w="1269" w:type="pct"/>
            <w:tcBorders>
              <w:bottom w:val="single" w:sz="4" w:space="0" w:color="auto"/>
            </w:tcBorders>
          </w:tcPr>
          <w:p w14:paraId="2737A117" w14:textId="5014AFAA" w:rsidR="00563A46" w:rsidRPr="00647F7A" w:rsidRDefault="00563A46" w:rsidP="00563A46">
            <w:pPr>
              <w:pStyle w:val="TableText"/>
              <w:jc w:val="right"/>
              <w:rPr>
                <w:rStyle w:val="Strong"/>
              </w:rPr>
            </w:pPr>
            <w:r w:rsidRPr="00F56B50">
              <w:t>366,003,385</w:t>
            </w:r>
          </w:p>
        </w:tc>
      </w:tr>
      <w:tr w:rsidR="009C71E9" w:rsidRPr="00AF77B2" w14:paraId="191F0666" w14:textId="77777777" w:rsidTr="00A4372E">
        <w:tc>
          <w:tcPr>
            <w:tcW w:w="1100" w:type="pct"/>
            <w:tcBorders>
              <w:bottom w:val="single" w:sz="4" w:space="0" w:color="auto"/>
            </w:tcBorders>
          </w:tcPr>
          <w:p w14:paraId="1FF36CEF" w14:textId="0D85A359" w:rsidR="009C71E9" w:rsidRPr="004375CA" w:rsidRDefault="009C71E9" w:rsidP="009C71E9">
            <w:pPr>
              <w:pStyle w:val="TableText"/>
              <w:rPr>
                <w:rFonts w:ascii="Calibri" w:hAnsi="Calibri" w:cs="Calibri"/>
                <w:b/>
                <w:szCs w:val="18"/>
                <w:lang w:eastAsia="ja-JP"/>
              </w:rPr>
            </w:pPr>
            <w:r w:rsidRPr="004375CA">
              <w:rPr>
                <w:rFonts w:ascii="Calibri" w:hAnsi="Calibri" w:cs="Calibri"/>
                <w:bCs/>
                <w:szCs w:val="18"/>
                <w:lang w:eastAsia="ja-JP"/>
              </w:rPr>
              <w:t xml:space="preserve">Less </w:t>
            </w:r>
            <w:r w:rsidR="000F07BF">
              <w:rPr>
                <w:rFonts w:ascii="Calibri" w:hAnsi="Calibri" w:cs="Calibri"/>
                <w:bCs/>
                <w:szCs w:val="18"/>
                <w:lang w:eastAsia="ja-JP"/>
              </w:rPr>
              <w:t>g</w:t>
            </w:r>
            <w:r w:rsidRPr="004375CA">
              <w:rPr>
                <w:rFonts w:ascii="Calibri" w:hAnsi="Calibri" w:cs="Calibri"/>
                <w:bCs/>
                <w:szCs w:val="18"/>
                <w:lang w:eastAsia="ja-JP"/>
              </w:rPr>
              <w:t xml:space="preserve">overnment </w:t>
            </w:r>
            <w:r w:rsidRPr="004375CA">
              <w:rPr>
                <w:rFonts w:ascii="Calibri" w:hAnsi="Calibri" w:cs="Calibri"/>
                <w:szCs w:val="18"/>
                <w:lang w:eastAsia="ja-JP"/>
              </w:rPr>
              <w:t>appropriation for anti-smuggling measures</w:t>
            </w:r>
          </w:p>
        </w:tc>
        <w:tc>
          <w:tcPr>
            <w:tcW w:w="1155" w:type="pct"/>
            <w:tcBorders>
              <w:bottom w:val="single" w:sz="4" w:space="0" w:color="auto"/>
            </w:tcBorders>
            <w:vAlign w:val="center"/>
          </w:tcPr>
          <w:p w14:paraId="58A6D86D" w14:textId="381F5709" w:rsidR="009C71E9" w:rsidRPr="004375CA" w:rsidRDefault="00F700D1" w:rsidP="005A660F">
            <w:pPr>
              <w:pStyle w:val="TableText"/>
              <w:jc w:val="right"/>
              <w:rPr>
                <w:rFonts w:ascii="Calibri" w:hAnsi="Calibri" w:cs="Calibri"/>
                <w:szCs w:val="18"/>
              </w:rPr>
            </w:pPr>
            <w:r>
              <w:rPr>
                <w:rFonts w:ascii="Calibri" w:hAnsi="Calibri" w:cs="Calibri"/>
                <w:szCs w:val="18"/>
              </w:rPr>
              <w:t>–</w:t>
            </w:r>
          </w:p>
        </w:tc>
        <w:tc>
          <w:tcPr>
            <w:tcW w:w="1476" w:type="pct"/>
            <w:tcBorders>
              <w:bottom w:val="single" w:sz="4" w:space="0" w:color="auto"/>
            </w:tcBorders>
            <w:vAlign w:val="center"/>
          </w:tcPr>
          <w:p w14:paraId="13C9B201" w14:textId="28F22AB7" w:rsidR="009C71E9" w:rsidRPr="004375CA" w:rsidRDefault="00F700D1" w:rsidP="005A660F">
            <w:pPr>
              <w:pStyle w:val="TableText"/>
              <w:jc w:val="right"/>
              <w:rPr>
                <w:rStyle w:val="Strong"/>
                <w:rFonts w:ascii="Calibri" w:hAnsi="Calibri" w:cs="Calibri"/>
                <w:szCs w:val="18"/>
              </w:rPr>
            </w:pPr>
            <w:r>
              <w:rPr>
                <w:rStyle w:val="Strong"/>
                <w:rFonts w:ascii="Calibri" w:hAnsi="Calibri" w:cs="Calibri"/>
                <w:szCs w:val="18"/>
              </w:rPr>
              <w:t>–</w:t>
            </w:r>
          </w:p>
        </w:tc>
        <w:tc>
          <w:tcPr>
            <w:tcW w:w="1269" w:type="pct"/>
            <w:tcBorders>
              <w:bottom w:val="single" w:sz="4" w:space="0" w:color="auto"/>
            </w:tcBorders>
            <w:vAlign w:val="center"/>
          </w:tcPr>
          <w:p w14:paraId="3BBE9320" w14:textId="40852C76" w:rsidR="009C71E9" w:rsidRPr="00C32CCF" w:rsidRDefault="009C71E9" w:rsidP="005806AC">
            <w:pPr>
              <w:pStyle w:val="TableText"/>
              <w:jc w:val="right"/>
              <w:rPr>
                <w:rFonts w:cstheme="minorHAnsi"/>
                <w:b/>
                <w:bCs/>
                <w:strike/>
                <w:szCs w:val="18"/>
                <w:highlight w:val="yellow"/>
                <w:lang w:eastAsia="ja-JP"/>
              </w:rPr>
            </w:pPr>
            <w:r w:rsidRPr="009C71E9">
              <w:rPr>
                <w:rFonts w:cstheme="minorHAnsi"/>
              </w:rPr>
              <w:t>(1,618,084)</w:t>
            </w:r>
          </w:p>
        </w:tc>
      </w:tr>
      <w:tr w:rsidR="009C71E9" w:rsidRPr="00AF77B2" w14:paraId="6DCBB079" w14:textId="77777777" w:rsidTr="00A4372E">
        <w:tc>
          <w:tcPr>
            <w:tcW w:w="1100" w:type="pct"/>
            <w:tcBorders>
              <w:bottom w:val="single" w:sz="4" w:space="0" w:color="auto"/>
            </w:tcBorders>
          </w:tcPr>
          <w:p w14:paraId="33C8B7C1" w14:textId="3D488E72" w:rsidR="009C71E9" w:rsidRPr="004375CA" w:rsidRDefault="009C71E9" w:rsidP="009C71E9">
            <w:pPr>
              <w:pStyle w:val="TableText"/>
              <w:rPr>
                <w:rFonts w:ascii="Calibri" w:hAnsi="Calibri" w:cs="Calibri"/>
                <w:b/>
                <w:szCs w:val="18"/>
                <w:lang w:eastAsia="ja-JP"/>
              </w:rPr>
            </w:pPr>
            <w:r w:rsidRPr="004375CA">
              <w:rPr>
                <w:rFonts w:ascii="Calibri" w:hAnsi="Calibri" w:cs="Calibri"/>
                <w:bCs/>
                <w:szCs w:val="18"/>
                <w:lang w:eastAsia="ja-JP"/>
              </w:rPr>
              <w:t>Less diagnostic consumables recovered at cost</w:t>
            </w:r>
          </w:p>
        </w:tc>
        <w:tc>
          <w:tcPr>
            <w:tcW w:w="1155" w:type="pct"/>
            <w:tcBorders>
              <w:bottom w:val="single" w:sz="4" w:space="0" w:color="auto"/>
            </w:tcBorders>
            <w:vAlign w:val="center"/>
          </w:tcPr>
          <w:p w14:paraId="363E236E" w14:textId="34EDC9DF" w:rsidR="009C71E9" w:rsidRPr="004375CA" w:rsidRDefault="00F700D1" w:rsidP="005A660F">
            <w:pPr>
              <w:pStyle w:val="TableText"/>
              <w:jc w:val="right"/>
              <w:rPr>
                <w:rFonts w:ascii="Calibri" w:hAnsi="Calibri" w:cs="Calibri"/>
                <w:szCs w:val="18"/>
              </w:rPr>
            </w:pPr>
            <w:r>
              <w:rPr>
                <w:rFonts w:ascii="Calibri" w:hAnsi="Calibri" w:cs="Calibri"/>
                <w:szCs w:val="18"/>
              </w:rPr>
              <w:t>–</w:t>
            </w:r>
          </w:p>
        </w:tc>
        <w:tc>
          <w:tcPr>
            <w:tcW w:w="1476" w:type="pct"/>
            <w:tcBorders>
              <w:bottom w:val="single" w:sz="4" w:space="0" w:color="auto"/>
            </w:tcBorders>
            <w:vAlign w:val="center"/>
          </w:tcPr>
          <w:p w14:paraId="08E21545" w14:textId="6B90C8D9" w:rsidR="009C71E9" w:rsidRPr="004375CA" w:rsidRDefault="00F700D1" w:rsidP="005A660F">
            <w:pPr>
              <w:pStyle w:val="TableText"/>
              <w:jc w:val="right"/>
              <w:rPr>
                <w:rStyle w:val="Strong"/>
                <w:rFonts w:ascii="Calibri" w:hAnsi="Calibri" w:cs="Calibri"/>
                <w:szCs w:val="18"/>
              </w:rPr>
            </w:pPr>
            <w:r>
              <w:rPr>
                <w:rStyle w:val="Strong"/>
                <w:rFonts w:ascii="Calibri" w:hAnsi="Calibri" w:cs="Calibri"/>
                <w:szCs w:val="18"/>
              </w:rPr>
              <w:t>–</w:t>
            </w:r>
          </w:p>
        </w:tc>
        <w:tc>
          <w:tcPr>
            <w:tcW w:w="1269" w:type="pct"/>
            <w:tcBorders>
              <w:bottom w:val="single" w:sz="4" w:space="0" w:color="auto"/>
            </w:tcBorders>
            <w:vAlign w:val="center"/>
          </w:tcPr>
          <w:p w14:paraId="6456B787" w14:textId="50078574" w:rsidR="009C71E9" w:rsidRPr="00C32CCF" w:rsidRDefault="009C71E9" w:rsidP="005806AC">
            <w:pPr>
              <w:pStyle w:val="TableText"/>
              <w:jc w:val="right"/>
              <w:rPr>
                <w:rFonts w:cstheme="minorHAnsi"/>
                <w:b/>
                <w:bCs/>
                <w:strike/>
                <w:szCs w:val="18"/>
                <w:highlight w:val="yellow"/>
                <w:lang w:eastAsia="ja-JP"/>
              </w:rPr>
            </w:pPr>
            <w:r w:rsidRPr="009C71E9">
              <w:rPr>
                <w:rFonts w:cstheme="minorHAnsi"/>
              </w:rPr>
              <w:t>(169,861)</w:t>
            </w:r>
          </w:p>
        </w:tc>
      </w:tr>
      <w:tr w:rsidR="009C71E9" w:rsidRPr="00AF77B2" w14:paraId="45CEEF85" w14:textId="77777777" w:rsidTr="00A4372E">
        <w:tc>
          <w:tcPr>
            <w:tcW w:w="1100" w:type="pct"/>
            <w:tcBorders>
              <w:bottom w:val="single" w:sz="4" w:space="0" w:color="auto"/>
            </w:tcBorders>
          </w:tcPr>
          <w:p w14:paraId="70FE6689" w14:textId="10422ACB" w:rsidR="009C71E9" w:rsidRPr="004375CA" w:rsidRDefault="009C71E9" w:rsidP="009C71E9">
            <w:pPr>
              <w:pStyle w:val="TableText"/>
              <w:rPr>
                <w:rFonts w:ascii="Calibri" w:hAnsi="Calibri" w:cs="Calibri"/>
                <w:bCs/>
                <w:szCs w:val="18"/>
                <w:lang w:eastAsia="ja-JP"/>
              </w:rPr>
            </w:pPr>
            <w:r w:rsidRPr="004375CA">
              <w:rPr>
                <w:rFonts w:ascii="Calibri" w:hAnsi="Calibri" w:cs="Calibri"/>
                <w:szCs w:val="18"/>
                <w:lang w:eastAsia="ja-JP"/>
              </w:rPr>
              <w:t>Less costs paid on behalf of and recovered from companion animal importers</w:t>
            </w:r>
          </w:p>
        </w:tc>
        <w:tc>
          <w:tcPr>
            <w:tcW w:w="1155" w:type="pct"/>
            <w:tcBorders>
              <w:bottom w:val="single" w:sz="4" w:space="0" w:color="auto"/>
            </w:tcBorders>
            <w:vAlign w:val="center"/>
          </w:tcPr>
          <w:p w14:paraId="6AB079F2" w14:textId="4B7411FC" w:rsidR="009C71E9" w:rsidRPr="004375CA" w:rsidRDefault="00F700D1" w:rsidP="005A660F">
            <w:pPr>
              <w:pStyle w:val="TableText"/>
              <w:jc w:val="right"/>
              <w:rPr>
                <w:rFonts w:ascii="Calibri" w:hAnsi="Calibri" w:cs="Calibri"/>
                <w:szCs w:val="18"/>
              </w:rPr>
            </w:pPr>
            <w:r>
              <w:rPr>
                <w:rFonts w:ascii="Calibri" w:hAnsi="Calibri" w:cs="Calibri"/>
                <w:szCs w:val="18"/>
              </w:rPr>
              <w:t>–</w:t>
            </w:r>
          </w:p>
        </w:tc>
        <w:tc>
          <w:tcPr>
            <w:tcW w:w="1476" w:type="pct"/>
            <w:tcBorders>
              <w:bottom w:val="single" w:sz="4" w:space="0" w:color="auto"/>
            </w:tcBorders>
            <w:vAlign w:val="center"/>
          </w:tcPr>
          <w:p w14:paraId="0F433393" w14:textId="1C2AB8C5" w:rsidR="009C71E9" w:rsidRPr="004375CA" w:rsidRDefault="00F700D1" w:rsidP="005A660F">
            <w:pPr>
              <w:pStyle w:val="TableText"/>
              <w:jc w:val="right"/>
              <w:rPr>
                <w:rStyle w:val="Strong"/>
                <w:rFonts w:ascii="Calibri" w:hAnsi="Calibri" w:cs="Calibri"/>
                <w:szCs w:val="18"/>
              </w:rPr>
            </w:pPr>
            <w:r>
              <w:rPr>
                <w:rStyle w:val="Strong"/>
                <w:rFonts w:ascii="Calibri" w:hAnsi="Calibri" w:cs="Calibri"/>
                <w:szCs w:val="18"/>
              </w:rPr>
              <w:t>–</w:t>
            </w:r>
          </w:p>
        </w:tc>
        <w:tc>
          <w:tcPr>
            <w:tcW w:w="1269" w:type="pct"/>
            <w:tcBorders>
              <w:bottom w:val="single" w:sz="4" w:space="0" w:color="auto"/>
            </w:tcBorders>
            <w:vAlign w:val="center"/>
          </w:tcPr>
          <w:p w14:paraId="201E4F25" w14:textId="4B97A422" w:rsidR="009C71E9" w:rsidRPr="00C32CCF" w:rsidRDefault="009C71E9" w:rsidP="005806AC">
            <w:pPr>
              <w:pStyle w:val="TableText"/>
              <w:jc w:val="right"/>
              <w:rPr>
                <w:rFonts w:eastAsia="Calibri" w:cstheme="minorHAnsi"/>
                <w:bCs/>
                <w:strike/>
                <w:szCs w:val="18"/>
                <w:highlight w:val="yellow"/>
              </w:rPr>
            </w:pPr>
            <w:r w:rsidRPr="009C71E9">
              <w:rPr>
                <w:rFonts w:cstheme="minorHAnsi"/>
              </w:rPr>
              <w:t>(800,000)</w:t>
            </w:r>
          </w:p>
        </w:tc>
      </w:tr>
      <w:tr w:rsidR="009C71E9" w:rsidRPr="004C5285" w14:paraId="730C1437" w14:textId="77777777" w:rsidTr="00A4372E">
        <w:tc>
          <w:tcPr>
            <w:tcW w:w="1100" w:type="pct"/>
            <w:tcBorders>
              <w:bottom w:val="single" w:sz="4" w:space="0" w:color="auto"/>
            </w:tcBorders>
          </w:tcPr>
          <w:p w14:paraId="7347A5A5" w14:textId="21F5DC77" w:rsidR="009C71E9" w:rsidRPr="004375CA" w:rsidRDefault="009C71E9" w:rsidP="009C71E9">
            <w:pPr>
              <w:pStyle w:val="TableText"/>
              <w:rPr>
                <w:rFonts w:ascii="Calibri" w:hAnsi="Calibri" w:cs="Calibri"/>
                <w:szCs w:val="18"/>
                <w:lang w:eastAsia="ja-JP"/>
              </w:rPr>
            </w:pPr>
            <w:r w:rsidRPr="004375CA">
              <w:rPr>
                <w:rStyle w:val="Strong"/>
                <w:rFonts w:ascii="Calibri" w:hAnsi="Calibri" w:cs="Calibri"/>
              </w:rPr>
              <w:t>Net costs to be recovered</w:t>
            </w:r>
          </w:p>
        </w:tc>
        <w:tc>
          <w:tcPr>
            <w:tcW w:w="1155" w:type="pct"/>
            <w:tcBorders>
              <w:bottom w:val="single" w:sz="4" w:space="0" w:color="auto"/>
            </w:tcBorders>
            <w:vAlign w:val="center"/>
          </w:tcPr>
          <w:p w14:paraId="1EAAB0B1" w14:textId="3070DFD0" w:rsidR="009C71E9" w:rsidRPr="004375CA" w:rsidRDefault="00F700D1" w:rsidP="005A660F">
            <w:pPr>
              <w:pStyle w:val="TableText"/>
              <w:jc w:val="right"/>
              <w:rPr>
                <w:rFonts w:ascii="Calibri" w:hAnsi="Calibri" w:cs="Calibri"/>
                <w:szCs w:val="18"/>
              </w:rPr>
            </w:pPr>
            <w:r>
              <w:rPr>
                <w:rFonts w:ascii="Calibri" w:hAnsi="Calibri" w:cs="Calibri"/>
                <w:szCs w:val="18"/>
              </w:rPr>
              <w:t>–</w:t>
            </w:r>
          </w:p>
        </w:tc>
        <w:tc>
          <w:tcPr>
            <w:tcW w:w="1476" w:type="pct"/>
            <w:tcBorders>
              <w:bottom w:val="single" w:sz="4" w:space="0" w:color="auto"/>
            </w:tcBorders>
            <w:vAlign w:val="center"/>
          </w:tcPr>
          <w:p w14:paraId="1549329F" w14:textId="3D7F729B" w:rsidR="009C71E9" w:rsidRPr="004375CA" w:rsidRDefault="00F700D1" w:rsidP="005A660F">
            <w:pPr>
              <w:pStyle w:val="TableText"/>
              <w:jc w:val="right"/>
              <w:rPr>
                <w:rStyle w:val="Strong"/>
                <w:rFonts w:ascii="Calibri" w:hAnsi="Calibri" w:cs="Calibri"/>
                <w:szCs w:val="18"/>
              </w:rPr>
            </w:pPr>
            <w:r>
              <w:rPr>
                <w:rStyle w:val="Strong"/>
                <w:rFonts w:ascii="Calibri" w:hAnsi="Calibri" w:cs="Calibri"/>
                <w:szCs w:val="18"/>
              </w:rPr>
              <w:t>–</w:t>
            </w:r>
          </w:p>
        </w:tc>
        <w:tc>
          <w:tcPr>
            <w:tcW w:w="1269" w:type="pct"/>
            <w:tcBorders>
              <w:bottom w:val="single" w:sz="4" w:space="0" w:color="auto"/>
            </w:tcBorders>
            <w:vAlign w:val="center"/>
          </w:tcPr>
          <w:p w14:paraId="3427B9B5" w14:textId="65BB89A9" w:rsidR="009C71E9" w:rsidRPr="005A660F" w:rsidRDefault="00647F7A" w:rsidP="005806AC">
            <w:pPr>
              <w:pStyle w:val="TableText"/>
              <w:jc w:val="right"/>
              <w:rPr>
                <w:rFonts w:eastAsia="Calibri" w:cstheme="minorHAnsi"/>
                <w:b/>
                <w:bCs/>
                <w:strike/>
                <w:szCs w:val="18"/>
              </w:rPr>
            </w:pPr>
            <w:r w:rsidRPr="00647F7A">
              <w:rPr>
                <w:rFonts w:cstheme="minorHAnsi"/>
                <w:b/>
                <w:bCs/>
              </w:rPr>
              <w:t>363,415,440</w:t>
            </w:r>
          </w:p>
        </w:tc>
      </w:tr>
    </w:tbl>
    <w:p w14:paraId="0E7FA652" w14:textId="73ECA5FD" w:rsidR="00056AD4" w:rsidRPr="0029167F" w:rsidRDefault="00C5328C" w:rsidP="00C5328C">
      <w:pPr>
        <w:pStyle w:val="Heading2"/>
        <w:rPr>
          <w:rFonts w:asciiTheme="minorHAnsi" w:hAnsiTheme="minorHAnsi" w:cstheme="minorHAnsi"/>
        </w:rPr>
      </w:pPr>
      <w:bookmarkStart w:id="158" w:name="_Toc168489259"/>
      <w:bookmarkStart w:id="159" w:name="_Toc168489556"/>
      <w:bookmarkStart w:id="160" w:name="_Toc168645254"/>
      <w:bookmarkEnd w:id="157"/>
      <w:r w:rsidRPr="0029167F">
        <w:rPr>
          <w:rFonts w:asciiTheme="minorHAnsi" w:hAnsiTheme="minorHAnsi" w:cstheme="minorHAnsi"/>
        </w:rPr>
        <w:lastRenderedPageBreak/>
        <w:t>Risk assessment</w:t>
      </w:r>
      <w:bookmarkEnd w:id="158"/>
      <w:bookmarkEnd w:id="159"/>
      <w:bookmarkEnd w:id="160"/>
    </w:p>
    <w:p w14:paraId="07C104FD" w14:textId="4E45DCAC" w:rsidR="005806AC" w:rsidRDefault="005806AC" w:rsidP="005A660F">
      <w:r w:rsidRPr="005806AC">
        <w:t xml:space="preserve">A charging risk assessment (CRA) is required for any regulatory charging policy proposal, we consider risks associated with cost recovery biosecurity activities and how we will manage or mitigate these risks. Risks for the arrangement are presented in </w:t>
      </w:r>
      <w:r>
        <w:fldChar w:fldCharType="begin"/>
      </w:r>
      <w:r>
        <w:instrText xml:space="preserve"> REF _Ref162012526 \h </w:instrText>
      </w:r>
      <w:r>
        <w:fldChar w:fldCharType="separate"/>
      </w:r>
      <w:r w:rsidR="006D5EF4" w:rsidRPr="00342C21">
        <w:t xml:space="preserve">Table </w:t>
      </w:r>
      <w:r w:rsidR="006D5EF4">
        <w:rPr>
          <w:noProof/>
        </w:rPr>
        <w:t>6</w:t>
      </w:r>
      <w:r>
        <w:fldChar w:fldCharType="end"/>
      </w:r>
      <w:r w:rsidRPr="005806AC">
        <w:t>.</w:t>
      </w:r>
    </w:p>
    <w:p w14:paraId="29F07C74" w14:textId="65795693" w:rsidR="00C20169" w:rsidRPr="00C20169" w:rsidRDefault="00A7132A" w:rsidP="00A7132A">
      <w:pPr>
        <w:pStyle w:val="Caption"/>
        <w:rPr>
          <w:rFonts w:asciiTheme="minorHAnsi" w:hAnsiTheme="minorHAnsi" w:cstheme="minorHAnsi"/>
        </w:rPr>
      </w:pPr>
      <w:bookmarkStart w:id="161" w:name="_Ref162012526"/>
      <w:bookmarkStart w:id="162" w:name="_Toc167086233"/>
      <w:bookmarkStart w:id="163" w:name="_Toc168645280"/>
      <w:bookmarkStart w:id="164" w:name="_Ref77863628"/>
      <w:r w:rsidRPr="00342C21">
        <w:t xml:space="preserve">Table </w:t>
      </w:r>
      <w:r w:rsidR="00FD4278">
        <w:fldChar w:fldCharType="begin"/>
      </w:r>
      <w:r w:rsidR="00FD4278">
        <w:instrText xml:space="preserve"> SEQ Table \* ARABIC </w:instrText>
      </w:r>
      <w:r w:rsidR="00FD4278">
        <w:fldChar w:fldCharType="separate"/>
      </w:r>
      <w:r w:rsidR="006D5EF4">
        <w:rPr>
          <w:noProof/>
        </w:rPr>
        <w:t>6</w:t>
      </w:r>
      <w:r w:rsidR="00FD4278">
        <w:rPr>
          <w:noProof/>
        </w:rPr>
        <w:fldChar w:fldCharType="end"/>
      </w:r>
      <w:bookmarkEnd w:id="161"/>
      <w:r w:rsidRPr="00342C21">
        <w:t xml:space="preserve"> Risks for biosecurity </w:t>
      </w:r>
      <w:r w:rsidR="00F03BA4">
        <w:t xml:space="preserve">cost recovery </w:t>
      </w:r>
      <w:r w:rsidRPr="00342C21">
        <w:t>arrangement</w:t>
      </w:r>
      <w:bookmarkEnd w:id="162"/>
      <w:bookmarkEnd w:id="163"/>
    </w:p>
    <w:tbl>
      <w:tblPr>
        <w:tblW w:w="5000" w:type="pct"/>
        <w:tblBorders>
          <w:top w:val="single" w:sz="4" w:space="0" w:color="auto"/>
          <w:bottom w:val="single" w:sz="4" w:space="0" w:color="auto"/>
          <w:insideH w:val="single" w:sz="4" w:space="0" w:color="auto"/>
        </w:tblBorders>
        <w:tblCellMar>
          <w:left w:w="40" w:type="dxa"/>
          <w:right w:w="40" w:type="dxa"/>
        </w:tblCellMar>
        <w:tblLook w:val="04A0" w:firstRow="1" w:lastRow="0" w:firstColumn="1" w:lastColumn="0" w:noHBand="0" w:noVBand="1"/>
      </w:tblPr>
      <w:tblGrid>
        <w:gridCol w:w="4592"/>
        <w:gridCol w:w="4592"/>
      </w:tblGrid>
      <w:tr w:rsidR="008E24B1" w:rsidRPr="0029167F" w14:paraId="2CC7F1B8" w14:textId="77777777" w:rsidTr="00A4372E">
        <w:trPr>
          <w:tblHeader/>
        </w:trPr>
        <w:tc>
          <w:tcPr>
            <w:tcW w:w="2500" w:type="pct"/>
          </w:tcPr>
          <w:p w14:paraId="7F4829F6" w14:textId="77777777" w:rsidR="008E24B1" w:rsidRPr="00D74FA6" w:rsidRDefault="008E24B1" w:rsidP="00A968F0">
            <w:pPr>
              <w:pStyle w:val="TableHeading"/>
              <w:rPr>
                <w:rStyle w:val="Strong"/>
                <w:rFonts w:ascii="Calibri" w:hAnsi="Calibri"/>
                <w:bCs w:val="0"/>
                <w:sz w:val="22"/>
                <w:szCs w:val="18"/>
              </w:rPr>
            </w:pPr>
            <w:bookmarkStart w:id="165" w:name="Title_6"/>
            <w:bookmarkEnd w:id="164"/>
            <w:bookmarkEnd w:id="165"/>
            <w:r w:rsidRPr="00D74FA6">
              <w:rPr>
                <w:rStyle w:val="Strong"/>
                <w:b/>
                <w:bCs w:val="0"/>
              </w:rPr>
              <w:t>Risk</w:t>
            </w:r>
          </w:p>
        </w:tc>
        <w:tc>
          <w:tcPr>
            <w:tcW w:w="2500" w:type="pct"/>
          </w:tcPr>
          <w:p w14:paraId="0E7EAD38" w14:textId="77777777" w:rsidR="008E24B1" w:rsidRPr="00D74FA6" w:rsidRDefault="008E24B1" w:rsidP="00A968F0">
            <w:pPr>
              <w:pStyle w:val="TableHeading"/>
              <w:rPr>
                <w:rStyle w:val="Strong"/>
                <w:bCs w:val="0"/>
              </w:rPr>
            </w:pPr>
            <w:r w:rsidRPr="00D74FA6">
              <w:rPr>
                <w:rStyle w:val="Strong"/>
                <w:b/>
                <w:bCs w:val="0"/>
              </w:rPr>
              <w:t>Management</w:t>
            </w:r>
          </w:p>
        </w:tc>
      </w:tr>
      <w:tr w:rsidR="008E24B1" w:rsidRPr="0029167F" w14:paraId="66E2C222" w14:textId="77777777" w:rsidTr="00A4372E">
        <w:tc>
          <w:tcPr>
            <w:tcW w:w="2500" w:type="pct"/>
          </w:tcPr>
          <w:p w14:paraId="0D90F86A" w14:textId="3FF04DA6" w:rsidR="008E24B1" w:rsidRPr="00D74FA6" w:rsidRDefault="008E018B" w:rsidP="00D74FA6">
            <w:pPr>
              <w:pStyle w:val="TableText"/>
            </w:pPr>
            <w:r w:rsidRPr="00D74FA6">
              <w:t xml:space="preserve">Biosecurity cost recovery </w:t>
            </w:r>
            <w:r w:rsidR="008E24B1" w:rsidRPr="00D74FA6">
              <w:t>affecting industry competitiveness.</w:t>
            </w:r>
          </w:p>
        </w:tc>
        <w:tc>
          <w:tcPr>
            <w:tcW w:w="2500" w:type="pct"/>
          </w:tcPr>
          <w:p w14:paraId="0D96A273" w14:textId="41637E86" w:rsidR="008E24B1" w:rsidRPr="00D74FA6" w:rsidRDefault="008E24B1" w:rsidP="00D74FA6">
            <w:pPr>
              <w:pStyle w:val="TableText"/>
            </w:pPr>
            <w:r w:rsidRPr="00D74FA6">
              <w:t xml:space="preserve">We will continue </w:t>
            </w:r>
            <w:r w:rsidR="008E018B" w:rsidRPr="00D74FA6">
              <w:t>to monitor our performance in the delivery of biosecurity activities.</w:t>
            </w:r>
          </w:p>
        </w:tc>
      </w:tr>
      <w:tr w:rsidR="008E24B1" w:rsidRPr="0029167F" w14:paraId="39172E9C" w14:textId="77777777" w:rsidTr="00A4372E">
        <w:tc>
          <w:tcPr>
            <w:tcW w:w="2500" w:type="pct"/>
          </w:tcPr>
          <w:p w14:paraId="243E8093" w14:textId="536EE53A" w:rsidR="008E24B1" w:rsidRPr="00D74FA6" w:rsidRDefault="008E24B1" w:rsidP="00D74FA6">
            <w:pPr>
              <w:pStyle w:val="TableText"/>
            </w:pPr>
            <w:r w:rsidRPr="00D74FA6">
              <w:t xml:space="preserve">The fee and charge </w:t>
            </w:r>
            <w:r w:rsidR="00566C25" w:rsidRPr="00D74FA6">
              <w:t xml:space="preserve">(levy) </w:t>
            </w:r>
            <w:r w:rsidRPr="00D74FA6">
              <w:t>structure does not support future regulatory reforms.</w:t>
            </w:r>
          </w:p>
        </w:tc>
        <w:tc>
          <w:tcPr>
            <w:tcW w:w="2500" w:type="pct"/>
          </w:tcPr>
          <w:p w14:paraId="0CD7424D" w14:textId="39BB98AD" w:rsidR="008E24B1" w:rsidRPr="00D74FA6" w:rsidRDefault="008E24B1" w:rsidP="00D74FA6">
            <w:pPr>
              <w:pStyle w:val="TableText"/>
            </w:pPr>
            <w:r w:rsidRPr="00D74FA6">
              <w:t>The CRIS will be reviewed annually</w:t>
            </w:r>
            <w:r w:rsidR="008E018B" w:rsidRPr="00D74FA6">
              <w:t xml:space="preserve"> and updated accordingly</w:t>
            </w:r>
            <w:r w:rsidRPr="00D74FA6">
              <w:t>.</w:t>
            </w:r>
          </w:p>
        </w:tc>
      </w:tr>
      <w:tr w:rsidR="008E24B1" w:rsidRPr="0029167F" w14:paraId="298F30EC" w14:textId="77777777" w:rsidTr="00A4372E">
        <w:tc>
          <w:tcPr>
            <w:tcW w:w="2500" w:type="pct"/>
          </w:tcPr>
          <w:p w14:paraId="4963D7B6" w14:textId="2B730973" w:rsidR="008E24B1" w:rsidRPr="00D74FA6" w:rsidRDefault="008E24B1" w:rsidP="00D74FA6">
            <w:pPr>
              <w:pStyle w:val="TableText"/>
            </w:pPr>
            <w:r w:rsidRPr="00D74FA6">
              <w:t xml:space="preserve">Changes to </w:t>
            </w:r>
            <w:r w:rsidR="004A2FA3" w:rsidRPr="00D74FA6">
              <w:t>g</w:t>
            </w:r>
            <w:r w:rsidRPr="00D74FA6">
              <w:t>overnment policy and activities.</w:t>
            </w:r>
          </w:p>
        </w:tc>
        <w:tc>
          <w:tcPr>
            <w:tcW w:w="2500" w:type="pct"/>
          </w:tcPr>
          <w:p w14:paraId="16572E12" w14:textId="099CBD2E" w:rsidR="008E24B1" w:rsidRPr="00D74FA6" w:rsidRDefault="008E24B1" w:rsidP="00D74FA6">
            <w:pPr>
              <w:pStyle w:val="TableText"/>
            </w:pPr>
            <w:r w:rsidRPr="00D74FA6">
              <w:t>Regular assessments</w:t>
            </w:r>
            <w:r w:rsidR="008F1CCD" w:rsidRPr="00D74FA6">
              <w:t xml:space="preserve"> </w:t>
            </w:r>
            <w:r w:rsidRPr="00D74FA6">
              <w:t>of the arrangement will inform whether a regulatory charging review is required.</w:t>
            </w:r>
          </w:p>
        </w:tc>
      </w:tr>
      <w:tr w:rsidR="008E24B1" w:rsidRPr="0029167F" w14:paraId="53535040" w14:textId="77777777" w:rsidTr="00A4372E">
        <w:tc>
          <w:tcPr>
            <w:tcW w:w="2500" w:type="pct"/>
          </w:tcPr>
          <w:p w14:paraId="7554930A" w14:textId="77777777" w:rsidR="008E24B1" w:rsidRPr="00D74FA6" w:rsidRDefault="008E24B1" w:rsidP="00D74FA6">
            <w:pPr>
              <w:pStyle w:val="TableText"/>
            </w:pPr>
            <w:r w:rsidRPr="00D74FA6">
              <w:t>Biosecurity risk level changes—the cost of undertaking biosecurity activities no longer reflects forecast effort.</w:t>
            </w:r>
          </w:p>
        </w:tc>
        <w:tc>
          <w:tcPr>
            <w:tcW w:w="2500" w:type="pct"/>
          </w:tcPr>
          <w:p w14:paraId="4899E782" w14:textId="5D123233" w:rsidR="008E24B1" w:rsidRPr="00D74FA6" w:rsidRDefault="008E24B1" w:rsidP="00D74FA6">
            <w:pPr>
              <w:pStyle w:val="TableText"/>
            </w:pPr>
            <w:r w:rsidRPr="00D74FA6">
              <w:t>Regular assessment of the arrangement will inform whether a regulatory charging review is required.</w:t>
            </w:r>
          </w:p>
        </w:tc>
      </w:tr>
      <w:tr w:rsidR="008E24B1" w:rsidRPr="0029167F" w14:paraId="63416FBA" w14:textId="77777777" w:rsidTr="00A4372E">
        <w:tc>
          <w:tcPr>
            <w:tcW w:w="2500" w:type="pct"/>
          </w:tcPr>
          <w:p w14:paraId="3E3A81EA" w14:textId="5B8E2AC9" w:rsidR="008E24B1" w:rsidRPr="00D74FA6" w:rsidRDefault="008E24B1" w:rsidP="00D74FA6">
            <w:pPr>
              <w:pStyle w:val="TableText"/>
            </w:pPr>
            <w:r w:rsidRPr="00D74FA6">
              <w:t xml:space="preserve">Under-recovery occurs (for example, </w:t>
            </w:r>
            <w:r w:rsidR="003A30A5" w:rsidRPr="00D74FA6">
              <w:t>because</w:t>
            </w:r>
            <w:r w:rsidRPr="00D74FA6">
              <w:t xml:space="preserve"> of a reduction in the level of import activity).</w:t>
            </w:r>
          </w:p>
        </w:tc>
        <w:tc>
          <w:tcPr>
            <w:tcW w:w="2500" w:type="pct"/>
          </w:tcPr>
          <w:p w14:paraId="6596BF9A" w14:textId="67F1FE88" w:rsidR="008E24B1" w:rsidRPr="00D74FA6" w:rsidRDefault="008E24B1" w:rsidP="00D74FA6">
            <w:pPr>
              <w:pStyle w:val="TableText"/>
            </w:pPr>
            <w:r w:rsidRPr="00D74FA6">
              <w:t xml:space="preserve">We will engage with industry to discuss options </w:t>
            </w:r>
            <w:r w:rsidR="008F1CCD" w:rsidRPr="00D74FA6">
              <w:t>and develop</w:t>
            </w:r>
            <w:r w:rsidR="005A514F" w:rsidRPr="00D74FA6">
              <w:t xml:space="preserve"> strategies to manage expenses.</w:t>
            </w:r>
          </w:p>
        </w:tc>
      </w:tr>
      <w:tr w:rsidR="008E24B1" w:rsidRPr="0029167F" w14:paraId="21593B45" w14:textId="77777777" w:rsidTr="00A4372E">
        <w:tc>
          <w:tcPr>
            <w:tcW w:w="2500" w:type="pct"/>
          </w:tcPr>
          <w:p w14:paraId="60682B47" w14:textId="2F590083" w:rsidR="008E24B1" w:rsidRPr="00D74FA6" w:rsidRDefault="008E24B1" w:rsidP="00D74FA6">
            <w:pPr>
              <w:pStyle w:val="TableText"/>
            </w:pPr>
            <w:r w:rsidRPr="00D74FA6">
              <w:t xml:space="preserve">Over-recovery occurs (for example, </w:t>
            </w:r>
            <w:r w:rsidR="003A30A5" w:rsidRPr="00D74FA6">
              <w:t xml:space="preserve">because </w:t>
            </w:r>
            <w:r w:rsidRPr="00D74FA6">
              <w:t>of a greater than anticipated level of import activity).</w:t>
            </w:r>
          </w:p>
        </w:tc>
        <w:tc>
          <w:tcPr>
            <w:tcW w:w="2500" w:type="pct"/>
          </w:tcPr>
          <w:p w14:paraId="17513489" w14:textId="77777777" w:rsidR="008E24B1" w:rsidRPr="00D74FA6" w:rsidRDefault="008E24B1" w:rsidP="00D74FA6">
            <w:pPr>
              <w:pStyle w:val="TableText"/>
            </w:pPr>
            <w:r w:rsidRPr="00D74FA6">
              <w:t>Subject to approval, over-recoveries may be managed through remittance, or investment initiatives directly benefiting activities within the arrangement. An alternative approach may be agreed with industry within policy guidelines.</w:t>
            </w:r>
          </w:p>
        </w:tc>
      </w:tr>
      <w:tr w:rsidR="008E24B1" w:rsidRPr="0029167F" w14:paraId="23BE3BBE" w14:textId="77777777" w:rsidTr="00A4372E">
        <w:tc>
          <w:tcPr>
            <w:tcW w:w="2500" w:type="pct"/>
          </w:tcPr>
          <w:p w14:paraId="77439530" w14:textId="77777777" w:rsidR="008E24B1" w:rsidRPr="00D74FA6" w:rsidRDefault="008E24B1" w:rsidP="00D74FA6">
            <w:pPr>
              <w:pStyle w:val="TableText"/>
            </w:pPr>
            <w:r w:rsidRPr="00D74FA6">
              <w:t>Changing events impact actual revenue verses forecast revenue.</w:t>
            </w:r>
          </w:p>
        </w:tc>
        <w:tc>
          <w:tcPr>
            <w:tcW w:w="2500" w:type="pct"/>
          </w:tcPr>
          <w:p w14:paraId="76BF4B72" w14:textId="77777777" w:rsidR="008E24B1" w:rsidRPr="00D74FA6" w:rsidRDefault="008E24B1" w:rsidP="00D74FA6">
            <w:pPr>
              <w:pStyle w:val="TableText"/>
            </w:pPr>
            <w:r w:rsidRPr="00D74FA6">
              <w:t>We will update the CRIS annually to reflect changes in activity and effort and describe any consequential changes in the cost and price.</w:t>
            </w:r>
          </w:p>
        </w:tc>
      </w:tr>
      <w:tr w:rsidR="00566C25" w:rsidRPr="0029167F" w14:paraId="75180B4D" w14:textId="77777777" w:rsidTr="00A4372E">
        <w:tc>
          <w:tcPr>
            <w:tcW w:w="2500" w:type="pct"/>
          </w:tcPr>
          <w:p w14:paraId="2D3CE0F7" w14:textId="5C846372" w:rsidR="00566C25" w:rsidRPr="00D74FA6" w:rsidRDefault="00566C25" w:rsidP="00D74FA6">
            <w:pPr>
              <w:pStyle w:val="TableText"/>
            </w:pPr>
            <w:r w:rsidRPr="00D74FA6">
              <w:t>Significant or material change to processes involved with biosecurity activities, systems, staffing or complexity.</w:t>
            </w:r>
          </w:p>
        </w:tc>
        <w:tc>
          <w:tcPr>
            <w:tcW w:w="2500" w:type="pct"/>
          </w:tcPr>
          <w:p w14:paraId="138F2200" w14:textId="4F86E34D" w:rsidR="00566C25" w:rsidRPr="00D74FA6" w:rsidRDefault="00566C25" w:rsidP="00D74FA6">
            <w:pPr>
              <w:pStyle w:val="TableText"/>
            </w:pPr>
            <w:r w:rsidRPr="00D74FA6">
              <w:t>Regular monitoring of the arrangement will inform whether a change is material or significant and if a regulatory charging review is required.</w:t>
            </w:r>
          </w:p>
        </w:tc>
      </w:tr>
    </w:tbl>
    <w:p w14:paraId="77409BFE" w14:textId="45533F8B" w:rsidR="001926AB" w:rsidRPr="0029167F" w:rsidRDefault="00A82DE1" w:rsidP="00A82DE1">
      <w:pPr>
        <w:pStyle w:val="Heading2"/>
        <w:rPr>
          <w:rFonts w:asciiTheme="minorHAnsi" w:hAnsiTheme="minorHAnsi" w:cstheme="minorHAnsi"/>
        </w:rPr>
      </w:pPr>
      <w:bookmarkStart w:id="166" w:name="_Toc168489260"/>
      <w:bookmarkStart w:id="167" w:name="_Toc168489557"/>
      <w:bookmarkStart w:id="168" w:name="_Toc168645255"/>
      <w:r w:rsidRPr="0029167F">
        <w:rPr>
          <w:rFonts w:asciiTheme="minorHAnsi" w:hAnsiTheme="minorHAnsi" w:cstheme="minorHAnsi"/>
        </w:rPr>
        <w:lastRenderedPageBreak/>
        <w:t>Stakeholder engagement</w:t>
      </w:r>
      <w:bookmarkEnd w:id="166"/>
      <w:bookmarkEnd w:id="167"/>
      <w:bookmarkEnd w:id="168"/>
    </w:p>
    <w:p w14:paraId="7A6591B7" w14:textId="40E95AB0" w:rsidR="00172B65" w:rsidRDefault="00172B65" w:rsidP="00172B65">
      <w:pPr>
        <w:rPr>
          <w:rFonts w:cstheme="minorHAnsi"/>
          <w:lang w:eastAsia="ja-JP"/>
        </w:rPr>
      </w:pPr>
      <w:r w:rsidRPr="0029167F">
        <w:rPr>
          <w:rFonts w:cstheme="minorHAnsi"/>
          <w:lang w:eastAsia="ja-JP"/>
        </w:rPr>
        <w:t>Stakeholder engagement plays an important role in the development and management of regulatory charging arrangements. Our stakeholders have unique insights into how our regulatory activities affect their businesses and can help us design efficient regulatory charging frameworks for these activities</w:t>
      </w:r>
      <w:r>
        <w:rPr>
          <w:rFonts w:cstheme="minorHAnsi"/>
          <w:lang w:eastAsia="ja-JP"/>
        </w:rPr>
        <w:t>.</w:t>
      </w:r>
    </w:p>
    <w:p w14:paraId="622CBE93" w14:textId="70DF2F48" w:rsidR="00A82DE1" w:rsidRPr="0029167F" w:rsidRDefault="00A82DE1" w:rsidP="00A82DE1">
      <w:pPr>
        <w:pStyle w:val="Heading3"/>
        <w:rPr>
          <w:rFonts w:asciiTheme="minorHAnsi" w:hAnsiTheme="minorHAnsi" w:cstheme="minorHAnsi"/>
          <w:lang w:eastAsia="ja-JP"/>
        </w:rPr>
      </w:pPr>
      <w:bookmarkStart w:id="169" w:name="_Toc160536084"/>
      <w:bookmarkStart w:id="170" w:name="_Toc160553974"/>
      <w:bookmarkStart w:id="171" w:name="_Toc160536085"/>
      <w:bookmarkStart w:id="172" w:name="_Toc160553975"/>
      <w:bookmarkStart w:id="173" w:name="_Toc160536086"/>
      <w:bookmarkStart w:id="174" w:name="_Toc160553976"/>
      <w:bookmarkStart w:id="175" w:name="_Toc160536087"/>
      <w:bookmarkStart w:id="176" w:name="_Toc160553977"/>
      <w:bookmarkStart w:id="177" w:name="_Toc160536088"/>
      <w:bookmarkStart w:id="178" w:name="_Toc160553978"/>
      <w:bookmarkStart w:id="179" w:name="_Toc168489261"/>
      <w:bookmarkStart w:id="180" w:name="_Toc168489558"/>
      <w:bookmarkStart w:id="181" w:name="_Toc168645256"/>
      <w:bookmarkEnd w:id="169"/>
      <w:bookmarkEnd w:id="170"/>
      <w:bookmarkEnd w:id="171"/>
      <w:bookmarkEnd w:id="172"/>
      <w:bookmarkEnd w:id="173"/>
      <w:bookmarkEnd w:id="174"/>
      <w:bookmarkEnd w:id="175"/>
      <w:bookmarkEnd w:id="176"/>
      <w:bookmarkEnd w:id="177"/>
      <w:bookmarkEnd w:id="178"/>
      <w:r w:rsidRPr="0029167F">
        <w:rPr>
          <w:rFonts w:asciiTheme="minorHAnsi" w:hAnsiTheme="minorHAnsi" w:cstheme="minorHAnsi"/>
          <w:lang w:eastAsia="ja-JP"/>
        </w:rPr>
        <w:t>Industry engagement</w:t>
      </w:r>
      <w:bookmarkEnd w:id="179"/>
      <w:bookmarkEnd w:id="180"/>
      <w:bookmarkEnd w:id="181"/>
    </w:p>
    <w:p w14:paraId="6997E969" w14:textId="4270B06B" w:rsidR="00A82DE1" w:rsidRPr="0029167F" w:rsidRDefault="00A82DE1" w:rsidP="00FC59C1">
      <w:pPr>
        <w:rPr>
          <w:rFonts w:cstheme="minorHAnsi"/>
          <w:lang w:eastAsia="ja-JP"/>
        </w:rPr>
      </w:pPr>
      <w:r w:rsidRPr="0029167F">
        <w:rPr>
          <w:rFonts w:cstheme="minorHAnsi"/>
          <w:lang w:eastAsia="ja-JP"/>
        </w:rPr>
        <w:t xml:space="preserve">We have established </w:t>
      </w:r>
      <w:hyperlink r:id="rId47" w:history="1">
        <w:r w:rsidRPr="0029167F">
          <w:rPr>
            <w:rStyle w:val="Hyperlink"/>
            <w:rFonts w:cstheme="minorHAnsi"/>
            <w:lang w:eastAsia="ja-JP"/>
          </w:rPr>
          <w:t>industry consultative committees</w:t>
        </w:r>
      </w:hyperlink>
      <w:r w:rsidRPr="0029167F">
        <w:rPr>
          <w:rFonts w:cstheme="minorHAnsi"/>
          <w:lang w:eastAsia="ja-JP"/>
        </w:rPr>
        <w:t xml:space="preserve"> to represent industry views in relation to biosecurity and imported food. We consult with these committees on </w:t>
      </w:r>
      <w:proofErr w:type="gramStart"/>
      <w:r w:rsidRPr="0029167F">
        <w:rPr>
          <w:rFonts w:cstheme="minorHAnsi"/>
          <w:lang w:eastAsia="ja-JP"/>
        </w:rPr>
        <w:t>a number of</w:t>
      </w:r>
      <w:proofErr w:type="gramEnd"/>
      <w:r w:rsidRPr="0029167F">
        <w:rPr>
          <w:rFonts w:cstheme="minorHAnsi"/>
          <w:lang w:eastAsia="ja-JP"/>
        </w:rPr>
        <w:t xml:space="preserve"> different activities. The consultative committees include:</w:t>
      </w:r>
    </w:p>
    <w:p w14:paraId="03E26373" w14:textId="5C8037A3" w:rsidR="00A82DE1" w:rsidRPr="0029167F" w:rsidRDefault="00A82DE1" w:rsidP="00A82DE1">
      <w:pPr>
        <w:pStyle w:val="ListBullet"/>
        <w:rPr>
          <w:rFonts w:cstheme="minorHAnsi"/>
        </w:rPr>
      </w:pPr>
      <w:r w:rsidRPr="0029167F">
        <w:rPr>
          <w:rFonts w:cstheme="minorHAnsi"/>
        </w:rPr>
        <w:t>Cargo Consultative Committee</w:t>
      </w:r>
    </w:p>
    <w:p w14:paraId="1F0DE163" w14:textId="7E45CCA8" w:rsidR="00A82DE1" w:rsidRPr="0029167F" w:rsidRDefault="00A82DE1" w:rsidP="00A82DE1">
      <w:pPr>
        <w:pStyle w:val="ListBullet"/>
        <w:rPr>
          <w:rFonts w:cstheme="minorHAnsi"/>
        </w:rPr>
      </w:pPr>
      <w:r w:rsidRPr="0029167F">
        <w:rPr>
          <w:rFonts w:cstheme="minorHAnsi"/>
        </w:rPr>
        <w:t>Biological Consultative Group</w:t>
      </w:r>
    </w:p>
    <w:p w14:paraId="728C45B0" w14:textId="7FEF1870" w:rsidR="00A82DE1" w:rsidRPr="0029167F" w:rsidRDefault="00A82DE1" w:rsidP="00A82DE1">
      <w:pPr>
        <w:pStyle w:val="ListBullet"/>
        <w:rPr>
          <w:rFonts w:cstheme="minorHAnsi"/>
        </w:rPr>
      </w:pPr>
      <w:r w:rsidRPr="0029167F">
        <w:rPr>
          <w:rFonts w:cstheme="minorHAnsi"/>
        </w:rPr>
        <w:t>Imported Food Consultative Committee</w:t>
      </w:r>
    </w:p>
    <w:p w14:paraId="0A5A7005" w14:textId="40C0958A" w:rsidR="00A82DE1" w:rsidRPr="0029167F" w:rsidRDefault="00A82DE1" w:rsidP="00A82DE1">
      <w:pPr>
        <w:pStyle w:val="ListBullet"/>
        <w:rPr>
          <w:rFonts w:cstheme="minorHAnsi"/>
        </w:rPr>
      </w:pPr>
      <w:r w:rsidRPr="0029167F">
        <w:rPr>
          <w:rFonts w:cstheme="minorHAnsi"/>
        </w:rPr>
        <w:t>Horse Industry Consultative Committee</w:t>
      </w:r>
    </w:p>
    <w:p w14:paraId="4A8825B1" w14:textId="1A3067FD" w:rsidR="00A82DE1" w:rsidRPr="0029167F" w:rsidRDefault="00A82DE1" w:rsidP="00FC59C1">
      <w:pPr>
        <w:pStyle w:val="ListBullet"/>
        <w:rPr>
          <w:rFonts w:cstheme="minorHAnsi"/>
        </w:rPr>
      </w:pPr>
      <w:r w:rsidRPr="0029167F">
        <w:rPr>
          <w:rFonts w:cstheme="minorHAnsi"/>
        </w:rPr>
        <w:t>Post Entry Plant Consultative Committee</w:t>
      </w:r>
    </w:p>
    <w:p w14:paraId="43DF1C98" w14:textId="45639938" w:rsidR="005A514F" w:rsidRPr="0029167F" w:rsidRDefault="002441E4" w:rsidP="000B2120">
      <w:pPr>
        <w:pStyle w:val="ListBullet"/>
        <w:numPr>
          <w:ilvl w:val="0"/>
          <w:numId w:val="0"/>
        </w:numPr>
        <w:rPr>
          <w:rFonts w:cstheme="minorHAnsi"/>
          <w:lang w:eastAsia="ja-JP"/>
        </w:rPr>
      </w:pPr>
      <w:r w:rsidRPr="0029167F">
        <w:rPr>
          <w:rFonts w:cstheme="minorHAnsi"/>
          <w:lang w:eastAsia="ja-JP"/>
        </w:rPr>
        <w:t xml:space="preserve">We also </w:t>
      </w:r>
      <w:r w:rsidR="00E26EEF" w:rsidRPr="0029167F">
        <w:rPr>
          <w:rFonts w:cstheme="minorHAnsi"/>
          <w:lang w:eastAsia="ja-JP"/>
        </w:rPr>
        <w:t xml:space="preserve">engage with representatives for avian, cat and dog importers, and </w:t>
      </w:r>
      <w:r w:rsidRPr="0029167F">
        <w:rPr>
          <w:rFonts w:cstheme="minorHAnsi"/>
          <w:lang w:eastAsia="ja-JP"/>
        </w:rPr>
        <w:t xml:space="preserve">with </w:t>
      </w:r>
      <w:r w:rsidR="004A2FA3" w:rsidRPr="0029167F">
        <w:rPr>
          <w:rFonts w:cstheme="minorHAnsi"/>
          <w:lang w:eastAsia="ja-JP"/>
        </w:rPr>
        <w:t>o</w:t>
      </w:r>
      <w:r w:rsidR="005A514F" w:rsidRPr="0029167F">
        <w:rPr>
          <w:rFonts w:cstheme="minorHAnsi"/>
          <w:lang w:eastAsia="ja-JP"/>
        </w:rPr>
        <w:t>ther peak bod</w:t>
      </w:r>
      <w:r w:rsidR="00E26EEF" w:rsidRPr="0029167F">
        <w:rPr>
          <w:rFonts w:cstheme="minorHAnsi"/>
          <w:lang w:eastAsia="ja-JP"/>
        </w:rPr>
        <w:t>ies</w:t>
      </w:r>
      <w:r w:rsidR="005A514F" w:rsidRPr="0029167F">
        <w:rPr>
          <w:rFonts w:cstheme="minorHAnsi"/>
          <w:lang w:eastAsia="ja-JP"/>
        </w:rPr>
        <w:t xml:space="preserve">, </w:t>
      </w:r>
      <w:r w:rsidR="008F1CCD" w:rsidRPr="0029167F">
        <w:rPr>
          <w:rFonts w:cstheme="minorHAnsi"/>
          <w:lang w:eastAsia="ja-JP"/>
        </w:rPr>
        <w:t>industry</w:t>
      </w:r>
      <w:r w:rsidR="00E26EEF" w:rsidRPr="0029167F">
        <w:rPr>
          <w:rFonts w:cstheme="minorHAnsi"/>
          <w:lang w:eastAsia="ja-JP"/>
        </w:rPr>
        <w:t xml:space="preserve"> </w:t>
      </w:r>
      <w:r w:rsidR="005A514F" w:rsidRPr="0029167F">
        <w:rPr>
          <w:rFonts w:cstheme="minorHAnsi"/>
          <w:lang w:eastAsia="ja-JP"/>
        </w:rPr>
        <w:t xml:space="preserve">or </w:t>
      </w:r>
      <w:r w:rsidR="0094337D" w:rsidRPr="0029167F">
        <w:rPr>
          <w:rFonts w:cstheme="minorHAnsi"/>
          <w:lang w:eastAsia="ja-JP"/>
        </w:rPr>
        <w:t>individuals,</w:t>
      </w:r>
      <w:r w:rsidR="00E26EEF" w:rsidRPr="0029167F">
        <w:rPr>
          <w:rFonts w:cstheme="minorHAnsi"/>
          <w:lang w:eastAsia="ja-JP"/>
        </w:rPr>
        <w:t xml:space="preserve"> </w:t>
      </w:r>
      <w:r w:rsidR="005A514F" w:rsidRPr="0029167F">
        <w:rPr>
          <w:rFonts w:cstheme="minorHAnsi"/>
          <w:lang w:eastAsia="ja-JP"/>
        </w:rPr>
        <w:t>as necessary</w:t>
      </w:r>
      <w:r w:rsidR="004A2FA3" w:rsidRPr="0029167F">
        <w:rPr>
          <w:rFonts w:cstheme="minorHAnsi"/>
          <w:lang w:eastAsia="ja-JP"/>
        </w:rPr>
        <w:t>.</w:t>
      </w:r>
    </w:p>
    <w:p w14:paraId="0A316793" w14:textId="618CC7F0" w:rsidR="00A82DE1" w:rsidRPr="0029167F" w:rsidRDefault="00A82DE1" w:rsidP="00A82DE1">
      <w:pPr>
        <w:pStyle w:val="Heading3"/>
        <w:rPr>
          <w:rFonts w:asciiTheme="minorHAnsi" w:hAnsiTheme="minorHAnsi" w:cstheme="minorHAnsi"/>
          <w:lang w:eastAsia="ja-JP"/>
        </w:rPr>
      </w:pPr>
      <w:bookmarkStart w:id="182" w:name="_Toc135304898"/>
      <w:bookmarkStart w:id="183" w:name="_Toc135331071"/>
      <w:bookmarkStart w:id="184" w:name="_Toc135331323"/>
      <w:bookmarkStart w:id="185" w:name="_Toc135332516"/>
      <w:bookmarkStart w:id="186" w:name="_Toc135304899"/>
      <w:bookmarkStart w:id="187" w:name="_Toc135331072"/>
      <w:bookmarkStart w:id="188" w:name="_Toc135331324"/>
      <w:bookmarkStart w:id="189" w:name="_Toc135332517"/>
      <w:bookmarkStart w:id="190" w:name="_Toc168489262"/>
      <w:bookmarkStart w:id="191" w:name="_Toc168489559"/>
      <w:bookmarkStart w:id="192" w:name="_Toc168645257"/>
      <w:bookmarkEnd w:id="182"/>
      <w:bookmarkEnd w:id="183"/>
      <w:bookmarkEnd w:id="184"/>
      <w:bookmarkEnd w:id="185"/>
      <w:bookmarkEnd w:id="186"/>
      <w:bookmarkEnd w:id="187"/>
      <w:bookmarkEnd w:id="188"/>
      <w:bookmarkEnd w:id="189"/>
      <w:r w:rsidRPr="0029167F">
        <w:rPr>
          <w:rFonts w:asciiTheme="minorHAnsi" w:hAnsiTheme="minorHAnsi" w:cstheme="minorHAnsi"/>
          <w:lang w:eastAsia="ja-JP"/>
        </w:rPr>
        <w:t>Ongoing engagement strategy</w:t>
      </w:r>
      <w:bookmarkEnd w:id="190"/>
      <w:bookmarkEnd w:id="191"/>
      <w:bookmarkEnd w:id="192"/>
    </w:p>
    <w:p w14:paraId="723B5EF6" w14:textId="77777777" w:rsidR="00A82DE1" w:rsidRPr="0029167F" w:rsidRDefault="00A82DE1" w:rsidP="00A82DE1">
      <w:pPr>
        <w:rPr>
          <w:rFonts w:cstheme="minorHAnsi"/>
          <w:lang w:eastAsia="ja-JP"/>
        </w:rPr>
      </w:pPr>
      <w:r w:rsidRPr="0029167F">
        <w:rPr>
          <w:rFonts w:cstheme="minorHAnsi"/>
          <w:lang w:eastAsia="ja-JP"/>
        </w:rPr>
        <w:t xml:space="preserve">We currently undertake </w:t>
      </w:r>
      <w:proofErr w:type="gramStart"/>
      <w:r w:rsidRPr="0029167F">
        <w:rPr>
          <w:rFonts w:cstheme="minorHAnsi"/>
          <w:lang w:eastAsia="ja-JP"/>
        </w:rPr>
        <w:t>a number of</w:t>
      </w:r>
      <w:proofErr w:type="gramEnd"/>
      <w:r w:rsidRPr="0029167F">
        <w:rPr>
          <w:rFonts w:cstheme="minorHAnsi"/>
          <w:lang w:eastAsia="ja-JP"/>
        </w:rPr>
        <w:t xml:space="preserve"> activities to engage with our stakeholders, including:</w:t>
      </w:r>
    </w:p>
    <w:p w14:paraId="6AB702DB" w14:textId="091AB18C" w:rsidR="00A82DE1" w:rsidRPr="00DB2C72" w:rsidRDefault="00AA50AD" w:rsidP="00DB2C72">
      <w:pPr>
        <w:pStyle w:val="ListBullet"/>
      </w:pPr>
      <w:r w:rsidRPr="00DB2C72">
        <w:t>e</w:t>
      </w:r>
      <w:r w:rsidR="00A82DE1" w:rsidRPr="00DB2C72">
        <w:t>ngaging with industry consultative committees through agreed terms of reference</w:t>
      </w:r>
    </w:p>
    <w:p w14:paraId="09F57AFB" w14:textId="60615D30" w:rsidR="00A82DE1" w:rsidRPr="00DB2C72" w:rsidRDefault="00AA50AD" w:rsidP="00DB2C72">
      <w:pPr>
        <w:pStyle w:val="ListBullet"/>
      </w:pPr>
      <w:r w:rsidRPr="00DB2C72">
        <w:t>r</w:t>
      </w:r>
      <w:r w:rsidR="00A82DE1" w:rsidRPr="00DB2C72">
        <w:t>eporting quarterly on regulatory charging performance, including explanations for material variances between budgeted and actual positions</w:t>
      </w:r>
    </w:p>
    <w:p w14:paraId="07AE9879" w14:textId="2A136936" w:rsidR="00A82DE1" w:rsidRPr="00DB2C72" w:rsidRDefault="00AA50AD" w:rsidP="00DB2C72">
      <w:pPr>
        <w:pStyle w:val="ListBullet"/>
      </w:pPr>
      <w:r w:rsidRPr="00DB2C72">
        <w:t>c</w:t>
      </w:r>
      <w:r w:rsidR="00A82DE1" w:rsidRPr="00DB2C72">
        <w:t>ommunicati</w:t>
      </w:r>
      <w:r w:rsidRPr="00DB2C72">
        <w:t>ng</w:t>
      </w:r>
      <w:r w:rsidR="00A82DE1" w:rsidRPr="00DB2C72">
        <w:t xml:space="preserve"> with industry consultative committees on changes to </w:t>
      </w:r>
      <w:r w:rsidR="006B18F1" w:rsidRPr="00DB2C72">
        <w:t xml:space="preserve">regulatory charging </w:t>
      </w:r>
      <w:r w:rsidR="00A82DE1" w:rsidRPr="00DB2C72">
        <w:t>before any revisions or updates are made</w:t>
      </w:r>
      <w:r w:rsidR="006B18F1" w:rsidRPr="00DB2C72">
        <w:t xml:space="preserve"> to the CRIS</w:t>
      </w:r>
    </w:p>
    <w:p w14:paraId="622A6B3E" w14:textId="51E8D60E" w:rsidR="00A82DE1" w:rsidRPr="0029167F" w:rsidRDefault="00AA50AD" w:rsidP="00DB2C72">
      <w:pPr>
        <w:pStyle w:val="ListBullet"/>
        <w:rPr>
          <w:lang w:eastAsia="ja-JP"/>
        </w:rPr>
      </w:pPr>
      <w:r w:rsidRPr="00DB2C72">
        <w:t>o</w:t>
      </w:r>
      <w:r w:rsidR="00A82DE1" w:rsidRPr="00DB2C72">
        <w:t>pening the CRIS for public consultation if any key changes result in price adjustments</w:t>
      </w:r>
      <w:r w:rsidR="006F65FC" w:rsidRPr="00DB2C72">
        <w:t>.</w:t>
      </w:r>
    </w:p>
    <w:p w14:paraId="432E366F" w14:textId="73C1E783" w:rsidR="00A82DE1" w:rsidRPr="0029167F" w:rsidRDefault="00A82DE1" w:rsidP="00A82DE1">
      <w:pPr>
        <w:pStyle w:val="Heading2"/>
        <w:rPr>
          <w:rFonts w:asciiTheme="minorHAnsi" w:hAnsiTheme="minorHAnsi" w:cstheme="minorHAnsi"/>
        </w:rPr>
      </w:pPr>
      <w:bookmarkStart w:id="193" w:name="_Financial_estimates"/>
      <w:bookmarkStart w:id="194" w:name="_Toc168489263"/>
      <w:bookmarkStart w:id="195" w:name="_Toc168489560"/>
      <w:bookmarkStart w:id="196" w:name="_Toc168645258"/>
      <w:bookmarkEnd w:id="193"/>
      <w:r w:rsidRPr="0029167F">
        <w:rPr>
          <w:rFonts w:asciiTheme="minorHAnsi" w:hAnsiTheme="minorHAnsi" w:cstheme="minorHAnsi"/>
        </w:rPr>
        <w:lastRenderedPageBreak/>
        <w:t>Financial estimates</w:t>
      </w:r>
      <w:bookmarkEnd w:id="194"/>
      <w:bookmarkEnd w:id="195"/>
      <w:bookmarkEnd w:id="196"/>
    </w:p>
    <w:p w14:paraId="75DB1915" w14:textId="6DD846EA" w:rsidR="00A82DE1" w:rsidRPr="0029167F" w:rsidRDefault="00A82DE1" w:rsidP="00A82DE1">
      <w:pPr>
        <w:pStyle w:val="Heading3"/>
        <w:rPr>
          <w:rFonts w:asciiTheme="minorHAnsi" w:hAnsiTheme="minorHAnsi" w:cstheme="minorHAnsi"/>
          <w:lang w:eastAsia="ja-JP"/>
        </w:rPr>
      </w:pPr>
      <w:bookmarkStart w:id="197" w:name="_Toc168489264"/>
      <w:bookmarkStart w:id="198" w:name="_Toc168489561"/>
      <w:bookmarkStart w:id="199" w:name="_Toc168645259"/>
      <w:r w:rsidRPr="0029167F">
        <w:rPr>
          <w:rFonts w:asciiTheme="minorHAnsi" w:hAnsiTheme="minorHAnsi" w:cstheme="minorHAnsi"/>
          <w:lang w:eastAsia="ja-JP"/>
        </w:rPr>
        <w:t xml:space="preserve">Annual </w:t>
      </w:r>
      <w:r w:rsidR="00AA50AD" w:rsidRPr="0029167F">
        <w:rPr>
          <w:rFonts w:asciiTheme="minorHAnsi" w:hAnsiTheme="minorHAnsi" w:cstheme="minorHAnsi"/>
          <w:lang w:eastAsia="ja-JP"/>
        </w:rPr>
        <w:t>e</w:t>
      </w:r>
      <w:r w:rsidRPr="0029167F">
        <w:rPr>
          <w:rFonts w:asciiTheme="minorHAnsi" w:hAnsiTheme="minorHAnsi" w:cstheme="minorHAnsi"/>
          <w:lang w:eastAsia="ja-JP"/>
        </w:rPr>
        <w:t>stimates</w:t>
      </w:r>
      <w:bookmarkEnd w:id="197"/>
      <w:bookmarkEnd w:id="198"/>
      <w:bookmarkEnd w:id="199"/>
    </w:p>
    <w:p w14:paraId="70DB88BE" w14:textId="66B83AD4" w:rsidR="00A82DE1" w:rsidRPr="0029167F" w:rsidRDefault="00A82DE1" w:rsidP="00A82DE1">
      <w:pPr>
        <w:rPr>
          <w:rFonts w:cstheme="minorHAnsi"/>
          <w:lang w:eastAsia="ja-JP"/>
        </w:rPr>
      </w:pPr>
      <w:r w:rsidRPr="0029167F">
        <w:rPr>
          <w:rFonts w:cstheme="minorHAnsi"/>
          <w:lang w:eastAsia="ja-JP"/>
        </w:rPr>
        <w:t xml:space="preserve">A summary of the forecast </w:t>
      </w:r>
      <w:r w:rsidR="005A514F" w:rsidRPr="0029167F">
        <w:rPr>
          <w:rFonts w:cstheme="minorHAnsi"/>
          <w:lang w:eastAsia="ja-JP"/>
        </w:rPr>
        <w:t xml:space="preserve">annual </w:t>
      </w:r>
      <w:r w:rsidRPr="0029167F">
        <w:rPr>
          <w:rFonts w:cstheme="minorHAnsi"/>
          <w:lang w:eastAsia="ja-JP"/>
        </w:rPr>
        <w:t>operating position for the biosecurity regulatory charging arrangement is provided a</w:t>
      </w:r>
      <w:r w:rsidRPr="00BB11BB">
        <w:rPr>
          <w:rFonts w:cstheme="minorHAnsi"/>
          <w:lang w:eastAsia="ja-JP"/>
        </w:rPr>
        <w:t xml:space="preserve">t </w:t>
      </w:r>
      <w:r w:rsidR="0058351D" w:rsidRPr="00BB11BB">
        <w:rPr>
          <w:rFonts w:cstheme="minorHAnsi"/>
          <w:lang w:eastAsia="ja-JP"/>
        </w:rPr>
        <w:fldChar w:fldCharType="begin"/>
      </w:r>
      <w:r w:rsidR="0058351D" w:rsidRPr="00BB11BB">
        <w:rPr>
          <w:rFonts w:cstheme="minorHAnsi"/>
          <w:lang w:eastAsia="ja-JP"/>
        </w:rPr>
        <w:instrText xml:space="preserve"> REF _Ref135835205 \h  \* MERGEFORMAT </w:instrText>
      </w:r>
      <w:r w:rsidR="0058351D" w:rsidRPr="00BB11BB">
        <w:rPr>
          <w:rFonts w:cstheme="minorHAnsi"/>
          <w:lang w:eastAsia="ja-JP"/>
        </w:rPr>
      </w:r>
      <w:r w:rsidR="0058351D" w:rsidRPr="00BB11BB">
        <w:rPr>
          <w:rFonts w:cstheme="minorHAnsi"/>
          <w:lang w:eastAsia="ja-JP"/>
        </w:rPr>
        <w:fldChar w:fldCharType="separate"/>
      </w:r>
      <w:r w:rsidR="006D5EF4" w:rsidRPr="006D5EF4">
        <w:rPr>
          <w:rFonts w:cstheme="minorHAnsi"/>
        </w:rPr>
        <w:t xml:space="preserve">Table </w:t>
      </w:r>
      <w:r w:rsidR="006D5EF4" w:rsidRPr="006D5EF4">
        <w:rPr>
          <w:rFonts w:cstheme="minorHAnsi"/>
          <w:noProof/>
        </w:rPr>
        <w:t>7</w:t>
      </w:r>
      <w:r w:rsidR="0058351D" w:rsidRPr="00BB11BB">
        <w:rPr>
          <w:rFonts w:cstheme="minorHAnsi"/>
          <w:lang w:eastAsia="ja-JP"/>
        </w:rPr>
        <w:fldChar w:fldCharType="end"/>
      </w:r>
      <w:r w:rsidR="00AA50AD" w:rsidRPr="00BB11BB">
        <w:rPr>
          <w:rFonts w:cstheme="minorHAnsi"/>
          <w:lang w:eastAsia="ja-JP"/>
        </w:rPr>
        <w:t>.</w:t>
      </w:r>
    </w:p>
    <w:p w14:paraId="2502E275" w14:textId="67051DB9" w:rsidR="002F3533" w:rsidRPr="00CC45D2" w:rsidRDefault="001F4CE1" w:rsidP="001F4CE1">
      <w:pPr>
        <w:pStyle w:val="Caption"/>
      </w:pPr>
      <w:bookmarkStart w:id="200" w:name="_Ref135835205"/>
      <w:bookmarkStart w:id="201" w:name="_Toc167086234"/>
      <w:bookmarkStart w:id="202" w:name="_Toc168645281"/>
      <w:r w:rsidRPr="00CC45D2">
        <w:t xml:space="preserve">Table </w:t>
      </w:r>
      <w:r w:rsidR="00FD4278">
        <w:fldChar w:fldCharType="begin"/>
      </w:r>
      <w:r w:rsidR="00FD4278">
        <w:instrText xml:space="preserve"> SEQ Table \* ARABIC </w:instrText>
      </w:r>
      <w:r w:rsidR="00FD4278">
        <w:fldChar w:fldCharType="separate"/>
      </w:r>
      <w:r w:rsidR="006D5EF4">
        <w:rPr>
          <w:noProof/>
        </w:rPr>
        <w:t>7</w:t>
      </w:r>
      <w:r w:rsidR="00FD4278">
        <w:rPr>
          <w:noProof/>
        </w:rPr>
        <w:fldChar w:fldCharType="end"/>
      </w:r>
      <w:bookmarkEnd w:id="200"/>
      <w:r w:rsidRPr="00CC45D2">
        <w:t xml:space="preserve"> Financial estimates for biosecurity </w:t>
      </w:r>
      <w:r w:rsidR="001825A7">
        <w:t xml:space="preserve">cost recovery </w:t>
      </w:r>
      <w:r w:rsidRPr="00CC45D2">
        <w:t>arrangement, 2023</w:t>
      </w:r>
      <w:r w:rsidR="00F700D1">
        <w:t>–</w:t>
      </w:r>
      <w:r w:rsidRPr="00CC45D2">
        <w:t>24 to 2026</w:t>
      </w:r>
      <w:r w:rsidR="00F700D1">
        <w:t>–</w:t>
      </w:r>
      <w:r w:rsidRPr="00CC45D2">
        <w:t>27</w:t>
      </w:r>
      <w:bookmarkEnd w:id="201"/>
      <w:bookmarkEnd w:id="202"/>
    </w:p>
    <w:tbl>
      <w:tblPr>
        <w:tblW w:w="4912" w:type="pct"/>
        <w:tblBorders>
          <w:top w:val="single" w:sz="4" w:space="0" w:color="auto"/>
          <w:bottom w:val="single" w:sz="4" w:space="0" w:color="auto"/>
          <w:insideH w:val="single" w:sz="4" w:space="0" w:color="auto"/>
        </w:tblBorders>
        <w:tblLayout w:type="fixed"/>
        <w:tblCellMar>
          <w:left w:w="40" w:type="dxa"/>
          <w:right w:w="40" w:type="dxa"/>
        </w:tblCellMar>
        <w:tblLook w:val="04A0" w:firstRow="1" w:lastRow="0" w:firstColumn="1" w:lastColumn="0" w:noHBand="0" w:noVBand="1"/>
      </w:tblPr>
      <w:tblGrid>
        <w:gridCol w:w="2060"/>
        <w:gridCol w:w="1824"/>
        <w:gridCol w:w="1822"/>
        <w:gridCol w:w="1658"/>
        <w:gridCol w:w="1658"/>
      </w:tblGrid>
      <w:tr w:rsidR="000C7748" w:rsidRPr="00CC45D2" w14:paraId="3717935E" w14:textId="0BD8EC7D" w:rsidTr="00A4372E">
        <w:trPr>
          <w:tblHeader/>
        </w:trPr>
        <w:tc>
          <w:tcPr>
            <w:tcW w:w="1141" w:type="pct"/>
            <w:shd w:val="clear" w:color="auto" w:fill="auto"/>
            <w:hideMark/>
          </w:tcPr>
          <w:p w14:paraId="311C66AB" w14:textId="77777777" w:rsidR="000C7748" w:rsidRPr="00D74FA6" w:rsidRDefault="000C7748" w:rsidP="00A968F0">
            <w:pPr>
              <w:pStyle w:val="TableHeading"/>
              <w:rPr>
                <w:rStyle w:val="Strong"/>
                <w:rFonts w:ascii="Calibri" w:hAnsi="Calibri"/>
                <w:bCs w:val="0"/>
                <w:sz w:val="22"/>
                <w:szCs w:val="18"/>
              </w:rPr>
            </w:pPr>
            <w:bookmarkStart w:id="203" w:name="Title_7"/>
            <w:bookmarkEnd w:id="203"/>
            <w:r w:rsidRPr="00D74FA6">
              <w:rPr>
                <w:rStyle w:val="Strong"/>
                <w:b/>
                <w:bCs w:val="0"/>
              </w:rPr>
              <w:t>Finance element</w:t>
            </w:r>
          </w:p>
        </w:tc>
        <w:tc>
          <w:tcPr>
            <w:tcW w:w="1011" w:type="pct"/>
            <w:shd w:val="clear" w:color="auto" w:fill="auto"/>
            <w:hideMark/>
          </w:tcPr>
          <w:p w14:paraId="4CF58E79" w14:textId="3CEE1A5E" w:rsidR="000C7748" w:rsidRPr="00D74FA6" w:rsidRDefault="000C7748" w:rsidP="002D7610">
            <w:pPr>
              <w:pStyle w:val="TableHeading"/>
              <w:jc w:val="right"/>
              <w:rPr>
                <w:rStyle w:val="Strong"/>
                <w:bCs w:val="0"/>
              </w:rPr>
            </w:pPr>
            <w:r w:rsidRPr="00D74FA6">
              <w:rPr>
                <w:rStyle w:val="Strong"/>
                <w:b/>
                <w:bCs w:val="0"/>
              </w:rPr>
              <w:t>2023</w:t>
            </w:r>
            <w:r w:rsidR="00F700D1">
              <w:rPr>
                <w:rStyle w:val="Strong"/>
                <w:b/>
                <w:bCs w:val="0"/>
              </w:rPr>
              <w:t>–</w:t>
            </w:r>
            <w:r w:rsidRPr="00D74FA6">
              <w:rPr>
                <w:rStyle w:val="Strong"/>
                <w:b/>
                <w:bCs w:val="0"/>
              </w:rPr>
              <w:t>24($)</w:t>
            </w:r>
          </w:p>
        </w:tc>
        <w:tc>
          <w:tcPr>
            <w:tcW w:w="1010" w:type="pct"/>
            <w:shd w:val="clear" w:color="auto" w:fill="auto"/>
            <w:hideMark/>
          </w:tcPr>
          <w:p w14:paraId="0367904D" w14:textId="7B77231C" w:rsidR="000C7748" w:rsidRPr="00D74FA6" w:rsidRDefault="000C7748" w:rsidP="002D7610">
            <w:pPr>
              <w:pStyle w:val="TableHeading"/>
              <w:jc w:val="right"/>
              <w:rPr>
                <w:rStyle w:val="Strong"/>
                <w:bCs w:val="0"/>
              </w:rPr>
            </w:pPr>
            <w:r w:rsidRPr="00D74FA6">
              <w:rPr>
                <w:rStyle w:val="Strong"/>
                <w:b/>
                <w:bCs w:val="0"/>
              </w:rPr>
              <w:t>2024</w:t>
            </w:r>
            <w:r w:rsidR="00F700D1">
              <w:rPr>
                <w:rStyle w:val="Strong"/>
                <w:b/>
                <w:bCs w:val="0"/>
              </w:rPr>
              <w:t>–</w:t>
            </w:r>
            <w:r w:rsidRPr="00D74FA6">
              <w:rPr>
                <w:rStyle w:val="Strong"/>
                <w:b/>
                <w:bCs w:val="0"/>
              </w:rPr>
              <w:t>25($)</w:t>
            </w:r>
          </w:p>
        </w:tc>
        <w:tc>
          <w:tcPr>
            <w:tcW w:w="919" w:type="pct"/>
          </w:tcPr>
          <w:p w14:paraId="0147CD43" w14:textId="010DCF48" w:rsidR="000C7748" w:rsidRPr="00D74FA6" w:rsidRDefault="000C7748" w:rsidP="002D7610">
            <w:pPr>
              <w:pStyle w:val="TableHeading"/>
              <w:jc w:val="right"/>
              <w:rPr>
                <w:rStyle w:val="Strong"/>
                <w:bCs w:val="0"/>
              </w:rPr>
            </w:pPr>
            <w:r w:rsidRPr="00D74FA6">
              <w:rPr>
                <w:rStyle w:val="Strong"/>
                <w:b/>
                <w:bCs w:val="0"/>
              </w:rPr>
              <w:t>2025</w:t>
            </w:r>
            <w:r w:rsidR="00F700D1">
              <w:rPr>
                <w:rStyle w:val="Strong"/>
                <w:b/>
                <w:bCs w:val="0"/>
              </w:rPr>
              <w:t>–</w:t>
            </w:r>
            <w:r w:rsidRPr="00D74FA6">
              <w:rPr>
                <w:rStyle w:val="Strong"/>
                <w:b/>
                <w:bCs w:val="0"/>
              </w:rPr>
              <w:t>26($)</w:t>
            </w:r>
          </w:p>
        </w:tc>
        <w:tc>
          <w:tcPr>
            <w:tcW w:w="919" w:type="pct"/>
          </w:tcPr>
          <w:p w14:paraId="3BB007F2" w14:textId="63764496" w:rsidR="000C7748" w:rsidRPr="00D74FA6" w:rsidRDefault="000C7748" w:rsidP="002D7610">
            <w:pPr>
              <w:pStyle w:val="TableHeading"/>
              <w:jc w:val="right"/>
              <w:rPr>
                <w:rStyle w:val="Strong"/>
                <w:bCs w:val="0"/>
              </w:rPr>
            </w:pPr>
            <w:r w:rsidRPr="00D74FA6">
              <w:rPr>
                <w:rStyle w:val="Strong"/>
                <w:b/>
                <w:bCs w:val="0"/>
              </w:rPr>
              <w:t>2026</w:t>
            </w:r>
            <w:r w:rsidR="00F700D1">
              <w:rPr>
                <w:rStyle w:val="Strong"/>
                <w:b/>
                <w:bCs w:val="0"/>
              </w:rPr>
              <w:t>–</w:t>
            </w:r>
            <w:r w:rsidRPr="00D74FA6">
              <w:rPr>
                <w:rStyle w:val="Strong"/>
                <w:b/>
                <w:bCs w:val="0"/>
              </w:rPr>
              <w:t>27($)</w:t>
            </w:r>
          </w:p>
        </w:tc>
      </w:tr>
      <w:tr w:rsidR="00110D74" w:rsidRPr="00CC45D2" w14:paraId="58C30214" w14:textId="267B43A6" w:rsidTr="00A4372E">
        <w:tc>
          <w:tcPr>
            <w:tcW w:w="1141" w:type="pct"/>
            <w:shd w:val="clear" w:color="auto" w:fill="auto"/>
            <w:hideMark/>
          </w:tcPr>
          <w:p w14:paraId="1E7D5C3C" w14:textId="77777777" w:rsidR="00110D74" w:rsidRPr="00CC45D2" w:rsidRDefault="00110D74" w:rsidP="00110D74">
            <w:pPr>
              <w:pStyle w:val="TableText"/>
              <w:rPr>
                <w:rFonts w:cstheme="minorHAnsi"/>
                <w:lang w:eastAsia="en-AU"/>
              </w:rPr>
            </w:pPr>
            <w:r w:rsidRPr="00CC45D2">
              <w:rPr>
                <w:rFonts w:cstheme="minorHAnsi"/>
                <w:lang w:eastAsia="en-AU"/>
              </w:rPr>
              <w:t>Revenue = X</w:t>
            </w:r>
          </w:p>
        </w:tc>
        <w:tc>
          <w:tcPr>
            <w:tcW w:w="1011" w:type="pct"/>
            <w:shd w:val="clear" w:color="auto" w:fill="auto"/>
          </w:tcPr>
          <w:p w14:paraId="4E7A96DD" w14:textId="04958525" w:rsidR="00110D74" w:rsidRPr="00CC45D2" w:rsidRDefault="00110D74" w:rsidP="00110D74">
            <w:pPr>
              <w:pStyle w:val="TableText"/>
              <w:jc w:val="right"/>
              <w:rPr>
                <w:rFonts w:cstheme="minorHAnsi"/>
                <w:lang w:eastAsia="en-AU"/>
              </w:rPr>
            </w:pPr>
            <w:r w:rsidRPr="00CC45D2">
              <w:rPr>
                <w:rFonts w:cstheme="minorHAnsi"/>
              </w:rPr>
              <w:t>348,183,553</w:t>
            </w:r>
          </w:p>
        </w:tc>
        <w:tc>
          <w:tcPr>
            <w:tcW w:w="1010" w:type="pct"/>
            <w:shd w:val="clear" w:color="auto" w:fill="auto"/>
          </w:tcPr>
          <w:p w14:paraId="4FFA84BC" w14:textId="78F21B62" w:rsidR="00110D74" w:rsidRPr="00CC45D2" w:rsidRDefault="00110D74" w:rsidP="00110D74">
            <w:pPr>
              <w:pStyle w:val="TableText"/>
              <w:jc w:val="right"/>
              <w:rPr>
                <w:rFonts w:cstheme="minorHAnsi"/>
                <w:lang w:eastAsia="en-AU"/>
              </w:rPr>
            </w:pPr>
            <w:r w:rsidRPr="008830B3">
              <w:t>366,163,642</w:t>
            </w:r>
          </w:p>
        </w:tc>
        <w:tc>
          <w:tcPr>
            <w:tcW w:w="919" w:type="pct"/>
            <w:shd w:val="clear" w:color="auto" w:fill="auto"/>
          </w:tcPr>
          <w:p w14:paraId="4B18ABDF" w14:textId="6A628956" w:rsidR="00110D74" w:rsidRPr="00CC45D2" w:rsidRDefault="00110D74" w:rsidP="00110D74">
            <w:pPr>
              <w:pStyle w:val="TableText"/>
              <w:jc w:val="right"/>
              <w:rPr>
                <w:rFonts w:cstheme="minorHAnsi"/>
              </w:rPr>
            </w:pPr>
            <w:r w:rsidRPr="008830B3">
              <w:t>375,966,729</w:t>
            </w:r>
          </w:p>
        </w:tc>
        <w:tc>
          <w:tcPr>
            <w:tcW w:w="919" w:type="pct"/>
          </w:tcPr>
          <w:p w14:paraId="4F514113" w14:textId="44A39E29" w:rsidR="00110D74" w:rsidRPr="00CC45D2" w:rsidDel="0092692D" w:rsidRDefault="00110D74" w:rsidP="00110D74">
            <w:pPr>
              <w:pStyle w:val="TableText"/>
              <w:jc w:val="right"/>
              <w:rPr>
                <w:rFonts w:cstheme="minorHAnsi"/>
              </w:rPr>
            </w:pPr>
            <w:r w:rsidRPr="008830B3">
              <w:t>383,987,028</w:t>
            </w:r>
          </w:p>
        </w:tc>
      </w:tr>
      <w:tr w:rsidR="00110D74" w:rsidRPr="00CC45D2" w14:paraId="1AB6AF3C" w14:textId="430987FD" w:rsidTr="00A4372E">
        <w:tc>
          <w:tcPr>
            <w:tcW w:w="1141" w:type="pct"/>
            <w:shd w:val="clear" w:color="auto" w:fill="auto"/>
            <w:hideMark/>
          </w:tcPr>
          <w:p w14:paraId="4C3394AD" w14:textId="77777777" w:rsidR="00110D74" w:rsidRPr="00CC45D2" w:rsidRDefault="00110D74" w:rsidP="00110D74">
            <w:pPr>
              <w:pStyle w:val="TableText"/>
              <w:rPr>
                <w:rFonts w:cstheme="minorHAnsi"/>
                <w:lang w:eastAsia="en-AU"/>
              </w:rPr>
            </w:pPr>
            <w:r w:rsidRPr="00CC45D2">
              <w:rPr>
                <w:rFonts w:cstheme="minorHAnsi"/>
                <w:lang w:eastAsia="en-AU"/>
              </w:rPr>
              <w:t>Expenses = Y</w:t>
            </w:r>
          </w:p>
        </w:tc>
        <w:tc>
          <w:tcPr>
            <w:tcW w:w="1011" w:type="pct"/>
            <w:shd w:val="clear" w:color="auto" w:fill="auto"/>
          </w:tcPr>
          <w:p w14:paraId="11D9ABC8" w14:textId="60295277" w:rsidR="00110D74" w:rsidRPr="00CC45D2" w:rsidRDefault="00110D74" w:rsidP="00110D74">
            <w:pPr>
              <w:pStyle w:val="TableText"/>
              <w:jc w:val="right"/>
              <w:rPr>
                <w:rFonts w:cstheme="minorHAnsi"/>
                <w:lang w:eastAsia="en-AU"/>
              </w:rPr>
            </w:pPr>
            <w:r w:rsidRPr="00CC45D2">
              <w:rPr>
                <w:rFonts w:cstheme="minorHAnsi"/>
              </w:rPr>
              <w:t>347,719,299</w:t>
            </w:r>
          </w:p>
        </w:tc>
        <w:tc>
          <w:tcPr>
            <w:tcW w:w="1010" w:type="pct"/>
            <w:shd w:val="clear" w:color="auto" w:fill="auto"/>
          </w:tcPr>
          <w:p w14:paraId="669FC789" w14:textId="55648C05" w:rsidR="00110D74" w:rsidRPr="00CC45D2" w:rsidRDefault="00110D74" w:rsidP="00110D74">
            <w:pPr>
              <w:pStyle w:val="TableText"/>
              <w:jc w:val="right"/>
              <w:rPr>
                <w:rFonts w:cstheme="minorHAnsi"/>
                <w:lang w:eastAsia="en-AU"/>
              </w:rPr>
            </w:pPr>
            <w:r w:rsidRPr="008830B3">
              <w:t>366,003,385</w:t>
            </w:r>
          </w:p>
        </w:tc>
        <w:tc>
          <w:tcPr>
            <w:tcW w:w="919" w:type="pct"/>
          </w:tcPr>
          <w:p w14:paraId="1C1303F6" w14:textId="2F5F7C9A" w:rsidR="00110D74" w:rsidRPr="00CC45D2" w:rsidRDefault="00110D74" w:rsidP="00110D74">
            <w:pPr>
              <w:pStyle w:val="TableText"/>
              <w:jc w:val="right"/>
              <w:rPr>
                <w:rFonts w:cstheme="minorHAnsi"/>
              </w:rPr>
            </w:pPr>
            <w:r w:rsidRPr="008830B3">
              <w:t>375,966,729</w:t>
            </w:r>
          </w:p>
        </w:tc>
        <w:tc>
          <w:tcPr>
            <w:tcW w:w="919" w:type="pct"/>
          </w:tcPr>
          <w:p w14:paraId="05181476" w14:textId="7D864CBF" w:rsidR="00110D74" w:rsidRPr="00CC45D2" w:rsidDel="0092692D" w:rsidRDefault="00110D74" w:rsidP="00110D74">
            <w:pPr>
              <w:pStyle w:val="TableText"/>
              <w:jc w:val="right"/>
              <w:rPr>
                <w:rFonts w:cstheme="minorHAnsi"/>
              </w:rPr>
            </w:pPr>
            <w:r w:rsidRPr="008830B3">
              <w:t>383,987,028</w:t>
            </w:r>
          </w:p>
        </w:tc>
      </w:tr>
      <w:tr w:rsidR="000C7748" w:rsidRPr="00CC45D2" w14:paraId="133F7728" w14:textId="68901A7B" w:rsidTr="00A4372E">
        <w:tc>
          <w:tcPr>
            <w:tcW w:w="1141" w:type="pct"/>
            <w:shd w:val="clear" w:color="auto" w:fill="auto"/>
            <w:hideMark/>
          </w:tcPr>
          <w:p w14:paraId="6D6D49D1" w14:textId="77777777" w:rsidR="000C7748" w:rsidRPr="00CC45D2" w:rsidRDefault="000C7748" w:rsidP="000C7748">
            <w:pPr>
              <w:pStyle w:val="TableText"/>
              <w:rPr>
                <w:rFonts w:cstheme="minorHAnsi"/>
                <w:lang w:eastAsia="en-AU"/>
              </w:rPr>
            </w:pPr>
            <w:r w:rsidRPr="00CC45D2">
              <w:rPr>
                <w:rFonts w:cstheme="minorHAnsi"/>
                <w:lang w:eastAsia="en-AU"/>
              </w:rPr>
              <w:t>Balance = X – Y</w:t>
            </w:r>
          </w:p>
        </w:tc>
        <w:tc>
          <w:tcPr>
            <w:tcW w:w="1011" w:type="pct"/>
            <w:shd w:val="clear" w:color="auto" w:fill="auto"/>
          </w:tcPr>
          <w:p w14:paraId="1A9B71BF" w14:textId="2CD53C8E" w:rsidR="000C7748" w:rsidRPr="00CC45D2" w:rsidRDefault="00D0020E" w:rsidP="000C7748">
            <w:pPr>
              <w:pStyle w:val="TableText"/>
              <w:jc w:val="right"/>
              <w:rPr>
                <w:rStyle w:val="Strong"/>
              </w:rPr>
            </w:pPr>
            <w:r w:rsidRPr="00CC45D2">
              <w:rPr>
                <w:rStyle w:val="Strong"/>
              </w:rPr>
              <w:t>464</w:t>
            </w:r>
            <w:r w:rsidR="004C5285" w:rsidRPr="00CC45D2">
              <w:rPr>
                <w:rStyle w:val="Strong"/>
              </w:rPr>
              <w:t>,</w:t>
            </w:r>
            <w:r w:rsidRPr="00CC45D2">
              <w:rPr>
                <w:rStyle w:val="Strong"/>
              </w:rPr>
              <w:t>2</w:t>
            </w:r>
            <w:r w:rsidR="004C5285" w:rsidRPr="00CC45D2">
              <w:rPr>
                <w:rStyle w:val="Strong"/>
              </w:rPr>
              <w:t>54</w:t>
            </w:r>
          </w:p>
        </w:tc>
        <w:tc>
          <w:tcPr>
            <w:tcW w:w="1010" w:type="pct"/>
            <w:shd w:val="clear" w:color="auto" w:fill="auto"/>
          </w:tcPr>
          <w:p w14:paraId="58676FF9" w14:textId="73898A05" w:rsidR="000C7748" w:rsidRPr="00CC45D2" w:rsidRDefault="00110D74" w:rsidP="000C7748">
            <w:pPr>
              <w:pStyle w:val="TableText"/>
              <w:jc w:val="right"/>
              <w:rPr>
                <w:rStyle w:val="Strong"/>
              </w:rPr>
            </w:pPr>
            <w:r w:rsidRPr="00110D74">
              <w:rPr>
                <w:rStyle w:val="Strong"/>
              </w:rPr>
              <w:t>160,262</w:t>
            </w:r>
          </w:p>
        </w:tc>
        <w:tc>
          <w:tcPr>
            <w:tcW w:w="919" w:type="pct"/>
          </w:tcPr>
          <w:p w14:paraId="2D2807CD" w14:textId="56A8FEDC" w:rsidR="000C7748" w:rsidRPr="00CC45D2" w:rsidRDefault="00143374" w:rsidP="000C7748">
            <w:pPr>
              <w:pStyle w:val="TableText"/>
              <w:jc w:val="right"/>
              <w:rPr>
                <w:rStyle w:val="Strong"/>
              </w:rPr>
            </w:pPr>
            <w:r w:rsidRPr="00CC45D2">
              <w:rPr>
                <w:rStyle w:val="Strong"/>
              </w:rPr>
              <w:t>0</w:t>
            </w:r>
          </w:p>
        </w:tc>
        <w:tc>
          <w:tcPr>
            <w:tcW w:w="919" w:type="pct"/>
          </w:tcPr>
          <w:p w14:paraId="29C5D65E" w14:textId="491B55C1" w:rsidR="000C7748" w:rsidRPr="00CC45D2" w:rsidDel="0092692D" w:rsidRDefault="00143374" w:rsidP="000C7748">
            <w:pPr>
              <w:pStyle w:val="TableText"/>
              <w:jc w:val="right"/>
              <w:rPr>
                <w:rStyle w:val="Strong"/>
              </w:rPr>
            </w:pPr>
            <w:r w:rsidRPr="00CC45D2">
              <w:rPr>
                <w:rStyle w:val="Strong"/>
              </w:rPr>
              <w:t>0</w:t>
            </w:r>
          </w:p>
        </w:tc>
      </w:tr>
      <w:tr w:rsidR="00110D74" w:rsidRPr="00CC45D2" w14:paraId="2673D0D1" w14:textId="0155A0E0" w:rsidTr="00A4372E">
        <w:tc>
          <w:tcPr>
            <w:tcW w:w="1141" w:type="pct"/>
            <w:shd w:val="clear" w:color="auto" w:fill="auto"/>
            <w:hideMark/>
          </w:tcPr>
          <w:p w14:paraId="3B374BC9" w14:textId="7121789A" w:rsidR="00110D74" w:rsidRPr="0006656C" w:rsidRDefault="00110D74" w:rsidP="00110D74">
            <w:pPr>
              <w:pStyle w:val="TableText"/>
              <w:rPr>
                <w:rFonts w:cstheme="minorHAnsi"/>
                <w:lang w:eastAsia="en-AU"/>
              </w:rPr>
            </w:pPr>
            <w:r w:rsidRPr="0006656C">
              <w:rPr>
                <w:rFonts w:cstheme="minorHAnsi"/>
                <w:lang w:eastAsia="en-AU"/>
              </w:rPr>
              <w:t xml:space="preserve">Estimated </w:t>
            </w:r>
            <w:r w:rsidR="006C2584" w:rsidRPr="0006656C">
              <w:rPr>
                <w:rFonts w:cstheme="minorHAnsi"/>
                <w:lang w:eastAsia="en-AU"/>
              </w:rPr>
              <w:t xml:space="preserve">opening </w:t>
            </w:r>
            <w:r w:rsidRPr="0006656C">
              <w:rPr>
                <w:rFonts w:cstheme="minorHAnsi"/>
                <w:lang w:eastAsia="en-AU"/>
              </w:rPr>
              <w:t>balance</w:t>
            </w:r>
          </w:p>
        </w:tc>
        <w:tc>
          <w:tcPr>
            <w:tcW w:w="1011" w:type="pct"/>
            <w:shd w:val="clear" w:color="auto" w:fill="auto"/>
          </w:tcPr>
          <w:p w14:paraId="1D9CC48A" w14:textId="0BFD378B" w:rsidR="00110D74" w:rsidRPr="00110D74" w:rsidRDefault="00110D74" w:rsidP="00110D74">
            <w:pPr>
              <w:pStyle w:val="TableText"/>
              <w:jc w:val="right"/>
              <w:rPr>
                <w:rStyle w:val="Strong"/>
              </w:rPr>
            </w:pPr>
            <w:r w:rsidRPr="00110D74">
              <w:rPr>
                <w:rStyle w:val="Strong"/>
              </w:rPr>
              <w:t>-20,698,611</w:t>
            </w:r>
          </w:p>
        </w:tc>
        <w:tc>
          <w:tcPr>
            <w:tcW w:w="1010" w:type="pct"/>
            <w:shd w:val="clear" w:color="auto" w:fill="auto"/>
          </w:tcPr>
          <w:p w14:paraId="222CA99E" w14:textId="529675FE" w:rsidR="00110D74" w:rsidRPr="00110D74" w:rsidRDefault="00110D74" w:rsidP="00110D74">
            <w:pPr>
              <w:pStyle w:val="TableText"/>
              <w:jc w:val="right"/>
              <w:rPr>
                <w:rStyle w:val="Strong"/>
              </w:rPr>
            </w:pPr>
            <w:r w:rsidRPr="00110D74">
              <w:rPr>
                <w:rStyle w:val="Strong"/>
              </w:rPr>
              <w:t>-20,234,357</w:t>
            </w:r>
          </w:p>
        </w:tc>
        <w:tc>
          <w:tcPr>
            <w:tcW w:w="919" w:type="pct"/>
          </w:tcPr>
          <w:p w14:paraId="415199B4" w14:textId="4586A9E9" w:rsidR="00110D74" w:rsidRPr="00110D74" w:rsidRDefault="00110D74" w:rsidP="00110D74">
            <w:pPr>
              <w:pStyle w:val="TableText"/>
              <w:jc w:val="right"/>
              <w:rPr>
                <w:rStyle w:val="Strong"/>
              </w:rPr>
            </w:pPr>
            <w:r w:rsidRPr="00110D74">
              <w:rPr>
                <w:rStyle w:val="Strong"/>
              </w:rPr>
              <w:t>-20,074,095</w:t>
            </w:r>
          </w:p>
        </w:tc>
        <w:tc>
          <w:tcPr>
            <w:tcW w:w="919" w:type="pct"/>
          </w:tcPr>
          <w:p w14:paraId="7655F0C6" w14:textId="2B05CC3D" w:rsidR="00110D74" w:rsidRPr="00110D74" w:rsidRDefault="00110D74" w:rsidP="00110D74">
            <w:pPr>
              <w:pStyle w:val="TableText"/>
              <w:jc w:val="right"/>
              <w:rPr>
                <w:rStyle w:val="Strong"/>
              </w:rPr>
            </w:pPr>
            <w:r w:rsidRPr="00110D74">
              <w:rPr>
                <w:rStyle w:val="Strong"/>
              </w:rPr>
              <w:t>-20,074,095</w:t>
            </w:r>
          </w:p>
        </w:tc>
      </w:tr>
      <w:tr w:rsidR="00110D74" w:rsidRPr="0029167F" w14:paraId="18D6C0F1" w14:textId="7BE4D713" w:rsidTr="00A4372E">
        <w:tc>
          <w:tcPr>
            <w:tcW w:w="1141" w:type="pct"/>
            <w:shd w:val="clear" w:color="auto" w:fill="auto"/>
            <w:hideMark/>
          </w:tcPr>
          <w:p w14:paraId="7D1D08A9" w14:textId="11F9A92B" w:rsidR="00110D74" w:rsidRPr="0006656C" w:rsidRDefault="00110D74" w:rsidP="00110D74">
            <w:pPr>
              <w:pStyle w:val="TableText"/>
              <w:rPr>
                <w:rFonts w:cstheme="minorHAnsi"/>
                <w:lang w:eastAsia="en-AU"/>
              </w:rPr>
            </w:pPr>
            <w:r w:rsidRPr="0006656C">
              <w:rPr>
                <w:rFonts w:cstheme="minorHAnsi"/>
                <w:lang w:eastAsia="en-AU"/>
              </w:rPr>
              <w:t>Estimated closing balance</w:t>
            </w:r>
          </w:p>
        </w:tc>
        <w:tc>
          <w:tcPr>
            <w:tcW w:w="1011" w:type="pct"/>
            <w:shd w:val="clear" w:color="auto" w:fill="auto"/>
          </w:tcPr>
          <w:p w14:paraId="4C52D000" w14:textId="3B101409" w:rsidR="00110D74" w:rsidRPr="00110D74" w:rsidRDefault="00110D74" w:rsidP="00110D74">
            <w:pPr>
              <w:pStyle w:val="TableText"/>
              <w:jc w:val="right"/>
              <w:rPr>
                <w:rStyle w:val="Strong"/>
              </w:rPr>
            </w:pPr>
            <w:r w:rsidRPr="00110D74">
              <w:rPr>
                <w:rStyle w:val="Strong"/>
              </w:rPr>
              <w:t>-20,234,357</w:t>
            </w:r>
          </w:p>
        </w:tc>
        <w:tc>
          <w:tcPr>
            <w:tcW w:w="1010" w:type="pct"/>
            <w:shd w:val="clear" w:color="auto" w:fill="auto"/>
          </w:tcPr>
          <w:p w14:paraId="200271DC" w14:textId="3326F641" w:rsidR="00110D74" w:rsidRPr="00110D74" w:rsidRDefault="00110D74" w:rsidP="00110D74">
            <w:pPr>
              <w:pStyle w:val="TableText"/>
              <w:jc w:val="right"/>
              <w:rPr>
                <w:rStyle w:val="Strong"/>
              </w:rPr>
            </w:pPr>
            <w:r w:rsidRPr="00110D74">
              <w:rPr>
                <w:rStyle w:val="Strong"/>
              </w:rPr>
              <w:t>-20,074,095</w:t>
            </w:r>
          </w:p>
        </w:tc>
        <w:tc>
          <w:tcPr>
            <w:tcW w:w="919" w:type="pct"/>
          </w:tcPr>
          <w:p w14:paraId="0CCC14CE" w14:textId="40B09A51" w:rsidR="00110D74" w:rsidRPr="00110D74" w:rsidRDefault="00110D74" w:rsidP="00110D74">
            <w:pPr>
              <w:pStyle w:val="TableText"/>
              <w:jc w:val="right"/>
              <w:rPr>
                <w:rStyle w:val="Strong"/>
              </w:rPr>
            </w:pPr>
            <w:r w:rsidRPr="00110D74">
              <w:rPr>
                <w:rStyle w:val="Strong"/>
              </w:rPr>
              <w:t>-20,074,095</w:t>
            </w:r>
          </w:p>
        </w:tc>
        <w:tc>
          <w:tcPr>
            <w:tcW w:w="919" w:type="pct"/>
          </w:tcPr>
          <w:p w14:paraId="3759FD6A" w14:textId="3BE2CC10" w:rsidR="00110D74" w:rsidRPr="00110D74" w:rsidRDefault="00110D74" w:rsidP="00110D74">
            <w:pPr>
              <w:pStyle w:val="TableText"/>
              <w:jc w:val="right"/>
              <w:rPr>
                <w:rStyle w:val="Strong"/>
              </w:rPr>
            </w:pPr>
            <w:r w:rsidRPr="00110D74">
              <w:rPr>
                <w:rStyle w:val="Strong"/>
              </w:rPr>
              <w:t>-20,074,095</w:t>
            </w:r>
          </w:p>
        </w:tc>
      </w:tr>
    </w:tbl>
    <w:p w14:paraId="5088CB86" w14:textId="042EEFF3" w:rsidR="008D4961" w:rsidRPr="00735097" w:rsidRDefault="00000B90" w:rsidP="002D7610">
      <w:pPr>
        <w:pStyle w:val="FigureTableNoteSource"/>
      </w:pPr>
      <w:r w:rsidRPr="00F87E0C">
        <w:t xml:space="preserve">Note: </w:t>
      </w:r>
      <w:r w:rsidR="002D7610" w:rsidRPr="002D7610">
        <w:t>2023</w:t>
      </w:r>
      <w:r w:rsidR="00B43817">
        <w:t>–</w:t>
      </w:r>
      <w:r w:rsidR="002D7610" w:rsidRPr="002D7610">
        <w:t>24 is only a forecast and under or over-recovery is dependent on actual volumes and costs. Similarly, the forecast result for 2024</w:t>
      </w:r>
      <w:r w:rsidR="005114E6">
        <w:t>–</w:t>
      </w:r>
      <w:r w:rsidR="002D7610" w:rsidRPr="002D7610">
        <w:t>25 is dependent on actual volumes and costs</w:t>
      </w:r>
      <w:r w:rsidR="00CC31A5">
        <w:t>.</w:t>
      </w:r>
    </w:p>
    <w:p w14:paraId="25DDCB47" w14:textId="7020398F" w:rsidR="00CC285F" w:rsidRDefault="00C74592" w:rsidP="00417E23">
      <w:pPr>
        <w:spacing w:before="240"/>
        <w:rPr>
          <w:rFonts w:cstheme="minorHAnsi"/>
        </w:rPr>
      </w:pPr>
      <w:r w:rsidRPr="0029167F">
        <w:rPr>
          <w:rFonts w:cstheme="minorHAnsi"/>
        </w:rPr>
        <w:t xml:space="preserve">These forecasts </w:t>
      </w:r>
      <w:r w:rsidR="000C7748">
        <w:rPr>
          <w:rFonts w:cstheme="minorHAnsi"/>
        </w:rPr>
        <w:t>are based on a combination of existing budgets, surveys of effort allocated to activities and streams, and inclusion of work that previous fees and charges did not allow for. Through a robust internal verification process, the department considers th</w:t>
      </w:r>
      <w:r w:rsidR="00CC285F">
        <w:rPr>
          <w:rFonts w:cstheme="minorHAnsi"/>
        </w:rPr>
        <w:t xml:space="preserve">ese estimates </w:t>
      </w:r>
      <w:r w:rsidR="000C7748">
        <w:rPr>
          <w:rFonts w:cstheme="minorHAnsi"/>
        </w:rPr>
        <w:t xml:space="preserve">to be the minimal cost to </w:t>
      </w:r>
      <w:r w:rsidR="008F1B4E">
        <w:rPr>
          <w:rFonts w:cstheme="minorHAnsi"/>
        </w:rPr>
        <w:t xml:space="preserve">deliver </w:t>
      </w:r>
      <w:r w:rsidR="00CC285F">
        <w:rPr>
          <w:rFonts w:cstheme="minorHAnsi"/>
        </w:rPr>
        <w:t xml:space="preserve">our regulatory activities to </w:t>
      </w:r>
      <w:r w:rsidR="000C7748">
        <w:rPr>
          <w:rFonts w:cstheme="minorHAnsi"/>
        </w:rPr>
        <w:t>manage the risks aris</w:t>
      </w:r>
      <w:r w:rsidR="00CC285F">
        <w:rPr>
          <w:rFonts w:cstheme="minorHAnsi"/>
        </w:rPr>
        <w:t xml:space="preserve">ing </w:t>
      </w:r>
      <w:r w:rsidR="000C7748">
        <w:rPr>
          <w:rFonts w:cstheme="minorHAnsi"/>
        </w:rPr>
        <w:t xml:space="preserve">through the movement </w:t>
      </w:r>
      <w:r w:rsidR="00CC285F">
        <w:rPr>
          <w:rFonts w:cstheme="minorHAnsi"/>
        </w:rPr>
        <w:t>of goods, vessels and passengers.</w:t>
      </w:r>
    </w:p>
    <w:p w14:paraId="3D623BCB" w14:textId="6A452803" w:rsidR="008D30A7" w:rsidRPr="0029167F" w:rsidRDefault="00DB6E04" w:rsidP="004D7B1E">
      <w:pPr>
        <w:pStyle w:val="Heading4"/>
        <w:spacing w:before="120"/>
        <w:rPr>
          <w:rFonts w:asciiTheme="minorHAnsi" w:hAnsiTheme="minorHAnsi" w:cstheme="minorHAnsi"/>
          <w:lang w:eastAsia="ja-JP"/>
        </w:rPr>
      </w:pPr>
      <w:r>
        <w:rPr>
          <w:rFonts w:asciiTheme="minorHAnsi" w:hAnsiTheme="minorHAnsi" w:cstheme="minorHAnsi"/>
          <w:lang w:eastAsia="ja-JP"/>
        </w:rPr>
        <w:t>Expenses to be cost recovered</w:t>
      </w:r>
    </w:p>
    <w:p w14:paraId="7FA206C9" w14:textId="13D186B8" w:rsidR="008D30A7" w:rsidRDefault="008D30A7" w:rsidP="004D7B1E">
      <w:pPr>
        <w:spacing w:after="120"/>
        <w:rPr>
          <w:rFonts w:cstheme="minorHAnsi"/>
        </w:rPr>
      </w:pPr>
      <w:r>
        <w:rPr>
          <w:rFonts w:cstheme="minorHAnsi"/>
        </w:rPr>
        <w:t xml:space="preserve">There are </w:t>
      </w:r>
      <w:proofErr w:type="gramStart"/>
      <w:r>
        <w:rPr>
          <w:rFonts w:cstheme="minorHAnsi"/>
        </w:rPr>
        <w:t>a number of</w:t>
      </w:r>
      <w:proofErr w:type="gramEnd"/>
      <w:r>
        <w:rPr>
          <w:rFonts w:cstheme="minorHAnsi"/>
        </w:rPr>
        <w:t xml:space="preserve"> inputs into our costs that make up the total value of the arrangement and the amounts to be recovered for each activity. </w:t>
      </w:r>
      <w:proofErr w:type="gramStart"/>
      <w:r>
        <w:rPr>
          <w:rFonts w:cstheme="minorHAnsi"/>
        </w:rPr>
        <w:t>Similar to</w:t>
      </w:r>
      <w:proofErr w:type="gramEnd"/>
      <w:r>
        <w:rPr>
          <w:rFonts w:cstheme="minorHAnsi"/>
        </w:rPr>
        <w:t xml:space="preserve"> most businesses, the department incurs costs for </w:t>
      </w:r>
      <w:r w:rsidR="003D203D">
        <w:rPr>
          <w:rFonts w:cstheme="minorHAnsi"/>
        </w:rPr>
        <w:t xml:space="preserve">operating </w:t>
      </w:r>
      <w:r>
        <w:rPr>
          <w:rFonts w:cstheme="minorHAnsi"/>
        </w:rPr>
        <w:t>expenses such as:</w:t>
      </w:r>
    </w:p>
    <w:p w14:paraId="6ED7AAF7" w14:textId="6EE54619" w:rsidR="009D4CA8" w:rsidRDefault="00B43817" w:rsidP="00EB2ADB">
      <w:pPr>
        <w:pStyle w:val="ListBullet"/>
      </w:pPr>
      <w:r>
        <w:t>w</w:t>
      </w:r>
      <w:r w:rsidR="008D30A7">
        <w:t>ages for APS staff</w:t>
      </w:r>
    </w:p>
    <w:p w14:paraId="395CA974" w14:textId="6CBF0E90" w:rsidR="008D30A7" w:rsidRDefault="00B43817" w:rsidP="00EB2ADB">
      <w:pPr>
        <w:pStyle w:val="ListBullet"/>
      </w:pPr>
      <w:r>
        <w:t>c</w:t>
      </w:r>
      <w:r w:rsidR="008D30A7">
        <w:t>ontractors engaged to provide specialised or short-term expertise</w:t>
      </w:r>
    </w:p>
    <w:p w14:paraId="05B1EED4" w14:textId="761248F6" w:rsidR="008D30A7" w:rsidRDefault="00B43817" w:rsidP="00472DBF">
      <w:pPr>
        <w:pStyle w:val="ListBullet"/>
      </w:pPr>
      <w:r>
        <w:t>s</w:t>
      </w:r>
      <w:r w:rsidR="008D30A7">
        <w:t>upplier costs</w:t>
      </w:r>
      <w:r>
        <w:t>,</w:t>
      </w:r>
      <w:r w:rsidR="008D30A7">
        <w:t xml:space="preserve"> including </w:t>
      </w:r>
      <w:r w:rsidR="00DB6E04">
        <w:t xml:space="preserve">compulsory use of </w:t>
      </w:r>
      <w:r w:rsidR="008D30A7">
        <w:t xml:space="preserve">whole-of-government arrangements </w:t>
      </w:r>
      <w:r w:rsidR="00DB6E04">
        <w:t xml:space="preserve">for certain suppliers </w:t>
      </w:r>
      <w:r>
        <w:t>(</w:t>
      </w:r>
      <w:r w:rsidR="003354D5">
        <w:t>e.g.,</w:t>
      </w:r>
      <w:r w:rsidR="00DB6E04">
        <w:t xml:space="preserve"> travel, stationary, IT equipm</w:t>
      </w:r>
      <w:r w:rsidR="008D30A7">
        <w:t>e</w:t>
      </w:r>
      <w:r w:rsidR="00DB6E04">
        <w:t>nt</w:t>
      </w:r>
      <w:r>
        <w:t>)</w:t>
      </w:r>
    </w:p>
    <w:p w14:paraId="0F94D18D" w14:textId="3685FCBB" w:rsidR="00DB6E04" w:rsidRDefault="00B43817" w:rsidP="00472DBF">
      <w:pPr>
        <w:pStyle w:val="ListBullet"/>
      </w:pPr>
      <w:r>
        <w:t>r</w:t>
      </w:r>
      <w:r w:rsidR="00DB6E04">
        <w:t>ent on office and domestic properties</w:t>
      </w:r>
    </w:p>
    <w:p w14:paraId="0F545D1B" w14:textId="4D3D530C" w:rsidR="008D30A7" w:rsidRDefault="00B43817" w:rsidP="004D7B1E">
      <w:pPr>
        <w:pStyle w:val="ListBullet"/>
        <w:spacing w:after="200"/>
      </w:pPr>
      <w:r>
        <w:t>d</w:t>
      </w:r>
      <w:r w:rsidR="008D30A7">
        <w:t>epreciation on IT systems, property, plant and equipment</w:t>
      </w:r>
      <w:r w:rsidR="009D4CA8">
        <w:t>.</w:t>
      </w:r>
    </w:p>
    <w:p w14:paraId="605D493D" w14:textId="69F78731" w:rsidR="008D30A7" w:rsidRDefault="00DB6E04" w:rsidP="004D7B1E">
      <w:pPr>
        <w:spacing w:before="240"/>
        <w:rPr>
          <w:rFonts w:cstheme="minorHAnsi"/>
          <w:lang w:eastAsia="ja-JP"/>
        </w:rPr>
      </w:pPr>
      <w:r>
        <w:rPr>
          <w:rFonts w:cstheme="minorHAnsi"/>
        </w:rPr>
        <w:t xml:space="preserve">As described in </w:t>
      </w:r>
      <w:hyperlink w:anchor="_Cost_allocation_process" w:history="1">
        <w:r w:rsidR="00047747" w:rsidRPr="00963D60">
          <w:rPr>
            <w:rStyle w:val="Hyperlink"/>
            <w:rFonts w:cstheme="minorHAnsi"/>
          </w:rPr>
          <w:t>section 3.3.1</w:t>
        </w:r>
      </w:hyperlink>
      <w:r w:rsidRPr="00963D60">
        <w:rPr>
          <w:rFonts w:cstheme="minorHAnsi"/>
        </w:rPr>
        <w:t>,</w:t>
      </w:r>
      <w:r>
        <w:rPr>
          <w:rFonts w:cstheme="minorHAnsi"/>
        </w:rPr>
        <w:t xml:space="preserve"> these expenses are </w:t>
      </w:r>
      <w:r w:rsidRPr="00FF145D">
        <w:rPr>
          <w:rFonts w:cstheme="minorHAnsi"/>
          <w:lang w:eastAsia="ja-JP"/>
        </w:rPr>
        <w:t>allocated to the activity and cost recovered s</w:t>
      </w:r>
      <w:r>
        <w:rPr>
          <w:rFonts w:cstheme="minorHAnsi"/>
          <w:lang w:eastAsia="ja-JP"/>
        </w:rPr>
        <w:t>tream</w:t>
      </w:r>
      <w:r w:rsidRPr="00FF145D">
        <w:rPr>
          <w:rFonts w:cstheme="minorHAnsi"/>
          <w:lang w:eastAsia="ja-JP"/>
        </w:rPr>
        <w:t xml:space="preserve"> that best reflect</w:t>
      </w:r>
      <w:r>
        <w:rPr>
          <w:rFonts w:cstheme="minorHAnsi"/>
          <w:lang w:eastAsia="ja-JP"/>
        </w:rPr>
        <w:t>s</w:t>
      </w:r>
      <w:r w:rsidRPr="00FF145D">
        <w:rPr>
          <w:rFonts w:cstheme="minorHAnsi"/>
          <w:lang w:eastAsia="ja-JP"/>
        </w:rPr>
        <w:t xml:space="preserve"> the activity undertaken</w:t>
      </w:r>
      <w:r>
        <w:rPr>
          <w:rFonts w:cstheme="minorHAnsi"/>
          <w:lang w:eastAsia="ja-JP"/>
        </w:rPr>
        <w:t>. This forms a cost pool for that activity</w:t>
      </w:r>
      <w:r w:rsidR="00735097">
        <w:rPr>
          <w:rFonts w:cstheme="minorHAnsi"/>
          <w:lang w:eastAsia="ja-JP"/>
        </w:rPr>
        <w:t xml:space="preserve">. </w:t>
      </w:r>
      <w:r>
        <w:rPr>
          <w:rFonts w:cstheme="minorHAnsi"/>
          <w:lang w:eastAsia="ja-JP"/>
        </w:rPr>
        <w:t xml:space="preserve">Each cost pool is divided by the forecast volume for that activity to determine the fee or charge. The combined sum of all cost pools equals the cost to the department for undertaking </w:t>
      </w:r>
      <w:r w:rsidR="00EC5A29">
        <w:rPr>
          <w:rFonts w:cstheme="minorHAnsi"/>
          <w:lang w:eastAsia="ja-JP"/>
        </w:rPr>
        <w:t xml:space="preserve">regulatory </w:t>
      </w:r>
      <w:r>
        <w:rPr>
          <w:rFonts w:cstheme="minorHAnsi"/>
          <w:lang w:eastAsia="ja-JP"/>
        </w:rPr>
        <w:t>activities under the arrangement. Prices are set in conjunction with the forecast volumes to recover these costs.</w:t>
      </w:r>
    </w:p>
    <w:p w14:paraId="55AE0779" w14:textId="56F4EB7E" w:rsidR="00566286" w:rsidRDefault="00417E23" w:rsidP="004D7B1E">
      <w:pPr>
        <w:rPr>
          <w:rFonts w:cstheme="minorHAnsi"/>
        </w:rPr>
      </w:pPr>
      <w:r w:rsidRPr="0006656C">
        <w:rPr>
          <w:rFonts w:cstheme="minorHAnsi"/>
        </w:rPr>
        <w:t xml:space="preserve">The </w:t>
      </w:r>
      <w:r w:rsidR="00543219" w:rsidRPr="0006656C">
        <w:rPr>
          <w:rFonts w:cstheme="minorHAnsi"/>
        </w:rPr>
        <w:t xml:space="preserve">balance or </w:t>
      </w:r>
      <w:r w:rsidR="006C2584" w:rsidRPr="0006656C">
        <w:rPr>
          <w:rFonts w:cstheme="minorHAnsi"/>
        </w:rPr>
        <w:t xml:space="preserve">accumulated results of the </w:t>
      </w:r>
      <w:r w:rsidR="00543219" w:rsidRPr="0006656C">
        <w:rPr>
          <w:rFonts w:cstheme="minorHAnsi"/>
        </w:rPr>
        <w:t xml:space="preserve">cost recovery </w:t>
      </w:r>
      <w:r w:rsidR="006C2584" w:rsidRPr="0006656C">
        <w:rPr>
          <w:rFonts w:cstheme="minorHAnsi"/>
        </w:rPr>
        <w:t>arrangement</w:t>
      </w:r>
      <w:r w:rsidR="00543219" w:rsidRPr="0006656C">
        <w:rPr>
          <w:rFonts w:cstheme="minorHAnsi"/>
        </w:rPr>
        <w:t xml:space="preserve"> are</w:t>
      </w:r>
      <w:r w:rsidR="006C2584" w:rsidRPr="0006656C">
        <w:rPr>
          <w:rFonts w:cstheme="minorHAnsi"/>
        </w:rPr>
        <w:t xml:space="preserve"> </w:t>
      </w:r>
      <w:r w:rsidRPr="0006656C">
        <w:rPr>
          <w:rFonts w:cstheme="minorHAnsi"/>
        </w:rPr>
        <w:t xml:space="preserve">held in the Biosecurity, Imported Food and Export Certification Special Account. </w:t>
      </w:r>
      <w:r w:rsidR="006F65FC" w:rsidRPr="0006656C">
        <w:rPr>
          <w:rFonts w:cstheme="minorHAnsi"/>
        </w:rPr>
        <w:t xml:space="preserve">As noted in </w:t>
      </w:r>
      <w:hyperlink w:anchor="_Design_of_regulatory" w:history="1">
        <w:r w:rsidR="00047747" w:rsidRPr="0006656C">
          <w:rPr>
            <w:rStyle w:val="Hyperlink"/>
            <w:rFonts w:cstheme="minorHAnsi"/>
          </w:rPr>
          <w:t>section 3.4</w:t>
        </w:r>
      </w:hyperlink>
      <w:r w:rsidR="00DA5DB5" w:rsidRPr="0006656C">
        <w:rPr>
          <w:rFonts w:cstheme="minorHAnsi"/>
        </w:rPr>
        <w:t>,</w:t>
      </w:r>
      <w:r w:rsidR="006F65FC" w:rsidRPr="0006656C">
        <w:rPr>
          <w:rFonts w:cstheme="minorHAnsi"/>
        </w:rPr>
        <w:t xml:space="preserve"> the cost recovery </w:t>
      </w:r>
      <w:r w:rsidR="006F65FC" w:rsidRPr="0006656C">
        <w:rPr>
          <w:rFonts w:cstheme="minorHAnsi"/>
        </w:rPr>
        <w:lastRenderedPageBreak/>
        <w:t>reserve balance is used to lessen the impact of varying demand on the ongoing delivery of regulatory activities.</w:t>
      </w:r>
    </w:p>
    <w:p w14:paraId="55B28E95" w14:textId="45B7F962" w:rsidR="00566286" w:rsidRPr="00257ED0" w:rsidRDefault="00417E23" w:rsidP="00FC59C1">
      <w:pPr>
        <w:rPr>
          <w:rFonts w:ascii="Calibri" w:hAnsi="Calibri" w:cs="Calibri"/>
        </w:rPr>
      </w:pPr>
      <w:r w:rsidRPr="0029167F">
        <w:rPr>
          <w:rFonts w:cstheme="minorHAnsi"/>
        </w:rPr>
        <w:t>The special account was established to</w:t>
      </w:r>
      <w:r w:rsidR="00D95834">
        <w:rPr>
          <w:rFonts w:cstheme="minorHAnsi"/>
        </w:rPr>
        <w:t xml:space="preserve"> manage</w:t>
      </w:r>
      <w:r w:rsidR="00566286">
        <w:rPr>
          <w:rFonts w:cstheme="minorHAnsi"/>
        </w:rPr>
        <w:t xml:space="preserve"> the costs and cost-recovered revenue for the </w:t>
      </w:r>
      <w:r w:rsidR="00566286" w:rsidRPr="00257ED0">
        <w:rPr>
          <w:rFonts w:ascii="Calibri" w:hAnsi="Calibri" w:cs="Calibri"/>
        </w:rPr>
        <w:t>department’s provision of:</w:t>
      </w:r>
    </w:p>
    <w:p w14:paraId="59EAF58C" w14:textId="77777777" w:rsidR="00566286" w:rsidRPr="00257ED0" w:rsidRDefault="00566286" w:rsidP="00257ED0">
      <w:pPr>
        <w:pStyle w:val="ListBullet"/>
        <w:rPr>
          <w:rFonts w:ascii="Calibri" w:hAnsi="Calibri" w:cs="Calibri"/>
        </w:rPr>
      </w:pPr>
      <w:r w:rsidRPr="00257ED0">
        <w:rPr>
          <w:rFonts w:ascii="Calibri" w:hAnsi="Calibri" w:cs="Calibri"/>
        </w:rPr>
        <w:t>biosecurity, inspection and certification services for passengers, cargo, mail, animals, plants, and animal or plant products arriving in Australia</w:t>
      </w:r>
    </w:p>
    <w:p w14:paraId="488B9921" w14:textId="63851228" w:rsidR="00566286" w:rsidRPr="00257ED0" w:rsidRDefault="00566286" w:rsidP="008A19BC">
      <w:pPr>
        <w:pStyle w:val="ListBullet"/>
        <w:spacing w:after="200"/>
        <w:rPr>
          <w:rFonts w:ascii="Calibri" w:hAnsi="Calibri" w:cs="Calibri"/>
        </w:rPr>
      </w:pPr>
      <w:r w:rsidRPr="00257ED0">
        <w:rPr>
          <w:rFonts w:ascii="Calibri" w:hAnsi="Calibri" w:cs="Calibri"/>
        </w:rPr>
        <w:t>agricultural products and food exported from Australia.</w:t>
      </w:r>
    </w:p>
    <w:p w14:paraId="7A835B16" w14:textId="18DF2EBD" w:rsidR="00CC285F" w:rsidRPr="0029167F" w:rsidRDefault="00CC285F" w:rsidP="00CC285F">
      <w:pPr>
        <w:pStyle w:val="Heading3"/>
        <w:rPr>
          <w:rFonts w:asciiTheme="minorHAnsi" w:hAnsiTheme="minorHAnsi" w:cstheme="minorHAnsi"/>
          <w:lang w:eastAsia="ja-JP"/>
        </w:rPr>
      </w:pPr>
      <w:bookmarkStart w:id="204" w:name="_Toc168489265"/>
      <w:bookmarkStart w:id="205" w:name="_Toc168489562"/>
      <w:bookmarkStart w:id="206" w:name="_Toc168645260"/>
      <w:r>
        <w:rPr>
          <w:rFonts w:asciiTheme="minorHAnsi" w:hAnsiTheme="minorHAnsi" w:cstheme="minorHAnsi"/>
          <w:lang w:eastAsia="ja-JP"/>
        </w:rPr>
        <w:t>Volume forecasts</w:t>
      </w:r>
      <w:bookmarkEnd w:id="204"/>
      <w:bookmarkEnd w:id="205"/>
      <w:bookmarkEnd w:id="206"/>
    </w:p>
    <w:p w14:paraId="17DE24EF" w14:textId="2154113C" w:rsidR="00C95B4C" w:rsidRPr="00C95B4C" w:rsidRDefault="00C95B4C" w:rsidP="00C95B4C">
      <w:pPr>
        <w:rPr>
          <w:rFonts w:cstheme="minorHAnsi"/>
        </w:rPr>
      </w:pPr>
      <w:bookmarkStart w:id="207" w:name="_Hlk135742531"/>
      <w:r w:rsidRPr="00C95B4C">
        <w:rPr>
          <w:rFonts w:cstheme="minorHAnsi"/>
        </w:rPr>
        <w:t xml:space="preserve">There is a high correlation between forecast costs and the amount of regulatory effort </w:t>
      </w:r>
      <w:r w:rsidR="00EC5A29">
        <w:rPr>
          <w:rFonts w:cstheme="minorHAnsi"/>
        </w:rPr>
        <w:t xml:space="preserve">to delivery </w:t>
      </w:r>
      <w:r w:rsidRPr="00C95B4C">
        <w:rPr>
          <w:rFonts w:cstheme="minorHAnsi"/>
        </w:rPr>
        <w:t>activities such as inspections, vessel arrivals, animal imports and associated husbandry.</w:t>
      </w:r>
    </w:p>
    <w:p w14:paraId="403B91B5" w14:textId="3125FD85" w:rsidR="00C95B4C" w:rsidRPr="00C95B4C" w:rsidRDefault="00EC5A29" w:rsidP="00C95B4C">
      <w:pPr>
        <w:rPr>
          <w:rFonts w:cstheme="minorHAnsi"/>
        </w:rPr>
      </w:pPr>
      <w:r>
        <w:rPr>
          <w:rFonts w:cstheme="minorHAnsi"/>
        </w:rPr>
        <w:t>V</w:t>
      </w:r>
      <w:r w:rsidR="00C95B4C" w:rsidRPr="00C95B4C">
        <w:rPr>
          <w:rFonts w:cstheme="minorHAnsi"/>
        </w:rPr>
        <w:t xml:space="preserve">olumes are derived from a combination of historical trends, current work programs for audit and compliance activities, information that might impact future activity such </w:t>
      </w:r>
      <w:r w:rsidR="00047747">
        <w:rPr>
          <w:rFonts w:cstheme="minorHAnsi"/>
        </w:rPr>
        <w:t xml:space="preserve">as </w:t>
      </w:r>
      <w:r w:rsidR="00C95B4C" w:rsidRPr="00C95B4C">
        <w:rPr>
          <w:rFonts w:cstheme="minorHAnsi"/>
        </w:rPr>
        <w:t xml:space="preserve">economic impacts on consumer spending, and confirmation with industry where appropriate, such as </w:t>
      </w:r>
      <w:r w:rsidR="00047747">
        <w:rPr>
          <w:rFonts w:cstheme="minorHAnsi"/>
        </w:rPr>
        <w:t xml:space="preserve">horse </w:t>
      </w:r>
      <w:r w:rsidR="00C95B4C" w:rsidRPr="00C95B4C">
        <w:rPr>
          <w:rFonts w:cstheme="minorHAnsi"/>
        </w:rPr>
        <w:t>imports.</w:t>
      </w:r>
    </w:p>
    <w:p w14:paraId="2A03DC25" w14:textId="59425462" w:rsidR="008D183C" w:rsidRDefault="00C95B4C" w:rsidP="00C95B4C">
      <w:pPr>
        <w:rPr>
          <w:rFonts w:cstheme="minorHAnsi"/>
        </w:rPr>
      </w:pPr>
      <w:r w:rsidRPr="00C95B4C">
        <w:rPr>
          <w:rFonts w:cstheme="minorHAnsi"/>
        </w:rPr>
        <w:t xml:space="preserve">Volumes for 2024–25 reflect modest growth rates on prior years for most activities, taking into consideration the current Australian and global economy, interest rate trends and predictions and inflationary impacts on </w:t>
      </w:r>
      <w:r w:rsidR="0018484D" w:rsidRPr="00C95B4C">
        <w:rPr>
          <w:rFonts w:cstheme="minorHAnsi"/>
        </w:rPr>
        <w:t>consumers.</w:t>
      </w:r>
    </w:p>
    <w:p w14:paraId="10C51AF8" w14:textId="1BA3DDFB" w:rsidR="00BE7A3F" w:rsidRPr="0029167F" w:rsidRDefault="00BE7A3F" w:rsidP="00BE7A3F">
      <w:pPr>
        <w:pStyle w:val="Heading2"/>
        <w:rPr>
          <w:rFonts w:asciiTheme="minorHAnsi" w:hAnsiTheme="minorHAnsi" w:cstheme="minorHAnsi"/>
        </w:rPr>
      </w:pPr>
      <w:bookmarkStart w:id="208" w:name="_Toc135304904"/>
      <w:bookmarkStart w:id="209" w:name="_Toc135331077"/>
      <w:bookmarkStart w:id="210" w:name="_Toc135331329"/>
      <w:bookmarkStart w:id="211" w:name="_Toc135332522"/>
      <w:bookmarkStart w:id="212" w:name="_Toc168489266"/>
      <w:bookmarkStart w:id="213" w:name="_Toc168489563"/>
      <w:bookmarkStart w:id="214" w:name="_Toc168645261"/>
      <w:bookmarkEnd w:id="207"/>
      <w:bookmarkEnd w:id="208"/>
      <w:bookmarkEnd w:id="209"/>
      <w:bookmarkEnd w:id="210"/>
      <w:bookmarkEnd w:id="211"/>
      <w:r w:rsidRPr="0029167F">
        <w:rPr>
          <w:rFonts w:asciiTheme="minorHAnsi" w:hAnsiTheme="minorHAnsi" w:cstheme="minorHAnsi"/>
        </w:rPr>
        <w:lastRenderedPageBreak/>
        <w:t>Financial and non-financial performance</w:t>
      </w:r>
      <w:bookmarkEnd w:id="212"/>
      <w:bookmarkEnd w:id="213"/>
      <w:bookmarkEnd w:id="214"/>
    </w:p>
    <w:p w14:paraId="78879982" w14:textId="7C499D7D" w:rsidR="00BE7A3F" w:rsidRPr="0029167F" w:rsidRDefault="00BE7A3F" w:rsidP="008A19BC">
      <w:pPr>
        <w:rPr>
          <w:rFonts w:cstheme="minorHAnsi"/>
          <w:lang w:eastAsia="ja-JP"/>
        </w:rPr>
      </w:pPr>
      <w:r w:rsidRPr="0029167F">
        <w:rPr>
          <w:rFonts w:cstheme="minorHAnsi"/>
          <w:lang w:eastAsia="ja-JP"/>
        </w:rPr>
        <w:t>This section presents information on the financial and non-financial performance of the biosecurity regulatory charging arrangements. This is intended to provide an overview of our performance in recovering forecast costs and meeting regulatory objectives.</w:t>
      </w:r>
    </w:p>
    <w:p w14:paraId="62A0D02E" w14:textId="5CF79D5A" w:rsidR="00BE7A3F" w:rsidRPr="0029167F" w:rsidRDefault="00BE7A3F" w:rsidP="00902A6A">
      <w:pPr>
        <w:pStyle w:val="Heading3"/>
        <w:rPr>
          <w:rFonts w:asciiTheme="minorHAnsi" w:hAnsiTheme="minorHAnsi" w:cstheme="minorHAnsi"/>
          <w:lang w:eastAsia="ja-JP"/>
        </w:rPr>
      </w:pPr>
      <w:bookmarkStart w:id="215" w:name="_Toc168489267"/>
      <w:bookmarkStart w:id="216" w:name="_Toc168489564"/>
      <w:bookmarkStart w:id="217" w:name="_Toc168645262"/>
      <w:r w:rsidRPr="0029167F">
        <w:rPr>
          <w:rFonts w:asciiTheme="minorHAnsi" w:hAnsiTheme="minorHAnsi" w:cstheme="minorHAnsi"/>
          <w:lang w:eastAsia="ja-JP"/>
        </w:rPr>
        <w:t>Financial performance</w:t>
      </w:r>
      <w:bookmarkEnd w:id="215"/>
      <w:bookmarkEnd w:id="216"/>
      <w:bookmarkEnd w:id="217"/>
    </w:p>
    <w:p w14:paraId="49F6B6A9" w14:textId="2F0B0FC8" w:rsidR="00BE7A3F" w:rsidRPr="0029167F" w:rsidRDefault="00BE7A3F" w:rsidP="00BE7A3F">
      <w:pPr>
        <w:rPr>
          <w:rFonts w:cstheme="minorHAnsi"/>
          <w:lang w:eastAsia="ja-JP"/>
        </w:rPr>
      </w:pPr>
      <w:r w:rsidRPr="0029167F">
        <w:rPr>
          <w:rFonts w:cstheme="minorHAnsi"/>
          <w:lang w:eastAsia="ja-JP"/>
        </w:rPr>
        <w:t xml:space="preserve">We continue to consult with key industry stakeholders on financial performance indicators to assist in evaluating the performance of our regulatory </w:t>
      </w:r>
      <w:r w:rsidRPr="00EF3334">
        <w:rPr>
          <w:rFonts w:cstheme="minorHAnsi"/>
          <w:lang w:eastAsia="ja-JP"/>
        </w:rPr>
        <w:t xml:space="preserve">charging arrangements. </w:t>
      </w:r>
      <w:r w:rsidR="00EF3334" w:rsidRPr="00EF3334">
        <w:rPr>
          <w:rFonts w:cstheme="minorHAnsi"/>
          <w:lang w:eastAsia="ja-JP"/>
        </w:rPr>
        <w:fldChar w:fldCharType="begin"/>
      </w:r>
      <w:r w:rsidR="00EF3334" w:rsidRPr="00EF3334">
        <w:rPr>
          <w:rFonts w:cstheme="minorHAnsi"/>
          <w:lang w:eastAsia="ja-JP"/>
        </w:rPr>
        <w:instrText xml:space="preserve"> REF _Ref135836586 \h </w:instrText>
      </w:r>
      <w:r w:rsidR="00EF3334">
        <w:rPr>
          <w:rFonts w:cstheme="minorHAnsi"/>
          <w:lang w:eastAsia="ja-JP"/>
        </w:rPr>
        <w:instrText xml:space="preserve"> \* MERGEFORMAT </w:instrText>
      </w:r>
      <w:r w:rsidR="00EF3334" w:rsidRPr="00EF3334">
        <w:rPr>
          <w:rFonts w:cstheme="minorHAnsi"/>
          <w:lang w:eastAsia="ja-JP"/>
        </w:rPr>
      </w:r>
      <w:r w:rsidR="00EF3334" w:rsidRPr="00EF3334">
        <w:rPr>
          <w:rFonts w:cstheme="minorHAnsi"/>
          <w:lang w:eastAsia="ja-JP"/>
        </w:rPr>
        <w:fldChar w:fldCharType="separate"/>
      </w:r>
      <w:r w:rsidR="006D5EF4" w:rsidRPr="006D5EF4">
        <w:rPr>
          <w:rFonts w:cstheme="minorHAnsi"/>
        </w:rPr>
        <w:t xml:space="preserve">Table </w:t>
      </w:r>
      <w:r w:rsidR="006D5EF4" w:rsidRPr="006D5EF4">
        <w:rPr>
          <w:rFonts w:cstheme="minorHAnsi"/>
          <w:noProof/>
        </w:rPr>
        <w:t>8</w:t>
      </w:r>
      <w:r w:rsidR="00EF3334" w:rsidRPr="00EF3334">
        <w:rPr>
          <w:rFonts w:cstheme="minorHAnsi"/>
          <w:lang w:eastAsia="ja-JP"/>
        </w:rPr>
        <w:fldChar w:fldCharType="end"/>
      </w:r>
      <w:r w:rsidR="00EF3334" w:rsidRPr="00EF3334">
        <w:rPr>
          <w:rFonts w:cstheme="minorHAnsi"/>
          <w:lang w:eastAsia="ja-JP"/>
        </w:rPr>
        <w:t xml:space="preserve"> </w:t>
      </w:r>
      <w:r w:rsidRPr="00EF3334">
        <w:rPr>
          <w:rFonts w:cstheme="minorHAnsi"/>
          <w:lang w:eastAsia="ja-JP"/>
        </w:rPr>
        <w:t xml:space="preserve">includes financial performance of the biosecurity arrangement </w:t>
      </w:r>
      <w:r w:rsidR="00E26EEF" w:rsidRPr="0076686D">
        <w:t>since the 201</w:t>
      </w:r>
      <w:r w:rsidR="00EE2A5C" w:rsidRPr="0076686D">
        <w:t>9</w:t>
      </w:r>
      <w:r w:rsidR="007917A7" w:rsidRPr="0076686D">
        <w:t>–</w:t>
      </w:r>
      <w:r w:rsidR="00EE2A5C" w:rsidRPr="0076686D">
        <w:t>20</w:t>
      </w:r>
      <w:r w:rsidRPr="0076686D">
        <w:t xml:space="preserve"> </w:t>
      </w:r>
      <w:r w:rsidR="00B066A2" w:rsidRPr="0076686D">
        <w:t xml:space="preserve">financial </w:t>
      </w:r>
      <w:r w:rsidRPr="0076686D">
        <w:t>year.</w:t>
      </w:r>
    </w:p>
    <w:p w14:paraId="549DDCA7" w14:textId="18B4D84C" w:rsidR="007917A7" w:rsidRDefault="007917A7" w:rsidP="007917A7">
      <w:pPr>
        <w:pStyle w:val="Caption"/>
      </w:pPr>
      <w:bookmarkStart w:id="218" w:name="_Ref135836586"/>
      <w:bookmarkStart w:id="219" w:name="_Toc167086235"/>
      <w:bookmarkStart w:id="220" w:name="_Toc168645282"/>
      <w:bookmarkStart w:id="221" w:name="_Ref77865568"/>
      <w:bookmarkStart w:id="222" w:name="Table_7"/>
      <w:r w:rsidRPr="00AF765F">
        <w:t xml:space="preserve">Table </w:t>
      </w:r>
      <w:r w:rsidR="00FD4278">
        <w:fldChar w:fldCharType="begin"/>
      </w:r>
      <w:r w:rsidR="00FD4278">
        <w:instrText xml:space="preserve"> SEQ Table \* ARABIC </w:instrText>
      </w:r>
      <w:r w:rsidR="00FD4278">
        <w:fldChar w:fldCharType="separate"/>
      </w:r>
      <w:r w:rsidR="006D5EF4">
        <w:rPr>
          <w:noProof/>
        </w:rPr>
        <w:t>8</w:t>
      </w:r>
      <w:r w:rsidR="00FD4278">
        <w:rPr>
          <w:noProof/>
        </w:rPr>
        <w:fldChar w:fldCharType="end"/>
      </w:r>
      <w:bookmarkEnd w:id="218"/>
      <w:r w:rsidRPr="00DD0541">
        <w:t xml:space="preserve"> Financial performance for biosecurity </w:t>
      </w:r>
      <w:r w:rsidR="000A1501">
        <w:t xml:space="preserve">cost recovery </w:t>
      </w:r>
      <w:r w:rsidRPr="00DD0541">
        <w:t xml:space="preserve">arrangement, 2019–20 to </w:t>
      </w:r>
      <w:r w:rsidR="004647F1" w:rsidRPr="00DD0541">
        <w:t>202</w:t>
      </w:r>
      <w:r w:rsidR="00DD0541" w:rsidRPr="00DD0541">
        <w:t>2</w:t>
      </w:r>
      <w:r w:rsidRPr="00DD0541">
        <w:t>–2</w:t>
      </w:r>
      <w:r w:rsidR="00DD0541" w:rsidRPr="00DD0541">
        <w:t>3</w:t>
      </w:r>
      <w:bookmarkEnd w:id="219"/>
      <w:bookmarkEnd w:id="220"/>
    </w:p>
    <w:tbl>
      <w:tblPr>
        <w:tblW w:w="5000" w:type="pct"/>
        <w:tblLayout w:type="fixed"/>
        <w:tblCellMar>
          <w:left w:w="40" w:type="dxa"/>
          <w:right w:w="40" w:type="dxa"/>
        </w:tblCellMar>
        <w:tblLook w:val="04A0" w:firstRow="1" w:lastRow="0" w:firstColumn="1" w:lastColumn="0" w:noHBand="0" w:noVBand="1"/>
      </w:tblPr>
      <w:tblGrid>
        <w:gridCol w:w="2268"/>
        <w:gridCol w:w="1874"/>
        <w:gridCol w:w="1620"/>
        <w:gridCol w:w="1804"/>
        <w:gridCol w:w="1618"/>
      </w:tblGrid>
      <w:tr w:rsidR="00DD0541" w:rsidRPr="0029167F" w14:paraId="6954DDC3" w14:textId="0710BEE7" w:rsidTr="00A4372E">
        <w:trPr>
          <w:tblHeader/>
        </w:trPr>
        <w:tc>
          <w:tcPr>
            <w:tcW w:w="1235" w:type="pct"/>
            <w:tcBorders>
              <w:top w:val="single" w:sz="8" w:space="0" w:color="auto"/>
              <w:left w:val="nil"/>
              <w:bottom w:val="single" w:sz="8" w:space="0" w:color="auto"/>
              <w:right w:val="nil"/>
            </w:tcBorders>
            <w:shd w:val="clear" w:color="auto" w:fill="auto"/>
            <w:hideMark/>
          </w:tcPr>
          <w:p w14:paraId="2E8E3A34" w14:textId="77777777" w:rsidR="00DD0541" w:rsidRPr="00D74FA6" w:rsidRDefault="00DD0541" w:rsidP="00A968F0">
            <w:pPr>
              <w:pStyle w:val="TableHeading"/>
              <w:rPr>
                <w:rStyle w:val="Strong"/>
                <w:rFonts w:ascii="Calibri" w:hAnsi="Calibri"/>
                <w:bCs w:val="0"/>
                <w:sz w:val="22"/>
                <w:szCs w:val="18"/>
              </w:rPr>
            </w:pPr>
            <w:bookmarkStart w:id="223" w:name="Title_8"/>
            <w:bookmarkEnd w:id="221"/>
            <w:bookmarkEnd w:id="222"/>
            <w:bookmarkEnd w:id="223"/>
            <w:r w:rsidRPr="00D74FA6">
              <w:rPr>
                <w:rStyle w:val="Strong"/>
                <w:b/>
                <w:bCs w:val="0"/>
              </w:rPr>
              <w:t>Finance element</w:t>
            </w:r>
          </w:p>
        </w:tc>
        <w:tc>
          <w:tcPr>
            <w:tcW w:w="1020" w:type="pct"/>
            <w:tcBorders>
              <w:top w:val="single" w:sz="8" w:space="0" w:color="auto"/>
              <w:left w:val="nil"/>
              <w:bottom w:val="single" w:sz="8" w:space="0" w:color="auto"/>
              <w:right w:val="nil"/>
            </w:tcBorders>
            <w:shd w:val="clear" w:color="auto" w:fill="auto"/>
            <w:hideMark/>
          </w:tcPr>
          <w:p w14:paraId="71A7E52D" w14:textId="2F4ECF83" w:rsidR="00DD0541" w:rsidRPr="00D74FA6" w:rsidRDefault="00DD0541" w:rsidP="00A968F0">
            <w:pPr>
              <w:pStyle w:val="TableHeading"/>
              <w:jc w:val="right"/>
              <w:rPr>
                <w:rStyle w:val="Strong"/>
                <w:bCs w:val="0"/>
              </w:rPr>
            </w:pPr>
            <w:r w:rsidRPr="00D74FA6">
              <w:rPr>
                <w:rStyle w:val="Strong"/>
                <w:b/>
                <w:bCs w:val="0"/>
              </w:rPr>
              <w:t>2019–20 ($)</w:t>
            </w:r>
          </w:p>
        </w:tc>
        <w:tc>
          <w:tcPr>
            <w:tcW w:w="882" w:type="pct"/>
            <w:tcBorders>
              <w:top w:val="single" w:sz="8" w:space="0" w:color="auto"/>
              <w:left w:val="nil"/>
              <w:bottom w:val="single" w:sz="8" w:space="0" w:color="auto"/>
              <w:right w:val="nil"/>
            </w:tcBorders>
          </w:tcPr>
          <w:p w14:paraId="510FE1C3" w14:textId="1D040B7F" w:rsidR="00DD0541" w:rsidRPr="00D74FA6" w:rsidRDefault="00DD0541" w:rsidP="00A968F0">
            <w:pPr>
              <w:pStyle w:val="TableHeading"/>
              <w:jc w:val="right"/>
              <w:rPr>
                <w:rStyle w:val="Strong"/>
                <w:bCs w:val="0"/>
              </w:rPr>
            </w:pPr>
            <w:r w:rsidRPr="00D74FA6">
              <w:rPr>
                <w:rStyle w:val="Strong"/>
                <w:b/>
                <w:bCs w:val="0"/>
              </w:rPr>
              <w:t>2020–21 ($)</w:t>
            </w:r>
          </w:p>
        </w:tc>
        <w:tc>
          <w:tcPr>
            <w:tcW w:w="982" w:type="pct"/>
            <w:tcBorders>
              <w:top w:val="single" w:sz="8" w:space="0" w:color="auto"/>
              <w:left w:val="nil"/>
              <w:bottom w:val="single" w:sz="8" w:space="0" w:color="auto"/>
              <w:right w:val="nil"/>
            </w:tcBorders>
          </w:tcPr>
          <w:p w14:paraId="7F714BF4" w14:textId="746DD9E7" w:rsidR="00DD0541" w:rsidRPr="00D74FA6" w:rsidRDefault="00DD0541" w:rsidP="00A968F0">
            <w:pPr>
              <w:pStyle w:val="TableHeading"/>
              <w:jc w:val="right"/>
              <w:rPr>
                <w:rStyle w:val="Strong"/>
                <w:bCs w:val="0"/>
              </w:rPr>
            </w:pPr>
            <w:r w:rsidRPr="00D74FA6">
              <w:rPr>
                <w:rStyle w:val="Strong"/>
                <w:b/>
                <w:bCs w:val="0"/>
              </w:rPr>
              <w:t>2021—22 ($)</w:t>
            </w:r>
          </w:p>
        </w:tc>
        <w:tc>
          <w:tcPr>
            <w:tcW w:w="881" w:type="pct"/>
            <w:tcBorders>
              <w:top w:val="single" w:sz="8" w:space="0" w:color="auto"/>
              <w:left w:val="nil"/>
              <w:bottom w:val="single" w:sz="8" w:space="0" w:color="auto"/>
              <w:right w:val="nil"/>
            </w:tcBorders>
          </w:tcPr>
          <w:p w14:paraId="1DC9A7CE" w14:textId="3DF65CB1" w:rsidR="00DD0541" w:rsidRPr="00D74FA6" w:rsidRDefault="00DD0541" w:rsidP="00A968F0">
            <w:pPr>
              <w:pStyle w:val="TableHeading"/>
              <w:jc w:val="right"/>
              <w:rPr>
                <w:rStyle w:val="Strong"/>
                <w:bCs w:val="0"/>
              </w:rPr>
            </w:pPr>
            <w:r w:rsidRPr="00D74FA6">
              <w:rPr>
                <w:rStyle w:val="Strong"/>
                <w:b/>
                <w:bCs w:val="0"/>
              </w:rPr>
              <w:t>2022–23 ($)</w:t>
            </w:r>
          </w:p>
        </w:tc>
      </w:tr>
      <w:tr w:rsidR="00C34C12" w:rsidRPr="0029167F" w14:paraId="086C0DCC" w14:textId="2D69A6B6" w:rsidTr="00A4372E">
        <w:trPr>
          <w:tblHeader/>
        </w:trPr>
        <w:tc>
          <w:tcPr>
            <w:tcW w:w="1235" w:type="pct"/>
            <w:tcBorders>
              <w:top w:val="nil"/>
              <w:left w:val="nil"/>
              <w:bottom w:val="nil"/>
              <w:right w:val="nil"/>
            </w:tcBorders>
            <w:shd w:val="clear" w:color="auto" w:fill="auto"/>
            <w:hideMark/>
          </w:tcPr>
          <w:p w14:paraId="77CC7F91" w14:textId="77777777" w:rsidR="00C34C12" w:rsidRPr="0029167F" w:rsidRDefault="00C34C12" w:rsidP="00C34C12">
            <w:pPr>
              <w:pStyle w:val="TableText"/>
              <w:rPr>
                <w:lang w:eastAsia="en-AU"/>
              </w:rPr>
            </w:pPr>
            <w:r w:rsidRPr="0029167F">
              <w:rPr>
                <w:lang w:eastAsia="en-AU"/>
              </w:rPr>
              <w:t>Revenue = X</w:t>
            </w:r>
          </w:p>
        </w:tc>
        <w:tc>
          <w:tcPr>
            <w:tcW w:w="1020" w:type="pct"/>
            <w:tcBorders>
              <w:top w:val="nil"/>
              <w:left w:val="nil"/>
              <w:bottom w:val="nil"/>
              <w:right w:val="nil"/>
            </w:tcBorders>
            <w:shd w:val="clear" w:color="auto" w:fill="auto"/>
            <w:hideMark/>
          </w:tcPr>
          <w:p w14:paraId="190A6D44" w14:textId="3D79113E" w:rsidR="00C34C12" w:rsidRPr="0029167F" w:rsidRDefault="00C34C12" w:rsidP="00C34C12">
            <w:pPr>
              <w:pStyle w:val="TableText"/>
              <w:jc w:val="right"/>
              <w:rPr>
                <w:szCs w:val="18"/>
                <w:lang w:eastAsia="en-AU"/>
              </w:rPr>
            </w:pPr>
            <w:r w:rsidRPr="0029167F">
              <w:rPr>
                <w:szCs w:val="18"/>
              </w:rPr>
              <w:t>253,441,682</w:t>
            </w:r>
          </w:p>
        </w:tc>
        <w:tc>
          <w:tcPr>
            <w:tcW w:w="882" w:type="pct"/>
            <w:tcBorders>
              <w:top w:val="nil"/>
              <w:left w:val="nil"/>
              <w:bottom w:val="nil"/>
              <w:right w:val="nil"/>
            </w:tcBorders>
            <w:shd w:val="clear" w:color="auto" w:fill="auto"/>
          </w:tcPr>
          <w:p w14:paraId="400E875F" w14:textId="68975C86" w:rsidR="00C34C12" w:rsidRPr="0029167F" w:rsidRDefault="00C34C12" w:rsidP="00C34C12">
            <w:pPr>
              <w:pStyle w:val="TableText"/>
              <w:jc w:val="right"/>
              <w:rPr>
                <w:szCs w:val="18"/>
                <w:lang w:eastAsia="en-AU"/>
              </w:rPr>
            </w:pPr>
            <w:r w:rsidRPr="0029167F">
              <w:rPr>
                <w:szCs w:val="18"/>
              </w:rPr>
              <w:t>285,801,849</w:t>
            </w:r>
          </w:p>
        </w:tc>
        <w:tc>
          <w:tcPr>
            <w:tcW w:w="982" w:type="pct"/>
            <w:tcBorders>
              <w:top w:val="nil"/>
              <w:left w:val="nil"/>
              <w:bottom w:val="nil"/>
              <w:right w:val="nil"/>
            </w:tcBorders>
            <w:shd w:val="clear" w:color="auto" w:fill="auto"/>
          </w:tcPr>
          <w:p w14:paraId="027F5099" w14:textId="11C57B31" w:rsidR="00C34C12" w:rsidRPr="0029167F" w:rsidRDefault="00C34C12" w:rsidP="00C34C12">
            <w:pPr>
              <w:pStyle w:val="TableText"/>
              <w:jc w:val="right"/>
              <w:rPr>
                <w:szCs w:val="18"/>
                <w:lang w:eastAsia="en-AU"/>
              </w:rPr>
            </w:pPr>
            <w:r w:rsidRPr="0029167F">
              <w:rPr>
                <w:szCs w:val="18"/>
              </w:rPr>
              <w:t>288,729,586</w:t>
            </w:r>
          </w:p>
        </w:tc>
        <w:tc>
          <w:tcPr>
            <w:tcW w:w="881" w:type="pct"/>
            <w:tcBorders>
              <w:top w:val="nil"/>
              <w:left w:val="nil"/>
              <w:bottom w:val="nil"/>
              <w:right w:val="nil"/>
            </w:tcBorders>
            <w:shd w:val="clear" w:color="auto" w:fill="auto"/>
          </w:tcPr>
          <w:p w14:paraId="51C16EFF" w14:textId="175CE457" w:rsidR="00C34C12" w:rsidRPr="00EE2A5C" w:rsidRDefault="00C34C12" w:rsidP="00C34C12">
            <w:pPr>
              <w:pStyle w:val="TableText"/>
              <w:jc w:val="right"/>
              <w:rPr>
                <w:szCs w:val="18"/>
              </w:rPr>
            </w:pPr>
            <w:r w:rsidRPr="009E164C">
              <w:t>299,676,655</w:t>
            </w:r>
          </w:p>
        </w:tc>
      </w:tr>
      <w:tr w:rsidR="00C34C12" w:rsidRPr="0029167F" w14:paraId="7C6AB30F" w14:textId="488E49C8" w:rsidTr="00A4372E">
        <w:trPr>
          <w:tblHeader/>
        </w:trPr>
        <w:tc>
          <w:tcPr>
            <w:tcW w:w="1235" w:type="pct"/>
            <w:tcBorders>
              <w:top w:val="nil"/>
              <w:left w:val="nil"/>
              <w:bottom w:val="nil"/>
              <w:right w:val="nil"/>
            </w:tcBorders>
            <w:shd w:val="clear" w:color="auto" w:fill="auto"/>
            <w:hideMark/>
          </w:tcPr>
          <w:p w14:paraId="345A0D1F" w14:textId="77777777" w:rsidR="00C34C12" w:rsidRPr="0029167F" w:rsidRDefault="00C34C12" w:rsidP="00C34C12">
            <w:pPr>
              <w:pStyle w:val="TableText"/>
              <w:rPr>
                <w:lang w:eastAsia="en-AU"/>
              </w:rPr>
            </w:pPr>
            <w:r w:rsidRPr="0029167F">
              <w:rPr>
                <w:lang w:eastAsia="en-AU"/>
              </w:rPr>
              <w:t>Expenses = Y</w:t>
            </w:r>
          </w:p>
        </w:tc>
        <w:tc>
          <w:tcPr>
            <w:tcW w:w="1020" w:type="pct"/>
            <w:tcBorders>
              <w:top w:val="nil"/>
              <w:left w:val="nil"/>
              <w:bottom w:val="nil"/>
              <w:right w:val="nil"/>
            </w:tcBorders>
            <w:shd w:val="clear" w:color="auto" w:fill="auto"/>
            <w:hideMark/>
          </w:tcPr>
          <w:p w14:paraId="46E1969D" w14:textId="5357809A" w:rsidR="00C34C12" w:rsidRPr="0029167F" w:rsidRDefault="00C34C12" w:rsidP="00C34C12">
            <w:pPr>
              <w:pStyle w:val="TableText"/>
              <w:jc w:val="right"/>
              <w:rPr>
                <w:szCs w:val="18"/>
                <w:lang w:eastAsia="en-AU"/>
              </w:rPr>
            </w:pPr>
            <w:r w:rsidRPr="0029167F">
              <w:rPr>
                <w:szCs w:val="18"/>
              </w:rPr>
              <w:t>264,268,224</w:t>
            </w:r>
          </w:p>
        </w:tc>
        <w:tc>
          <w:tcPr>
            <w:tcW w:w="882" w:type="pct"/>
            <w:tcBorders>
              <w:top w:val="nil"/>
              <w:left w:val="nil"/>
              <w:bottom w:val="nil"/>
              <w:right w:val="nil"/>
            </w:tcBorders>
            <w:shd w:val="clear" w:color="auto" w:fill="auto"/>
          </w:tcPr>
          <w:p w14:paraId="575BEB9C" w14:textId="5EED8529" w:rsidR="00C34C12" w:rsidRPr="0029167F" w:rsidRDefault="00C34C12" w:rsidP="00C34C12">
            <w:pPr>
              <w:pStyle w:val="TableText"/>
              <w:jc w:val="right"/>
              <w:rPr>
                <w:szCs w:val="18"/>
                <w:lang w:eastAsia="en-AU"/>
              </w:rPr>
            </w:pPr>
            <w:r w:rsidRPr="0029167F">
              <w:rPr>
                <w:szCs w:val="18"/>
              </w:rPr>
              <w:t>276,214,706</w:t>
            </w:r>
          </w:p>
        </w:tc>
        <w:tc>
          <w:tcPr>
            <w:tcW w:w="982" w:type="pct"/>
            <w:tcBorders>
              <w:top w:val="nil"/>
              <w:left w:val="nil"/>
              <w:bottom w:val="nil"/>
              <w:right w:val="nil"/>
            </w:tcBorders>
            <w:shd w:val="clear" w:color="auto" w:fill="auto"/>
          </w:tcPr>
          <w:p w14:paraId="633491E9" w14:textId="591A6157" w:rsidR="00C34C12" w:rsidRPr="0029167F" w:rsidRDefault="00C34C12" w:rsidP="00C34C12">
            <w:pPr>
              <w:pStyle w:val="TableText"/>
              <w:jc w:val="right"/>
              <w:rPr>
                <w:szCs w:val="18"/>
                <w:lang w:eastAsia="en-AU"/>
              </w:rPr>
            </w:pPr>
            <w:r w:rsidRPr="0029167F">
              <w:rPr>
                <w:szCs w:val="18"/>
              </w:rPr>
              <w:t>308,868,350</w:t>
            </w:r>
          </w:p>
        </w:tc>
        <w:tc>
          <w:tcPr>
            <w:tcW w:w="881" w:type="pct"/>
            <w:tcBorders>
              <w:top w:val="nil"/>
              <w:left w:val="nil"/>
              <w:bottom w:val="nil"/>
              <w:right w:val="nil"/>
            </w:tcBorders>
            <w:shd w:val="clear" w:color="auto" w:fill="auto"/>
          </w:tcPr>
          <w:p w14:paraId="22FE9E09" w14:textId="4EC5F846" w:rsidR="00C34C12" w:rsidRPr="00EE2A5C" w:rsidRDefault="00C34C12" w:rsidP="00C34C12">
            <w:pPr>
              <w:pStyle w:val="TableText"/>
              <w:jc w:val="right"/>
              <w:rPr>
                <w:szCs w:val="18"/>
              </w:rPr>
            </w:pPr>
            <w:r w:rsidRPr="009E164C">
              <w:t>335,316,035</w:t>
            </w:r>
          </w:p>
        </w:tc>
      </w:tr>
      <w:tr w:rsidR="00DD0541" w:rsidRPr="0029167F" w14:paraId="74D5CBD5" w14:textId="3D04EEC2" w:rsidTr="00A4372E">
        <w:trPr>
          <w:tblHeader/>
        </w:trPr>
        <w:tc>
          <w:tcPr>
            <w:tcW w:w="1235" w:type="pct"/>
            <w:tcBorders>
              <w:top w:val="single" w:sz="8" w:space="0" w:color="auto"/>
              <w:left w:val="nil"/>
              <w:bottom w:val="nil"/>
              <w:right w:val="nil"/>
            </w:tcBorders>
            <w:shd w:val="clear" w:color="auto" w:fill="auto"/>
            <w:hideMark/>
          </w:tcPr>
          <w:p w14:paraId="24643C2A" w14:textId="77777777" w:rsidR="00DD0541" w:rsidRPr="0029167F" w:rsidRDefault="00DD0541" w:rsidP="00472DBF">
            <w:pPr>
              <w:pStyle w:val="TableText"/>
              <w:rPr>
                <w:lang w:eastAsia="en-AU"/>
              </w:rPr>
            </w:pPr>
            <w:r w:rsidRPr="0029167F">
              <w:rPr>
                <w:lang w:eastAsia="en-AU"/>
              </w:rPr>
              <w:t>Balance = X – Y</w:t>
            </w:r>
          </w:p>
        </w:tc>
        <w:tc>
          <w:tcPr>
            <w:tcW w:w="1020" w:type="pct"/>
            <w:tcBorders>
              <w:top w:val="single" w:sz="8" w:space="0" w:color="auto"/>
              <w:left w:val="nil"/>
              <w:bottom w:val="nil"/>
              <w:right w:val="nil"/>
            </w:tcBorders>
            <w:shd w:val="clear" w:color="auto" w:fill="auto"/>
            <w:hideMark/>
          </w:tcPr>
          <w:p w14:paraId="6255B694" w14:textId="30FD49EC" w:rsidR="00DD0541" w:rsidRPr="00472DBF" w:rsidRDefault="00DD0541" w:rsidP="00472DBF">
            <w:pPr>
              <w:pStyle w:val="TableText"/>
              <w:jc w:val="right"/>
              <w:rPr>
                <w:rStyle w:val="Strong"/>
              </w:rPr>
            </w:pPr>
            <w:r w:rsidRPr="00472DBF">
              <w:rPr>
                <w:rStyle w:val="Strong"/>
              </w:rPr>
              <w:t>-10,826,542</w:t>
            </w:r>
          </w:p>
        </w:tc>
        <w:tc>
          <w:tcPr>
            <w:tcW w:w="882" w:type="pct"/>
            <w:tcBorders>
              <w:top w:val="single" w:sz="8" w:space="0" w:color="auto"/>
              <w:left w:val="nil"/>
              <w:bottom w:val="nil"/>
              <w:right w:val="nil"/>
            </w:tcBorders>
            <w:shd w:val="clear" w:color="auto" w:fill="auto"/>
          </w:tcPr>
          <w:p w14:paraId="0D4A4215" w14:textId="0009BEE7" w:rsidR="00DD0541" w:rsidRPr="00472DBF" w:rsidRDefault="00DD0541" w:rsidP="00472DBF">
            <w:pPr>
              <w:pStyle w:val="TableText"/>
              <w:jc w:val="right"/>
              <w:rPr>
                <w:rStyle w:val="Strong"/>
              </w:rPr>
            </w:pPr>
            <w:r w:rsidRPr="00472DBF">
              <w:rPr>
                <w:rStyle w:val="Strong"/>
              </w:rPr>
              <w:t>9,587,143</w:t>
            </w:r>
          </w:p>
        </w:tc>
        <w:tc>
          <w:tcPr>
            <w:tcW w:w="982" w:type="pct"/>
            <w:tcBorders>
              <w:top w:val="single" w:sz="8" w:space="0" w:color="auto"/>
              <w:left w:val="nil"/>
              <w:bottom w:val="nil"/>
              <w:right w:val="nil"/>
            </w:tcBorders>
            <w:shd w:val="clear" w:color="auto" w:fill="auto"/>
          </w:tcPr>
          <w:p w14:paraId="7506F22A" w14:textId="10ED4111" w:rsidR="00DD0541" w:rsidRPr="00472DBF" w:rsidRDefault="00DD0541" w:rsidP="00472DBF">
            <w:pPr>
              <w:pStyle w:val="TableText"/>
              <w:jc w:val="right"/>
              <w:rPr>
                <w:rStyle w:val="Strong"/>
              </w:rPr>
            </w:pPr>
            <w:r w:rsidRPr="00472DBF">
              <w:rPr>
                <w:rStyle w:val="Strong"/>
              </w:rPr>
              <w:t>-20,138,764</w:t>
            </w:r>
          </w:p>
        </w:tc>
        <w:tc>
          <w:tcPr>
            <w:tcW w:w="881" w:type="pct"/>
            <w:tcBorders>
              <w:top w:val="single" w:sz="8" w:space="0" w:color="auto"/>
              <w:left w:val="nil"/>
              <w:bottom w:val="nil"/>
              <w:right w:val="nil"/>
            </w:tcBorders>
            <w:shd w:val="clear" w:color="auto" w:fill="auto"/>
          </w:tcPr>
          <w:p w14:paraId="5FBACB98" w14:textId="466D454D" w:rsidR="00DD0541" w:rsidRPr="00472DBF" w:rsidRDefault="00110D74" w:rsidP="00472DBF">
            <w:pPr>
              <w:pStyle w:val="TableText"/>
              <w:jc w:val="right"/>
              <w:rPr>
                <w:rStyle w:val="Strong"/>
              </w:rPr>
            </w:pPr>
            <w:r w:rsidRPr="00110D74">
              <w:rPr>
                <w:rStyle w:val="Strong"/>
              </w:rPr>
              <w:t>-35,639,380</w:t>
            </w:r>
          </w:p>
        </w:tc>
      </w:tr>
      <w:tr w:rsidR="00DD0541" w:rsidRPr="0029167F" w14:paraId="49FEA0C1" w14:textId="27B38123" w:rsidTr="00A4372E">
        <w:trPr>
          <w:tblHeader/>
        </w:trPr>
        <w:tc>
          <w:tcPr>
            <w:tcW w:w="1235" w:type="pct"/>
            <w:tcBorders>
              <w:top w:val="single" w:sz="8" w:space="0" w:color="auto"/>
              <w:left w:val="nil"/>
              <w:bottom w:val="single" w:sz="8" w:space="0" w:color="auto"/>
              <w:right w:val="nil"/>
            </w:tcBorders>
            <w:shd w:val="clear" w:color="auto" w:fill="auto"/>
            <w:hideMark/>
          </w:tcPr>
          <w:p w14:paraId="4D10D4D5" w14:textId="633504C7" w:rsidR="00DD0541" w:rsidRPr="00472DBF" w:rsidRDefault="006C2584" w:rsidP="00472DBF">
            <w:pPr>
              <w:pStyle w:val="TableText"/>
              <w:rPr>
                <w:rStyle w:val="Strong"/>
              </w:rPr>
            </w:pPr>
            <w:r w:rsidRPr="0006656C">
              <w:rPr>
                <w:rStyle w:val="Strong"/>
              </w:rPr>
              <w:t>Cost recovery b</w:t>
            </w:r>
            <w:r w:rsidR="00DD0541" w:rsidRPr="0006656C">
              <w:rPr>
                <w:rStyle w:val="Strong"/>
              </w:rPr>
              <w:t>alance</w:t>
            </w:r>
          </w:p>
        </w:tc>
        <w:tc>
          <w:tcPr>
            <w:tcW w:w="1020" w:type="pct"/>
            <w:tcBorders>
              <w:top w:val="single" w:sz="8" w:space="0" w:color="auto"/>
              <w:left w:val="nil"/>
              <w:bottom w:val="single" w:sz="8" w:space="0" w:color="auto"/>
              <w:right w:val="nil"/>
            </w:tcBorders>
            <w:shd w:val="clear" w:color="auto" w:fill="auto"/>
            <w:vAlign w:val="center"/>
            <w:hideMark/>
          </w:tcPr>
          <w:p w14:paraId="389E39E6" w14:textId="068C5CB7" w:rsidR="00DD0541" w:rsidRPr="00472DBF" w:rsidRDefault="00DD0541" w:rsidP="00472DBF">
            <w:pPr>
              <w:pStyle w:val="TableText"/>
              <w:jc w:val="right"/>
              <w:rPr>
                <w:rStyle w:val="Strong"/>
              </w:rPr>
            </w:pPr>
            <w:r w:rsidRPr="00472DBF">
              <w:rPr>
                <w:rStyle w:val="Strong"/>
              </w:rPr>
              <w:t>25,492,390</w:t>
            </w:r>
          </w:p>
        </w:tc>
        <w:tc>
          <w:tcPr>
            <w:tcW w:w="882" w:type="pct"/>
            <w:tcBorders>
              <w:top w:val="single" w:sz="8" w:space="0" w:color="auto"/>
              <w:left w:val="nil"/>
              <w:bottom w:val="single" w:sz="8" w:space="0" w:color="auto"/>
              <w:right w:val="nil"/>
            </w:tcBorders>
            <w:shd w:val="clear" w:color="auto" w:fill="auto"/>
            <w:vAlign w:val="center"/>
          </w:tcPr>
          <w:p w14:paraId="291FF4CA" w14:textId="51CD818A" w:rsidR="00DD0541" w:rsidRPr="00472DBF" w:rsidRDefault="00DD0541" w:rsidP="00472DBF">
            <w:pPr>
              <w:pStyle w:val="TableText"/>
              <w:jc w:val="right"/>
              <w:rPr>
                <w:rStyle w:val="Strong"/>
              </w:rPr>
            </w:pPr>
            <w:r w:rsidRPr="00472DBF">
              <w:rPr>
                <w:rStyle w:val="Strong"/>
              </w:rPr>
              <w:t>35,079,533</w:t>
            </w:r>
          </w:p>
        </w:tc>
        <w:tc>
          <w:tcPr>
            <w:tcW w:w="982" w:type="pct"/>
            <w:tcBorders>
              <w:top w:val="single" w:sz="8" w:space="0" w:color="auto"/>
              <w:left w:val="nil"/>
              <w:bottom w:val="single" w:sz="8" w:space="0" w:color="auto"/>
              <w:right w:val="nil"/>
            </w:tcBorders>
            <w:shd w:val="clear" w:color="auto" w:fill="auto"/>
            <w:vAlign w:val="center"/>
          </w:tcPr>
          <w:p w14:paraId="300E38D7" w14:textId="53EF79A7" w:rsidR="00DD0541" w:rsidRPr="00472DBF" w:rsidRDefault="00DD0541" w:rsidP="00472DBF">
            <w:pPr>
              <w:pStyle w:val="TableText"/>
              <w:jc w:val="right"/>
              <w:rPr>
                <w:rStyle w:val="Strong"/>
              </w:rPr>
            </w:pPr>
            <w:r w:rsidRPr="00472DBF">
              <w:rPr>
                <w:rStyle w:val="Strong"/>
              </w:rPr>
              <w:t>14,940,769</w:t>
            </w:r>
          </w:p>
        </w:tc>
        <w:tc>
          <w:tcPr>
            <w:tcW w:w="881" w:type="pct"/>
            <w:tcBorders>
              <w:top w:val="single" w:sz="8" w:space="0" w:color="auto"/>
              <w:left w:val="nil"/>
              <w:bottom w:val="single" w:sz="8" w:space="0" w:color="auto"/>
              <w:right w:val="nil"/>
            </w:tcBorders>
            <w:shd w:val="clear" w:color="auto" w:fill="auto"/>
            <w:vAlign w:val="center"/>
          </w:tcPr>
          <w:p w14:paraId="4AADABBF" w14:textId="59F6A5D7" w:rsidR="00DD0541" w:rsidRPr="00472DBF" w:rsidRDefault="00C34C12" w:rsidP="00472DBF">
            <w:pPr>
              <w:pStyle w:val="TableText"/>
              <w:jc w:val="right"/>
              <w:rPr>
                <w:rStyle w:val="Strong"/>
              </w:rPr>
            </w:pPr>
            <w:r>
              <w:rPr>
                <w:rStyle w:val="Strong"/>
              </w:rPr>
              <w:t>-</w:t>
            </w:r>
            <w:r w:rsidR="00DD0541" w:rsidRPr="00472DBF">
              <w:rPr>
                <w:rStyle w:val="Strong"/>
              </w:rPr>
              <w:t>20,</w:t>
            </w:r>
            <w:r w:rsidR="002D7610">
              <w:rPr>
                <w:rStyle w:val="Strong"/>
              </w:rPr>
              <w:t>698,611</w:t>
            </w:r>
          </w:p>
        </w:tc>
      </w:tr>
    </w:tbl>
    <w:p w14:paraId="0BDF6766" w14:textId="54E7A775" w:rsidR="009064CB" w:rsidRPr="0029167F" w:rsidRDefault="00D53425" w:rsidP="002D7610">
      <w:pPr>
        <w:pStyle w:val="Heading3"/>
        <w:spacing w:before="120"/>
        <w:rPr>
          <w:rFonts w:asciiTheme="minorHAnsi" w:hAnsiTheme="minorHAnsi" w:cstheme="minorHAnsi"/>
        </w:rPr>
      </w:pPr>
      <w:bookmarkStart w:id="224" w:name="_Toc168489268"/>
      <w:bookmarkStart w:id="225" w:name="_Toc168489565"/>
      <w:bookmarkStart w:id="226" w:name="_Toc168645263"/>
      <w:r w:rsidRPr="0029167F">
        <w:rPr>
          <w:rFonts w:asciiTheme="minorHAnsi" w:hAnsiTheme="minorHAnsi" w:cstheme="minorHAnsi"/>
        </w:rPr>
        <w:t>Non-financial performance</w:t>
      </w:r>
      <w:bookmarkEnd w:id="224"/>
      <w:bookmarkEnd w:id="225"/>
      <w:bookmarkEnd w:id="226"/>
    </w:p>
    <w:p w14:paraId="59F8895B" w14:textId="2459A382" w:rsidR="000352E9" w:rsidRDefault="000352E9" w:rsidP="00D53425">
      <w:pPr>
        <w:rPr>
          <w:rFonts w:cstheme="minorHAnsi"/>
        </w:rPr>
      </w:pPr>
      <w:r w:rsidRPr="000352E9">
        <w:rPr>
          <w:rFonts w:cstheme="minorHAnsi"/>
        </w:rPr>
        <w:t xml:space="preserve">Our </w:t>
      </w:r>
      <w:proofErr w:type="gramStart"/>
      <w:r w:rsidRPr="000352E9">
        <w:rPr>
          <w:rFonts w:cstheme="minorHAnsi"/>
        </w:rPr>
        <w:t>Annual</w:t>
      </w:r>
      <w:proofErr w:type="gramEnd"/>
      <w:r w:rsidRPr="000352E9">
        <w:rPr>
          <w:rFonts w:cstheme="minorHAnsi"/>
        </w:rPr>
        <w:t xml:space="preserve"> </w:t>
      </w:r>
      <w:r w:rsidR="0076686D">
        <w:rPr>
          <w:rFonts w:cstheme="minorHAnsi"/>
        </w:rPr>
        <w:t>r</w:t>
      </w:r>
      <w:r w:rsidRPr="000352E9">
        <w:rPr>
          <w:rFonts w:cstheme="minorHAnsi"/>
        </w:rPr>
        <w:t>eport 2022–23 provides comprehensive information on performance measures and performance results. It is not intended to duplicate th</w:t>
      </w:r>
      <w:r w:rsidR="0076686D">
        <w:rPr>
          <w:rFonts w:cstheme="minorHAnsi"/>
        </w:rPr>
        <w:t>e</w:t>
      </w:r>
      <w:r w:rsidRPr="000352E9">
        <w:rPr>
          <w:rFonts w:cstheme="minorHAnsi"/>
        </w:rPr>
        <w:t xml:space="preserve"> information in this document but rather to draw attention to the key objectives relevant to biosecurity cost recovery</w:t>
      </w:r>
      <w:r>
        <w:rPr>
          <w:rFonts w:cstheme="minorHAnsi"/>
        </w:rPr>
        <w:t>.</w:t>
      </w:r>
    </w:p>
    <w:p w14:paraId="7BBBFA88" w14:textId="1B993543" w:rsidR="000352E9" w:rsidRPr="0029167F" w:rsidRDefault="000352E9" w:rsidP="00D53425">
      <w:pPr>
        <w:rPr>
          <w:rFonts w:cstheme="minorHAnsi"/>
        </w:rPr>
      </w:pPr>
      <w:r w:rsidRPr="000352E9">
        <w:rPr>
          <w:rFonts w:cstheme="minorHAnsi"/>
        </w:rPr>
        <w:t xml:space="preserve">Our biosecurity objective is </w:t>
      </w:r>
      <w:r w:rsidRPr="0076686D">
        <w:t>to ‘</w:t>
      </w:r>
      <w:r w:rsidRPr="000634CA">
        <w:t>strengthen our national biosecurity system to provide an appropriate level of protection to Australia’s people, our environment and economy from the biosecurity threats of today and tomorrow’.</w:t>
      </w:r>
    </w:p>
    <w:p w14:paraId="56102146" w14:textId="3AD07CFB" w:rsidR="00697F31" w:rsidRDefault="00537281" w:rsidP="00D53425">
      <w:pPr>
        <w:rPr>
          <w:rFonts w:cstheme="minorHAnsi"/>
        </w:rPr>
      </w:pPr>
      <w:r w:rsidRPr="00537281">
        <w:rPr>
          <w:rFonts w:cstheme="minorHAnsi"/>
        </w:rPr>
        <w:fldChar w:fldCharType="begin"/>
      </w:r>
      <w:r w:rsidRPr="00537281">
        <w:rPr>
          <w:rFonts w:cstheme="minorHAnsi"/>
        </w:rPr>
        <w:instrText xml:space="preserve"> REF _Ref135834515 \h </w:instrText>
      </w:r>
      <w:r>
        <w:rPr>
          <w:rFonts w:cstheme="minorHAnsi"/>
        </w:rPr>
        <w:instrText xml:space="preserve"> \* MERGEFORMAT </w:instrText>
      </w:r>
      <w:r w:rsidRPr="00537281">
        <w:rPr>
          <w:rFonts w:cstheme="minorHAnsi"/>
        </w:rPr>
      </w:r>
      <w:r w:rsidRPr="00537281">
        <w:rPr>
          <w:rFonts w:cstheme="minorHAnsi"/>
        </w:rPr>
        <w:fldChar w:fldCharType="separate"/>
      </w:r>
      <w:r w:rsidR="006D5EF4" w:rsidRPr="006D5EF4">
        <w:rPr>
          <w:rFonts w:cstheme="minorHAnsi"/>
        </w:rPr>
        <w:t xml:space="preserve">Table </w:t>
      </w:r>
      <w:r w:rsidR="006D5EF4" w:rsidRPr="006D5EF4">
        <w:rPr>
          <w:rFonts w:cstheme="minorHAnsi"/>
          <w:noProof/>
        </w:rPr>
        <w:t>9</w:t>
      </w:r>
      <w:r w:rsidRPr="00537281">
        <w:rPr>
          <w:rFonts w:cstheme="minorHAnsi"/>
        </w:rPr>
        <w:fldChar w:fldCharType="end"/>
      </w:r>
      <w:r>
        <w:rPr>
          <w:rFonts w:cstheme="minorHAnsi"/>
        </w:rPr>
        <w:t xml:space="preserve"> </w:t>
      </w:r>
      <w:r w:rsidR="00D53425" w:rsidRPr="0029167F">
        <w:rPr>
          <w:rFonts w:cstheme="minorHAnsi"/>
        </w:rPr>
        <w:t xml:space="preserve">provides non-financial performance indicators for the biosecurity regulatory charging arrangement, consistent with the </w:t>
      </w:r>
      <w:hyperlink r:id="rId48" w:history="1">
        <w:r w:rsidR="000E7FDA" w:rsidRPr="0029167F">
          <w:rPr>
            <w:rStyle w:val="Hyperlink"/>
            <w:rFonts w:cstheme="minorHAnsi"/>
          </w:rPr>
          <w:t>Commonwealth Performance Framework</w:t>
        </w:r>
      </w:hyperlink>
      <w:r w:rsidR="000E7FDA" w:rsidRPr="0029167F">
        <w:rPr>
          <w:rFonts w:cstheme="minorHAnsi"/>
        </w:rPr>
        <w:t xml:space="preserve">. </w:t>
      </w:r>
      <w:r w:rsidR="000352E9" w:rsidRPr="000352E9">
        <w:rPr>
          <w:rFonts w:cstheme="minorHAnsi"/>
        </w:rPr>
        <w:t xml:space="preserve">Additional detail on non-performance measures is included in the </w:t>
      </w:r>
      <w:hyperlink r:id="rId49" w:history="1">
        <w:r w:rsidR="000634CA" w:rsidRPr="000634CA">
          <w:rPr>
            <w:rStyle w:val="Hyperlink"/>
            <w:rFonts w:cstheme="minorHAnsi"/>
          </w:rPr>
          <w:t>Annual report</w:t>
        </w:r>
      </w:hyperlink>
      <w:r w:rsidR="000634CA">
        <w:rPr>
          <w:rFonts w:cstheme="minorHAnsi"/>
        </w:rPr>
        <w:t xml:space="preserve"> </w:t>
      </w:r>
      <w:r w:rsidR="000352E9" w:rsidRPr="000352E9">
        <w:rPr>
          <w:rFonts w:cstheme="minorHAnsi"/>
        </w:rPr>
        <w:t xml:space="preserve">and </w:t>
      </w:r>
      <w:hyperlink r:id="rId50" w:history="1">
        <w:r w:rsidR="00A60972" w:rsidRPr="00A60972">
          <w:rPr>
            <w:rStyle w:val="Hyperlink"/>
            <w:rFonts w:cstheme="minorHAnsi"/>
          </w:rPr>
          <w:t>Corporate plan</w:t>
        </w:r>
      </w:hyperlink>
      <w:r w:rsidR="00F94DB4">
        <w:rPr>
          <w:rStyle w:val="Hyperlink"/>
          <w:rFonts w:cstheme="minorHAnsi"/>
        </w:rPr>
        <w:t>.</w:t>
      </w:r>
    </w:p>
    <w:p w14:paraId="286398B2" w14:textId="1ADE97C0" w:rsidR="00C76579" w:rsidRPr="00E66900" w:rsidRDefault="00C76579" w:rsidP="00C76579">
      <w:pPr>
        <w:pStyle w:val="Caption"/>
      </w:pPr>
      <w:bookmarkStart w:id="227" w:name="_Ref135834515"/>
      <w:bookmarkStart w:id="228" w:name="_Toc167086236"/>
      <w:bookmarkStart w:id="229" w:name="_Toc168645283"/>
      <w:r w:rsidRPr="00E66900">
        <w:t xml:space="preserve">Table </w:t>
      </w:r>
      <w:r w:rsidR="00FD4278">
        <w:fldChar w:fldCharType="begin"/>
      </w:r>
      <w:r w:rsidR="00FD4278">
        <w:instrText xml:space="preserve"> SEQ Table \* ARABIC </w:instrText>
      </w:r>
      <w:r w:rsidR="00FD4278">
        <w:fldChar w:fldCharType="separate"/>
      </w:r>
      <w:r w:rsidR="006D5EF4">
        <w:rPr>
          <w:noProof/>
        </w:rPr>
        <w:t>9</w:t>
      </w:r>
      <w:r w:rsidR="00FD4278">
        <w:rPr>
          <w:noProof/>
        </w:rPr>
        <w:fldChar w:fldCharType="end"/>
      </w:r>
      <w:bookmarkEnd w:id="227"/>
      <w:r w:rsidRPr="00E66900">
        <w:t xml:space="preserve"> </w:t>
      </w:r>
      <w:proofErr w:type="gramStart"/>
      <w:r w:rsidRPr="00E66900">
        <w:t>Non-financial</w:t>
      </w:r>
      <w:proofErr w:type="gramEnd"/>
      <w:r w:rsidRPr="00E66900">
        <w:t xml:space="preserve"> performance measures for biosecurity arrangement, </w:t>
      </w:r>
      <w:bookmarkStart w:id="230" w:name="Table_8"/>
      <w:r w:rsidR="00A0081B" w:rsidRPr="00E66900">
        <w:t>202</w:t>
      </w:r>
      <w:r w:rsidR="000352E9">
        <w:t>2–</w:t>
      </w:r>
      <w:r w:rsidR="00A0081B" w:rsidRPr="00E66900">
        <w:t>2</w:t>
      </w:r>
      <w:r w:rsidR="000352E9">
        <w:t>3</w:t>
      </w:r>
      <w:bookmarkEnd w:id="228"/>
      <w:bookmarkEnd w:id="229"/>
    </w:p>
    <w:tbl>
      <w:tblPr>
        <w:tblStyle w:val="ABAREStableleftalign"/>
        <w:tblW w:w="5000" w:type="pct"/>
        <w:tblCellMar>
          <w:left w:w="40" w:type="dxa"/>
          <w:right w:w="40" w:type="dxa"/>
        </w:tblCellMar>
        <w:tblLook w:val="04A0" w:firstRow="1" w:lastRow="0" w:firstColumn="1" w:lastColumn="0" w:noHBand="0" w:noVBand="1"/>
      </w:tblPr>
      <w:tblGrid>
        <w:gridCol w:w="3446"/>
        <w:gridCol w:w="3157"/>
        <w:gridCol w:w="2581"/>
      </w:tblGrid>
      <w:tr w:rsidR="00D53425" w:rsidRPr="00E66900" w14:paraId="430874C5" w14:textId="77777777" w:rsidTr="00A437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6" w:type="pct"/>
            <w:tcBorders>
              <w:top w:val="single" w:sz="4" w:space="0" w:color="auto"/>
              <w:bottom w:val="single" w:sz="4" w:space="0" w:color="auto"/>
            </w:tcBorders>
          </w:tcPr>
          <w:p w14:paraId="11052E34" w14:textId="03F44380" w:rsidR="00D53425" w:rsidRPr="00D74FA6" w:rsidRDefault="00D53425" w:rsidP="00A968F0">
            <w:pPr>
              <w:pStyle w:val="TableHeading"/>
              <w:rPr>
                <w:rStyle w:val="Strong"/>
                <w:rFonts w:ascii="Calibri" w:hAnsi="Calibri"/>
                <w:bCs w:val="0"/>
                <w:sz w:val="22"/>
                <w:szCs w:val="18"/>
              </w:rPr>
            </w:pPr>
            <w:bookmarkStart w:id="231" w:name="Title_9"/>
            <w:bookmarkEnd w:id="230"/>
            <w:bookmarkEnd w:id="231"/>
            <w:r w:rsidRPr="00D74FA6">
              <w:rPr>
                <w:rStyle w:val="Strong"/>
                <w:b/>
                <w:bCs w:val="0"/>
              </w:rPr>
              <w:t xml:space="preserve">Performance </w:t>
            </w:r>
            <w:r w:rsidR="000E7FDA" w:rsidRPr="00D74FA6">
              <w:rPr>
                <w:rStyle w:val="Strong"/>
                <w:b/>
                <w:bCs w:val="0"/>
              </w:rPr>
              <w:t>criteri</w:t>
            </w:r>
            <w:r w:rsidR="00AC0609" w:rsidRPr="00D74FA6">
              <w:rPr>
                <w:rStyle w:val="Strong"/>
                <w:b/>
                <w:bCs w:val="0"/>
              </w:rPr>
              <w:t>on</w:t>
            </w:r>
          </w:p>
        </w:tc>
        <w:tc>
          <w:tcPr>
            <w:tcW w:w="1719" w:type="pct"/>
            <w:tcBorders>
              <w:top w:val="single" w:sz="4" w:space="0" w:color="auto"/>
              <w:bottom w:val="single" w:sz="4" w:space="0" w:color="auto"/>
            </w:tcBorders>
          </w:tcPr>
          <w:p w14:paraId="0ECA2ED3" w14:textId="77777777" w:rsidR="00D53425" w:rsidRPr="00D74FA6" w:rsidRDefault="00D53425" w:rsidP="00A968F0">
            <w:pPr>
              <w:pStyle w:val="TableHeading"/>
              <w:cnfStyle w:val="100000000000" w:firstRow="1" w:lastRow="0" w:firstColumn="0" w:lastColumn="0" w:oddVBand="0" w:evenVBand="0" w:oddHBand="0" w:evenHBand="0" w:firstRowFirstColumn="0" w:firstRowLastColumn="0" w:lastRowFirstColumn="0" w:lastRowLastColumn="0"/>
              <w:rPr>
                <w:rStyle w:val="Strong"/>
                <w:bCs w:val="0"/>
              </w:rPr>
            </w:pPr>
            <w:r w:rsidRPr="00D74FA6">
              <w:rPr>
                <w:rStyle w:val="Strong"/>
                <w:b/>
                <w:bCs w:val="0"/>
              </w:rPr>
              <w:t>Performance measure</w:t>
            </w:r>
          </w:p>
        </w:tc>
        <w:tc>
          <w:tcPr>
            <w:tcW w:w="1405" w:type="pct"/>
            <w:tcBorders>
              <w:top w:val="single" w:sz="4" w:space="0" w:color="auto"/>
              <w:bottom w:val="single" w:sz="4" w:space="0" w:color="auto"/>
            </w:tcBorders>
          </w:tcPr>
          <w:p w14:paraId="7D731563" w14:textId="28ABF05A" w:rsidR="00D53425" w:rsidRPr="00D74FA6" w:rsidRDefault="000352E9" w:rsidP="00A968F0">
            <w:pPr>
              <w:pStyle w:val="TableHeading"/>
              <w:cnfStyle w:val="100000000000" w:firstRow="1" w:lastRow="0" w:firstColumn="0" w:lastColumn="0" w:oddVBand="0" w:evenVBand="0" w:oddHBand="0" w:evenHBand="0" w:firstRowFirstColumn="0" w:firstRowLastColumn="0" w:lastRowFirstColumn="0" w:lastRowLastColumn="0"/>
              <w:rPr>
                <w:rStyle w:val="Strong"/>
                <w:bCs w:val="0"/>
              </w:rPr>
            </w:pPr>
            <w:r>
              <w:rPr>
                <w:rStyle w:val="Strong"/>
                <w:b/>
                <w:bCs w:val="0"/>
              </w:rPr>
              <w:t>2</w:t>
            </w:r>
            <w:r>
              <w:rPr>
                <w:rStyle w:val="Strong"/>
                <w:b/>
              </w:rPr>
              <w:t>022–23</w:t>
            </w:r>
            <w:r w:rsidR="00D53425" w:rsidRPr="00D74FA6">
              <w:rPr>
                <w:rStyle w:val="Strong"/>
                <w:b/>
                <w:bCs w:val="0"/>
              </w:rPr>
              <w:t xml:space="preserve"> performance</w:t>
            </w:r>
          </w:p>
        </w:tc>
      </w:tr>
      <w:tr w:rsidR="005D1359" w:rsidRPr="00E66900" w14:paraId="74414A32" w14:textId="77777777" w:rsidTr="00A4372E">
        <w:tc>
          <w:tcPr>
            <w:cnfStyle w:val="001000000000" w:firstRow="0" w:lastRow="0" w:firstColumn="1" w:lastColumn="0" w:oddVBand="0" w:evenVBand="0" w:oddHBand="0" w:evenHBand="0" w:firstRowFirstColumn="0" w:firstRowLastColumn="0" w:lastRowFirstColumn="0" w:lastRowLastColumn="0"/>
            <w:tcW w:w="1876" w:type="pct"/>
            <w:vMerge w:val="restart"/>
            <w:tcBorders>
              <w:top w:val="single" w:sz="4" w:space="0" w:color="auto"/>
            </w:tcBorders>
          </w:tcPr>
          <w:p w14:paraId="36748282" w14:textId="01AA4C70" w:rsidR="005D1359" w:rsidRPr="001825A7" w:rsidRDefault="005D1359" w:rsidP="00F06B4C">
            <w:pPr>
              <w:pStyle w:val="TableText"/>
              <w:spacing w:before="0" w:after="0"/>
            </w:pPr>
            <w:r w:rsidRPr="00E66900">
              <w:t>Effectively prepare for the management of biosecurity risk through pragmatic policy, fit-for-purpose regulation and mature preparedness</w:t>
            </w:r>
            <w:r w:rsidR="00F06B4C">
              <w:t xml:space="preserve"> </w:t>
            </w:r>
            <w:r w:rsidRPr="00E66900">
              <w:t>(Effectiveness</w:t>
            </w:r>
            <w:r w:rsidR="002A5E60">
              <w:t xml:space="preserve"> and regulatory</w:t>
            </w:r>
            <w:r w:rsidRPr="00E66900">
              <w:t>)</w:t>
            </w:r>
            <w:r w:rsidR="00F06B4C">
              <w:t>.</w:t>
            </w:r>
          </w:p>
        </w:tc>
        <w:tc>
          <w:tcPr>
            <w:tcW w:w="1719" w:type="pct"/>
            <w:tcBorders>
              <w:top w:val="single" w:sz="4" w:space="0" w:color="auto"/>
              <w:bottom w:val="single" w:sz="4" w:space="0" w:color="auto"/>
            </w:tcBorders>
          </w:tcPr>
          <w:p w14:paraId="2EBF8002" w14:textId="55E482B9" w:rsidR="005D1359" w:rsidRPr="00E66900" w:rsidRDefault="005D1359" w:rsidP="00BB0920">
            <w:pPr>
              <w:pStyle w:val="TableText"/>
              <w:spacing w:before="0" w:after="0"/>
              <w:cnfStyle w:val="000000000000" w:firstRow="0" w:lastRow="0" w:firstColumn="0" w:lastColumn="0" w:oddVBand="0" w:evenVBand="0" w:oddHBand="0" w:evenHBand="0" w:firstRowFirstColumn="0" w:firstRowLastColumn="0" w:lastRowFirstColumn="0" w:lastRowLastColumn="0"/>
            </w:pPr>
            <w:r w:rsidRPr="00E66900">
              <w:t xml:space="preserve">Reduced levels of non-compliance with regulations </w:t>
            </w:r>
            <w:r w:rsidR="002A5E60" w:rsidRPr="002A5E60">
              <w:t>administered by the department (high-value cargo)</w:t>
            </w:r>
            <w:r w:rsidRPr="00E66900">
              <w:t>.</w:t>
            </w:r>
          </w:p>
        </w:tc>
        <w:tc>
          <w:tcPr>
            <w:tcW w:w="1405" w:type="pct"/>
            <w:tcBorders>
              <w:top w:val="single" w:sz="4" w:space="0" w:color="auto"/>
              <w:bottom w:val="single" w:sz="4" w:space="0" w:color="auto"/>
            </w:tcBorders>
          </w:tcPr>
          <w:p w14:paraId="039E8AD9" w14:textId="3A77C58E" w:rsidR="005D1359" w:rsidRPr="001825A7" w:rsidRDefault="002A5E60" w:rsidP="00472DBF">
            <w:pPr>
              <w:pStyle w:val="TableText"/>
              <w:cnfStyle w:val="000000000000" w:firstRow="0" w:lastRow="0" w:firstColumn="0" w:lastColumn="0" w:oddVBand="0" w:evenVBand="0" w:oddHBand="0" w:evenHBand="0" w:firstRowFirstColumn="0" w:firstRowLastColumn="0" w:lastRowFirstColumn="0" w:lastRowLastColumn="0"/>
            </w:pPr>
            <w:r w:rsidRPr="002A5E60">
              <w:t>BI-01-01 –</w:t>
            </w:r>
            <w:r>
              <w:t xml:space="preserve"> </w:t>
            </w:r>
            <w:r w:rsidRPr="002A5E60">
              <w:t>achieved</w:t>
            </w:r>
            <w:r w:rsidR="005D1359" w:rsidRPr="001825A7">
              <w:t>.</w:t>
            </w:r>
          </w:p>
        </w:tc>
      </w:tr>
      <w:tr w:rsidR="005D1359" w:rsidRPr="00E66900" w14:paraId="2484E128" w14:textId="77777777" w:rsidTr="00A4372E">
        <w:tc>
          <w:tcPr>
            <w:cnfStyle w:val="001000000000" w:firstRow="0" w:lastRow="0" w:firstColumn="1" w:lastColumn="0" w:oddVBand="0" w:evenVBand="0" w:oddHBand="0" w:evenHBand="0" w:firstRowFirstColumn="0" w:firstRowLastColumn="0" w:lastRowFirstColumn="0" w:lastRowLastColumn="0"/>
            <w:tcW w:w="1876" w:type="pct"/>
            <w:vMerge/>
          </w:tcPr>
          <w:p w14:paraId="01F02910" w14:textId="77777777" w:rsidR="005D1359" w:rsidRPr="00E66900" w:rsidRDefault="005D1359" w:rsidP="00E62D9B">
            <w:pPr>
              <w:pStyle w:val="TableText"/>
              <w:spacing w:before="0" w:after="0"/>
            </w:pPr>
          </w:p>
        </w:tc>
        <w:tc>
          <w:tcPr>
            <w:tcW w:w="1719" w:type="pct"/>
            <w:tcBorders>
              <w:top w:val="single" w:sz="4" w:space="0" w:color="auto"/>
              <w:bottom w:val="single" w:sz="4" w:space="0" w:color="auto"/>
            </w:tcBorders>
          </w:tcPr>
          <w:p w14:paraId="756405B4" w14:textId="6028F478" w:rsidR="005D1359" w:rsidRPr="00E66900" w:rsidRDefault="002A5E60" w:rsidP="009A38BF">
            <w:pPr>
              <w:pStyle w:val="TableText"/>
              <w:spacing w:before="0" w:after="0"/>
              <w:cnfStyle w:val="000000000000" w:firstRow="0" w:lastRow="0" w:firstColumn="0" w:lastColumn="0" w:oddVBand="0" w:evenVBand="0" w:oddHBand="0" w:evenHBand="0" w:firstRowFirstColumn="0" w:firstRowLastColumn="0" w:lastRowFirstColumn="0" w:lastRowLastColumn="0"/>
            </w:pPr>
            <w:r w:rsidRPr="002A5E60">
              <w:t>Reduced levels of non-compliance with regulations administered by the department (approved arrangements).</w:t>
            </w:r>
          </w:p>
        </w:tc>
        <w:tc>
          <w:tcPr>
            <w:tcW w:w="1405" w:type="pct"/>
            <w:tcBorders>
              <w:top w:val="single" w:sz="4" w:space="0" w:color="auto"/>
              <w:bottom w:val="single" w:sz="4" w:space="0" w:color="auto"/>
            </w:tcBorders>
          </w:tcPr>
          <w:p w14:paraId="193BC1C2" w14:textId="3853AF91" w:rsidR="005D1359" w:rsidRPr="00E66900" w:rsidRDefault="002A5E60" w:rsidP="00472DBF">
            <w:pPr>
              <w:pStyle w:val="TableText"/>
              <w:cnfStyle w:val="000000000000" w:firstRow="0" w:lastRow="0" w:firstColumn="0" w:lastColumn="0" w:oddVBand="0" w:evenVBand="0" w:oddHBand="0" w:evenHBand="0" w:firstRowFirstColumn="0" w:firstRowLastColumn="0" w:lastRowFirstColumn="0" w:lastRowLastColumn="0"/>
            </w:pPr>
            <w:r w:rsidRPr="002A5E60">
              <w:t>BI-01-02 – not achieved</w:t>
            </w:r>
            <w:r w:rsidR="005D1359">
              <w:t>.</w:t>
            </w:r>
          </w:p>
        </w:tc>
      </w:tr>
      <w:tr w:rsidR="002A5E60" w:rsidRPr="00E66900" w14:paraId="49713714" w14:textId="77777777" w:rsidTr="00A4372E">
        <w:tc>
          <w:tcPr>
            <w:cnfStyle w:val="001000000000" w:firstRow="0" w:lastRow="0" w:firstColumn="1" w:lastColumn="0" w:oddVBand="0" w:evenVBand="0" w:oddHBand="0" w:evenHBand="0" w:firstRowFirstColumn="0" w:firstRowLastColumn="0" w:lastRowFirstColumn="0" w:lastRowLastColumn="0"/>
            <w:tcW w:w="1876" w:type="pct"/>
            <w:vMerge/>
          </w:tcPr>
          <w:p w14:paraId="2FE5541A" w14:textId="77777777" w:rsidR="002A5E60" w:rsidRPr="00E66900" w:rsidRDefault="002A5E60" w:rsidP="002A5E60">
            <w:pPr>
              <w:pStyle w:val="TableText"/>
              <w:spacing w:before="0" w:after="0"/>
            </w:pPr>
          </w:p>
        </w:tc>
        <w:tc>
          <w:tcPr>
            <w:tcW w:w="1719" w:type="pct"/>
            <w:tcBorders>
              <w:top w:val="single" w:sz="4" w:space="0" w:color="auto"/>
              <w:bottom w:val="single" w:sz="4" w:space="0" w:color="auto"/>
            </w:tcBorders>
          </w:tcPr>
          <w:p w14:paraId="0BD83E91" w14:textId="17B484F1" w:rsidR="002A5E60" w:rsidRPr="00E66900" w:rsidRDefault="002A5E60" w:rsidP="002A5E60">
            <w:pPr>
              <w:pStyle w:val="TableText"/>
              <w:spacing w:before="0" w:after="0"/>
              <w:cnfStyle w:val="000000000000" w:firstRow="0" w:lastRow="0" w:firstColumn="0" w:lastColumn="0" w:oddVBand="0" w:evenVBand="0" w:oddHBand="0" w:evenHBand="0" w:firstRowFirstColumn="0" w:firstRowLastColumn="0" w:lastRowFirstColumn="0" w:lastRowLastColumn="0"/>
            </w:pPr>
            <w:r w:rsidRPr="00626AAF">
              <w:t>Reduced levels of non-compliance with regulations administered by the department (international travellers).</w:t>
            </w:r>
          </w:p>
        </w:tc>
        <w:tc>
          <w:tcPr>
            <w:tcW w:w="1405" w:type="pct"/>
            <w:tcBorders>
              <w:top w:val="single" w:sz="4" w:space="0" w:color="auto"/>
              <w:bottom w:val="single" w:sz="4" w:space="0" w:color="auto"/>
            </w:tcBorders>
          </w:tcPr>
          <w:p w14:paraId="01E50158" w14:textId="190AEEB3" w:rsidR="002A5E60" w:rsidRPr="00E66900" w:rsidRDefault="002A5E60" w:rsidP="002A5E60">
            <w:pPr>
              <w:pStyle w:val="TableText"/>
              <w:cnfStyle w:val="000000000000" w:firstRow="0" w:lastRow="0" w:firstColumn="0" w:lastColumn="0" w:oddVBand="0" w:evenVBand="0" w:oddHBand="0" w:evenHBand="0" w:firstRowFirstColumn="0" w:firstRowLastColumn="0" w:lastRowFirstColumn="0" w:lastRowLastColumn="0"/>
            </w:pPr>
            <w:r w:rsidRPr="00626AAF">
              <w:t>BI-01-03 – not achieved.</w:t>
            </w:r>
          </w:p>
        </w:tc>
      </w:tr>
      <w:tr w:rsidR="00384BB4" w:rsidRPr="00E66900" w14:paraId="385C8417" w14:textId="77777777" w:rsidTr="00A4372E">
        <w:tc>
          <w:tcPr>
            <w:cnfStyle w:val="001000000000" w:firstRow="0" w:lastRow="0" w:firstColumn="1" w:lastColumn="0" w:oddVBand="0" w:evenVBand="0" w:oddHBand="0" w:evenHBand="0" w:firstRowFirstColumn="0" w:firstRowLastColumn="0" w:lastRowFirstColumn="0" w:lastRowLastColumn="0"/>
            <w:tcW w:w="1876" w:type="pct"/>
            <w:tcBorders>
              <w:top w:val="single" w:sz="4" w:space="0" w:color="auto"/>
              <w:bottom w:val="nil"/>
            </w:tcBorders>
          </w:tcPr>
          <w:p w14:paraId="321B2E03" w14:textId="6F5C0C9C" w:rsidR="00384BB4" w:rsidRPr="00E66900" w:rsidRDefault="00384BB4" w:rsidP="00384BB4">
            <w:pPr>
              <w:pStyle w:val="TableText"/>
              <w:spacing w:before="0" w:after="0"/>
            </w:pPr>
            <w:r w:rsidRPr="00524E41">
              <w:t>Biosecurity service standards are met. (Effectiveness and regulatory)</w:t>
            </w:r>
            <w:r w:rsidR="00C659A1">
              <w:t>.</w:t>
            </w:r>
          </w:p>
        </w:tc>
        <w:tc>
          <w:tcPr>
            <w:tcW w:w="1719" w:type="pct"/>
            <w:tcBorders>
              <w:top w:val="single" w:sz="4" w:space="0" w:color="auto"/>
              <w:bottom w:val="single" w:sz="4" w:space="0" w:color="auto"/>
            </w:tcBorders>
          </w:tcPr>
          <w:p w14:paraId="57C1082C" w14:textId="558D344A" w:rsidR="00384BB4" w:rsidRPr="00E66900" w:rsidRDefault="00384BB4" w:rsidP="00384BB4">
            <w:pPr>
              <w:pStyle w:val="TableText"/>
              <w:spacing w:before="0" w:after="0"/>
              <w:cnfStyle w:val="000000000000" w:firstRow="0" w:lastRow="0" w:firstColumn="0" w:lastColumn="0" w:oddVBand="0" w:evenVBand="0" w:oddHBand="0" w:evenHBand="0" w:firstRowFirstColumn="0" w:firstRowLastColumn="0" w:lastRowFirstColumn="0" w:lastRowLastColumn="0"/>
            </w:pPr>
            <w:r w:rsidRPr="00524E41">
              <w:t>Biosecurity service standards are met.</w:t>
            </w:r>
          </w:p>
        </w:tc>
        <w:tc>
          <w:tcPr>
            <w:tcW w:w="1405" w:type="pct"/>
            <w:tcBorders>
              <w:top w:val="single" w:sz="4" w:space="0" w:color="auto"/>
              <w:bottom w:val="single" w:sz="4" w:space="0" w:color="auto"/>
            </w:tcBorders>
          </w:tcPr>
          <w:p w14:paraId="23636D15" w14:textId="251BDA91" w:rsidR="00384BB4" w:rsidRPr="00E66900" w:rsidRDefault="00384BB4" w:rsidP="00384BB4">
            <w:pPr>
              <w:pStyle w:val="TableText"/>
              <w:spacing w:before="0" w:after="0"/>
              <w:cnfStyle w:val="000000000000" w:firstRow="0" w:lastRow="0" w:firstColumn="0" w:lastColumn="0" w:oddVBand="0" w:evenVBand="0" w:oddHBand="0" w:evenHBand="0" w:firstRowFirstColumn="0" w:firstRowLastColumn="0" w:lastRowFirstColumn="0" w:lastRowLastColumn="0"/>
            </w:pPr>
            <w:r w:rsidRPr="00524E41">
              <w:t>BI-02 – partially achieved.</w:t>
            </w:r>
          </w:p>
        </w:tc>
      </w:tr>
      <w:tr w:rsidR="00384BB4" w:rsidRPr="00E66900" w14:paraId="3B074D34" w14:textId="77777777" w:rsidTr="00A4372E">
        <w:tc>
          <w:tcPr>
            <w:cnfStyle w:val="001000000000" w:firstRow="0" w:lastRow="0" w:firstColumn="1" w:lastColumn="0" w:oddVBand="0" w:evenVBand="0" w:oddHBand="0" w:evenHBand="0" w:firstRowFirstColumn="0" w:firstRowLastColumn="0" w:lastRowFirstColumn="0" w:lastRowLastColumn="0"/>
            <w:tcW w:w="1876" w:type="pct"/>
            <w:vMerge w:val="restart"/>
            <w:tcBorders>
              <w:top w:val="single" w:sz="4" w:space="0" w:color="auto"/>
            </w:tcBorders>
          </w:tcPr>
          <w:p w14:paraId="1D5468C0" w14:textId="2A796BEC" w:rsidR="00384BB4" w:rsidRPr="00E66900" w:rsidRDefault="00384BB4" w:rsidP="00384BB4">
            <w:pPr>
              <w:pStyle w:val="TableText"/>
              <w:spacing w:before="0" w:after="0"/>
              <w:rPr>
                <w:color w:val="943634" w:themeColor="accent2" w:themeShade="BF"/>
              </w:rPr>
            </w:pPr>
            <w:r w:rsidRPr="00E66900">
              <w:lastRenderedPageBreak/>
              <w:t>Effectively detect biosecurity risk through</w:t>
            </w:r>
            <w:r>
              <w:t xml:space="preserve"> </w:t>
            </w:r>
            <w:r w:rsidRPr="00E66900">
              <w:t>intelligence-led targeting, technology-supported inspections and efficient detection methods</w:t>
            </w:r>
            <w:r>
              <w:t xml:space="preserve"> </w:t>
            </w:r>
            <w:r w:rsidRPr="00E66900">
              <w:t>(Effectiveness</w:t>
            </w:r>
            <w:r>
              <w:t xml:space="preserve"> and regulatory</w:t>
            </w:r>
            <w:r w:rsidRPr="00E66900">
              <w:t>)</w:t>
            </w:r>
            <w:r>
              <w:t>.</w:t>
            </w:r>
          </w:p>
        </w:tc>
        <w:tc>
          <w:tcPr>
            <w:tcW w:w="1719" w:type="pct"/>
            <w:tcBorders>
              <w:top w:val="single" w:sz="4" w:space="0" w:color="auto"/>
              <w:bottom w:val="single" w:sz="4" w:space="0" w:color="auto"/>
            </w:tcBorders>
          </w:tcPr>
          <w:p w14:paraId="4A43548F" w14:textId="56746C3B" w:rsidR="00384BB4" w:rsidRPr="001825A7" w:rsidRDefault="00384BB4" w:rsidP="00384BB4">
            <w:pPr>
              <w:pStyle w:val="TableText"/>
              <w:spacing w:before="0" w:after="0"/>
              <w:cnfStyle w:val="000000000000" w:firstRow="0" w:lastRow="0" w:firstColumn="0" w:lastColumn="0" w:oddVBand="0" w:evenVBand="0" w:oddHBand="0" w:evenHBand="0" w:firstRowFirstColumn="0" w:firstRowLastColumn="0" w:lastRowFirstColumn="0" w:lastRowLastColumn="0"/>
            </w:pPr>
            <w:r w:rsidRPr="00F556A2">
              <w:t xml:space="preserve">Reduction in risk of African swine fever because of biosecurity measures implemented by the department. </w:t>
            </w:r>
          </w:p>
        </w:tc>
        <w:tc>
          <w:tcPr>
            <w:tcW w:w="1405" w:type="pct"/>
            <w:tcBorders>
              <w:top w:val="single" w:sz="4" w:space="0" w:color="auto"/>
              <w:bottom w:val="single" w:sz="4" w:space="0" w:color="auto"/>
            </w:tcBorders>
          </w:tcPr>
          <w:p w14:paraId="140FBE61" w14:textId="17265CC8" w:rsidR="00384BB4" w:rsidRPr="001825A7" w:rsidRDefault="00384BB4" w:rsidP="00384BB4">
            <w:pPr>
              <w:pStyle w:val="TableText"/>
              <w:spacing w:before="0" w:after="0"/>
              <w:cnfStyle w:val="000000000000" w:firstRow="0" w:lastRow="0" w:firstColumn="0" w:lastColumn="0" w:oddVBand="0" w:evenVBand="0" w:oddHBand="0" w:evenHBand="0" w:firstRowFirstColumn="0" w:firstRowLastColumn="0" w:lastRowFirstColumn="0" w:lastRowLastColumn="0"/>
              <w:rPr>
                <w:color w:val="943634" w:themeColor="accent2" w:themeShade="BF"/>
              </w:rPr>
            </w:pPr>
            <w:r w:rsidRPr="00F556A2">
              <w:t>BI-03 – achieved.</w:t>
            </w:r>
          </w:p>
        </w:tc>
      </w:tr>
      <w:tr w:rsidR="00384BB4" w:rsidRPr="00E66900" w14:paraId="4EA116C0" w14:textId="77777777" w:rsidTr="00A4372E">
        <w:tc>
          <w:tcPr>
            <w:cnfStyle w:val="001000000000" w:firstRow="0" w:lastRow="0" w:firstColumn="1" w:lastColumn="0" w:oddVBand="0" w:evenVBand="0" w:oddHBand="0" w:evenHBand="0" w:firstRowFirstColumn="0" w:firstRowLastColumn="0" w:lastRowFirstColumn="0" w:lastRowLastColumn="0"/>
            <w:tcW w:w="1876" w:type="pct"/>
            <w:vMerge/>
            <w:tcBorders>
              <w:bottom w:val="single" w:sz="4" w:space="0" w:color="auto"/>
            </w:tcBorders>
          </w:tcPr>
          <w:p w14:paraId="62065327" w14:textId="77777777" w:rsidR="00384BB4" w:rsidRPr="00E66900" w:rsidRDefault="00384BB4" w:rsidP="00384BB4">
            <w:pPr>
              <w:pStyle w:val="TableText"/>
              <w:spacing w:before="0" w:after="0"/>
            </w:pPr>
          </w:p>
        </w:tc>
        <w:tc>
          <w:tcPr>
            <w:tcW w:w="1719" w:type="pct"/>
            <w:tcBorders>
              <w:top w:val="single" w:sz="4" w:space="0" w:color="auto"/>
              <w:bottom w:val="single" w:sz="4" w:space="0" w:color="auto"/>
            </w:tcBorders>
          </w:tcPr>
          <w:p w14:paraId="27B0EF6A" w14:textId="666A19CA" w:rsidR="00384BB4" w:rsidRPr="00E66900" w:rsidRDefault="00384BB4" w:rsidP="00384BB4">
            <w:pPr>
              <w:pStyle w:val="TableText"/>
              <w:spacing w:before="0" w:after="0"/>
              <w:cnfStyle w:val="000000000000" w:firstRow="0" w:lastRow="0" w:firstColumn="0" w:lastColumn="0" w:oddVBand="0" w:evenVBand="0" w:oddHBand="0" w:evenHBand="0" w:firstRowFirstColumn="0" w:firstRowLastColumn="0" w:lastRowFirstColumn="0" w:lastRowLastColumn="0"/>
            </w:pPr>
            <w:r w:rsidRPr="00E95752">
              <w:t xml:space="preserve">Number of consignments of imported goods arriving with khapra beetle reduced </w:t>
            </w:r>
            <w:proofErr w:type="gramStart"/>
            <w:r w:rsidRPr="00E95752">
              <w:t>as a result</w:t>
            </w:r>
            <w:r w:rsidR="000C6BBC">
              <w:t xml:space="preserve"> of</w:t>
            </w:r>
            <w:proofErr w:type="gramEnd"/>
            <w:r w:rsidR="000C6BBC">
              <w:t xml:space="preserve"> </w:t>
            </w:r>
            <w:r w:rsidR="006B7CAD">
              <w:t>biosecurity measures implemented by the department.</w:t>
            </w:r>
          </w:p>
        </w:tc>
        <w:tc>
          <w:tcPr>
            <w:tcW w:w="1405" w:type="pct"/>
            <w:tcBorders>
              <w:top w:val="single" w:sz="4" w:space="0" w:color="auto"/>
              <w:bottom w:val="single" w:sz="4" w:space="0" w:color="auto"/>
            </w:tcBorders>
          </w:tcPr>
          <w:p w14:paraId="49DD6CBB" w14:textId="44235B5A" w:rsidR="00384BB4" w:rsidRPr="00E66900" w:rsidRDefault="00384BB4" w:rsidP="00384BB4">
            <w:pPr>
              <w:pStyle w:val="TableText"/>
              <w:spacing w:before="0" w:after="0"/>
              <w:cnfStyle w:val="000000000000" w:firstRow="0" w:lastRow="0" w:firstColumn="0" w:lastColumn="0" w:oddVBand="0" w:evenVBand="0" w:oddHBand="0" w:evenHBand="0" w:firstRowFirstColumn="0" w:firstRowLastColumn="0" w:lastRowFirstColumn="0" w:lastRowLastColumn="0"/>
            </w:pPr>
            <w:r w:rsidRPr="00384BB4">
              <w:t>BI-04 – partially achieved.</w:t>
            </w:r>
          </w:p>
        </w:tc>
      </w:tr>
      <w:tr w:rsidR="00384BB4" w:rsidRPr="0029167F" w14:paraId="1E7AE034" w14:textId="77777777" w:rsidTr="00A4372E">
        <w:tc>
          <w:tcPr>
            <w:cnfStyle w:val="001000000000" w:firstRow="0" w:lastRow="0" w:firstColumn="1" w:lastColumn="0" w:oddVBand="0" w:evenVBand="0" w:oddHBand="0" w:evenHBand="0" w:firstRowFirstColumn="0" w:firstRowLastColumn="0" w:lastRowFirstColumn="0" w:lastRowLastColumn="0"/>
            <w:tcW w:w="1876" w:type="pct"/>
            <w:tcBorders>
              <w:top w:val="single" w:sz="4" w:space="0" w:color="auto"/>
            </w:tcBorders>
          </w:tcPr>
          <w:p w14:paraId="72B131B0" w14:textId="28FBC01A" w:rsidR="00384BB4" w:rsidRPr="00E66900" w:rsidRDefault="00384BB4" w:rsidP="00384BB4">
            <w:pPr>
              <w:pStyle w:val="TableText"/>
              <w:spacing w:before="0" w:after="0"/>
            </w:pPr>
            <w:r w:rsidRPr="00E66900">
              <w:t>Minimise the impact of biosecurity incursions through appropriate post-biosecurity and post-border measures</w:t>
            </w:r>
            <w:r>
              <w:t xml:space="preserve"> </w:t>
            </w:r>
            <w:r w:rsidRPr="00E66900">
              <w:t>(Effectiveness</w:t>
            </w:r>
            <w:r>
              <w:t xml:space="preserve"> </w:t>
            </w:r>
            <w:r w:rsidRPr="00384BB4">
              <w:t>and regulatory</w:t>
            </w:r>
            <w:r w:rsidRPr="00E66900">
              <w:t>)</w:t>
            </w:r>
            <w:r>
              <w:t>.</w:t>
            </w:r>
          </w:p>
        </w:tc>
        <w:tc>
          <w:tcPr>
            <w:tcW w:w="1719" w:type="pct"/>
            <w:tcBorders>
              <w:top w:val="single" w:sz="4" w:space="0" w:color="auto"/>
              <w:bottom w:val="single" w:sz="4" w:space="0" w:color="auto"/>
            </w:tcBorders>
          </w:tcPr>
          <w:p w14:paraId="12CC0EF2" w14:textId="7920BC5E" w:rsidR="00384BB4" w:rsidRPr="00E66900" w:rsidRDefault="00384BB4" w:rsidP="00384BB4">
            <w:pPr>
              <w:pStyle w:val="TableText"/>
              <w:spacing w:before="0" w:after="0"/>
              <w:cnfStyle w:val="000000000000" w:firstRow="0" w:lastRow="0" w:firstColumn="0" w:lastColumn="0" w:oddVBand="0" w:evenVBand="0" w:oddHBand="0" w:evenHBand="0" w:firstRowFirstColumn="0" w:firstRowLastColumn="0" w:lastRowFirstColumn="0" w:lastRowLastColumn="0"/>
            </w:pPr>
            <w:r w:rsidRPr="005D22DB">
              <w:t>Number and extent of biosecurity preparedness exercises completed.</w:t>
            </w:r>
          </w:p>
        </w:tc>
        <w:tc>
          <w:tcPr>
            <w:tcW w:w="1405" w:type="pct"/>
            <w:tcBorders>
              <w:top w:val="single" w:sz="4" w:space="0" w:color="auto"/>
              <w:bottom w:val="single" w:sz="4" w:space="0" w:color="auto"/>
            </w:tcBorders>
          </w:tcPr>
          <w:p w14:paraId="396623DE" w14:textId="0159182B" w:rsidR="00384BB4" w:rsidRPr="001825A7" w:rsidRDefault="00384BB4" w:rsidP="00384BB4">
            <w:pPr>
              <w:pStyle w:val="TableText"/>
              <w:cnfStyle w:val="000000000000" w:firstRow="0" w:lastRow="0" w:firstColumn="0" w:lastColumn="0" w:oddVBand="0" w:evenVBand="0" w:oddHBand="0" w:evenHBand="0" w:firstRowFirstColumn="0" w:firstRowLastColumn="0" w:lastRowFirstColumn="0" w:lastRowLastColumn="0"/>
              <w:rPr>
                <w:color w:val="943634" w:themeColor="accent2" w:themeShade="BF"/>
              </w:rPr>
            </w:pPr>
            <w:r w:rsidRPr="005D22DB">
              <w:t>BI-05 – achieved.</w:t>
            </w:r>
          </w:p>
        </w:tc>
      </w:tr>
    </w:tbl>
    <w:p w14:paraId="4E0260A4" w14:textId="1C2D0BA1" w:rsidR="00D07E1C" w:rsidRDefault="00F94DB4" w:rsidP="000634CA">
      <w:pPr>
        <w:pStyle w:val="FigureTableNoteSource"/>
      </w:pPr>
      <w:r>
        <w:t xml:space="preserve">Note: </w:t>
      </w:r>
      <w:r w:rsidR="007278E7" w:rsidRPr="00B2175A">
        <w:t xml:space="preserve">For </w:t>
      </w:r>
      <w:r w:rsidR="00384BB4">
        <w:t xml:space="preserve">a complete analysis of our </w:t>
      </w:r>
      <w:r w:rsidR="007278E7" w:rsidRPr="00B2175A">
        <w:t xml:space="preserve">performance </w:t>
      </w:r>
      <w:r w:rsidR="007278E7" w:rsidRPr="00FC632E">
        <w:t>measures, see the</w:t>
      </w:r>
      <w:hyperlink r:id="rId51" w:history="1">
        <w:r w:rsidR="0076686D">
          <w:rPr>
            <w:rStyle w:val="Hyperlink"/>
            <w:rFonts w:cstheme="minorHAnsi"/>
          </w:rPr>
          <w:t xml:space="preserve"> Annual report 2022–23</w:t>
        </w:r>
      </w:hyperlink>
      <w:r w:rsidR="0099030A" w:rsidRPr="00FC632E">
        <w:t xml:space="preserve"> </w:t>
      </w:r>
      <w:r w:rsidR="00384BB4">
        <w:t xml:space="preserve">pages 25–46 </w:t>
      </w:r>
      <w:r w:rsidR="007278E7" w:rsidRPr="00FC632E">
        <w:t>and the</w:t>
      </w:r>
      <w:r w:rsidR="00EA4037" w:rsidRPr="00384BB4">
        <w:t xml:space="preserve"> </w:t>
      </w:r>
      <w:hyperlink r:id="rId52" w:history="1">
        <w:r w:rsidR="00C60747">
          <w:rPr>
            <w:rStyle w:val="Hyperlink"/>
          </w:rPr>
          <w:t>Corporate plan 2022–23</w:t>
        </w:r>
      </w:hyperlink>
      <w:r w:rsidR="007278E7" w:rsidRPr="00FC632E">
        <w:t>, p</w:t>
      </w:r>
      <w:r w:rsidR="00D24697" w:rsidRPr="00FC632E">
        <w:t>age</w:t>
      </w:r>
      <w:r w:rsidR="00F225AF" w:rsidRPr="00FC632E">
        <w:t>s</w:t>
      </w:r>
      <w:r w:rsidR="00D24697" w:rsidRPr="00FC632E">
        <w:t xml:space="preserve"> </w:t>
      </w:r>
      <w:r w:rsidR="00384BB4">
        <w:t>19–27</w:t>
      </w:r>
      <w:r w:rsidR="0076686D">
        <w:t>.</w:t>
      </w:r>
      <w:bookmarkStart w:id="232" w:name="_Key_dates_and"/>
      <w:bookmarkEnd w:id="232"/>
    </w:p>
    <w:p w14:paraId="365528FD" w14:textId="29FC457C" w:rsidR="007278E7" w:rsidRPr="00D07E1C" w:rsidRDefault="00AF672F" w:rsidP="00D07E1C">
      <w:pPr>
        <w:pStyle w:val="Heading2"/>
      </w:pPr>
      <w:bookmarkStart w:id="233" w:name="_Key_dates_and_1"/>
      <w:bookmarkStart w:id="234" w:name="_Toc168489269"/>
      <w:bookmarkStart w:id="235" w:name="_Toc168489566"/>
      <w:bookmarkStart w:id="236" w:name="_Toc168645264"/>
      <w:bookmarkEnd w:id="233"/>
      <w:r w:rsidRPr="00D07E1C">
        <w:lastRenderedPageBreak/>
        <w:t>Key dates and events</w:t>
      </w:r>
      <w:bookmarkEnd w:id="234"/>
      <w:bookmarkEnd w:id="235"/>
      <w:bookmarkEnd w:id="236"/>
    </w:p>
    <w:p w14:paraId="2C8FD41A" w14:textId="0526CC9C" w:rsidR="00AF672F" w:rsidRPr="0029167F" w:rsidRDefault="00AF672F" w:rsidP="00AF672F">
      <w:pPr>
        <w:rPr>
          <w:rFonts w:cstheme="minorHAnsi"/>
          <w:lang w:eastAsia="ja-JP"/>
        </w:rPr>
      </w:pPr>
      <w:r w:rsidRPr="0029167F">
        <w:rPr>
          <w:rFonts w:cstheme="minorHAnsi"/>
          <w:lang w:eastAsia="ja-JP"/>
        </w:rPr>
        <w:t xml:space="preserve">We undertake regular reviews of our financial performance and conduct regular stakeholder engagement activities throughout the CRIS cycle. Key forward dates for the biosecurity regulatory charging arrangement are documented in </w:t>
      </w:r>
      <w:r w:rsidR="00584975" w:rsidRPr="00584975">
        <w:rPr>
          <w:rFonts w:cstheme="minorHAnsi"/>
          <w:lang w:eastAsia="ja-JP"/>
        </w:rPr>
        <w:fldChar w:fldCharType="begin"/>
      </w:r>
      <w:r w:rsidR="00584975" w:rsidRPr="00584975">
        <w:rPr>
          <w:rFonts w:cstheme="minorHAnsi"/>
          <w:lang w:eastAsia="ja-JP"/>
        </w:rPr>
        <w:instrText xml:space="preserve"> REF _Ref135834084 \h </w:instrText>
      </w:r>
      <w:r w:rsidR="00584975">
        <w:rPr>
          <w:rFonts w:cstheme="minorHAnsi"/>
          <w:lang w:eastAsia="ja-JP"/>
        </w:rPr>
        <w:instrText xml:space="preserve"> \* MERGEFORMAT </w:instrText>
      </w:r>
      <w:r w:rsidR="00584975" w:rsidRPr="00584975">
        <w:rPr>
          <w:rFonts w:cstheme="minorHAnsi"/>
          <w:lang w:eastAsia="ja-JP"/>
        </w:rPr>
      </w:r>
      <w:r w:rsidR="00584975" w:rsidRPr="00584975">
        <w:rPr>
          <w:rFonts w:cstheme="minorHAnsi"/>
          <w:lang w:eastAsia="ja-JP"/>
        </w:rPr>
        <w:fldChar w:fldCharType="separate"/>
      </w:r>
      <w:r w:rsidR="006D5EF4" w:rsidRPr="006D5EF4">
        <w:rPr>
          <w:rFonts w:cstheme="minorHAnsi"/>
        </w:rPr>
        <w:t xml:space="preserve">Table </w:t>
      </w:r>
      <w:r w:rsidR="006D5EF4" w:rsidRPr="006D5EF4">
        <w:rPr>
          <w:rFonts w:cstheme="minorHAnsi"/>
          <w:noProof/>
        </w:rPr>
        <w:t>10</w:t>
      </w:r>
      <w:r w:rsidR="00584975" w:rsidRPr="00584975">
        <w:rPr>
          <w:rFonts w:cstheme="minorHAnsi"/>
          <w:lang w:eastAsia="ja-JP"/>
        </w:rPr>
        <w:fldChar w:fldCharType="end"/>
      </w:r>
      <w:r w:rsidR="001B3961" w:rsidRPr="001B3961">
        <w:rPr>
          <w:rFonts w:cstheme="minorHAnsi"/>
          <w:lang w:eastAsia="ja-JP"/>
        </w:rPr>
        <w:t>.</w:t>
      </w:r>
    </w:p>
    <w:p w14:paraId="51B3BC2A" w14:textId="3B4826E0" w:rsidR="00AF672F" w:rsidRPr="00DD0541" w:rsidRDefault="0096492A" w:rsidP="0096492A">
      <w:pPr>
        <w:pStyle w:val="Caption"/>
      </w:pPr>
      <w:bookmarkStart w:id="237" w:name="_Ref135834084"/>
      <w:bookmarkStart w:id="238" w:name="_Toc167086237"/>
      <w:bookmarkStart w:id="239" w:name="_Toc168645284"/>
      <w:bookmarkStart w:id="240" w:name="Table_9"/>
      <w:bookmarkStart w:id="241" w:name="_Hlk97812573"/>
      <w:r w:rsidRPr="00DD0541">
        <w:t xml:space="preserve">Table </w:t>
      </w:r>
      <w:r w:rsidR="00FD4278">
        <w:fldChar w:fldCharType="begin"/>
      </w:r>
      <w:r w:rsidR="00FD4278">
        <w:instrText xml:space="preserve"> SEQ Table \* ARABIC </w:instrText>
      </w:r>
      <w:r w:rsidR="00FD4278">
        <w:fldChar w:fldCharType="separate"/>
      </w:r>
      <w:r w:rsidR="006D5EF4">
        <w:rPr>
          <w:noProof/>
        </w:rPr>
        <w:t>10</w:t>
      </w:r>
      <w:r w:rsidR="00FD4278">
        <w:rPr>
          <w:noProof/>
        </w:rPr>
        <w:fldChar w:fldCharType="end"/>
      </w:r>
      <w:bookmarkEnd w:id="237"/>
      <w:r w:rsidRPr="00DD0541">
        <w:t xml:space="preserve"> Key forward dates and events</w:t>
      </w:r>
      <w:bookmarkEnd w:id="238"/>
      <w:bookmarkEnd w:id="239"/>
    </w:p>
    <w:tbl>
      <w:tblPr>
        <w:tblW w:w="5000" w:type="pct"/>
        <w:tblBorders>
          <w:top w:val="single" w:sz="4" w:space="0" w:color="auto"/>
          <w:bottom w:val="single" w:sz="4" w:space="0" w:color="auto"/>
          <w:insideH w:val="single" w:sz="4" w:space="0" w:color="auto"/>
        </w:tblBorders>
        <w:tblCellMar>
          <w:left w:w="40" w:type="dxa"/>
          <w:right w:w="40" w:type="dxa"/>
        </w:tblCellMar>
        <w:tblLook w:val="04A0" w:firstRow="1" w:lastRow="0" w:firstColumn="1" w:lastColumn="0" w:noHBand="0" w:noVBand="1"/>
      </w:tblPr>
      <w:tblGrid>
        <w:gridCol w:w="6890"/>
        <w:gridCol w:w="2294"/>
      </w:tblGrid>
      <w:tr w:rsidR="002E6363" w:rsidRPr="00DD0541" w14:paraId="3D743C30" w14:textId="77777777" w:rsidTr="00A4372E">
        <w:trPr>
          <w:tblHeader/>
        </w:trPr>
        <w:tc>
          <w:tcPr>
            <w:tcW w:w="3751" w:type="pct"/>
          </w:tcPr>
          <w:p w14:paraId="0B370643" w14:textId="77777777" w:rsidR="002E6363" w:rsidRPr="00D74FA6" w:rsidRDefault="002E6363" w:rsidP="00A968F0">
            <w:pPr>
              <w:pStyle w:val="TableHeading"/>
              <w:rPr>
                <w:rStyle w:val="Strong"/>
                <w:rFonts w:ascii="Calibri" w:hAnsi="Calibri"/>
                <w:bCs w:val="0"/>
                <w:sz w:val="22"/>
                <w:szCs w:val="18"/>
              </w:rPr>
            </w:pPr>
            <w:bookmarkStart w:id="242" w:name="Title_10"/>
            <w:bookmarkEnd w:id="240"/>
            <w:bookmarkEnd w:id="242"/>
            <w:r w:rsidRPr="00D74FA6">
              <w:rPr>
                <w:rStyle w:val="Strong"/>
                <w:b/>
                <w:bCs w:val="0"/>
              </w:rPr>
              <w:t>Key forward events schedule</w:t>
            </w:r>
          </w:p>
        </w:tc>
        <w:tc>
          <w:tcPr>
            <w:tcW w:w="1249" w:type="pct"/>
          </w:tcPr>
          <w:p w14:paraId="58F80211" w14:textId="77777777" w:rsidR="002E6363" w:rsidRPr="00D74FA6" w:rsidRDefault="002E6363" w:rsidP="00A968F0">
            <w:pPr>
              <w:pStyle w:val="TableHeading"/>
              <w:rPr>
                <w:rStyle w:val="Strong"/>
                <w:bCs w:val="0"/>
              </w:rPr>
            </w:pPr>
            <w:r w:rsidRPr="00D74FA6">
              <w:rPr>
                <w:rStyle w:val="Strong"/>
                <w:b/>
                <w:bCs w:val="0"/>
              </w:rPr>
              <w:t>Next scheduled update</w:t>
            </w:r>
          </w:p>
        </w:tc>
      </w:tr>
      <w:tr w:rsidR="004F3BB7" w:rsidRPr="00DD0541" w14:paraId="4FE9C7E5" w14:textId="77777777" w:rsidTr="00A4372E">
        <w:tc>
          <w:tcPr>
            <w:tcW w:w="3751" w:type="pct"/>
          </w:tcPr>
          <w:p w14:paraId="6CB9F80C" w14:textId="64C4A689" w:rsidR="004F3BB7" w:rsidRPr="00DD0541" w:rsidRDefault="00C91AF0" w:rsidP="00472DBF">
            <w:pPr>
              <w:pStyle w:val="TableText"/>
            </w:pPr>
            <w:bookmarkStart w:id="243" w:name="_Hlk77329544"/>
            <w:r w:rsidRPr="00DD0541">
              <w:t>Review of arrangement and indexation</w:t>
            </w:r>
          </w:p>
        </w:tc>
        <w:tc>
          <w:tcPr>
            <w:tcW w:w="1249" w:type="pct"/>
            <w:shd w:val="clear" w:color="auto" w:fill="auto"/>
          </w:tcPr>
          <w:p w14:paraId="356DC9F7" w14:textId="2055D6CF" w:rsidR="004F3BB7" w:rsidRPr="00DD0541" w:rsidRDefault="00C91AF0" w:rsidP="00472DBF">
            <w:pPr>
              <w:pStyle w:val="TableText"/>
            </w:pPr>
            <w:r w:rsidRPr="00195720">
              <w:t>1</w:t>
            </w:r>
            <w:r w:rsidRPr="00195720">
              <w:rPr>
                <w:vertAlign w:val="superscript"/>
              </w:rPr>
              <w:t>st</w:t>
            </w:r>
            <w:r w:rsidRPr="00195720">
              <w:t xml:space="preserve"> quarter 2024</w:t>
            </w:r>
          </w:p>
        </w:tc>
      </w:tr>
      <w:tr w:rsidR="00C91AF0" w:rsidRPr="00DD0541" w14:paraId="591E0576" w14:textId="77777777" w:rsidTr="00A4372E">
        <w:tc>
          <w:tcPr>
            <w:tcW w:w="3751" w:type="pct"/>
          </w:tcPr>
          <w:p w14:paraId="6BE75F30" w14:textId="4AC68D2D" w:rsidR="00C91AF0" w:rsidRPr="00DD0541" w:rsidRDefault="00C91AF0" w:rsidP="00472DBF">
            <w:pPr>
              <w:pStyle w:val="TableText"/>
            </w:pPr>
            <w:r w:rsidRPr="00DD0541">
              <w:t>Updated fees and charges implemented</w:t>
            </w:r>
          </w:p>
        </w:tc>
        <w:tc>
          <w:tcPr>
            <w:tcW w:w="1249" w:type="pct"/>
            <w:shd w:val="clear" w:color="auto" w:fill="auto"/>
          </w:tcPr>
          <w:p w14:paraId="263BA462" w14:textId="5106ADBC" w:rsidR="00C91AF0" w:rsidRPr="00DD0541" w:rsidRDefault="00C91AF0" w:rsidP="00472DBF">
            <w:pPr>
              <w:pStyle w:val="TableText"/>
            </w:pPr>
            <w:r w:rsidRPr="00DD0541">
              <w:t>1 July 2024</w:t>
            </w:r>
          </w:p>
        </w:tc>
      </w:tr>
      <w:tr w:rsidR="00322D85" w:rsidRPr="00DD0541" w14:paraId="6B5190D9" w14:textId="77777777" w:rsidTr="00A4372E">
        <w:tc>
          <w:tcPr>
            <w:tcW w:w="3751" w:type="pct"/>
          </w:tcPr>
          <w:p w14:paraId="2C33360D" w14:textId="22CA6158" w:rsidR="00322D85" w:rsidRPr="00DD0541" w:rsidRDefault="00322D85" w:rsidP="00472DBF">
            <w:pPr>
              <w:pStyle w:val="TableText"/>
            </w:pPr>
            <w:r>
              <w:t>Consultation on 2025 -26 CRIS</w:t>
            </w:r>
          </w:p>
        </w:tc>
        <w:tc>
          <w:tcPr>
            <w:tcW w:w="1249" w:type="pct"/>
            <w:shd w:val="clear" w:color="auto" w:fill="auto"/>
          </w:tcPr>
          <w:p w14:paraId="43AD52E2" w14:textId="2F1F97AE" w:rsidR="00322D85" w:rsidRPr="00DD0541" w:rsidRDefault="00322D85" w:rsidP="00472DBF">
            <w:pPr>
              <w:pStyle w:val="TableText"/>
            </w:pPr>
            <w:r>
              <w:t>3</w:t>
            </w:r>
            <w:r w:rsidRPr="00322D85">
              <w:rPr>
                <w:vertAlign w:val="superscript"/>
              </w:rPr>
              <w:t>rd</w:t>
            </w:r>
            <w:r w:rsidRPr="00195720">
              <w:t xml:space="preserve"> quarter </w:t>
            </w:r>
            <w:r>
              <w:t>2025</w:t>
            </w:r>
          </w:p>
        </w:tc>
      </w:tr>
      <w:tr w:rsidR="00C91AF0" w:rsidRPr="00DD0541" w14:paraId="66BF9184" w14:textId="77777777" w:rsidTr="00A4372E">
        <w:tc>
          <w:tcPr>
            <w:tcW w:w="3751" w:type="pct"/>
          </w:tcPr>
          <w:p w14:paraId="0C038689" w14:textId="77777777" w:rsidR="00C91AF0" w:rsidRPr="00DD0541" w:rsidRDefault="00C91AF0" w:rsidP="00472DBF">
            <w:pPr>
              <w:pStyle w:val="TableText"/>
            </w:pPr>
            <w:r w:rsidRPr="00DD0541">
              <w:t>Portfolio charging review to be undertaken</w:t>
            </w:r>
          </w:p>
        </w:tc>
        <w:tc>
          <w:tcPr>
            <w:tcW w:w="1249" w:type="pct"/>
            <w:shd w:val="clear" w:color="auto" w:fill="auto"/>
          </w:tcPr>
          <w:p w14:paraId="7E4CE379" w14:textId="181E7CBF" w:rsidR="00C91AF0" w:rsidRPr="00DD0541" w:rsidRDefault="00C91AF0" w:rsidP="00472DBF">
            <w:pPr>
              <w:pStyle w:val="TableText"/>
            </w:pPr>
            <w:r w:rsidRPr="00DD0541">
              <w:t>2025</w:t>
            </w:r>
          </w:p>
        </w:tc>
      </w:tr>
      <w:tr w:rsidR="00C91AF0" w:rsidRPr="0029167F" w14:paraId="23FE0060" w14:textId="77777777" w:rsidTr="00A4372E">
        <w:tc>
          <w:tcPr>
            <w:tcW w:w="3751" w:type="pct"/>
          </w:tcPr>
          <w:p w14:paraId="24595D82" w14:textId="29CC82F1" w:rsidR="00C91AF0" w:rsidRPr="00DD0541" w:rsidRDefault="00C91AF0" w:rsidP="00472DBF">
            <w:pPr>
              <w:pStyle w:val="TableText"/>
            </w:pPr>
            <w:r w:rsidRPr="00DD0541">
              <w:t>Portfolio charging review outcomes to be brought forward in Budget 2026</w:t>
            </w:r>
            <w:r w:rsidRPr="00DD0541">
              <w:rPr>
                <w:lang w:eastAsia="ja-JP"/>
              </w:rPr>
              <w:t>–</w:t>
            </w:r>
            <w:r w:rsidRPr="00DD0541">
              <w:t>27</w:t>
            </w:r>
          </w:p>
        </w:tc>
        <w:tc>
          <w:tcPr>
            <w:tcW w:w="1249" w:type="pct"/>
            <w:shd w:val="clear" w:color="auto" w:fill="auto"/>
          </w:tcPr>
          <w:p w14:paraId="1364FB01" w14:textId="782C061F" w:rsidR="00C91AF0" w:rsidRPr="0029167F" w:rsidRDefault="002717C5" w:rsidP="00472DBF">
            <w:pPr>
              <w:pStyle w:val="TableText"/>
            </w:pPr>
            <w:r w:rsidRPr="00DD0541">
              <w:t>2026</w:t>
            </w:r>
          </w:p>
        </w:tc>
      </w:tr>
    </w:tbl>
    <w:p w14:paraId="125E53D2" w14:textId="3A098FD8" w:rsidR="005E2A40" w:rsidRPr="00304AEA" w:rsidRDefault="005E2A40" w:rsidP="00304AEA">
      <w:pPr>
        <w:pStyle w:val="Heading2"/>
      </w:pPr>
      <w:bookmarkStart w:id="244" w:name="_Toc168489270"/>
      <w:bookmarkStart w:id="245" w:name="_Toc168489567"/>
      <w:bookmarkStart w:id="246" w:name="_Toc168645265"/>
      <w:bookmarkEnd w:id="241"/>
      <w:bookmarkEnd w:id="243"/>
      <w:r w:rsidRPr="00304AEA">
        <w:lastRenderedPageBreak/>
        <w:t>CRIS approval and change register</w:t>
      </w:r>
      <w:bookmarkEnd w:id="244"/>
      <w:bookmarkEnd w:id="245"/>
      <w:bookmarkEnd w:id="246"/>
    </w:p>
    <w:p w14:paraId="3B16C861" w14:textId="4C46F859" w:rsidR="005E2A40" w:rsidRDefault="005E2A40" w:rsidP="005E2A40">
      <w:pPr>
        <w:rPr>
          <w:rFonts w:cstheme="minorHAnsi"/>
        </w:rPr>
      </w:pPr>
      <w:r w:rsidRPr="00EF3334">
        <w:rPr>
          <w:rFonts w:cstheme="minorHAnsi"/>
          <w:lang w:eastAsia="ja-JP"/>
        </w:rPr>
        <w:t xml:space="preserve">The intent of the department is to update this CRIS </w:t>
      </w:r>
      <w:r w:rsidR="00044ACD">
        <w:rPr>
          <w:rFonts w:cstheme="minorHAnsi"/>
          <w:lang w:eastAsia="ja-JP"/>
        </w:rPr>
        <w:t>annually</w:t>
      </w:r>
      <w:r w:rsidR="00044ACD" w:rsidRPr="00044ACD">
        <w:rPr>
          <w:rFonts w:cstheme="minorHAnsi"/>
        </w:rPr>
        <w:t xml:space="preserve"> </w:t>
      </w:r>
      <w:r w:rsidR="00044ACD" w:rsidRPr="00EF3334">
        <w:rPr>
          <w:rFonts w:cstheme="minorHAnsi"/>
        </w:rPr>
        <w:t xml:space="preserve">as recommended by the Australian Government Charging </w:t>
      </w:r>
      <w:r w:rsidR="003354D5" w:rsidRPr="00EF3334">
        <w:rPr>
          <w:rFonts w:cstheme="minorHAnsi"/>
        </w:rPr>
        <w:t>Framework</w:t>
      </w:r>
      <w:r w:rsidR="003354D5" w:rsidRPr="00EF3334" w:rsidDel="00044ACD">
        <w:rPr>
          <w:rFonts w:cstheme="minorHAnsi"/>
          <w:lang w:eastAsia="ja-JP"/>
        </w:rPr>
        <w:t>,</w:t>
      </w:r>
      <w:r w:rsidRPr="00EF3334">
        <w:rPr>
          <w:rFonts w:cstheme="minorHAnsi"/>
          <w:lang w:eastAsia="ja-JP"/>
        </w:rPr>
        <w:t xml:space="preserve"> and in conjunction with the key dates and events in</w:t>
      </w:r>
      <w:r w:rsidRPr="00E11FDB">
        <w:rPr>
          <w:rFonts w:cstheme="minorHAnsi"/>
          <w:lang w:eastAsia="ja-JP"/>
        </w:rPr>
        <w:t xml:space="preserve"> </w:t>
      </w:r>
      <w:hyperlink w:anchor="Table_10" w:history="1">
        <w:r w:rsidR="00E11FDB" w:rsidRPr="00E11FDB">
          <w:rPr>
            <w:rStyle w:val="Hyperlink"/>
            <w:rFonts w:cstheme="minorHAnsi"/>
            <w:lang w:eastAsia="ja-JP"/>
          </w:rPr>
          <w:t>section 8</w:t>
        </w:r>
      </w:hyperlink>
      <w:r w:rsidR="00E11FDB" w:rsidRPr="00E11FDB">
        <w:rPr>
          <w:rFonts w:cstheme="minorHAnsi"/>
          <w:lang w:eastAsia="ja-JP"/>
        </w:rPr>
        <w:t>.</w:t>
      </w:r>
      <w:r w:rsidRPr="00EF3334">
        <w:rPr>
          <w:rFonts w:cstheme="minorHAnsi"/>
          <w:lang w:eastAsia="ja-JP"/>
        </w:rPr>
        <w:t xml:space="preserve"> </w:t>
      </w:r>
      <w:r w:rsidRPr="00EF3334">
        <w:rPr>
          <w:rFonts w:cstheme="minorHAnsi"/>
        </w:rPr>
        <w:t xml:space="preserve">The change register in </w:t>
      </w:r>
      <w:r w:rsidR="00EF3334" w:rsidRPr="00EF3334">
        <w:rPr>
          <w:rFonts w:cstheme="minorHAnsi"/>
        </w:rPr>
        <w:fldChar w:fldCharType="begin"/>
      </w:r>
      <w:r w:rsidR="00EF3334" w:rsidRPr="00EF3334">
        <w:rPr>
          <w:rFonts w:cstheme="minorHAnsi"/>
        </w:rPr>
        <w:instrText xml:space="preserve"> REF _Ref136531017 \h </w:instrText>
      </w:r>
      <w:r w:rsidR="00EF3334">
        <w:rPr>
          <w:rFonts w:cstheme="minorHAnsi"/>
        </w:rPr>
        <w:instrText xml:space="preserve"> \* MERGEFORMAT </w:instrText>
      </w:r>
      <w:r w:rsidR="00EF3334" w:rsidRPr="00EF3334">
        <w:rPr>
          <w:rFonts w:cstheme="minorHAnsi"/>
        </w:rPr>
      </w:r>
      <w:r w:rsidR="00EF3334" w:rsidRPr="00EF3334">
        <w:rPr>
          <w:rFonts w:cstheme="minorHAnsi"/>
        </w:rPr>
        <w:fldChar w:fldCharType="separate"/>
      </w:r>
      <w:r w:rsidR="006D5EF4" w:rsidRPr="006D5EF4">
        <w:rPr>
          <w:rFonts w:cstheme="minorHAnsi"/>
        </w:rPr>
        <w:t xml:space="preserve">Table </w:t>
      </w:r>
      <w:r w:rsidR="006D5EF4" w:rsidRPr="006D5EF4">
        <w:rPr>
          <w:rFonts w:cstheme="minorHAnsi"/>
          <w:noProof/>
        </w:rPr>
        <w:t>11</w:t>
      </w:r>
      <w:r w:rsidR="00EF3334" w:rsidRPr="00EF3334">
        <w:rPr>
          <w:rFonts w:cstheme="minorHAnsi"/>
        </w:rPr>
        <w:fldChar w:fldCharType="end"/>
      </w:r>
      <w:r w:rsidR="00EF3334">
        <w:rPr>
          <w:rFonts w:cstheme="minorHAnsi"/>
        </w:rPr>
        <w:t xml:space="preserve"> </w:t>
      </w:r>
      <w:r w:rsidRPr="00EF3334">
        <w:rPr>
          <w:rFonts w:cstheme="minorHAnsi"/>
        </w:rPr>
        <w:t>provides a record of updates to this CRIS.</w:t>
      </w:r>
    </w:p>
    <w:p w14:paraId="410A601F" w14:textId="379D6F6B" w:rsidR="00F32ED1" w:rsidRPr="00DD0541" w:rsidRDefault="00F32ED1" w:rsidP="00F32ED1">
      <w:pPr>
        <w:pStyle w:val="Caption"/>
      </w:pPr>
      <w:bookmarkStart w:id="247" w:name="_Ref136531017"/>
      <w:bookmarkStart w:id="248" w:name="_Toc167086238"/>
      <w:bookmarkStart w:id="249" w:name="_Toc168645285"/>
      <w:bookmarkStart w:id="250" w:name="_Ref77865840"/>
      <w:bookmarkStart w:id="251" w:name="Table_10"/>
      <w:r w:rsidRPr="00DD0541">
        <w:t xml:space="preserve">Table </w:t>
      </w:r>
      <w:r w:rsidR="00FD4278">
        <w:fldChar w:fldCharType="begin"/>
      </w:r>
      <w:r w:rsidR="00FD4278">
        <w:instrText xml:space="preserve"> SEQ Table \* ARABIC </w:instrText>
      </w:r>
      <w:r w:rsidR="00FD4278">
        <w:fldChar w:fldCharType="separate"/>
      </w:r>
      <w:r w:rsidR="006D5EF4">
        <w:rPr>
          <w:noProof/>
        </w:rPr>
        <w:t>11</w:t>
      </w:r>
      <w:r w:rsidR="00FD4278">
        <w:rPr>
          <w:noProof/>
        </w:rPr>
        <w:fldChar w:fldCharType="end"/>
      </w:r>
      <w:bookmarkEnd w:id="247"/>
      <w:r w:rsidRPr="00DD0541">
        <w:t xml:space="preserve"> Change register</w:t>
      </w:r>
      <w:bookmarkEnd w:id="248"/>
      <w:bookmarkEnd w:id="249"/>
    </w:p>
    <w:tbl>
      <w:tblPr>
        <w:tblW w:w="5000" w:type="pct"/>
        <w:tblBorders>
          <w:top w:val="single" w:sz="4" w:space="0" w:color="auto"/>
          <w:bottom w:val="single" w:sz="4" w:space="0" w:color="auto"/>
        </w:tblBorders>
        <w:tblCellMar>
          <w:left w:w="40" w:type="dxa"/>
          <w:right w:w="40" w:type="dxa"/>
        </w:tblCellMar>
        <w:tblLook w:val="04A0" w:firstRow="1" w:lastRow="0" w:firstColumn="1" w:lastColumn="0" w:noHBand="0" w:noVBand="1"/>
      </w:tblPr>
      <w:tblGrid>
        <w:gridCol w:w="2133"/>
        <w:gridCol w:w="2125"/>
        <w:gridCol w:w="2123"/>
        <w:gridCol w:w="2803"/>
      </w:tblGrid>
      <w:tr w:rsidR="00F32ED1" w:rsidRPr="00DD0541" w14:paraId="2A3A819A" w14:textId="77777777" w:rsidTr="00A4372E">
        <w:trPr>
          <w:tblHeader/>
        </w:trPr>
        <w:tc>
          <w:tcPr>
            <w:tcW w:w="1161" w:type="pct"/>
            <w:tcBorders>
              <w:top w:val="single" w:sz="4" w:space="0" w:color="auto"/>
              <w:bottom w:val="single" w:sz="4" w:space="0" w:color="auto"/>
            </w:tcBorders>
          </w:tcPr>
          <w:p w14:paraId="461664B8" w14:textId="77777777" w:rsidR="00F32ED1" w:rsidRPr="00D74FA6" w:rsidRDefault="00F32ED1" w:rsidP="00A968F0">
            <w:pPr>
              <w:pStyle w:val="TableHeading"/>
              <w:rPr>
                <w:rStyle w:val="Strong"/>
                <w:rFonts w:ascii="Calibri" w:hAnsi="Calibri"/>
                <w:bCs w:val="0"/>
                <w:sz w:val="22"/>
                <w:szCs w:val="18"/>
              </w:rPr>
            </w:pPr>
            <w:bookmarkStart w:id="252" w:name="Title_11"/>
            <w:bookmarkEnd w:id="250"/>
            <w:bookmarkEnd w:id="251"/>
            <w:bookmarkEnd w:id="252"/>
            <w:r w:rsidRPr="00D74FA6">
              <w:rPr>
                <w:rStyle w:val="Strong"/>
                <w:b/>
                <w:bCs w:val="0"/>
              </w:rPr>
              <w:t>Date of CRIS change</w:t>
            </w:r>
          </w:p>
        </w:tc>
        <w:tc>
          <w:tcPr>
            <w:tcW w:w="1157" w:type="pct"/>
            <w:tcBorders>
              <w:top w:val="single" w:sz="4" w:space="0" w:color="auto"/>
              <w:bottom w:val="single" w:sz="4" w:space="0" w:color="auto"/>
            </w:tcBorders>
          </w:tcPr>
          <w:p w14:paraId="6422D06A" w14:textId="77777777" w:rsidR="00F32ED1" w:rsidRPr="00D74FA6" w:rsidRDefault="00F32ED1" w:rsidP="00A968F0">
            <w:pPr>
              <w:pStyle w:val="TableHeading"/>
              <w:rPr>
                <w:rStyle w:val="Strong"/>
                <w:bCs w:val="0"/>
              </w:rPr>
            </w:pPr>
            <w:r w:rsidRPr="00D74FA6">
              <w:rPr>
                <w:rStyle w:val="Strong"/>
                <w:b/>
                <w:bCs w:val="0"/>
              </w:rPr>
              <w:t>CRIS change</w:t>
            </w:r>
          </w:p>
        </w:tc>
        <w:tc>
          <w:tcPr>
            <w:tcW w:w="1156" w:type="pct"/>
            <w:tcBorders>
              <w:top w:val="single" w:sz="4" w:space="0" w:color="auto"/>
              <w:bottom w:val="single" w:sz="4" w:space="0" w:color="auto"/>
            </w:tcBorders>
          </w:tcPr>
          <w:p w14:paraId="26A27017" w14:textId="77777777" w:rsidR="00F32ED1" w:rsidRPr="00D74FA6" w:rsidRDefault="00F32ED1" w:rsidP="00A968F0">
            <w:pPr>
              <w:pStyle w:val="TableHeading"/>
              <w:rPr>
                <w:rStyle w:val="Strong"/>
                <w:bCs w:val="0"/>
              </w:rPr>
            </w:pPr>
            <w:r w:rsidRPr="00D74FA6">
              <w:rPr>
                <w:rStyle w:val="Strong"/>
                <w:b/>
                <w:bCs w:val="0"/>
              </w:rPr>
              <w:t>Approver</w:t>
            </w:r>
          </w:p>
        </w:tc>
        <w:tc>
          <w:tcPr>
            <w:tcW w:w="1526" w:type="pct"/>
            <w:tcBorders>
              <w:top w:val="single" w:sz="4" w:space="0" w:color="auto"/>
              <w:bottom w:val="single" w:sz="4" w:space="0" w:color="auto"/>
            </w:tcBorders>
          </w:tcPr>
          <w:p w14:paraId="40B2E651" w14:textId="77777777" w:rsidR="00F32ED1" w:rsidRPr="00D74FA6" w:rsidRDefault="00F32ED1" w:rsidP="00A968F0">
            <w:pPr>
              <w:pStyle w:val="TableHeading"/>
              <w:rPr>
                <w:rStyle w:val="Strong"/>
                <w:bCs w:val="0"/>
              </w:rPr>
            </w:pPr>
            <w:r w:rsidRPr="00D74FA6">
              <w:rPr>
                <w:rStyle w:val="Strong"/>
                <w:b/>
                <w:bCs w:val="0"/>
              </w:rPr>
              <w:t>Basis for change</w:t>
            </w:r>
          </w:p>
        </w:tc>
      </w:tr>
      <w:tr w:rsidR="00F32ED1" w:rsidRPr="00DD0541" w14:paraId="64851C06" w14:textId="77777777" w:rsidTr="00A4372E">
        <w:tc>
          <w:tcPr>
            <w:tcW w:w="1161" w:type="pct"/>
            <w:tcBorders>
              <w:top w:val="single" w:sz="4" w:space="0" w:color="auto"/>
              <w:bottom w:val="single" w:sz="4" w:space="0" w:color="auto"/>
            </w:tcBorders>
          </w:tcPr>
          <w:p w14:paraId="218AB20F" w14:textId="77777777" w:rsidR="00F32ED1" w:rsidRPr="00DD0541" w:rsidRDefault="00F32ED1" w:rsidP="00215FD7">
            <w:pPr>
              <w:pStyle w:val="TableText"/>
            </w:pPr>
            <w:r w:rsidRPr="00DD0541">
              <w:t>December 2015</w:t>
            </w:r>
          </w:p>
        </w:tc>
        <w:tc>
          <w:tcPr>
            <w:tcW w:w="1157" w:type="pct"/>
            <w:tcBorders>
              <w:top w:val="single" w:sz="4" w:space="0" w:color="auto"/>
              <w:bottom w:val="single" w:sz="4" w:space="0" w:color="auto"/>
            </w:tcBorders>
          </w:tcPr>
          <w:p w14:paraId="60DDBD5E" w14:textId="77777777" w:rsidR="00F32ED1" w:rsidRPr="00DD0541" w:rsidRDefault="00F32ED1" w:rsidP="00215FD7">
            <w:pPr>
              <w:pStyle w:val="TableText"/>
            </w:pPr>
            <w:r w:rsidRPr="00DD0541">
              <w:t>Certification of the CRIS</w:t>
            </w:r>
          </w:p>
        </w:tc>
        <w:tc>
          <w:tcPr>
            <w:tcW w:w="1156" w:type="pct"/>
            <w:tcBorders>
              <w:top w:val="single" w:sz="4" w:space="0" w:color="auto"/>
              <w:bottom w:val="single" w:sz="4" w:space="0" w:color="auto"/>
            </w:tcBorders>
          </w:tcPr>
          <w:p w14:paraId="35B6A9C6" w14:textId="77777777" w:rsidR="00F32ED1" w:rsidRPr="00DD0541" w:rsidRDefault="00F32ED1" w:rsidP="00215FD7">
            <w:pPr>
              <w:pStyle w:val="TableText"/>
            </w:pPr>
            <w:r w:rsidRPr="00DD0541">
              <w:t>Secretary, DAWR</w:t>
            </w:r>
          </w:p>
        </w:tc>
        <w:tc>
          <w:tcPr>
            <w:tcW w:w="1526" w:type="pct"/>
            <w:tcBorders>
              <w:top w:val="single" w:sz="4" w:space="0" w:color="auto"/>
              <w:bottom w:val="single" w:sz="4" w:space="0" w:color="auto"/>
            </w:tcBorders>
          </w:tcPr>
          <w:p w14:paraId="3B9BD69D" w14:textId="12F83C5A" w:rsidR="00F32ED1" w:rsidRPr="00DD0541" w:rsidRDefault="00F32ED1" w:rsidP="00215FD7">
            <w:pPr>
              <w:pStyle w:val="TableText"/>
            </w:pPr>
            <w:r w:rsidRPr="00DD0541">
              <w:t>Changes in costs of resources and assumptions</w:t>
            </w:r>
            <w:r w:rsidR="00C659A1">
              <w:t>.</w:t>
            </w:r>
          </w:p>
        </w:tc>
      </w:tr>
      <w:tr w:rsidR="00F32ED1" w:rsidRPr="00DD0541" w14:paraId="4C581BEF" w14:textId="77777777" w:rsidTr="00A4372E">
        <w:tc>
          <w:tcPr>
            <w:tcW w:w="1161" w:type="pct"/>
            <w:tcBorders>
              <w:top w:val="single" w:sz="4" w:space="0" w:color="auto"/>
              <w:bottom w:val="single" w:sz="4" w:space="0" w:color="auto"/>
            </w:tcBorders>
          </w:tcPr>
          <w:p w14:paraId="61910DF6" w14:textId="77777777" w:rsidR="00F32ED1" w:rsidRPr="00C03333" w:rsidRDefault="00F32ED1" w:rsidP="00C03333">
            <w:pPr>
              <w:pStyle w:val="TableText"/>
            </w:pPr>
            <w:r w:rsidRPr="00C03333">
              <w:t>December 2015</w:t>
            </w:r>
          </w:p>
        </w:tc>
        <w:tc>
          <w:tcPr>
            <w:tcW w:w="1157" w:type="pct"/>
            <w:tcBorders>
              <w:top w:val="single" w:sz="4" w:space="0" w:color="auto"/>
              <w:bottom w:val="single" w:sz="4" w:space="0" w:color="auto"/>
            </w:tcBorders>
          </w:tcPr>
          <w:p w14:paraId="14D172E8" w14:textId="77777777" w:rsidR="00F32ED1" w:rsidRPr="00DD0541" w:rsidRDefault="00F32ED1" w:rsidP="00215FD7">
            <w:pPr>
              <w:pStyle w:val="TableText"/>
            </w:pPr>
            <w:r w:rsidRPr="00DD0541">
              <w:t>Agreement to the CRIS</w:t>
            </w:r>
          </w:p>
        </w:tc>
        <w:tc>
          <w:tcPr>
            <w:tcW w:w="1156" w:type="pct"/>
            <w:tcBorders>
              <w:top w:val="single" w:sz="4" w:space="0" w:color="auto"/>
              <w:bottom w:val="single" w:sz="4" w:space="0" w:color="auto"/>
            </w:tcBorders>
          </w:tcPr>
          <w:p w14:paraId="4231EE45" w14:textId="77777777" w:rsidR="00F32ED1" w:rsidRPr="00DD0541" w:rsidRDefault="00F32ED1" w:rsidP="00215FD7">
            <w:pPr>
              <w:pStyle w:val="TableText"/>
            </w:pPr>
            <w:r w:rsidRPr="00DD0541">
              <w:t>Minister for Agriculture and Water Resources</w:t>
            </w:r>
          </w:p>
        </w:tc>
        <w:tc>
          <w:tcPr>
            <w:tcW w:w="1526" w:type="pct"/>
            <w:tcBorders>
              <w:top w:val="single" w:sz="4" w:space="0" w:color="auto"/>
              <w:bottom w:val="single" w:sz="4" w:space="0" w:color="auto"/>
            </w:tcBorders>
          </w:tcPr>
          <w:p w14:paraId="108EAB8E" w14:textId="4AA0EF69" w:rsidR="00F32ED1" w:rsidRPr="00DD0541" w:rsidRDefault="00F32ED1" w:rsidP="00215FD7">
            <w:pPr>
              <w:pStyle w:val="TableText"/>
            </w:pPr>
            <w:r w:rsidRPr="00DD0541">
              <w:t>High risk rating for the regulatory charging activities</w:t>
            </w:r>
            <w:r w:rsidR="00C659A1">
              <w:t>.</w:t>
            </w:r>
          </w:p>
        </w:tc>
      </w:tr>
      <w:tr w:rsidR="00F32ED1" w:rsidRPr="00DD0541" w14:paraId="0B89F814" w14:textId="77777777" w:rsidTr="00A4372E">
        <w:tc>
          <w:tcPr>
            <w:tcW w:w="1161" w:type="pct"/>
            <w:tcBorders>
              <w:top w:val="single" w:sz="4" w:space="0" w:color="auto"/>
              <w:bottom w:val="single" w:sz="4" w:space="0" w:color="auto"/>
            </w:tcBorders>
          </w:tcPr>
          <w:p w14:paraId="6B348640" w14:textId="77777777" w:rsidR="00F32ED1" w:rsidRPr="00C03333" w:rsidRDefault="00F32ED1" w:rsidP="00C03333">
            <w:pPr>
              <w:pStyle w:val="TableText"/>
            </w:pPr>
            <w:r w:rsidRPr="00C03333">
              <w:t>December 2015</w:t>
            </w:r>
          </w:p>
          <w:p w14:paraId="590F2AB4" w14:textId="4988C42F" w:rsidR="00F32ED1" w:rsidRPr="00C03333" w:rsidRDefault="00F32ED1" w:rsidP="00C03333">
            <w:pPr>
              <w:pStyle w:val="TableText"/>
            </w:pPr>
            <w:r w:rsidRPr="000634CA">
              <w:t>CRIS: Biosecurity 2015</w:t>
            </w:r>
            <w:r w:rsidR="00F66B0D" w:rsidRPr="000634CA">
              <w:t>–</w:t>
            </w:r>
            <w:r w:rsidRPr="000634CA">
              <w:t>16</w:t>
            </w:r>
          </w:p>
        </w:tc>
        <w:tc>
          <w:tcPr>
            <w:tcW w:w="1157" w:type="pct"/>
            <w:tcBorders>
              <w:top w:val="single" w:sz="4" w:space="0" w:color="auto"/>
              <w:bottom w:val="single" w:sz="4" w:space="0" w:color="auto"/>
            </w:tcBorders>
          </w:tcPr>
          <w:p w14:paraId="35E61322" w14:textId="77777777" w:rsidR="00F32ED1" w:rsidRPr="00DD0541" w:rsidRDefault="00F32ED1" w:rsidP="00215FD7">
            <w:pPr>
              <w:pStyle w:val="TableText"/>
            </w:pPr>
            <w:r w:rsidRPr="00DD0541">
              <w:t>Approval for the CRIS release</w:t>
            </w:r>
          </w:p>
        </w:tc>
        <w:tc>
          <w:tcPr>
            <w:tcW w:w="1156" w:type="pct"/>
            <w:tcBorders>
              <w:top w:val="single" w:sz="4" w:space="0" w:color="auto"/>
              <w:bottom w:val="single" w:sz="4" w:space="0" w:color="auto"/>
            </w:tcBorders>
          </w:tcPr>
          <w:p w14:paraId="5678CDBA" w14:textId="77777777" w:rsidR="00F32ED1" w:rsidRPr="00DD0541" w:rsidRDefault="00F32ED1" w:rsidP="00215FD7">
            <w:pPr>
              <w:pStyle w:val="TableText"/>
            </w:pPr>
            <w:r w:rsidRPr="00DD0541">
              <w:t>Minister for Finance</w:t>
            </w:r>
          </w:p>
        </w:tc>
        <w:tc>
          <w:tcPr>
            <w:tcW w:w="1526" w:type="pct"/>
            <w:tcBorders>
              <w:top w:val="single" w:sz="4" w:space="0" w:color="auto"/>
              <w:bottom w:val="single" w:sz="4" w:space="0" w:color="auto"/>
            </w:tcBorders>
          </w:tcPr>
          <w:p w14:paraId="73793242" w14:textId="4C79B1B0" w:rsidR="00F32ED1" w:rsidRPr="00DD0541" w:rsidRDefault="00F32ED1" w:rsidP="00215FD7">
            <w:pPr>
              <w:pStyle w:val="TableText"/>
            </w:pPr>
            <w:r w:rsidRPr="00DD0541">
              <w:t>Changes in costs of resources and assumptions</w:t>
            </w:r>
            <w:r w:rsidR="00C659A1">
              <w:t>.</w:t>
            </w:r>
          </w:p>
        </w:tc>
      </w:tr>
      <w:tr w:rsidR="00F32ED1" w:rsidRPr="00DD0541" w14:paraId="5201C431" w14:textId="77777777" w:rsidTr="00A4372E">
        <w:tc>
          <w:tcPr>
            <w:tcW w:w="1161" w:type="pct"/>
            <w:tcBorders>
              <w:top w:val="single" w:sz="4" w:space="0" w:color="auto"/>
              <w:bottom w:val="single" w:sz="4" w:space="0" w:color="auto"/>
            </w:tcBorders>
          </w:tcPr>
          <w:p w14:paraId="46FED289" w14:textId="77777777" w:rsidR="00F32ED1" w:rsidRPr="00C03333" w:rsidRDefault="00F32ED1" w:rsidP="00C03333">
            <w:pPr>
              <w:pStyle w:val="TableText"/>
            </w:pPr>
            <w:r w:rsidRPr="00C03333">
              <w:t>December 2019</w:t>
            </w:r>
          </w:p>
        </w:tc>
        <w:tc>
          <w:tcPr>
            <w:tcW w:w="1157" w:type="pct"/>
            <w:tcBorders>
              <w:top w:val="single" w:sz="4" w:space="0" w:color="auto"/>
              <w:bottom w:val="single" w:sz="4" w:space="0" w:color="auto"/>
            </w:tcBorders>
          </w:tcPr>
          <w:p w14:paraId="38DF9F3F" w14:textId="77777777" w:rsidR="00F32ED1" w:rsidRPr="00DD0541" w:rsidRDefault="00F32ED1" w:rsidP="00215FD7">
            <w:pPr>
              <w:pStyle w:val="TableText"/>
            </w:pPr>
            <w:r w:rsidRPr="00DD0541">
              <w:t>Certification of the CRIS</w:t>
            </w:r>
          </w:p>
        </w:tc>
        <w:tc>
          <w:tcPr>
            <w:tcW w:w="1156" w:type="pct"/>
            <w:tcBorders>
              <w:top w:val="single" w:sz="4" w:space="0" w:color="auto"/>
              <w:bottom w:val="single" w:sz="4" w:space="0" w:color="auto"/>
            </w:tcBorders>
          </w:tcPr>
          <w:p w14:paraId="75ED06AE" w14:textId="77777777" w:rsidR="00F32ED1" w:rsidRPr="00DD0541" w:rsidRDefault="00F32ED1" w:rsidP="00215FD7">
            <w:pPr>
              <w:pStyle w:val="TableText"/>
            </w:pPr>
            <w:r w:rsidRPr="00DD0541">
              <w:t>Secretary, DAWR</w:t>
            </w:r>
          </w:p>
        </w:tc>
        <w:tc>
          <w:tcPr>
            <w:tcW w:w="1526" w:type="pct"/>
            <w:tcBorders>
              <w:top w:val="single" w:sz="4" w:space="0" w:color="auto"/>
              <w:bottom w:val="single" w:sz="4" w:space="0" w:color="auto"/>
            </w:tcBorders>
          </w:tcPr>
          <w:p w14:paraId="21263667" w14:textId="1B35C1D6" w:rsidR="00F32ED1" w:rsidRPr="00DD0541" w:rsidRDefault="00F32ED1" w:rsidP="00215FD7">
            <w:pPr>
              <w:pStyle w:val="TableText"/>
            </w:pPr>
            <w:r w:rsidRPr="00DD0541">
              <w:t>New regulatory charging activity</w:t>
            </w:r>
            <w:r w:rsidR="00C659A1">
              <w:t>.</w:t>
            </w:r>
          </w:p>
        </w:tc>
      </w:tr>
      <w:tr w:rsidR="00F32ED1" w:rsidRPr="00DD0541" w14:paraId="7542F58D" w14:textId="77777777" w:rsidTr="00A4372E">
        <w:tc>
          <w:tcPr>
            <w:tcW w:w="1161" w:type="pct"/>
            <w:tcBorders>
              <w:top w:val="single" w:sz="4" w:space="0" w:color="auto"/>
              <w:bottom w:val="single" w:sz="4" w:space="0" w:color="auto"/>
            </w:tcBorders>
          </w:tcPr>
          <w:p w14:paraId="28D05D2D" w14:textId="77777777" w:rsidR="00F32ED1" w:rsidRPr="00C03333" w:rsidRDefault="00F32ED1" w:rsidP="00C03333">
            <w:pPr>
              <w:pStyle w:val="TableText"/>
            </w:pPr>
            <w:r w:rsidRPr="00C03333">
              <w:t>December 2019</w:t>
            </w:r>
          </w:p>
        </w:tc>
        <w:tc>
          <w:tcPr>
            <w:tcW w:w="1157" w:type="pct"/>
            <w:tcBorders>
              <w:top w:val="single" w:sz="4" w:space="0" w:color="auto"/>
              <w:bottom w:val="single" w:sz="4" w:space="0" w:color="auto"/>
            </w:tcBorders>
          </w:tcPr>
          <w:p w14:paraId="18C5B0FF" w14:textId="0D3782D0" w:rsidR="00F32ED1" w:rsidRPr="00DD0541" w:rsidRDefault="00F32ED1" w:rsidP="00215FD7">
            <w:pPr>
              <w:pStyle w:val="TableText"/>
            </w:pPr>
            <w:r w:rsidRPr="00DD0541">
              <w:t>Agreement to the CRIS</w:t>
            </w:r>
          </w:p>
        </w:tc>
        <w:tc>
          <w:tcPr>
            <w:tcW w:w="1156" w:type="pct"/>
            <w:tcBorders>
              <w:top w:val="single" w:sz="4" w:space="0" w:color="auto"/>
              <w:bottom w:val="single" w:sz="4" w:space="0" w:color="auto"/>
            </w:tcBorders>
          </w:tcPr>
          <w:p w14:paraId="7323F0E3" w14:textId="77777777" w:rsidR="00F32ED1" w:rsidRPr="00DD0541" w:rsidRDefault="00F32ED1" w:rsidP="00215FD7">
            <w:pPr>
              <w:pStyle w:val="TableText"/>
            </w:pPr>
            <w:r w:rsidRPr="00DD0541">
              <w:t>Minister for Agriculture, Drought and Emergency Management</w:t>
            </w:r>
          </w:p>
        </w:tc>
        <w:tc>
          <w:tcPr>
            <w:tcW w:w="1526" w:type="pct"/>
            <w:tcBorders>
              <w:top w:val="single" w:sz="4" w:space="0" w:color="auto"/>
              <w:bottom w:val="single" w:sz="4" w:space="0" w:color="auto"/>
            </w:tcBorders>
          </w:tcPr>
          <w:p w14:paraId="44DD34E4" w14:textId="354E6CF2" w:rsidR="00F32ED1" w:rsidRPr="00DD0541" w:rsidRDefault="00F32ED1" w:rsidP="00215FD7">
            <w:pPr>
              <w:pStyle w:val="TableText"/>
            </w:pPr>
            <w:r w:rsidRPr="00DD0541">
              <w:t>High risk rating for the regulatory charging activities</w:t>
            </w:r>
            <w:r w:rsidR="00C659A1">
              <w:t>.</w:t>
            </w:r>
          </w:p>
        </w:tc>
      </w:tr>
      <w:tr w:rsidR="00F32ED1" w:rsidRPr="00DD0541" w14:paraId="60707A3F" w14:textId="77777777" w:rsidTr="00A4372E">
        <w:tc>
          <w:tcPr>
            <w:tcW w:w="1161" w:type="pct"/>
            <w:tcBorders>
              <w:top w:val="single" w:sz="4" w:space="0" w:color="auto"/>
              <w:bottom w:val="single" w:sz="4" w:space="0" w:color="auto"/>
            </w:tcBorders>
          </w:tcPr>
          <w:p w14:paraId="24D3238D" w14:textId="77777777" w:rsidR="00F32ED1" w:rsidRPr="00C03333" w:rsidRDefault="00F32ED1" w:rsidP="00C03333">
            <w:pPr>
              <w:pStyle w:val="TableText"/>
            </w:pPr>
            <w:r w:rsidRPr="00C03333">
              <w:t>December 2019</w:t>
            </w:r>
          </w:p>
          <w:p w14:paraId="53079F7B" w14:textId="76942855" w:rsidR="00F32ED1" w:rsidRPr="00C03333" w:rsidRDefault="00F32ED1" w:rsidP="00C03333">
            <w:pPr>
              <w:pStyle w:val="TableText"/>
            </w:pPr>
            <w:r w:rsidRPr="000634CA">
              <w:t>CRIS: Biosecurity 2019</w:t>
            </w:r>
            <w:r w:rsidR="00F66B0D" w:rsidRPr="000634CA">
              <w:t>–</w:t>
            </w:r>
            <w:r w:rsidRPr="000634CA">
              <w:t>20</w:t>
            </w:r>
          </w:p>
        </w:tc>
        <w:tc>
          <w:tcPr>
            <w:tcW w:w="1157" w:type="pct"/>
            <w:tcBorders>
              <w:top w:val="single" w:sz="4" w:space="0" w:color="auto"/>
              <w:bottom w:val="single" w:sz="4" w:space="0" w:color="auto"/>
            </w:tcBorders>
          </w:tcPr>
          <w:p w14:paraId="667E018E" w14:textId="77777777" w:rsidR="00F32ED1" w:rsidRPr="00DD0541" w:rsidRDefault="00F32ED1" w:rsidP="00215FD7">
            <w:pPr>
              <w:pStyle w:val="TableText"/>
            </w:pPr>
            <w:r w:rsidRPr="00DD0541">
              <w:t>Approval for the CRIS release</w:t>
            </w:r>
          </w:p>
        </w:tc>
        <w:tc>
          <w:tcPr>
            <w:tcW w:w="1156" w:type="pct"/>
            <w:tcBorders>
              <w:top w:val="single" w:sz="4" w:space="0" w:color="auto"/>
              <w:bottom w:val="single" w:sz="4" w:space="0" w:color="auto"/>
            </w:tcBorders>
          </w:tcPr>
          <w:p w14:paraId="0B0E968E" w14:textId="77777777" w:rsidR="00F32ED1" w:rsidRPr="00DD0541" w:rsidRDefault="00F32ED1" w:rsidP="00215FD7">
            <w:pPr>
              <w:pStyle w:val="TableText"/>
            </w:pPr>
            <w:r w:rsidRPr="00DD0541">
              <w:t>Minister for Finance</w:t>
            </w:r>
          </w:p>
        </w:tc>
        <w:tc>
          <w:tcPr>
            <w:tcW w:w="1526" w:type="pct"/>
            <w:tcBorders>
              <w:top w:val="single" w:sz="4" w:space="0" w:color="auto"/>
              <w:bottom w:val="single" w:sz="4" w:space="0" w:color="auto"/>
            </w:tcBorders>
          </w:tcPr>
          <w:p w14:paraId="49B283A0" w14:textId="78307A82" w:rsidR="00F32ED1" w:rsidRPr="00DD0541" w:rsidRDefault="00F32ED1" w:rsidP="00215FD7">
            <w:pPr>
              <w:pStyle w:val="TableText"/>
            </w:pPr>
            <w:r w:rsidRPr="00DD0541">
              <w:t>New regulatory charging activity</w:t>
            </w:r>
            <w:r w:rsidR="00C659A1">
              <w:t>.</w:t>
            </w:r>
          </w:p>
        </w:tc>
      </w:tr>
      <w:tr w:rsidR="00F32ED1" w:rsidRPr="00DD0541" w14:paraId="505BB096" w14:textId="77777777" w:rsidTr="00A4372E">
        <w:tc>
          <w:tcPr>
            <w:tcW w:w="1161" w:type="pct"/>
            <w:tcBorders>
              <w:top w:val="single" w:sz="4" w:space="0" w:color="auto"/>
              <w:bottom w:val="single" w:sz="4" w:space="0" w:color="auto"/>
            </w:tcBorders>
          </w:tcPr>
          <w:p w14:paraId="560EBD05" w14:textId="77777777" w:rsidR="00F32ED1" w:rsidRPr="00C03333" w:rsidRDefault="00F32ED1" w:rsidP="00C03333">
            <w:pPr>
              <w:pStyle w:val="TableText"/>
            </w:pPr>
            <w:r w:rsidRPr="00C03333">
              <w:t>February 2024</w:t>
            </w:r>
          </w:p>
        </w:tc>
        <w:tc>
          <w:tcPr>
            <w:tcW w:w="1157" w:type="pct"/>
            <w:tcBorders>
              <w:top w:val="single" w:sz="4" w:space="0" w:color="auto"/>
              <w:bottom w:val="single" w:sz="4" w:space="0" w:color="auto"/>
            </w:tcBorders>
          </w:tcPr>
          <w:p w14:paraId="0E764582" w14:textId="77777777" w:rsidR="00F32ED1" w:rsidRPr="00DD0541" w:rsidRDefault="00F32ED1" w:rsidP="00215FD7">
            <w:pPr>
              <w:pStyle w:val="TableText"/>
            </w:pPr>
            <w:r w:rsidRPr="00DD0541">
              <w:t>Certification of the CRIS</w:t>
            </w:r>
          </w:p>
        </w:tc>
        <w:tc>
          <w:tcPr>
            <w:tcW w:w="1156" w:type="pct"/>
            <w:tcBorders>
              <w:top w:val="single" w:sz="4" w:space="0" w:color="auto"/>
              <w:bottom w:val="single" w:sz="4" w:space="0" w:color="auto"/>
            </w:tcBorders>
          </w:tcPr>
          <w:p w14:paraId="6A5533C9" w14:textId="77777777" w:rsidR="00F32ED1" w:rsidRPr="00DD0541" w:rsidRDefault="00F32ED1" w:rsidP="00215FD7">
            <w:pPr>
              <w:pStyle w:val="TableText"/>
            </w:pPr>
            <w:r w:rsidRPr="00DD0541">
              <w:t>Secretary, DAWE</w:t>
            </w:r>
          </w:p>
        </w:tc>
        <w:tc>
          <w:tcPr>
            <w:tcW w:w="1526" w:type="pct"/>
            <w:tcBorders>
              <w:top w:val="single" w:sz="4" w:space="0" w:color="auto"/>
              <w:bottom w:val="single" w:sz="4" w:space="0" w:color="auto"/>
            </w:tcBorders>
          </w:tcPr>
          <w:p w14:paraId="61B0A2A0" w14:textId="6E8F3AF8" w:rsidR="00F32ED1" w:rsidRPr="00DD0541" w:rsidRDefault="00F32ED1" w:rsidP="00215FD7">
            <w:pPr>
              <w:pStyle w:val="TableText"/>
            </w:pPr>
            <w:r w:rsidRPr="00DD0541">
              <w:t>Update for financial and non-financial reporting</w:t>
            </w:r>
            <w:r w:rsidR="00C659A1">
              <w:t>.</w:t>
            </w:r>
          </w:p>
        </w:tc>
      </w:tr>
      <w:tr w:rsidR="00F32ED1" w:rsidRPr="00DD0541" w14:paraId="0B4EBA84" w14:textId="77777777" w:rsidTr="00A4372E">
        <w:tc>
          <w:tcPr>
            <w:tcW w:w="1161" w:type="pct"/>
            <w:tcBorders>
              <w:top w:val="single" w:sz="4" w:space="0" w:color="auto"/>
              <w:bottom w:val="single" w:sz="4" w:space="0" w:color="auto"/>
            </w:tcBorders>
          </w:tcPr>
          <w:p w14:paraId="689249E0" w14:textId="77777777" w:rsidR="00F32ED1" w:rsidRPr="00C03333" w:rsidRDefault="00F32ED1" w:rsidP="00C03333">
            <w:pPr>
              <w:pStyle w:val="TableText"/>
            </w:pPr>
            <w:r w:rsidRPr="00C03333">
              <w:t>March 2022</w:t>
            </w:r>
          </w:p>
          <w:p w14:paraId="4F28F8FB" w14:textId="18EB8D09" w:rsidR="00F32ED1" w:rsidRPr="00C03333" w:rsidRDefault="00F32ED1" w:rsidP="00C03333">
            <w:pPr>
              <w:pStyle w:val="TableText"/>
            </w:pPr>
            <w:r w:rsidRPr="000634CA">
              <w:t>CRIS: Biosecurity 2021</w:t>
            </w:r>
            <w:r w:rsidR="00F66B0D" w:rsidRPr="000634CA">
              <w:t>–</w:t>
            </w:r>
            <w:r w:rsidRPr="000634CA">
              <w:t>22</w:t>
            </w:r>
          </w:p>
        </w:tc>
        <w:tc>
          <w:tcPr>
            <w:tcW w:w="1157" w:type="pct"/>
            <w:tcBorders>
              <w:top w:val="single" w:sz="4" w:space="0" w:color="auto"/>
              <w:bottom w:val="single" w:sz="4" w:space="0" w:color="auto"/>
            </w:tcBorders>
          </w:tcPr>
          <w:p w14:paraId="71E49085" w14:textId="77777777" w:rsidR="00F32ED1" w:rsidRPr="00DD0541" w:rsidRDefault="00F32ED1" w:rsidP="00215FD7">
            <w:pPr>
              <w:pStyle w:val="TableText"/>
            </w:pPr>
            <w:r w:rsidRPr="00DD0541">
              <w:t>Approval for the CRIS release</w:t>
            </w:r>
          </w:p>
        </w:tc>
        <w:tc>
          <w:tcPr>
            <w:tcW w:w="1156" w:type="pct"/>
            <w:tcBorders>
              <w:top w:val="single" w:sz="4" w:space="0" w:color="auto"/>
              <w:bottom w:val="single" w:sz="4" w:space="0" w:color="auto"/>
            </w:tcBorders>
          </w:tcPr>
          <w:p w14:paraId="68892843" w14:textId="77777777" w:rsidR="00F32ED1" w:rsidRPr="00DD0541" w:rsidRDefault="00F32ED1" w:rsidP="00215FD7">
            <w:pPr>
              <w:pStyle w:val="TableText"/>
            </w:pPr>
            <w:r w:rsidRPr="00DD0541">
              <w:t>Minister for Agriculture and Northern Australia</w:t>
            </w:r>
          </w:p>
        </w:tc>
        <w:tc>
          <w:tcPr>
            <w:tcW w:w="1526" w:type="pct"/>
            <w:tcBorders>
              <w:top w:val="single" w:sz="4" w:space="0" w:color="auto"/>
              <w:bottom w:val="single" w:sz="4" w:space="0" w:color="auto"/>
            </w:tcBorders>
          </w:tcPr>
          <w:p w14:paraId="70DA8C8C" w14:textId="18BC47BB" w:rsidR="00F32ED1" w:rsidRPr="00DD0541" w:rsidRDefault="00F32ED1" w:rsidP="00215FD7">
            <w:pPr>
              <w:pStyle w:val="TableText"/>
            </w:pPr>
            <w:r w:rsidRPr="00DD0541">
              <w:t>Medium risk rating for the regulatory charging activities</w:t>
            </w:r>
            <w:r w:rsidR="00C659A1">
              <w:t>.</w:t>
            </w:r>
          </w:p>
        </w:tc>
      </w:tr>
      <w:tr w:rsidR="006A20B7" w:rsidRPr="00DD0541" w14:paraId="6801C960" w14:textId="77777777" w:rsidTr="00A4372E">
        <w:tc>
          <w:tcPr>
            <w:tcW w:w="1161" w:type="pct"/>
            <w:tcBorders>
              <w:top w:val="single" w:sz="4" w:space="0" w:color="auto"/>
              <w:bottom w:val="single" w:sz="4" w:space="0" w:color="auto"/>
            </w:tcBorders>
          </w:tcPr>
          <w:p w14:paraId="46CEA381" w14:textId="733F29A2" w:rsidR="006A20B7" w:rsidRPr="00C03333" w:rsidRDefault="006A20B7" w:rsidP="00C03333">
            <w:pPr>
              <w:pStyle w:val="TableText"/>
            </w:pPr>
            <w:r w:rsidRPr="00C03333">
              <w:t>September 2022</w:t>
            </w:r>
          </w:p>
        </w:tc>
        <w:tc>
          <w:tcPr>
            <w:tcW w:w="1157" w:type="pct"/>
            <w:tcBorders>
              <w:top w:val="single" w:sz="4" w:space="0" w:color="auto"/>
              <w:bottom w:val="single" w:sz="4" w:space="0" w:color="auto"/>
            </w:tcBorders>
          </w:tcPr>
          <w:p w14:paraId="00635AEB" w14:textId="592D13DA" w:rsidR="006A20B7" w:rsidRPr="00DD0541" w:rsidRDefault="006A20B7" w:rsidP="006A20B7">
            <w:pPr>
              <w:pStyle w:val="TableText"/>
            </w:pPr>
            <w:r w:rsidRPr="00DD0541">
              <w:t>Certification of the CRIS</w:t>
            </w:r>
          </w:p>
        </w:tc>
        <w:tc>
          <w:tcPr>
            <w:tcW w:w="1156" w:type="pct"/>
            <w:tcBorders>
              <w:top w:val="single" w:sz="4" w:space="0" w:color="auto"/>
              <w:bottom w:val="single" w:sz="4" w:space="0" w:color="auto"/>
            </w:tcBorders>
          </w:tcPr>
          <w:p w14:paraId="7EA38EAF" w14:textId="315F7088" w:rsidR="006A20B7" w:rsidRPr="00DD0541" w:rsidRDefault="006A20B7" w:rsidP="006A20B7">
            <w:pPr>
              <w:pStyle w:val="TableText"/>
            </w:pPr>
            <w:r w:rsidRPr="00DD0541">
              <w:t>Secretary, DAFF</w:t>
            </w:r>
          </w:p>
        </w:tc>
        <w:tc>
          <w:tcPr>
            <w:tcW w:w="1526" w:type="pct"/>
            <w:tcBorders>
              <w:top w:val="single" w:sz="4" w:space="0" w:color="auto"/>
              <w:bottom w:val="single" w:sz="4" w:space="0" w:color="auto"/>
            </w:tcBorders>
          </w:tcPr>
          <w:p w14:paraId="63A5BAF2" w14:textId="56ACC74B" w:rsidR="006A20B7" w:rsidRPr="00DD0541" w:rsidRDefault="006A20B7" w:rsidP="006A20B7">
            <w:pPr>
              <w:pStyle w:val="TableText"/>
            </w:pPr>
            <w:r w:rsidRPr="00DD0541">
              <w:t>Increase to regulatory charge for Hitchhiker program risks</w:t>
            </w:r>
            <w:r w:rsidR="00C659A1">
              <w:t>.</w:t>
            </w:r>
          </w:p>
        </w:tc>
      </w:tr>
      <w:tr w:rsidR="006A20B7" w:rsidRPr="00DD0541" w14:paraId="796CF5C6" w14:textId="77777777" w:rsidTr="00A4372E">
        <w:tc>
          <w:tcPr>
            <w:tcW w:w="1161" w:type="pct"/>
            <w:tcBorders>
              <w:top w:val="single" w:sz="4" w:space="0" w:color="auto"/>
              <w:bottom w:val="single" w:sz="4" w:space="0" w:color="auto"/>
            </w:tcBorders>
          </w:tcPr>
          <w:p w14:paraId="731FE28C" w14:textId="77777777" w:rsidR="006A20B7" w:rsidRPr="00C03333" w:rsidRDefault="006A20B7" w:rsidP="00C03333">
            <w:pPr>
              <w:pStyle w:val="TableText"/>
            </w:pPr>
            <w:r w:rsidRPr="00C03333">
              <w:t>October 2022</w:t>
            </w:r>
          </w:p>
          <w:p w14:paraId="32D6AE5A" w14:textId="304D1F9A" w:rsidR="006A20B7" w:rsidRPr="00C03333" w:rsidRDefault="006A20B7" w:rsidP="00C03333">
            <w:pPr>
              <w:pStyle w:val="TableText"/>
            </w:pPr>
            <w:r w:rsidRPr="000634CA">
              <w:t>CRIS: Biosecurity (HH) 2022</w:t>
            </w:r>
            <w:r w:rsidR="00F66B0D" w:rsidRPr="000634CA">
              <w:t>–</w:t>
            </w:r>
            <w:r w:rsidRPr="000634CA">
              <w:t>23</w:t>
            </w:r>
          </w:p>
        </w:tc>
        <w:tc>
          <w:tcPr>
            <w:tcW w:w="1157" w:type="pct"/>
            <w:tcBorders>
              <w:top w:val="single" w:sz="4" w:space="0" w:color="auto"/>
              <w:bottom w:val="single" w:sz="4" w:space="0" w:color="auto"/>
            </w:tcBorders>
          </w:tcPr>
          <w:p w14:paraId="70EB705C" w14:textId="0A6F9C76" w:rsidR="006A20B7" w:rsidRPr="00DD0541" w:rsidRDefault="006A20B7" w:rsidP="006A20B7">
            <w:pPr>
              <w:pStyle w:val="TableText"/>
            </w:pPr>
            <w:r w:rsidRPr="00DD0541">
              <w:t>Approval for the CRIS release</w:t>
            </w:r>
          </w:p>
        </w:tc>
        <w:tc>
          <w:tcPr>
            <w:tcW w:w="1156" w:type="pct"/>
            <w:tcBorders>
              <w:top w:val="single" w:sz="4" w:space="0" w:color="auto"/>
              <w:bottom w:val="single" w:sz="4" w:space="0" w:color="auto"/>
            </w:tcBorders>
          </w:tcPr>
          <w:p w14:paraId="13426612" w14:textId="76D21276" w:rsidR="006A20B7" w:rsidRPr="00DD0541" w:rsidRDefault="006A20B7" w:rsidP="006A20B7">
            <w:pPr>
              <w:pStyle w:val="TableText"/>
            </w:pPr>
            <w:r w:rsidRPr="00DD0541">
              <w:t>Minister for Agriculture, Fisheries and Forestry</w:t>
            </w:r>
          </w:p>
        </w:tc>
        <w:tc>
          <w:tcPr>
            <w:tcW w:w="1526" w:type="pct"/>
            <w:tcBorders>
              <w:top w:val="single" w:sz="4" w:space="0" w:color="auto"/>
              <w:bottom w:val="single" w:sz="4" w:space="0" w:color="auto"/>
            </w:tcBorders>
          </w:tcPr>
          <w:p w14:paraId="755282B3" w14:textId="6DF3BFA9" w:rsidR="006A20B7" w:rsidRPr="00DD0541" w:rsidRDefault="006A20B7" w:rsidP="006A20B7">
            <w:pPr>
              <w:pStyle w:val="TableText"/>
            </w:pPr>
            <w:r w:rsidRPr="00DD0541">
              <w:t>Medium risk rating for the regulatory charging activities</w:t>
            </w:r>
            <w:r w:rsidR="00C659A1">
              <w:t>.</w:t>
            </w:r>
          </w:p>
        </w:tc>
      </w:tr>
      <w:tr w:rsidR="006A20B7" w:rsidRPr="00DD0541" w14:paraId="6EF842B1" w14:textId="77777777" w:rsidTr="00A4372E">
        <w:tc>
          <w:tcPr>
            <w:tcW w:w="1161" w:type="pct"/>
            <w:tcBorders>
              <w:top w:val="single" w:sz="4" w:space="0" w:color="auto"/>
              <w:bottom w:val="single" w:sz="4" w:space="0" w:color="auto"/>
            </w:tcBorders>
          </w:tcPr>
          <w:p w14:paraId="4746B8F5" w14:textId="07C4B3E4" w:rsidR="006A20B7" w:rsidRPr="00C03333" w:rsidRDefault="006A20B7" w:rsidP="00C03333">
            <w:pPr>
              <w:pStyle w:val="TableText"/>
            </w:pPr>
            <w:r w:rsidRPr="00C03333">
              <w:t>May 2023</w:t>
            </w:r>
          </w:p>
        </w:tc>
        <w:tc>
          <w:tcPr>
            <w:tcW w:w="1157" w:type="pct"/>
            <w:tcBorders>
              <w:top w:val="single" w:sz="4" w:space="0" w:color="auto"/>
              <w:bottom w:val="single" w:sz="4" w:space="0" w:color="auto"/>
            </w:tcBorders>
          </w:tcPr>
          <w:p w14:paraId="7F32670B" w14:textId="2035E6BB" w:rsidR="006A20B7" w:rsidRPr="00DD0541" w:rsidRDefault="006A20B7" w:rsidP="006A20B7">
            <w:pPr>
              <w:pStyle w:val="TableText"/>
            </w:pPr>
            <w:r w:rsidRPr="00DD0541">
              <w:t>Certification of the CRIS</w:t>
            </w:r>
          </w:p>
        </w:tc>
        <w:tc>
          <w:tcPr>
            <w:tcW w:w="1156" w:type="pct"/>
            <w:tcBorders>
              <w:top w:val="single" w:sz="4" w:space="0" w:color="auto"/>
              <w:bottom w:val="single" w:sz="4" w:space="0" w:color="auto"/>
            </w:tcBorders>
          </w:tcPr>
          <w:p w14:paraId="4BA7FB3E" w14:textId="4EE1508D" w:rsidR="006A20B7" w:rsidRPr="00DD0541" w:rsidRDefault="006A20B7" w:rsidP="006A20B7">
            <w:pPr>
              <w:pStyle w:val="TableText"/>
            </w:pPr>
            <w:r w:rsidRPr="00DD0541">
              <w:t>Secretary, DAFF</w:t>
            </w:r>
          </w:p>
        </w:tc>
        <w:tc>
          <w:tcPr>
            <w:tcW w:w="1526" w:type="pct"/>
            <w:tcBorders>
              <w:top w:val="single" w:sz="4" w:space="0" w:color="auto"/>
              <w:bottom w:val="single" w:sz="4" w:space="0" w:color="auto"/>
            </w:tcBorders>
          </w:tcPr>
          <w:p w14:paraId="065E693F" w14:textId="34DC090A" w:rsidR="006A20B7" w:rsidRPr="00DD0541" w:rsidRDefault="006A20B7" w:rsidP="006A20B7">
            <w:pPr>
              <w:pStyle w:val="TableText"/>
            </w:pPr>
            <w:r w:rsidRPr="00DD0541">
              <w:t>Increase to regulatory charges following a comprehensive review of the cost recovery arrangement, aligning actual costs, effort, risk and prices.</w:t>
            </w:r>
          </w:p>
        </w:tc>
      </w:tr>
      <w:tr w:rsidR="006A20B7" w:rsidRPr="00DD0541" w14:paraId="4302C8D6" w14:textId="77777777" w:rsidTr="00A4372E">
        <w:tc>
          <w:tcPr>
            <w:tcW w:w="1161" w:type="pct"/>
            <w:tcBorders>
              <w:top w:val="single" w:sz="4" w:space="0" w:color="auto"/>
              <w:bottom w:val="single" w:sz="4" w:space="0" w:color="auto"/>
            </w:tcBorders>
          </w:tcPr>
          <w:p w14:paraId="2FCC474E" w14:textId="77777777" w:rsidR="006A20B7" w:rsidRPr="00C03333" w:rsidRDefault="006A20B7" w:rsidP="00C03333">
            <w:pPr>
              <w:pStyle w:val="TableText"/>
            </w:pPr>
            <w:r w:rsidRPr="00C03333">
              <w:t>June 2023</w:t>
            </w:r>
          </w:p>
          <w:p w14:paraId="00277A48" w14:textId="0C5E441C" w:rsidR="006A20B7" w:rsidRPr="00C03333" w:rsidRDefault="006A20B7" w:rsidP="00C03333">
            <w:pPr>
              <w:pStyle w:val="TableText"/>
            </w:pPr>
            <w:r w:rsidRPr="000634CA">
              <w:t>CRIS: Biosecurity 2023</w:t>
            </w:r>
            <w:r w:rsidR="00F66B0D" w:rsidRPr="000634CA">
              <w:t>–</w:t>
            </w:r>
            <w:r w:rsidRPr="000634CA">
              <w:t>24</w:t>
            </w:r>
          </w:p>
        </w:tc>
        <w:tc>
          <w:tcPr>
            <w:tcW w:w="1157" w:type="pct"/>
            <w:tcBorders>
              <w:top w:val="single" w:sz="4" w:space="0" w:color="auto"/>
              <w:bottom w:val="single" w:sz="4" w:space="0" w:color="auto"/>
            </w:tcBorders>
          </w:tcPr>
          <w:p w14:paraId="058AD63B" w14:textId="6714DEDB" w:rsidR="006A20B7" w:rsidRPr="00DD0541" w:rsidRDefault="006A20B7" w:rsidP="006A20B7">
            <w:pPr>
              <w:pStyle w:val="TableText"/>
            </w:pPr>
            <w:r w:rsidRPr="00DD0541">
              <w:t>Approval for the CRIS release</w:t>
            </w:r>
          </w:p>
        </w:tc>
        <w:tc>
          <w:tcPr>
            <w:tcW w:w="1156" w:type="pct"/>
            <w:tcBorders>
              <w:top w:val="single" w:sz="4" w:space="0" w:color="auto"/>
              <w:bottom w:val="single" w:sz="4" w:space="0" w:color="auto"/>
            </w:tcBorders>
          </w:tcPr>
          <w:p w14:paraId="3A494025" w14:textId="26B663E8" w:rsidR="006A20B7" w:rsidRPr="00DD0541" w:rsidRDefault="006A20B7" w:rsidP="006A20B7">
            <w:pPr>
              <w:pStyle w:val="TableText"/>
            </w:pPr>
            <w:r w:rsidRPr="00DD0541">
              <w:t>Minister for Agriculture, Fisheries and Forestry</w:t>
            </w:r>
          </w:p>
        </w:tc>
        <w:tc>
          <w:tcPr>
            <w:tcW w:w="1526" w:type="pct"/>
            <w:tcBorders>
              <w:top w:val="single" w:sz="4" w:space="0" w:color="auto"/>
              <w:bottom w:val="single" w:sz="4" w:space="0" w:color="auto"/>
            </w:tcBorders>
          </w:tcPr>
          <w:p w14:paraId="272EA1D2" w14:textId="40CC3949" w:rsidR="006A20B7" w:rsidRPr="00DD0541" w:rsidRDefault="006A20B7" w:rsidP="006A20B7">
            <w:pPr>
              <w:pStyle w:val="TableText"/>
            </w:pPr>
            <w:r w:rsidRPr="00DD0541">
              <w:t>Medium risk rating for regulatory charging activities requiring portfolio Minister approval only</w:t>
            </w:r>
            <w:r w:rsidR="00C659A1">
              <w:t>.</w:t>
            </w:r>
          </w:p>
        </w:tc>
      </w:tr>
      <w:tr w:rsidR="006A20B7" w:rsidRPr="00DD0541" w14:paraId="4E82FBC4" w14:textId="77777777" w:rsidTr="00A4372E">
        <w:tc>
          <w:tcPr>
            <w:tcW w:w="1161" w:type="pct"/>
            <w:tcBorders>
              <w:top w:val="single" w:sz="4" w:space="0" w:color="auto"/>
              <w:bottom w:val="single" w:sz="4" w:space="0" w:color="auto"/>
            </w:tcBorders>
          </w:tcPr>
          <w:p w14:paraId="5E66360D" w14:textId="455264C6" w:rsidR="006A20B7" w:rsidRPr="00C03333" w:rsidRDefault="00FB3465" w:rsidP="00C03333">
            <w:pPr>
              <w:pStyle w:val="TableText"/>
            </w:pPr>
            <w:r w:rsidRPr="00C03333">
              <w:t>June</w:t>
            </w:r>
            <w:r w:rsidR="00DE3F33" w:rsidRPr="00C03333">
              <w:t xml:space="preserve"> 2024</w:t>
            </w:r>
          </w:p>
          <w:p w14:paraId="4B216BE7" w14:textId="7D1F3FBB" w:rsidR="006A20B7" w:rsidRPr="00C03333" w:rsidRDefault="006A20B7" w:rsidP="00C03333">
            <w:pPr>
              <w:pStyle w:val="TableText"/>
            </w:pPr>
            <w:r w:rsidRPr="000634CA">
              <w:t>CRIS: Biosecurity 2024</w:t>
            </w:r>
            <w:r w:rsidR="00F66B0D" w:rsidRPr="000634CA">
              <w:t>–</w:t>
            </w:r>
            <w:r w:rsidRPr="000634CA">
              <w:t>25</w:t>
            </w:r>
          </w:p>
        </w:tc>
        <w:tc>
          <w:tcPr>
            <w:tcW w:w="1157" w:type="pct"/>
            <w:tcBorders>
              <w:top w:val="single" w:sz="4" w:space="0" w:color="auto"/>
              <w:bottom w:val="single" w:sz="4" w:space="0" w:color="auto"/>
            </w:tcBorders>
          </w:tcPr>
          <w:p w14:paraId="5C355628" w14:textId="7F92B753" w:rsidR="006A20B7" w:rsidRPr="00DD0541" w:rsidRDefault="006A20B7" w:rsidP="006A20B7">
            <w:pPr>
              <w:pStyle w:val="TableText"/>
            </w:pPr>
            <w:r w:rsidRPr="0018052F">
              <w:t>Certification of the CRIS</w:t>
            </w:r>
          </w:p>
        </w:tc>
        <w:tc>
          <w:tcPr>
            <w:tcW w:w="1156" w:type="pct"/>
            <w:tcBorders>
              <w:top w:val="single" w:sz="4" w:space="0" w:color="auto"/>
              <w:bottom w:val="single" w:sz="4" w:space="0" w:color="auto"/>
            </w:tcBorders>
          </w:tcPr>
          <w:p w14:paraId="05372330" w14:textId="3A8FEB6E" w:rsidR="006A20B7" w:rsidRPr="00DD0541" w:rsidRDefault="006A20B7" w:rsidP="006A20B7">
            <w:pPr>
              <w:pStyle w:val="TableText"/>
            </w:pPr>
            <w:r w:rsidRPr="0018052F">
              <w:t>Secretary, DAFF</w:t>
            </w:r>
          </w:p>
        </w:tc>
        <w:tc>
          <w:tcPr>
            <w:tcW w:w="1526" w:type="pct"/>
            <w:tcBorders>
              <w:top w:val="single" w:sz="4" w:space="0" w:color="auto"/>
              <w:bottom w:val="single" w:sz="4" w:space="0" w:color="auto"/>
            </w:tcBorders>
          </w:tcPr>
          <w:p w14:paraId="2F4D9612" w14:textId="3E47B39A" w:rsidR="006A20B7" w:rsidRPr="00DD0541" w:rsidRDefault="006A20B7" w:rsidP="006A20B7">
            <w:pPr>
              <w:pStyle w:val="TableText"/>
            </w:pPr>
            <w:r w:rsidRPr="0018052F">
              <w:t>Apply indexation to increase regulatory fees and charges for the cost recovery arrangement, to continue to align actual costs, effort, risk and prices.</w:t>
            </w:r>
          </w:p>
        </w:tc>
      </w:tr>
      <w:tr w:rsidR="006A20B7" w:rsidRPr="00DD0541" w14:paraId="625EC78E" w14:textId="77777777" w:rsidTr="00A4372E">
        <w:tc>
          <w:tcPr>
            <w:tcW w:w="1161" w:type="pct"/>
            <w:tcBorders>
              <w:top w:val="single" w:sz="4" w:space="0" w:color="auto"/>
              <w:bottom w:val="single" w:sz="4" w:space="0" w:color="auto"/>
            </w:tcBorders>
          </w:tcPr>
          <w:p w14:paraId="2C821FDF" w14:textId="6820C65A" w:rsidR="006A20B7" w:rsidRPr="00C03333" w:rsidRDefault="00DE3F33" w:rsidP="00C03333">
            <w:pPr>
              <w:pStyle w:val="TableText"/>
            </w:pPr>
            <w:r w:rsidRPr="00C03333">
              <w:t>June 2024</w:t>
            </w:r>
          </w:p>
          <w:p w14:paraId="31D4A120" w14:textId="5FC07745" w:rsidR="006A20B7" w:rsidRPr="00C03333" w:rsidRDefault="006A20B7" w:rsidP="00C03333">
            <w:pPr>
              <w:pStyle w:val="TableText"/>
            </w:pPr>
            <w:r w:rsidRPr="000634CA">
              <w:t>CRIS: Biosecurity 2024</w:t>
            </w:r>
            <w:r w:rsidR="00F66B0D" w:rsidRPr="000634CA">
              <w:t>–</w:t>
            </w:r>
            <w:r w:rsidRPr="000634CA">
              <w:t>25</w:t>
            </w:r>
          </w:p>
        </w:tc>
        <w:tc>
          <w:tcPr>
            <w:tcW w:w="1157" w:type="pct"/>
            <w:tcBorders>
              <w:top w:val="single" w:sz="4" w:space="0" w:color="auto"/>
              <w:bottom w:val="single" w:sz="4" w:space="0" w:color="auto"/>
            </w:tcBorders>
          </w:tcPr>
          <w:p w14:paraId="45360DA2" w14:textId="788F9C80" w:rsidR="006A20B7" w:rsidRPr="00DD0541" w:rsidRDefault="006A20B7" w:rsidP="006A20B7">
            <w:pPr>
              <w:pStyle w:val="TableText"/>
            </w:pPr>
            <w:r w:rsidRPr="0018052F">
              <w:t>Approval for the CRIS release</w:t>
            </w:r>
          </w:p>
        </w:tc>
        <w:tc>
          <w:tcPr>
            <w:tcW w:w="1156" w:type="pct"/>
            <w:tcBorders>
              <w:top w:val="single" w:sz="4" w:space="0" w:color="auto"/>
              <w:bottom w:val="single" w:sz="4" w:space="0" w:color="auto"/>
            </w:tcBorders>
          </w:tcPr>
          <w:p w14:paraId="45B5E4DB" w14:textId="3873CF8A" w:rsidR="006A20B7" w:rsidRPr="00DD0541" w:rsidRDefault="006A20B7" w:rsidP="006A20B7">
            <w:pPr>
              <w:pStyle w:val="TableText"/>
            </w:pPr>
            <w:r w:rsidRPr="0018052F">
              <w:t>Minister for Agriculture, Fisheries and Forestry</w:t>
            </w:r>
          </w:p>
        </w:tc>
        <w:tc>
          <w:tcPr>
            <w:tcW w:w="1526" w:type="pct"/>
            <w:tcBorders>
              <w:top w:val="single" w:sz="4" w:space="0" w:color="auto"/>
              <w:bottom w:val="single" w:sz="4" w:space="0" w:color="auto"/>
            </w:tcBorders>
            <w:vAlign w:val="center"/>
          </w:tcPr>
          <w:p w14:paraId="6E1979B3" w14:textId="3A2F1638" w:rsidR="006A20B7" w:rsidRPr="00DD0541" w:rsidRDefault="006A20B7" w:rsidP="008D50E6">
            <w:pPr>
              <w:pStyle w:val="TableText"/>
            </w:pPr>
            <w:r w:rsidRPr="0018052F">
              <w:t>Medium risk rating for regulatory charging activities requiring portfolio Minister approval only</w:t>
            </w:r>
            <w:r w:rsidR="00C659A1">
              <w:t>.</w:t>
            </w:r>
          </w:p>
        </w:tc>
      </w:tr>
    </w:tbl>
    <w:p w14:paraId="0C5A2A4A" w14:textId="16FD85AA" w:rsidR="003C6D62" w:rsidRDefault="00D83313" w:rsidP="003C6D62">
      <w:pPr>
        <w:pStyle w:val="Heading2"/>
        <w:numPr>
          <w:ilvl w:val="0"/>
          <w:numId w:val="0"/>
        </w:numPr>
        <w:rPr>
          <w:rFonts w:asciiTheme="minorHAnsi" w:hAnsiTheme="minorHAnsi" w:cstheme="minorHAnsi"/>
        </w:rPr>
      </w:pPr>
      <w:bookmarkStart w:id="253" w:name="Table_11"/>
      <w:bookmarkStart w:id="254" w:name="_Appendix_A:_Description"/>
      <w:bookmarkStart w:id="255" w:name="_Appendix_A:_Summary"/>
      <w:bookmarkStart w:id="256" w:name="_Toc168489271"/>
      <w:bookmarkStart w:id="257" w:name="_Toc168489568"/>
      <w:bookmarkStart w:id="258" w:name="_Toc168645266"/>
      <w:bookmarkEnd w:id="253"/>
      <w:bookmarkEnd w:id="254"/>
      <w:bookmarkEnd w:id="255"/>
      <w:r w:rsidRPr="0029167F">
        <w:rPr>
          <w:rFonts w:asciiTheme="minorHAnsi" w:hAnsiTheme="minorHAnsi" w:cstheme="minorHAnsi"/>
        </w:rPr>
        <w:lastRenderedPageBreak/>
        <w:t xml:space="preserve">Appendix </w:t>
      </w:r>
      <w:r w:rsidR="00F32ED1">
        <w:rPr>
          <w:rFonts w:asciiTheme="minorHAnsi" w:hAnsiTheme="minorHAnsi" w:cstheme="minorHAnsi"/>
        </w:rPr>
        <w:t>A</w:t>
      </w:r>
      <w:r w:rsidR="009450AB" w:rsidRPr="0029167F">
        <w:rPr>
          <w:rFonts w:asciiTheme="minorHAnsi" w:hAnsiTheme="minorHAnsi" w:cstheme="minorHAnsi"/>
        </w:rPr>
        <w:t>: Summary</w:t>
      </w:r>
      <w:r w:rsidRPr="0029167F">
        <w:rPr>
          <w:rFonts w:asciiTheme="minorHAnsi" w:hAnsiTheme="minorHAnsi" w:cstheme="minorHAnsi"/>
        </w:rPr>
        <w:t xml:space="preserve"> tables of </w:t>
      </w:r>
      <w:r w:rsidR="00E0084C" w:rsidRPr="0029167F">
        <w:rPr>
          <w:rFonts w:asciiTheme="minorHAnsi" w:hAnsiTheme="minorHAnsi" w:cstheme="minorHAnsi"/>
        </w:rPr>
        <w:t xml:space="preserve">volumes and </w:t>
      </w:r>
      <w:r w:rsidR="00256D92" w:rsidRPr="0029167F">
        <w:rPr>
          <w:rFonts w:asciiTheme="minorHAnsi" w:hAnsiTheme="minorHAnsi" w:cstheme="minorHAnsi"/>
        </w:rPr>
        <w:t xml:space="preserve">regulatory </w:t>
      </w:r>
      <w:r w:rsidRPr="0029167F">
        <w:rPr>
          <w:rFonts w:asciiTheme="minorHAnsi" w:hAnsiTheme="minorHAnsi" w:cstheme="minorHAnsi"/>
        </w:rPr>
        <w:t>activities</w:t>
      </w:r>
      <w:bookmarkEnd w:id="256"/>
      <w:bookmarkEnd w:id="257"/>
      <w:bookmarkEnd w:id="258"/>
    </w:p>
    <w:p w14:paraId="4689A5B7" w14:textId="5BC4284B" w:rsidR="00044ACD" w:rsidRPr="00A968F0" w:rsidRDefault="00BD3BD6" w:rsidP="00A968F0">
      <w:r w:rsidRPr="00A968F0">
        <w:t xml:space="preserve">During </w:t>
      </w:r>
      <w:r w:rsidR="003D1CD1" w:rsidRPr="00A968F0">
        <w:t>2022</w:t>
      </w:r>
      <w:r w:rsidR="00F66B0D">
        <w:t>–</w:t>
      </w:r>
      <w:r w:rsidR="003D1CD1" w:rsidRPr="00A968F0">
        <w:t>23</w:t>
      </w:r>
      <w:r w:rsidRPr="00A968F0">
        <w:t xml:space="preserve">, almost </w:t>
      </w:r>
      <w:r w:rsidR="00A26910" w:rsidRPr="00A968F0">
        <w:t>90</w:t>
      </w:r>
      <w:r w:rsidRPr="00A968F0">
        <w:t xml:space="preserve"> million cargo declarations were made, of which 4.</w:t>
      </w:r>
      <w:r w:rsidR="003D1CD1" w:rsidRPr="00A968F0">
        <w:t>3</w:t>
      </w:r>
      <w:r w:rsidR="00C03333">
        <w:t> </w:t>
      </w:r>
      <w:r w:rsidRPr="00A968F0">
        <w:t xml:space="preserve">million were full import declarations and 85.5 million were for low value cargo under $1,000 in value. Over </w:t>
      </w:r>
      <w:r w:rsidR="003D1CD1" w:rsidRPr="00A968F0">
        <w:t>93,400</w:t>
      </w:r>
      <w:r w:rsidRPr="00A968F0">
        <w:t xml:space="preserve"> international voyages and flights arrived at international airports and seaports</w:t>
      </w:r>
      <w:r w:rsidR="00A977AB" w:rsidRPr="00A968F0">
        <w:t xml:space="preserve"> </w:t>
      </w:r>
      <w:r w:rsidRPr="00A968F0">
        <w:t xml:space="preserve">around the country. Around </w:t>
      </w:r>
      <w:r w:rsidR="00A26910" w:rsidRPr="00A968F0">
        <w:t>18,900</w:t>
      </w:r>
      <w:r w:rsidRPr="00A968F0">
        <w:t xml:space="preserve"> import permit applications were submitted and nearly </w:t>
      </w:r>
      <w:r w:rsidR="00A26910" w:rsidRPr="00A968F0">
        <w:t>6,700</w:t>
      </w:r>
      <w:r w:rsidRPr="00A968F0">
        <w:t xml:space="preserve"> animals were processed at PEQ facilities.</w:t>
      </w:r>
    </w:p>
    <w:p w14:paraId="2940BA68" w14:textId="659B94E1" w:rsidR="00A50766" w:rsidRPr="001F64A9" w:rsidRDefault="008C3E8F" w:rsidP="00180341">
      <w:pPr>
        <w:pStyle w:val="Caption"/>
        <w:spacing w:after="0"/>
      </w:pPr>
      <w:r>
        <w:fldChar w:fldCharType="begin"/>
      </w:r>
      <w:r>
        <w:instrText xml:space="preserve"> REF Charges \h </w:instrText>
      </w:r>
      <w:r>
        <w:fldChar w:fldCharType="end"/>
      </w:r>
      <w:bookmarkStart w:id="259" w:name="_Toc168645286"/>
      <w:r w:rsidR="005A6507">
        <w:t>Table A</w:t>
      </w:r>
      <w:r w:rsidR="00FD4278">
        <w:fldChar w:fldCharType="begin"/>
      </w:r>
      <w:r w:rsidR="00FD4278">
        <w:instrText xml:space="preserve"> SEQ Table_A \* ARABIC </w:instrText>
      </w:r>
      <w:r w:rsidR="00FD4278">
        <w:fldChar w:fldCharType="separate"/>
      </w:r>
      <w:r w:rsidR="006D5EF4">
        <w:rPr>
          <w:noProof/>
        </w:rPr>
        <w:t>1</w:t>
      </w:r>
      <w:r w:rsidR="00FD4278">
        <w:rPr>
          <w:noProof/>
        </w:rPr>
        <w:fldChar w:fldCharType="end"/>
      </w:r>
      <w:r w:rsidR="00B83A77">
        <w:t xml:space="preserve"> </w:t>
      </w:r>
      <w:r w:rsidR="00CA7B10">
        <w:t>V</w:t>
      </w:r>
      <w:r w:rsidR="00B83A77">
        <w:t xml:space="preserve">essel </w:t>
      </w:r>
      <w:r w:rsidR="007241E6">
        <w:t>and aircraft</w:t>
      </w:r>
      <w:bookmarkEnd w:id="259"/>
    </w:p>
    <w:tbl>
      <w:tblPr>
        <w:tblpPr w:leftFromText="180" w:rightFromText="180" w:vertAnchor="text" w:horzAnchor="margin" w:tblpY="103"/>
        <w:tblW w:w="5000" w:type="pct"/>
        <w:tblBorders>
          <w:top w:val="single" w:sz="4" w:space="0" w:color="auto"/>
          <w:bottom w:val="single" w:sz="4" w:space="0" w:color="auto"/>
          <w:insideH w:val="single" w:sz="4" w:space="0" w:color="auto"/>
        </w:tblBorders>
        <w:tblCellMar>
          <w:left w:w="40" w:type="dxa"/>
          <w:right w:w="40" w:type="dxa"/>
        </w:tblCellMar>
        <w:tblLook w:val="04A0" w:firstRow="1" w:lastRow="0" w:firstColumn="1" w:lastColumn="0" w:noHBand="0" w:noVBand="1"/>
      </w:tblPr>
      <w:tblGrid>
        <w:gridCol w:w="1051"/>
        <w:gridCol w:w="2711"/>
        <w:gridCol w:w="2711"/>
        <w:gridCol w:w="2711"/>
      </w:tblGrid>
      <w:tr w:rsidR="00976132" w:rsidRPr="0029167F" w14:paraId="0CC2329B" w14:textId="77777777" w:rsidTr="004C1CBD">
        <w:trPr>
          <w:tblHeader/>
        </w:trPr>
        <w:tc>
          <w:tcPr>
            <w:tcW w:w="572" w:type="pct"/>
          </w:tcPr>
          <w:p w14:paraId="16CA5FB3" w14:textId="77777777" w:rsidR="00976132" w:rsidRPr="00D74FA6" w:rsidRDefault="00976132" w:rsidP="00A968F0">
            <w:pPr>
              <w:pStyle w:val="TableHeading"/>
              <w:rPr>
                <w:rStyle w:val="Strong"/>
                <w:rFonts w:ascii="Calibri" w:hAnsi="Calibri"/>
                <w:bCs w:val="0"/>
                <w:sz w:val="22"/>
                <w:szCs w:val="18"/>
              </w:rPr>
            </w:pPr>
            <w:bookmarkStart w:id="260" w:name="Title_A1"/>
            <w:bookmarkEnd w:id="260"/>
            <w:r w:rsidRPr="00D74FA6">
              <w:rPr>
                <w:rStyle w:val="Strong"/>
                <w:b/>
                <w:bCs w:val="0"/>
              </w:rPr>
              <w:t>Year</w:t>
            </w:r>
          </w:p>
        </w:tc>
        <w:tc>
          <w:tcPr>
            <w:tcW w:w="1476" w:type="pct"/>
          </w:tcPr>
          <w:p w14:paraId="6CC60F45" w14:textId="77777777" w:rsidR="00976132" w:rsidRPr="00D74FA6" w:rsidRDefault="00976132" w:rsidP="00A968F0">
            <w:pPr>
              <w:pStyle w:val="TableHeading"/>
              <w:rPr>
                <w:rStyle w:val="Strong"/>
                <w:bCs w:val="0"/>
              </w:rPr>
            </w:pPr>
            <w:r w:rsidRPr="00D74FA6">
              <w:rPr>
                <w:rStyle w:val="Strong"/>
                <w:b/>
                <w:bCs w:val="0"/>
              </w:rPr>
              <w:t>Total number of international voyages</w:t>
            </w:r>
          </w:p>
        </w:tc>
        <w:tc>
          <w:tcPr>
            <w:tcW w:w="1476" w:type="pct"/>
          </w:tcPr>
          <w:p w14:paraId="0544C195" w14:textId="77777777" w:rsidR="00976132" w:rsidRPr="00D74FA6" w:rsidRDefault="00976132" w:rsidP="00A968F0">
            <w:pPr>
              <w:pStyle w:val="TableHeading"/>
              <w:rPr>
                <w:rStyle w:val="Strong"/>
                <w:bCs w:val="0"/>
              </w:rPr>
            </w:pPr>
            <w:bookmarkStart w:id="261" w:name="_Hlk167262314"/>
            <w:r w:rsidRPr="00D74FA6">
              <w:rPr>
                <w:rStyle w:val="Strong"/>
                <w:b/>
                <w:bCs w:val="0"/>
              </w:rPr>
              <w:t>Number of voyage inspections</w:t>
            </w:r>
            <w:bookmarkEnd w:id="261"/>
          </w:p>
        </w:tc>
        <w:tc>
          <w:tcPr>
            <w:tcW w:w="1476" w:type="pct"/>
          </w:tcPr>
          <w:p w14:paraId="39C319D1" w14:textId="77777777" w:rsidR="00976132" w:rsidRPr="00D74FA6" w:rsidRDefault="00976132" w:rsidP="00A968F0">
            <w:pPr>
              <w:pStyle w:val="TableHeading"/>
              <w:rPr>
                <w:rStyle w:val="Strong"/>
                <w:bCs w:val="0"/>
              </w:rPr>
            </w:pPr>
            <w:r w:rsidRPr="00D74FA6">
              <w:rPr>
                <w:rStyle w:val="Strong"/>
                <w:b/>
                <w:bCs w:val="0"/>
              </w:rPr>
              <w:t>Total number of international aircraft arrivals</w:t>
            </w:r>
          </w:p>
        </w:tc>
      </w:tr>
      <w:tr w:rsidR="00976132" w:rsidRPr="0029167F" w14:paraId="2A7A8387" w14:textId="77777777" w:rsidTr="004C1CBD">
        <w:tc>
          <w:tcPr>
            <w:tcW w:w="572" w:type="pct"/>
          </w:tcPr>
          <w:p w14:paraId="111C2952" w14:textId="77777777" w:rsidR="00976132" w:rsidRPr="0029167F" w:rsidRDefault="00976132" w:rsidP="00976132">
            <w:pPr>
              <w:pStyle w:val="TableText"/>
              <w:rPr>
                <w:rFonts w:cstheme="minorHAnsi"/>
              </w:rPr>
            </w:pPr>
            <w:r w:rsidRPr="0029167F">
              <w:rPr>
                <w:rFonts w:cstheme="minorHAnsi"/>
              </w:rPr>
              <w:t>2018–19</w:t>
            </w:r>
          </w:p>
        </w:tc>
        <w:tc>
          <w:tcPr>
            <w:tcW w:w="1476" w:type="pct"/>
          </w:tcPr>
          <w:p w14:paraId="0069ED6F" w14:textId="77777777" w:rsidR="00976132" w:rsidRPr="0029167F" w:rsidRDefault="00976132" w:rsidP="00976132">
            <w:pPr>
              <w:pStyle w:val="TableText"/>
              <w:jc w:val="right"/>
              <w:rPr>
                <w:rFonts w:cstheme="minorHAnsi"/>
              </w:rPr>
            </w:pPr>
            <w:r w:rsidRPr="0029167F">
              <w:rPr>
                <w:rFonts w:cstheme="minorHAnsi"/>
              </w:rPr>
              <w:t>19,077</w:t>
            </w:r>
          </w:p>
        </w:tc>
        <w:tc>
          <w:tcPr>
            <w:tcW w:w="1476" w:type="pct"/>
          </w:tcPr>
          <w:p w14:paraId="7AC6691A" w14:textId="77777777" w:rsidR="00976132" w:rsidRPr="0029167F" w:rsidRDefault="00976132" w:rsidP="00976132">
            <w:pPr>
              <w:pStyle w:val="TableText"/>
              <w:jc w:val="right"/>
              <w:rPr>
                <w:rFonts w:cstheme="minorHAnsi"/>
              </w:rPr>
            </w:pPr>
            <w:r w:rsidRPr="0029167F">
              <w:rPr>
                <w:rFonts w:cstheme="minorHAnsi"/>
              </w:rPr>
              <w:t>18,933</w:t>
            </w:r>
          </w:p>
        </w:tc>
        <w:tc>
          <w:tcPr>
            <w:tcW w:w="1476" w:type="pct"/>
          </w:tcPr>
          <w:p w14:paraId="28BB09FA" w14:textId="77777777" w:rsidR="00976132" w:rsidRPr="0029167F" w:rsidRDefault="00976132" w:rsidP="00976132">
            <w:pPr>
              <w:pStyle w:val="TableText"/>
              <w:jc w:val="right"/>
              <w:rPr>
                <w:rFonts w:cstheme="minorHAnsi"/>
              </w:rPr>
            </w:pPr>
            <w:r w:rsidRPr="0029167F">
              <w:rPr>
                <w:rFonts w:cstheme="minorHAnsi"/>
              </w:rPr>
              <w:t>100,078</w:t>
            </w:r>
          </w:p>
        </w:tc>
      </w:tr>
      <w:tr w:rsidR="00976132" w:rsidRPr="0029167F" w14:paraId="67F35F1A" w14:textId="77777777" w:rsidTr="004C1CBD">
        <w:tc>
          <w:tcPr>
            <w:tcW w:w="572" w:type="pct"/>
          </w:tcPr>
          <w:p w14:paraId="3914A55D" w14:textId="77777777" w:rsidR="00976132" w:rsidRPr="0029167F" w:rsidRDefault="00976132" w:rsidP="00976132">
            <w:pPr>
              <w:pStyle w:val="TableText"/>
              <w:rPr>
                <w:rFonts w:cstheme="minorHAnsi"/>
              </w:rPr>
            </w:pPr>
            <w:r w:rsidRPr="0029167F">
              <w:rPr>
                <w:rFonts w:cstheme="minorHAnsi"/>
              </w:rPr>
              <w:t>2019–20</w:t>
            </w:r>
          </w:p>
        </w:tc>
        <w:tc>
          <w:tcPr>
            <w:tcW w:w="1476" w:type="pct"/>
          </w:tcPr>
          <w:p w14:paraId="6818BA06" w14:textId="77777777" w:rsidR="00976132" w:rsidRPr="0029167F" w:rsidRDefault="00976132" w:rsidP="00976132">
            <w:pPr>
              <w:pStyle w:val="TableText"/>
              <w:jc w:val="right"/>
              <w:rPr>
                <w:rFonts w:cstheme="minorHAnsi"/>
              </w:rPr>
            </w:pPr>
            <w:r w:rsidRPr="0029167F">
              <w:rPr>
                <w:rFonts w:cstheme="minorHAnsi"/>
              </w:rPr>
              <w:t>18,859</w:t>
            </w:r>
          </w:p>
        </w:tc>
        <w:tc>
          <w:tcPr>
            <w:tcW w:w="1476" w:type="pct"/>
          </w:tcPr>
          <w:p w14:paraId="17A55ED6" w14:textId="77777777" w:rsidR="00976132" w:rsidRPr="0029167F" w:rsidRDefault="00976132" w:rsidP="00976132">
            <w:pPr>
              <w:pStyle w:val="TableText"/>
              <w:jc w:val="right"/>
              <w:rPr>
                <w:rFonts w:cstheme="minorHAnsi"/>
              </w:rPr>
            </w:pPr>
            <w:r w:rsidRPr="0029167F">
              <w:rPr>
                <w:rFonts w:cstheme="minorHAnsi"/>
              </w:rPr>
              <w:t>18,553</w:t>
            </w:r>
          </w:p>
        </w:tc>
        <w:tc>
          <w:tcPr>
            <w:tcW w:w="1476" w:type="pct"/>
          </w:tcPr>
          <w:p w14:paraId="3E33E560" w14:textId="77777777" w:rsidR="00976132" w:rsidRPr="0029167F" w:rsidRDefault="00976132" w:rsidP="00976132">
            <w:pPr>
              <w:pStyle w:val="TableText"/>
              <w:jc w:val="right"/>
              <w:rPr>
                <w:rFonts w:cstheme="minorHAnsi"/>
              </w:rPr>
            </w:pPr>
            <w:r w:rsidRPr="0029167F">
              <w:rPr>
                <w:rFonts w:cstheme="minorHAnsi"/>
              </w:rPr>
              <w:t>75,830</w:t>
            </w:r>
          </w:p>
        </w:tc>
      </w:tr>
      <w:tr w:rsidR="00976132" w:rsidRPr="0029167F" w14:paraId="1E54C873" w14:textId="77777777" w:rsidTr="004C1CBD">
        <w:tc>
          <w:tcPr>
            <w:tcW w:w="572" w:type="pct"/>
          </w:tcPr>
          <w:p w14:paraId="7E94505E" w14:textId="77777777" w:rsidR="00976132" w:rsidRPr="0029167F" w:rsidRDefault="00976132" w:rsidP="00976132">
            <w:pPr>
              <w:pStyle w:val="TableText"/>
              <w:spacing w:after="120"/>
              <w:rPr>
                <w:rFonts w:cstheme="minorHAnsi"/>
              </w:rPr>
            </w:pPr>
            <w:r w:rsidRPr="0029167F">
              <w:rPr>
                <w:rFonts w:cstheme="minorHAnsi"/>
              </w:rPr>
              <w:t>2020–21</w:t>
            </w:r>
          </w:p>
        </w:tc>
        <w:tc>
          <w:tcPr>
            <w:tcW w:w="1476" w:type="pct"/>
          </w:tcPr>
          <w:p w14:paraId="1ADC23E1" w14:textId="77777777" w:rsidR="00976132" w:rsidRPr="0029167F" w:rsidRDefault="00976132" w:rsidP="00976132">
            <w:pPr>
              <w:pStyle w:val="TableText"/>
              <w:jc w:val="right"/>
              <w:rPr>
                <w:rFonts w:cstheme="minorHAnsi"/>
              </w:rPr>
            </w:pPr>
            <w:r w:rsidRPr="0029167F">
              <w:rPr>
                <w:rFonts w:cstheme="minorHAnsi"/>
              </w:rPr>
              <w:t>17,844</w:t>
            </w:r>
          </w:p>
        </w:tc>
        <w:tc>
          <w:tcPr>
            <w:tcW w:w="1476" w:type="pct"/>
          </w:tcPr>
          <w:p w14:paraId="0A5940CA" w14:textId="77777777" w:rsidR="00976132" w:rsidRPr="0029167F" w:rsidRDefault="00976132" w:rsidP="00976132">
            <w:pPr>
              <w:pStyle w:val="TableText"/>
              <w:jc w:val="right"/>
              <w:rPr>
                <w:rFonts w:cstheme="minorHAnsi"/>
              </w:rPr>
            </w:pPr>
            <w:r w:rsidRPr="0029167F">
              <w:rPr>
                <w:rFonts w:cstheme="minorHAnsi"/>
              </w:rPr>
              <w:t>15,108</w:t>
            </w:r>
          </w:p>
        </w:tc>
        <w:tc>
          <w:tcPr>
            <w:tcW w:w="1476" w:type="pct"/>
          </w:tcPr>
          <w:p w14:paraId="1D1734E4" w14:textId="77777777" w:rsidR="00976132" w:rsidRPr="0029167F" w:rsidRDefault="00976132" w:rsidP="00976132">
            <w:pPr>
              <w:pStyle w:val="TableText"/>
              <w:jc w:val="right"/>
              <w:rPr>
                <w:rFonts w:cstheme="minorHAnsi"/>
              </w:rPr>
            </w:pPr>
            <w:r w:rsidRPr="0029167F">
              <w:rPr>
                <w:rFonts w:cstheme="minorHAnsi"/>
              </w:rPr>
              <w:t>16,206</w:t>
            </w:r>
          </w:p>
        </w:tc>
      </w:tr>
      <w:tr w:rsidR="00976132" w:rsidRPr="0029167F" w14:paraId="404A8D8C" w14:textId="77777777" w:rsidTr="004C1CBD">
        <w:tc>
          <w:tcPr>
            <w:tcW w:w="572" w:type="pct"/>
          </w:tcPr>
          <w:p w14:paraId="359AB167" w14:textId="60CBAC9C" w:rsidR="00976132" w:rsidRPr="0029167F" w:rsidRDefault="00976132" w:rsidP="00976132">
            <w:pPr>
              <w:pStyle w:val="TableText"/>
              <w:spacing w:after="120"/>
              <w:rPr>
                <w:rFonts w:cstheme="minorHAnsi"/>
              </w:rPr>
            </w:pPr>
            <w:r>
              <w:rPr>
                <w:rFonts w:cstheme="minorHAnsi"/>
              </w:rPr>
              <w:t>2021</w:t>
            </w:r>
            <w:r w:rsidR="00F66B0D">
              <w:rPr>
                <w:rFonts w:cstheme="minorHAnsi"/>
              </w:rPr>
              <w:t>–</w:t>
            </w:r>
            <w:r>
              <w:rPr>
                <w:rFonts w:cstheme="minorHAnsi"/>
              </w:rPr>
              <w:t>22</w:t>
            </w:r>
          </w:p>
        </w:tc>
        <w:tc>
          <w:tcPr>
            <w:tcW w:w="1476" w:type="pct"/>
          </w:tcPr>
          <w:p w14:paraId="0A949D27" w14:textId="77777777" w:rsidR="00976132" w:rsidRPr="0029167F" w:rsidRDefault="00976132" w:rsidP="00976132">
            <w:pPr>
              <w:pStyle w:val="TableText"/>
              <w:jc w:val="right"/>
              <w:rPr>
                <w:rFonts w:cstheme="minorHAnsi"/>
              </w:rPr>
            </w:pPr>
            <w:r>
              <w:rPr>
                <w:rFonts w:cstheme="minorHAnsi"/>
              </w:rPr>
              <w:t>18,256</w:t>
            </w:r>
          </w:p>
        </w:tc>
        <w:tc>
          <w:tcPr>
            <w:tcW w:w="1476" w:type="pct"/>
          </w:tcPr>
          <w:p w14:paraId="025DA7C1" w14:textId="77777777" w:rsidR="00976132" w:rsidRPr="0029167F" w:rsidRDefault="00976132" w:rsidP="00976132">
            <w:pPr>
              <w:pStyle w:val="TableText"/>
              <w:jc w:val="right"/>
              <w:rPr>
                <w:rFonts w:cstheme="minorHAnsi"/>
              </w:rPr>
            </w:pPr>
            <w:r>
              <w:rPr>
                <w:rFonts w:cstheme="minorHAnsi"/>
              </w:rPr>
              <w:t>15,166</w:t>
            </w:r>
          </w:p>
        </w:tc>
        <w:tc>
          <w:tcPr>
            <w:tcW w:w="1476" w:type="pct"/>
          </w:tcPr>
          <w:p w14:paraId="5DF94EA2" w14:textId="77777777" w:rsidR="00976132" w:rsidRPr="0029167F" w:rsidRDefault="00976132" w:rsidP="00976132">
            <w:pPr>
              <w:pStyle w:val="TableText"/>
              <w:jc w:val="right"/>
              <w:rPr>
                <w:rFonts w:cstheme="minorHAnsi"/>
              </w:rPr>
            </w:pPr>
            <w:r>
              <w:rPr>
                <w:rFonts w:cstheme="minorHAnsi"/>
              </w:rPr>
              <w:t>27,464</w:t>
            </w:r>
          </w:p>
        </w:tc>
      </w:tr>
      <w:tr w:rsidR="001679F4" w:rsidRPr="0029167F" w14:paraId="3BEBEFCB" w14:textId="77777777" w:rsidTr="004C1CBD">
        <w:tc>
          <w:tcPr>
            <w:tcW w:w="572" w:type="pct"/>
          </w:tcPr>
          <w:p w14:paraId="728437F0" w14:textId="0EC7D7D8" w:rsidR="001679F4" w:rsidRPr="00CE797C" w:rsidRDefault="001679F4" w:rsidP="00976132">
            <w:pPr>
              <w:pStyle w:val="TableText"/>
              <w:spacing w:after="120"/>
              <w:rPr>
                <w:rFonts w:cstheme="minorHAnsi"/>
                <w:highlight w:val="yellow"/>
              </w:rPr>
            </w:pPr>
            <w:r w:rsidRPr="00A26910">
              <w:rPr>
                <w:rFonts w:cstheme="minorHAnsi"/>
              </w:rPr>
              <w:t>2022</w:t>
            </w:r>
            <w:r w:rsidR="00F66B0D">
              <w:rPr>
                <w:rFonts w:cstheme="minorHAnsi"/>
              </w:rPr>
              <w:t>–</w:t>
            </w:r>
            <w:r w:rsidRPr="00A26910">
              <w:rPr>
                <w:rFonts w:cstheme="minorHAnsi"/>
              </w:rPr>
              <w:t>23</w:t>
            </w:r>
          </w:p>
        </w:tc>
        <w:tc>
          <w:tcPr>
            <w:tcW w:w="1476" w:type="pct"/>
          </w:tcPr>
          <w:p w14:paraId="5562DDC9" w14:textId="7AE0EBB9" w:rsidR="001679F4" w:rsidRDefault="00A26910" w:rsidP="00976132">
            <w:pPr>
              <w:pStyle w:val="TableText"/>
              <w:jc w:val="right"/>
              <w:rPr>
                <w:rFonts w:cstheme="minorHAnsi"/>
              </w:rPr>
            </w:pPr>
            <w:r>
              <w:rPr>
                <w:rFonts w:cstheme="minorHAnsi"/>
              </w:rPr>
              <w:t>19,316</w:t>
            </w:r>
          </w:p>
        </w:tc>
        <w:tc>
          <w:tcPr>
            <w:tcW w:w="1476" w:type="pct"/>
          </w:tcPr>
          <w:p w14:paraId="4CE33B90" w14:textId="6038F43B" w:rsidR="001679F4" w:rsidRDefault="00A26910" w:rsidP="00976132">
            <w:pPr>
              <w:pStyle w:val="TableText"/>
              <w:jc w:val="right"/>
              <w:rPr>
                <w:rFonts w:cstheme="minorHAnsi"/>
              </w:rPr>
            </w:pPr>
            <w:r>
              <w:rPr>
                <w:rFonts w:cstheme="minorHAnsi"/>
              </w:rPr>
              <w:t>10,949</w:t>
            </w:r>
          </w:p>
        </w:tc>
        <w:tc>
          <w:tcPr>
            <w:tcW w:w="1476" w:type="pct"/>
          </w:tcPr>
          <w:p w14:paraId="4470F175" w14:textId="5A176FD3" w:rsidR="001679F4" w:rsidRDefault="00A26910" w:rsidP="00976132">
            <w:pPr>
              <w:pStyle w:val="TableText"/>
              <w:jc w:val="right"/>
              <w:rPr>
                <w:rFonts w:cstheme="minorHAnsi"/>
              </w:rPr>
            </w:pPr>
            <w:r>
              <w:rPr>
                <w:rFonts w:cstheme="minorHAnsi"/>
              </w:rPr>
              <w:t>74,114</w:t>
            </w:r>
          </w:p>
        </w:tc>
      </w:tr>
    </w:tbl>
    <w:p w14:paraId="70E5F61F" w14:textId="069CF26E" w:rsidR="00A26910" w:rsidRDefault="00D74FA6" w:rsidP="00A32817">
      <w:pPr>
        <w:pStyle w:val="FigureTableNoteSource"/>
        <w:spacing w:after="0"/>
      </w:pPr>
      <w:r>
        <w:t>Note:</w:t>
      </w:r>
      <w:r w:rsidR="00CA7B10">
        <w:t xml:space="preserve"> For 2022</w:t>
      </w:r>
      <w:r w:rsidR="00C03333">
        <w:t>–</w:t>
      </w:r>
      <w:r w:rsidR="00CA7B10">
        <w:t xml:space="preserve">23 an </w:t>
      </w:r>
      <w:r w:rsidR="00A26910" w:rsidRPr="00A26910">
        <w:t>update to ‘</w:t>
      </w:r>
      <w:r w:rsidR="006B2C6E" w:rsidRPr="006B2C6E">
        <w:t>Number of voyage inspections</w:t>
      </w:r>
      <w:r w:rsidR="009C3453">
        <w:t>’</w:t>
      </w:r>
      <w:r w:rsidR="006B2C6E" w:rsidRPr="006B2C6E">
        <w:t xml:space="preserve"> </w:t>
      </w:r>
      <w:r w:rsidR="00A26910" w:rsidRPr="00A26910">
        <w:t>data has been applied from previous years data within this report. Data is now calculated on the number of vessels inspected after international arrival rather than the number of vessel inspections that may have occurred</w:t>
      </w:r>
      <w:r w:rsidR="00A26910">
        <w:t>.</w:t>
      </w:r>
    </w:p>
    <w:p w14:paraId="0EFA8254" w14:textId="5A55A010" w:rsidR="001F64A9" w:rsidRDefault="005A6507" w:rsidP="00AA1178">
      <w:pPr>
        <w:pStyle w:val="Caption"/>
        <w:spacing w:before="120"/>
      </w:pPr>
      <w:bookmarkStart w:id="262" w:name="_Toc168645287"/>
      <w:bookmarkStart w:id="263" w:name="_Hlk162248946"/>
      <w:r>
        <w:t>Table A</w:t>
      </w:r>
      <w:r w:rsidR="00FD4278">
        <w:fldChar w:fldCharType="begin"/>
      </w:r>
      <w:r w:rsidR="00FD4278">
        <w:instrText xml:space="preserve"> SEQ Table_A \* ARABIC </w:instrText>
      </w:r>
      <w:r w:rsidR="00FD4278">
        <w:fldChar w:fldCharType="separate"/>
      </w:r>
      <w:r w:rsidR="006D5EF4">
        <w:rPr>
          <w:noProof/>
        </w:rPr>
        <w:t>2</w:t>
      </w:r>
      <w:r w:rsidR="00FD4278">
        <w:rPr>
          <w:noProof/>
        </w:rPr>
        <w:fldChar w:fldCharType="end"/>
      </w:r>
      <w:r>
        <w:t xml:space="preserve"> </w:t>
      </w:r>
      <w:r w:rsidR="007241E6">
        <w:t>Cargo</w:t>
      </w:r>
      <w:bookmarkEnd w:id="262"/>
    </w:p>
    <w:tbl>
      <w:tblPr>
        <w:tblW w:w="5000" w:type="pct"/>
        <w:tblBorders>
          <w:top w:val="single" w:sz="4" w:space="0" w:color="auto"/>
          <w:bottom w:val="single" w:sz="4" w:space="0" w:color="auto"/>
          <w:insideH w:val="single" w:sz="4" w:space="0" w:color="auto"/>
        </w:tblBorders>
        <w:tblCellMar>
          <w:left w:w="40" w:type="dxa"/>
          <w:right w:w="40" w:type="dxa"/>
        </w:tblCellMar>
        <w:tblLook w:val="04A0" w:firstRow="1" w:lastRow="0" w:firstColumn="1" w:lastColumn="0" w:noHBand="0" w:noVBand="1"/>
      </w:tblPr>
      <w:tblGrid>
        <w:gridCol w:w="1053"/>
        <w:gridCol w:w="1807"/>
        <w:gridCol w:w="1657"/>
        <w:gridCol w:w="1657"/>
        <w:gridCol w:w="1506"/>
        <w:gridCol w:w="1504"/>
      </w:tblGrid>
      <w:tr w:rsidR="00C659A1" w:rsidRPr="0029167F" w14:paraId="7F0DF567" w14:textId="77777777" w:rsidTr="004C1CBD">
        <w:trPr>
          <w:tblHeader/>
        </w:trPr>
        <w:tc>
          <w:tcPr>
            <w:tcW w:w="573" w:type="pct"/>
          </w:tcPr>
          <w:p w14:paraId="054F2AE6" w14:textId="77777777" w:rsidR="00C659A1" w:rsidRPr="00D74FA6" w:rsidRDefault="00C659A1" w:rsidP="00136E12">
            <w:pPr>
              <w:pStyle w:val="TableHeading"/>
              <w:rPr>
                <w:rStyle w:val="Strong"/>
                <w:rFonts w:ascii="Calibri" w:hAnsi="Calibri"/>
                <w:bCs w:val="0"/>
                <w:sz w:val="22"/>
                <w:szCs w:val="18"/>
              </w:rPr>
            </w:pPr>
            <w:r w:rsidRPr="00D74FA6">
              <w:rPr>
                <w:rStyle w:val="Strong"/>
                <w:b/>
                <w:bCs w:val="0"/>
              </w:rPr>
              <w:t>Year</w:t>
            </w:r>
          </w:p>
        </w:tc>
        <w:tc>
          <w:tcPr>
            <w:tcW w:w="984" w:type="pct"/>
          </w:tcPr>
          <w:p w14:paraId="492D64F0" w14:textId="77777777" w:rsidR="00C659A1" w:rsidRPr="00D74FA6" w:rsidRDefault="00C659A1" w:rsidP="00136E12">
            <w:pPr>
              <w:pStyle w:val="TableHeading"/>
              <w:rPr>
                <w:rStyle w:val="Strong"/>
                <w:bCs w:val="0"/>
              </w:rPr>
            </w:pPr>
            <w:r w:rsidRPr="00D74FA6">
              <w:rPr>
                <w:rStyle w:val="Strong"/>
                <w:b/>
                <w:bCs w:val="0"/>
              </w:rPr>
              <w:t>Total international cargo import declarations</w:t>
            </w:r>
          </w:p>
        </w:tc>
        <w:tc>
          <w:tcPr>
            <w:tcW w:w="902" w:type="pct"/>
          </w:tcPr>
          <w:p w14:paraId="6D862B8B" w14:textId="77777777" w:rsidR="00C659A1" w:rsidRPr="00D74FA6" w:rsidRDefault="00C659A1" w:rsidP="00136E12">
            <w:pPr>
              <w:pStyle w:val="TableHeading"/>
              <w:rPr>
                <w:rStyle w:val="Strong"/>
                <w:bCs w:val="0"/>
              </w:rPr>
            </w:pPr>
            <w:r w:rsidRPr="00D74FA6">
              <w:rPr>
                <w:rStyle w:val="Strong"/>
                <w:b/>
                <w:bCs w:val="0"/>
              </w:rPr>
              <w:t>Number of cargo imports assessed</w:t>
            </w:r>
          </w:p>
        </w:tc>
        <w:tc>
          <w:tcPr>
            <w:tcW w:w="902" w:type="pct"/>
          </w:tcPr>
          <w:p w14:paraId="4F4163F6" w14:textId="77777777" w:rsidR="00C659A1" w:rsidRPr="00D74FA6" w:rsidRDefault="00C659A1" w:rsidP="00136E12">
            <w:pPr>
              <w:pStyle w:val="TableHeading"/>
              <w:rPr>
                <w:rStyle w:val="Strong"/>
                <w:bCs w:val="0"/>
              </w:rPr>
            </w:pPr>
            <w:r w:rsidRPr="00D74FA6">
              <w:rPr>
                <w:rStyle w:val="Strong"/>
                <w:b/>
                <w:bCs w:val="0"/>
              </w:rPr>
              <w:t>Number of cargo import inspections</w:t>
            </w:r>
          </w:p>
        </w:tc>
        <w:tc>
          <w:tcPr>
            <w:tcW w:w="820" w:type="pct"/>
          </w:tcPr>
          <w:p w14:paraId="1AA4C6EF" w14:textId="77777777" w:rsidR="00C659A1" w:rsidRPr="00D74FA6" w:rsidRDefault="00C659A1" w:rsidP="00136E12">
            <w:pPr>
              <w:pStyle w:val="TableHeading"/>
              <w:rPr>
                <w:rStyle w:val="Strong"/>
                <w:bCs w:val="0"/>
              </w:rPr>
            </w:pPr>
            <w:r w:rsidRPr="00D74FA6">
              <w:rPr>
                <w:rStyle w:val="Strong"/>
                <w:b/>
                <w:bCs w:val="0"/>
              </w:rPr>
              <w:t>Total high value cargo import declarations</w:t>
            </w:r>
          </w:p>
        </w:tc>
        <w:tc>
          <w:tcPr>
            <w:tcW w:w="819" w:type="pct"/>
          </w:tcPr>
          <w:p w14:paraId="3E708E40" w14:textId="77777777" w:rsidR="00C659A1" w:rsidRPr="00D74FA6" w:rsidRDefault="00C659A1" w:rsidP="00136E12">
            <w:pPr>
              <w:pStyle w:val="TableHeading"/>
              <w:rPr>
                <w:rStyle w:val="Strong"/>
                <w:bCs w:val="0"/>
              </w:rPr>
            </w:pPr>
            <w:r w:rsidRPr="00D74FA6">
              <w:rPr>
                <w:rStyle w:val="Strong"/>
                <w:b/>
                <w:bCs w:val="0"/>
              </w:rPr>
              <w:t>Total low value cargo import declarations</w:t>
            </w:r>
          </w:p>
        </w:tc>
      </w:tr>
      <w:tr w:rsidR="00C659A1" w:rsidRPr="0029167F" w14:paraId="331FF741" w14:textId="77777777" w:rsidTr="004C1CBD">
        <w:tc>
          <w:tcPr>
            <w:tcW w:w="573" w:type="pct"/>
          </w:tcPr>
          <w:p w14:paraId="558C6D8C" w14:textId="77777777" w:rsidR="00C659A1" w:rsidRPr="0029167F" w:rsidRDefault="00C659A1" w:rsidP="00136E12">
            <w:pPr>
              <w:pStyle w:val="TableText"/>
              <w:rPr>
                <w:rFonts w:cstheme="minorHAnsi"/>
              </w:rPr>
            </w:pPr>
            <w:r w:rsidRPr="0029167F">
              <w:rPr>
                <w:rFonts w:cstheme="minorHAnsi"/>
              </w:rPr>
              <w:t>2018–19</w:t>
            </w:r>
          </w:p>
        </w:tc>
        <w:tc>
          <w:tcPr>
            <w:tcW w:w="984" w:type="pct"/>
          </w:tcPr>
          <w:p w14:paraId="07537AE4" w14:textId="77777777" w:rsidR="00C659A1" w:rsidRPr="0029167F" w:rsidRDefault="00C659A1" w:rsidP="00136E12">
            <w:pPr>
              <w:pStyle w:val="TableText"/>
              <w:jc w:val="right"/>
              <w:rPr>
                <w:rFonts w:cstheme="minorHAnsi"/>
              </w:rPr>
            </w:pPr>
            <w:r w:rsidRPr="0029167F">
              <w:rPr>
                <w:rFonts w:cstheme="minorHAnsi"/>
              </w:rPr>
              <w:t>53,740,949</w:t>
            </w:r>
          </w:p>
        </w:tc>
        <w:tc>
          <w:tcPr>
            <w:tcW w:w="902" w:type="pct"/>
          </w:tcPr>
          <w:p w14:paraId="289E26F1" w14:textId="77777777" w:rsidR="00C659A1" w:rsidRPr="0029167F" w:rsidRDefault="00C659A1" w:rsidP="00136E12">
            <w:pPr>
              <w:pStyle w:val="TableText"/>
              <w:jc w:val="right"/>
              <w:rPr>
                <w:rFonts w:cstheme="minorHAnsi"/>
              </w:rPr>
            </w:pPr>
            <w:r w:rsidRPr="0029167F">
              <w:rPr>
                <w:rFonts w:cstheme="minorHAnsi"/>
              </w:rPr>
              <w:t>863,910</w:t>
            </w:r>
          </w:p>
        </w:tc>
        <w:tc>
          <w:tcPr>
            <w:tcW w:w="902" w:type="pct"/>
          </w:tcPr>
          <w:p w14:paraId="5648A22C" w14:textId="77777777" w:rsidR="00C659A1" w:rsidRPr="0029167F" w:rsidRDefault="00C659A1" w:rsidP="00136E12">
            <w:pPr>
              <w:pStyle w:val="TableText"/>
              <w:jc w:val="right"/>
              <w:rPr>
                <w:rFonts w:cstheme="minorHAnsi"/>
              </w:rPr>
            </w:pPr>
            <w:r w:rsidRPr="0029167F">
              <w:rPr>
                <w:rFonts w:cstheme="minorHAnsi"/>
              </w:rPr>
              <w:t>269,328</w:t>
            </w:r>
          </w:p>
        </w:tc>
        <w:tc>
          <w:tcPr>
            <w:tcW w:w="820" w:type="pct"/>
          </w:tcPr>
          <w:p w14:paraId="3B825BC9" w14:textId="77777777" w:rsidR="00C659A1" w:rsidRPr="0029167F" w:rsidRDefault="00C659A1" w:rsidP="00136E12">
            <w:pPr>
              <w:pStyle w:val="TableText"/>
              <w:jc w:val="right"/>
              <w:rPr>
                <w:rFonts w:cstheme="minorHAnsi"/>
              </w:rPr>
            </w:pPr>
            <w:r w:rsidRPr="0029167F">
              <w:rPr>
                <w:rFonts w:cstheme="minorHAnsi"/>
              </w:rPr>
              <w:t>4,279,208</w:t>
            </w:r>
          </w:p>
        </w:tc>
        <w:tc>
          <w:tcPr>
            <w:tcW w:w="819" w:type="pct"/>
          </w:tcPr>
          <w:p w14:paraId="1307F3C8" w14:textId="77777777" w:rsidR="00C659A1" w:rsidRPr="0029167F" w:rsidRDefault="00C659A1" w:rsidP="00136E12">
            <w:pPr>
              <w:pStyle w:val="TableText"/>
              <w:jc w:val="right"/>
              <w:rPr>
                <w:rFonts w:cstheme="minorHAnsi"/>
              </w:rPr>
            </w:pPr>
            <w:r w:rsidRPr="0029167F">
              <w:rPr>
                <w:rFonts w:cstheme="minorHAnsi"/>
              </w:rPr>
              <w:t>49,461,741</w:t>
            </w:r>
          </w:p>
        </w:tc>
      </w:tr>
      <w:tr w:rsidR="00C659A1" w:rsidRPr="0029167F" w14:paraId="678197BF" w14:textId="77777777" w:rsidTr="004C1CBD">
        <w:tc>
          <w:tcPr>
            <w:tcW w:w="573" w:type="pct"/>
          </w:tcPr>
          <w:p w14:paraId="6C5D49E8" w14:textId="77777777" w:rsidR="00C659A1" w:rsidRPr="0029167F" w:rsidRDefault="00C659A1" w:rsidP="00136E12">
            <w:pPr>
              <w:pStyle w:val="TableText"/>
              <w:rPr>
                <w:rFonts w:cstheme="minorHAnsi"/>
              </w:rPr>
            </w:pPr>
            <w:r w:rsidRPr="0029167F">
              <w:rPr>
                <w:rFonts w:cstheme="minorHAnsi"/>
              </w:rPr>
              <w:t>2019–20</w:t>
            </w:r>
          </w:p>
        </w:tc>
        <w:tc>
          <w:tcPr>
            <w:tcW w:w="984" w:type="pct"/>
          </w:tcPr>
          <w:p w14:paraId="51E94C8E" w14:textId="77777777" w:rsidR="00C659A1" w:rsidRPr="0029167F" w:rsidRDefault="00C659A1" w:rsidP="00136E12">
            <w:pPr>
              <w:pStyle w:val="TableText"/>
              <w:jc w:val="right"/>
              <w:rPr>
                <w:rFonts w:cstheme="minorHAnsi"/>
              </w:rPr>
            </w:pPr>
            <w:r w:rsidRPr="0029167F">
              <w:rPr>
                <w:rFonts w:cstheme="minorHAnsi"/>
              </w:rPr>
              <w:t>58,856,338</w:t>
            </w:r>
          </w:p>
        </w:tc>
        <w:tc>
          <w:tcPr>
            <w:tcW w:w="902" w:type="pct"/>
          </w:tcPr>
          <w:p w14:paraId="7E2AC66A" w14:textId="77777777" w:rsidR="00C659A1" w:rsidRPr="0029167F" w:rsidRDefault="00C659A1" w:rsidP="00136E12">
            <w:pPr>
              <w:pStyle w:val="TableText"/>
              <w:jc w:val="right"/>
              <w:rPr>
                <w:rFonts w:cstheme="minorHAnsi"/>
              </w:rPr>
            </w:pPr>
            <w:r w:rsidRPr="0029167F">
              <w:rPr>
                <w:rFonts w:cstheme="minorHAnsi"/>
              </w:rPr>
              <w:t>663,402</w:t>
            </w:r>
          </w:p>
        </w:tc>
        <w:tc>
          <w:tcPr>
            <w:tcW w:w="902" w:type="pct"/>
          </w:tcPr>
          <w:p w14:paraId="4A0AC0C0" w14:textId="77777777" w:rsidR="00C659A1" w:rsidRPr="0029167F" w:rsidRDefault="00C659A1" w:rsidP="00136E12">
            <w:pPr>
              <w:pStyle w:val="TableText"/>
              <w:jc w:val="right"/>
              <w:rPr>
                <w:rFonts w:cstheme="minorHAnsi"/>
              </w:rPr>
            </w:pPr>
            <w:r w:rsidRPr="0029167F">
              <w:rPr>
                <w:rFonts w:cstheme="minorHAnsi"/>
              </w:rPr>
              <w:t>242,061</w:t>
            </w:r>
          </w:p>
        </w:tc>
        <w:tc>
          <w:tcPr>
            <w:tcW w:w="820" w:type="pct"/>
          </w:tcPr>
          <w:p w14:paraId="1991637D" w14:textId="77777777" w:rsidR="00C659A1" w:rsidRPr="0029167F" w:rsidRDefault="00C659A1" w:rsidP="00136E12">
            <w:pPr>
              <w:pStyle w:val="TableText"/>
              <w:jc w:val="right"/>
              <w:rPr>
                <w:rFonts w:cstheme="minorHAnsi"/>
              </w:rPr>
            </w:pPr>
            <w:r w:rsidRPr="0029167F">
              <w:rPr>
                <w:rFonts w:cstheme="minorHAnsi"/>
              </w:rPr>
              <w:t>4,243,067</w:t>
            </w:r>
          </w:p>
        </w:tc>
        <w:tc>
          <w:tcPr>
            <w:tcW w:w="819" w:type="pct"/>
          </w:tcPr>
          <w:p w14:paraId="79A26ECD" w14:textId="77777777" w:rsidR="00C659A1" w:rsidRPr="0029167F" w:rsidRDefault="00C659A1" w:rsidP="00136E12">
            <w:pPr>
              <w:pStyle w:val="TableText"/>
              <w:jc w:val="right"/>
              <w:rPr>
                <w:rFonts w:cstheme="minorHAnsi"/>
              </w:rPr>
            </w:pPr>
            <w:r w:rsidRPr="0029167F">
              <w:rPr>
                <w:rFonts w:cstheme="minorHAnsi"/>
              </w:rPr>
              <w:t>54,613,271</w:t>
            </w:r>
          </w:p>
        </w:tc>
      </w:tr>
      <w:tr w:rsidR="00C659A1" w:rsidRPr="0029167F" w14:paraId="2A52F249" w14:textId="77777777" w:rsidTr="004C1CBD">
        <w:tc>
          <w:tcPr>
            <w:tcW w:w="573" w:type="pct"/>
          </w:tcPr>
          <w:p w14:paraId="71A75C2A" w14:textId="77777777" w:rsidR="00C659A1" w:rsidRPr="0029167F" w:rsidRDefault="00C659A1" w:rsidP="00136E12">
            <w:pPr>
              <w:pStyle w:val="TableText"/>
              <w:rPr>
                <w:rFonts w:cstheme="minorHAnsi"/>
              </w:rPr>
            </w:pPr>
            <w:r w:rsidRPr="0029167F">
              <w:rPr>
                <w:rFonts w:cstheme="minorHAnsi"/>
              </w:rPr>
              <w:t>2020–21</w:t>
            </w:r>
          </w:p>
        </w:tc>
        <w:tc>
          <w:tcPr>
            <w:tcW w:w="984" w:type="pct"/>
          </w:tcPr>
          <w:p w14:paraId="3C87B909" w14:textId="77777777" w:rsidR="00C659A1" w:rsidRPr="0029167F" w:rsidRDefault="00C659A1" w:rsidP="00136E12">
            <w:pPr>
              <w:pStyle w:val="TableText"/>
              <w:jc w:val="right"/>
              <w:rPr>
                <w:rFonts w:cstheme="minorHAnsi"/>
              </w:rPr>
            </w:pPr>
            <w:r w:rsidRPr="0029167F">
              <w:rPr>
                <w:rFonts w:cstheme="minorHAnsi"/>
              </w:rPr>
              <w:t>77,199,249</w:t>
            </w:r>
          </w:p>
        </w:tc>
        <w:tc>
          <w:tcPr>
            <w:tcW w:w="902" w:type="pct"/>
          </w:tcPr>
          <w:p w14:paraId="3DD258D3" w14:textId="77777777" w:rsidR="00C659A1" w:rsidRPr="0029167F" w:rsidRDefault="00C659A1" w:rsidP="00136E12">
            <w:pPr>
              <w:pStyle w:val="TableText"/>
              <w:jc w:val="right"/>
              <w:rPr>
                <w:rFonts w:cstheme="minorHAnsi"/>
              </w:rPr>
            </w:pPr>
            <w:r w:rsidRPr="0029167F">
              <w:rPr>
                <w:rFonts w:cstheme="minorHAnsi"/>
              </w:rPr>
              <w:t>790,857</w:t>
            </w:r>
          </w:p>
        </w:tc>
        <w:tc>
          <w:tcPr>
            <w:tcW w:w="902" w:type="pct"/>
          </w:tcPr>
          <w:p w14:paraId="49A6663A" w14:textId="77777777" w:rsidR="00C659A1" w:rsidRPr="0029167F" w:rsidRDefault="00C659A1" w:rsidP="00136E12">
            <w:pPr>
              <w:pStyle w:val="TableText"/>
              <w:jc w:val="right"/>
              <w:rPr>
                <w:rFonts w:cstheme="minorHAnsi"/>
              </w:rPr>
            </w:pPr>
            <w:r w:rsidRPr="0029167F">
              <w:rPr>
                <w:rFonts w:cstheme="minorHAnsi"/>
              </w:rPr>
              <w:t>329,709</w:t>
            </w:r>
          </w:p>
        </w:tc>
        <w:tc>
          <w:tcPr>
            <w:tcW w:w="820" w:type="pct"/>
          </w:tcPr>
          <w:p w14:paraId="0FAC952B" w14:textId="77777777" w:rsidR="00C659A1" w:rsidRPr="0029167F" w:rsidRDefault="00C659A1" w:rsidP="00136E12">
            <w:pPr>
              <w:pStyle w:val="TableText"/>
              <w:jc w:val="right"/>
              <w:rPr>
                <w:rFonts w:cstheme="minorHAnsi"/>
              </w:rPr>
            </w:pPr>
            <w:r w:rsidRPr="0029167F">
              <w:rPr>
                <w:rFonts w:cstheme="minorHAnsi"/>
              </w:rPr>
              <w:t>4,508,546</w:t>
            </w:r>
          </w:p>
        </w:tc>
        <w:tc>
          <w:tcPr>
            <w:tcW w:w="819" w:type="pct"/>
          </w:tcPr>
          <w:p w14:paraId="6AE33AC8" w14:textId="77777777" w:rsidR="00C659A1" w:rsidRPr="0029167F" w:rsidRDefault="00C659A1" w:rsidP="00136E12">
            <w:pPr>
              <w:pStyle w:val="TableText"/>
              <w:jc w:val="right"/>
              <w:rPr>
                <w:rFonts w:cstheme="minorHAnsi"/>
              </w:rPr>
            </w:pPr>
            <w:r w:rsidRPr="0029167F">
              <w:rPr>
                <w:rFonts w:cstheme="minorHAnsi"/>
              </w:rPr>
              <w:t>72,690,703</w:t>
            </w:r>
          </w:p>
        </w:tc>
      </w:tr>
      <w:tr w:rsidR="00C659A1" w:rsidRPr="0029167F" w14:paraId="72D79358" w14:textId="77777777" w:rsidTr="004C1CBD">
        <w:tc>
          <w:tcPr>
            <w:tcW w:w="573" w:type="pct"/>
          </w:tcPr>
          <w:p w14:paraId="4B259616" w14:textId="77777777" w:rsidR="00C659A1" w:rsidRPr="0029167F" w:rsidRDefault="00C659A1" w:rsidP="00136E12">
            <w:pPr>
              <w:pStyle w:val="TableText"/>
              <w:rPr>
                <w:rFonts w:cstheme="minorHAnsi"/>
              </w:rPr>
            </w:pPr>
            <w:r>
              <w:rPr>
                <w:rFonts w:cstheme="minorHAnsi"/>
              </w:rPr>
              <w:t>2021–22</w:t>
            </w:r>
          </w:p>
        </w:tc>
        <w:tc>
          <w:tcPr>
            <w:tcW w:w="984" w:type="pct"/>
          </w:tcPr>
          <w:p w14:paraId="7BFBB357" w14:textId="77777777" w:rsidR="00C659A1" w:rsidRPr="0029167F" w:rsidRDefault="00C659A1" w:rsidP="00136E12">
            <w:pPr>
              <w:pStyle w:val="TableText"/>
              <w:jc w:val="right"/>
              <w:rPr>
                <w:rFonts w:cstheme="minorHAnsi"/>
              </w:rPr>
            </w:pPr>
            <w:r>
              <w:rPr>
                <w:rFonts w:cstheme="minorHAnsi"/>
              </w:rPr>
              <w:t>88,955,196</w:t>
            </w:r>
          </w:p>
        </w:tc>
        <w:tc>
          <w:tcPr>
            <w:tcW w:w="902" w:type="pct"/>
          </w:tcPr>
          <w:p w14:paraId="021BF949" w14:textId="77777777" w:rsidR="00C659A1" w:rsidRPr="0029167F" w:rsidRDefault="00C659A1" w:rsidP="00136E12">
            <w:pPr>
              <w:pStyle w:val="TableText"/>
              <w:jc w:val="right"/>
              <w:rPr>
                <w:rFonts w:cstheme="minorHAnsi"/>
              </w:rPr>
            </w:pPr>
            <w:r>
              <w:rPr>
                <w:rFonts w:cstheme="minorHAnsi"/>
              </w:rPr>
              <w:t>782,208</w:t>
            </w:r>
          </w:p>
        </w:tc>
        <w:tc>
          <w:tcPr>
            <w:tcW w:w="902" w:type="pct"/>
          </w:tcPr>
          <w:p w14:paraId="06370F8F" w14:textId="77777777" w:rsidR="00C659A1" w:rsidRPr="0029167F" w:rsidRDefault="00C659A1" w:rsidP="00136E12">
            <w:pPr>
              <w:pStyle w:val="TableText"/>
              <w:jc w:val="right"/>
              <w:rPr>
                <w:rFonts w:cstheme="minorHAnsi"/>
              </w:rPr>
            </w:pPr>
            <w:r>
              <w:rPr>
                <w:rFonts w:cstheme="minorHAnsi"/>
              </w:rPr>
              <w:t>335,195</w:t>
            </w:r>
          </w:p>
        </w:tc>
        <w:tc>
          <w:tcPr>
            <w:tcW w:w="820" w:type="pct"/>
          </w:tcPr>
          <w:p w14:paraId="095C909C" w14:textId="77777777" w:rsidR="00C659A1" w:rsidRPr="0029167F" w:rsidRDefault="00C659A1" w:rsidP="00136E12">
            <w:pPr>
              <w:pStyle w:val="TableText"/>
              <w:jc w:val="right"/>
              <w:rPr>
                <w:rFonts w:cstheme="minorHAnsi"/>
              </w:rPr>
            </w:pPr>
            <w:r>
              <w:rPr>
                <w:rFonts w:cstheme="minorHAnsi"/>
              </w:rPr>
              <w:t>4,385,366</w:t>
            </w:r>
          </w:p>
        </w:tc>
        <w:tc>
          <w:tcPr>
            <w:tcW w:w="819" w:type="pct"/>
          </w:tcPr>
          <w:p w14:paraId="3F2468DC" w14:textId="77777777" w:rsidR="00C659A1" w:rsidRPr="0029167F" w:rsidRDefault="00C659A1" w:rsidP="00136E12">
            <w:pPr>
              <w:pStyle w:val="TableText"/>
              <w:jc w:val="right"/>
              <w:rPr>
                <w:rFonts w:cstheme="minorHAnsi"/>
              </w:rPr>
            </w:pPr>
            <w:r>
              <w:rPr>
                <w:rFonts w:cstheme="minorHAnsi"/>
              </w:rPr>
              <w:t>84,569,830</w:t>
            </w:r>
          </w:p>
        </w:tc>
      </w:tr>
      <w:tr w:rsidR="00C659A1" w:rsidRPr="0029167F" w14:paraId="373D9BCA" w14:textId="77777777" w:rsidTr="004C1CBD">
        <w:tc>
          <w:tcPr>
            <w:tcW w:w="573" w:type="pct"/>
          </w:tcPr>
          <w:p w14:paraId="533C7E98" w14:textId="77777777" w:rsidR="00C659A1" w:rsidRDefault="00C659A1" w:rsidP="00136E12">
            <w:pPr>
              <w:pStyle w:val="TableText"/>
              <w:rPr>
                <w:rFonts w:cstheme="minorHAnsi"/>
              </w:rPr>
            </w:pPr>
            <w:r w:rsidRPr="00A26910">
              <w:rPr>
                <w:rFonts w:cstheme="minorHAnsi"/>
              </w:rPr>
              <w:t>2022</w:t>
            </w:r>
            <w:r>
              <w:rPr>
                <w:rFonts w:cstheme="minorHAnsi"/>
              </w:rPr>
              <w:t>–</w:t>
            </w:r>
            <w:r w:rsidRPr="00A26910">
              <w:rPr>
                <w:rFonts w:cstheme="minorHAnsi"/>
              </w:rPr>
              <w:t>23</w:t>
            </w:r>
          </w:p>
        </w:tc>
        <w:tc>
          <w:tcPr>
            <w:tcW w:w="984" w:type="pct"/>
          </w:tcPr>
          <w:p w14:paraId="52D16F26" w14:textId="77777777" w:rsidR="00C659A1" w:rsidRDefault="00C659A1" w:rsidP="00136E12">
            <w:pPr>
              <w:pStyle w:val="TableText"/>
              <w:jc w:val="right"/>
              <w:rPr>
                <w:rFonts w:cstheme="minorHAnsi"/>
              </w:rPr>
            </w:pPr>
            <w:r>
              <w:rPr>
                <w:rFonts w:cstheme="minorHAnsi"/>
              </w:rPr>
              <w:t>89,875,509</w:t>
            </w:r>
          </w:p>
        </w:tc>
        <w:tc>
          <w:tcPr>
            <w:tcW w:w="902" w:type="pct"/>
          </w:tcPr>
          <w:p w14:paraId="47A1EE27" w14:textId="77777777" w:rsidR="00C659A1" w:rsidRDefault="00C659A1" w:rsidP="00136E12">
            <w:pPr>
              <w:pStyle w:val="TableText"/>
              <w:jc w:val="right"/>
              <w:rPr>
                <w:rFonts w:cstheme="minorHAnsi"/>
              </w:rPr>
            </w:pPr>
            <w:r>
              <w:rPr>
                <w:rFonts w:cstheme="minorHAnsi"/>
              </w:rPr>
              <w:t>682,129</w:t>
            </w:r>
          </w:p>
        </w:tc>
        <w:tc>
          <w:tcPr>
            <w:tcW w:w="902" w:type="pct"/>
          </w:tcPr>
          <w:p w14:paraId="2A3A36D8" w14:textId="77777777" w:rsidR="00C659A1" w:rsidRDefault="00C659A1" w:rsidP="00136E12">
            <w:pPr>
              <w:pStyle w:val="TableText"/>
              <w:jc w:val="right"/>
              <w:rPr>
                <w:rFonts w:cstheme="minorHAnsi"/>
              </w:rPr>
            </w:pPr>
            <w:r>
              <w:rPr>
                <w:rFonts w:cstheme="minorHAnsi"/>
              </w:rPr>
              <w:t>272,417</w:t>
            </w:r>
          </w:p>
        </w:tc>
        <w:tc>
          <w:tcPr>
            <w:tcW w:w="820" w:type="pct"/>
          </w:tcPr>
          <w:p w14:paraId="1656CCCB" w14:textId="77777777" w:rsidR="00C659A1" w:rsidRDefault="00C659A1" w:rsidP="00136E12">
            <w:pPr>
              <w:pStyle w:val="TableText"/>
              <w:jc w:val="right"/>
              <w:rPr>
                <w:rFonts w:cstheme="minorHAnsi"/>
              </w:rPr>
            </w:pPr>
            <w:r>
              <w:rPr>
                <w:rFonts w:cstheme="minorHAnsi"/>
              </w:rPr>
              <w:t>4,327,283</w:t>
            </w:r>
          </w:p>
        </w:tc>
        <w:tc>
          <w:tcPr>
            <w:tcW w:w="819" w:type="pct"/>
          </w:tcPr>
          <w:p w14:paraId="1AFB56CC" w14:textId="77777777" w:rsidR="00C659A1" w:rsidRDefault="00C659A1" w:rsidP="00136E12">
            <w:pPr>
              <w:pStyle w:val="TableText"/>
              <w:jc w:val="right"/>
              <w:rPr>
                <w:rFonts w:cstheme="minorHAnsi"/>
              </w:rPr>
            </w:pPr>
            <w:r>
              <w:rPr>
                <w:rFonts w:cstheme="minorHAnsi"/>
              </w:rPr>
              <w:t>85,548,226</w:t>
            </w:r>
          </w:p>
        </w:tc>
      </w:tr>
    </w:tbl>
    <w:p w14:paraId="62F3E9BD" w14:textId="77777777" w:rsidR="009E7B52" w:rsidRPr="0029167F" w:rsidRDefault="009E7B52" w:rsidP="00A32817">
      <w:pPr>
        <w:pStyle w:val="FigureTableNoteSource"/>
        <w:spacing w:after="0"/>
        <w:rPr>
          <w:rFonts w:asciiTheme="minorHAnsi" w:hAnsiTheme="minorHAnsi" w:cstheme="minorHAnsi"/>
        </w:rPr>
      </w:pPr>
      <w:bookmarkStart w:id="264" w:name="Table_A2"/>
      <w:bookmarkStart w:id="265" w:name="Title_A2"/>
      <w:bookmarkEnd w:id="263"/>
      <w:bookmarkEnd w:id="264"/>
      <w:bookmarkEnd w:id="265"/>
      <w:r w:rsidRPr="0029167F">
        <w:rPr>
          <w:rFonts w:asciiTheme="minorHAnsi" w:hAnsiTheme="minorHAnsi" w:cstheme="minorHAnsi"/>
        </w:rPr>
        <w:t xml:space="preserve">Note: All cargo import declarations are profiled for biosecurity concerns. Declarations that match a profile are referred to the </w:t>
      </w:r>
      <w:bookmarkStart w:id="266" w:name="_Hlk135330598"/>
      <w:r w:rsidRPr="0029167F">
        <w:rPr>
          <w:rFonts w:asciiTheme="minorHAnsi" w:hAnsiTheme="minorHAnsi" w:cstheme="minorHAnsi"/>
        </w:rPr>
        <w:t>department for action.</w:t>
      </w:r>
    </w:p>
    <w:p w14:paraId="707B3AD3" w14:textId="4A197D0B" w:rsidR="003040C6" w:rsidRPr="001F64A9" w:rsidRDefault="003040C6" w:rsidP="00AA1178">
      <w:pPr>
        <w:pStyle w:val="Caption"/>
        <w:spacing w:before="120"/>
      </w:pPr>
      <w:bookmarkStart w:id="267" w:name="_Toc168645288"/>
      <w:bookmarkStart w:id="268" w:name="Title_A3"/>
      <w:r>
        <w:t>Table A</w:t>
      </w:r>
      <w:r w:rsidR="00FD4278">
        <w:fldChar w:fldCharType="begin"/>
      </w:r>
      <w:r w:rsidR="00FD4278">
        <w:instrText xml:space="preserve"> SEQ Table_A \* ARABIC </w:instrText>
      </w:r>
      <w:r w:rsidR="00FD4278">
        <w:fldChar w:fldCharType="separate"/>
      </w:r>
      <w:r w:rsidR="006D5EF4">
        <w:rPr>
          <w:noProof/>
        </w:rPr>
        <w:t>3</w:t>
      </w:r>
      <w:r w:rsidR="00FD4278">
        <w:rPr>
          <w:noProof/>
        </w:rPr>
        <w:fldChar w:fldCharType="end"/>
      </w:r>
      <w:r>
        <w:t xml:space="preserve"> Import permit applications and animals processed at the PEQ</w:t>
      </w:r>
      <w:bookmarkEnd w:id="267"/>
    </w:p>
    <w:tbl>
      <w:tblPr>
        <w:tblW w:w="5000" w:type="pct"/>
        <w:tblBorders>
          <w:top w:val="single" w:sz="4" w:space="0" w:color="auto"/>
          <w:bottom w:val="single" w:sz="4" w:space="0" w:color="auto"/>
          <w:insideH w:val="single" w:sz="4" w:space="0" w:color="auto"/>
        </w:tblBorders>
        <w:tblCellMar>
          <w:left w:w="40" w:type="dxa"/>
          <w:right w:w="40" w:type="dxa"/>
        </w:tblCellMar>
        <w:tblLook w:val="04A0" w:firstRow="1" w:lastRow="0" w:firstColumn="1" w:lastColumn="0" w:noHBand="0" w:noVBand="1"/>
      </w:tblPr>
      <w:tblGrid>
        <w:gridCol w:w="1051"/>
        <w:gridCol w:w="3765"/>
        <w:gridCol w:w="4368"/>
      </w:tblGrid>
      <w:tr w:rsidR="009E7B52" w:rsidRPr="00A26910" w14:paraId="4FF5B61A" w14:textId="77777777" w:rsidTr="00A4372E">
        <w:trPr>
          <w:tblHeader/>
        </w:trPr>
        <w:tc>
          <w:tcPr>
            <w:tcW w:w="572" w:type="pct"/>
          </w:tcPr>
          <w:p w14:paraId="1994D7F6" w14:textId="77777777" w:rsidR="009E7B52" w:rsidRPr="00A968F0" w:rsidRDefault="009E7B52" w:rsidP="00A968F0">
            <w:pPr>
              <w:pStyle w:val="TableHeading"/>
              <w:rPr>
                <w:rStyle w:val="Strong"/>
                <w:b/>
                <w:bCs w:val="0"/>
              </w:rPr>
            </w:pPr>
            <w:bookmarkStart w:id="269" w:name="Table_A3"/>
            <w:bookmarkStart w:id="270" w:name="Table_A4" w:colFirst="0" w:colLast="0"/>
            <w:bookmarkEnd w:id="268"/>
            <w:bookmarkEnd w:id="269"/>
            <w:r w:rsidRPr="00416E05">
              <w:rPr>
                <w:rStyle w:val="Strong"/>
                <w:b/>
                <w:bCs w:val="0"/>
              </w:rPr>
              <w:t>Year</w:t>
            </w:r>
          </w:p>
        </w:tc>
        <w:tc>
          <w:tcPr>
            <w:tcW w:w="2050" w:type="pct"/>
          </w:tcPr>
          <w:p w14:paraId="7E2DC83D" w14:textId="11847B74" w:rsidR="009E7B52" w:rsidRPr="00A968F0" w:rsidRDefault="009E7B52" w:rsidP="00A968F0">
            <w:pPr>
              <w:pStyle w:val="TableHeading"/>
              <w:rPr>
                <w:rStyle w:val="Strong"/>
                <w:b/>
                <w:bCs w:val="0"/>
              </w:rPr>
            </w:pPr>
            <w:r w:rsidRPr="00416E05">
              <w:rPr>
                <w:rStyle w:val="Strong"/>
                <w:b/>
                <w:bCs w:val="0"/>
              </w:rPr>
              <w:t xml:space="preserve">Total volume of permit applications submitted and paid to </w:t>
            </w:r>
            <w:r w:rsidR="00D74FA6">
              <w:rPr>
                <w:rStyle w:val="Strong"/>
                <w:b/>
                <w:bCs w:val="0"/>
              </w:rPr>
              <w:t>t</w:t>
            </w:r>
            <w:r w:rsidR="00D74FA6">
              <w:rPr>
                <w:rStyle w:val="Strong"/>
                <w:b/>
              </w:rPr>
              <w:t>he department</w:t>
            </w:r>
          </w:p>
        </w:tc>
        <w:tc>
          <w:tcPr>
            <w:tcW w:w="2378" w:type="pct"/>
          </w:tcPr>
          <w:p w14:paraId="3D67BE20" w14:textId="6376056E" w:rsidR="009E7B52" w:rsidRPr="00A968F0" w:rsidRDefault="009E7B52" w:rsidP="00A968F0">
            <w:pPr>
              <w:pStyle w:val="TableHeading"/>
              <w:rPr>
                <w:rStyle w:val="Strong"/>
                <w:b/>
                <w:bCs w:val="0"/>
              </w:rPr>
            </w:pPr>
            <w:r w:rsidRPr="00416E05">
              <w:rPr>
                <w:rStyle w:val="Strong"/>
                <w:b/>
                <w:bCs w:val="0"/>
              </w:rPr>
              <w:t>Number of animals (</w:t>
            </w:r>
            <w:r w:rsidR="00C03333">
              <w:rPr>
                <w:rStyle w:val="Strong"/>
                <w:b/>
                <w:bCs w:val="0"/>
              </w:rPr>
              <w:t>c</w:t>
            </w:r>
            <w:r w:rsidRPr="00416E05">
              <w:rPr>
                <w:rStyle w:val="Strong"/>
                <w:b/>
                <w:bCs w:val="0"/>
              </w:rPr>
              <w:t>ats, dogs &amp; horses) processed at the PEQ</w:t>
            </w:r>
          </w:p>
        </w:tc>
      </w:tr>
      <w:bookmarkEnd w:id="270"/>
      <w:tr w:rsidR="009E7B52" w:rsidRPr="00A26910" w14:paraId="3F79A23F" w14:textId="77777777" w:rsidTr="00A4372E">
        <w:tc>
          <w:tcPr>
            <w:tcW w:w="572" w:type="pct"/>
          </w:tcPr>
          <w:p w14:paraId="2057F38A" w14:textId="77777777" w:rsidR="009E7B52" w:rsidRPr="00A26910" w:rsidRDefault="009E7B52" w:rsidP="00EB2ADB">
            <w:pPr>
              <w:pStyle w:val="TableText"/>
              <w:rPr>
                <w:rFonts w:cstheme="minorHAnsi"/>
              </w:rPr>
            </w:pPr>
            <w:r w:rsidRPr="00A26910">
              <w:rPr>
                <w:rFonts w:cstheme="minorHAnsi"/>
              </w:rPr>
              <w:t>2018–19</w:t>
            </w:r>
          </w:p>
        </w:tc>
        <w:tc>
          <w:tcPr>
            <w:tcW w:w="2050" w:type="pct"/>
          </w:tcPr>
          <w:p w14:paraId="6926C4C8" w14:textId="77777777" w:rsidR="009E7B52" w:rsidRPr="00A26910" w:rsidRDefault="009E7B52" w:rsidP="00EB2ADB">
            <w:pPr>
              <w:pStyle w:val="TableText"/>
              <w:jc w:val="right"/>
              <w:rPr>
                <w:rFonts w:cstheme="minorHAnsi"/>
              </w:rPr>
            </w:pPr>
            <w:r w:rsidRPr="00A26910">
              <w:rPr>
                <w:rFonts w:cstheme="minorHAnsi"/>
              </w:rPr>
              <w:t>16,825</w:t>
            </w:r>
          </w:p>
        </w:tc>
        <w:tc>
          <w:tcPr>
            <w:tcW w:w="2378" w:type="pct"/>
          </w:tcPr>
          <w:p w14:paraId="0F5809B8" w14:textId="77777777" w:rsidR="009E7B52" w:rsidRPr="00A26910" w:rsidRDefault="009E7B52" w:rsidP="00EB2ADB">
            <w:pPr>
              <w:pStyle w:val="TableText"/>
              <w:jc w:val="right"/>
              <w:rPr>
                <w:rFonts w:cstheme="minorHAnsi"/>
              </w:rPr>
            </w:pPr>
            <w:r w:rsidRPr="00A26910">
              <w:rPr>
                <w:rFonts w:cstheme="minorHAnsi"/>
              </w:rPr>
              <w:t>6762</w:t>
            </w:r>
          </w:p>
        </w:tc>
      </w:tr>
      <w:tr w:rsidR="009E7B52" w:rsidRPr="00A26910" w14:paraId="091E798F" w14:textId="77777777" w:rsidTr="00A4372E">
        <w:tc>
          <w:tcPr>
            <w:tcW w:w="572" w:type="pct"/>
          </w:tcPr>
          <w:p w14:paraId="385232E3" w14:textId="77777777" w:rsidR="009E7B52" w:rsidRPr="00A26910" w:rsidRDefault="009E7B52" w:rsidP="00EB2ADB">
            <w:pPr>
              <w:pStyle w:val="TableText"/>
              <w:rPr>
                <w:rFonts w:cstheme="minorHAnsi"/>
              </w:rPr>
            </w:pPr>
            <w:r w:rsidRPr="00A26910">
              <w:rPr>
                <w:rFonts w:cstheme="minorHAnsi"/>
              </w:rPr>
              <w:t>2019–20</w:t>
            </w:r>
          </w:p>
        </w:tc>
        <w:tc>
          <w:tcPr>
            <w:tcW w:w="2050" w:type="pct"/>
          </w:tcPr>
          <w:p w14:paraId="44770CCD" w14:textId="77777777" w:rsidR="009E7B52" w:rsidRPr="00A26910" w:rsidRDefault="009E7B52" w:rsidP="00EB2ADB">
            <w:pPr>
              <w:pStyle w:val="TableText"/>
              <w:jc w:val="right"/>
              <w:rPr>
                <w:rFonts w:cstheme="minorHAnsi"/>
              </w:rPr>
            </w:pPr>
            <w:r w:rsidRPr="00A26910">
              <w:rPr>
                <w:rFonts w:cstheme="minorHAnsi"/>
              </w:rPr>
              <w:t>17,476</w:t>
            </w:r>
          </w:p>
        </w:tc>
        <w:tc>
          <w:tcPr>
            <w:tcW w:w="2378" w:type="pct"/>
          </w:tcPr>
          <w:p w14:paraId="2632E240" w14:textId="77777777" w:rsidR="009E7B52" w:rsidRPr="00A26910" w:rsidRDefault="009E7B52" w:rsidP="00EB2ADB">
            <w:pPr>
              <w:pStyle w:val="TableText"/>
              <w:jc w:val="right"/>
              <w:rPr>
                <w:rFonts w:cstheme="minorHAnsi"/>
              </w:rPr>
            </w:pPr>
            <w:r w:rsidRPr="00A26910">
              <w:rPr>
                <w:rFonts w:cstheme="minorHAnsi"/>
              </w:rPr>
              <w:t>5,647</w:t>
            </w:r>
          </w:p>
        </w:tc>
      </w:tr>
      <w:tr w:rsidR="009E7B52" w:rsidRPr="00A26910" w14:paraId="63982113" w14:textId="77777777" w:rsidTr="00A4372E">
        <w:tc>
          <w:tcPr>
            <w:tcW w:w="572" w:type="pct"/>
          </w:tcPr>
          <w:p w14:paraId="712A2149" w14:textId="77777777" w:rsidR="009E7B52" w:rsidRPr="00A26910" w:rsidRDefault="009E7B52" w:rsidP="00EB2ADB">
            <w:pPr>
              <w:pStyle w:val="TableText"/>
              <w:rPr>
                <w:rFonts w:cstheme="minorHAnsi"/>
              </w:rPr>
            </w:pPr>
            <w:r w:rsidRPr="00A26910">
              <w:rPr>
                <w:rFonts w:cstheme="minorHAnsi"/>
              </w:rPr>
              <w:t>2020–21</w:t>
            </w:r>
          </w:p>
        </w:tc>
        <w:tc>
          <w:tcPr>
            <w:tcW w:w="2050" w:type="pct"/>
          </w:tcPr>
          <w:p w14:paraId="784BF284" w14:textId="77777777" w:rsidR="009E7B52" w:rsidRPr="00A26910" w:rsidRDefault="009E7B52" w:rsidP="00EB2ADB">
            <w:pPr>
              <w:pStyle w:val="TableText"/>
              <w:jc w:val="right"/>
              <w:rPr>
                <w:rFonts w:cstheme="minorHAnsi"/>
              </w:rPr>
            </w:pPr>
            <w:r w:rsidRPr="00A26910">
              <w:rPr>
                <w:rFonts w:cstheme="minorHAnsi"/>
              </w:rPr>
              <w:t>15,140</w:t>
            </w:r>
          </w:p>
        </w:tc>
        <w:tc>
          <w:tcPr>
            <w:tcW w:w="2378" w:type="pct"/>
          </w:tcPr>
          <w:p w14:paraId="14A39BAE" w14:textId="77777777" w:rsidR="009E7B52" w:rsidRPr="00A26910" w:rsidRDefault="009E7B52" w:rsidP="00EB2ADB">
            <w:pPr>
              <w:pStyle w:val="TableText"/>
              <w:jc w:val="right"/>
              <w:rPr>
                <w:rFonts w:cstheme="minorHAnsi"/>
                <w:color w:val="000000"/>
                <w:lang w:eastAsia="en-AU"/>
              </w:rPr>
            </w:pPr>
            <w:r w:rsidRPr="00A26910">
              <w:rPr>
                <w:rFonts w:cstheme="minorHAnsi"/>
              </w:rPr>
              <w:t>4,936</w:t>
            </w:r>
          </w:p>
        </w:tc>
      </w:tr>
      <w:tr w:rsidR="009E7B52" w:rsidRPr="00A26910" w14:paraId="1DB7B37A" w14:textId="77777777" w:rsidTr="00A4372E">
        <w:tc>
          <w:tcPr>
            <w:tcW w:w="572" w:type="pct"/>
          </w:tcPr>
          <w:p w14:paraId="5E39BEF3" w14:textId="17C1F033" w:rsidR="009E7B52" w:rsidRPr="00A26910" w:rsidRDefault="009E7B52" w:rsidP="00EB2ADB">
            <w:pPr>
              <w:pStyle w:val="TableText"/>
              <w:rPr>
                <w:rFonts w:cstheme="minorHAnsi"/>
              </w:rPr>
            </w:pPr>
            <w:r w:rsidRPr="00A26910">
              <w:rPr>
                <w:rFonts w:cstheme="minorHAnsi"/>
              </w:rPr>
              <w:t>2021</w:t>
            </w:r>
            <w:r w:rsidR="00F66B0D">
              <w:rPr>
                <w:rFonts w:cstheme="minorHAnsi"/>
              </w:rPr>
              <w:t>–</w:t>
            </w:r>
            <w:r w:rsidRPr="00A26910">
              <w:rPr>
                <w:rFonts w:cstheme="minorHAnsi"/>
              </w:rPr>
              <w:t>22</w:t>
            </w:r>
          </w:p>
        </w:tc>
        <w:tc>
          <w:tcPr>
            <w:tcW w:w="2050" w:type="pct"/>
          </w:tcPr>
          <w:p w14:paraId="685F6371" w14:textId="00B9CA8A" w:rsidR="009E7B52" w:rsidRPr="00A26910" w:rsidRDefault="00931E64" w:rsidP="00EB2ADB">
            <w:pPr>
              <w:pStyle w:val="TableText"/>
              <w:jc w:val="right"/>
              <w:rPr>
                <w:rFonts w:cstheme="minorHAnsi"/>
              </w:rPr>
            </w:pPr>
            <w:r w:rsidRPr="00A26910">
              <w:rPr>
                <w:rFonts w:cstheme="minorHAnsi"/>
              </w:rPr>
              <w:t>17,515</w:t>
            </w:r>
          </w:p>
        </w:tc>
        <w:tc>
          <w:tcPr>
            <w:tcW w:w="2378" w:type="pct"/>
          </w:tcPr>
          <w:p w14:paraId="2E76C6DC" w14:textId="77777777" w:rsidR="009E7B52" w:rsidRPr="00A26910" w:rsidRDefault="009E7B52" w:rsidP="00EB2ADB">
            <w:pPr>
              <w:pStyle w:val="TableText"/>
              <w:jc w:val="right"/>
              <w:rPr>
                <w:rFonts w:cstheme="minorHAnsi"/>
              </w:rPr>
            </w:pPr>
            <w:r w:rsidRPr="00A26910">
              <w:rPr>
                <w:rFonts w:cstheme="minorHAnsi"/>
              </w:rPr>
              <w:t>6,484</w:t>
            </w:r>
          </w:p>
        </w:tc>
      </w:tr>
      <w:tr w:rsidR="001679F4" w:rsidRPr="0029167F" w14:paraId="15535B76" w14:textId="77777777" w:rsidTr="00A4372E">
        <w:tc>
          <w:tcPr>
            <w:tcW w:w="572" w:type="pct"/>
          </w:tcPr>
          <w:p w14:paraId="13D18F54" w14:textId="5C079F42" w:rsidR="001679F4" w:rsidRPr="00A26910" w:rsidRDefault="001679F4" w:rsidP="00EB2ADB">
            <w:pPr>
              <w:pStyle w:val="TableText"/>
              <w:rPr>
                <w:rFonts w:cstheme="minorHAnsi"/>
              </w:rPr>
            </w:pPr>
            <w:r w:rsidRPr="00A26910">
              <w:rPr>
                <w:rFonts w:cstheme="minorHAnsi"/>
              </w:rPr>
              <w:t>2022</w:t>
            </w:r>
            <w:r w:rsidR="00F66B0D">
              <w:rPr>
                <w:rFonts w:cstheme="minorHAnsi"/>
              </w:rPr>
              <w:t>–</w:t>
            </w:r>
            <w:r w:rsidRPr="00A26910">
              <w:rPr>
                <w:rFonts w:cstheme="minorHAnsi"/>
              </w:rPr>
              <w:t>23</w:t>
            </w:r>
          </w:p>
        </w:tc>
        <w:tc>
          <w:tcPr>
            <w:tcW w:w="2050" w:type="pct"/>
          </w:tcPr>
          <w:p w14:paraId="6974563D" w14:textId="2CD762AD" w:rsidR="001679F4" w:rsidRPr="00A26910" w:rsidRDefault="00A26910" w:rsidP="00EB2ADB">
            <w:pPr>
              <w:pStyle w:val="TableText"/>
              <w:jc w:val="right"/>
              <w:rPr>
                <w:rFonts w:cstheme="minorHAnsi"/>
              </w:rPr>
            </w:pPr>
            <w:r w:rsidRPr="00A26910">
              <w:rPr>
                <w:rFonts w:cstheme="minorHAnsi"/>
              </w:rPr>
              <w:t>18,992</w:t>
            </w:r>
          </w:p>
        </w:tc>
        <w:tc>
          <w:tcPr>
            <w:tcW w:w="2378" w:type="pct"/>
          </w:tcPr>
          <w:p w14:paraId="2F1D625D" w14:textId="2A4ECB9A" w:rsidR="001679F4" w:rsidRDefault="00A26910" w:rsidP="00EB2ADB">
            <w:pPr>
              <w:pStyle w:val="TableText"/>
              <w:jc w:val="right"/>
              <w:rPr>
                <w:rFonts w:cstheme="minorHAnsi"/>
              </w:rPr>
            </w:pPr>
            <w:r w:rsidRPr="00A26910">
              <w:rPr>
                <w:rFonts w:cstheme="minorHAnsi"/>
              </w:rPr>
              <w:t>6,784</w:t>
            </w:r>
          </w:p>
        </w:tc>
      </w:tr>
    </w:tbl>
    <w:p w14:paraId="5D5E5F1B" w14:textId="61DD2466" w:rsidR="005E2A40" w:rsidRPr="0029167F" w:rsidRDefault="00852B78" w:rsidP="00043DC4">
      <w:pPr>
        <w:pStyle w:val="Heading2"/>
        <w:numPr>
          <w:ilvl w:val="0"/>
          <w:numId w:val="0"/>
        </w:numPr>
        <w:rPr>
          <w:rFonts w:asciiTheme="minorHAnsi" w:hAnsiTheme="minorHAnsi" w:cstheme="minorHAnsi"/>
        </w:rPr>
      </w:pPr>
      <w:bookmarkStart w:id="271" w:name="_Appendix_B:_Description"/>
      <w:bookmarkStart w:id="272" w:name="_Toc168489272"/>
      <w:bookmarkStart w:id="273" w:name="_Toc168489569"/>
      <w:bookmarkStart w:id="274" w:name="_Toc168645267"/>
      <w:bookmarkEnd w:id="266"/>
      <w:bookmarkEnd w:id="271"/>
      <w:r w:rsidRPr="0029167F">
        <w:rPr>
          <w:rFonts w:asciiTheme="minorHAnsi" w:hAnsiTheme="minorHAnsi" w:cstheme="minorHAnsi"/>
        </w:rPr>
        <w:lastRenderedPageBreak/>
        <w:t xml:space="preserve">Appendix </w:t>
      </w:r>
      <w:r w:rsidR="009450AB" w:rsidRPr="0029167F">
        <w:rPr>
          <w:rFonts w:asciiTheme="minorHAnsi" w:hAnsiTheme="minorHAnsi" w:cstheme="minorHAnsi"/>
        </w:rPr>
        <w:t>B: Description</w:t>
      </w:r>
      <w:r w:rsidRPr="0029167F">
        <w:rPr>
          <w:rFonts w:asciiTheme="minorHAnsi" w:hAnsiTheme="minorHAnsi" w:cstheme="minorHAnsi"/>
        </w:rPr>
        <w:t xml:space="preserve"> of cost model activities</w:t>
      </w:r>
      <w:bookmarkEnd w:id="272"/>
      <w:bookmarkEnd w:id="273"/>
      <w:bookmarkEnd w:id="274"/>
    </w:p>
    <w:p w14:paraId="035C7707" w14:textId="51419B3E" w:rsidR="00852B78" w:rsidRPr="0029167F" w:rsidRDefault="00852B78" w:rsidP="00852B78">
      <w:pPr>
        <w:rPr>
          <w:rFonts w:cstheme="minorHAnsi"/>
          <w:lang w:eastAsia="ja-JP"/>
        </w:rPr>
      </w:pPr>
      <w:r w:rsidRPr="0029167F">
        <w:rPr>
          <w:rFonts w:cstheme="minorHAnsi"/>
          <w:lang w:eastAsia="ja-JP"/>
        </w:rPr>
        <w:t>This section provides details of the cost model activities undertaken in our regulatory charging arrangements.</w:t>
      </w:r>
    </w:p>
    <w:p w14:paraId="5CED7B01" w14:textId="41A33541" w:rsidR="00852B78" w:rsidRPr="0029167F" w:rsidRDefault="00852B78" w:rsidP="00852B78">
      <w:pPr>
        <w:pStyle w:val="Heading3"/>
        <w:numPr>
          <w:ilvl w:val="0"/>
          <w:numId w:val="0"/>
        </w:numPr>
        <w:ind w:left="964" w:hanging="964"/>
        <w:rPr>
          <w:rFonts w:asciiTheme="minorHAnsi" w:hAnsiTheme="minorHAnsi" w:cstheme="minorHAnsi"/>
          <w:lang w:eastAsia="ja-JP"/>
        </w:rPr>
      </w:pPr>
      <w:bookmarkStart w:id="275" w:name="_Toc168489273"/>
      <w:bookmarkStart w:id="276" w:name="_Toc168489570"/>
      <w:bookmarkStart w:id="277" w:name="_Toc168645268"/>
      <w:r w:rsidRPr="0029167F">
        <w:rPr>
          <w:rFonts w:asciiTheme="minorHAnsi" w:hAnsiTheme="minorHAnsi" w:cstheme="minorHAnsi"/>
          <w:lang w:eastAsia="ja-JP"/>
        </w:rPr>
        <w:t>Program management and administration activities (</w:t>
      </w:r>
      <w:r w:rsidR="00043DC4" w:rsidRPr="0029167F">
        <w:rPr>
          <w:rFonts w:asciiTheme="minorHAnsi" w:hAnsiTheme="minorHAnsi" w:cstheme="minorHAnsi"/>
          <w:lang w:eastAsia="ja-JP"/>
        </w:rPr>
        <w:t>c</w:t>
      </w:r>
      <w:r w:rsidRPr="0029167F">
        <w:rPr>
          <w:rFonts w:asciiTheme="minorHAnsi" w:hAnsiTheme="minorHAnsi" w:cstheme="minorHAnsi"/>
          <w:lang w:eastAsia="ja-JP"/>
        </w:rPr>
        <w:t>harge)</w:t>
      </w:r>
      <w:bookmarkEnd w:id="275"/>
      <w:bookmarkEnd w:id="276"/>
      <w:bookmarkEnd w:id="277"/>
    </w:p>
    <w:p w14:paraId="5E4B5851" w14:textId="29F1362D" w:rsidR="00852B78" w:rsidRPr="0029167F" w:rsidRDefault="00852B78" w:rsidP="00BD6580">
      <w:pPr>
        <w:pStyle w:val="Heading4"/>
        <w:numPr>
          <w:ilvl w:val="0"/>
          <w:numId w:val="0"/>
        </w:numPr>
        <w:spacing w:before="120"/>
        <w:ind w:left="964" w:hanging="964"/>
        <w:rPr>
          <w:rFonts w:asciiTheme="minorHAnsi" w:hAnsiTheme="minorHAnsi" w:cstheme="minorHAnsi"/>
          <w:lang w:eastAsia="ja-JP"/>
        </w:rPr>
      </w:pPr>
      <w:r w:rsidRPr="0029167F">
        <w:rPr>
          <w:rFonts w:asciiTheme="minorHAnsi" w:hAnsiTheme="minorHAnsi" w:cstheme="minorHAnsi"/>
          <w:lang w:eastAsia="ja-JP"/>
        </w:rPr>
        <w:t>Workforce and business management</w:t>
      </w:r>
    </w:p>
    <w:p w14:paraId="4793A5DC" w14:textId="03D8E9FE" w:rsidR="0035076E" w:rsidRPr="0029167F" w:rsidRDefault="0035076E" w:rsidP="00BD6580">
      <w:pPr>
        <w:spacing w:before="120" w:after="120"/>
        <w:rPr>
          <w:rFonts w:cstheme="minorHAnsi"/>
          <w:lang w:eastAsia="ja-JP"/>
        </w:rPr>
      </w:pPr>
      <w:r w:rsidRPr="0029167F">
        <w:rPr>
          <w:rFonts w:cstheme="minorHAnsi"/>
          <w:lang w:eastAsia="ja-JP"/>
        </w:rPr>
        <w:t xml:space="preserve">This activity comprises </w:t>
      </w:r>
      <w:r w:rsidR="00043DC4" w:rsidRPr="0029167F">
        <w:rPr>
          <w:rFonts w:cstheme="minorHAnsi"/>
          <w:lang w:eastAsia="ja-JP"/>
        </w:rPr>
        <w:t xml:space="preserve">4 </w:t>
      </w:r>
      <w:r w:rsidRPr="0029167F">
        <w:rPr>
          <w:rFonts w:cstheme="minorHAnsi"/>
          <w:lang w:eastAsia="ja-JP"/>
        </w:rPr>
        <w:t>categories:</w:t>
      </w:r>
    </w:p>
    <w:p w14:paraId="064EC251" w14:textId="20A4A58D" w:rsidR="0035076E" w:rsidRPr="0029167F" w:rsidRDefault="0035076E" w:rsidP="000634CA">
      <w:pPr>
        <w:pStyle w:val="ListNumber"/>
        <w:numPr>
          <w:ilvl w:val="0"/>
          <w:numId w:val="80"/>
        </w:numPr>
        <w:rPr>
          <w:lang w:eastAsia="ja-JP"/>
        </w:rPr>
      </w:pPr>
      <w:r w:rsidRPr="0029167F">
        <w:rPr>
          <w:lang w:eastAsia="ja-JP"/>
        </w:rPr>
        <w:t xml:space="preserve">Workforce management activities include staff supervision, allocating workforce resources, managing employee performance, leave, training and other conditions, managing </w:t>
      </w:r>
      <w:r w:rsidR="00D74FA6">
        <w:rPr>
          <w:lang w:eastAsia="ja-JP"/>
        </w:rPr>
        <w:t>w</w:t>
      </w:r>
      <w:r w:rsidRPr="0029167F">
        <w:rPr>
          <w:lang w:eastAsia="ja-JP"/>
        </w:rPr>
        <w:t xml:space="preserve">ork, </w:t>
      </w:r>
      <w:r w:rsidR="00D74FA6">
        <w:rPr>
          <w:lang w:eastAsia="ja-JP"/>
        </w:rPr>
        <w:t>h</w:t>
      </w:r>
      <w:r w:rsidRPr="0029167F">
        <w:rPr>
          <w:lang w:eastAsia="ja-JP"/>
        </w:rPr>
        <w:t xml:space="preserve">ealth and </w:t>
      </w:r>
      <w:r w:rsidR="00D74FA6">
        <w:rPr>
          <w:lang w:eastAsia="ja-JP"/>
        </w:rPr>
        <w:t>s</w:t>
      </w:r>
      <w:r w:rsidRPr="0029167F">
        <w:rPr>
          <w:lang w:eastAsia="ja-JP"/>
        </w:rPr>
        <w:t>afety requirements, recruitment</w:t>
      </w:r>
      <w:r w:rsidR="002460F0">
        <w:rPr>
          <w:lang w:eastAsia="ja-JP"/>
        </w:rPr>
        <w:t>,</w:t>
      </w:r>
      <w:r w:rsidRPr="0029167F">
        <w:rPr>
          <w:lang w:eastAsia="ja-JP"/>
        </w:rPr>
        <w:t xml:space="preserve"> and termination.</w:t>
      </w:r>
    </w:p>
    <w:p w14:paraId="1681454A" w14:textId="0D3AE746" w:rsidR="0035076E" w:rsidRPr="0029167F" w:rsidRDefault="0035076E" w:rsidP="000634CA">
      <w:pPr>
        <w:pStyle w:val="ListNumber"/>
        <w:rPr>
          <w:lang w:eastAsia="ja-JP"/>
        </w:rPr>
      </w:pPr>
      <w:r w:rsidRPr="0029167F">
        <w:rPr>
          <w:lang w:eastAsia="ja-JP"/>
        </w:rPr>
        <w:t>Business management activities include business planning and continuity, requesting legal advice, procurement and contracts, program and project administration, assurance, design and management, management of fixtures, facilities, equipment, supplies and logistics.</w:t>
      </w:r>
    </w:p>
    <w:p w14:paraId="784BF3A2" w14:textId="1B7DF0DB" w:rsidR="0035076E" w:rsidRPr="0029167F" w:rsidRDefault="0035076E" w:rsidP="000634CA">
      <w:pPr>
        <w:pStyle w:val="ListNumber"/>
        <w:rPr>
          <w:lang w:eastAsia="ja-JP"/>
        </w:rPr>
      </w:pPr>
      <w:r w:rsidRPr="0029167F">
        <w:rPr>
          <w:lang w:eastAsia="ja-JP"/>
        </w:rPr>
        <w:t>Financial management activities include billing and accounting, budgeting, charges and payments, collections and receivables, debt management, financial accounts, reporting and policy development.</w:t>
      </w:r>
    </w:p>
    <w:p w14:paraId="25B81A2A" w14:textId="054F0929" w:rsidR="0035076E" w:rsidRPr="0029167F" w:rsidRDefault="0035076E" w:rsidP="000634CA">
      <w:pPr>
        <w:pStyle w:val="ListNumber"/>
        <w:rPr>
          <w:lang w:eastAsia="ja-JP"/>
        </w:rPr>
      </w:pPr>
      <w:r w:rsidRPr="0029167F">
        <w:rPr>
          <w:lang w:eastAsia="ja-JP"/>
        </w:rPr>
        <w:t>Information management activities include data management, information and records management, and information sharing and collaboration.</w:t>
      </w:r>
    </w:p>
    <w:p w14:paraId="441F1F65" w14:textId="001CA908" w:rsidR="0035076E" w:rsidRPr="0029167F" w:rsidRDefault="0035076E" w:rsidP="0035076E">
      <w:pPr>
        <w:pStyle w:val="Heading4"/>
        <w:numPr>
          <w:ilvl w:val="0"/>
          <w:numId w:val="0"/>
        </w:numPr>
        <w:ind w:left="964" w:hanging="964"/>
        <w:rPr>
          <w:rFonts w:asciiTheme="minorHAnsi" w:hAnsiTheme="minorHAnsi" w:cstheme="minorHAnsi"/>
          <w:lang w:eastAsia="ja-JP"/>
        </w:rPr>
      </w:pPr>
      <w:r w:rsidRPr="0029167F">
        <w:rPr>
          <w:rFonts w:asciiTheme="minorHAnsi" w:hAnsiTheme="minorHAnsi" w:cstheme="minorHAnsi"/>
          <w:lang w:eastAsia="ja-JP"/>
        </w:rPr>
        <w:t>Business systems administration</w:t>
      </w:r>
    </w:p>
    <w:p w14:paraId="668D4A7B" w14:textId="53DDC571" w:rsidR="0035076E" w:rsidRPr="0029167F" w:rsidRDefault="0035076E" w:rsidP="0035076E">
      <w:pPr>
        <w:rPr>
          <w:rFonts w:cstheme="minorHAnsi"/>
          <w:lang w:eastAsia="ja-JP"/>
        </w:rPr>
      </w:pPr>
      <w:r w:rsidRPr="0029167F">
        <w:rPr>
          <w:rFonts w:cstheme="minorHAnsi"/>
          <w:lang w:eastAsia="ja-JP"/>
        </w:rPr>
        <w:t>Includes developing, acquiring, testing, implementing</w:t>
      </w:r>
      <w:r w:rsidR="002460F0">
        <w:rPr>
          <w:rFonts w:cstheme="minorHAnsi"/>
          <w:lang w:eastAsia="ja-JP"/>
        </w:rPr>
        <w:t>,</w:t>
      </w:r>
      <w:r w:rsidRPr="0029167F">
        <w:rPr>
          <w:rFonts w:cstheme="minorHAnsi"/>
          <w:lang w:eastAsia="ja-JP"/>
        </w:rPr>
        <w:t xml:space="preserve"> and supporting applications and business systems. It encompasses technical support and maintenance of all business systems</w:t>
      </w:r>
      <w:r w:rsidR="00962E08">
        <w:rPr>
          <w:rFonts w:cstheme="minorHAnsi"/>
          <w:lang w:eastAsia="ja-JP"/>
        </w:rPr>
        <w:t>,</w:t>
      </w:r>
      <w:r w:rsidRPr="0029167F">
        <w:rPr>
          <w:rFonts w:cstheme="minorHAnsi"/>
          <w:lang w:eastAsia="ja-JP"/>
        </w:rPr>
        <w:t xml:space="preserve"> including information and communication technology.</w:t>
      </w:r>
    </w:p>
    <w:p w14:paraId="277FC790" w14:textId="77777777" w:rsidR="0035076E" w:rsidRPr="0029167F" w:rsidRDefault="0035076E" w:rsidP="0035076E">
      <w:pPr>
        <w:pStyle w:val="Heading4"/>
        <w:numPr>
          <w:ilvl w:val="0"/>
          <w:numId w:val="0"/>
        </w:numPr>
        <w:ind w:left="964" w:hanging="964"/>
        <w:rPr>
          <w:rFonts w:asciiTheme="minorHAnsi" w:hAnsiTheme="minorHAnsi" w:cstheme="minorHAnsi"/>
          <w:lang w:eastAsia="ja-JP"/>
        </w:rPr>
      </w:pPr>
      <w:r w:rsidRPr="0029167F">
        <w:rPr>
          <w:rFonts w:asciiTheme="minorHAnsi" w:hAnsiTheme="minorHAnsi" w:cstheme="minorHAnsi"/>
          <w:lang w:eastAsia="ja-JP"/>
        </w:rPr>
        <w:t>Stakeholder engagement</w:t>
      </w:r>
    </w:p>
    <w:p w14:paraId="6C179CE7" w14:textId="1D730EB8" w:rsidR="0035076E" w:rsidRPr="0029167F" w:rsidRDefault="0035076E" w:rsidP="0035076E">
      <w:pPr>
        <w:rPr>
          <w:rFonts w:cstheme="minorHAnsi"/>
          <w:lang w:eastAsia="ja-JP"/>
        </w:rPr>
      </w:pPr>
      <w:r w:rsidRPr="0029167F">
        <w:rPr>
          <w:rFonts w:cstheme="minorHAnsi"/>
          <w:lang w:eastAsia="ja-JP"/>
        </w:rPr>
        <w:t>Involves proactive engagement with any person, business, or organisation</w:t>
      </w:r>
      <w:r w:rsidR="00962E08">
        <w:rPr>
          <w:rFonts w:cstheme="minorHAnsi"/>
          <w:lang w:eastAsia="ja-JP"/>
        </w:rPr>
        <w:t>,</w:t>
      </w:r>
      <w:r w:rsidRPr="0029167F">
        <w:rPr>
          <w:rFonts w:cstheme="minorHAnsi"/>
          <w:lang w:eastAsia="ja-JP"/>
        </w:rPr>
        <w:t xml:space="preserve"> including any associated travel. </w:t>
      </w:r>
      <w:r w:rsidR="002460F0">
        <w:rPr>
          <w:rFonts w:cstheme="minorHAnsi"/>
          <w:lang w:eastAsia="ja-JP"/>
        </w:rPr>
        <w:t>It</w:t>
      </w:r>
      <w:r w:rsidR="002460F0" w:rsidRPr="0029167F">
        <w:rPr>
          <w:rFonts w:cstheme="minorHAnsi"/>
          <w:lang w:eastAsia="ja-JP"/>
        </w:rPr>
        <w:t xml:space="preserve"> </w:t>
      </w:r>
      <w:r w:rsidRPr="0029167F">
        <w:rPr>
          <w:rFonts w:cstheme="minorHAnsi"/>
          <w:lang w:eastAsia="ja-JP"/>
        </w:rPr>
        <w:t>includes, engaging with peak industry bodies, secretariat support and attendance at industry consultative committee meetings, consultation on new standards and requirements, publishing website content and other information.</w:t>
      </w:r>
    </w:p>
    <w:p w14:paraId="60EB2F98" w14:textId="77777777" w:rsidR="0035076E" w:rsidRPr="0029167F" w:rsidRDefault="0035076E" w:rsidP="0035076E">
      <w:pPr>
        <w:pStyle w:val="Heading4"/>
        <w:numPr>
          <w:ilvl w:val="0"/>
          <w:numId w:val="0"/>
        </w:numPr>
        <w:ind w:left="964" w:hanging="964"/>
        <w:rPr>
          <w:rFonts w:asciiTheme="minorHAnsi" w:hAnsiTheme="minorHAnsi" w:cstheme="minorHAnsi"/>
          <w:lang w:eastAsia="ja-JP"/>
        </w:rPr>
      </w:pPr>
      <w:r w:rsidRPr="0029167F">
        <w:rPr>
          <w:rFonts w:asciiTheme="minorHAnsi" w:hAnsiTheme="minorHAnsi" w:cstheme="minorHAnsi"/>
          <w:lang w:eastAsia="ja-JP"/>
        </w:rPr>
        <w:t>Policy and instructional material</w:t>
      </w:r>
    </w:p>
    <w:p w14:paraId="398DC6CA" w14:textId="1F6F1F43" w:rsidR="0035076E" w:rsidRPr="0029167F" w:rsidRDefault="0035076E" w:rsidP="0035076E">
      <w:pPr>
        <w:rPr>
          <w:rFonts w:cstheme="minorHAnsi"/>
          <w:lang w:eastAsia="ja-JP"/>
        </w:rPr>
      </w:pPr>
      <w:r w:rsidRPr="0029167F">
        <w:rPr>
          <w:rFonts w:cstheme="minorHAnsi"/>
          <w:lang w:eastAsia="ja-JP"/>
        </w:rPr>
        <w:t xml:space="preserve">Includes </w:t>
      </w:r>
      <w:bookmarkStart w:id="278" w:name="_Hlk78193042"/>
      <w:r w:rsidRPr="0029167F">
        <w:rPr>
          <w:rFonts w:cstheme="minorHAnsi"/>
          <w:lang w:eastAsia="ja-JP"/>
        </w:rPr>
        <w:t>developing, maintaining</w:t>
      </w:r>
      <w:r w:rsidR="002460F0">
        <w:rPr>
          <w:rFonts w:cstheme="minorHAnsi"/>
          <w:lang w:eastAsia="ja-JP"/>
        </w:rPr>
        <w:t>,</w:t>
      </w:r>
      <w:r w:rsidRPr="0029167F">
        <w:rPr>
          <w:rFonts w:cstheme="minorHAnsi"/>
          <w:lang w:eastAsia="ja-JP"/>
        </w:rPr>
        <w:t xml:space="preserve"> and communicating our policy and instructional material</w:t>
      </w:r>
      <w:bookmarkEnd w:id="278"/>
      <w:r w:rsidRPr="0029167F">
        <w:rPr>
          <w:rFonts w:cstheme="minorHAnsi"/>
          <w:lang w:eastAsia="ja-JP"/>
        </w:rPr>
        <w:t xml:space="preserve">, such as operational and corporate policies, scientific advice, guidelines and work instructions, and associated training development and delivery. Examples include developing or revising policy, processes and </w:t>
      </w:r>
      <w:r w:rsidR="001962A1" w:rsidRPr="0029167F">
        <w:rPr>
          <w:rFonts w:cstheme="minorHAnsi"/>
          <w:lang w:eastAsia="ja-JP"/>
        </w:rPr>
        <w:t xml:space="preserve">developing new </w:t>
      </w:r>
      <w:r w:rsidRPr="0029167F">
        <w:rPr>
          <w:rFonts w:cstheme="minorHAnsi"/>
          <w:lang w:eastAsia="ja-JP"/>
        </w:rPr>
        <w:t>instructional material.</w:t>
      </w:r>
    </w:p>
    <w:p w14:paraId="0F1014CB" w14:textId="77777777" w:rsidR="0035076E" w:rsidRPr="0029167F" w:rsidRDefault="0035076E" w:rsidP="0035076E">
      <w:pPr>
        <w:pStyle w:val="Heading4"/>
        <w:numPr>
          <w:ilvl w:val="0"/>
          <w:numId w:val="0"/>
        </w:numPr>
        <w:ind w:left="964" w:hanging="964"/>
        <w:rPr>
          <w:rFonts w:asciiTheme="minorHAnsi" w:hAnsiTheme="minorHAnsi" w:cstheme="minorHAnsi"/>
          <w:lang w:eastAsia="ja-JP"/>
        </w:rPr>
      </w:pPr>
      <w:r w:rsidRPr="0029167F">
        <w:rPr>
          <w:rFonts w:asciiTheme="minorHAnsi" w:hAnsiTheme="minorHAnsi" w:cstheme="minorHAnsi"/>
          <w:lang w:eastAsia="ja-JP"/>
        </w:rPr>
        <w:lastRenderedPageBreak/>
        <w:t>Business improvement</w:t>
      </w:r>
    </w:p>
    <w:p w14:paraId="49285988" w14:textId="7F80CA95" w:rsidR="0035076E" w:rsidRPr="0029167F" w:rsidRDefault="0035076E" w:rsidP="0035076E">
      <w:pPr>
        <w:rPr>
          <w:rFonts w:cstheme="minorHAnsi"/>
          <w:lang w:eastAsia="ja-JP"/>
        </w:rPr>
      </w:pPr>
      <w:r w:rsidRPr="0029167F">
        <w:rPr>
          <w:rFonts w:cstheme="minorHAnsi"/>
          <w:lang w:eastAsia="ja-JP"/>
        </w:rPr>
        <w:t>Includes assessment, monitoring and development of initiatives to improve performance. Examples include adjustments to improve program and service delivery, business performance reports against key performance indicators and similar activities.</w:t>
      </w:r>
    </w:p>
    <w:p w14:paraId="1644D61E" w14:textId="3395689A" w:rsidR="0035076E" w:rsidRPr="0029167F" w:rsidRDefault="0035076E" w:rsidP="0035076E">
      <w:pPr>
        <w:pStyle w:val="Heading3"/>
        <w:numPr>
          <w:ilvl w:val="0"/>
          <w:numId w:val="0"/>
        </w:numPr>
        <w:ind w:left="964" w:hanging="964"/>
        <w:rPr>
          <w:rFonts w:asciiTheme="minorHAnsi" w:hAnsiTheme="minorHAnsi" w:cstheme="minorHAnsi"/>
          <w:lang w:eastAsia="ja-JP"/>
        </w:rPr>
      </w:pPr>
      <w:bookmarkStart w:id="279" w:name="_Toc168489274"/>
      <w:bookmarkStart w:id="280" w:name="_Toc168489571"/>
      <w:bookmarkStart w:id="281" w:name="_Toc168645269"/>
      <w:r w:rsidRPr="0029167F">
        <w:rPr>
          <w:rFonts w:asciiTheme="minorHAnsi" w:hAnsiTheme="minorHAnsi" w:cstheme="minorHAnsi"/>
          <w:lang w:eastAsia="ja-JP"/>
        </w:rPr>
        <w:t>Assurance activities (</w:t>
      </w:r>
      <w:r w:rsidR="00043DC4" w:rsidRPr="0029167F">
        <w:rPr>
          <w:rFonts w:asciiTheme="minorHAnsi" w:hAnsiTheme="minorHAnsi" w:cstheme="minorHAnsi"/>
          <w:lang w:eastAsia="ja-JP"/>
        </w:rPr>
        <w:t>c</w:t>
      </w:r>
      <w:r w:rsidRPr="0029167F">
        <w:rPr>
          <w:rFonts w:asciiTheme="minorHAnsi" w:hAnsiTheme="minorHAnsi" w:cstheme="minorHAnsi"/>
          <w:lang w:eastAsia="ja-JP"/>
        </w:rPr>
        <w:t>harge)</w:t>
      </w:r>
      <w:bookmarkEnd w:id="279"/>
      <w:bookmarkEnd w:id="280"/>
      <w:bookmarkEnd w:id="281"/>
    </w:p>
    <w:p w14:paraId="69D70534" w14:textId="77777777" w:rsidR="0035076E" w:rsidRPr="0029167F" w:rsidRDefault="0035076E" w:rsidP="0035076E">
      <w:pPr>
        <w:pStyle w:val="Heading4"/>
        <w:numPr>
          <w:ilvl w:val="0"/>
          <w:numId w:val="0"/>
        </w:numPr>
        <w:ind w:left="964" w:hanging="964"/>
        <w:rPr>
          <w:rFonts w:asciiTheme="minorHAnsi" w:hAnsiTheme="minorHAnsi" w:cstheme="minorHAnsi"/>
          <w:lang w:eastAsia="ja-JP"/>
        </w:rPr>
      </w:pPr>
      <w:r w:rsidRPr="0029167F">
        <w:rPr>
          <w:rFonts w:asciiTheme="minorHAnsi" w:hAnsiTheme="minorHAnsi" w:cstheme="minorHAnsi"/>
          <w:lang w:eastAsia="ja-JP"/>
        </w:rPr>
        <w:t>Risk management</w:t>
      </w:r>
    </w:p>
    <w:p w14:paraId="78EF8097" w14:textId="77777777" w:rsidR="0035076E" w:rsidRPr="0029167F" w:rsidRDefault="0035076E" w:rsidP="0035076E">
      <w:pPr>
        <w:rPr>
          <w:rFonts w:cstheme="minorHAnsi"/>
          <w:lang w:eastAsia="ja-JP"/>
        </w:rPr>
      </w:pPr>
      <w:r w:rsidRPr="0029167F">
        <w:rPr>
          <w:rFonts w:cstheme="minorHAnsi"/>
          <w:lang w:eastAsia="ja-JP"/>
        </w:rPr>
        <w:t>Involves assessing and managing the risks posed to Australia’s biosecurity and imported food systems. This includes communicating results of risk analysis, modelling and forecasting to operational areas and the collection, receipt and use of data, information and intelligence to meet our compliance objectives. This work also includes any associated travel and client assistance work, such as assessment of risks associated with cargo, vessels, plants, animals, food, biological and genetic material.</w:t>
      </w:r>
    </w:p>
    <w:p w14:paraId="172525DB" w14:textId="77777777" w:rsidR="0035076E" w:rsidRPr="0029167F" w:rsidRDefault="0035076E" w:rsidP="0035076E">
      <w:pPr>
        <w:pStyle w:val="Heading4"/>
        <w:numPr>
          <w:ilvl w:val="0"/>
          <w:numId w:val="0"/>
        </w:numPr>
        <w:ind w:left="964" w:hanging="964"/>
        <w:rPr>
          <w:rFonts w:asciiTheme="minorHAnsi" w:hAnsiTheme="minorHAnsi" w:cstheme="minorHAnsi"/>
          <w:lang w:eastAsia="ja-JP"/>
        </w:rPr>
      </w:pPr>
      <w:r w:rsidRPr="0029167F">
        <w:rPr>
          <w:rFonts w:asciiTheme="minorHAnsi" w:hAnsiTheme="minorHAnsi" w:cstheme="minorHAnsi"/>
          <w:lang w:eastAsia="ja-JP"/>
        </w:rPr>
        <w:t>Verification</w:t>
      </w:r>
    </w:p>
    <w:p w14:paraId="072A05EC" w14:textId="77777777" w:rsidR="0035076E" w:rsidRPr="0029167F" w:rsidRDefault="0035076E" w:rsidP="0035076E">
      <w:pPr>
        <w:rPr>
          <w:rFonts w:cstheme="minorHAnsi"/>
          <w:lang w:eastAsia="ja-JP"/>
        </w:rPr>
      </w:pPr>
      <w:r w:rsidRPr="0029167F">
        <w:rPr>
          <w:rFonts w:cstheme="minorHAnsi"/>
          <w:lang w:eastAsia="ja-JP"/>
        </w:rPr>
        <w:t>Includes activities that provide our executive and stakeholders with confidence that our systems and processes are operating in accordance with their intended design and associated documentation and managing the identified risk. For example, internal quality assurance systems and verification activities to ensure officers are following procedures, processes or instructional material and are making appropriate decisions.</w:t>
      </w:r>
    </w:p>
    <w:p w14:paraId="7231ED86" w14:textId="77777777" w:rsidR="0035076E" w:rsidRPr="0029167F" w:rsidRDefault="0035076E" w:rsidP="0035076E">
      <w:pPr>
        <w:pStyle w:val="Heading4"/>
        <w:numPr>
          <w:ilvl w:val="0"/>
          <w:numId w:val="0"/>
        </w:numPr>
        <w:ind w:left="964" w:hanging="964"/>
        <w:rPr>
          <w:rFonts w:asciiTheme="minorHAnsi" w:hAnsiTheme="minorHAnsi" w:cstheme="minorHAnsi"/>
          <w:lang w:eastAsia="ja-JP"/>
        </w:rPr>
      </w:pPr>
      <w:r w:rsidRPr="0029167F">
        <w:rPr>
          <w:rFonts w:asciiTheme="minorHAnsi" w:hAnsiTheme="minorHAnsi" w:cstheme="minorHAnsi"/>
          <w:lang w:eastAsia="ja-JP"/>
        </w:rPr>
        <w:t>Surveillance</w:t>
      </w:r>
    </w:p>
    <w:p w14:paraId="00720FC4" w14:textId="77777777" w:rsidR="0035076E" w:rsidRPr="0029167F" w:rsidRDefault="0035076E" w:rsidP="0035076E">
      <w:pPr>
        <w:rPr>
          <w:rFonts w:cstheme="minorHAnsi"/>
          <w:lang w:eastAsia="ja-JP"/>
        </w:rPr>
      </w:pPr>
      <w:r w:rsidRPr="0029167F">
        <w:rPr>
          <w:rFonts w:cstheme="minorHAnsi"/>
          <w:lang w:eastAsia="ja-JP"/>
        </w:rPr>
        <w:t>Includes formal and informal monitoring to detect changes in Australia’s pest or disease status, or the presence of food safety concerns which may affect imports and onshore production. Surveillance differs from an inspection as it is not conducted for a specific client.</w:t>
      </w:r>
    </w:p>
    <w:p w14:paraId="32D37CD7" w14:textId="77777777" w:rsidR="0035076E" w:rsidRPr="0029167F" w:rsidRDefault="0035076E" w:rsidP="0035076E">
      <w:pPr>
        <w:rPr>
          <w:rFonts w:cstheme="minorHAnsi"/>
          <w:lang w:eastAsia="ja-JP"/>
        </w:rPr>
      </w:pPr>
      <w:r w:rsidRPr="0029167F">
        <w:rPr>
          <w:rFonts w:cstheme="minorHAnsi"/>
          <w:lang w:eastAsia="ja-JP"/>
        </w:rPr>
        <w:t>It includes all pre and post work, travel and client assistance in relation to surveillance. Examples include deploying detector dogs, wharf surveillance, vector monitoring at proclaimed ports, new car surveillance, break bulk surveillance, monitoring the entry of exotic pests, weeds and disease across passenger and cargo pathways, monitoring of animal welfare issues and monitoring for microbiological or chemical hazards in food.</w:t>
      </w:r>
    </w:p>
    <w:p w14:paraId="76690524" w14:textId="394E68F1" w:rsidR="0035076E" w:rsidRPr="0029167F" w:rsidRDefault="0035076E" w:rsidP="0035076E">
      <w:pPr>
        <w:pStyle w:val="Heading3"/>
        <w:numPr>
          <w:ilvl w:val="0"/>
          <w:numId w:val="0"/>
        </w:numPr>
        <w:ind w:left="964" w:hanging="964"/>
        <w:rPr>
          <w:rFonts w:asciiTheme="minorHAnsi" w:hAnsiTheme="minorHAnsi" w:cstheme="minorHAnsi"/>
          <w:lang w:eastAsia="ja-JP"/>
        </w:rPr>
      </w:pPr>
      <w:bookmarkStart w:id="282" w:name="_Toc168489275"/>
      <w:bookmarkStart w:id="283" w:name="_Toc168489572"/>
      <w:bookmarkStart w:id="284" w:name="_Toc168645270"/>
      <w:r w:rsidRPr="0029167F">
        <w:rPr>
          <w:rFonts w:asciiTheme="minorHAnsi" w:hAnsiTheme="minorHAnsi" w:cstheme="minorHAnsi"/>
          <w:lang w:eastAsia="ja-JP"/>
        </w:rPr>
        <w:t>Incident management activities (</w:t>
      </w:r>
      <w:r w:rsidR="00043DC4" w:rsidRPr="0029167F">
        <w:rPr>
          <w:rFonts w:asciiTheme="minorHAnsi" w:hAnsiTheme="minorHAnsi" w:cstheme="minorHAnsi"/>
          <w:lang w:eastAsia="ja-JP"/>
        </w:rPr>
        <w:t>c</w:t>
      </w:r>
      <w:r w:rsidRPr="0029167F">
        <w:rPr>
          <w:rFonts w:asciiTheme="minorHAnsi" w:hAnsiTheme="minorHAnsi" w:cstheme="minorHAnsi"/>
          <w:lang w:eastAsia="ja-JP"/>
        </w:rPr>
        <w:t>harge)</w:t>
      </w:r>
      <w:bookmarkEnd w:id="282"/>
      <w:bookmarkEnd w:id="283"/>
      <w:bookmarkEnd w:id="284"/>
    </w:p>
    <w:p w14:paraId="35F734E5" w14:textId="77777777" w:rsidR="0035076E" w:rsidRPr="0029167F" w:rsidRDefault="0035076E" w:rsidP="0035076E">
      <w:pPr>
        <w:pStyle w:val="Heading4"/>
        <w:numPr>
          <w:ilvl w:val="0"/>
          <w:numId w:val="0"/>
        </w:numPr>
        <w:ind w:left="964" w:hanging="964"/>
        <w:rPr>
          <w:rFonts w:asciiTheme="minorHAnsi" w:hAnsiTheme="minorHAnsi" w:cstheme="minorHAnsi"/>
          <w:lang w:eastAsia="ja-JP"/>
        </w:rPr>
      </w:pPr>
      <w:r w:rsidRPr="0029167F">
        <w:rPr>
          <w:rFonts w:asciiTheme="minorHAnsi" w:hAnsiTheme="minorHAnsi" w:cstheme="minorHAnsi"/>
          <w:lang w:eastAsia="ja-JP"/>
        </w:rPr>
        <w:t>Incident management</w:t>
      </w:r>
    </w:p>
    <w:p w14:paraId="67B50C55" w14:textId="674E5218" w:rsidR="0035076E" w:rsidRPr="0029167F" w:rsidRDefault="0035076E" w:rsidP="0035076E">
      <w:pPr>
        <w:rPr>
          <w:rFonts w:cstheme="minorHAnsi"/>
          <w:lang w:eastAsia="ja-JP"/>
        </w:rPr>
      </w:pPr>
      <w:r w:rsidRPr="0029167F">
        <w:rPr>
          <w:rFonts w:cstheme="minorHAnsi"/>
          <w:lang w:eastAsia="ja-JP"/>
        </w:rPr>
        <w:t>Includes the coordination and management of any incident</w:t>
      </w:r>
      <w:r w:rsidR="00962E08">
        <w:rPr>
          <w:rFonts w:cstheme="minorHAnsi"/>
          <w:lang w:eastAsia="ja-JP"/>
        </w:rPr>
        <w:t>,</w:t>
      </w:r>
      <w:r w:rsidRPr="0029167F">
        <w:rPr>
          <w:rFonts w:cstheme="minorHAnsi"/>
          <w:lang w:eastAsia="ja-JP"/>
        </w:rPr>
        <w:t xml:space="preserve"> including post-border detections and biosecurity and imported food incidents. This includes all associated pre and post work, travel and client assistance in relation to an incident. It excludes cost-sharing for emergency responses under the formal national disease and pest response arrangements.</w:t>
      </w:r>
    </w:p>
    <w:p w14:paraId="27A6FC3C" w14:textId="7AF2CF92" w:rsidR="0035076E" w:rsidRPr="0029167F" w:rsidRDefault="0035076E" w:rsidP="0035076E">
      <w:pPr>
        <w:pStyle w:val="Heading4"/>
        <w:numPr>
          <w:ilvl w:val="0"/>
          <w:numId w:val="0"/>
        </w:numPr>
        <w:ind w:left="964" w:hanging="964"/>
        <w:rPr>
          <w:rFonts w:asciiTheme="minorHAnsi" w:hAnsiTheme="minorHAnsi" w:cstheme="minorHAnsi"/>
          <w:lang w:eastAsia="ja-JP"/>
        </w:rPr>
      </w:pPr>
      <w:r w:rsidRPr="0029167F">
        <w:rPr>
          <w:rFonts w:asciiTheme="minorHAnsi" w:hAnsiTheme="minorHAnsi" w:cstheme="minorHAnsi"/>
          <w:lang w:eastAsia="ja-JP"/>
        </w:rPr>
        <w:t xml:space="preserve">Investigation </w:t>
      </w:r>
      <w:r w:rsidR="00043DC4" w:rsidRPr="0029167F">
        <w:rPr>
          <w:rFonts w:asciiTheme="minorHAnsi" w:hAnsiTheme="minorHAnsi" w:cstheme="minorHAnsi"/>
          <w:lang w:eastAsia="ja-JP"/>
        </w:rPr>
        <w:t>s</w:t>
      </w:r>
      <w:r w:rsidRPr="0029167F">
        <w:rPr>
          <w:rFonts w:asciiTheme="minorHAnsi" w:hAnsiTheme="minorHAnsi" w:cstheme="minorHAnsi"/>
          <w:lang w:eastAsia="ja-JP"/>
        </w:rPr>
        <w:t>upport</w:t>
      </w:r>
    </w:p>
    <w:p w14:paraId="4C275E17" w14:textId="7404B879" w:rsidR="0035076E" w:rsidRPr="0029167F" w:rsidRDefault="0035076E" w:rsidP="0035076E">
      <w:pPr>
        <w:rPr>
          <w:rFonts w:cstheme="minorHAnsi"/>
          <w:lang w:eastAsia="ja-JP"/>
        </w:rPr>
      </w:pPr>
      <w:r w:rsidRPr="0029167F">
        <w:rPr>
          <w:rFonts w:cstheme="minorHAnsi"/>
          <w:lang w:eastAsia="ja-JP"/>
        </w:rPr>
        <w:t>Involves providing support for enforcement activities relating to an alleged breach of portfolio legislation,</w:t>
      </w:r>
      <w:r w:rsidR="00BD6580" w:rsidRPr="0029167F">
        <w:rPr>
          <w:rFonts w:cstheme="minorHAnsi"/>
          <w:lang w:eastAsia="ja-JP"/>
        </w:rPr>
        <w:t xml:space="preserve"> </w:t>
      </w:r>
      <w:r w:rsidRPr="0029167F">
        <w:rPr>
          <w:rFonts w:cstheme="minorHAnsi"/>
          <w:lang w:eastAsia="ja-JP"/>
        </w:rPr>
        <w:t>including any related client assistance and travel. It does not include the work of the enforcement officers. Examples of investigation support include data extraction and analysis to support an investigation.</w:t>
      </w:r>
    </w:p>
    <w:p w14:paraId="1D517F76" w14:textId="77777777" w:rsidR="0035076E" w:rsidRPr="0029167F" w:rsidRDefault="0035076E" w:rsidP="0035076E">
      <w:pPr>
        <w:pStyle w:val="Heading4"/>
        <w:numPr>
          <w:ilvl w:val="0"/>
          <w:numId w:val="0"/>
        </w:numPr>
        <w:ind w:left="964" w:hanging="964"/>
        <w:rPr>
          <w:rFonts w:asciiTheme="minorHAnsi" w:hAnsiTheme="minorHAnsi" w:cstheme="minorHAnsi"/>
          <w:lang w:eastAsia="ja-JP"/>
        </w:rPr>
      </w:pPr>
      <w:r w:rsidRPr="0029167F">
        <w:rPr>
          <w:rFonts w:asciiTheme="minorHAnsi" w:hAnsiTheme="minorHAnsi" w:cstheme="minorHAnsi"/>
          <w:lang w:eastAsia="ja-JP"/>
        </w:rPr>
        <w:lastRenderedPageBreak/>
        <w:t>Corrective action</w:t>
      </w:r>
    </w:p>
    <w:p w14:paraId="5A9382F2" w14:textId="214403CA" w:rsidR="0035076E" w:rsidRPr="0029167F" w:rsidRDefault="0035076E" w:rsidP="0035076E">
      <w:pPr>
        <w:rPr>
          <w:rFonts w:cstheme="minorHAnsi"/>
          <w:lang w:eastAsia="ja-JP"/>
        </w:rPr>
      </w:pPr>
      <w:r w:rsidRPr="0029167F">
        <w:rPr>
          <w:rFonts w:cstheme="minorHAnsi"/>
          <w:lang w:eastAsia="ja-JP"/>
        </w:rPr>
        <w:t xml:space="preserve">Includes actions taken in response to non-compliance </w:t>
      </w:r>
      <w:r w:rsidR="00561788" w:rsidRPr="0029167F">
        <w:rPr>
          <w:rFonts w:cstheme="minorHAnsi"/>
          <w:lang w:eastAsia="ja-JP"/>
        </w:rPr>
        <w:t xml:space="preserve">with </w:t>
      </w:r>
      <w:r w:rsidRPr="0029167F">
        <w:rPr>
          <w:rFonts w:cstheme="minorHAnsi"/>
          <w:lang w:eastAsia="ja-JP"/>
        </w:rPr>
        <w:t>or contravention of legislation or procedures that are managed without a formal investigation by an Enforcement officer. Corrective action activities include advice and support to operational staff and clients on the management of non-compliance and the development of options to effectively manage the risk.</w:t>
      </w:r>
    </w:p>
    <w:p w14:paraId="681356C7" w14:textId="50121477" w:rsidR="0035076E" w:rsidRPr="0029167F" w:rsidRDefault="0035076E" w:rsidP="0035076E">
      <w:pPr>
        <w:pStyle w:val="Heading3"/>
        <w:numPr>
          <w:ilvl w:val="0"/>
          <w:numId w:val="0"/>
        </w:numPr>
        <w:ind w:left="964" w:hanging="964"/>
        <w:rPr>
          <w:rFonts w:asciiTheme="minorHAnsi" w:hAnsiTheme="minorHAnsi" w:cstheme="minorHAnsi"/>
          <w:lang w:eastAsia="ja-JP"/>
        </w:rPr>
      </w:pPr>
      <w:bookmarkStart w:id="285" w:name="_Toc168489276"/>
      <w:bookmarkStart w:id="286" w:name="_Toc168489573"/>
      <w:bookmarkStart w:id="287" w:name="_Toc168645271"/>
      <w:r w:rsidRPr="0029167F">
        <w:rPr>
          <w:rFonts w:asciiTheme="minorHAnsi" w:hAnsiTheme="minorHAnsi" w:cstheme="minorHAnsi"/>
          <w:lang w:eastAsia="ja-JP"/>
        </w:rPr>
        <w:t>Intervention activities (</w:t>
      </w:r>
      <w:r w:rsidR="00043DC4" w:rsidRPr="0029167F">
        <w:rPr>
          <w:rFonts w:asciiTheme="minorHAnsi" w:hAnsiTheme="minorHAnsi" w:cstheme="minorHAnsi"/>
          <w:lang w:eastAsia="ja-JP"/>
        </w:rPr>
        <w:t>f</w:t>
      </w:r>
      <w:r w:rsidRPr="0029167F">
        <w:rPr>
          <w:rFonts w:asciiTheme="minorHAnsi" w:hAnsiTheme="minorHAnsi" w:cstheme="minorHAnsi"/>
          <w:lang w:eastAsia="ja-JP"/>
        </w:rPr>
        <w:t>ee)</w:t>
      </w:r>
      <w:bookmarkEnd w:id="285"/>
      <w:bookmarkEnd w:id="286"/>
      <w:bookmarkEnd w:id="287"/>
    </w:p>
    <w:p w14:paraId="48F4FA77" w14:textId="77777777" w:rsidR="0035076E" w:rsidRPr="0029167F" w:rsidRDefault="0035076E" w:rsidP="0035076E">
      <w:pPr>
        <w:pStyle w:val="Heading4"/>
        <w:numPr>
          <w:ilvl w:val="0"/>
          <w:numId w:val="0"/>
        </w:numPr>
        <w:ind w:left="964" w:hanging="964"/>
        <w:rPr>
          <w:rFonts w:asciiTheme="minorHAnsi" w:hAnsiTheme="minorHAnsi" w:cstheme="minorHAnsi"/>
          <w:lang w:eastAsia="ja-JP"/>
        </w:rPr>
      </w:pPr>
      <w:r w:rsidRPr="0029167F">
        <w:rPr>
          <w:rFonts w:asciiTheme="minorHAnsi" w:hAnsiTheme="minorHAnsi" w:cstheme="minorHAnsi"/>
          <w:lang w:eastAsia="ja-JP"/>
        </w:rPr>
        <w:t>Assessment</w:t>
      </w:r>
    </w:p>
    <w:p w14:paraId="79398FD4" w14:textId="77777777" w:rsidR="0035076E" w:rsidRPr="0029167F" w:rsidRDefault="0035076E" w:rsidP="0035076E">
      <w:pPr>
        <w:rPr>
          <w:rFonts w:cstheme="minorHAnsi"/>
          <w:lang w:eastAsia="ja-JP"/>
        </w:rPr>
      </w:pPr>
      <w:r w:rsidRPr="0029167F">
        <w:rPr>
          <w:rFonts w:cstheme="minorHAnsi"/>
          <w:lang w:eastAsia="ja-JP"/>
        </w:rPr>
        <w:t>Involves assessing information to determine if it meets the department’s requirements. This includes the assessment of import-related documentation for cargo, vessels, plants, animals, food, biological and genetic material, including administration of applications.</w:t>
      </w:r>
    </w:p>
    <w:p w14:paraId="304FA7BC" w14:textId="77777777" w:rsidR="0035076E" w:rsidRPr="0029167F" w:rsidRDefault="0035076E" w:rsidP="0035076E">
      <w:pPr>
        <w:pStyle w:val="Heading4"/>
        <w:numPr>
          <w:ilvl w:val="0"/>
          <w:numId w:val="0"/>
        </w:numPr>
        <w:ind w:left="964" w:hanging="964"/>
        <w:rPr>
          <w:rFonts w:asciiTheme="minorHAnsi" w:hAnsiTheme="minorHAnsi" w:cstheme="minorHAnsi"/>
        </w:rPr>
      </w:pPr>
      <w:r w:rsidRPr="0029167F">
        <w:rPr>
          <w:rFonts w:asciiTheme="minorHAnsi" w:hAnsiTheme="minorHAnsi" w:cstheme="minorHAnsi"/>
        </w:rPr>
        <w:t>Issue approvals and certification</w:t>
      </w:r>
    </w:p>
    <w:p w14:paraId="7AE2AA8A" w14:textId="77777777" w:rsidR="0035076E" w:rsidRPr="0029167F" w:rsidRDefault="0035076E" w:rsidP="0035076E">
      <w:pPr>
        <w:rPr>
          <w:rFonts w:cstheme="minorHAnsi"/>
          <w:lang w:eastAsia="ja-JP"/>
        </w:rPr>
      </w:pPr>
      <w:r w:rsidRPr="0029167F">
        <w:rPr>
          <w:rFonts w:cstheme="minorHAnsi"/>
          <w:lang w:eastAsia="ja-JP"/>
        </w:rPr>
        <w:t>Includes issuing of a decision in relation to an assessment for cargo, vessels, plants, animals, food, biological and genetic material. This includes the work from the end of the assessment period to the completion of the decision-notification process.</w:t>
      </w:r>
    </w:p>
    <w:p w14:paraId="64B568C4" w14:textId="77777777" w:rsidR="0035076E" w:rsidRPr="0029167F" w:rsidRDefault="0035076E" w:rsidP="0035076E">
      <w:pPr>
        <w:pStyle w:val="Heading4"/>
        <w:numPr>
          <w:ilvl w:val="0"/>
          <w:numId w:val="0"/>
        </w:numPr>
        <w:ind w:left="964" w:hanging="964"/>
        <w:rPr>
          <w:rFonts w:asciiTheme="minorHAnsi" w:hAnsiTheme="minorHAnsi" w:cstheme="minorHAnsi"/>
          <w:lang w:eastAsia="ja-JP"/>
        </w:rPr>
      </w:pPr>
      <w:r w:rsidRPr="0029167F">
        <w:rPr>
          <w:rFonts w:asciiTheme="minorHAnsi" w:hAnsiTheme="minorHAnsi" w:cstheme="minorHAnsi"/>
          <w:lang w:eastAsia="ja-JP"/>
        </w:rPr>
        <w:t>Inspection</w:t>
      </w:r>
    </w:p>
    <w:p w14:paraId="1E811221" w14:textId="77777777" w:rsidR="0035076E" w:rsidRPr="0029167F" w:rsidRDefault="0035076E" w:rsidP="0035076E">
      <w:pPr>
        <w:rPr>
          <w:rFonts w:cstheme="minorHAnsi"/>
          <w:lang w:eastAsia="ja-JP"/>
        </w:rPr>
      </w:pPr>
      <w:r w:rsidRPr="0029167F">
        <w:rPr>
          <w:rFonts w:cstheme="minorHAnsi"/>
          <w:lang w:eastAsia="ja-JP"/>
        </w:rPr>
        <w:t>Includes the physical examination and supervision of a physical examination, of cargo, vessels, plants, animals, food, biological and genetic material, to determine compliance with biosecurity and food safety requirements. Inspections also include activities related to post-quarantine detections of biosecurity-risk goods.</w:t>
      </w:r>
    </w:p>
    <w:p w14:paraId="58A1372E" w14:textId="77777777" w:rsidR="0035076E" w:rsidRPr="0029167F" w:rsidRDefault="0035076E" w:rsidP="0035076E">
      <w:pPr>
        <w:pStyle w:val="Heading4"/>
        <w:numPr>
          <w:ilvl w:val="0"/>
          <w:numId w:val="0"/>
        </w:numPr>
        <w:ind w:left="964" w:hanging="964"/>
        <w:rPr>
          <w:rFonts w:asciiTheme="minorHAnsi" w:hAnsiTheme="minorHAnsi" w:cstheme="minorHAnsi"/>
          <w:lang w:eastAsia="ja-JP"/>
        </w:rPr>
      </w:pPr>
      <w:r w:rsidRPr="0029167F">
        <w:rPr>
          <w:rFonts w:asciiTheme="minorHAnsi" w:hAnsiTheme="minorHAnsi" w:cstheme="minorHAnsi"/>
          <w:lang w:eastAsia="ja-JP"/>
        </w:rPr>
        <w:t>Treatments</w:t>
      </w:r>
    </w:p>
    <w:p w14:paraId="3BCECC95" w14:textId="77777777" w:rsidR="0035076E" w:rsidRPr="0029167F" w:rsidRDefault="0035076E" w:rsidP="0035076E">
      <w:pPr>
        <w:rPr>
          <w:rFonts w:cstheme="minorHAnsi"/>
          <w:lang w:eastAsia="ja-JP"/>
        </w:rPr>
      </w:pPr>
      <w:r w:rsidRPr="0029167F">
        <w:rPr>
          <w:rFonts w:cstheme="minorHAnsi"/>
          <w:lang w:eastAsia="ja-JP"/>
        </w:rPr>
        <w:t>Includes the physical treatment of cargo, vessels, plants, animals, food, biological and genetic material, other conveyances or premises, to prevent an adverse biosecurity outcome from occurring.</w:t>
      </w:r>
    </w:p>
    <w:p w14:paraId="078B470D" w14:textId="77777777" w:rsidR="0035076E" w:rsidRPr="0029167F" w:rsidRDefault="0035076E" w:rsidP="0035076E">
      <w:pPr>
        <w:pStyle w:val="Heading4"/>
        <w:numPr>
          <w:ilvl w:val="0"/>
          <w:numId w:val="0"/>
        </w:numPr>
        <w:ind w:left="964" w:hanging="964"/>
        <w:rPr>
          <w:rFonts w:asciiTheme="minorHAnsi" w:hAnsiTheme="minorHAnsi" w:cstheme="minorHAnsi"/>
          <w:lang w:eastAsia="ja-JP"/>
        </w:rPr>
      </w:pPr>
      <w:r w:rsidRPr="0029167F">
        <w:rPr>
          <w:rFonts w:asciiTheme="minorHAnsi" w:hAnsiTheme="minorHAnsi" w:cstheme="minorHAnsi"/>
          <w:lang w:eastAsia="ja-JP"/>
        </w:rPr>
        <w:t>Husbandry</w:t>
      </w:r>
    </w:p>
    <w:p w14:paraId="053165D0" w14:textId="77777777" w:rsidR="0035076E" w:rsidRPr="0029167F" w:rsidRDefault="0035076E" w:rsidP="0035076E">
      <w:pPr>
        <w:rPr>
          <w:rFonts w:cstheme="minorHAnsi"/>
          <w:lang w:eastAsia="ja-JP"/>
        </w:rPr>
      </w:pPr>
      <w:r w:rsidRPr="0029167F">
        <w:rPr>
          <w:rFonts w:cstheme="minorHAnsi"/>
          <w:lang w:eastAsia="ja-JP"/>
        </w:rPr>
        <w:t>Includes activities relating to the care of plants and animals that we are responsible for, including transport of plants and animals, housing, daily monitoring, feeding, cleaning of facilities, administering of medication, bookings and client assistance.</w:t>
      </w:r>
    </w:p>
    <w:p w14:paraId="531B96DB" w14:textId="77777777" w:rsidR="0035076E" w:rsidRPr="0029167F" w:rsidRDefault="0035076E" w:rsidP="0035076E">
      <w:pPr>
        <w:pStyle w:val="Heading4"/>
        <w:numPr>
          <w:ilvl w:val="0"/>
          <w:numId w:val="0"/>
        </w:numPr>
        <w:ind w:left="964" w:hanging="964"/>
        <w:rPr>
          <w:rFonts w:asciiTheme="minorHAnsi" w:hAnsiTheme="minorHAnsi" w:cstheme="minorHAnsi"/>
          <w:lang w:eastAsia="ja-JP"/>
        </w:rPr>
      </w:pPr>
      <w:r w:rsidRPr="0029167F">
        <w:rPr>
          <w:rFonts w:asciiTheme="minorHAnsi" w:hAnsiTheme="minorHAnsi" w:cstheme="minorHAnsi"/>
          <w:lang w:eastAsia="ja-JP"/>
        </w:rPr>
        <w:t>Audit</w:t>
      </w:r>
    </w:p>
    <w:p w14:paraId="0AE8AA59" w14:textId="4C5CF1C2" w:rsidR="0035076E" w:rsidRDefault="0035076E" w:rsidP="0035076E">
      <w:pPr>
        <w:rPr>
          <w:rFonts w:cstheme="minorHAnsi"/>
          <w:lang w:eastAsia="ja-JP"/>
        </w:rPr>
      </w:pPr>
      <w:r w:rsidRPr="0029167F">
        <w:rPr>
          <w:rFonts w:cstheme="minorHAnsi"/>
          <w:lang w:eastAsia="ja-JP"/>
        </w:rPr>
        <w:t>Includes the systematic and functionally independent examination of industry systems and processes to determine whether activities and related results comply with legislative or documented requirements. This includes desktop audits,</w:t>
      </w:r>
      <w:r w:rsidR="00117ED7" w:rsidRPr="0029167F">
        <w:rPr>
          <w:rFonts w:cstheme="minorHAnsi"/>
          <w:lang w:eastAsia="ja-JP"/>
        </w:rPr>
        <w:t xml:space="preserve"> remote audits,</w:t>
      </w:r>
      <w:r w:rsidRPr="0029167F">
        <w:rPr>
          <w:rFonts w:cstheme="minorHAnsi"/>
          <w:lang w:eastAsia="ja-JP"/>
        </w:rPr>
        <w:t xml:space="preserve"> site audits (including</w:t>
      </w:r>
      <w:r w:rsidR="00BD6580" w:rsidRPr="0029167F">
        <w:rPr>
          <w:rFonts w:cstheme="minorHAnsi"/>
          <w:lang w:eastAsia="ja-JP"/>
        </w:rPr>
        <w:t> </w:t>
      </w:r>
      <w:r w:rsidRPr="0029167F">
        <w:rPr>
          <w:rFonts w:cstheme="minorHAnsi"/>
          <w:lang w:eastAsia="ja-JP"/>
        </w:rPr>
        <w:t>travel), reviews of standard operating procedures for new and existing approved arrangement sites, overseas manufacturing facilities and pre-export quarantine facilities and their procedures.</w:t>
      </w:r>
    </w:p>
    <w:p w14:paraId="5D22C6E2" w14:textId="5A24ADC5" w:rsidR="00B02A6F" w:rsidRDefault="00B02A6F" w:rsidP="008B6B2E">
      <w:pPr>
        <w:pStyle w:val="Heading2"/>
        <w:numPr>
          <w:ilvl w:val="0"/>
          <w:numId w:val="0"/>
        </w:numPr>
        <w:rPr>
          <w:rFonts w:asciiTheme="minorHAnsi" w:hAnsiTheme="minorHAnsi" w:cstheme="minorHAnsi"/>
        </w:rPr>
      </w:pPr>
      <w:bookmarkStart w:id="288" w:name="_Appendix_C:_Description"/>
      <w:bookmarkStart w:id="289" w:name="_Appendix_C:_Summary"/>
      <w:bookmarkStart w:id="290" w:name="_Toc168489277"/>
      <w:bookmarkStart w:id="291" w:name="_Toc168489574"/>
      <w:bookmarkStart w:id="292" w:name="_Toc168645272"/>
      <w:bookmarkStart w:id="293" w:name="_Hlk136495910"/>
      <w:bookmarkEnd w:id="288"/>
      <w:bookmarkEnd w:id="289"/>
      <w:r w:rsidRPr="0029167F">
        <w:rPr>
          <w:rFonts w:asciiTheme="minorHAnsi" w:hAnsiTheme="minorHAnsi" w:cstheme="minorHAnsi"/>
        </w:rPr>
        <w:lastRenderedPageBreak/>
        <w:t xml:space="preserve">Appendix </w:t>
      </w:r>
      <w:r>
        <w:rPr>
          <w:rFonts w:asciiTheme="minorHAnsi" w:hAnsiTheme="minorHAnsi" w:cstheme="minorHAnsi"/>
        </w:rPr>
        <w:t>C</w:t>
      </w:r>
      <w:r w:rsidRPr="0029167F">
        <w:rPr>
          <w:rFonts w:asciiTheme="minorHAnsi" w:hAnsiTheme="minorHAnsi" w:cstheme="minorHAnsi"/>
        </w:rPr>
        <w:t xml:space="preserve">: </w:t>
      </w:r>
      <w:r w:rsidR="006E42A5">
        <w:rPr>
          <w:rFonts w:asciiTheme="minorHAnsi" w:hAnsiTheme="minorHAnsi" w:cstheme="minorHAnsi"/>
        </w:rPr>
        <w:t>S</w:t>
      </w:r>
      <w:r w:rsidR="00AC600F">
        <w:rPr>
          <w:rFonts w:asciiTheme="minorHAnsi" w:hAnsiTheme="minorHAnsi" w:cstheme="minorHAnsi"/>
        </w:rPr>
        <w:t xml:space="preserve">takeholder </w:t>
      </w:r>
      <w:r w:rsidR="006E42A5">
        <w:rPr>
          <w:rFonts w:asciiTheme="minorHAnsi" w:hAnsiTheme="minorHAnsi" w:cstheme="minorHAnsi"/>
        </w:rPr>
        <w:t>engagement</w:t>
      </w:r>
      <w:bookmarkEnd w:id="290"/>
      <w:bookmarkEnd w:id="291"/>
      <w:bookmarkEnd w:id="292"/>
    </w:p>
    <w:bookmarkEnd w:id="293"/>
    <w:p w14:paraId="7BEC1DA2" w14:textId="0455B593" w:rsidR="006E42A5" w:rsidRDefault="006E42A5" w:rsidP="00922F1D">
      <w:pPr>
        <w:rPr>
          <w:rFonts w:cstheme="minorHAnsi"/>
          <w:lang w:eastAsia="ja-JP"/>
        </w:rPr>
      </w:pPr>
      <w:r>
        <w:rPr>
          <w:rFonts w:cstheme="minorHAnsi"/>
          <w:lang w:eastAsia="ja-JP"/>
        </w:rPr>
        <w:t>Consultation</w:t>
      </w:r>
      <w:r w:rsidR="00922F1D" w:rsidRPr="00922F1D">
        <w:rPr>
          <w:rFonts w:cstheme="minorHAnsi"/>
          <w:lang w:eastAsia="ja-JP"/>
        </w:rPr>
        <w:t xml:space="preserve"> on </w:t>
      </w:r>
      <w:r w:rsidR="00902B57">
        <w:rPr>
          <w:rFonts w:cstheme="minorHAnsi"/>
          <w:lang w:eastAsia="ja-JP"/>
        </w:rPr>
        <w:t xml:space="preserve">the introduction of an annual review of regulatory charging, and the introduction of indexation across future years, </w:t>
      </w:r>
      <w:r>
        <w:rPr>
          <w:rFonts w:cstheme="minorHAnsi"/>
          <w:lang w:eastAsia="ja-JP"/>
        </w:rPr>
        <w:t xml:space="preserve">was undertaken </w:t>
      </w:r>
      <w:r w:rsidR="00902B57">
        <w:rPr>
          <w:rFonts w:cstheme="minorHAnsi"/>
          <w:lang w:eastAsia="ja-JP"/>
        </w:rPr>
        <w:t xml:space="preserve">as </w:t>
      </w:r>
      <w:r w:rsidR="00922F1D" w:rsidRPr="00922F1D">
        <w:rPr>
          <w:rFonts w:cstheme="minorHAnsi"/>
          <w:lang w:eastAsia="ja-JP"/>
        </w:rPr>
        <w:t xml:space="preserve">part of the review </w:t>
      </w:r>
      <w:r>
        <w:rPr>
          <w:rFonts w:cstheme="minorHAnsi"/>
          <w:lang w:eastAsia="ja-JP"/>
        </w:rPr>
        <w:t xml:space="preserve">of the biosecurity cost recovery arrangement </w:t>
      </w:r>
      <w:r w:rsidR="00922F1D" w:rsidRPr="00922F1D">
        <w:rPr>
          <w:rFonts w:cstheme="minorHAnsi"/>
          <w:lang w:eastAsia="ja-JP"/>
        </w:rPr>
        <w:t xml:space="preserve">completed in 2023. </w:t>
      </w:r>
      <w:r w:rsidR="00902B57">
        <w:rPr>
          <w:rFonts w:cstheme="minorHAnsi"/>
          <w:lang w:eastAsia="ja-JP"/>
        </w:rPr>
        <w:t xml:space="preserve">Stakeholders </w:t>
      </w:r>
      <w:r w:rsidR="00D81ED3">
        <w:rPr>
          <w:rFonts w:cstheme="minorHAnsi"/>
          <w:lang w:eastAsia="ja-JP"/>
        </w:rPr>
        <w:t xml:space="preserve">supported this </w:t>
      </w:r>
      <w:r w:rsidR="00902B57">
        <w:rPr>
          <w:rFonts w:cstheme="minorHAnsi"/>
          <w:lang w:eastAsia="ja-JP"/>
        </w:rPr>
        <w:t>approach</w:t>
      </w:r>
      <w:r w:rsidR="00674F28">
        <w:rPr>
          <w:rFonts w:cstheme="minorHAnsi"/>
          <w:lang w:eastAsia="ja-JP"/>
        </w:rPr>
        <w:t xml:space="preserve">, which would </w:t>
      </w:r>
      <w:r w:rsidR="00A96A93">
        <w:rPr>
          <w:rFonts w:cstheme="minorHAnsi"/>
          <w:lang w:eastAsia="ja-JP"/>
        </w:rPr>
        <w:t xml:space="preserve">provide greater price certainty and </w:t>
      </w:r>
      <w:r w:rsidR="00902B57">
        <w:rPr>
          <w:rFonts w:cstheme="minorHAnsi"/>
          <w:lang w:eastAsia="ja-JP"/>
        </w:rPr>
        <w:t xml:space="preserve">avoid </w:t>
      </w:r>
      <w:r w:rsidR="00A96A93">
        <w:rPr>
          <w:rFonts w:cstheme="minorHAnsi"/>
          <w:lang w:eastAsia="ja-JP"/>
        </w:rPr>
        <w:t>large price increases in the future.</w:t>
      </w:r>
    </w:p>
    <w:p w14:paraId="7312D400" w14:textId="04D9CAF8" w:rsidR="006E42A5" w:rsidRDefault="006E42A5" w:rsidP="00922F1D">
      <w:pPr>
        <w:rPr>
          <w:rFonts w:cstheme="minorHAnsi"/>
          <w:lang w:eastAsia="ja-JP"/>
        </w:rPr>
      </w:pPr>
      <w:r>
        <w:rPr>
          <w:rFonts w:cstheme="minorHAnsi"/>
          <w:lang w:eastAsia="ja-JP"/>
        </w:rPr>
        <w:t xml:space="preserve">In preparation for </w:t>
      </w:r>
      <w:r w:rsidR="00674F28">
        <w:rPr>
          <w:rFonts w:cstheme="minorHAnsi"/>
          <w:lang w:eastAsia="ja-JP"/>
        </w:rPr>
        <w:t xml:space="preserve">the introduction </w:t>
      </w:r>
      <w:r>
        <w:rPr>
          <w:rFonts w:cstheme="minorHAnsi"/>
          <w:lang w:eastAsia="ja-JP"/>
        </w:rPr>
        <w:t>of indexed prices on 1 July 2024, f</w:t>
      </w:r>
      <w:r w:rsidR="00922F1D" w:rsidRPr="00922F1D">
        <w:rPr>
          <w:rFonts w:cstheme="minorHAnsi"/>
          <w:lang w:eastAsia="ja-JP"/>
        </w:rPr>
        <w:t xml:space="preserve">urther engagement with stakeholders </w:t>
      </w:r>
      <w:r>
        <w:rPr>
          <w:rFonts w:cstheme="minorHAnsi"/>
          <w:lang w:eastAsia="ja-JP"/>
        </w:rPr>
        <w:t>commenced in March 2024</w:t>
      </w:r>
      <w:r w:rsidR="00922F1D" w:rsidRPr="00922F1D">
        <w:rPr>
          <w:rFonts w:cstheme="minorHAnsi"/>
          <w:lang w:eastAsia="ja-JP"/>
        </w:rPr>
        <w:t xml:space="preserve">, through </w:t>
      </w:r>
      <w:r>
        <w:rPr>
          <w:rFonts w:cstheme="minorHAnsi"/>
          <w:lang w:eastAsia="ja-JP"/>
        </w:rPr>
        <w:t xml:space="preserve">a </w:t>
      </w:r>
      <w:r w:rsidR="00674F28">
        <w:rPr>
          <w:rFonts w:cstheme="minorHAnsi"/>
          <w:lang w:eastAsia="ja-JP"/>
        </w:rPr>
        <w:t xml:space="preserve">variety of </w:t>
      </w:r>
      <w:r>
        <w:rPr>
          <w:rFonts w:cstheme="minorHAnsi"/>
          <w:lang w:eastAsia="ja-JP"/>
        </w:rPr>
        <w:t>communication channels, including:</w:t>
      </w:r>
    </w:p>
    <w:p w14:paraId="613EA0DC" w14:textId="1F8536A5" w:rsidR="006E42A5" w:rsidRDefault="00C03333" w:rsidP="00EA5492">
      <w:pPr>
        <w:pStyle w:val="ListBullet"/>
        <w:rPr>
          <w:lang w:eastAsia="ja-JP"/>
        </w:rPr>
      </w:pPr>
      <w:r>
        <w:rPr>
          <w:lang w:eastAsia="ja-JP"/>
        </w:rPr>
        <w:t>a</w:t>
      </w:r>
      <w:r w:rsidR="006E42A5">
        <w:rPr>
          <w:lang w:eastAsia="ja-JP"/>
        </w:rPr>
        <w:t xml:space="preserve">ttendance at </w:t>
      </w:r>
      <w:r w:rsidR="00922F1D" w:rsidRPr="006E42A5">
        <w:rPr>
          <w:lang w:eastAsia="ja-JP"/>
        </w:rPr>
        <w:t>industry consultative committees</w:t>
      </w:r>
    </w:p>
    <w:p w14:paraId="12754EE2" w14:textId="68FF920A" w:rsidR="006E42A5" w:rsidRDefault="00C03333" w:rsidP="00EA5492">
      <w:pPr>
        <w:pStyle w:val="ListBullet"/>
        <w:rPr>
          <w:lang w:eastAsia="ja-JP"/>
        </w:rPr>
      </w:pPr>
      <w:r>
        <w:rPr>
          <w:lang w:eastAsia="ja-JP"/>
        </w:rPr>
        <w:t>p</w:t>
      </w:r>
      <w:r w:rsidR="006E42A5">
        <w:rPr>
          <w:lang w:eastAsia="ja-JP"/>
        </w:rPr>
        <w:t xml:space="preserve">ublic engagement through </w:t>
      </w:r>
      <w:r w:rsidR="003302C5">
        <w:rPr>
          <w:lang w:eastAsia="ja-JP"/>
        </w:rPr>
        <w:t xml:space="preserve">the </w:t>
      </w:r>
      <w:r w:rsidR="000A1501" w:rsidRPr="000634CA">
        <w:t>department’s</w:t>
      </w:r>
      <w:r w:rsidR="006E42A5" w:rsidRPr="000634CA">
        <w:t xml:space="preserve"> </w:t>
      </w:r>
      <w:r w:rsidR="003302C5" w:rsidRPr="000634CA">
        <w:t>‘</w:t>
      </w:r>
      <w:r w:rsidR="006E42A5" w:rsidRPr="000634CA">
        <w:t>Have your Say’ consultation</w:t>
      </w:r>
      <w:r w:rsidR="006E42A5" w:rsidRPr="006E42A5">
        <w:rPr>
          <w:lang w:eastAsia="ja-JP"/>
        </w:rPr>
        <w:t xml:space="preserve"> platform, open from 12 April until 7 May</w:t>
      </w:r>
      <w:r w:rsidR="006E42A5">
        <w:rPr>
          <w:lang w:eastAsia="ja-JP"/>
        </w:rPr>
        <w:t xml:space="preserve"> 2024</w:t>
      </w:r>
    </w:p>
    <w:p w14:paraId="386884F1" w14:textId="6C439EA7" w:rsidR="006E42A5" w:rsidRDefault="00C03333" w:rsidP="00D81ED3">
      <w:pPr>
        <w:pStyle w:val="ListBullet2"/>
        <w:rPr>
          <w:lang w:eastAsia="ja-JP"/>
        </w:rPr>
      </w:pPr>
      <w:r>
        <w:rPr>
          <w:lang w:eastAsia="ja-JP"/>
        </w:rPr>
        <w:t>i</w:t>
      </w:r>
      <w:r w:rsidR="00922F1D" w:rsidRPr="006E42A5">
        <w:rPr>
          <w:lang w:eastAsia="ja-JP"/>
        </w:rPr>
        <w:t>ndexed prices for 2024</w:t>
      </w:r>
      <w:r w:rsidR="00C47CB9">
        <w:rPr>
          <w:lang w:eastAsia="ja-JP"/>
        </w:rPr>
        <w:t>–</w:t>
      </w:r>
      <w:r w:rsidR="00922F1D" w:rsidRPr="006E42A5">
        <w:rPr>
          <w:lang w:eastAsia="ja-JP"/>
        </w:rPr>
        <w:t>25 and a draft 2024</w:t>
      </w:r>
      <w:r w:rsidR="00C47CB9">
        <w:rPr>
          <w:lang w:eastAsia="ja-JP"/>
        </w:rPr>
        <w:t>–</w:t>
      </w:r>
      <w:r w:rsidR="00922F1D" w:rsidRPr="006E42A5">
        <w:rPr>
          <w:lang w:eastAsia="ja-JP"/>
        </w:rPr>
        <w:t>25 biosecurity cost recovery implementation statement (CRIS)</w:t>
      </w:r>
      <w:r w:rsidR="00674F28">
        <w:rPr>
          <w:lang w:eastAsia="ja-JP"/>
        </w:rPr>
        <w:t xml:space="preserve"> were published</w:t>
      </w:r>
    </w:p>
    <w:p w14:paraId="03018B56" w14:textId="67414B24" w:rsidR="00D0129F" w:rsidRDefault="00C03333" w:rsidP="00D0129F">
      <w:pPr>
        <w:pStyle w:val="ListBullet"/>
        <w:rPr>
          <w:lang w:eastAsia="ja-JP"/>
        </w:rPr>
      </w:pPr>
      <w:r>
        <w:t>s</w:t>
      </w:r>
      <w:r w:rsidR="00D0129F" w:rsidRPr="00D81ED3">
        <w:t xml:space="preserve">ocial </w:t>
      </w:r>
      <w:r w:rsidR="00922F1D" w:rsidRPr="00D81ED3">
        <w:t>media campaign</w:t>
      </w:r>
      <w:r>
        <w:t>s</w:t>
      </w:r>
      <w:r w:rsidR="00922F1D" w:rsidRPr="00D81ED3">
        <w:t xml:space="preserve"> and a series of advice notices, targeting key stakeholder </w:t>
      </w:r>
      <w:r w:rsidR="00D0129F" w:rsidRPr="00D0129F">
        <w:t>groups</w:t>
      </w:r>
    </w:p>
    <w:p w14:paraId="0481DC35" w14:textId="4EEC8350" w:rsidR="00D0129F" w:rsidRPr="00D0129F" w:rsidRDefault="00C03333" w:rsidP="00D81ED3">
      <w:pPr>
        <w:pStyle w:val="ListBullet"/>
        <w:rPr>
          <w:lang w:eastAsia="ja-JP"/>
        </w:rPr>
      </w:pPr>
      <w:r>
        <w:t>i</w:t>
      </w:r>
      <w:r w:rsidR="00D0129F" w:rsidRPr="00D0129F">
        <w:t>nformation</w:t>
      </w:r>
      <w:r w:rsidR="00A96A93" w:rsidRPr="00D0129F">
        <w:t xml:space="preserve"> and reminders of the commencement of new prices through advice notices, and social media</w:t>
      </w:r>
      <w:r w:rsidR="006E42A5" w:rsidRPr="00D0129F">
        <w:t xml:space="preserve"> in the lead up to</w:t>
      </w:r>
      <w:r w:rsidR="000634CA">
        <w:t xml:space="preserve"> </w:t>
      </w:r>
      <w:r w:rsidR="006E42A5" w:rsidRPr="00D0129F">
        <w:t>1 July 2024</w:t>
      </w:r>
      <w:r w:rsidR="006E42A5" w:rsidRPr="00D0129F">
        <w:rPr>
          <w:lang w:eastAsia="ja-JP"/>
        </w:rPr>
        <w:t>.</w:t>
      </w:r>
    </w:p>
    <w:p w14:paraId="4AEFD60D" w14:textId="2E60A501" w:rsidR="004D1F50" w:rsidRPr="00D0129F" w:rsidRDefault="00922F1D" w:rsidP="00EA5492">
      <w:r w:rsidRPr="00D0129F">
        <w:t xml:space="preserve">Stakeholders </w:t>
      </w:r>
      <w:r w:rsidR="00EA5492">
        <w:t xml:space="preserve">did not </w:t>
      </w:r>
      <w:r w:rsidRPr="00D0129F">
        <w:t>raise</w:t>
      </w:r>
      <w:r w:rsidR="00EA5492">
        <w:t xml:space="preserve"> </w:t>
      </w:r>
      <w:r w:rsidRPr="00D0129F">
        <w:t xml:space="preserve">concerns and were expecting prices to increase in line with CPI. Indexed prices </w:t>
      </w:r>
      <w:r w:rsidR="00EA5492">
        <w:t xml:space="preserve">were </w:t>
      </w:r>
      <w:r w:rsidRPr="00D0129F">
        <w:t xml:space="preserve">published well in advance of the 1 July 2024 commencement date, providing </w:t>
      </w:r>
      <w:r w:rsidR="00674F28" w:rsidRPr="00D0129F">
        <w:t xml:space="preserve">impacted </w:t>
      </w:r>
      <w:r w:rsidRPr="00D0129F">
        <w:t>stakeholders time to prepare</w:t>
      </w:r>
      <w:r w:rsidR="00674F28" w:rsidRPr="00D0129F">
        <w:t xml:space="preserve"> for price increases</w:t>
      </w:r>
      <w:bookmarkStart w:id="294" w:name="Title_C1"/>
      <w:bookmarkStart w:id="295" w:name="_Appendix_D:_Government"/>
      <w:bookmarkStart w:id="296" w:name="_Toc135332454"/>
      <w:bookmarkEnd w:id="294"/>
      <w:bookmarkEnd w:id="295"/>
      <w:r w:rsidR="004D1F50" w:rsidRPr="00D0129F">
        <w:t>.</w:t>
      </w:r>
    </w:p>
    <w:p w14:paraId="18092C15" w14:textId="2DDF37D1" w:rsidR="00740642" w:rsidRPr="004D1F50" w:rsidRDefault="00740642">
      <w:pPr>
        <w:pStyle w:val="Heading2"/>
        <w:numPr>
          <w:ilvl w:val="0"/>
          <w:numId w:val="0"/>
        </w:numPr>
        <w:rPr>
          <w:rFonts w:asciiTheme="minorHAnsi" w:hAnsiTheme="minorHAnsi" w:cstheme="minorHAnsi"/>
        </w:rPr>
      </w:pPr>
      <w:bookmarkStart w:id="297" w:name="_Appendix_D:_Government_1"/>
      <w:bookmarkStart w:id="298" w:name="_Toc168489278"/>
      <w:bookmarkStart w:id="299" w:name="_Toc168489575"/>
      <w:bookmarkStart w:id="300" w:name="_Toc168645273"/>
      <w:bookmarkEnd w:id="297"/>
      <w:r w:rsidRPr="004D1F50">
        <w:lastRenderedPageBreak/>
        <w:t xml:space="preserve">Appendix </w:t>
      </w:r>
      <w:r w:rsidRPr="004D1F50">
        <w:rPr>
          <w:rFonts w:asciiTheme="minorHAnsi" w:hAnsiTheme="minorHAnsi" w:cstheme="minorHAnsi"/>
        </w:rPr>
        <w:t xml:space="preserve">D: </w:t>
      </w:r>
      <w:r>
        <w:t xml:space="preserve">Government </w:t>
      </w:r>
      <w:r w:rsidR="0091267E">
        <w:t xml:space="preserve">approach </w:t>
      </w:r>
      <w:r>
        <w:t>to cost recover</w:t>
      </w:r>
      <w:bookmarkEnd w:id="296"/>
      <w:r w:rsidR="003302C5">
        <w:t>y</w:t>
      </w:r>
      <w:bookmarkEnd w:id="298"/>
      <w:bookmarkEnd w:id="299"/>
      <w:bookmarkEnd w:id="300"/>
    </w:p>
    <w:p w14:paraId="32ECE8E3" w14:textId="7E81E234" w:rsidR="00740642" w:rsidRPr="00784867" w:rsidRDefault="00A56C6E" w:rsidP="00740642">
      <w:pPr>
        <w:keepNext/>
        <w:rPr>
          <w:rFonts w:cstheme="minorHAnsi"/>
        </w:rPr>
      </w:pPr>
      <w:r>
        <w:rPr>
          <w:rFonts w:cstheme="minorHAnsi"/>
          <w:lang w:eastAsia="ja-JP"/>
        </w:rPr>
        <w:fldChar w:fldCharType="begin"/>
      </w:r>
      <w:r>
        <w:rPr>
          <w:rFonts w:cstheme="minorHAnsi"/>
          <w:lang w:eastAsia="ja-JP"/>
        </w:rPr>
        <w:instrText xml:space="preserve"> REF _Ref135833787 \h  \* MERGEFORMAT </w:instrText>
      </w:r>
      <w:r>
        <w:rPr>
          <w:rFonts w:cstheme="minorHAnsi"/>
          <w:lang w:eastAsia="ja-JP"/>
        </w:rPr>
      </w:r>
      <w:r>
        <w:rPr>
          <w:rFonts w:cstheme="minorHAnsi"/>
          <w:lang w:eastAsia="ja-JP"/>
        </w:rPr>
        <w:fldChar w:fldCharType="separate"/>
      </w:r>
      <w:r w:rsidR="006D5EF4">
        <w:t>Table</w:t>
      </w:r>
      <w:r w:rsidR="006D5EF4" w:rsidRPr="006D5EF4">
        <w:rPr>
          <w:rFonts w:cstheme="minorHAnsi"/>
        </w:rPr>
        <w:t xml:space="preserve"> </w:t>
      </w:r>
      <w:proofErr w:type="spellStart"/>
      <w:r w:rsidR="006D5EF4" w:rsidRPr="006D5EF4">
        <w:rPr>
          <w:rFonts w:cstheme="minorHAnsi"/>
        </w:rPr>
        <w:t>D1</w:t>
      </w:r>
      <w:proofErr w:type="spellEnd"/>
      <w:r>
        <w:rPr>
          <w:rFonts w:cstheme="minorHAnsi"/>
          <w:lang w:eastAsia="ja-JP"/>
        </w:rPr>
        <w:fldChar w:fldCharType="end"/>
      </w:r>
      <w:r>
        <w:rPr>
          <w:rFonts w:cstheme="minorHAnsi"/>
          <w:lang w:eastAsia="ja-JP"/>
        </w:rPr>
        <w:t xml:space="preserve"> </w:t>
      </w:r>
      <w:r w:rsidR="00740642" w:rsidRPr="00784867">
        <w:rPr>
          <w:rFonts w:cstheme="minorHAnsi"/>
          <w:lang w:eastAsia="ja-JP"/>
        </w:rPr>
        <w:t xml:space="preserve">describes the key </w:t>
      </w:r>
      <w:r w:rsidR="000F07BF">
        <w:rPr>
          <w:rFonts w:cstheme="minorHAnsi"/>
        </w:rPr>
        <w:t>g</w:t>
      </w:r>
      <w:r w:rsidR="00740642" w:rsidRPr="00784867">
        <w:rPr>
          <w:rFonts w:cstheme="minorHAnsi"/>
        </w:rPr>
        <w:t>overnment approval for continued and expanded regulatory charging for biosecurity activities since 2017.</w:t>
      </w:r>
    </w:p>
    <w:p w14:paraId="45AF1C57" w14:textId="3F2FF986" w:rsidR="00740642" w:rsidRDefault="00BA36D1" w:rsidP="00BA36D1">
      <w:pPr>
        <w:pStyle w:val="Caption"/>
      </w:pPr>
      <w:bookmarkStart w:id="301" w:name="_Ref135833787"/>
      <w:bookmarkStart w:id="302" w:name="_Toc130200636"/>
      <w:bookmarkStart w:id="303" w:name="_Toc168645289"/>
      <w:r>
        <w:t>Table D</w:t>
      </w:r>
      <w:r w:rsidR="00FD4278">
        <w:fldChar w:fldCharType="begin"/>
      </w:r>
      <w:r w:rsidR="00FD4278">
        <w:instrText xml:space="preserve"> SEQ Table_D \* ARABIC </w:instrText>
      </w:r>
      <w:r w:rsidR="00FD4278">
        <w:fldChar w:fldCharType="separate"/>
      </w:r>
      <w:r w:rsidR="006D5EF4">
        <w:rPr>
          <w:noProof/>
        </w:rPr>
        <w:t>1</w:t>
      </w:r>
      <w:r w:rsidR="00FD4278">
        <w:rPr>
          <w:noProof/>
        </w:rPr>
        <w:fldChar w:fldCharType="end"/>
      </w:r>
      <w:bookmarkEnd w:id="301"/>
      <w:r>
        <w:t xml:space="preserve"> </w:t>
      </w:r>
      <w:r w:rsidR="00740642" w:rsidRPr="002C042B">
        <w:t>Government approval for continued and expanded regulatory charging for biosecurity activities</w:t>
      </w:r>
      <w:bookmarkEnd w:id="302"/>
      <w:bookmarkEnd w:id="303"/>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441"/>
        <w:gridCol w:w="6743"/>
      </w:tblGrid>
      <w:tr w:rsidR="006C0093" w14:paraId="2B5E7C69" w14:textId="77777777" w:rsidTr="00A4372E">
        <w:trPr>
          <w:tblHeader/>
        </w:trPr>
        <w:tc>
          <w:tcPr>
            <w:tcW w:w="1329" w:type="pct"/>
            <w:tcMar>
              <w:left w:w="108" w:type="dxa"/>
              <w:right w:w="108" w:type="dxa"/>
            </w:tcMar>
          </w:tcPr>
          <w:p w14:paraId="4344A1D2" w14:textId="77777777" w:rsidR="006C0093" w:rsidRDefault="006C0093" w:rsidP="0083269C">
            <w:pPr>
              <w:pStyle w:val="TableHeading"/>
            </w:pPr>
            <w:bookmarkStart w:id="304" w:name="Title_D1"/>
            <w:bookmarkEnd w:id="304"/>
            <w:r w:rsidRPr="0055251D">
              <w:t>Date</w:t>
            </w:r>
          </w:p>
        </w:tc>
        <w:tc>
          <w:tcPr>
            <w:tcW w:w="3671" w:type="pct"/>
            <w:tcMar>
              <w:left w:w="108" w:type="dxa"/>
              <w:right w:w="108" w:type="dxa"/>
            </w:tcMar>
          </w:tcPr>
          <w:p w14:paraId="3B00DE57" w14:textId="77777777" w:rsidR="006C0093" w:rsidRPr="00340820" w:rsidRDefault="006C0093" w:rsidP="0083269C">
            <w:pPr>
              <w:pStyle w:val="TableHeading"/>
              <w:rPr>
                <w:highlight w:val="yellow"/>
              </w:rPr>
            </w:pPr>
            <w:r w:rsidRPr="00D71662">
              <w:t>Government approach</w:t>
            </w:r>
          </w:p>
        </w:tc>
      </w:tr>
      <w:tr w:rsidR="006C0093" w14:paraId="6D7E778B" w14:textId="77777777" w:rsidTr="00A4372E">
        <w:tc>
          <w:tcPr>
            <w:tcW w:w="1329" w:type="pct"/>
            <w:tcMar>
              <w:left w:w="108" w:type="dxa"/>
              <w:right w:w="108" w:type="dxa"/>
            </w:tcMar>
          </w:tcPr>
          <w:p w14:paraId="62D78296" w14:textId="77777777" w:rsidR="006C0093" w:rsidRPr="00D71662" w:rsidRDefault="006C0093" w:rsidP="0083269C">
            <w:pPr>
              <w:pStyle w:val="TableText"/>
              <w:rPr>
                <w:rStyle w:val="Strong"/>
              </w:rPr>
            </w:pPr>
            <w:r w:rsidRPr="00D71662">
              <w:rPr>
                <w:rStyle w:val="Strong"/>
              </w:rPr>
              <w:t>May 2023</w:t>
            </w:r>
          </w:p>
        </w:tc>
        <w:tc>
          <w:tcPr>
            <w:tcW w:w="3671" w:type="pct"/>
            <w:tcMar>
              <w:left w:w="108" w:type="dxa"/>
              <w:right w:w="108" w:type="dxa"/>
            </w:tcMar>
          </w:tcPr>
          <w:p w14:paraId="00B9A869" w14:textId="77777777" w:rsidR="006C0093" w:rsidRDefault="006C0093" w:rsidP="0083269C">
            <w:pPr>
              <w:pStyle w:val="TableText"/>
            </w:pPr>
            <w:r w:rsidRPr="00DA4958">
              <w:t>As part of its election commitment to sustainably fund the Commonwealth biosecurity system, the government announced in the 2023–24 Federal Budget that it will extend the biosecurity industry cost recovery arrangement to include low value goods imported into Australian territory.</w:t>
            </w:r>
          </w:p>
        </w:tc>
      </w:tr>
      <w:tr w:rsidR="006C0093" w14:paraId="00468CD1" w14:textId="77777777" w:rsidTr="00A4372E">
        <w:tc>
          <w:tcPr>
            <w:tcW w:w="1329" w:type="pct"/>
            <w:tcMar>
              <w:left w:w="108" w:type="dxa"/>
              <w:right w:w="108" w:type="dxa"/>
            </w:tcMar>
          </w:tcPr>
          <w:p w14:paraId="27BD0091" w14:textId="77777777" w:rsidR="006C0093" w:rsidRPr="00D71662" w:rsidRDefault="006C0093" w:rsidP="0083269C">
            <w:pPr>
              <w:pStyle w:val="TableText"/>
              <w:rPr>
                <w:rStyle w:val="Strong"/>
              </w:rPr>
            </w:pPr>
            <w:r w:rsidRPr="00D71662">
              <w:rPr>
                <w:rStyle w:val="Strong"/>
              </w:rPr>
              <w:t>May 2021</w:t>
            </w:r>
          </w:p>
        </w:tc>
        <w:tc>
          <w:tcPr>
            <w:tcW w:w="3671" w:type="pct"/>
            <w:tcMar>
              <w:left w:w="108" w:type="dxa"/>
              <w:right w:w="108" w:type="dxa"/>
            </w:tcMar>
          </w:tcPr>
          <w:p w14:paraId="18CB7D71" w14:textId="77777777" w:rsidR="006C0093" w:rsidRPr="00D71662" w:rsidRDefault="006C0093" w:rsidP="0083269C">
            <w:pPr>
              <w:pStyle w:val="TableText"/>
              <w:rPr>
                <w:rStyle w:val="Strong"/>
              </w:rPr>
            </w:pPr>
            <w:r w:rsidRPr="00D71662">
              <w:rPr>
                <w:rStyle w:val="Strong"/>
              </w:rPr>
              <w:t>Better manage the risk of hitchhiker pests and diseases Importers</w:t>
            </w:r>
          </w:p>
          <w:p w14:paraId="51980575" w14:textId="77777777" w:rsidR="006C0093" w:rsidRDefault="006C0093" w:rsidP="0083269C">
            <w:pPr>
              <w:pStyle w:val="TableText"/>
            </w:pPr>
            <w:r>
              <w:t>Government committed $96.9 million over 4 years to better manage the risk of hitchhiker pests and diseases that can cause considerable cost and disruption to agricultural production, the environment, and the way of life of all Australians.</w:t>
            </w:r>
          </w:p>
          <w:p w14:paraId="50163631" w14:textId="77777777" w:rsidR="006C0093" w:rsidRDefault="006C0093" w:rsidP="0083269C">
            <w:pPr>
              <w:pStyle w:val="TableText"/>
            </w:pPr>
            <w:r>
              <w:t>The program addresses the risk of major hitchhiker pests, for example khapra beetle and brown marmorated stink bug, which can be carried in and on containers and their contents (around 2.5 million containers arrive each year).</w:t>
            </w:r>
          </w:p>
          <w:p w14:paraId="7F29C3B9" w14:textId="77777777" w:rsidR="006C0093" w:rsidRDefault="006C0093" w:rsidP="0083269C">
            <w:pPr>
              <w:pStyle w:val="TableText"/>
            </w:pPr>
            <w:r>
              <w:t>Commencing 16 January 2023, the Sea FID increased from $49 to $58.</w:t>
            </w:r>
          </w:p>
        </w:tc>
      </w:tr>
      <w:tr w:rsidR="006C0093" w14:paraId="0BF58759" w14:textId="77777777" w:rsidTr="00A4372E">
        <w:tc>
          <w:tcPr>
            <w:tcW w:w="1329" w:type="pct"/>
            <w:tcMar>
              <w:left w:w="108" w:type="dxa"/>
              <w:right w:w="108" w:type="dxa"/>
            </w:tcMar>
          </w:tcPr>
          <w:p w14:paraId="2D94E41A" w14:textId="77777777" w:rsidR="006C0093" w:rsidRPr="00D71662" w:rsidRDefault="006C0093" w:rsidP="0083269C">
            <w:pPr>
              <w:pStyle w:val="TableText"/>
              <w:rPr>
                <w:rStyle w:val="Strong"/>
              </w:rPr>
            </w:pPr>
            <w:r w:rsidRPr="00D71662">
              <w:rPr>
                <w:rStyle w:val="Strong"/>
              </w:rPr>
              <w:t>November 2019</w:t>
            </w:r>
          </w:p>
        </w:tc>
        <w:tc>
          <w:tcPr>
            <w:tcW w:w="3671" w:type="pct"/>
            <w:tcMar>
              <w:left w:w="108" w:type="dxa"/>
              <w:right w:w="108" w:type="dxa"/>
            </w:tcMar>
          </w:tcPr>
          <w:p w14:paraId="43FF7970" w14:textId="77777777" w:rsidR="006C0093" w:rsidRPr="00D71662" w:rsidRDefault="006C0093" w:rsidP="0083269C">
            <w:pPr>
              <w:pStyle w:val="TableText"/>
              <w:rPr>
                <w:rStyle w:val="Strong"/>
              </w:rPr>
            </w:pPr>
            <w:r w:rsidRPr="00D71662">
              <w:rPr>
                <w:rStyle w:val="Strong"/>
              </w:rPr>
              <w:t>Expansion of cost recovered regulatory activities</w:t>
            </w:r>
          </w:p>
          <w:p w14:paraId="3AE28432" w14:textId="77777777" w:rsidR="006C0093" w:rsidRDefault="006C0093" w:rsidP="0083269C">
            <w:pPr>
              <w:pStyle w:val="TableText"/>
            </w:pPr>
            <w:r>
              <w:t>The government decided to expand cost recovered regulatory activities to include $23.0 million per year of biosecurity activities. These directly relate to our regulatory framework.</w:t>
            </w:r>
          </w:p>
          <w:p w14:paraId="1EF64915" w14:textId="77777777" w:rsidR="006C0093" w:rsidRDefault="006C0093" w:rsidP="0083269C">
            <w:pPr>
              <w:pStyle w:val="TableText"/>
            </w:pPr>
            <w:r>
              <w:t>From 1 January 2020 regulatory activities included in regulatory charges were expanded to include:</w:t>
            </w:r>
          </w:p>
          <w:p w14:paraId="695E7914" w14:textId="77777777" w:rsidR="006C0093" w:rsidRDefault="006C0093" w:rsidP="006C0093">
            <w:pPr>
              <w:pStyle w:val="TableBullet1"/>
              <w:numPr>
                <w:ilvl w:val="0"/>
                <w:numId w:val="29"/>
              </w:numPr>
            </w:pPr>
            <w:r>
              <w:t>Assurance and verification activities to provide confidence in compliance controls and support enforcement of regulation, contributing to the efficiency and effectiveness of the biosecurity system that facilitates importers to bring goods safely into Australia. This activity included:</w:t>
            </w:r>
          </w:p>
          <w:p w14:paraId="6857D4EC" w14:textId="77777777" w:rsidR="006C0093" w:rsidRDefault="006C0093" w:rsidP="006C0093">
            <w:pPr>
              <w:pStyle w:val="TableBullet2"/>
              <w:tabs>
                <w:tab w:val="clear" w:pos="284"/>
                <w:tab w:val="num" w:pos="462"/>
              </w:tabs>
              <w:ind w:left="604" w:hanging="445"/>
            </w:pPr>
            <w:r>
              <w:t>applying best practice regulatory procedures and monitoring their implementation to verify ongoing effectiveness of regulatory activity</w:t>
            </w:r>
          </w:p>
          <w:p w14:paraId="0C9047B7" w14:textId="77777777" w:rsidR="006C0093" w:rsidRDefault="006C0093" w:rsidP="006C0093">
            <w:pPr>
              <w:pStyle w:val="TableBullet2"/>
              <w:tabs>
                <w:tab w:val="clear" w:pos="284"/>
                <w:tab w:val="num" w:pos="462"/>
              </w:tabs>
              <w:ind w:left="604" w:hanging="445"/>
            </w:pPr>
            <w:r>
              <w:t>implementing and maintaining a decision-making tool that allows us to calculate benefits and risks of change in regulatory activity</w:t>
            </w:r>
          </w:p>
          <w:p w14:paraId="161BF320" w14:textId="77777777" w:rsidR="006C0093" w:rsidRDefault="006C0093" w:rsidP="006C0093">
            <w:pPr>
              <w:pStyle w:val="TableBullet2"/>
              <w:tabs>
                <w:tab w:val="clear" w:pos="284"/>
                <w:tab w:val="num" w:pos="462"/>
              </w:tabs>
              <w:ind w:left="604" w:hanging="445"/>
            </w:pPr>
            <w:r>
              <w:t>investigations of importer compliance with biosecurity regulation to maintain the integrity of the system, including provision and monitoring of corrective actions.</w:t>
            </w:r>
          </w:p>
          <w:p w14:paraId="494ADC94" w14:textId="77777777" w:rsidR="006C0093" w:rsidRDefault="006C0093" w:rsidP="006C0093">
            <w:pPr>
              <w:pStyle w:val="TableBullet1"/>
              <w:numPr>
                <w:ilvl w:val="0"/>
                <w:numId w:val="29"/>
              </w:numPr>
            </w:pPr>
            <w:r>
              <w:t>Increased analytics and intelligence activities, including the use of data to identify trends to inform intervention and compliance activities. This was intended to minimise the risk of incursions and prevent harm to Australia’s agricultural production and environment. These activities included:</w:t>
            </w:r>
          </w:p>
          <w:p w14:paraId="57FCFE51" w14:textId="77777777" w:rsidR="006C0093" w:rsidRDefault="006C0093" w:rsidP="006C0093">
            <w:pPr>
              <w:pStyle w:val="TableBullet2"/>
              <w:tabs>
                <w:tab w:val="clear" w:pos="284"/>
                <w:tab w:val="num" w:pos="462"/>
              </w:tabs>
              <w:ind w:left="604" w:hanging="445"/>
            </w:pPr>
            <w:r>
              <w:t>the application, maintenance and refinement of algorithms and work processes that analyse biosecurity data and inform coordination of biosecurity risk management measures and compliance controls. The intelligence helps us identify which imports are most likely to expose Australia to exotic pests and/or diseases.</w:t>
            </w:r>
          </w:p>
          <w:p w14:paraId="1FB5607D" w14:textId="77777777" w:rsidR="006C0093" w:rsidRDefault="006C0093" w:rsidP="006C0093">
            <w:pPr>
              <w:pStyle w:val="TableBullet2"/>
              <w:tabs>
                <w:tab w:val="clear" w:pos="284"/>
                <w:tab w:val="num" w:pos="462"/>
              </w:tabs>
              <w:ind w:left="604" w:hanging="445"/>
            </w:pPr>
            <w:r>
              <w:t>this allows for more targeted risk management activities that streamline the border experience for importers and reduces intervention with importers with minimal risk.</w:t>
            </w:r>
          </w:p>
          <w:p w14:paraId="0C4366F1" w14:textId="77777777" w:rsidR="006C0093" w:rsidRDefault="006C0093" w:rsidP="006C0093">
            <w:pPr>
              <w:pStyle w:val="TableBullet1"/>
              <w:numPr>
                <w:ilvl w:val="0"/>
                <w:numId w:val="29"/>
              </w:numPr>
            </w:pPr>
            <w:r>
              <w:lastRenderedPageBreak/>
              <w:t>The provision of technical and scientific advice to maintain up to date biosecurity risk management information within our Biosecurity Import Condition (BICON) system. Through BICON, we provide a single source of truth for biosecurity officers and importers to identify goods quickly and easily, relevant import conditions and further biosecurity risk management options for the safe import of goods.</w:t>
            </w:r>
          </w:p>
          <w:p w14:paraId="10D0E2A0" w14:textId="77777777" w:rsidR="006C0093" w:rsidRDefault="006C0093" w:rsidP="006C0093">
            <w:pPr>
              <w:pStyle w:val="TableBullet1"/>
              <w:numPr>
                <w:ilvl w:val="0"/>
                <w:numId w:val="29"/>
              </w:numPr>
            </w:pPr>
            <w:r>
              <w:t>Import pest and disease risk mitigation planning, which ensures that we have the capability to mitigate the impact of pest and disease incursions that result from the import of goods. The activities include the development and maintenance of risk mitigation processes and plans, including the maintenance of the capability required to implement actions in those plans, which facilitates the import of goods. Importers will be able to either choose to rely on publicly available plans or choose to develop their own plans subject to the department granting a permit.</w:t>
            </w:r>
          </w:p>
          <w:p w14:paraId="3892DB02" w14:textId="77777777" w:rsidR="006C0093" w:rsidRDefault="006C0093" w:rsidP="0083269C">
            <w:pPr>
              <w:pStyle w:val="TableText"/>
            </w:pPr>
            <w:r>
              <w:t>The effect of this decision to expand cost recovery for biosecurity activities was an increase in 4 charges:</w:t>
            </w:r>
          </w:p>
          <w:p w14:paraId="74E8AF1E" w14:textId="77777777" w:rsidR="006C0093" w:rsidRDefault="006C0093" w:rsidP="006C0093">
            <w:pPr>
              <w:pStyle w:val="TableBullet1"/>
              <w:numPr>
                <w:ilvl w:val="0"/>
                <w:numId w:val="29"/>
              </w:numPr>
            </w:pPr>
            <w:r>
              <w:t>Full Import Declaration charge—air was $33, to $38.</w:t>
            </w:r>
          </w:p>
          <w:p w14:paraId="1D931879" w14:textId="77777777" w:rsidR="006C0093" w:rsidRDefault="006C0093" w:rsidP="006C0093">
            <w:pPr>
              <w:pStyle w:val="TableBullet1"/>
              <w:numPr>
                <w:ilvl w:val="0"/>
                <w:numId w:val="29"/>
              </w:numPr>
            </w:pPr>
            <w:r>
              <w:t>Full Import Declaration charge—sea was $42 to $49.</w:t>
            </w:r>
          </w:p>
          <w:p w14:paraId="2F1E9620" w14:textId="77777777" w:rsidR="006C0093" w:rsidRDefault="006C0093" w:rsidP="006C0093">
            <w:pPr>
              <w:pStyle w:val="TableBullet1"/>
              <w:numPr>
                <w:ilvl w:val="0"/>
                <w:numId w:val="29"/>
              </w:numPr>
            </w:pPr>
            <w:r>
              <w:t>Vessels greater than or equal to 25 metres—arrival charge was $920, to $1054.</w:t>
            </w:r>
          </w:p>
          <w:p w14:paraId="43721DFF" w14:textId="77777777" w:rsidR="006C0093" w:rsidRDefault="006C0093" w:rsidP="006C0093">
            <w:pPr>
              <w:pStyle w:val="TableBullet1"/>
              <w:numPr>
                <w:ilvl w:val="0"/>
                <w:numId w:val="29"/>
              </w:numPr>
            </w:pPr>
            <w:r>
              <w:t>Vessels less than 25 metres—arrival charge was $100, to $120.</w:t>
            </w:r>
          </w:p>
        </w:tc>
      </w:tr>
      <w:tr w:rsidR="006C0093" w14:paraId="7E467FC7" w14:textId="77777777" w:rsidTr="00A4372E">
        <w:tc>
          <w:tcPr>
            <w:tcW w:w="1329" w:type="pct"/>
            <w:tcMar>
              <w:left w:w="108" w:type="dxa"/>
              <w:right w:w="108" w:type="dxa"/>
            </w:tcMar>
          </w:tcPr>
          <w:p w14:paraId="65560E49" w14:textId="77777777" w:rsidR="006C0093" w:rsidRPr="00D71662" w:rsidRDefault="006C0093" w:rsidP="0083269C">
            <w:pPr>
              <w:pStyle w:val="TableText"/>
              <w:rPr>
                <w:rStyle w:val="Strong"/>
              </w:rPr>
            </w:pPr>
            <w:r w:rsidRPr="00D71662">
              <w:rPr>
                <w:rStyle w:val="Strong"/>
              </w:rPr>
              <w:lastRenderedPageBreak/>
              <w:t>October 2018</w:t>
            </w:r>
          </w:p>
        </w:tc>
        <w:tc>
          <w:tcPr>
            <w:tcW w:w="3671" w:type="pct"/>
            <w:tcMar>
              <w:left w:w="108" w:type="dxa"/>
              <w:right w:w="108" w:type="dxa"/>
            </w:tcMar>
          </w:tcPr>
          <w:p w14:paraId="316F0620" w14:textId="77777777" w:rsidR="006C0093" w:rsidRPr="00D71662" w:rsidRDefault="006C0093" w:rsidP="0083269C">
            <w:pPr>
              <w:pStyle w:val="TableText"/>
              <w:tabs>
                <w:tab w:val="right" w:pos="2200"/>
              </w:tabs>
              <w:rPr>
                <w:rStyle w:val="Strong"/>
              </w:rPr>
            </w:pPr>
            <w:r w:rsidRPr="00D71662">
              <w:rPr>
                <w:rStyle w:val="Strong"/>
              </w:rPr>
              <w:t>Charging for approved arrangements</w:t>
            </w:r>
          </w:p>
          <w:p w14:paraId="0B4AB9EB" w14:textId="77777777" w:rsidR="006C0093" w:rsidRDefault="006C0093" w:rsidP="0083269C">
            <w:pPr>
              <w:pStyle w:val="TableText"/>
              <w:tabs>
                <w:tab w:val="right" w:pos="2200"/>
              </w:tabs>
            </w:pPr>
            <w:r>
              <w:t>Government approved a change to regulatory charging for biosecurity-approved arrangements. As part of this change, a new throughput charge was introduced, together with remissions for the annual charges payable by some industry participants.</w:t>
            </w:r>
          </w:p>
          <w:p w14:paraId="4CCB1A01" w14:textId="77777777" w:rsidR="006C0093" w:rsidRDefault="006C0093" w:rsidP="0083269C">
            <w:pPr>
              <w:pStyle w:val="TableText"/>
              <w:tabs>
                <w:tab w:val="right" w:pos="2200"/>
              </w:tabs>
            </w:pPr>
            <w:r>
              <w:t>The new throughput charge applies to each entry made under the Automatic Entry Processing (AEP) for Commodities (AEPCOMM). A rate of $18 is charged for each entry by a person covered by an approved arrangement, for goods to be brought or imported into Australian territory.</w:t>
            </w:r>
          </w:p>
          <w:p w14:paraId="26B16398" w14:textId="77777777" w:rsidR="006C0093" w:rsidRDefault="006C0093" w:rsidP="0083269C">
            <w:pPr>
              <w:pStyle w:val="TableText"/>
              <w:tabs>
                <w:tab w:val="right" w:pos="2200"/>
              </w:tabs>
            </w:pPr>
            <w:r>
              <w:t>The annual charge for biosecurity-approved arrangements is set at $2,900 per year. As part of the introduction of the throughput charge, the annual charges payable for some industry participants have been able to be reduced by remission. Biosecurity approved arrangements operated at a single site – $2,500 Biosecurity approved arrangements operated as an AEP Broker only – $500. These operators will also pay a throughput charge of $18 for each AEP entry they process.</w:t>
            </w:r>
          </w:p>
        </w:tc>
      </w:tr>
      <w:tr w:rsidR="006C0093" w14:paraId="19061B81" w14:textId="77777777" w:rsidTr="00A4372E">
        <w:tc>
          <w:tcPr>
            <w:tcW w:w="1329" w:type="pct"/>
            <w:tcMar>
              <w:left w:w="108" w:type="dxa"/>
              <w:right w:w="108" w:type="dxa"/>
            </w:tcMar>
          </w:tcPr>
          <w:p w14:paraId="71A0F305" w14:textId="77777777" w:rsidR="006C0093" w:rsidRPr="00D71662" w:rsidRDefault="006C0093" w:rsidP="0083269C">
            <w:pPr>
              <w:pStyle w:val="TableText"/>
              <w:rPr>
                <w:rStyle w:val="Strong"/>
              </w:rPr>
            </w:pPr>
            <w:r w:rsidRPr="00D71662">
              <w:rPr>
                <w:rStyle w:val="Strong"/>
              </w:rPr>
              <w:t>May 2017</w:t>
            </w:r>
          </w:p>
        </w:tc>
        <w:tc>
          <w:tcPr>
            <w:tcW w:w="3671" w:type="pct"/>
            <w:tcMar>
              <w:left w:w="108" w:type="dxa"/>
              <w:right w:w="108" w:type="dxa"/>
            </w:tcMar>
          </w:tcPr>
          <w:p w14:paraId="4697FF3A" w14:textId="77777777" w:rsidR="006C0093" w:rsidRPr="00D71662" w:rsidRDefault="006C0093" w:rsidP="0083269C">
            <w:pPr>
              <w:pStyle w:val="TableText"/>
              <w:tabs>
                <w:tab w:val="right" w:pos="2200"/>
              </w:tabs>
              <w:rPr>
                <w:rStyle w:val="Strong"/>
              </w:rPr>
            </w:pPr>
            <w:r w:rsidRPr="00D71662">
              <w:rPr>
                <w:rStyle w:val="Strong"/>
              </w:rPr>
              <w:t>Vessel arrival charge</w:t>
            </w:r>
          </w:p>
          <w:p w14:paraId="50272A03" w14:textId="77777777" w:rsidR="006C0093" w:rsidRPr="006C0093" w:rsidRDefault="006C0093" w:rsidP="006C0093">
            <w:pPr>
              <w:pStyle w:val="TableText"/>
            </w:pPr>
            <w:r w:rsidRPr="006C0093">
              <w:t>As part of the 2017–18 Budget measures the government directed us to increase the international vessel arrival charge to address the volume forecast and cost recover the expenses of the expanded ballast water biosecurity activities.</w:t>
            </w:r>
          </w:p>
          <w:p w14:paraId="09839C0C" w14:textId="77777777" w:rsidR="006C0093" w:rsidRPr="00D71662" w:rsidRDefault="006C0093" w:rsidP="006C0093">
            <w:pPr>
              <w:pStyle w:val="TableText"/>
              <w:rPr>
                <w:rStyle w:val="Strong"/>
              </w:rPr>
            </w:pPr>
            <w:r w:rsidRPr="006C0093">
              <w:t>The international vessel arrival charge for vessels over 25 metres in length increased from $720 to $920, with effect from April 2018.</w:t>
            </w:r>
          </w:p>
        </w:tc>
      </w:tr>
    </w:tbl>
    <w:p w14:paraId="6F764092" w14:textId="77777777" w:rsidR="00741B52" w:rsidRPr="00D865F3" w:rsidRDefault="00741B52" w:rsidP="00485E3C">
      <w:pPr>
        <w:pStyle w:val="Heading2"/>
        <w:numPr>
          <w:ilvl w:val="0"/>
          <w:numId w:val="0"/>
        </w:numPr>
      </w:pPr>
      <w:bookmarkStart w:id="305" w:name="_Toc168489279"/>
      <w:bookmarkStart w:id="306" w:name="_Toc168489576"/>
      <w:bookmarkStart w:id="307" w:name="_Toc168645274"/>
      <w:r w:rsidRPr="00D865F3">
        <w:lastRenderedPageBreak/>
        <w:t>References</w:t>
      </w:r>
      <w:bookmarkEnd w:id="305"/>
      <w:bookmarkEnd w:id="306"/>
      <w:bookmarkEnd w:id="307"/>
    </w:p>
    <w:p w14:paraId="3A43B173" w14:textId="1AB58813" w:rsidR="00740642" w:rsidRPr="0029167F" w:rsidRDefault="00B00C47" w:rsidP="00741B52">
      <w:pPr>
        <w:rPr>
          <w:rFonts w:cstheme="minorHAnsi"/>
          <w:lang w:eastAsia="ja-JP"/>
        </w:rPr>
      </w:pPr>
      <w:r w:rsidRPr="00D865F3">
        <w:rPr>
          <w:rFonts w:cstheme="minorHAnsi"/>
          <w:lang w:eastAsia="ja-JP"/>
        </w:rPr>
        <w:t>DAFF</w:t>
      </w:r>
      <w:r w:rsidR="00741B52" w:rsidRPr="00D865F3">
        <w:rPr>
          <w:rFonts w:cstheme="minorHAnsi"/>
          <w:lang w:eastAsia="ja-JP"/>
        </w:rPr>
        <w:t>, 202</w:t>
      </w:r>
      <w:r w:rsidRPr="00D865F3">
        <w:rPr>
          <w:rFonts w:cstheme="minorHAnsi"/>
          <w:lang w:eastAsia="ja-JP"/>
        </w:rPr>
        <w:t>4</w:t>
      </w:r>
      <w:r w:rsidR="00741B52" w:rsidRPr="00D865F3">
        <w:rPr>
          <w:rFonts w:cstheme="minorHAnsi"/>
          <w:lang w:eastAsia="ja-JP"/>
        </w:rPr>
        <w:t xml:space="preserve"> </w:t>
      </w:r>
      <w:hyperlink r:id="rId53" w:history="1">
        <w:r w:rsidR="00741B52" w:rsidRPr="00D865F3">
          <w:rPr>
            <w:rStyle w:val="Hyperlink"/>
            <w:rFonts w:cstheme="minorHAnsi"/>
            <w:lang w:eastAsia="ja-JP"/>
          </w:rPr>
          <w:t>Commonwealth Biosecurity 2030 (PDF 5.7 Mb),</w:t>
        </w:r>
      </w:hyperlink>
      <w:r w:rsidR="00741B52" w:rsidRPr="00D865F3">
        <w:rPr>
          <w:rFonts w:cstheme="minorHAnsi"/>
          <w:lang w:eastAsia="ja-JP"/>
        </w:rPr>
        <w:t xml:space="preserve"> Department of Agriculture, Water and the Environment, Canberra, May 2021, accessed </w:t>
      </w:r>
      <w:r w:rsidR="00D865F3" w:rsidRPr="00D865F3">
        <w:rPr>
          <w:rFonts w:cstheme="minorHAnsi"/>
          <w:lang w:eastAsia="ja-JP"/>
        </w:rPr>
        <w:t>20</w:t>
      </w:r>
      <w:r w:rsidR="000F1CBE" w:rsidRPr="00D865F3">
        <w:rPr>
          <w:rFonts w:cstheme="minorHAnsi"/>
          <w:lang w:eastAsia="ja-JP"/>
        </w:rPr>
        <w:t xml:space="preserve"> </w:t>
      </w:r>
      <w:r w:rsidR="00741B52" w:rsidRPr="00D865F3">
        <w:rPr>
          <w:rFonts w:cstheme="minorHAnsi"/>
          <w:lang w:eastAsia="ja-JP"/>
        </w:rPr>
        <w:t>February 202</w:t>
      </w:r>
      <w:r w:rsidR="00D865F3" w:rsidRPr="00D865F3">
        <w:rPr>
          <w:rFonts w:cstheme="minorHAnsi"/>
          <w:lang w:eastAsia="ja-JP"/>
        </w:rPr>
        <w:t>4</w:t>
      </w:r>
      <w:r w:rsidR="00741B52" w:rsidRPr="00D865F3">
        <w:rPr>
          <w:rFonts w:cstheme="minorHAnsi"/>
          <w:lang w:eastAsia="ja-JP"/>
        </w:rPr>
        <w:t>.</w:t>
      </w:r>
    </w:p>
    <w:sectPr w:rsidR="00740642" w:rsidRPr="0029167F" w:rsidSect="00295D00">
      <w:pgSz w:w="11906" w:h="16838"/>
      <w:pgMar w:top="1361" w:right="1361" w:bottom="1361" w:left="1361"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9A3DB" w14:textId="77777777" w:rsidR="00460C54" w:rsidRDefault="00460C54">
      <w:r>
        <w:separator/>
      </w:r>
    </w:p>
    <w:p w14:paraId="4A4FF4FB" w14:textId="77777777" w:rsidR="00460C54" w:rsidRDefault="00460C54"/>
    <w:p w14:paraId="787614BA" w14:textId="77777777" w:rsidR="00460C54" w:rsidRDefault="00460C54"/>
    <w:p w14:paraId="650611B7" w14:textId="77777777" w:rsidR="00460C54" w:rsidRDefault="00460C54"/>
    <w:p w14:paraId="329CDAEC" w14:textId="77777777" w:rsidR="00143E92" w:rsidRDefault="00143E92"/>
  </w:endnote>
  <w:endnote w:type="continuationSeparator" w:id="0">
    <w:p w14:paraId="6E85E16C" w14:textId="77777777" w:rsidR="00460C54" w:rsidRDefault="00460C54">
      <w:r>
        <w:continuationSeparator/>
      </w:r>
    </w:p>
    <w:p w14:paraId="2125F162" w14:textId="77777777" w:rsidR="00460C54" w:rsidRDefault="00460C54"/>
    <w:p w14:paraId="47AA0DE6" w14:textId="77777777" w:rsidR="00460C54" w:rsidRDefault="00460C54"/>
    <w:p w14:paraId="61E40D77" w14:textId="77777777" w:rsidR="00460C54" w:rsidRDefault="00460C54"/>
    <w:p w14:paraId="0E74CAE2" w14:textId="77777777" w:rsidR="00143E92" w:rsidRDefault="00143E92"/>
  </w:endnote>
  <w:endnote w:type="continuationNotice" w:id="1">
    <w:p w14:paraId="712F3CB0" w14:textId="77777777" w:rsidR="00460C54" w:rsidRDefault="00460C54">
      <w:pPr>
        <w:pStyle w:val="Footer"/>
      </w:pPr>
    </w:p>
    <w:p w14:paraId="3C382FE3" w14:textId="77777777" w:rsidR="00460C54" w:rsidRDefault="00460C54"/>
    <w:p w14:paraId="5291EC5C" w14:textId="77777777" w:rsidR="00460C54" w:rsidRDefault="00460C54"/>
    <w:p w14:paraId="4325578B" w14:textId="77777777" w:rsidR="00460C54" w:rsidRDefault="00460C54"/>
    <w:p w14:paraId="1B923DA2" w14:textId="77777777" w:rsidR="00143E92" w:rsidRDefault="00143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4DBAB" w14:textId="7630FA7C" w:rsidR="006505A3" w:rsidRDefault="00322D85">
    <w:pPr>
      <w:pStyle w:val="Footer"/>
    </w:pPr>
    <w:r>
      <w:rPr>
        <w:noProof/>
      </w:rPr>
      <mc:AlternateContent>
        <mc:Choice Requires="wps">
          <w:drawing>
            <wp:anchor distT="0" distB="0" distL="0" distR="0" simplePos="0" relativeHeight="251657728" behindDoc="0" locked="0" layoutInCell="1" allowOverlap="1" wp14:anchorId="4F128828" wp14:editId="4245433B">
              <wp:simplePos x="0" y="0"/>
              <wp:positionH relativeFrom="page">
                <wp:align>center</wp:align>
              </wp:positionH>
              <wp:positionV relativeFrom="page">
                <wp:align>bottom</wp:align>
              </wp:positionV>
              <wp:extent cx="443865" cy="443865"/>
              <wp:effectExtent l="0" t="0" r="0" b="0"/>
              <wp:wrapNone/>
              <wp:docPr id="11069306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1A12402" w14:textId="0DEF25E4" w:rsidR="006505A3" w:rsidRPr="006505A3" w:rsidRDefault="006505A3" w:rsidP="006505A3">
                          <w:pPr>
                            <w:spacing w:after="0"/>
                            <w:rPr>
                              <w:rFonts w:ascii="Calibri" w:eastAsia="Calibri" w:hAnsi="Calibri" w:cs="Calibri"/>
                              <w:noProof/>
                              <w:color w:val="FF0000"/>
                              <w:sz w:val="24"/>
                              <w:szCs w:val="24"/>
                            </w:rPr>
                          </w:pPr>
                          <w:r w:rsidRPr="006505A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F128828" id="_x0000_t202" coordsize="21600,21600" o:spt="202" path="m,l,21600r21600,l21600,xe">
              <v:stroke joinstyle="miter"/>
              <v:path gradientshapeok="t" o:connecttype="rect"/>
            </v:shapetype>
            <v:shape id="Text Box 1" o:spid="_x0000_s1027" type="#_x0000_t202" style="position:absolute;left:0;text-align:left;margin-left:0;margin-top:0;width:34.95pt;height:34.95pt;z-index:25165772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RM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JPhJ2OXjPmn/Cqn&#10;uD20d0D6nNNTcTKZ5PXBTKb20L6QzlexEYWEldSu5LvJvAuDpOmdSLVapSTSlxNhY7dOTnuNXD73&#10;L8K7kfBAm3qASWaieMP7kBuJRrc6BGI/LeVM5Mg4aTOtdXxHUfy//qes82tf/gQ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5YL0&#10;TBYCAAA1BAAADgAAAAAAAAAAAAAAAAAuAgAAZHJzL2Uyb0RvYy54bWxQSwECLQAUAAYACAAAACEA&#10;N+3R+NkAAAADAQAADwAAAAAAAAAAAAAAAABwBAAAZHJzL2Rvd25yZXYueG1sUEsFBgAAAAAEAAQA&#10;8wAAAHYFAAAAAA==&#10;" filled="f" stroked="f">
              <v:textbox style="mso-fit-shape-to-text:t" inset="0,0,0,15pt">
                <w:txbxContent>
                  <w:p w14:paraId="31A12402" w14:textId="0DEF25E4" w:rsidR="006505A3" w:rsidRPr="006505A3" w:rsidRDefault="006505A3" w:rsidP="006505A3">
                    <w:pPr>
                      <w:spacing w:after="0"/>
                      <w:rPr>
                        <w:rFonts w:ascii="Calibri" w:eastAsia="Calibri" w:hAnsi="Calibri" w:cs="Calibri"/>
                        <w:noProof/>
                        <w:color w:val="FF0000"/>
                        <w:sz w:val="24"/>
                        <w:szCs w:val="24"/>
                      </w:rPr>
                    </w:pPr>
                    <w:r w:rsidRPr="006505A3">
                      <w:rPr>
                        <w:rFonts w:ascii="Calibri" w:eastAsia="Calibri" w:hAnsi="Calibri" w:cs="Calibri"/>
                        <w:noProof/>
                        <w:color w:val="FF0000"/>
                        <w:sz w:val="24"/>
                        <w:szCs w:val="24"/>
                      </w:rPr>
                      <w:t>OFFICIAL</w:t>
                    </w:r>
                  </w:p>
                </w:txbxContent>
              </v:textbox>
              <w10:wrap anchorx="page" anchory="page"/>
            </v:shape>
          </w:pict>
        </mc:Fallback>
      </mc:AlternateContent>
    </w:r>
  </w:p>
  <w:p w14:paraId="663D7408" w14:textId="77777777" w:rsidR="00143E92" w:rsidRDefault="00143E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7861D" w14:textId="205E7B82" w:rsidR="002B20D1" w:rsidRDefault="002B20D1">
    <w:pPr>
      <w:pStyle w:val="Footer"/>
    </w:pPr>
    <w:r>
      <w:t xml:space="preserve">Department of Agriculture, </w:t>
    </w:r>
    <w:r w:rsidR="00822E35">
      <w:t>Fisheries and Forestry</w:t>
    </w:r>
  </w:p>
  <w:p w14:paraId="64C0D9DA" w14:textId="0302695D" w:rsidR="002B20D1" w:rsidRDefault="002B20D1">
    <w:pPr>
      <w:pStyle w:val="Footer"/>
    </w:pPr>
    <w:r>
      <w:fldChar w:fldCharType="begin"/>
    </w:r>
    <w:r>
      <w:instrText xml:space="preserve"> PAGE   \* MERGEFORMAT </w:instrText>
    </w:r>
    <w:r>
      <w:fldChar w:fldCharType="separate"/>
    </w:r>
    <w:r w:rsidR="00F56F2A">
      <w:rPr>
        <w:noProof/>
      </w:rPr>
      <w:t>30</w:t>
    </w:r>
    <w:r>
      <w:rPr>
        <w:noProof/>
      </w:rPr>
      <w:fldChar w:fldCharType="end"/>
    </w:r>
  </w:p>
  <w:p w14:paraId="57F76EF7" w14:textId="77777777" w:rsidR="00143E92" w:rsidRDefault="00143E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CA790" w14:textId="77777777" w:rsidR="00460C54" w:rsidRDefault="00460C54">
      <w:r>
        <w:separator/>
      </w:r>
    </w:p>
    <w:p w14:paraId="42050CCA" w14:textId="77777777" w:rsidR="00460C54" w:rsidRDefault="00460C54"/>
    <w:p w14:paraId="56C8742D" w14:textId="77777777" w:rsidR="00460C54" w:rsidRDefault="00460C54"/>
    <w:p w14:paraId="631DD789" w14:textId="77777777" w:rsidR="00460C54" w:rsidRDefault="00460C54"/>
    <w:p w14:paraId="18EE0631" w14:textId="77777777" w:rsidR="00143E92" w:rsidRDefault="00143E92"/>
  </w:footnote>
  <w:footnote w:type="continuationSeparator" w:id="0">
    <w:p w14:paraId="2E51B8A8" w14:textId="77777777" w:rsidR="00460C54" w:rsidRDefault="00460C54">
      <w:r>
        <w:continuationSeparator/>
      </w:r>
    </w:p>
    <w:p w14:paraId="1025C28D" w14:textId="77777777" w:rsidR="00460C54" w:rsidRDefault="00460C54"/>
    <w:p w14:paraId="13A55392" w14:textId="77777777" w:rsidR="00460C54" w:rsidRDefault="00460C54"/>
    <w:p w14:paraId="4883D24B" w14:textId="77777777" w:rsidR="00460C54" w:rsidRDefault="00460C54"/>
    <w:p w14:paraId="2BA22CA0" w14:textId="77777777" w:rsidR="00143E92" w:rsidRDefault="00143E92"/>
  </w:footnote>
  <w:footnote w:type="continuationNotice" w:id="1">
    <w:p w14:paraId="75CCFA46" w14:textId="77777777" w:rsidR="00460C54" w:rsidRDefault="00460C54">
      <w:pPr>
        <w:pStyle w:val="Footer"/>
      </w:pPr>
    </w:p>
    <w:p w14:paraId="53AA42D2" w14:textId="77777777" w:rsidR="00460C54" w:rsidRDefault="00460C54"/>
    <w:p w14:paraId="45D241A3" w14:textId="77777777" w:rsidR="00460C54" w:rsidRDefault="00460C54"/>
    <w:p w14:paraId="2E2CF1C4" w14:textId="77777777" w:rsidR="00460C54" w:rsidRDefault="00460C54"/>
    <w:p w14:paraId="6AA9328C" w14:textId="77777777" w:rsidR="00143E92" w:rsidRDefault="00143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3FA2" w14:textId="2D808F6E" w:rsidR="006505A3" w:rsidRDefault="00322D85">
    <w:pPr>
      <w:pStyle w:val="Header"/>
    </w:pPr>
    <w:r>
      <w:rPr>
        <w:noProof/>
      </w:rPr>
      <mc:AlternateContent>
        <mc:Choice Requires="wps">
          <w:drawing>
            <wp:anchor distT="0" distB="0" distL="0" distR="0" simplePos="0" relativeHeight="251656704" behindDoc="0" locked="0" layoutInCell="1" allowOverlap="1" wp14:anchorId="4CF82194" wp14:editId="2D6241BC">
              <wp:simplePos x="0" y="0"/>
              <wp:positionH relativeFrom="page">
                <wp:align>center</wp:align>
              </wp:positionH>
              <wp:positionV relativeFrom="page">
                <wp:align>top</wp:align>
              </wp:positionV>
              <wp:extent cx="443865" cy="443865"/>
              <wp:effectExtent l="0" t="0" r="0" b="0"/>
              <wp:wrapNone/>
              <wp:docPr id="1852128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C1ECF1F" w14:textId="44FCDFCF" w:rsidR="006505A3" w:rsidRPr="006505A3" w:rsidRDefault="006505A3" w:rsidP="006505A3">
                          <w:pPr>
                            <w:spacing w:after="0"/>
                            <w:rPr>
                              <w:rFonts w:ascii="Calibri" w:eastAsia="Calibri" w:hAnsi="Calibri" w:cs="Calibri"/>
                              <w:noProof/>
                              <w:color w:val="FF0000"/>
                              <w:sz w:val="24"/>
                              <w:szCs w:val="24"/>
                            </w:rPr>
                          </w:pPr>
                          <w:r w:rsidRPr="006505A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CF82194" id="_x0000_t202" coordsize="21600,21600" o:spt="202" path="m,l,21600r21600,l21600,xe">
              <v:stroke joinstyle="miter"/>
              <v:path gradientshapeok="t" o:connecttype="rect"/>
            </v:shapetype>
            <v:shape id="Text Box 2" o:spid="_x0000_s1026" type="#_x0000_t202" style="position:absolute;left:0;text-align:left;margin-left:0;margin-top:0;width:34.95pt;height:34.95pt;z-index:25165670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4hEgIAAC4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spO5o7qF5pTQ+DAtDJdUM9NwLD&#10;k/BEOS1AMg6PdGgDXclhtDirwf/4mz/mExMU5awjCZXcksY5M18tMRTVloz5p/wqp5uf3LvJsIf2&#10;DkiYc3ojTiYz5gUzmdpD+0ICX8VGFBJWUruSh8m8C4OW6YFItVqlJBKWE2Fjt05OhEYQn/sX4d2I&#10;dCCKHmDSlyjeAD7kRoTRrQ6BYE9snIEcoSZRJj7HBxRV/+s9ZZ2f+fInA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LFxziESAgAA&#10;LgQAAA4AAAAAAAAAAAAAAAAALgIAAGRycy9lMm9Eb2MueG1sUEsBAi0AFAAGAAgAAAAhANQeDUfY&#10;AAAAAwEAAA8AAAAAAAAAAAAAAAAAbAQAAGRycy9kb3ducmV2LnhtbFBLBQYAAAAABAAEAPMAAABx&#10;BQAAAAA=&#10;" filled="f" stroked="f">
              <v:textbox style="mso-fit-shape-to-text:t" inset="0,15pt,0,0">
                <w:txbxContent>
                  <w:p w14:paraId="7C1ECF1F" w14:textId="44FCDFCF" w:rsidR="006505A3" w:rsidRPr="006505A3" w:rsidRDefault="006505A3" w:rsidP="006505A3">
                    <w:pPr>
                      <w:spacing w:after="0"/>
                      <w:rPr>
                        <w:rFonts w:ascii="Calibri" w:eastAsia="Calibri" w:hAnsi="Calibri" w:cs="Calibri"/>
                        <w:noProof/>
                        <w:color w:val="FF0000"/>
                        <w:sz w:val="24"/>
                        <w:szCs w:val="24"/>
                      </w:rPr>
                    </w:pPr>
                    <w:r w:rsidRPr="006505A3">
                      <w:rPr>
                        <w:rFonts w:ascii="Calibri" w:eastAsia="Calibri" w:hAnsi="Calibri" w:cs="Calibri"/>
                        <w:noProof/>
                        <w:color w:val="FF0000"/>
                        <w:sz w:val="24"/>
                        <w:szCs w:val="24"/>
                      </w:rPr>
                      <w:t>OFFICIAL</w:t>
                    </w:r>
                  </w:p>
                </w:txbxContent>
              </v:textbox>
              <w10:wrap anchorx="page" anchory="page"/>
            </v:shape>
          </w:pict>
        </mc:Fallback>
      </mc:AlternateContent>
    </w:r>
  </w:p>
  <w:p w14:paraId="0B7FD284" w14:textId="77777777" w:rsidR="00143E92" w:rsidRDefault="00143E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1EE7" w14:textId="69183801" w:rsidR="002B20D1" w:rsidRPr="00D63264" w:rsidRDefault="00C85326">
    <w:pPr>
      <w:pStyle w:val="Header"/>
      <w:rPr>
        <w:b/>
        <w:bCs/>
        <w:color w:val="000000" w:themeColor="text1"/>
      </w:rPr>
    </w:pPr>
    <w:r w:rsidRPr="00C85326">
      <w:t>Biosecurity cost recovery arrangement, cost recovery implementation statement: 2024–25</w:t>
    </w:r>
  </w:p>
  <w:p w14:paraId="68B7938C" w14:textId="77777777" w:rsidR="00143E92" w:rsidRDefault="00143E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408F5" w14:textId="75B67ACE" w:rsidR="006A0FF8" w:rsidRPr="006A0FF8" w:rsidRDefault="006A0FF8" w:rsidP="006A0FF8">
    <w:pPr>
      <w:pStyle w:val="Header"/>
      <w:ind w:left="-567"/>
      <w:jc w:val="left"/>
      <w:rPr>
        <w:b/>
        <w:bCs/>
        <w:sz w:val="22"/>
        <w:szCs w:val="24"/>
      </w:rPr>
    </w:pPr>
  </w:p>
  <w:p w14:paraId="249D9BC3" w14:textId="3630373E" w:rsidR="002B20D1" w:rsidRDefault="00822E35">
    <w:pPr>
      <w:pStyle w:val="Header"/>
      <w:jc w:val="left"/>
    </w:pPr>
    <w:r>
      <w:rPr>
        <w:noProof/>
        <w:lang w:eastAsia="en-AU"/>
      </w:rPr>
      <w:drawing>
        <wp:inline distT="0" distB="0" distL="0" distR="0" wp14:anchorId="7EB7D88E" wp14:editId="7098924C">
          <wp:extent cx="2542599" cy="738943"/>
          <wp:effectExtent l="0" t="0" r="0" b="4445"/>
          <wp:docPr id="1007728001" name="Picture 1007728001"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F04427E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388352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0DB04C30"/>
    <w:multiLevelType w:val="hybridMultilevel"/>
    <w:tmpl w:val="495A7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30B4CC5"/>
    <w:multiLevelType w:val="hybridMultilevel"/>
    <w:tmpl w:val="C2EC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AFB53B1"/>
    <w:multiLevelType w:val="hybridMultilevel"/>
    <w:tmpl w:val="E5964F4C"/>
    <w:lvl w:ilvl="0" w:tplc="FA8092DE">
      <w:start w:val="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57B08DFE"/>
    <w:lvl w:ilvl="0">
      <w:start w:val="1"/>
      <w:numFmt w:val="decimal"/>
      <w:lvlText w:val="%1)"/>
      <w:lvlJc w:val="left"/>
      <w:pPr>
        <w:ind w:left="425" w:hanging="425"/>
      </w:pPr>
      <w:rPr>
        <w:rFonts w:ascii="Calibri" w:hAnsi="Calibri" w:cs="Calibri"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3082876"/>
    <w:multiLevelType w:val="hybridMultilevel"/>
    <w:tmpl w:val="F26EEA9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FF2AFB"/>
    <w:multiLevelType w:val="hybridMultilevel"/>
    <w:tmpl w:val="254E767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103637"/>
    <w:multiLevelType w:val="multilevel"/>
    <w:tmpl w:val="BE78A4F8"/>
    <w:numStyleLink w:val="Numberlist"/>
  </w:abstractNum>
  <w:abstractNum w:abstractNumId="19" w15:restartNumberingAfterBreak="0">
    <w:nsid w:val="2F2425AB"/>
    <w:multiLevelType w:val="multilevel"/>
    <w:tmpl w:val="BC8603C0"/>
    <w:numStyleLink w:val="ListNumbers"/>
  </w:abstractNum>
  <w:abstractNum w:abstractNumId="20" w15:restartNumberingAfterBreak="0">
    <w:nsid w:val="31E30DBA"/>
    <w:multiLevelType w:val="hybridMultilevel"/>
    <w:tmpl w:val="5E8C901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D704A5"/>
    <w:multiLevelType w:val="hybridMultilevel"/>
    <w:tmpl w:val="A8AA2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4A15FE"/>
    <w:multiLevelType w:val="multilevel"/>
    <w:tmpl w:val="F36C17E8"/>
    <w:numStyleLink w:val="Headinglist"/>
  </w:abstractNum>
  <w:abstractNum w:abstractNumId="23" w15:restartNumberingAfterBreak="0">
    <w:nsid w:val="3F141E05"/>
    <w:multiLevelType w:val="hybridMultilevel"/>
    <w:tmpl w:val="A772584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4F4729"/>
    <w:multiLevelType w:val="multilevel"/>
    <w:tmpl w:val="A0241B28"/>
    <w:numStyleLink w:val="List1"/>
  </w:abstractNum>
  <w:abstractNum w:abstractNumId="25" w15:restartNumberingAfterBreak="0">
    <w:nsid w:val="444968D7"/>
    <w:multiLevelType w:val="hybridMultilevel"/>
    <w:tmpl w:val="B56808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6800B4"/>
    <w:multiLevelType w:val="multilevel"/>
    <w:tmpl w:val="A0241B28"/>
    <w:numStyleLink w:val="List1"/>
  </w:abstractNum>
  <w:abstractNum w:abstractNumId="2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8" w15:restartNumberingAfterBreak="0">
    <w:nsid w:val="496159DC"/>
    <w:multiLevelType w:val="multilevel"/>
    <w:tmpl w:val="BE78A4F8"/>
    <w:numStyleLink w:val="Numberlist"/>
  </w:abstractNum>
  <w:abstractNum w:abstractNumId="2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A418B7"/>
    <w:multiLevelType w:val="hybridMultilevel"/>
    <w:tmpl w:val="C3ECE474"/>
    <w:lvl w:ilvl="0" w:tplc="F890732E">
      <w:start w:val="1"/>
      <w:numFmt w:val="bullet"/>
      <w:lvlText w:val=""/>
      <w:lvlJc w:val="left"/>
      <w:pPr>
        <w:ind w:left="1080" w:hanging="360"/>
      </w:pPr>
      <w:rPr>
        <w:rFonts w:ascii="Symbol" w:hAnsi="Symbol"/>
      </w:rPr>
    </w:lvl>
    <w:lvl w:ilvl="1" w:tplc="4BAC8B42">
      <w:start w:val="1"/>
      <w:numFmt w:val="bullet"/>
      <w:lvlText w:val=""/>
      <w:lvlJc w:val="left"/>
      <w:pPr>
        <w:ind w:left="1080" w:hanging="360"/>
      </w:pPr>
      <w:rPr>
        <w:rFonts w:ascii="Symbol" w:hAnsi="Symbol"/>
      </w:rPr>
    </w:lvl>
    <w:lvl w:ilvl="2" w:tplc="C5E0CDD6">
      <w:start w:val="1"/>
      <w:numFmt w:val="bullet"/>
      <w:lvlText w:val=""/>
      <w:lvlJc w:val="left"/>
      <w:pPr>
        <w:ind w:left="1080" w:hanging="360"/>
      </w:pPr>
      <w:rPr>
        <w:rFonts w:ascii="Symbol" w:hAnsi="Symbol"/>
      </w:rPr>
    </w:lvl>
    <w:lvl w:ilvl="3" w:tplc="034011CC">
      <w:start w:val="1"/>
      <w:numFmt w:val="bullet"/>
      <w:lvlText w:val=""/>
      <w:lvlJc w:val="left"/>
      <w:pPr>
        <w:ind w:left="1080" w:hanging="360"/>
      </w:pPr>
      <w:rPr>
        <w:rFonts w:ascii="Symbol" w:hAnsi="Symbol"/>
      </w:rPr>
    </w:lvl>
    <w:lvl w:ilvl="4" w:tplc="FF340F42">
      <w:start w:val="1"/>
      <w:numFmt w:val="bullet"/>
      <w:lvlText w:val=""/>
      <w:lvlJc w:val="left"/>
      <w:pPr>
        <w:ind w:left="1080" w:hanging="360"/>
      </w:pPr>
      <w:rPr>
        <w:rFonts w:ascii="Symbol" w:hAnsi="Symbol"/>
      </w:rPr>
    </w:lvl>
    <w:lvl w:ilvl="5" w:tplc="D5B4F076">
      <w:start w:val="1"/>
      <w:numFmt w:val="bullet"/>
      <w:lvlText w:val=""/>
      <w:lvlJc w:val="left"/>
      <w:pPr>
        <w:ind w:left="1080" w:hanging="360"/>
      </w:pPr>
      <w:rPr>
        <w:rFonts w:ascii="Symbol" w:hAnsi="Symbol"/>
      </w:rPr>
    </w:lvl>
    <w:lvl w:ilvl="6" w:tplc="69788D3E">
      <w:start w:val="1"/>
      <w:numFmt w:val="bullet"/>
      <w:lvlText w:val=""/>
      <w:lvlJc w:val="left"/>
      <w:pPr>
        <w:ind w:left="1080" w:hanging="360"/>
      </w:pPr>
      <w:rPr>
        <w:rFonts w:ascii="Symbol" w:hAnsi="Symbol"/>
      </w:rPr>
    </w:lvl>
    <w:lvl w:ilvl="7" w:tplc="07EE8E3C">
      <w:start w:val="1"/>
      <w:numFmt w:val="bullet"/>
      <w:lvlText w:val=""/>
      <w:lvlJc w:val="left"/>
      <w:pPr>
        <w:ind w:left="1080" w:hanging="360"/>
      </w:pPr>
      <w:rPr>
        <w:rFonts w:ascii="Symbol" w:hAnsi="Symbol"/>
      </w:rPr>
    </w:lvl>
    <w:lvl w:ilvl="8" w:tplc="2E26CF08">
      <w:start w:val="1"/>
      <w:numFmt w:val="bullet"/>
      <w:lvlText w:val=""/>
      <w:lvlJc w:val="left"/>
      <w:pPr>
        <w:ind w:left="1080" w:hanging="360"/>
      </w:pPr>
      <w:rPr>
        <w:rFonts w:ascii="Symbol" w:hAnsi="Symbol"/>
      </w:rPr>
    </w:lvl>
  </w:abstractNum>
  <w:abstractNum w:abstractNumId="31" w15:restartNumberingAfterBreak="0">
    <w:nsid w:val="4E0262E6"/>
    <w:multiLevelType w:val="multilevel"/>
    <w:tmpl w:val="F67A616E"/>
    <w:lvl w:ilvl="0">
      <w:start w:val="1"/>
      <w:numFmt w:val="lowerLett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549C24B1"/>
    <w:multiLevelType w:val="hybridMultilevel"/>
    <w:tmpl w:val="B4CC7800"/>
    <w:lvl w:ilvl="0" w:tplc="4AD67D0C">
      <w:start w:val="1"/>
      <w:numFmt w:val="decimal"/>
      <w:lvlText w:val="%1."/>
      <w:lvlJc w:val="left"/>
      <w:pPr>
        <w:ind w:left="720" w:hanging="360"/>
      </w:pPr>
      <w:rPr>
        <w:rFonts w:asciiTheme="minorHAnsi" w:hAnsiTheme="minorHAnsi" w:cstheme="minorHAns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7" w15:restartNumberingAfterBreak="0">
    <w:nsid w:val="5E3C7B7C"/>
    <w:multiLevelType w:val="hybridMultilevel"/>
    <w:tmpl w:val="37F074E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9C6043"/>
    <w:multiLevelType w:val="hybridMultilevel"/>
    <w:tmpl w:val="3A1A5946"/>
    <w:lvl w:ilvl="0" w:tplc="0C090011">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9" w15:restartNumberingAfterBreak="0">
    <w:nsid w:val="655001B0"/>
    <w:multiLevelType w:val="hybridMultilevel"/>
    <w:tmpl w:val="D77686F0"/>
    <w:lvl w:ilvl="0" w:tplc="333AABE6">
      <w:start w:val="1"/>
      <w:numFmt w:val="bullet"/>
      <w:lvlText w:val=""/>
      <w:lvlJc w:val="left"/>
      <w:pPr>
        <w:ind w:left="1080" w:hanging="360"/>
      </w:pPr>
      <w:rPr>
        <w:rFonts w:ascii="Symbol" w:hAnsi="Symbol"/>
      </w:rPr>
    </w:lvl>
    <w:lvl w:ilvl="1" w:tplc="39AA9A4C">
      <w:start w:val="1"/>
      <w:numFmt w:val="bullet"/>
      <w:lvlText w:val=""/>
      <w:lvlJc w:val="left"/>
      <w:pPr>
        <w:ind w:left="1080" w:hanging="360"/>
      </w:pPr>
      <w:rPr>
        <w:rFonts w:ascii="Symbol" w:hAnsi="Symbol"/>
      </w:rPr>
    </w:lvl>
    <w:lvl w:ilvl="2" w:tplc="F31E8A34">
      <w:start w:val="1"/>
      <w:numFmt w:val="bullet"/>
      <w:lvlText w:val=""/>
      <w:lvlJc w:val="left"/>
      <w:pPr>
        <w:ind w:left="1080" w:hanging="360"/>
      </w:pPr>
      <w:rPr>
        <w:rFonts w:ascii="Symbol" w:hAnsi="Symbol"/>
      </w:rPr>
    </w:lvl>
    <w:lvl w:ilvl="3" w:tplc="54140B42">
      <w:start w:val="1"/>
      <w:numFmt w:val="bullet"/>
      <w:lvlText w:val=""/>
      <w:lvlJc w:val="left"/>
      <w:pPr>
        <w:ind w:left="1080" w:hanging="360"/>
      </w:pPr>
      <w:rPr>
        <w:rFonts w:ascii="Symbol" w:hAnsi="Symbol"/>
      </w:rPr>
    </w:lvl>
    <w:lvl w:ilvl="4" w:tplc="3352418C">
      <w:start w:val="1"/>
      <w:numFmt w:val="bullet"/>
      <w:lvlText w:val=""/>
      <w:lvlJc w:val="left"/>
      <w:pPr>
        <w:ind w:left="1080" w:hanging="360"/>
      </w:pPr>
      <w:rPr>
        <w:rFonts w:ascii="Symbol" w:hAnsi="Symbol"/>
      </w:rPr>
    </w:lvl>
    <w:lvl w:ilvl="5" w:tplc="EE90B212">
      <w:start w:val="1"/>
      <w:numFmt w:val="bullet"/>
      <w:lvlText w:val=""/>
      <w:lvlJc w:val="left"/>
      <w:pPr>
        <w:ind w:left="1080" w:hanging="360"/>
      </w:pPr>
      <w:rPr>
        <w:rFonts w:ascii="Symbol" w:hAnsi="Symbol"/>
      </w:rPr>
    </w:lvl>
    <w:lvl w:ilvl="6" w:tplc="DDA22780">
      <w:start w:val="1"/>
      <w:numFmt w:val="bullet"/>
      <w:lvlText w:val=""/>
      <w:lvlJc w:val="left"/>
      <w:pPr>
        <w:ind w:left="1080" w:hanging="360"/>
      </w:pPr>
      <w:rPr>
        <w:rFonts w:ascii="Symbol" w:hAnsi="Symbol"/>
      </w:rPr>
    </w:lvl>
    <w:lvl w:ilvl="7" w:tplc="BCD01C6E">
      <w:start w:val="1"/>
      <w:numFmt w:val="bullet"/>
      <w:lvlText w:val=""/>
      <w:lvlJc w:val="left"/>
      <w:pPr>
        <w:ind w:left="1080" w:hanging="360"/>
      </w:pPr>
      <w:rPr>
        <w:rFonts w:ascii="Symbol" w:hAnsi="Symbol"/>
      </w:rPr>
    </w:lvl>
    <w:lvl w:ilvl="8" w:tplc="F404C696">
      <w:start w:val="1"/>
      <w:numFmt w:val="bullet"/>
      <w:lvlText w:val=""/>
      <w:lvlJc w:val="left"/>
      <w:pPr>
        <w:ind w:left="1080" w:hanging="360"/>
      </w:pPr>
      <w:rPr>
        <w:rFonts w:ascii="Symbol" w:hAnsi="Symbol"/>
      </w:rPr>
    </w:lvl>
  </w:abstractNum>
  <w:abstractNum w:abstractNumId="40"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8C10A1"/>
    <w:multiLevelType w:val="multilevel"/>
    <w:tmpl w:val="BE78A4F8"/>
    <w:numStyleLink w:val="Numberlist"/>
  </w:abstractNum>
  <w:abstractNum w:abstractNumId="42"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FEA2E78"/>
    <w:multiLevelType w:val="hybridMultilevel"/>
    <w:tmpl w:val="0B10C74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33934B7"/>
    <w:multiLevelType w:val="multilevel"/>
    <w:tmpl w:val="A0241B28"/>
    <w:numStyleLink w:val="List1"/>
  </w:abstractNum>
  <w:abstractNum w:abstractNumId="45" w15:restartNumberingAfterBreak="0">
    <w:nsid w:val="7FB22EA3"/>
    <w:multiLevelType w:val="hybridMultilevel"/>
    <w:tmpl w:val="AC7CB4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1613884">
    <w:abstractNumId w:val="6"/>
  </w:num>
  <w:num w:numId="2" w16cid:durableId="1730298364">
    <w:abstractNumId w:val="26"/>
  </w:num>
  <w:num w:numId="3" w16cid:durableId="639963435">
    <w:abstractNumId w:val="27"/>
  </w:num>
  <w:num w:numId="4" w16cid:durableId="1127242259">
    <w:abstractNumId w:val="11"/>
  </w:num>
  <w:num w:numId="5" w16cid:durableId="970329253">
    <w:abstractNumId w:val="35"/>
  </w:num>
  <w:num w:numId="6" w16cid:durableId="648898487">
    <w:abstractNumId w:val="36"/>
  </w:num>
  <w:num w:numId="7" w16cid:durableId="860511622">
    <w:abstractNumId w:val="7"/>
  </w:num>
  <w:num w:numId="8" w16cid:durableId="991757944">
    <w:abstractNumId w:val="15"/>
  </w:num>
  <w:num w:numId="9" w16cid:durableId="143932049">
    <w:abstractNumId w:val="22"/>
  </w:num>
  <w:num w:numId="10" w16cid:durableId="1956865562">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9730170">
    <w:abstractNumId w:val="5"/>
  </w:num>
  <w:num w:numId="12" w16cid:durableId="37750015">
    <w:abstractNumId w:val="4"/>
  </w:num>
  <w:num w:numId="13" w16cid:durableId="1268004237">
    <w:abstractNumId w:val="3"/>
  </w:num>
  <w:num w:numId="14" w16cid:durableId="1057166086">
    <w:abstractNumId w:val="2"/>
  </w:num>
  <w:num w:numId="15" w16cid:durableId="202596565">
    <w:abstractNumId w:val="13"/>
  </w:num>
  <w:num w:numId="16" w16cid:durableId="1587610774">
    <w:abstractNumId w:val="33"/>
  </w:num>
  <w:num w:numId="17" w16cid:durableId="5379337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7178799">
    <w:abstractNumId w:val="40"/>
  </w:num>
  <w:num w:numId="19" w16cid:durableId="1862666981">
    <w:abstractNumId w:val="1"/>
  </w:num>
  <w:num w:numId="20" w16cid:durableId="1307664443">
    <w:abstractNumId w:val="0"/>
  </w:num>
  <w:num w:numId="21" w16cid:durableId="1442649607">
    <w:abstractNumId w:val="18"/>
  </w:num>
  <w:num w:numId="22" w16cid:durableId="267127485">
    <w:abstractNumId w:val="28"/>
    <w:lvlOverride w:ilvl="0">
      <w:lvl w:ilvl="0">
        <w:start w:val="1"/>
        <w:numFmt w:val="decimal"/>
        <w:pStyle w:val="ListNumber"/>
        <w:lvlText w:val="%1)"/>
        <w:lvlJc w:val="left"/>
        <w:pPr>
          <w:ind w:left="425" w:hanging="425"/>
        </w:pPr>
        <w:rPr>
          <w:rFonts w:hint="default"/>
          <w:color w:val="auto"/>
        </w:rPr>
      </w:lvl>
    </w:lvlOverride>
    <w:lvlOverride w:ilvl="1">
      <w:lvl w:ilvl="1">
        <w:start w:val="1"/>
        <w:numFmt w:val="lowerLetter"/>
        <w:pStyle w:val="ListNumber2"/>
        <w:lvlText w:val="%2)"/>
        <w:lvlJc w:val="left"/>
        <w:pPr>
          <w:ind w:left="851" w:hanging="426"/>
        </w:pPr>
        <w:rPr>
          <w:rFonts w:hint="default"/>
        </w:rPr>
      </w:lvl>
    </w:lvlOverride>
    <w:lvlOverride w:ilvl="2">
      <w:lvl w:ilvl="2">
        <w:start w:val="1"/>
        <w:numFmt w:val="lowerRoman"/>
        <w:pStyle w:val="ListNumber3"/>
        <w:lvlText w:val="%3)"/>
        <w:lvlJc w:val="left"/>
        <w:pPr>
          <w:ind w:left="1191" w:hanging="340"/>
        </w:pPr>
        <w:rPr>
          <w:rFonts w:hint="default"/>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23" w16cid:durableId="76831160">
    <w:abstractNumId w:val="41"/>
  </w:num>
  <w:num w:numId="24" w16cid:durableId="1998923421">
    <w:abstractNumId w:val="14"/>
  </w:num>
  <w:num w:numId="25" w16cid:durableId="1838225213">
    <w:abstractNumId w:val="24"/>
  </w:num>
  <w:num w:numId="26" w16cid:durableId="2204105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9770337">
    <w:abstractNumId w:val="44"/>
  </w:num>
  <w:num w:numId="28" w16cid:durableId="1044327691">
    <w:abstractNumId w:val="29"/>
  </w:num>
  <w:num w:numId="29" w16cid:durableId="1175539724">
    <w:abstractNumId w:val="34"/>
  </w:num>
  <w:num w:numId="30" w16cid:durableId="973873583">
    <w:abstractNumId w:val="9"/>
  </w:num>
  <w:num w:numId="31" w16cid:durableId="4476262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50445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2686176">
    <w:abstractNumId w:val="14"/>
    <w:lvlOverride w:ilvl="0">
      <w:startOverride w:val="1"/>
    </w:lvlOverride>
  </w:num>
  <w:num w:numId="34" w16cid:durableId="814571602">
    <w:abstractNumId w:val="10"/>
  </w:num>
  <w:num w:numId="35" w16cid:durableId="856967197">
    <w:abstractNumId w:val="14"/>
  </w:num>
  <w:num w:numId="36" w16cid:durableId="71394680">
    <w:abstractNumId w:val="45"/>
  </w:num>
  <w:num w:numId="37" w16cid:durableId="1916934317">
    <w:abstractNumId w:val="38"/>
  </w:num>
  <w:num w:numId="38" w16cid:durableId="80925403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384802">
    <w:abstractNumId w:val="21"/>
  </w:num>
  <w:num w:numId="40" w16cid:durableId="2044475957">
    <w:abstractNumId w:val="6"/>
  </w:num>
  <w:num w:numId="41" w16cid:durableId="1314989629">
    <w:abstractNumId w:val="5"/>
  </w:num>
  <w:num w:numId="42" w16cid:durableId="2086491973">
    <w:abstractNumId w:val="14"/>
  </w:num>
  <w:num w:numId="43" w16cid:durableId="1248687087">
    <w:abstractNumId w:val="37"/>
  </w:num>
  <w:num w:numId="44" w16cid:durableId="189269738">
    <w:abstractNumId w:val="14"/>
  </w:num>
  <w:num w:numId="45" w16cid:durableId="17191632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9996876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704760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0970962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133180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05778495">
    <w:abstractNumId w:val="14"/>
  </w:num>
  <w:num w:numId="51" w16cid:durableId="1449163133">
    <w:abstractNumId w:val="14"/>
  </w:num>
  <w:num w:numId="52" w16cid:durableId="1777943435">
    <w:abstractNumId w:val="14"/>
  </w:num>
  <w:num w:numId="53" w16cid:durableId="123354907">
    <w:abstractNumId w:val="14"/>
  </w:num>
  <w:num w:numId="54" w16cid:durableId="201267980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274722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34284300">
    <w:abstractNumId w:val="5"/>
  </w:num>
  <w:num w:numId="57" w16cid:durableId="790706990">
    <w:abstractNumId w:val="8"/>
  </w:num>
  <w:num w:numId="58" w16cid:durableId="1074929998">
    <w:abstractNumId w:val="43"/>
  </w:num>
  <w:num w:numId="59" w16cid:durableId="982078396">
    <w:abstractNumId w:val="17"/>
  </w:num>
  <w:num w:numId="60" w16cid:durableId="1566137507">
    <w:abstractNumId w:val="16"/>
  </w:num>
  <w:num w:numId="61" w16cid:durableId="226500431">
    <w:abstractNumId w:val="22"/>
  </w:num>
  <w:num w:numId="62" w16cid:durableId="286546757">
    <w:abstractNumId w:val="22"/>
  </w:num>
  <w:num w:numId="63" w16cid:durableId="1637564709">
    <w:abstractNumId w:val="31"/>
  </w:num>
  <w:num w:numId="64" w16cid:durableId="1260916861">
    <w:abstractNumId w:val="25"/>
  </w:num>
  <w:num w:numId="65" w16cid:durableId="1468547347">
    <w:abstractNumId w:val="20"/>
  </w:num>
  <w:num w:numId="66" w16cid:durableId="1768768972">
    <w:abstractNumId w:val="23"/>
  </w:num>
  <w:num w:numId="67" w16cid:durableId="508562863">
    <w:abstractNumId w:val="22"/>
  </w:num>
  <w:num w:numId="68" w16cid:durableId="2048287734">
    <w:abstractNumId w:val="32"/>
  </w:num>
  <w:num w:numId="69" w16cid:durableId="188226191">
    <w:abstractNumId w:val="5"/>
  </w:num>
  <w:num w:numId="70" w16cid:durableId="1929583044">
    <w:abstractNumId w:val="5"/>
  </w:num>
  <w:num w:numId="71" w16cid:durableId="416289814">
    <w:abstractNumId w:val="5"/>
  </w:num>
  <w:num w:numId="72" w16cid:durableId="1967736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46200530">
    <w:abstractNumId w:val="42"/>
  </w:num>
  <w:num w:numId="74" w16cid:durableId="2024167902">
    <w:abstractNumId w:val="19"/>
  </w:num>
  <w:num w:numId="75" w16cid:durableId="641424859">
    <w:abstractNumId w:val="36"/>
  </w:num>
  <w:num w:numId="76" w16cid:durableId="1940521253">
    <w:abstractNumId w:val="39"/>
  </w:num>
  <w:num w:numId="77" w16cid:durableId="69155045">
    <w:abstractNumId w:val="30"/>
  </w:num>
  <w:num w:numId="78" w16cid:durableId="864908900">
    <w:abstractNumId w:val="15"/>
    <w:lvlOverride w:ilvl="0">
      <w:lvl w:ilvl="0">
        <w:start w:val="1"/>
        <w:numFmt w:val="decimal"/>
        <w:pStyle w:val="Heading2"/>
        <w:lvlText w:val="%1"/>
        <w:lvlJc w:val="left"/>
        <w:pPr>
          <w:ind w:left="720" w:hanging="720"/>
        </w:pPr>
        <w:rPr>
          <w:color w:val="auto"/>
        </w:rPr>
      </w:lvl>
    </w:lvlOverride>
  </w:num>
  <w:num w:numId="79" w16cid:durableId="1787890824">
    <w:abstractNumId w:val="12"/>
  </w:num>
  <w:num w:numId="80" w16cid:durableId="15419380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44629787">
    <w:abstractNumId w:val="15"/>
    <w:lvlOverride w:ilvl="0">
      <w:lvl w:ilvl="0">
        <w:start w:val="1"/>
        <w:numFmt w:val="decimal"/>
        <w:pStyle w:val="Heading2"/>
        <w:lvlText w:val="%1"/>
        <w:lvlJc w:val="left"/>
        <w:pPr>
          <w:ind w:left="720" w:hanging="720"/>
        </w:pPr>
      </w:lvl>
    </w:lvlOverride>
  </w:num>
  <w:num w:numId="82" w16cid:durableId="1177845584">
    <w:abstractNumId w:val="5"/>
  </w:num>
  <w:num w:numId="83" w16cid:durableId="1679841819">
    <w:abstractNumId w:val="2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3B9"/>
    <w:rsid w:val="00000B90"/>
    <w:rsid w:val="0000366E"/>
    <w:rsid w:val="000037E4"/>
    <w:rsid w:val="00004572"/>
    <w:rsid w:val="00004F92"/>
    <w:rsid w:val="00007404"/>
    <w:rsid w:val="00007C6C"/>
    <w:rsid w:val="00010421"/>
    <w:rsid w:val="0001093E"/>
    <w:rsid w:val="00010AC0"/>
    <w:rsid w:val="0001354B"/>
    <w:rsid w:val="00013FE7"/>
    <w:rsid w:val="00014045"/>
    <w:rsid w:val="00015786"/>
    <w:rsid w:val="00015E78"/>
    <w:rsid w:val="0001649F"/>
    <w:rsid w:val="0001680C"/>
    <w:rsid w:val="0001730D"/>
    <w:rsid w:val="00020399"/>
    <w:rsid w:val="0002150E"/>
    <w:rsid w:val="00021CB7"/>
    <w:rsid w:val="000224CE"/>
    <w:rsid w:val="000230F1"/>
    <w:rsid w:val="000232B7"/>
    <w:rsid w:val="0002360E"/>
    <w:rsid w:val="00024D2E"/>
    <w:rsid w:val="000259D4"/>
    <w:rsid w:val="0002780E"/>
    <w:rsid w:val="000306B3"/>
    <w:rsid w:val="00031633"/>
    <w:rsid w:val="000352E9"/>
    <w:rsid w:val="00037773"/>
    <w:rsid w:val="00040156"/>
    <w:rsid w:val="00040B9B"/>
    <w:rsid w:val="00042B49"/>
    <w:rsid w:val="00043DC4"/>
    <w:rsid w:val="0004400A"/>
    <w:rsid w:val="0004419A"/>
    <w:rsid w:val="00044ACD"/>
    <w:rsid w:val="00044C48"/>
    <w:rsid w:val="00044E4C"/>
    <w:rsid w:val="00045652"/>
    <w:rsid w:val="00045A7F"/>
    <w:rsid w:val="00047747"/>
    <w:rsid w:val="00051B63"/>
    <w:rsid w:val="000555D7"/>
    <w:rsid w:val="00056AD4"/>
    <w:rsid w:val="00057750"/>
    <w:rsid w:val="00060C69"/>
    <w:rsid w:val="000628FE"/>
    <w:rsid w:val="00062AED"/>
    <w:rsid w:val="00062C29"/>
    <w:rsid w:val="00063450"/>
    <w:rsid w:val="000634CA"/>
    <w:rsid w:val="000641CF"/>
    <w:rsid w:val="00064420"/>
    <w:rsid w:val="0006541B"/>
    <w:rsid w:val="0006579F"/>
    <w:rsid w:val="000659EE"/>
    <w:rsid w:val="00065D83"/>
    <w:rsid w:val="0006656C"/>
    <w:rsid w:val="00066F93"/>
    <w:rsid w:val="000674E7"/>
    <w:rsid w:val="00067B21"/>
    <w:rsid w:val="00075AA9"/>
    <w:rsid w:val="00077ADC"/>
    <w:rsid w:val="000815BD"/>
    <w:rsid w:val="00082DBF"/>
    <w:rsid w:val="00087E4F"/>
    <w:rsid w:val="000906A4"/>
    <w:rsid w:val="00092192"/>
    <w:rsid w:val="00092680"/>
    <w:rsid w:val="00096438"/>
    <w:rsid w:val="00097812"/>
    <w:rsid w:val="00097FA8"/>
    <w:rsid w:val="000A0800"/>
    <w:rsid w:val="000A1501"/>
    <w:rsid w:val="000A1666"/>
    <w:rsid w:val="000A1832"/>
    <w:rsid w:val="000A293A"/>
    <w:rsid w:val="000A2AE5"/>
    <w:rsid w:val="000A3421"/>
    <w:rsid w:val="000A3E9B"/>
    <w:rsid w:val="000A53A1"/>
    <w:rsid w:val="000A790A"/>
    <w:rsid w:val="000A7AAF"/>
    <w:rsid w:val="000B128E"/>
    <w:rsid w:val="000B2120"/>
    <w:rsid w:val="000B6404"/>
    <w:rsid w:val="000B69E2"/>
    <w:rsid w:val="000C0F62"/>
    <w:rsid w:val="000C1465"/>
    <w:rsid w:val="000C1930"/>
    <w:rsid w:val="000C2A90"/>
    <w:rsid w:val="000C5335"/>
    <w:rsid w:val="000C6BBC"/>
    <w:rsid w:val="000C6C53"/>
    <w:rsid w:val="000C74A2"/>
    <w:rsid w:val="000C7748"/>
    <w:rsid w:val="000D168A"/>
    <w:rsid w:val="000D16CC"/>
    <w:rsid w:val="000D179D"/>
    <w:rsid w:val="000D52C4"/>
    <w:rsid w:val="000D6424"/>
    <w:rsid w:val="000D65A8"/>
    <w:rsid w:val="000D67E9"/>
    <w:rsid w:val="000D6F28"/>
    <w:rsid w:val="000D79BF"/>
    <w:rsid w:val="000E1D47"/>
    <w:rsid w:val="000E1D9F"/>
    <w:rsid w:val="000E2683"/>
    <w:rsid w:val="000E340B"/>
    <w:rsid w:val="000E5360"/>
    <w:rsid w:val="000E5412"/>
    <w:rsid w:val="000E7FDA"/>
    <w:rsid w:val="000F0623"/>
    <w:rsid w:val="000F07BF"/>
    <w:rsid w:val="000F1CBE"/>
    <w:rsid w:val="000F266F"/>
    <w:rsid w:val="000F3423"/>
    <w:rsid w:val="000F3D2F"/>
    <w:rsid w:val="000F6578"/>
    <w:rsid w:val="000F6E75"/>
    <w:rsid w:val="00101D1A"/>
    <w:rsid w:val="00102CE3"/>
    <w:rsid w:val="0010452F"/>
    <w:rsid w:val="00105223"/>
    <w:rsid w:val="00107CAA"/>
    <w:rsid w:val="00110D74"/>
    <w:rsid w:val="00113F27"/>
    <w:rsid w:val="00114019"/>
    <w:rsid w:val="001157DC"/>
    <w:rsid w:val="00115D06"/>
    <w:rsid w:val="00115E9B"/>
    <w:rsid w:val="00116C74"/>
    <w:rsid w:val="00116E0A"/>
    <w:rsid w:val="00117ED7"/>
    <w:rsid w:val="00120BD4"/>
    <w:rsid w:val="00121DF2"/>
    <w:rsid w:val="0012586A"/>
    <w:rsid w:val="00130058"/>
    <w:rsid w:val="0013492B"/>
    <w:rsid w:val="001358BD"/>
    <w:rsid w:val="00136720"/>
    <w:rsid w:val="001405F7"/>
    <w:rsid w:val="00141239"/>
    <w:rsid w:val="00141A7B"/>
    <w:rsid w:val="00143374"/>
    <w:rsid w:val="00143E92"/>
    <w:rsid w:val="00145A5F"/>
    <w:rsid w:val="00145D3A"/>
    <w:rsid w:val="0014602B"/>
    <w:rsid w:val="00147085"/>
    <w:rsid w:val="0014788F"/>
    <w:rsid w:val="001478B4"/>
    <w:rsid w:val="00150047"/>
    <w:rsid w:val="00152DFA"/>
    <w:rsid w:val="00155500"/>
    <w:rsid w:val="0015591B"/>
    <w:rsid w:val="00157211"/>
    <w:rsid w:val="001600E3"/>
    <w:rsid w:val="00161700"/>
    <w:rsid w:val="001618E7"/>
    <w:rsid w:val="00161A85"/>
    <w:rsid w:val="001625AC"/>
    <w:rsid w:val="00162710"/>
    <w:rsid w:val="001641D2"/>
    <w:rsid w:val="00164614"/>
    <w:rsid w:val="00164C21"/>
    <w:rsid w:val="00164EEA"/>
    <w:rsid w:val="00165300"/>
    <w:rsid w:val="001659F3"/>
    <w:rsid w:val="00166B70"/>
    <w:rsid w:val="001675E8"/>
    <w:rsid w:val="001679F4"/>
    <w:rsid w:val="00167D5B"/>
    <w:rsid w:val="0017041E"/>
    <w:rsid w:val="00170E99"/>
    <w:rsid w:val="00172B65"/>
    <w:rsid w:val="001730AB"/>
    <w:rsid w:val="001734B5"/>
    <w:rsid w:val="00173BF2"/>
    <w:rsid w:val="00175E61"/>
    <w:rsid w:val="001765CE"/>
    <w:rsid w:val="0017699C"/>
    <w:rsid w:val="00177829"/>
    <w:rsid w:val="00180341"/>
    <w:rsid w:val="0018052F"/>
    <w:rsid w:val="00180F12"/>
    <w:rsid w:val="0018100E"/>
    <w:rsid w:val="001825A7"/>
    <w:rsid w:val="00182D83"/>
    <w:rsid w:val="001837AB"/>
    <w:rsid w:val="0018484D"/>
    <w:rsid w:val="00186383"/>
    <w:rsid w:val="001869FF"/>
    <w:rsid w:val="00187CC9"/>
    <w:rsid w:val="0019015B"/>
    <w:rsid w:val="00190F8D"/>
    <w:rsid w:val="00191415"/>
    <w:rsid w:val="001918DA"/>
    <w:rsid w:val="001919BE"/>
    <w:rsid w:val="00191BE1"/>
    <w:rsid w:val="001926AB"/>
    <w:rsid w:val="00195720"/>
    <w:rsid w:val="001962A1"/>
    <w:rsid w:val="001A0F6F"/>
    <w:rsid w:val="001A1061"/>
    <w:rsid w:val="001A1886"/>
    <w:rsid w:val="001A1996"/>
    <w:rsid w:val="001A37AC"/>
    <w:rsid w:val="001A3818"/>
    <w:rsid w:val="001A574E"/>
    <w:rsid w:val="001A61F9"/>
    <w:rsid w:val="001A630B"/>
    <w:rsid w:val="001A688C"/>
    <w:rsid w:val="001A6F91"/>
    <w:rsid w:val="001A7B83"/>
    <w:rsid w:val="001B040B"/>
    <w:rsid w:val="001B3961"/>
    <w:rsid w:val="001B56FF"/>
    <w:rsid w:val="001B7290"/>
    <w:rsid w:val="001C160A"/>
    <w:rsid w:val="001C27E1"/>
    <w:rsid w:val="001C4085"/>
    <w:rsid w:val="001C6014"/>
    <w:rsid w:val="001C7E4B"/>
    <w:rsid w:val="001D258A"/>
    <w:rsid w:val="001D2CDF"/>
    <w:rsid w:val="001D308E"/>
    <w:rsid w:val="001D6066"/>
    <w:rsid w:val="001D68E2"/>
    <w:rsid w:val="001D6CE0"/>
    <w:rsid w:val="001D78FA"/>
    <w:rsid w:val="001D7C78"/>
    <w:rsid w:val="001E0728"/>
    <w:rsid w:val="001E1194"/>
    <w:rsid w:val="001E370E"/>
    <w:rsid w:val="001E37F7"/>
    <w:rsid w:val="001E46FB"/>
    <w:rsid w:val="001E4806"/>
    <w:rsid w:val="001E786F"/>
    <w:rsid w:val="001F024F"/>
    <w:rsid w:val="001F03CE"/>
    <w:rsid w:val="001F0D0A"/>
    <w:rsid w:val="001F1AD9"/>
    <w:rsid w:val="001F201E"/>
    <w:rsid w:val="001F2AA1"/>
    <w:rsid w:val="001F2B0E"/>
    <w:rsid w:val="001F2CB0"/>
    <w:rsid w:val="001F4CE1"/>
    <w:rsid w:val="001F64A9"/>
    <w:rsid w:val="001F6DBC"/>
    <w:rsid w:val="001F7498"/>
    <w:rsid w:val="001F773C"/>
    <w:rsid w:val="001F7ABC"/>
    <w:rsid w:val="001F7D10"/>
    <w:rsid w:val="00200670"/>
    <w:rsid w:val="0020387E"/>
    <w:rsid w:val="002063EC"/>
    <w:rsid w:val="00206891"/>
    <w:rsid w:val="0020770B"/>
    <w:rsid w:val="00210446"/>
    <w:rsid w:val="0021143E"/>
    <w:rsid w:val="002121AC"/>
    <w:rsid w:val="00214BD8"/>
    <w:rsid w:val="00214C95"/>
    <w:rsid w:val="00215112"/>
    <w:rsid w:val="0021555A"/>
    <w:rsid w:val="00215C07"/>
    <w:rsid w:val="00215FD7"/>
    <w:rsid w:val="00216802"/>
    <w:rsid w:val="00220E49"/>
    <w:rsid w:val="00222137"/>
    <w:rsid w:val="00223236"/>
    <w:rsid w:val="002241C3"/>
    <w:rsid w:val="00225DC8"/>
    <w:rsid w:val="002263C6"/>
    <w:rsid w:val="00226A94"/>
    <w:rsid w:val="00227EBF"/>
    <w:rsid w:val="00230E2E"/>
    <w:rsid w:val="00232358"/>
    <w:rsid w:val="00232891"/>
    <w:rsid w:val="00232939"/>
    <w:rsid w:val="002378A4"/>
    <w:rsid w:val="00237A19"/>
    <w:rsid w:val="002405DA"/>
    <w:rsid w:val="00240ADC"/>
    <w:rsid w:val="00240F4B"/>
    <w:rsid w:val="00240F98"/>
    <w:rsid w:val="002425BC"/>
    <w:rsid w:val="00242BF2"/>
    <w:rsid w:val="00243228"/>
    <w:rsid w:val="002441E4"/>
    <w:rsid w:val="0024421C"/>
    <w:rsid w:val="00244513"/>
    <w:rsid w:val="002460F0"/>
    <w:rsid w:val="00246263"/>
    <w:rsid w:val="002466D9"/>
    <w:rsid w:val="00246FCE"/>
    <w:rsid w:val="00247631"/>
    <w:rsid w:val="00252AA6"/>
    <w:rsid w:val="00253507"/>
    <w:rsid w:val="00253F1B"/>
    <w:rsid w:val="00254229"/>
    <w:rsid w:val="00254E5A"/>
    <w:rsid w:val="00255FD3"/>
    <w:rsid w:val="00256D92"/>
    <w:rsid w:val="002573D6"/>
    <w:rsid w:val="00257ED0"/>
    <w:rsid w:val="00257EEC"/>
    <w:rsid w:val="00260985"/>
    <w:rsid w:val="00260F65"/>
    <w:rsid w:val="00261B58"/>
    <w:rsid w:val="00262AEE"/>
    <w:rsid w:val="0026309F"/>
    <w:rsid w:val="00264DC1"/>
    <w:rsid w:val="00266690"/>
    <w:rsid w:val="00266818"/>
    <w:rsid w:val="00266D4B"/>
    <w:rsid w:val="00267AAC"/>
    <w:rsid w:val="002717C5"/>
    <w:rsid w:val="00272192"/>
    <w:rsid w:val="0027228F"/>
    <w:rsid w:val="002725DF"/>
    <w:rsid w:val="0027273B"/>
    <w:rsid w:val="00273520"/>
    <w:rsid w:val="00273942"/>
    <w:rsid w:val="00274907"/>
    <w:rsid w:val="00274E7D"/>
    <w:rsid w:val="002753FF"/>
    <w:rsid w:val="00275E8F"/>
    <w:rsid w:val="00281BB6"/>
    <w:rsid w:val="00282391"/>
    <w:rsid w:val="00282BA4"/>
    <w:rsid w:val="00283C48"/>
    <w:rsid w:val="002848F4"/>
    <w:rsid w:val="00284D14"/>
    <w:rsid w:val="002851A5"/>
    <w:rsid w:val="00286307"/>
    <w:rsid w:val="0028763E"/>
    <w:rsid w:val="00290B23"/>
    <w:rsid w:val="00290CC8"/>
    <w:rsid w:val="00290E73"/>
    <w:rsid w:val="0029167F"/>
    <w:rsid w:val="00293473"/>
    <w:rsid w:val="00295BD5"/>
    <w:rsid w:val="00295D00"/>
    <w:rsid w:val="002961C6"/>
    <w:rsid w:val="002A1713"/>
    <w:rsid w:val="002A177F"/>
    <w:rsid w:val="002A3681"/>
    <w:rsid w:val="002A4104"/>
    <w:rsid w:val="002A4327"/>
    <w:rsid w:val="002A5DE3"/>
    <w:rsid w:val="002A5E60"/>
    <w:rsid w:val="002A68EB"/>
    <w:rsid w:val="002A6A90"/>
    <w:rsid w:val="002A7AA9"/>
    <w:rsid w:val="002B0CB6"/>
    <w:rsid w:val="002B1B3E"/>
    <w:rsid w:val="002B20D1"/>
    <w:rsid w:val="002B21B2"/>
    <w:rsid w:val="002B32A7"/>
    <w:rsid w:val="002B49DD"/>
    <w:rsid w:val="002B49EB"/>
    <w:rsid w:val="002B4C87"/>
    <w:rsid w:val="002B55B0"/>
    <w:rsid w:val="002B55EA"/>
    <w:rsid w:val="002B5EF0"/>
    <w:rsid w:val="002B75C1"/>
    <w:rsid w:val="002B77BA"/>
    <w:rsid w:val="002C09CC"/>
    <w:rsid w:val="002C219C"/>
    <w:rsid w:val="002C34E8"/>
    <w:rsid w:val="002C3C00"/>
    <w:rsid w:val="002C4192"/>
    <w:rsid w:val="002C53B4"/>
    <w:rsid w:val="002C5782"/>
    <w:rsid w:val="002D1941"/>
    <w:rsid w:val="002D273C"/>
    <w:rsid w:val="002D5398"/>
    <w:rsid w:val="002D59BC"/>
    <w:rsid w:val="002D6F75"/>
    <w:rsid w:val="002D7610"/>
    <w:rsid w:val="002E03DA"/>
    <w:rsid w:val="002E1939"/>
    <w:rsid w:val="002E45DE"/>
    <w:rsid w:val="002E4657"/>
    <w:rsid w:val="002E58FB"/>
    <w:rsid w:val="002E6363"/>
    <w:rsid w:val="002E70C9"/>
    <w:rsid w:val="002F1410"/>
    <w:rsid w:val="002F1A51"/>
    <w:rsid w:val="002F2374"/>
    <w:rsid w:val="002F3243"/>
    <w:rsid w:val="002F3533"/>
    <w:rsid w:val="002F4AF1"/>
    <w:rsid w:val="002F4BC2"/>
    <w:rsid w:val="002F6F15"/>
    <w:rsid w:val="002F7EF3"/>
    <w:rsid w:val="003008D5"/>
    <w:rsid w:val="00302238"/>
    <w:rsid w:val="003024BD"/>
    <w:rsid w:val="003040C6"/>
    <w:rsid w:val="003041DD"/>
    <w:rsid w:val="00304AEA"/>
    <w:rsid w:val="0030517F"/>
    <w:rsid w:val="003056B9"/>
    <w:rsid w:val="00305A2E"/>
    <w:rsid w:val="00306C0D"/>
    <w:rsid w:val="0031134A"/>
    <w:rsid w:val="003148C8"/>
    <w:rsid w:val="00314E01"/>
    <w:rsid w:val="00314EDC"/>
    <w:rsid w:val="00316544"/>
    <w:rsid w:val="00320267"/>
    <w:rsid w:val="00320305"/>
    <w:rsid w:val="00320650"/>
    <w:rsid w:val="0032070D"/>
    <w:rsid w:val="00321955"/>
    <w:rsid w:val="00321989"/>
    <w:rsid w:val="00321A10"/>
    <w:rsid w:val="00322D85"/>
    <w:rsid w:val="00323649"/>
    <w:rsid w:val="00324C0E"/>
    <w:rsid w:val="00324DDA"/>
    <w:rsid w:val="00324DFC"/>
    <w:rsid w:val="003259C9"/>
    <w:rsid w:val="00327494"/>
    <w:rsid w:val="003278CB"/>
    <w:rsid w:val="003302C5"/>
    <w:rsid w:val="003330C9"/>
    <w:rsid w:val="003345EC"/>
    <w:rsid w:val="0033463F"/>
    <w:rsid w:val="003347AF"/>
    <w:rsid w:val="00334A43"/>
    <w:rsid w:val="0033541D"/>
    <w:rsid w:val="003354D5"/>
    <w:rsid w:val="00337715"/>
    <w:rsid w:val="00337D1D"/>
    <w:rsid w:val="00340706"/>
    <w:rsid w:val="00342C21"/>
    <w:rsid w:val="00347AB3"/>
    <w:rsid w:val="0035001C"/>
    <w:rsid w:val="0035076E"/>
    <w:rsid w:val="0035261B"/>
    <w:rsid w:val="00352D63"/>
    <w:rsid w:val="003547A4"/>
    <w:rsid w:val="00355193"/>
    <w:rsid w:val="003562FE"/>
    <w:rsid w:val="003574EE"/>
    <w:rsid w:val="00357617"/>
    <w:rsid w:val="00361F5B"/>
    <w:rsid w:val="003623A3"/>
    <w:rsid w:val="003626C7"/>
    <w:rsid w:val="00362834"/>
    <w:rsid w:val="003634D5"/>
    <w:rsid w:val="00363B2C"/>
    <w:rsid w:val="0036777B"/>
    <w:rsid w:val="0037061D"/>
    <w:rsid w:val="0037124C"/>
    <w:rsid w:val="0037126A"/>
    <w:rsid w:val="0037136A"/>
    <w:rsid w:val="003724DD"/>
    <w:rsid w:val="0037372D"/>
    <w:rsid w:val="003749E4"/>
    <w:rsid w:val="0037601D"/>
    <w:rsid w:val="00382F48"/>
    <w:rsid w:val="00384659"/>
    <w:rsid w:val="00384BB4"/>
    <w:rsid w:val="00384EA7"/>
    <w:rsid w:val="003879AF"/>
    <w:rsid w:val="0039018F"/>
    <w:rsid w:val="0039029F"/>
    <w:rsid w:val="0039064C"/>
    <w:rsid w:val="0039161D"/>
    <w:rsid w:val="003939CE"/>
    <w:rsid w:val="0039431A"/>
    <w:rsid w:val="00394467"/>
    <w:rsid w:val="003947D5"/>
    <w:rsid w:val="00394E18"/>
    <w:rsid w:val="00395D1F"/>
    <w:rsid w:val="00396822"/>
    <w:rsid w:val="00396F98"/>
    <w:rsid w:val="003A1F01"/>
    <w:rsid w:val="003A2367"/>
    <w:rsid w:val="003A2587"/>
    <w:rsid w:val="003A2DB7"/>
    <w:rsid w:val="003A30A5"/>
    <w:rsid w:val="003A36F6"/>
    <w:rsid w:val="003A509B"/>
    <w:rsid w:val="003A54FF"/>
    <w:rsid w:val="003A6CCB"/>
    <w:rsid w:val="003A7044"/>
    <w:rsid w:val="003A79DC"/>
    <w:rsid w:val="003B17C0"/>
    <w:rsid w:val="003B1854"/>
    <w:rsid w:val="003B23CF"/>
    <w:rsid w:val="003B4D6D"/>
    <w:rsid w:val="003B55A4"/>
    <w:rsid w:val="003B6ED1"/>
    <w:rsid w:val="003B73C9"/>
    <w:rsid w:val="003C10EF"/>
    <w:rsid w:val="003C2759"/>
    <w:rsid w:val="003C2FE5"/>
    <w:rsid w:val="003C3B7F"/>
    <w:rsid w:val="003C5180"/>
    <w:rsid w:val="003C6D62"/>
    <w:rsid w:val="003C74E3"/>
    <w:rsid w:val="003D0A7C"/>
    <w:rsid w:val="003D1CD1"/>
    <w:rsid w:val="003D203D"/>
    <w:rsid w:val="003D2129"/>
    <w:rsid w:val="003D3136"/>
    <w:rsid w:val="003D340F"/>
    <w:rsid w:val="003D397E"/>
    <w:rsid w:val="003D3DFF"/>
    <w:rsid w:val="003D556F"/>
    <w:rsid w:val="003D58C5"/>
    <w:rsid w:val="003D70D3"/>
    <w:rsid w:val="003D74A7"/>
    <w:rsid w:val="003E0E22"/>
    <w:rsid w:val="003E1ED9"/>
    <w:rsid w:val="003E289C"/>
    <w:rsid w:val="003E36B6"/>
    <w:rsid w:val="003E404D"/>
    <w:rsid w:val="003E5FDF"/>
    <w:rsid w:val="003E71FD"/>
    <w:rsid w:val="003E74C6"/>
    <w:rsid w:val="003E79C4"/>
    <w:rsid w:val="003F1FA1"/>
    <w:rsid w:val="003F23C5"/>
    <w:rsid w:val="003F6B6F"/>
    <w:rsid w:val="00400FBF"/>
    <w:rsid w:val="00401B00"/>
    <w:rsid w:val="00401CDE"/>
    <w:rsid w:val="00402DAC"/>
    <w:rsid w:val="00403D98"/>
    <w:rsid w:val="004058A7"/>
    <w:rsid w:val="00407990"/>
    <w:rsid w:val="0041099C"/>
    <w:rsid w:val="00410A5F"/>
    <w:rsid w:val="00410B27"/>
    <w:rsid w:val="004119A5"/>
    <w:rsid w:val="00411C54"/>
    <w:rsid w:val="004126CB"/>
    <w:rsid w:val="00413781"/>
    <w:rsid w:val="00414A96"/>
    <w:rsid w:val="00416411"/>
    <w:rsid w:val="00416E05"/>
    <w:rsid w:val="004172B8"/>
    <w:rsid w:val="00417E23"/>
    <w:rsid w:val="00420111"/>
    <w:rsid w:val="00420225"/>
    <w:rsid w:val="00421894"/>
    <w:rsid w:val="00421A93"/>
    <w:rsid w:val="0042478C"/>
    <w:rsid w:val="00425B8A"/>
    <w:rsid w:val="00426652"/>
    <w:rsid w:val="00426807"/>
    <w:rsid w:val="00427857"/>
    <w:rsid w:val="00430743"/>
    <w:rsid w:val="0043299E"/>
    <w:rsid w:val="004337AA"/>
    <w:rsid w:val="00433EFC"/>
    <w:rsid w:val="0043532C"/>
    <w:rsid w:val="0043674A"/>
    <w:rsid w:val="004375CA"/>
    <w:rsid w:val="00441651"/>
    <w:rsid w:val="00442094"/>
    <w:rsid w:val="0044293A"/>
    <w:rsid w:val="004430B4"/>
    <w:rsid w:val="004459DF"/>
    <w:rsid w:val="00446964"/>
    <w:rsid w:val="00446A17"/>
    <w:rsid w:val="0044795A"/>
    <w:rsid w:val="00447B09"/>
    <w:rsid w:val="00447CEC"/>
    <w:rsid w:val="0045037A"/>
    <w:rsid w:val="00450991"/>
    <w:rsid w:val="0045116F"/>
    <w:rsid w:val="004526BF"/>
    <w:rsid w:val="004538D3"/>
    <w:rsid w:val="00455086"/>
    <w:rsid w:val="004563D6"/>
    <w:rsid w:val="00456AF6"/>
    <w:rsid w:val="00457554"/>
    <w:rsid w:val="00457A5C"/>
    <w:rsid w:val="00457DC6"/>
    <w:rsid w:val="00460C54"/>
    <w:rsid w:val="00461648"/>
    <w:rsid w:val="00463AF5"/>
    <w:rsid w:val="0046458B"/>
    <w:rsid w:val="004647F1"/>
    <w:rsid w:val="00466C39"/>
    <w:rsid w:val="00472DBF"/>
    <w:rsid w:val="0047497D"/>
    <w:rsid w:val="004754F7"/>
    <w:rsid w:val="004759DB"/>
    <w:rsid w:val="00481BAF"/>
    <w:rsid w:val="00482275"/>
    <w:rsid w:val="00482E73"/>
    <w:rsid w:val="00483971"/>
    <w:rsid w:val="00485619"/>
    <w:rsid w:val="00485E3C"/>
    <w:rsid w:val="00485FDA"/>
    <w:rsid w:val="00487014"/>
    <w:rsid w:val="00490DA2"/>
    <w:rsid w:val="00491A61"/>
    <w:rsid w:val="00491E5F"/>
    <w:rsid w:val="00493C01"/>
    <w:rsid w:val="004949F9"/>
    <w:rsid w:val="004952EE"/>
    <w:rsid w:val="00495795"/>
    <w:rsid w:val="00495B6C"/>
    <w:rsid w:val="00496970"/>
    <w:rsid w:val="004A07DC"/>
    <w:rsid w:val="004A141B"/>
    <w:rsid w:val="004A1852"/>
    <w:rsid w:val="004A2B6A"/>
    <w:rsid w:val="004A2FA3"/>
    <w:rsid w:val="004A35EC"/>
    <w:rsid w:val="004A4076"/>
    <w:rsid w:val="004A65A6"/>
    <w:rsid w:val="004A6799"/>
    <w:rsid w:val="004B1D54"/>
    <w:rsid w:val="004B3775"/>
    <w:rsid w:val="004B3D1D"/>
    <w:rsid w:val="004B4675"/>
    <w:rsid w:val="004B5543"/>
    <w:rsid w:val="004B637C"/>
    <w:rsid w:val="004C1CBD"/>
    <w:rsid w:val="004C288E"/>
    <w:rsid w:val="004C30F1"/>
    <w:rsid w:val="004C359A"/>
    <w:rsid w:val="004C3798"/>
    <w:rsid w:val="004C3AC1"/>
    <w:rsid w:val="004C5285"/>
    <w:rsid w:val="004C5ACB"/>
    <w:rsid w:val="004C70B7"/>
    <w:rsid w:val="004C72B2"/>
    <w:rsid w:val="004D0DCD"/>
    <w:rsid w:val="004D15C5"/>
    <w:rsid w:val="004D169E"/>
    <w:rsid w:val="004D1F50"/>
    <w:rsid w:val="004D29C5"/>
    <w:rsid w:val="004D57F6"/>
    <w:rsid w:val="004D66F6"/>
    <w:rsid w:val="004D73B2"/>
    <w:rsid w:val="004D765E"/>
    <w:rsid w:val="004D7B1E"/>
    <w:rsid w:val="004E11BB"/>
    <w:rsid w:val="004E1B8F"/>
    <w:rsid w:val="004E2A9E"/>
    <w:rsid w:val="004E304C"/>
    <w:rsid w:val="004E5385"/>
    <w:rsid w:val="004E56C8"/>
    <w:rsid w:val="004E7BD2"/>
    <w:rsid w:val="004F02CE"/>
    <w:rsid w:val="004F209C"/>
    <w:rsid w:val="004F3857"/>
    <w:rsid w:val="004F3BB7"/>
    <w:rsid w:val="004F4970"/>
    <w:rsid w:val="004F4FE5"/>
    <w:rsid w:val="004F5698"/>
    <w:rsid w:val="004F5E06"/>
    <w:rsid w:val="004F709D"/>
    <w:rsid w:val="005012FA"/>
    <w:rsid w:val="0050155F"/>
    <w:rsid w:val="00501817"/>
    <w:rsid w:val="00501A0B"/>
    <w:rsid w:val="00503C3C"/>
    <w:rsid w:val="005043EB"/>
    <w:rsid w:val="005046EF"/>
    <w:rsid w:val="005058A7"/>
    <w:rsid w:val="0050622A"/>
    <w:rsid w:val="00506E0F"/>
    <w:rsid w:val="00507753"/>
    <w:rsid w:val="00510003"/>
    <w:rsid w:val="00510312"/>
    <w:rsid w:val="005107CA"/>
    <w:rsid w:val="00510C83"/>
    <w:rsid w:val="005114E6"/>
    <w:rsid w:val="00511C95"/>
    <w:rsid w:val="00511DCA"/>
    <w:rsid w:val="0051230B"/>
    <w:rsid w:val="00512FF1"/>
    <w:rsid w:val="005141CD"/>
    <w:rsid w:val="005144E0"/>
    <w:rsid w:val="00514544"/>
    <w:rsid w:val="005160B2"/>
    <w:rsid w:val="00516AF7"/>
    <w:rsid w:val="00520067"/>
    <w:rsid w:val="00520FC2"/>
    <w:rsid w:val="00521C30"/>
    <w:rsid w:val="00522582"/>
    <w:rsid w:val="00522C9E"/>
    <w:rsid w:val="00523071"/>
    <w:rsid w:val="00524504"/>
    <w:rsid w:val="00524638"/>
    <w:rsid w:val="00524A86"/>
    <w:rsid w:val="0052731F"/>
    <w:rsid w:val="005315A5"/>
    <w:rsid w:val="00533984"/>
    <w:rsid w:val="00536044"/>
    <w:rsid w:val="00537281"/>
    <w:rsid w:val="00537592"/>
    <w:rsid w:val="00540223"/>
    <w:rsid w:val="00540815"/>
    <w:rsid w:val="00542B73"/>
    <w:rsid w:val="00543219"/>
    <w:rsid w:val="00545DBC"/>
    <w:rsid w:val="0054608A"/>
    <w:rsid w:val="0054712D"/>
    <w:rsid w:val="00550975"/>
    <w:rsid w:val="00550BCA"/>
    <w:rsid w:val="005516F4"/>
    <w:rsid w:val="00551B63"/>
    <w:rsid w:val="00552870"/>
    <w:rsid w:val="00552A36"/>
    <w:rsid w:val="00552B84"/>
    <w:rsid w:val="005543D9"/>
    <w:rsid w:val="00554FF8"/>
    <w:rsid w:val="005557F5"/>
    <w:rsid w:val="00556E82"/>
    <w:rsid w:val="0055725F"/>
    <w:rsid w:val="00561663"/>
    <w:rsid w:val="00561788"/>
    <w:rsid w:val="0056258E"/>
    <w:rsid w:val="0056358C"/>
    <w:rsid w:val="0056359E"/>
    <w:rsid w:val="00563A46"/>
    <w:rsid w:val="0056569F"/>
    <w:rsid w:val="00565773"/>
    <w:rsid w:val="00565E5F"/>
    <w:rsid w:val="00566286"/>
    <w:rsid w:val="00566C25"/>
    <w:rsid w:val="005705C3"/>
    <w:rsid w:val="005711AC"/>
    <w:rsid w:val="0057239D"/>
    <w:rsid w:val="0057321C"/>
    <w:rsid w:val="00574097"/>
    <w:rsid w:val="0057412F"/>
    <w:rsid w:val="005806AC"/>
    <w:rsid w:val="00582248"/>
    <w:rsid w:val="00582895"/>
    <w:rsid w:val="0058351D"/>
    <w:rsid w:val="00583B6D"/>
    <w:rsid w:val="00584975"/>
    <w:rsid w:val="00584A08"/>
    <w:rsid w:val="0058762D"/>
    <w:rsid w:val="0059017A"/>
    <w:rsid w:val="005930A9"/>
    <w:rsid w:val="005937A4"/>
    <w:rsid w:val="00593A72"/>
    <w:rsid w:val="005953DD"/>
    <w:rsid w:val="00595C34"/>
    <w:rsid w:val="0059705C"/>
    <w:rsid w:val="005A1D5C"/>
    <w:rsid w:val="005A1EB4"/>
    <w:rsid w:val="005A4F35"/>
    <w:rsid w:val="005A514F"/>
    <w:rsid w:val="005A6507"/>
    <w:rsid w:val="005A660F"/>
    <w:rsid w:val="005A6CA5"/>
    <w:rsid w:val="005B0E38"/>
    <w:rsid w:val="005B122A"/>
    <w:rsid w:val="005B1740"/>
    <w:rsid w:val="005B25AA"/>
    <w:rsid w:val="005B50A8"/>
    <w:rsid w:val="005B5274"/>
    <w:rsid w:val="005B688D"/>
    <w:rsid w:val="005B7AF6"/>
    <w:rsid w:val="005C0E72"/>
    <w:rsid w:val="005C21FD"/>
    <w:rsid w:val="005C3C11"/>
    <w:rsid w:val="005C47B5"/>
    <w:rsid w:val="005C4F53"/>
    <w:rsid w:val="005C512D"/>
    <w:rsid w:val="005C749C"/>
    <w:rsid w:val="005C78F1"/>
    <w:rsid w:val="005D05CA"/>
    <w:rsid w:val="005D067A"/>
    <w:rsid w:val="005D0A28"/>
    <w:rsid w:val="005D1359"/>
    <w:rsid w:val="005D30BA"/>
    <w:rsid w:val="005D370F"/>
    <w:rsid w:val="005D465A"/>
    <w:rsid w:val="005E05D4"/>
    <w:rsid w:val="005E0F59"/>
    <w:rsid w:val="005E25BD"/>
    <w:rsid w:val="005E2A40"/>
    <w:rsid w:val="005E34FA"/>
    <w:rsid w:val="005E372F"/>
    <w:rsid w:val="005E4A5F"/>
    <w:rsid w:val="005E6219"/>
    <w:rsid w:val="005E6A44"/>
    <w:rsid w:val="005E7DA2"/>
    <w:rsid w:val="005F37D5"/>
    <w:rsid w:val="005F44B5"/>
    <w:rsid w:val="005F46B0"/>
    <w:rsid w:val="005F6364"/>
    <w:rsid w:val="00600282"/>
    <w:rsid w:val="006011BD"/>
    <w:rsid w:val="00601273"/>
    <w:rsid w:val="006018D6"/>
    <w:rsid w:val="00604C16"/>
    <w:rsid w:val="00605381"/>
    <w:rsid w:val="00607279"/>
    <w:rsid w:val="006102D2"/>
    <w:rsid w:val="0061063A"/>
    <w:rsid w:val="00610B76"/>
    <w:rsid w:val="00612393"/>
    <w:rsid w:val="006138D1"/>
    <w:rsid w:val="00614E0A"/>
    <w:rsid w:val="00616108"/>
    <w:rsid w:val="00617792"/>
    <w:rsid w:val="006201B1"/>
    <w:rsid w:val="006201CD"/>
    <w:rsid w:val="00621990"/>
    <w:rsid w:val="006237AB"/>
    <w:rsid w:val="00625F72"/>
    <w:rsid w:val="00625FC2"/>
    <w:rsid w:val="00626929"/>
    <w:rsid w:val="00626C09"/>
    <w:rsid w:val="0062718D"/>
    <w:rsid w:val="006271FB"/>
    <w:rsid w:val="006312B3"/>
    <w:rsid w:val="006319DB"/>
    <w:rsid w:val="00631EC6"/>
    <w:rsid w:val="00632E30"/>
    <w:rsid w:val="00634146"/>
    <w:rsid w:val="00635857"/>
    <w:rsid w:val="00636E93"/>
    <w:rsid w:val="0063721A"/>
    <w:rsid w:val="00640410"/>
    <w:rsid w:val="00642883"/>
    <w:rsid w:val="0064341F"/>
    <w:rsid w:val="00643795"/>
    <w:rsid w:val="006474F7"/>
    <w:rsid w:val="00647F7A"/>
    <w:rsid w:val="00650444"/>
    <w:rsid w:val="006505A3"/>
    <w:rsid w:val="00652998"/>
    <w:rsid w:val="00652C38"/>
    <w:rsid w:val="0065356E"/>
    <w:rsid w:val="00653659"/>
    <w:rsid w:val="00653FAC"/>
    <w:rsid w:val="0065400A"/>
    <w:rsid w:val="00655694"/>
    <w:rsid w:val="00655A86"/>
    <w:rsid w:val="00656722"/>
    <w:rsid w:val="006571E3"/>
    <w:rsid w:val="006603C5"/>
    <w:rsid w:val="006614CA"/>
    <w:rsid w:val="006618A0"/>
    <w:rsid w:val="00661D9D"/>
    <w:rsid w:val="00662201"/>
    <w:rsid w:val="006626F8"/>
    <w:rsid w:val="006630AA"/>
    <w:rsid w:val="00663C0C"/>
    <w:rsid w:val="00665E75"/>
    <w:rsid w:val="006660A9"/>
    <w:rsid w:val="006660B7"/>
    <w:rsid w:val="00667D70"/>
    <w:rsid w:val="00671DBC"/>
    <w:rsid w:val="00672CA4"/>
    <w:rsid w:val="00674B09"/>
    <w:rsid w:val="00674F28"/>
    <w:rsid w:val="00675CB0"/>
    <w:rsid w:val="00676264"/>
    <w:rsid w:val="0068144B"/>
    <w:rsid w:val="00683E64"/>
    <w:rsid w:val="00684ED4"/>
    <w:rsid w:val="0068549A"/>
    <w:rsid w:val="006900E5"/>
    <w:rsid w:val="006900F2"/>
    <w:rsid w:val="006919BF"/>
    <w:rsid w:val="0069263E"/>
    <w:rsid w:val="00693DB8"/>
    <w:rsid w:val="006941CE"/>
    <w:rsid w:val="00694601"/>
    <w:rsid w:val="0069643C"/>
    <w:rsid w:val="00697F31"/>
    <w:rsid w:val="006A01EE"/>
    <w:rsid w:val="006A0FF8"/>
    <w:rsid w:val="006A1A5B"/>
    <w:rsid w:val="006A209B"/>
    <w:rsid w:val="006A20B7"/>
    <w:rsid w:val="006A2234"/>
    <w:rsid w:val="006A357B"/>
    <w:rsid w:val="006A364D"/>
    <w:rsid w:val="006A3D0F"/>
    <w:rsid w:val="006A5038"/>
    <w:rsid w:val="006A72A8"/>
    <w:rsid w:val="006B0998"/>
    <w:rsid w:val="006B16C1"/>
    <w:rsid w:val="006B18F1"/>
    <w:rsid w:val="006B2123"/>
    <w:rsid w:val="006B2AFF"/>
    <w:rsid w:val="006B2C6E"/>
    <w:rsid w:val="006B5727"/>
    <w:rsid w:val="006B73A8"/>
    <w:rsid w:val="006B7CAD"/>
    <w:rsid w:val="006C0093"/>
    <w:rsid w:val="006C16FF"/>
    <w:rsid w:val="006C2584"/>
    <w:rsid w:val="006C5145"/>
    <w:rsid w:val="006C6509"/>
    <w:rsid w:val="006C69E7"/>
    <w:rsid w:val="006C6E89"/>
    <w:rsid w:val="006D16FF"/>
    <w:rsid w:val="006D3635"/>
    <w:rsid w:val="006D3D80"/>
    <w:rsid w:val="006D3F2D"/>
    <w:rsid w:val="006D5A55"/>
    <w:rsid w:val="006D5E14"/>
    <w:rsid w:val="006D5EF4"/>
    <w:rsid w:val="006D6326"/>
    <w:rsid w:val="006D790D"/>
    <w:rsid w:val="006D7E01"/>
    <w:rsid w:val="006E067B"/>
    <w:rsid w:val="006E0AB5"/>
    <w:rsid w:val="006E0FD1"/>
    <w:rsid w:val="006E2BC8"/>
    <w:rsid w:val="006E2DF9"/>
    <w:rsid w:val="006E2FF5"/>
    <w:rsid w:val="006E373F"/>
    <w:rsid w:val="006E38ED"/>
    <w:rsid w:val="006E3A48"/>
    <w:rsid w:val="006E3AE7"/>
    <w:rsid w:val="006E42A5"/>
    <w:rsid w:val="006E46E5"/>
    <w:rsid w:val="006E5877"/>
    <w:rsid w:val="006E5DE3"/>
    <w:rsid w:val="006E7AD5"/>
    <w:rsid w:val="006F1618"/>
    <w:rsid w:val="006F1BD0"/>
    <w:rsid w:val="006F1DEE"/>
    <w:rsid w:val="006F2021"/>
    <w:rsid w:val="006F276F"/>
    <w:rsid w:val="006F2878"/>
    <w:rsid w:val="006F3833"/>
    <w:rsid w:val="006F500E"/>
    <w:rsid w:val="006F5CA8"/>
    <w:rsid w:val="006F61E7"/>
    <w:rsid w:val="006F65FC"/>
    <w:rsid w:val="0070461F"/>
    <w:rsid w:val="00705328"/>
    <w:rsid w:val="00706EE2"/>
    <w:rsid w:val="00706F6D"/>
    <w:rsid w:val="00707236"/>
    <w:rsid w:val="0071200E"/>
    <w:rsid w:val="00712370"/>
    <w:rsid w:val="00712E7D"/>
    <w:rsid w:val="00713A6F"/>
    <w:rsid w:val="00713E17"/>
    <w:rsid w:val="00713EB2"/>
    <w:rsid w:val="00713EE8"/>
    <w:rsid w:val="00714341"/>
    <w:rsid w:val="00716E33"/>
    <w:rsid w:val="007170B6"/>
    <w:rsid w:val="007200D2"/>
    <w:rsid w:val="00720435"/>
    <w:rsid w:val="00721502"/>
    <w:rsid w:val="0072170C"/>
    <w:rsid w:val="0072257B"/>
    <w:rsid w:val="00722AF4"/>
    <w:rsid w:val="007241E6"/>
    <w:rsid w:val="007278E7"/>
    <w:rsid w:val="00727E6F"/>
    <w:rsid w:val="00732886"/>
    <w:rsid w:val="00735097"/>
    <w:rsid w:val="0073594F"/>
    <w:rsid w:val="00735D54"/>
    <w:rsid w:val="00736277"/>
    <w:rsid w:val="00740642"/>
    <w:rsid w:val="00741283"/>
    <w:rsid w:val="00741B52"/>
    <w:rsid w:val="0074255F"/>
    <w:rsid w:val="00742EE5"/>
    <w:rsid w:val="00743E5C"/>
    <w:rsid w:val="007441F0"/>
    <w:rsid w:val="00744302"/>
    <w:rsid w:val="007444A5"/>
    <w:rsid w:val="00744525"/>
    <w:rsid w:val="007453CE"/>
    <w:rsid w:val="00745F14"/>
    <w:rsid w:val="00750409"/>
    <w:rsid w:val="007508F7"/>
    <w:rsid w:val="00754DCB"/>
    <w:rsid w:val="00755AF9"/>
    <w:rsid w:val="00755BBF"/>
    <w:rsid w:val="00756792"/>
    <w:rsid w:val="00756F57"/>
    <w:rsid w:val="007572DD"/>
    <w:rsid w:val="00757E5A"/>
    <w:rsid w:val="00763FFC"/>
    <w:rsid w:val="007646BC"/>
    <w:rsid w:val="00764CD0"/>
    <w:rsid w:val="00764D6A"/>
    <w:rsid w:val="007659A4"/>
    <w:rsid w:val="0076686D"/>
    <w:rsid w:val="00766D05"/>
    <w:rsid w:val="00767BDD"/>
    <w:rsid w:val="007702A2"/>
    <w:rsid w:val="00770E89"/>
    <w:rsid w:val="00771655"/>
    <w:rsid w:val="00771740"/>
    <w:rsid w:val="00771774"/>
    <w:rsid w:val="00771CA2"/>
    <w:rsid w:val="00772CD7"/>
    <w:rsid w:val="00773056"/>
    <w:rsid w:val="007755D0"/>
    <w:rsid w:val="00780969"/>
    <w:rsid w:val="0078186D"/>
    <w:rsid w:val="00782DEE"/>
    <w:rsid w:val="007836BE"/>
    <w:rsid w:val="00783B44"/>
    <w:rsid w:val="00783CD8"/>
    <w:rsid w:val="00785793"/>
    <w:rsid w:val="00785C62"/>
    <w:rsid w:val="00787326"/>
    <w:rsid w:val="00787A65"/>
    <w:rsid w:val="00790A4C"/>
    <w:rsid w:val="007917A7"/>
    <w:rsid w:val="00792147"/>
    <w:rsid w:val="00792E3D"/>
    <w:rsid w:val="007935E5"/>
    <w:rsid w:val="00795F8F"/>
    <w:rsid w:val="0079743F"/>
    <w:rsid w:val="00797813"/>
    <w:rsid w:val="007A18BA"/>
    <w:rsid w:val="007A2111"/>
    <w:rsid w:val="007A2801"/>
    <w:rsid w:val="007A30C8"/>
    <w:rsid w:val="007A32E1"/>
    <w:rsid w:val="007A411B"/>
    <w:rsid w:val="007A63C4"/>
    <w:rsid w:val="007A69C2"/>
    <w:rsid w:val="007A7F2C"/>
    <w:rsid w:val="007B12ED"/>
    <w:rsid w:val="007B13E1"/>
    <w:rsid w:val="007B24CC"/>
    <w:rsid w:val="007B2E75"/>
    <w:rsid w:val="007B49AC"/>
    <w:rsid w:val="007B5532"/>
    <w:rsid w:val="007B5A94"/>
    <w:rsid w:val="007B6089"/>
    <w:rsid w:val="007B7F3A"/>
    <w:rsid w:val="007C1695"/>
    <w:rsid w:val="007C26B7"/>
    <w:rsid w:val="007C358A"/>
    <w:rsid w:val="007C36BC"/>
    <w:rsid w:val="007D02D5"/>
    <w:rsid w:val="007D110A"/>
    <w:rsid w:val="007D16A9"/>
    <w:rsid w:val="007D3F37"/>
    <w:rsid w:val="007D40D3"/>
    <w:rsid w:val="007D7B1E"/>
    <w:rsid w:val="007E050E"/>
    <w:rsid w:val="007E0D0D"/>
    <w:rsid w:val="007E0F6A"/>
    <w:rsid w:val="007E18C1"/>
    <w:rsid w:val="007E24D4"/>
    <w:rsid w:val="007E2736"/>
    <w:rsid w:val="007E4B6B"/>
    <w:rsid w:val="007E7793"/>
    <w:rsid w:val="007F0964"/>
    <w:rsid w:val="007F411C"/>
    <w:rsid w:val="007F5C14"/>
    <w:rsid w:val="007F7895"/>
    <w:rsid w:val="007F7AD5"/>
    <w:rsid w:val="007F7EF9"/>
    <w:rsid w:val="0080035A"/>
    <w:rsid w:val="00801771"/>
    <w:rsid w:val="00801E22"/>
    <w:rsid w:val="00801FF5"/>
    <w:rsid w:val="00802F22"/>
    <w:rsid w:val="008061C7"/>
    <w:rsid w:val="00806775"/>
    <w:rsid w:val="008069F4"/>
    <w:rsid w:val="00807109"/>
    <w:rsid w:val="00807763"/>
    <w:rsid w:val="008079AC"/>
    <w:rsid w:val="00807E3C"/>
    <w:rsid w:val="00810BEB"/>
    <w:rsid w:val="00811705"/>
    <w:rsid w:val="00811F09"/>
    <w:rsid w:val="0081227A"/>
    <w:rsid w:val="0081234A"/>
    <w:rsid w:val="00813870"/>
    <w:rsid w:val="00814CED"/>
    <w:rsid w:val="008164D1"/>
    <w:rsid w:val="0081701B"/>
    <w:rsid w:val="0081729A"/>
    <w:rsid w:val="00822569"/>
    <w:rsid w:val="00822E35"/>
    <w:rsid w:val="00823570"/>
    <w:rsid w:val="00824714"/>
    <w:rsid w:val="008247FF"/>
    <w:rsid w:val="00825013"/>
    <w:rsid w:val="00827465"/>
    <w:rsid w:val="00827D4C"/>
    <w:rsid w:val="00830762"/>
    <w:rsid w:val="00832292"/>
    <w:rsid w:val="008328F8"/>
    <w:rsid w:val="00833A4D"/>
    <w:rsid w:val="00834576"/>
    <w:rsid w:val="008347AB"/>
    <w:rsid w:val="00835CB6"/>
    <w:rsid w:val="00835F54"/>
    <w:rsid w:val="0083691E"/>
    <w:rsid w:val="008378B3"/>
    <w:rsid w:val="00837AA0"/>
    <w:rsid w:val="00837B68"/>
    <w:rsid w:val="0084016A"/>
    <w:rsid w:val="00841FDD"/>
    <w:rsid w:val="00842644"/>
    <w:rsid w:val="00843573"/>
    <w:rsid w:val="008447B2"/>
    <w:rsid w:val="00846898"/>
    <w:rsid w:val="00847623"/>
    <w:rsid w:val="00850BAA"/>
    <w:rsid w:val="00850E2D"/>
    <w:rsid w:val="00852B78"/>
    <w:rsid w:val="008531B3"/>
    <w:rsid w:val="00856073"/>
    <w:rsid w:val="00856C6B"/>
    <w:rsid w:val="00857549"/>
    <w:rsid w:val="008577BA"/>
    <w:rsid w:val="00862252"/>
    <w:rsid w:val="0086489C"/>
    <w:rsid w:val="00865197"/>
    <w:rsid w:val="00865379"/>
    <w:rsid w:val="00865E74"/>
    <w:rsid w:val="00870882"/>
    <w:rsid w:val="00870EDD"/>
    <w:rsid w:val="0087230C"/>
    <w:rsid w:val="00872602"/>
    <w:rsid w:val="008736F1"/>
    <w:rsid w:val="008758F7"/>
    <w:rsid w:val="00876241"/>
    <w:rsid w:val="00877226"/>
    <w:rsid w:val="00880E28"/>
    <w:rsid w:val="00881009"/>
    <w:rsid w:val="008829A1"/>
    <w:rsid w:val="008843DD"/>
    <w:rsid w:val="00890E91"/>
    <w:rsid w:val="0089414D"/>
    <w:rsid w:val="00894521"/>
    <w:rsid w:val="00895DC7"/>
    <w:rsid w:val="008975C4"/>
    <w:rsid w:val="008A19BC"/>
    <w:rsid w:val="008A3015"/>
    <w:rsid w:val="008A353F"/>
    <w:rsid w:val="008A4814"/>
    <w:rsid w:val="008A5371"/>
    <w:rsid w:val="008A686A"/>
    <w:rsid w:val="008B0755"/>
    <w:rsid w:val="008B0EB7"/>
    <w:rsid w:val="008B152D"/>
    <w:rsid w:val="008B40C6"/>
    <w:rsid w:val="008B608C"/>
    <w:rsid w:val="008B6B2E"/>
    <w:rsid w:val="008B7CF3"/>
    <w:rsid w:val="008C27C9"/>
    <w:rsid w:val="008C3E8F"/>
    <w:rsid w:val="008C67C7"/>
    <w:rsid w:val="008C6D26"/>
    <w:rsid w:val="008D01D1"/>
    <w:rsid w:val="008D183C"/>
    <w:rsid w:val="008D1A26"/>
    <w:rsid w:val="008D1B7F"/>
    <w:rsid w:val="008D247A"/>
    <w:rsid w:val="008D249D"/>
    <w:rsid w:val="008D2E81"/>
    <w:rsid w:val="008D30A7"/>
    <w:rsid w:val="008D3871"/>
    <w:rsid w:val="008D3ACB"/>
    <w:rsid w:val="008D3D31"/>
    <w:rsid w:val="008D4961"/>
    <w:rsid w:val="008D4AD9"/>
    <w:rsid w:val="008D4AE4"/>
    <w:rsid w:val="008D4E17"/>
    <w:rsid w:val="008D50E6"/>
    <w:rsid w:val="008D619B"/>
    <w:rsid w:val="008D6FE4"/>
    <w:rsid w:val="008E018B"/>
    <w:rsid w:val="008E0B31"/>
    <w:rsid w:val="008E24B1"/>
    <w:rsid w:val="008E3C09"/>
    <w:rsid w:val="008E4311"/>
    <w:rsid w:val="008E669F"/>
    <w:rsid w:val="008E7997"/>
    <w:rsid w:val="008F0DAA"/>
    <w:rsid w:val="008F0EFC"/>
    <w:rsid w:val="008F17EF"/>
    <w:rsid w:val="008F1B4E"/>
    <w:rsid w:val="008F1CCD"/>
    <w:rsid w:val="008F27B2"/>
    <w:rsid w:val="008F2CAA"/>
    <w:rsid w:val="008F3443"/>
    <w:rsid w:val="008F5607"/>
    <w:rsid w:val="008F5F33"/>
    <w:rsid w:val="008F66DD"/>
    <w:rsid w:val="008F6D9C"/>
    <w:rsid w:val="00902A6A"/>
    <w:rsid w:val="00902B57"/>
    <w:rsid w:val="00905EEF"/>
    <w:rsid w:val="009060DE"/>
    <w:rsid w:val="009064CB"/>
    <w:rsid w:val="00907434"/>
    <w:rsid w:val="009108B9"/>
    <w:rsid w:val="00911186"/>
    <w:rsid w:val="00911A09"/>
    <w:rsid w:val="009122A9"/>
    <w:rsid w:val="0091267E"/>
    <w:rsid w:val="009127EC"/>
    <w:rsid w:val="0091285B"/>
    <w:rsid w:val="0091309C"/>
    <w:rsid w:val="009138E8"/>
    <w:rsid w:val="00914D2A"/>
    <w:rsid w:val="00915241"/>
    <w:rsid w:val="0091535D"/>
    <w:rsid w:val="00915C87"/>
    <w:rsid w:val="00916703"/>
    <w:rsid w:val="00920507"/>
    <w:rsid w:val="009213D8"/>
    <w:rsid w:val="009223E1"/>
    <w:rsid w:val="00922F1D"/>
    <w:rsid w:val="00923690"/>
    <w:rsid w:val="0092382C"/>
    <w:rsid w:val="0092465D"/>
    <w:rsid w:val="009248AF"/>
    <w:rsid w:val="009255B4"/>
    <w:rsid w:val="009257DB"/>
    <w:rsid w:val="009262D5"/>
    <w:rsid w:val="0092692D"/>
    <w:rsid w:val="00930480"/>
    <w:rsid w:val="00931E64"/>
    <w:rsid w:val="00932156"/>
    <w:rsid w:val="0093373A"/>
    <w:rsid w:val="00933D47"/>
    <w:rsid w:val="00935934"/>
    <w:rsid w:val="00935A34"/>
    <w:rsid w:val="009365AB"/>
    <w:rsid w:val="00936C09"/>
    <w:rsid w:val="00937907"/>
    <w:rsid w:val="0094016D"/>
    <w:rsid w:val="00940AD4"/>
    <w:rsid w:val="00941691"/>
    <w:rsid w:val="00941D98"/>
    <w:rsid w:val="00941F3D"/>
    <w:rsid w:val="0094337D"/>
    <w:rsid w:val="00943CE5"/>
    <w:rsid w:val="009450AB"/>
    <w:rsid w:val="00945C88"/>
    <w:rsid w:val="0094725E"/>
    <w:rsid w:val="009477D8"/>
    <w:rsid w:val="00955AEB"/>
    <w:rsid w:val="00956000"/>
    <w:rsid w:val="00960062"/>
    <w:rsid w:val="00962E08"/>
    <w:rsid w:val="0096361E"/>
    <w:rsid w:val="00963D60"/>
    <w:rsid w:val="0096492A"/>
    <w:rsid w:val="00964B1B"/>
    <w:rsid w:val="00964E87"/>
    <w:rsid w:val="009663B9"/>
    <w:rsid w:val="009664D9"/>
    <w:rsid w:val="00970D21"/>
    <w:rsid w:val="009714CF"/>
    <w:rsid w:val="009722C3"/>
    <w:rsid w:val="00972329"/>
    <w:rsid w:val="009742A7"/>
    <w:rsid w:val="00975F77"/>
    <w:rsid w:val="00976132"/>
    <w:rsid w:val="0097761C"/>
    <w:rsid w:val="00982356"/>
    <w:rsid w:val="0098296E"/>
    <w:rsid w:val="0098425B"/>
    <w:rsid w:val="00984D63"/>
    <w:rsid w:val="00986B02"/>
    <w:rsid w:val="0099030A"/>
    <w:rsid w:val="009917E0"/>
    <w:rsid w:val="009927A6"/>
    <w:rsid w:val="00993939"/>
    <w:rsid w:val="009A0FC5"/>
    <w:rsid w:val="009A2167"/>
    <w:rsid w:val="009A2B67"/>
    <w:rsid w:val="009A38BF"/>
    <w:rsid w:val="009A4CF9"/>
    <w:rsid w:val="009A7486"/>
    <w:rsid w:val="009A7B53"/>
    <w:rsid w:val="009A7EBD"/>
    <w:rsid w:val="009B33BD"/>
    <w:rsid w:val="009B586C"/>
    <w:rsid w:val="009B702E"/>
    <w:rsid w:val="009B7B7A"/>
    <w:rsid w:val="009C053B"/>
    <w:rsid w:val="009C17CB"/>
    <w:rsid w:val="009C2578"/>
    <w:rsid w:val="009C3453"/>
    <w:rsid w:val="009C461A"/>
    <w:rsid w:val="009C5F2C"/>
    <w:rsid w:val="009C6CA1"/>
    <w:rsid w:val="009C71E9"/>
    <w:rsid w:val="009C72EC"/>
    <w:rsid w:val="009C7EEB"/>
    <w:rsid w:val="009D0ABD"/>
    <w:rsid w:val="009D333E"/>
    <w:rsid w:val="009D4CA8"/>
    <w:rsid w:val="009D5007"/>
    <w:rsid w:val="009D5B26"/>
    <w:rsid w:val="009D5C69"/>
    <w:rsid w:val="009D73BF"/>
    <w:rsid w:val="009E039B"/>
    <w:rsid w:val="009E213C"/>
    <w:rsid w:val="009E36A2"/>
    <w:rsid w:val="009E4684"/>
    <w:rsid w:val="009E47BC"/>
    <w:rsid w:val="009E4ED1"/>
    <w:rsid w:val="009E6C1F"/>
    <w:rsid w:val="009E6CF0"/>
    <w:rsid w:val="009E7B52"/>
    <w:rsid w:val="009F0F49"/>
    <w:rsid w:val="009F1EFF"/>
    <w:rsid w:val="009F3898"/>
    <w:rsid w:val="009F67F0"/>
    <w:rsid w:val="00A0081B"/>
    <w:rsid w:val="00A00B4B"/>
    <w:rsid w:val="00A00C3D"/>
    <w:rsid w:val="00A01233"/>
    <w:rsid w:val="00A01FEB"/>
    <w:rsid w:val="00A029F6"/>
    <w:rsid w:val="00A031F3"/>
    <w:rsid w:val="00A06B52"/>
    <w:rsid w:val="00A06C3B"/>
    <w:rsid w:val="00A111C5"/>
    <w:rsid w:val="00A113BA"/>
    <w:rsid w:val="00A119F8"/>
    <w:rsid w:val="00A12456"/>
    <w:rsid w:val="00A129AB"/>
    <w:rsid w:val="00A12B1D"/>
    <w:rsid w:val="00A152A1"/>
    <w:rsid w:val="00A200CC"/>
    <w:rsid w:val="00A214AB"/>
    <w:rsid w:val="00A22A9A"/>
    <w:rsid w:val="00A22B7D"/>
    <w:rsid w:val="00A23E1F"/>
    <w:rsid w:val="00A24C8C"/>
    <w:rsid w:val="00A24CC9"/>
    <w:rsid w:val="00A25070"/>
    <w:rsid w:val="00A25761"/>
    <w:rsid w:val="00A265F3"/>
    <w:rsid w:val="00A26677"/>
    <w:rsid w:val="00A26910"/>
    <w:rsid w:val="00A27A7B"/>
    <w:rsid w:val="00A27AFA"/>
    <w:rsid w:val="00A31601"/>
    <w:rsid w:val="00A32817"/>
    <w:rsid w:val="00A32BA8"/>
    <w:rsid w:val="00A34306"/>
    <w:rsid w:val="00A359A8"/>
    <w:rsid w:val="00A4020C"/>
    <w:rsid w:val="00A407AA"/>
    <w:rsid w:val="00A4219B"/>
    <w:rsid w:val="00A421A4"/>
    <w:rsid w:val="00A4372E"/>
    <w:rsid w:val="00A44C78"/>
    <w:rsid w:val="00A4568B"/>
    <w:rsid w:val="00A465A2"/>
    <w:rsid w:val="00A4763B"/>
    <w:rsid w:val="00A502ED"/>
    <w:rsid w:val="00A50766"/>
    <w:rsid w:val="00A50829"/>
    <w:rsid w:val="00A52718"/>
    <w:rsid w:val="00A533C2"/>
    <w:rsid w:val="00A53BBE"/>
    <w:rsid w:val="00A55DF0"/>
    <w:rsid w:val="00A566B1"/>
    <w:rsid w:val="00A5690A"/>
    <w:rsid w:val="00A5693B"/>
    <w:rsid w:val="00A56C6E"/>
    <w:rsid w:val="00A60972"/>
    <w:rsid w:val="00A611BB"/>
    <w:rsid w:val="00A623C4"/>
    <w:rsid w:val="00A631BF"/>
    <w:rsid w:val="00A645B6"/>
    <w:rsid w:val="00A664EA"/>
    <w:rsid w:val="00A667E2"/>
    <w:rsid w:val="00A66E45"/>
    <w:rsid w:val="00A70E25"/>
    <w:rsid w:val="00A7132A"/>
    <w:rsid w:val="00A71667"/>
    <w:rsid w:val="00A71CD3"/>
    <w:rsid w:val="00A74AB3"/>
    <w:rsid w:val="00A7614E"/>
    <w:rsid w:val="00A7781D"/>
    <w:rsid w:val="00A80C25"/>
    <w:rsid w:val="00A811E8"/>
    <w:rsid w:val="00A82DE1"/>
    <w:rsid w:val="00A83732"/>
    <w:rsid w:val="00A83C5E"/>
    <w:rsid w:val="00A845BC"/>
    <w:rsid w:val="00A854CE"/>
    <w:rsid w:val="00A859C6"/>
    <w:rsid w:val="00A85EC3"/>
    <w:rsid w:val="00A87447"/>
    <w:rsid w:val="00A906C9"/>
    <w:rsid w:val="00A907F1"/>
    <w:rsid w:val="00A91225"/>
    <w:rsid w:val="00A91FDD"/>
    <w:rsid w:val="00A9288F"/>
    <w:rsid w:val="00A928D3"/>
    <w:rsid w:val="00A92DF0"/>
    <w:rsid w:val="00A9541F"/>
    <w:rsid w:val="00A95DE8"/>
    <w:rsid w:val="00A960E5"/>
    <w:rsid w:val="00A968F0"/>
    <w:rsid w:val="00A96A93"/>
    <w:rsid w:val="00A97383"/>
    <w:rsid w:val="00A977AB"/>
    <w:rsid w:val="00A977E9"/>
    <w:rsid w:val="00AA112E"/>
    <w:rsid w:val="00AA1178"/>
    <w:rsid w:val="00AA1462"/>
    <w:rsid w:val="00AA193C"/>
    <w:rsid w:val="00AA1C60"/>
    <w:rsid w:val="00AA2A56"/>
    <w:rsid w:val="00AA30C7"/>
    <w:rsid w:val="00AA45AD"/>
    <w:rsid w:val="00AA4A78"/>
    <w:rsid w:val="00AA50AD"/>
    <w:rsid w:val="00AA7E97"/>
    <w:rsid w:val="00AB0BB7"/>
    <w:rsid w:val="00AB5428"/>
    <w:rsid w:val="00AB5AFF"/>
    <w:rsid w:val="00AB5E6F"/>
    <w:rsid w:val="00AB7D02"/>
    <w:rsid w:val="00AC0609"/>
    <w:rsid w:val="00AC16E3"/>
    <w:rsid w:val="00AC1EE3"/>
    <w:rsid w:val="00AC280C"/>
    <w:rsid w:val="00AC35F5"/>
    <w:rsid w:val="00AC36F3"/>
    <w:rsid w:val="00AC5063"/>
    <w:rsid w:val="00AC600F"/>
    <w:rsid w:val="00AC61B9"/>
    <w:rsid w:val="00AC6622"/>
    <w:rsid w:val="00AC7440"/>
    <w:rsid w:val="00AD033A"/>
    <w:rsid w:val="00AD1572"/>
    <w:rsid w:val="00AD1B51"/>
    <w:rsid w:val="00AD43F2"/>
    <w:rsid w:val="00AD4761"/>
    <w:rsid w:val="00AD5476"/>
    <w:rsid w:val="00AD6EA8"/>
    <w:rsid w:val="00AE0233"/>
    <w:rsid w:val="00AE1461"/>
    <w:rsid w:val="00AE20DD"/>
    <w:rsid w:val="00AE4237"/>
    <w:rsid w:val="00AE4F1B"/>
    <w:rsid w:val="00AE53DE"/>
    <w:rsid w:val="00AE5E8D"/>
    <w:rsid w:val="00AF000E"/>
    <w:rsid w:val="00AF0BF1"/>
    <w:rsid w:val="00AF3EF1"/>
    <w:rsid w:val="00AF43A3"/>
    <w:rsid w:val="00AF5F4C"/>
    <w:rsid w:val="00AF611B"/>
    <w:rsid w:val="00AF672F"/>
    <w:rsid w:val="00AF765F"/>
    <w:rsid w:val="00AF77B2"/>
    <w:rsid w:val="00AF7F70"/>
    <w:rsid w:val="00B00C47"/>
    <w:rsid w:val="00B00F15"/>
    <w:rsid w:val="00B02A6F"/>
    <w:rsid w:val="00B02B95"/>
    <w:rsid w:val="00B0353E"/>
    <w:rsid w:val="00B03A39"/>
    <w:rsid w:val="00B03E19"/>
    <w:rsid w:val="00B04D55"/>
    <w:rsid w:val="00B066A2"/>
    <w:rsid w:val="00B06E36"/>
    <w:rsid w:val="00B10581"/>
    <w:rsid w:val="00B10E28"/>
    <w:rsid w:val="00B12E60"/>
    <w:rsid w:val="00B1401F"/>
    <w:rsid w:val="00B14194"/>
    <w:rsid w:val="00B14A1E"/>
    <w:rsid w:val="00B206F9"/>
    <w:rsid w:val="00B2175A"/>
    <w:rsid w:val="00B24117"/>
    <w:rsid w:val="00B24C9A"/>
    <w:rsid w:val="00B25139"/>
    <w:rsid w:val="00B26E41"/>
    <w:rsid w:val="00B30597"/>
    <w:rsid w:val="00B32070"/>
    <w:rsid w:val="00B323E3"/>
    <w:rsid w:val="00B338B1"/>
    <w:rsid w:val="00B34492"/>
    <w:rsid w:val="00B34BE0"/>
    <w:rsid w:val="00B365B5"/>
    <w:rsid w:val="00B3687B"/>
    <w:rsid w:val="00B436C8"/>
    <w:rsid w:val="00B43817"/>
    <w:rsid w:val="00B43AB4"/>
    <w:rsid w:val="00B4406D"/>
    <w:rsid w:val="00B45EC6"/>
    <w:rsid w:val="00B46CF7"/>
    <w:rsid w:val="00B476AB"/>
    <w:rsid w:val="00B4775F"/>
    <w:rsid w:val="00B50935"/>
    <w:rsid w:val="00B5099E"/>
    <w:rsid w:val="00B50A55"/>
    <w:rsid w:val="00B51BF3"/>
    <w:rsid w:val="00B533EA"/>
    <w:rsid w:val="00B541F2"/>
    <w:rsid w:val="00B54D22"/>
    <w:rsid w:val="00B561DA"/>
    <w:rsid w:val="00B5740E"/>
    <w:rsid w:val="00B60EA5"/>
    <w:rsid w:val="00B6177D"/>
    <w:rsid w:val="00B63B37"/>
    <w:rsid w:val="00B67B63"/>
    <w:rsid w:val="00B7183E"/>
    <w:rsid w:val="00B7295F"/>
    <w:rsid w:val="00B731AA"/>
    <w:rsid w:val="00B73722"/>
    <w:rsid w:val="00B74232"/>
    <w:rsid w:val="00B74C96"/>
    <w:rsid w:val="00B800D4"/>
    <w:rsid w:val="00B8052D"/>
    <w:rsid w:val="00B82064"/>
    <w:rsid w:val="00B8211D"/>
    <w:rsid w:val="00B8325B"/>
    <w:rsid w:val="00B83A77"/>
    <w:rsid w:val="00B84A73"/>
    <w:rsid w:val="00B85216"/>
    <w:rsid w:val="00B861B4"/>
    <w:rsid w:val="00B9155E"/>
    <w:rsid w:val="00B92A66"/>
    <w:rsid w:val="00B952B5"/>
    <w:rsid w:val="00B963DD"/>
    <w:rsid w:val="00B97B93"/>
    <w:rsid w:val="00B97E61"/>
    <w:rsid w:val="00BA0C2F"/>
    <w:rsid w:val="00BA0EC4"/>
    <w:rsid w:val="00BA1184"/>
    <w:rsid w:val="00BA1570"/>
    <w:rsid w:val="00BA2452"/>
    <w:rsid w:val="00BA36D1"/>
    <w:rsid w:val="00BA3B08"/>
    <w:rsid w:val="00BA3E53"/>
    <w:rsid w:val="00BA44EF"/>
    <w:rsid w:val="00BA4D51"/>
    <w:rsid w:val="00BA7059"/>
    <w:rsid w:val="00BB0920"/>
    <w:rsid w:val="00BB11BB"/>
    <w:rsid w:val="00BB29C6"/>
    <w:rsid w:val="00BB4FCF"/>
    <w:rsid w:val="00BB7EE8"/>
    <w:rsid w:val="00BC012B"/>
    <w:rsid w:val="00BC1616"/>
    <w:rsid w:val="00BC2201"/>
    <w:rsid w:val="00BC2261"/>
    <w:rsid w:val="00BC2274"/>
    <w:rsid w:val="00BC31D5"/>
    <w:rsid w:val="00BC36E2"/>
    <w:rsid w:val="00BC5545"/>
    <w:rsid w:val="00BC5701"/>
    <w:rsid w:val="00BC611E"/>
    <w:rsid w:val="00BC61B1"/>
    <w:rsid w:val="00BC6DAE"/>
    <w:rsid w:val="00BC6FC0"/>
    <w:rsid w:val="00BD0A91"/>
    <w:rsid w:val="00BD0BE1"/>
    <w:rsid w:val="00BD19C3"/>
    <w:rsid w:val="00BD3BD6"/>
    <w:rsid w:val="00BD6580"/>
    <w:rsid w:val="00BD6820"/>
    <w:rsid w:val="00BD721E"/>
    <w:rsid w:val="00BE05B5"/>
    <w:rsid w:val="00BE1696"/>
    <w:rsid w:val="00BE225B"/>
    <w:rsid w:val="00BE30DE"/>
    <w:rsid w:val="00BE3790"/>
    <w:rsid w:val="00BE53D6"/>
    <w:rsid w:val="00BE561A"/>
    <w:rsid w:val="00BE6864"/>
    <w:rsid w:val="00BE69B4"/>
    <w:rsid w:val="00BE7A3F"/>
    <w:rsid w:val="00BF11DA"/>
    <w:rsid w:val="00BF1CF4"/>
    <w:rsid w:val="00BF2A0B"/>
    <w:rsid w:val="00BF31E1"/>
    <w:rsid w:val="00BF34A1"/>
    <w:rsid w:val="00BF7337"/>
    <w:rsid w:val="00C003C5"/>
    <w:rsid w:val="00C0133D"/>
    <w:rsid w:val="00C015D6"/>
    <w:rsid w:val="00C02519"/>
    <w:rsid w:val="00C02C1F"/>
    <w:rsid w:val="00C03239"/>
    <w:rsid w:val="00C03333"/>
    <w:rsid w:val="00C07C8E"/>
    <w:rsid w:val="00C07DDE"/>
    <w:rsid w:val="00C10E28"/>
    <w:rsid w:val="00C12ACE"/>
    <w:rsid w:val="00C13123"/>
    <w:rsid w:val="00C13EAB"/>
    <w:rsid w:val="00C14A17"/>
    <w:rsid w:val="00C163FE"/>
    <w:rsid w:val="00C17193"/>
    <w:rsid w:val="00C17F75"/>
    <w:rsid w:val="00C2013D"/>
    <w:rsid w:val="00C20169"/>
    <w:rsid w:val="00C2077E"/>
    <w:rsid w:val="00C22D36"/>
    <w:rsid w:val="00C250C6"/>
    <w:rsid w:val="00C3127E"/>
    <w:rsid w:val="00C32003"/>
    <w:rsid w:val="00C3236A"/>
    <w:rsid w:val="00C32CCF"/>
    <w:rsid w:val="00C33358"/>
    <w:rsid w:val="00C33BDF"/>
    <w:rsid w:val="00C33E13"/>
    <w:rsid w:val="00C34C12"/>
    <w:rsid w:val="00C35AE4"/>
    <w:rsid w:val="00C37255"/>
    <w:rsid w:val="00C374E6"/>
    <w:rsid w:val="00C404F4"/>
    <w:rsid w:val="00C416EC"/>
    <w:rsid w:val="00C443B6"/>
    <w:rsid w:val="00C45964"/>
    <w:rsid w:val="00C46527"/>
    <w:rsid w:val="00C46D89"/>
    <w:rsid w:val="00C47CB9"/>
    <w:rsid w:val="00C47D0E"/>
    <w:rsid w:val="00C500CC"/>
    <w:rsid w:val="00C50368"/>
    <w:rsid w:val="00C5048B"/>
    <w:rsid w:val="00C50BC1"/>
    <w:rsid w:val="00C5328C"/>
    <w:rsid w:val="00C53979"/>
    <w:rsid w:val="00C54AEF"/>
    <w:rsid w:val="00C54F4E"/>
    <w:rsid w:val="00C55B22"/>
    <w:rsid w:val="00C56B5B"/>
    <w:rsid w:val="00C57085"/>
    <w:rsid w:val="00C57B19"/>
    <w:rsid w:val="00C602A2"/>
    <w:rsid w:val="00C60747"/>
    <w:rsid w:val="00C61FB5"/>
    <w:rsid w:val="00C63A32"/>
    <w:rsid w:val="00C64F7B"/>
    <w:rsid w:val="00C652AA"/>
    <w:rsid w:val="00C659A1"/>
    <w:rsid w:val="00C6664A"/>
    <w:rsid w:val="00C67328"/>
    <w:rsid w:val="00C67E47"/>
    <w:rsid w:val="00C7188E"/>
    <w:rsid w:val="00C73007"/>
    <w:rsid w:val="00C744DF"/>
    <w:rsid w:val="00C74592"/>
    <w:rsid w:val="00C76579"/>
    <w:rsid w:val="00C76749"/>
    <w:rsid w:val="00C7776C"/>
    <w:rsid w:val="00C77CEA"/>
    <w:rsid w:val="00C81D9C"/>
    <w:rsid w:val="00C82B40"/>
    <w:rsid w:val="00C8329C"/>
    <w:rsid w:val="00C84D14"/>
    <w:rsid w:val="00C85326"/>
    <w:rsid w:val="00C8568E"/>
    <w:rsid w:val="00C85C62"/>
    <w:rsid w:val="00C86197"/>
    <w:rsid w:val="00C877E3"/>
    <w:rsid w:val="00C87EE7"/>
    <w:rsid w:val="00C91AF0"/>
    <w:rsid w:val="00C91DAE"/>
    <w:rsid w:val="00C922EA"/>
    <w:rsid w:val="00C922F1"/>
    <w:rsid w:val="00C9304F"/>
    <w:rsid w:val="00C95B4C"/>
    <w:rsid w:val="00C97B05"/>
    <w:rsid w:val="00CA3979"/>
    <w:rsid w:val="00CA458B"/>
    <w:rsid w:val="00CA7B10"/>
    <w:rsid w:val="00CB0367"/>
    <w:rsid w:val="00CB1CF9"/>
    <w:rsid w:val="00CB241E"/>
    <w:rsid w:val="00CB26CC"/>
    <w:rsid w:val="00CB4F6E"/>
    <w:rsid w:val="00CB54F4"/>
    <w:rsid w:val="00CB57C1"/>
    <w:rsid w:val="00CB6EF3"/>
    <w:rsid w:val="00CB707F"/>
    <w:rsid w:val="00CB7DF4"/>
    <w:rsid w:val="00CC0C12"/>
    <w:rsid w:val="00CC25AC"/>
    <w:rsid w:val="00CC285F"/>
    <w:rsid w:val="00CC31A5"/>
    <w:rsid w:val="00CC45D2"/>
    <w:rsid w:val="00CC5E37"/>
    <w:rsid w:val="00CC7073"/>
    <w:rsid w:val="00CC7589"/>
    <w:rsid w:val="00CD005B"/>
    <w:rsid w:val="00CD0818"/>
    <w:rsid w:val="00CD19A7"/>
    <w:rsid w:val="00CD1B8A"/>
    <w:rsid w:val="00CD4432"/>
    <w:rsid w:val="00CD4F33"/>
    <w:rsid w:val="00CD52E7"/>
    <w:rsid w:val="00CD5969"/>
    <w:rsid w:val="00CD610A"/>
    <w:rsid w:val="00CD6886"/>
    <w:rsid w:val="00CD6C8B"/>
    <w:rsid w:val="00CE0C51"/>
    <w:rsid w:val="00CE0D6F"/>
    <w:rsid w:val="00CE1E77"/>
    <w:rsid w:val="00CE295C"/>
    <w:rsid w:val="00CE2C0E"/>
    <w:rsid w:val="00CE3C85"/>
    <w:rsid w:val="00CE48EC"/>
    <w:rsid w:val="00CE6732"/>
    <w:rsid w:val="00CE6E03"/>
    <w:rsid w:val="00CE797C"/>
    <w:rsid w:val="00CF432E"/>
    <w:rsid w:val="00CF46CF"/>
    <w:rsid w:val="00CF5D6F"/>
    <w:rsid w:val="00CF6D91"/>
    <w:rsid w:val="00CF7163"/>
    <w:rsid w:val="00D0020E"/>
    <w:rsid w:val="00D00773"/>
    <w:rsid w:val="00D00C4F"/>
    <w:rsid w:val="00D0129F"/>
    <w:rsid w:val="00D0159B"/>
    <w:rsid w:val="00D042F4"/>
    <w:rsid w:val="00D04469"/>
    <w:rsid w:val="00D04554"/>
    <w:rsid w:val="00D04AB3"/>
    <w:rsid w:val="00D052B1"/>
    <w:rsid w:val="00D063B3"/>
    <w:rsid w:val="00D06CF7"/>
    <w:rsid w:val="00D075A2"/>
    <w:rsid w:val="00D07874"/>
    <w:rsid w:val="00D07E1C"/>
    <w:rsid w:val="00D12164"/>
    <w:rsid w:val="00D121CE"/>
    <w:rsid w:val="00D12DFF"/>
    <w:rsid w:val="00D13216"/>
    <w:rsid w:val="00D13B14"/>
    <w:rsid w:val="00D14432"/>
    <w:rsid w:val="00D14642"/>
    <w:rsid w:val="00D152BF"/>
    <w:rsid w:val="00D161CA"/>
    <w:rsid w:val="00D16B00"/>
    <w:rsid w:val="00D173B9"/>
    <w:rsid w:val="00D24697"/>
    <w:rsid w:val="00D24A63"/>
    <w:rsid w:val="00D2565A"/>
    <w:rsid w:val="00D25B54"/>
    <w:rsid w:val="00D2660A"/>
    <w:rsid w:val="00D26CEE"/>
    <w:rsid w:val="00D30F14"/>
    <w:rsid w:val="00D32A73"/>
    <w:rsid w:val="00D34343"/>
    <w:rsid w:val="00D34BF8"/>
    <w:rsid w:val="00D371DF"/>
    <w:rsid w:val="00D4016C"/>
    <w:rsid w:val="00D40C14"/>
    <w:rsid w:val="00D41603"/>
    <w:rsid w:val="00D432FB"/>
    <w:rsid w:val="00D43FF8"/>
    <w:rsid w:val="00D44029"/>
    <w:rsid w:val="00D46711"/>
    <w:rsid w:val="00D46D7F"/>
    <w:rsid w:val="00D47121"/>
    <w:rsid w:val="00D4724F"/>
    <w:rsid w:val="00D5122E"/>
    <w:rsid w:val="00D513A0"/>
    <w:rsid w:val="00D5244B"/>
    <w:rsid w:val="00D53425"/>
    <w:rsid w:val="00D538AF"/>
    <w:rsid w:val="00D54236"/>
    <w:rsid w:val="00D55F4F"/>
    <w:rsid w:val="00D56B70"/>
    <w:rsid w:val="00D606E1"/>
    <w:rsid w:val="00D60848"/>
    <w:rsid w:val="00D61914"/>
    <w:rsid w:val="00D63264"/>
    <w:rsid w:val="00D638B1"/>
    <w:rsid w:val="00D63D17"/>
    <w:rsid w:val="00D644AC"/>
    <w:rsid w:val="00D6626A"/>
    <w:rsid w:val="00D66A7F"/>
    <w:rsid w:val="00D67A9E"/>
    <w:rsid w:val="00D67F19"/>
    <w:rsid w:val="00D74FA6"/>
    <w:rsid w:val="00D7652D"/>
    <w:rsid w:val="00D77D0E"/>
    <w:rsid w:val="00D800A2"/>
    <w:rsid w:val="00D80BD6"/>
    <w:rsid w:val="00D81ED3"/>
    <w:rsid w:val="00D81EF4"/>
    <w:rsid w:val="00D82F3D"/>
    <w:rsid w:val="00D832EB"/>
    <w:rsid w:val="00D83313"/>
    <w:rsid w:val="00D83F2F"/>
    <w:rsid w:val="00D84B48"/>
    <w:rsid w:val="00D85530"/>
    <w:rsid w:val="00D865F3"/>
    <w:rsid w:val="00D86A63"/>
    <w:rsid w:val="00D900EC"/>
    <w:rsid w:val="00D9070E"/>
    <w:rsid w:val="00D91276"/>
    <w:rsid w:val="00D95834"/>
    <w:rsid w:val="00D97D81"/>
    <w:rsid w:val="00D97FC3"/>
    <w:rsid w:val="00DA0572"/>
    <w:rsid w:val="00DA15E3"/>
    <w:rsid w:val="00DA49B0"/>
    <w:rsid w:val="00DA49F3"/>
    <w:rsid w:val="00DA5D17"/>
    <w:rsid w:val="00DA5DB5"/>
    <w:rsid w:val="00DA5F1A"/>
    <w:rsid w:val="00DA6952"/>
    <w:rsid w:val="00DA6A48"/>
    <w:rsid w:val="00DB032B"/>
    <w:rsid w:val="00DB1AE4"/>
    <w:rsid w:val="00DB2A97"/>
    <w:rsid w:val="00DB2C72"/>
    <w:rsid w:val="00DB5007"/>
    <w:rsid w:val="00DB5DF4"/>
    <w:rsid w:val="00DB6E04"/>
    <w:rsid w:val="00DB78DE"/>
    <w:rsid w:val="00DC2260"/>
    <w:rsid w:val="00DC397A"/>
    <w:rsid w:val="00DC4791"/>
    <w:rsid w:val="00DC5734"/>
    <w:rsid w:val="00DC5FF2"/>
    <w:rsid w:val="00DC627A"/>
    <w:rsid w:val="00DC7BB6"/>
    <w:rsid w:val="00DD02E2"/>
    <w:rsid w:val="00DD0541"/>
    <w:rsid w:val="00DD1AF9"/>
    <w:rsid w:val="00DD4C01"/>
    <w:rsid w:val="00DD7712"/>
    <w:rsid w:val="00DD7BE4"/>
    <w:rsid w:val="00DD7EF0"/>
    <w:rsid w:val="00DE0121"/>
    <w:rsid w:val="00DE0340"/>
    <w:rsid w:val="00DE227B"/>
    <w:rsid w:val="00DE3B39"/>
    <w:rsid w:val="00DE3BAA"/>
    <w:rsid w:val="00DE3D66"/>
    <w:rsid w:val="00DE3F33"/>
    <w:rsid w:val="00DE3FAF"/>
    <w:rsid w:val="00DE431E"/>
    <w:rsid w:val="00DE629F"/>
    <w:rsid w:val="00DE6601"/>
    <w:rsid w:val="00DE7491"/>
    <w:rsid w:val="00DE749F"/>
    <w:rsid w:val="00DF1255"/>
    <w:rsid w:val="00DF29D3"/>
    <w:rsid w:val="00DF386F"/>
    <w:rsid w:val="00DF4F56"/>
    <w:rsid w:val="00E0084C"/>
    <w:rsid w:val="00E00AA1"/>
    <w:rsid w:val="00E00B7E"/>
    <w:rsid w:val="00E03B0C"/>
    <w:rsid w:val="00E065F1"/>
    <w:rsid w:val="00E0708C"/>
    <w:rsid w:val="00E103E3"/>
    <w:rsid w:val="00E105A3"/>
    <w:rsid w:val="00E10896"/>
    <w:rsid w:val="00E1186E"/>
    <w:rsid w:val="00E11FDB"/>
    <w:rsid w:val="00E1339E"/>
    <w:rsid w:val="00E1395E"/>
    <w:rsid w:val="00E1408F"/>
    <w:rsid w:val="00E14F99"/>
    <w:rsid w:val="00E20810"/>
    <w:rsid w:val="00E20A29"/>
    <w:rsid w:val="00E21EFB"/>
    <w:rsid w:val="00E22AE1"/>
    <w:rsid w:val="00E25190"/>
    <w:rsid w:val="00E2602A"/>
    <w:rsid w:val="00E26EEF"/>
    <w:rsid w:val="00E26F65"/>
    <w:rsid w:val="00E26F70"/>
    <w:rsid w:val="00E2715E"/>
    <w:rsid w:val="00E3084A"/>
    <w:rsid w:val="00E30B33"/>
    <w:rsid w:val="00E320B8"/>
    <w:rsid w:val="00E332E3"/>
    <w:rsid w:val="00E3362E"/>
    <w:rsid w:val="00E337E9"/>
    <w:rsid w:val="00E33F5D"/>
    <w:rsid w:val="00E37354"/>
    <w:rsid w:val="00E40B06"/>
    <w:rsid w:val="00E40D25"/>
    <w:rsid w:val="00E415FF"/>
    <w:rsid w:val="00E41C10"/>
    <w:rsid w:val="00E41F3B"/>
    <w:rsid w:val="00E4295D"/>
    <w:rsid w:val="00E4462A"/>
    <w:rsid w:val="00E45935"/>
    <w:rsid w:val="00E460A4"/>
    <w:rsid w:val="00E46832"/>
    <w:rsid w:val="00E471EA"/>
    <w:rsid w:val="00E51A72"/>
    <w:rsid w:val="00E52BC3"/>
    <w:rsid w:val="00E538E9"/>
    <w:rsid w:val="00E54871"/>
    <w:rsid w:val="00E54A6A"/>
    <w:rsid w:val="00E54E64"/>
    <w:rsid w:val="00E55597"/>
    <w:rsid w:val="00E57598"/>
    <w:rsid w:val="00E57619"/>
    <w:rsid w:val="00E57D3B"/>
    <w:rsid w:val="00E6030D"/>
    <w:rsid w:val="00E62794"/>
    <w:rsid w:val="00E62A4D"/>
    <w:rsid w:val="00E62D9B"/>
    <w:rsid w:val="00E64549"/>
    <w:rsid w:val="00E66900"/>
    <w:rsid w:val="00E70A2F"/>
    <w:rsid w:val="00E70CDC"/>
    <w:rsid w:val="00E71E2A"/>
    <w:rsid w:val="00E71EF3"/>
    <w:rsid w:val="00E733C1"/>
    <w:rsid w:val="00E74868"/>
    <w:rsid w:val="00E750E0"/>
    <w:rsid w:val="00E7560A"/>
    <w:rsid w:val="00E76D7E"/>
    <w:rsid w:val="00E80A51"/>
    <w:rsid w:val="00E81052"/>
    <w:rsid w:val="00E8222A"/>
    <w:rsid w:val="00E82D10"/>
    <w:rsid w:val="00E8443C"/>
    <w:rsid w:val="00E8492F"/>
    <w:rsid w:val="00E87598"/>
    <w:rsid w:val="00E91094"/>
    <w:rsid w:val="00E913D4"/>
    <w:rsid w:val="00E91D72"/>
    <w:rsid w:val="00E92CD6"/>
    <w:rsid w:val="00E93704"/>
    <w:rsid w:val="00E945AD"/>
    <w:rsid w:val="00E94C3B"/>
    <w:rsid w:val="00E95360"/>
    <w:rsid w:val="00E95A96"/>
    <w:rsid w:val="00E966E3"/>
    <w:rsid w:val="00E96A2C"/>
    <w:rsid w:val="00EA0123"/>
    <w:rsid w:val="00EA0651"/>
    <w:rsid w:val="00EA0B5A"/>
    <w:rsid w:val="00EA25F9"/>
    <w:rsid w:val="00EA3171"/>
    <w:rsid w:val="00EA3FAB"/>
    <w:rsid w:val="00EA4037"/>
    <w:rsid w:val="00EA4076"/>
    <w:rsid w:val="00EA4C4B"/>
    <w:rsid w:val="00EA5492"/>
    <w:rsid w:val="00EA71ED"/>
    <w:rsid w:val="00EB15D3"/>
    <w:rsid w:val="00EB2ADB"/>
    <w:rsid w:val="00EB46BF"/>
    <w:rsid w:val="00EB5E2C"/>
    <w:rsid w:val="00EB5E52"/>
    <w:rsid w:val="00EB6EC7"/>
    <w:rsid w:val="00EB7F14"/>
    <w:rsid w:val="00EC0742"/>
    <w:rsid w:val="00EC0BAD"/>
    <w:rsid w:val="00EC2FE2"/>
    <w:rsid w:val="00EC3100"/>
    <w:rsid w:val="00EC368A"/>
    <w:rsid w:val="00EC3CDE"/>
    <w:rsid w:val="00EC5A29"/>
    <w:rsid w:val="00EC6106"/>
    <w:rsid w:val="00ED29D9"/>
    <w:rsid w:val="00ED43F1"/>
    <w:rsid w:val="00ED4DDE"/>
    <w:rsid w:val="00ED4E5B"/>
    <w:rsid w:val="00ED543A"/>
    <w:rsid w:val="00ED76DB"/>
    <w:rsid w:val="00EE049C"/>
    <w:rsid w:val="00EE2A5C"/>
    <w:rsid w:val="00EE3B48"/>
    <w:rsid w:val="00EE401B"/>
    <w:rsid w:val="00EE56C7"/>
    <w:rsid w:val="00EE5B74"/>
    <w:rsid w:val="00EE610A"/>
    <w:rsid w:val="00EF1548"/>
    <w:rsid w:val="00EF255B"/>
    <w:rsid w:val="00EF3334"/>
    <w:rsid w:val="00EF33DF"/>
    <w:rsid w:val="00EF416A"/>
    <w:rsid w:val="00EF55CC"/>
    <w:rsid w:val="00EF64D2"/>
    <w:rsid w:val="00F003CF"/>
    <w:rsid w:val="00F00A34"/>
    <w:rsid w:val="00F01DDB"/>
    <w:rsid w:val="00F01EE7"/>
    <w:rsid w:val="00F0342D"/>
    <w:rsid w:val="00F03B98"/>
    <w:rsid w:val="00F03BA4"/>
    <w:rsid w:val="00F04729"/>
    <w:rsid w:val="00F0519D"/>
    <w:rsid w:val="00F05AE8"/>
    <w:rsid w:val="00F0659F"/>
    <w:rsid w:val="00F06B4C"/>
    <w:rsid w:val="00F075D0"/>
    <w:rsid w:val="00F07CDB"/>
    <w:rsid w:val="00F102FA"/>
    <w:rsid w:val="00F13153"/>
    <w:rsid w:val="00F131BF"/>
    <w:rsid w:val="00F13784"/>
    <w:rsid w:val="00F142D9"/>
    <w:rsid w:val="00F15765"/>
    <w:rsid w:val="00F15B9D"/>
    <w:rsid w:val="00F1799B"/>
    <w:rsid w:val="00F207E4"/>
    <w:rsid w:val="00F2091A"/>
    <w:rsid w:val="00F2250F"/>
    <w:rsid w:val="00F225AF"/>
    <w:rsid w:val="00F22A8D"/>
    <w:rsid w:val="00F23486"/>
    <w:rsid w:val="00F23961"/>
    <w:rsid w:val="00F261F9"/>
    <w:rsid w:val="00F26A59"/>
    <w:rsid w:val="00F2791D"/>
    <w:rsid w:val="00F3012D"/>
    <w:rsid w:val="00F3091B"/>
    <w:rsid w:val="00F30BB9"/>
    <w:rsid w:val="00F328FB"/>
    <w:rsid w:val="00F32ED1"/>
    <w:rsid w:val="00F40EAF"/>
    <w:rsid w:val="00F40F89"/>
    <w:rsid w:val="00F41A73"/>
    <w:rsid w:val="00F4418C"/>
    <w:rsid w:val="00F44465"/>
    <w:rsid w:val="00F46DDC"/>
    <w:rsid w:val="00F47365"/>
    <w:rsid w:val="00F51215"/>
    <w:rsid w:val="00F52FA9"/>
    <w:rsid w:val="00F54503"/>
    <w:rsid w:val="00F55C50"/>
    <w:rsid w:val="00F5611D"/>
    <w:rsid w:val="00F56410"/>
    <w:rsid w:val="00F56C0E"/>
    <w:rsid w:val="00F56DC0"/>
    <w:rsid w:val="00F56E15"/>
    <w:rsid w:val="00F56F2A"/>
    <w:rsid w:val="00F609D7"/>
    <w:rsid w:val="00F6163E"/>
    <w:rsid w:val="00F63D96"/>
    <w:rsid w:val="00F63FB3"/>
    <w:rsid w:val="00F63FE8"/>
    <w:rsid w:val="00F660D4"/>
    <w:rsid w:val="00F66A8C"/>
    <w:rsid w:val="00F66B0D"/>
    <w:rsid w:val="00F700D1"/>
    <w:rsid w:val="00F7569E"/>
    <w:rsid w:val="00F75BD4"/>
    <w:rsid w:val="00F7604F"/>
    <w:rsid w:val="00F76764"/>
    <w:rsid w:val="00F76F40"/>
    <w:rsid w:val="00F773BB"/>
    <w:rsid w:val="00F82833"/>
    <w:rsid w:val="00F838F9"/>
    <w:rsid w:val="00F84056"/>
    <w:rsid w:val="00F844F3"/>
    <w:rsid w:val="00F846EF"/>
    <w:rsid w:val="00F848FC"/>
    <w:rsid w:val="00F8564D"/>
    <w:rsid w:val="00F85CA9"/>
    <w:rsid w:val="00F87E0C"/>
    <w:rsid w:val="00F90908"/>
    <w:rsid w:val="00F91028"/>
    <w:rsid w:val="00F916D3"/>
    <w:rsid w:val="00F91C19"/>
    <w:rsid w:val="00F91C6C"/>
    <w:rsid w:val="00F91F92"/>
    <w:rsid w:val="00F928FA"/>
    <w:rsid w:val="00F92EA9"/>
    <w:rsid w:val="00F93361"/>
    <w:rsid w:val="00F93856"/>
    <w:rsid w:val="00F93FD8"/>
    <w:rsid w:val="00F94D8E"/>
    <w:rsid w:val="00F94DB4"/>
    <w:rsid w:val="00F95B6D"/>
    <w:rsid w:val="00F96892"/>
    <w:rsid w:val="00F971DE"/>
    <w:rsid w:val="00F97F8E"/>
    <w:rsid w:val="00FA00CC"/>
    <w:rsid w:val="00FA1E67"/>
    <w:rsid w:val="00FA2743"/>
    <w:rsid w:val="00FA4D49"/>
    <w:rsid w:val="00FA628D"/>
    <w:rsid w:val="00FA6D2A"/>
    <w:rsid w:val="00FA6FD7"/>
    <w:rsid w:val="00FA7B51"/>
    <w:rsid w:val="00FB18EF"/>
    <w:rsid w:val="00FB3465"/>
    <w:rsid w:val="00FB6AE9"/>
    <w:rsid w:val="00FC019C"/>
    <w:rsid w:val="00FC1759"/>
    <w:rsid w:val="00FC2FED"/>
    <w:rsid w:val="00FC30DF"/>
    <w:rsid w:val="00FC3928"/>
    <w:rsid w:val="00FC4352"/>
    <w:rsid w:val="00FC59C1"/>
    <w:rsid w:val="00FC5A78"/>
    <w:rsid w:val="00FC632E"/>
    <w:rsid w:val="00FD1242"/>
    <w:rsid w:val="00FD26DB"/>
    <w:rsid w:val="00FD4105"/>
    <w:rsid w:val="00FD4278"/>
    <w:rsid w:val="00FD4424"/>
    <w:rsid w:val="00FD7D6A"/>
    <w:rsid w:val="00FE274C"/>
    <w:rsid w:val="00FE281E"/>
    <w:rsid w:val="00FE3785"/>
    <w:rsid w:val="00FE4C94"/>
    <w:rsid w:val="00FE5AFC"/>
    <w:rsid w:val="00FE5EDE"/>
    <w:rsid w:val="00FF0415"/>
    <w:rsid w:val="00FF145D"/>
    <w:rsid w:val="00FF24C2"/>
    <w:rsid w:val="00FF2615"/>
    <w:rsid w:val="00FF36C8"/>
    <w:rsid w:val="00FF396F"/>
    <w:rsid w:val="00FF3D0A"/>
    <w:rsid w:val="00FF4F5C"/>
    <w:rsid w:val="00FF4FC8"/>
    <w:rsid w:val="00FF5045"/>
    <w:rsid w:val="00FF7863"/>
    <w:rsid w:val="20954A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EE1EF"/>
  <w15:docId w15:val="{79B71E5A-B940-4700-A57A-8836DB9B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9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rsid w:val="00183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9108B9"/>
    <w:pPr>
      <w:keepNext/>
      <w:spacing w:after="120"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D644AC"/>
    <w:pPr>
      <w:tabs>
        <w:tab w:val="left" w:pos="426"/>
        <w:tab w:val="right" w:leader="dot" w:pos="9072"/>
      </w:tabs>
      <w:spacing w:before="120" w:after="120" w:line="240" w:lineRule="auto"/>
    </w:pPr>
    <w:rPr>
      <w:rFonts w:ascii="Calibri" w:hAnsi="Calibri"/>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26"/>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26"/>
      </w:numPr>
      <w:spacing w:before="120" w:after="120"/>
      <w:contextualSpacing/>
    </w:pPr>
  </w:style>
  <w:style w:type="paragraph" w:styleId="ListNumber">
    <w:name w:val="List Number"/>
    <w:basedOn w:val="Normal"/>
    <w:uiPriority w:val="9"/>
    <w:qFormat/>
    <w:rsid w:val="00CE295C"/>
    <w:pPr>
      <w:numPr>
        <w:numId w:val="22"/>
      </w:numPr>
      <w:tabs>
        <w:tab w:val="left" w:pos="142"/>
      </w:tabs>
      <w:spacing w:before="120" w:after="120"/>
    </w:pPr>
  </w:style>
  <w:style w:type="paragraph" w:styleId="ListNumber2">
    <w:name w:val="List Number 2"/>
    <w:uiPriority w:val="10"/>
    <w:qFormat/>
    <w:rsid w:val="00450991"/>
    <w:pPr>
      <w:numPr>
        <w:ilvl w:val="1"/>
        <w:numId w:val="22"/>
      </w:numPr>
      <w:tabs>
        <w:tab w:val="num" w:pos="360"/>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50991"/>
    <w:pPr>
      <w:numPr>
        <w:ilvl w:val="2"/>
        <w:numId w:val="22"/>
      </w:numPr>
      <w:tabs>
        <w:tab w:val="num" w:pos="360"/>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1837AB"/>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rsid w:val="00450991"/>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26"/>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450991"/>
    <w:pPr>
      <w:numPr>
        <w:numId w:val="16"/>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customStyle="1" w:styleId="UnresolvedMention1">
    <w:name w:val="Unresolved Mention1"/>
    <w:basedOn w:val="DefaultParagraphFont"/>
    <w:uiPriority w:val="99"/>
    <w:semiHidden/>
    <w:unhideWhenUsed/>
    <w:rsid w:val="000B128E"/>
    <w:rPr>
      <w:color w:val="605E5C"/>
      <w:shd w:val="clear" w:color="auto" w:fill="E1DFDD"/>
    </w:rPr>
  </w:style>
  <w:style w:type="paragraph" w:styleId="Revision">
    <w:name w:val="Revision"/>
    <w:hidden/>
    <w:uiPriority w:val="99"/>
    <w:semiHidden/>
    <w:rsid w:val="00A01FEB"/>
    <w:rPr>
      <w:rFonts w:eastAsiaTheme="minorHAnsi" w:cstheme="minorBidi"/>
      <w:sz w:val="22"/>
      <w:szCs w:val="22"/>
      <w:lang w:eastAsia="en-US"/>
    </w:rPr>
  </w:style>
  <w:style w:type="paragraph" w:styleId="ListParagraph">
    <w:name w:val="List Paragraph"/>
    <w:basedOn w:val="Normal"/>
    <w:uiPriority w:val="99"/>
    <w:qFormat/>
    <w:rsid w:val="00AF3EF1"/>
    <w:pPr>
      <w:ind w:left="720"/>
      <w:contextualSpacing/>
    </w:pPr>
  </w:style>
  <w:style w:type="character" w:styleId="UnresolvedMention">
    <w:name w:val="Unresolved Mention"/>
    <w:basedOn w:val="DefaultParagraphFont"/>
    <w:uiPriority w:val="99"/>
    <w:semiHidden/>
    <w:unhideWhenUsed/>
    <w:rsid w:val="00EC3100"/>
    <w:rPr>
      <w:color w:val="605E5C"/>
      <w:shd w:val="clear" w:color="auto" w:fill="E1DFDD"/>
    </w:rPr>
  </w:style>
  <w:style w:type="paragraph" w:styleId="TOC4">
    <w:name w:val="toc 4"/>
    <w:basedOn w:val="Normal"/>
    <w:next w:val="Normal"/>
    <w:autoRedefine/>
    <w:uiPriority w:val="39"/>
    <w:unhideWhenUsed/>
    <w:rsid w:val="00D644AC"/>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D644AC"/>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D644AC"/>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D644AC"/>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D644AC"/>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D644AC"/>
    <w:pPr>
      <w:spacing w:after="100" w:line="259" w:lineRule="auto"/>
      <w:ind w:left="1760"/>
    </w:pPr>
    <w:rPr>
      <w:rFonts w:eastAsiaTheme="minorEastAsia"/>
      <w:lang w:eastAsia="en-AU"/>
    </w:rPr>
  </w:style>
  <w:style w:type="numbering" w:customStyle="1" w:styleId="ListNumbers">
    <w:name w:val="ListNumbers"/>
    <w:uiPriority w:val="99"/>
    <w:rsid w:val="008F27B2"/>
    <w:pPr>
      <w:numPr>
        <w:numId w:val="73"/>
      </w:numPr>
    </w:pPr>
  </w:style>
  <w:style w:type="character" w:styleId="SubtleEmphasis">
    <w:name w:val="Subtle Emphasis"/>
    <w:basedOn w:val="DefaultParagraphFont"/>
    <w:uiPriority w:val="19"/>
    <w:qFormat/>
    <w:rsid w:val="00F328F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3895">
      <w:bodyDiv w:val="1"/>
      <w:marLeft w:val="0"/>
      <w:marRight w:val="0"/>
      <w:marTop w:val="0"/>
      <w:marBottom w:val="0"/>
      <w:divBdr>
        <w:top w:val="none" w:sz="0" w:space="0" w:color="auto"/>
        <w:left w:val="none" w:sz="0" w:space="0" w:color="auto"/>
        <w:bottom w:val="none" w:sz="0" w:space="0" w:color="auto"/>
        <w:right w:val="none" w:sz="0" w:space="0" w:color="auto"/>
      </w:divBdr>
    </w:div>
    <w:div w:id="26450792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22569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879029">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16997235">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3313318">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254481">
      <w:bodyDiv w:val="1"/>
      <w:marLeft w:val="0"/>
      <w:marRight w:val="0"/>
      <w:marTop w:val="0"/>
      <w:marBottom w:val="0"/>
      <w:divBdr>
        <w:top w:val="none" w:sz="0" w:space="0" w:color="auto"/>
        <w:left w:val="none" w:sz="0" w:space="0" w:color="auto"/>
        <w:bottom w:val="none" w:sz="0" w:space="0" w:color="auto"/>
        <w:right w:val="none" w:sz="0" w:space="0" w:color="auto"/>
      </w:divBdr>
    </w:div>
    <w:div w:id="1119640339">
      <w:bodyDiv w:val="1"/>
      <w:marLeft w:val="0"/>
      <w:marRight w:val="0"/>
      <w:marTop w:val="0"/>
      <w:marBottom w:val="0"/>
      <w:divBdr>
        <w:top w:val="none" w:sz="0" w:space="0" w:color="auto"/>
        <w:left w:val="none" w:sz="0" w:space="0" w:color="auto"/>
        <w:bottom w:val="none" w:sz="0" w:space="0" w:color="auto"/>
        <w:right w:val="none" w:sz="0" w:space="0" w:color="auto"/>
      </w:divBdr>
    </w:div>
    <w:div w:id="1175345742">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5649239">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747963">
      <w:bodyDiv w:val="1"/>
      <w:marLeft w:val="0"/>
      <w:marRight w:val="0"/>
      <w:marTop w:val="0"/>
      <w:marBottom w:val="0"/>
      <w:divBdr>
        <w:top w:val="none" w:sz="0" w:space="0" w:color="auto"/>
        <w:left w:val="none" w:sz="0" w:space="0" w:color="auto"/>
        <w:bottom w:val="none" w:sz="0" w:space="0" w:color="auto"/>
        <w:right w:val="none" w:sz="0" w:space="0" w:color="auto"/>
      </w:divBdr>
    </w:div>
    <w:div w:id="149718709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2105084">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95592">
      <w:bodyDiv w:val="1"/>
      <w:marLeft w:val="0"/>
      <w:marRight w:val="0"/>
      <w:marTop w:val="0"/>
      <w:marBottom w:val="0"/>
      <w:divBdr>
        <w:top w:val="none" w:sz="0" w:space="0" w:color="auto"/>
        <w:left w:val="none" w:sz="0" w:space="0" w:color="auto"/>
        <w:bottom w:val="none" w:sz="0" w:space="0" w:color="auto"/>
        <w:right w:val="none" w:sz="0" w:space="0" w:color="auto"/>
      </w:divBdr>
    </w:div>
    <w:div w:id="182242607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786447">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610239">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2711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s://www.biosecurity.gov.au/about/national-biosecurity-committee/nbs" TargetMode="External"/><Relationship Id="rId39" Type="http://schemas.openxmlformats.org/officeDocument/2006/relationships/hyperlink" Target="https://www.legislation.gov.au/F2016L00727/latest/text" TargetMode="External"/><Relationship Id="rId21" Type="http://schemas.openxmlformats.org/officeDocument/2006/relationships/hyperlink" Target="https://www.finance.gov.au/government/managing-commonwealth-resources/implementing-charging-framework-rmg-302/australian-government-charging-policy" TargetMode="External"/><Relationship Id="rId34" Type="http://schemas.openxmlformats.org/officeDocument/2006/relationships/hyperlink" Target="https://www.legislation.gov.au/Details/C2016C00819" TargetMode="External"/><Relationship Id="rId42" Type="http://schemas.openxmlformats.org/officeDocument/2006/relationships/hyperlink" Target="https://www.agriculture.gov.au/about/reporting/budget" TargetMode="External"/><Relationship Id="rId47" Type="http://schemas.openxmlformats.org/officeDocument/2006/relationships/hyperlink" Target="https://www.agriculture.gov.au/biosecurity/partnerships/consultative-committees" TargetMode="External"/><Relationship Id="rId50" Type="http://schemas.openxmlformats.org/officeDocument/2006/relationships/hyperlink" Target="https://www.agriculture.gov.au/about/reporting/corporate-plan"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legislation.gov.au/Series/C2004A04512" TargetMode="External"/><Relationship Id="rId11" Type="http://schemas.openxmlformats.org/officeDocument/2006/relationships/image" Target="media/image1.jpeg"/><Relationship Id="rId24" Type="http://schemas.openxmlformats.org/officeDocument/2006/relationships/hyperlink" Target="https://nimpis.marinepests.gov.au/species/species/35" TargetMode="External"/><Relationship Id="rId32" Type="http://schemas.openxmlformats.org/officeDocument/2006/relationships/hyperlink" Target="https://www.legislation.gov.au/Details/C2016C00674" TargetMode="External"/><Relationship Id="rId37" Type="http://schemas.openxmlformats.org/officeDocument/2006/relationships/hyperlink" Target="https://www.legislation.gov.au/Details/C2016C00817" TargetMode="External"/><Relationship Id="rId40" Type="http://schemas.openxmlformats.org/officeDocument/2006/relationships/hyperlink" Target="https://www.legislation.gov.au/F2015L01869/latest/text" TargetMode="External"/><Relationship Id="rId45" Type="http://schemas.openxmlformats.org/officeDocument/2006/relationships/hyperlink" Target="https://www.abs.gov.au/statistics/economy/price-indexes-and-inflation/consumer-price-index-australia/mar-quarter-2023" TargetMode="External"/><Relationship Id="rId53" Type="http://schemas.openxmlformats.org/officeDocument/2006/relationships/hyperlink" Target="https://www.agriculture.gov.au/biosecurity-trade/policy/commonwealth-biosecurity-2030"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legislation.gov.au/Details/C2016C00675" TargetMode="External"/><Relationship Id="rId44" Type="http://schemas.openxmlformats.org/officeDocument/2006/relationships/image" Target="media/image5.png"/><Relationship Id="rId52" Type="http://schemas.openxmlformats.org/officeDocument/2006/relationships/hyperlink" Target="https://www.agriculture.gov.au/about/reporting/corporate-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publications" TargetMode="External"/><Relationship Id="rId22" Type="http://schemas.openxmlformats.org/officeDocument/2006/relationships/hyperlink" Target="https://www.accc.gov.au/about-us/accc-role-and-structure/governance-and-accountability/regulator-performance-guide" TargetMode="External"/><Relationship Id="rId27" Type="http://schemas.openxmlformats.org/officeDocument/2006/relationships/hyperlink" Target="https://www.agriculture.gov.au/about/reporting/budget" TargetMode="External"/><Relationship Id="rId30" Type="http://schemas.openxmlformats.org/officeDocument/2006/relationships/hyperlink" Target="https://www.legislation.gov.au/F2016L00756/latest/text" TargetMode="External"/><Relationship Id="rId35" Type="http://schemas.openxmlformats.org/officeDocument/2006/relationships/hyperlink" Target="https://www.legislation.gov.au/Details/C2016C00821" TargetMode="External"/><Relationship Id="rId43" Type="http://schemas.openxmlformats.org/officeDocument/2006/relationships/image" Target="media/image4.png"/><Relationship Id="rId48" Type="http://schemas.openxmlformats.org/officeDocument/2006/relationships/hyperlink" Target="https://www.finance.gov.au/government/managing-commonwealth-resources/planning-and-reporting/commonwealth-performance-framework" TargetMode="External"/><Relationship Id="rId8" Type="http://schemas.openxmlformats.org/officeDocument/2006/relationships/webSettings" Target="webSettings.xml"/><Relationship Id="rId51" Type="http://schemas.openxmlformats.org/officeDocument/2006/relationships/hyperlink" Target="https://www.agriculture.gov.au/about/reporting/annual-report" TargetMode="External"/><Relationship Id="rId3" Type="http://schemas.openxmlformats.org/officeDocument/2006/relationships/customXml" Target="../customXml/item3.xml"/><Relationship Id="rId12" Type="http://schemas.openxmlformats.org/officeDocument/2006/relationships/hyperlink" Target="https://creativecommons.org/licenses/by/4.0/legalcode" TargetMode="External"/><Relationship Id="rId17" Type="http://schemas.openxmlformats.org/officeDocument/2006/relationships/header" Target="header2.xml"/><Relationship Id="rId25" Type="http://schemas.openxmlformats.org/officeDocument/2006/relationships/hyperlink" Target="https://www.agriculture.gov.au/biosecurity-trade/policy/commonwealth-biosecurity-2030" TargetMode="External"/><Relationship Id="rId33" Type="http://schemas.openxmlformats.org/officeDocument/2006/relationships/hyperlink" Target="https://www.legislation.gov.au/Details/C2016C00676" TargetMode="External"/><Relationship Id="rId38" Type="http://schemas.openxmlformats.org/officeDocument/2006/relationships/hyperlink" Target="https://www.legislation.gov.au/F2016L00723/latest/text" TargetMode="External"/><Relationship Id="rId46" Type="http://schemas.openxmlformats.org/officeDocument/2006/relationships/hyperlink" Target="https://www.abs.gov.au/" TargetMode="External"/><Relationship Id="rId20" Type="http://schemas.openxmlformats.org/officeDocument/2006/relationships/header" Target="header3.xml"/><Relationship Id="rId41" Type="http://schemas.openxmlformats.org/officeDocument/2006/relationships/hyperlink" Target="https://www.legislation.gov.au/F2015L01866/latest/tex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griculture.gov.au/" TargetMode="External"/><Relationship Id="rId23" Type="http://schemas.openxmlformats.org/officeDocument/2006/relationships/hyperlink" Target="https://www.agriculture.gov.au/biosecurity-trade/import/before/brown-marmorated-stink-bugs" TargetMode="External"/><Relationship Id="rId28" Type="http://schemas.openxmlformats.org/officeDocument/2006/relationships/hyperlink" Target="https://www.legislation.gov.au/C2015A00061/latest/text" TargetMode="External"/><Relationship Id="rId36" Type="http://schemas.openxmlformats.org/officeDocument/2006/relationships/hyperlink" Target="https://www.legislation.gov.au/Details/C2016C00823" TargetMode="External"/><Relationship Id="rId49" Type="http://schemas.openxmlformats.org/officeDocument/2006/relationships/hyperlink" Target="https://www.agriculture.gov.au/about/reporting/annual-repor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b98728ac-f998-415c-abee-6b046fb1441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07fca665be8ff60e18d31f7e25a4aebf">
  <xsd:schema xmlns:xsd="http://www.w3.org/2001/XMLSchema" xmlns:xs="http://www.w3.org/2001/XMLSchema" xmlns:p="http://schemas.microsoft.com/office/2006/metadata/properties" xmlns:ns2="d869c146-c82e-4435-92e4-da91542262fd" xmlns:ns3="b98728ac-f998-415c-abee-6b046fb1441e" xmlns:ns4="81c01dc6-2c49-4730-b140-874c95cac377" targetNamespace="http://schemas.microsoft.com/office/2006/metadata/properties" ma:root="true" ma:fieldsID="847dd019d00b23db7f80467335fac49a" ns2:_="" ns3:_="" ns4:_="">
    <xsd:import namespace="d869c146-c82e-4435-92e4-da91542262fd"/>
    <xsd:import namespace="b98728ac-f998-415c-abee-6b046fb1441e"/>
    <xsd:import namespace="81c01dc6-2c49-4730-b140-874c95cac3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7ce0e6b-76b3-4dc2-a057-db99686d46f4}"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purl.org/dc/elements/1.1/"/>
    <ds:schemaRef ds:uri="http://schemas.openxmlformats.org/package/2006/metadata/core-properties"/>
    <ds:schemaRef ds:uri="81c01dc6-2c49-4730-b140-874c95cac377"/>
    <ds:schemaRef ds:uri="http://schemas.microsoft.com/office/2006/metadata/properties"/>
    <ds:schemaRef ds:uri="http://purl.org/dc/terms/"/>
    <ds:schemaRef ds:uri="http://schemas.microsoft.com/office/2006/documentManagement/types"/>
    <ds:schemaRef ds:uri="http://schemas.microsoft.com/office/infopath/2007/PartnerControls"/>
    <ds:schemaRef ds:uri="b98728ac-f998-415c-abee-6b046fb1441e"/>
    <ds:schemaRef ds:uri="http://purl.org/dc/dcmitype/"/>
    <ds:schemaRef ds:uri="d869c146-c82e-4435-92e4-da91542262fd"/>
    <ds:schemaRef ds:uri="http://www.w3.org/XML/1998/namespace"/>
  </ds:schemaRefs>
</ds:datastoreItem>
</file>

<file path=customXml/itemProps2.xml><?xml version="1.0" encoding="utf-8"?>
<ds:datastoreItem xmlns:ds="http://schemas.openxmlformats.org/officeDocument/2006/customXml" ds:itemID="{2B30C847-81A6-4F3F-BB64-308D85E7DF83}">
  <ds:schemaRefs>
    <ds:schemaRef ds:uri="http://schemas.openxmlformats.org/officeDocument/2006/bibliography"/>
  </ds:schemaRefs>
</ds:datastoreItem>
</file>

<file path=customXml/itemProps3.xml><?xml version="1.0" encoding="utf-8"?>
<ds:datastoreItem xmlns:ds="http://schemas.openxmlformats.org/officeDocument/2006/customXml" ds:itemID="{A5BE945F-5310-4768-9370-54AFF49BF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9c146-c82e-4435-92e4-da91542262fd"/>
    <ds:schemaRef ds:uri="b98728ac-f998-415c-abee-6b046fb1441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Report_template_2</Template>
  <TotalTime>2</TotalTime>
  <Pages>37</Pages>
  <Words>11437</Words>
  <Characters>65195</Characters>
  <Application>Microsoft Office Word</Application>
  <DocSecurity>4</DocSecurity>
  <Lines>543</Lines>
  <Paragraphs>152</Paragraphs>
  <ScaleCrop>false</ScaleCrop>
  <HeadingPairs>
    <vt:vector size="2" baseType="variant">
      <vt:variant>
        <vt:lpstr>Title</vt:lpstr>
      </vt:variant>
      <vt:variant>
        <vt:i4>1</vt:i4>
      </vt:variant>
    </vt:vector>
  </HeadingPairs>
  <TitlesOfParts>
    <vt:vector size="1" baseType="lpstr">
      <vt:lpstr>Biosecurity cost recovery arrangement cost recovery implementation statement: 2024–25</vt:lpstr>
    </vt:vector>
  </TitlesOfParts>
  <Company/>
  <LinksUpToDate>false</LinksUpToDate>
  <CharactersWithSpaces>76480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cost recovery arrangement cost recovery implementation statement: 2024–25</dc:title>
  <dc:subject/>
  <dc:creator>Department of Agriculture, Fisheries and Forestry</dc:creator>
  <cp:keywords/>
  <dc:description/>
  <cp:lastModifiedBy>Payne, Leanne</cp:lastModifiedBy>
  <cp:revision>2</cp:revision>
  <cp:lastPrinted>2024-06-27T01:02:00Z</cp:lastPrinted>
  <dcterms:created xsi:type="dcterms:W3CDTF">2024-06-27T03:43:00Z</dcterms:created>
  <dcterms:modified xsi:type="dcterms:W3CDTF">2024-06-27T03:43:00Z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TaxKeyword">
    <vt:lpwstr/>
  </property>
  <property fmtid="{D5CDD505-2E9C-101B-9397-08002B2CF9AE}" pid="4" name="AbtEntity">
    <vt:lpwstr>1;#Department of Finance|fd660e8f-8f31-49bd-92a3-d31d4da31afe</vt:lpwstr>
  </property>
  <property fmtid="{D5CDD505-2E9C-101B-9397-08002B2CF9AE}" pid="5" name="OrgUnit">
    <vt:lpwstr>2;#Charging Policy|cbcf5b89-4aab-4c5d-ba02-041c19cdb5b1</vt:lpwstr>
  </property>
  <property fmtid="{D5CDD505-2E9C-101B-9397-08002B2CF9AE}" pid="6" name="InitiatingEntity">
    <vt:lpwstr>1;#Department of Finance|fd660e8f-8f31-49bd-92a3-d31d4da31afe</vt:lpwstr>
  </property>
  <property fmtid="{D5CDD505-2E9C-101B-9397-08002B2CF9AE}" pid="7" name="Function and Activity">
    <vt:lpwstr/>
  </property>
  <property fmtid="{D5CDD505-2E9C-101B-9397-08002B2CF9AE}" pid="8" name="_dlc_DocIdItemGuid">
    <vt:lpwstr>3c19051d-37c4-4544-82ed-6e1b03a95efb</vt:lpwstr>
  </property>
  <property fmtid="{D5CDD505-2E9C-101B-9397-08002B2CF9AE}" pid="9" name="MediaServiceImageTags">
    <vt:lpwstr/>
  </property>
  <property fmtid="{D5CDD505-2E9C-101B-9397-08002B2CF9AE}" pid="10" name="ClassificationContentMarkingHeaderShapeIds">
    <vt:lpwstr>1118f0ac,b884ab7,6475ed29</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ClassificationContentMarkingFooterShapeIds">
    <vt:lpwstr>43d11fd7,47978d71,53eefe9e</vt:lpwstr>
  </property>
  <property fmtid="{D5CDD505-2E9C-101B-9397-08002B2CF9AE}" pid="14" name="ClassificationContentMarkingFooterFontProps">
    <vt:lpwstr>#ff0000,12,Calibri</vt:lpwstr>
  </property>
  <property fmtid="{D5CDD505-2E9C-101B-9397-08002B2CF9AE}" pid="15" name="ClassificationContentMarkingFooterText">
    <vt:lpwstr>OFFICIAL</vt:lpwstr>
  </property>
  <property fmtid="{D5CDD505-2E9C-101B-9397-08002B2CF9AE}" pid="16" name="MSIP_Label_933d8be6-3c40-4052-87a2-9c2adcba8759_Enabled">
    <vt:lpwstr>true</vt:lpwstr>
  </property>
  <property fmtid="{D5CDD505-2E9C-101B-9397-08002B2CF9AE}" pid="17" name="MSIP_Label_933d8be6-3c40-4052-87a2-9c2adcba8759_SetDate">
    <vt:lpwstr>2024-04-05T03:29:42Z</vt:lpwstr>
  </property>
  <property fmtid="{D5CDD505-2E9C-101B-9397-08002B2CF9AE}" pid="18" name="MSIP_Label_933d8be6-3c40-4052-87a2-9c2adcba8759_Method">
    <vt:lpwstr>Privileged</vt:lpwstr>
  </property>
  <property fmtid="{D5CDD505-2E9C-101B-9397-08002B2CF9AE}" pid="19" name="MSIP_Label_933d8be6-3c40-4052-87a2-9c2adcba8759_Name">
    <vt:lpwstr>OFFICIAL</vt:lpwstr>
  </property>
  <property fmtid="{D5CDD505-2E9C-101B-9397-08002B2CF9AE}" pid="20" name="MSIP_Label_933d8be6-3c40-4052-87a2-9c2adcba8759_SiteId">
    <vt:lpwstr>2be67eb7-400c-4b3f-a5a1-1258c0da0696</vt:lpwstr>
  </property>
  <property fmtid="{D5CDD505-2E9C-101B-9397-08002B2CF9AE}" pid="21" name="MSIP_Label_933d8be6-3c40-4052-87a2-9c2adcba8759_ActionId">
    <vt:lpwstr>d0195d3a-0e86-4fd8-80ee-8a156ccab8d2</vt:lpwstr>
  </property>
  <property fmtid="{D5CDD505-2E9C-101B-9397-08002B2CF9AE}" pid="22" name="MSIP_Label_933d8be6-3c40-4052-87a2-9c2adcba8759_ContentBits">
    <vt:lpwstr>3</vt:lpwstr>
  </property>
</Properties>
</file>