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34120" w14:textId="2412154A" w:rsidR="003A3987" w:rsidRDefault="001A10F2" w:rsidP="00381B1D">
      <w:pPr>
        <w:pStyle w:val="Heading1"/>
      </w:pPr>
      <w:r>
        <w:t>Attachment: A</w:t>
      </w:r>
      <w:r w:rsidR="003A3987">
        <w:t>mendments to the Export Control (Animals) Rules 2021</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980"/>
        <w:gridCol w:w="6100"/>
        <w:gridCol w:w="5868"/>
      </w:tblGrid>
      <w:tr w:rsidR="00FA1A8C" w:rsidRPr="00CD0FE5" w14:paraId="7ADD8A91" w14:textId="77777777" w:rsidTr="004937A0">
        <w:trPr>
          <w:cantSplit/>
          <w:tblHeader/>
        </w:trPr>
        <w:tc>
          <w:tcPr>
            <w:tcW w:w="1980" w:type="dxa"/>
          </w:tcPr>
          <w:p w14:paraId="63498D65" w14:textId="6F9F160D" w:rsidR="00FA1A8C" w:rsidRPr="0034292E" w:rsidRDefault="00223716" w:rsidP="00CD0FE5">
            <w:pPr>
              <w:spacing w:before="120" w:after="120"/>
              <w:rPr>
                <w:b/>
                <w:bCs/>
              </w:rPr>
            </w:pPr>
            <w:r>
              <w:rPr>
                <w:b/>
                <w:bCs/>
              </w:rPr>
              <w:t xml:space="preserve">Relevant </w:t>
            </w:r>
            <w:r w:rsidR="00FA1A8C" w:rsidRPr="0034292E">
              <w:rPr>
                <w:b/>
                <w:bCs/>
              </w:rPr>
              <w:t>Stakeholder</w:t>
            </w:r>
            <w:r>
              <w:rPr>
                <w:b/>
                <w:bCs/>
              </w:rPr>
              <w:t>/s</w:t>
            </w:r>
          </w:p>
        </w:tc>
        <w:tc>
          <w:tcPr>
            <w:tcW w:w="6100" w:type="dxa"/>
          </w:tcPr>
          <w:p w14:paraId="17C244AB" w14:textId="4FD713DA" w:rsidR="00FA1A8C" w:rsidRPr="0034292E" w:rsidRDefault="00FA1A8C" w:rsidP="00CD0FE5">
            <w:pPr>
              <w:spacing w:before="120" w:after="120"/>
              <w:rPr>
                <w:b/>
                <w:bCs/>
              </w:rPr>
            </w:pPr>
            <w:r w:rsidRPr="0034292E">
              <w:rPr>
                <w:b/>
                <w:bCs/>
              </w:rPr>
              <w:t>Amendment Summary</w:t>
            </w:r>
          </w:p>
        </w:tc>
        <w:tc>
          <w:tcPr>
            <w:tcW w:w="5868" w:type="dxa"/>
          </w:tcPr>
          <w:p w14:paraId="12D119F5" w14:textId="1B59E46D" w:rsidR="00FA1A8C" w:rsidRPr="0034292E" w:rsidRDefault="00341CC2" w:rsidP="00CD0FE5">
            <w:pPr>
              <w:spacing w:before="120" w:after="120"/>
              <w:rPr>
                <w:b/>
                <w:bCs/>
              </w:rPr>
            </w:pPr>
            <w:r>
              <w:rPr>
                <w:b/>
                <w:bCs/>
              </w:rPr>
              <w:t>What you need to know</w:t>
            </w:r>
          </w:p>
        </w:tc>
      </w:tr>
      <w:tr w:rsidR="00FA1A8C" w:rsidRPr="00CD0FE5" w14:paraId="73DD3581" w14:textId="77777777" w:rsidTr="00A879E9">
        <w:trPr>
          <w:cantSplit/>
        </w:trPr>
        <w:tc>
          <w:tcPr>
            <w:tcW w:w="1980" w:type="dxa"/>
          </w:tcPr>
          <w:p w14:paraId="2019D038" w14:textId="6A90159D" w:rsidR="00FA1A8C" w:rsidRPr="00CD0FE5" w:rsidRDefault="00FA1A8C" w:rsidP="00CD0FE5">
            <w:pPr>
              <w:spacing w:before="120" w:after="120"/>
            </w:pPr>
            <w:r w:rsidRPr="00CD0FE5">
              <w:t>Livestock exporters</w:t>
            </w:r>
          </w:p>
        </w:tc>
        <w:tc>
          <w:tcPr>
            <w:tcW w:w="6100" w:type="dxa"/>
          </w:tcPr>
          <w:p w14:paraId="311F4799" w14:textId="201674F5" w:rsidR="00042A3F" w:rsidRPr="009A37E4" w:rsidRDefault="00042A3F" w:rsidP="00CD0FE5">
            <w:pPr>
              <w:spacing w:before="120" w:after="120"/>
              <w:rPr>
                <w:b/>
                <w:bCs/>
              </w:rPr>
            </w:pPr>
            <w:r w:rsidRPr="009A37E4">
              <w:rPr>
                <w:b/>
                <w:bCs/>
              </w:rPr>
              <w:t>Conditions of approved arrangements</w:t>
            </w:r>
          </w:p>
          <w:p w14:paraId="592C9B31" w14:textId="5ADED1B1" w:rsidR="00FA1A8C" w:rsidRPr="00CD0FE5" w:rsidRDefault="00FA1A8C" w:rsidP="00CD0FE5">
            <w:pPr>
              <w:spacing w:before="120" w:after="120"/>
            </w:pPr>
            <w:r w:rsidRPr="00CD0FE5">
              <w:t>Approved arrangements (AAs) must meet importing country requirements and the Australian Standards for the Export of Livestock (ASEL).</w:t>
            </w:r>
          </w:p>
          <w:p w14:paraId="1955AB6B" w14:textId="63663366" w:rsidR="00203966" w:rsidRPr="00CD0FE5" w:rsidRDefault="00203966" w:rsidP="00CD0FE5">
            <w:pPr>
              <w:spacing w:before="120" w:after="120"/>
            </w:pPr>
          </w:p>
        </w:tc>
        <w:tc>
          <w:tcPr>
            <w:tcW w:w="5868" w:type="dxa"/>
          </w:tcPr>
          <w:p w14:paraId="6BEBB49B" w14:textId="43DD38EA" w:rsidR="00082CD4" w:rsidRDefault="00042A3F" w:rsidP="00177BC0">
            <w:pPr>
              <w:pStyle w:val="ListParagraph"/>
              <w:numPr>
                <w:ilvl w:val="0"/>
                <w:numId w:val="6"/>
              </w:numPr>
              <w:spacing w:before="120" w:after="120"/>
              <w:ind w:left="380" w:hanging="380"/>
            </w:pPr>
            <w:r w:rsidRPr="00CD0FE5">
              <w:t>This is an administrative change</w:t>
            </w:r>
            <w:r>
              <w:t xml:space="preserve"> </w:t>
            </w:r>
            <w:r w:rsidR="00726E93">
              <w:t xml:space="preserve">to ensure it is clearly in written into our requirements </w:t>
            </w:r>
            <w:r>
              <w:t>- n</w:t>
            </w:r>
            <w:r w:rsidR="00177BC0">
              <w:t>o action required</w:t>
            </w:r>
            <w:r>
              <w:t>.</w:t>
            </w:r>
          </w:p>
          <w:p w14:paraId="349C8910" w14:textId="612550F1" w:rsidR="00082CD4" w:rsidRPr="00082CD4" w:rsidRDefault="00082CD4" w:rsidP="00A879E9">
            <w:pPr>
              <w:pStyle w:val="ListParagraph"/>
              <w:numPr>
                <w:ilvl w:val="0"/>
                <w:numId w:val="6"/>
              </w:numPr>
              <w:spacing w:before="120" w:after="120"/>
              <w:ind w:left="380" w:hanging="380"/>
            </w:pPr>
            <w:r w:rsidRPr="00082CD4">
              <w:t xml:space="preserve">Exporters are not required to submit a variation of their AA to the department to reflect the changes. However, exporters must ensure their AA and AEP </w:t>
            </w:r>
            <w:r w:rsidR="00726E93">
              <w:t xml:space="preserve">do </w:t>
            </w:r>
            <w:proofErr w:type="gramStart"/>
            <w:r w:rsidR="00726E93">
              <w:t>meet this standard at all times</w:t>
            </w:r>
            <w:proofErr w:type="gramEnd"/>
            <w:r w:rsidRPr="00082CD4">
              <w:t>.</w:t>
            </w:r>
            <w:r w:rsidR="001C5C9A">
              <w:t xml:space="preserve"> Any </w:t>
            </w:r>
            <w:r w:rsidR="001C5C9A" w:rsidRPr="001C5C9A">
              <w:t xml:space="preserve">amendments </w:t>
            </w:r>
            <w:r w:rsidR="001C5C9A">
              <w:t xml:space="preserve">to these documents </w:t>
            </w:r>
            <w:r w:rsidR="001C5C9A" w:rsidRPr="001C5C9A">
              <w:t xml:space="preserve">must be recorded in the exporter’s variations register, in accordance with section 1.6 of the </w:t>
            </w:r>
            <w:hyperlink r:id="rId10" w:anchor="current-guidelines-and-policies" w:history="1">
              <w:r w:rsidR="001C5C9A" w:rsidRPr="001C5C9A">
                <w:rPr>
                  <w:rStyle w:val="Hyperlink"/>
                </w:rPr>
                <w:t>Approved arrangement guidelines for the export of livestock</w:t>
              </w:r>
            </w:hyperlink>
            <w:r w:rsidR="001C5C9A" w:rsidRPr="001C5C9A">
              <w:t>.</w:t>
            </w:r>
          </w:p>
          <w:p w14:paraId="069DEEC2" w14:textId="75C3C622" w:rsidR="00FA1A8C" w:rsidRPr="00CD0FE5" w:rsidRDefault="00FA1A8C" w:rsidP="002054DB">
            <w:pPr>
              <w:pStyle w:val="ListParagraph"/>
              <w:numPr>
                <w:ilvl w:val="0"/>
                <w:numId w:val="6"/>
              </w:numPr>
              <w:spacing w:before="120" w:after="120"/>
              <w:ind w:left="380" w:hanging="380"/>
            </w:pPr>
            <w:r w:rsidRPr="00CD0FE5">
              <w:t xml:space="preserve">Refer to </w:t>
            </w:r>
            <w:hyperlink r:id="rId11" w:history="1">
              <w:r w:rsidRPr="003A3987">
                <w:rPr>
                  <w:rStyle w:val="Hyperlink"/>
                </w:rPr>
                <w:t>Approved Arrangements</w:t>
              </w:r>
            </w:hyperlink>
            <w:r w:rsidRPr="00CD0FE5">
              <w:t>.</w:t>
            </w:r>
          </w:p>
        </w:tc>
      </w:tr>
      <w:tr w:rsidR="009E2E39" w:rsidRPr="00CD0FE5" w14:paraId="25C82617" w14:textId="77777777" w:rsidTr="00A879E9">
        <w:tc>
          <w:tcPr>
            <w:tcW w:w="1980" w:type="dxa"/>
          </w:tcPr>
          <w:p w14:paraId="47B22A1B" w14:textId="77777777" w:rsidR="00177BC0" w:rsidRDefault="00177BC0" w:rsidP="00CD0FE5">
            <w:pPr>
              <w:spacing w:before="120" w:after="120"/>
            </w:pPr>
            <w:r w:rsidRPr="00CD0FE5">
              <w:t>Accredited veterinarians (AAVs)</w:t>
            </w:r>
          </w:p>
          <w:p w14:paraId="45510C2E" w14:textId="53BE4F24" w:rsidR="009E2E39" w:rsidRPr="00CD0FE5" w:rsidRDefault="009E2E39" w:rsidP="00CD0FE5">
            <w:pPr>
              <w:spacing w:before="120" w:after="120"/>
            </w:pPr>
            <w:r w:rsidRPr="00CD0FE5">
              <w:t>Livestock exporters</w:t>
            </w:r>
          </w:p>
        </w:tc>
        <w:tc>
          <w:tcPr>
            <w:tcW w:w="6100" w:type="dxa"/>
          </w:tcPr>
          <w:p w14:paraId="18D96164" w14:textId="72C1CD24" w:rsidR="00042A3F" w:rsidRPr="009A37E4" w:rsidRDefault="00042A3F" w:rsidP="00CD0FE5">
            <w:pPr>
              <w:spacing w:before="120" w:after="120"/>
              <w:rPr>
                <w:b/>
                <w:bCs/>
              </w:rPr>
            </w:pPr>
            <w:r w:rsidRPr="009A37E4">
              <w:rPr>
                <w:b/>
                <w:bCs/>
              </w:rPr>
              <w:t>Approved export program</w:t>
            </w:r>
            <w:r>
              <w:rPr>
                <w:b/>
                <w:bCs/>
              </w:rPr>
              <w:t>s</w:t>
            </w:r>
          </w:p>
          <w:p w14:paraId="49BA6FE1" w14:textId="1209B109" w:rsidR="00B4503F" w:rsidRDefault="00B4503F" w:rsidP="00CD0FE5">
            <w:pPr>
              <w:spacing w:before="120" w:after="120"/>
            </w:pPr>
            <w:r>
              <w:t xml:space="preserve">Exporters must ensure a copy of the relevant parts of the approved export program (AEP) is provided to the AAV. This would be the parts of the AEP that are relevant for the </w:t>
            </w:r>
            <w:proofErr w:type="gramStart"/>
            <w:r>
              <w:t>particular consignment</w:t>
            </w:r>
            <w:proofErr w:type="gramEnd"/>
            <w:r>
              <w:t xml:space="preserve"> and relating to the program of export operations to be undertaken by that AAV. </w:t>
            </w:r>
          </w:p>
          <w:p w14:paraId="0C513669" w14:textId="38FC7A9E" w:rsidR="00B4503F" w:rsidRDefault="00FA7D66" w:rsidP="00CD0FE5">
            <w:pPr>
              <w:spacing w:before="120" w:after="120"/>
            </w:pPr>
            <w:r>
              <w:t>Exporters must also</w:t>
            </w:r>
            <w:r w:rsidR="00B4503F">
              <w:t xml:space="preserve"> record the fact that they have done so, and to retain these records for at least 2 years. </w:t>
            </w:r>
          </w:p>
          <w:p w14:paraId="514D2B55" w14:textId="30EE6981" w:rsidR="009E2E39" w:rsidRPr="00CD0FE5" w:rsidRDefault="00B4503F" w:rsidP="00CD0FE5">
            <w:pPr>
              <w:spacing w:before="120" w:after="120"/>
            </w:pPr>
            <w:r>
              <w:t>Furthermore, AAVs are required to record that they have received this and to retain these records for at least 2 years.</w:t>
            </w:r>
          </w:p>
        </w:tc>
        <w:tc>
          <w:tcPr>
            <w:tcW w:w="5868" w:type="dxa"/>
          </w:tcPr>
          <w:p w14:paraId="21134426" w14:textId="58DDB9AE" w:rsidR="001C5C9A" w:rsidRPr="00082CD4" w:rsidRDefault="001C5C9A" w:rsidP="001C5C9A">
            <w:pPr>
              <w:pStyle w:val="ListParagraph"/>
              <w:numPr>
                <w:ilvl w:val="0"/>
                <w:numId w:val="6"/>
              </w:numPr>
              <w:spacing w:before="120" w:after="120"/>
              <w:ind w:left="380" w:hanging="380"/>
            </w:pPr>
            <w:r w:rsidRPr="00082CD4">
              <w:t>Exporters are not required to submit a variation of their AA to the department to reflect the changes. However, exporters must ensure their AA</w:t>
            </w:r>
            <w:r w:rsidR="00726E93">
              <w:t xml:space="preserve"> and operational practices</w:t>
            </w:r>
            <w:r w:rsidRPr="00082CD4">
              <w:t xml:space="preserve"> reflect</w:t>
            </w:r>
            <w:r>
              <w:t>s</w:t>
            </w:r>
            <w:r w:rsidRPr="00082CD4">
              <w:t xml:space="preserve"> the updated requirements.</w:t>
            </w:r>
            <w:r>
              <w:t xml:space="preserve"> Any </w:t>
            </w:r>
            <w:r w:rsidRPr="001C5C9A">
              <w:t xml:space="preserve">amendments </w:t>
            </w:r>
            <w:r>
              <w:t xml:space="preserve">to an AA </w:t>
            </w:r>
            <w:r w:rsidRPr="001C5C9A">
              <w:t xml:space="preserve">must be recorded in the exporter’s variations register, in accordance with section 1.6 of the </w:t>
            </w:r>
            <w:hyperlink r:id="rId12" w:anchor="current-guidelines-and-policies" w:history="1">
              <w:r w:rsidRPr="001C5C9A">
                <w:rPr>
                  <w:rStyle w:val="Hyperlink"/>
                </w:rPr>
                <w:t>Approved arrangement guidelines for the export of livestock</w:t>
              </w:r>
            </w:hyperlink>
            <w:r w:rsidRPr="001C5C9A">
              <w:t>.</w:t>
            </w:r>
          </w:p>
          <w:p w14:paraId="16E7975B" w14:textId="3B155E18" w:rsidR="009E2E39" w:rsidRDefault="009E2E39" w:rsidP="002054DB">
            <w:pPr>
              <w:pStyle w:val="ListParagraph"/>
              <w:numPr>
                <w:ilvl w:val="0"/>
                <w:numId w:val="6"/>
              </w:numPr>
              <w:spacing w:before="120" w:after="120"/>
              <w:ind w:left="380" w:hanging="380"/>
            </w:pPr>
            <w:r w:rsidRPr="00CD0FE5">
              <w:t xml:space="preserve">Exporters must </w:t>
            </w:r>
            <w:r w:rsidR="002C1949">
              <w:t xml:space="preserve">keep records that they have </w:t>
            </w:r>
            <w:r w:rsidRPr="00CD0FE5">
              <w:t>provide</w:t>
            </w:r>
            <w:r w:rsidR="002C1949">
              <w:t>d</w:t>
            </w:r>
            <w:r w:rsidRPr="00CD0FE5">
              <w:t xml:space="preserve"> a copy of the relevant parts of the AEP to the AAV</w:t>
            </w:r>
            <w:r w:rsidR="002C1949">
              <w:t xml:space="preserve"> for each consignment</w:t>
            </w:r>
            <w:r w:rsidRPr="00CD0FE5">
              <w:t>.</w:t>
            </w:r>
          </w:p>
          <w:p w14:paraId="7B6BF0C2" w14:textId="10E0E59F" w:rsidR="002C1949" w:rsidRPr="00CD0FE5" w:rsidRDefault="002C1949" w:rsidP="002054DB">
            <w:pPr>
              <w:pStyle w:val="ListParagraph"/>
              <w:numPr>
                <w:ilvl w:val="0"/>
                <w:numId w:val="6"/>
              </w:numPr>
              <w:spacing w:before="120" w:after="120"/>
              <w:ind w:left="380" w:hanging="380"/>
            </w:pPr>
            <w:r>
              <w:t xml:space="preserve">AAVs must </w:t>
            </w:r>
            <w:r w:rsidR="00851D5A">
              <w:t xml:space="preserve">ensure they have a process for </w:t>
            </w:r>
            <w:r>
              <w:t>keep</w:t>
            </w:r>
            <w:r w:rsidR="00851D5A">
              <w:t>ing</w:t>
            </w:r>
            <w:r>
              <w:t xml:space="preserve"> records that they have received a copy of the </w:t>
            </w:r>
            <w:r w:rsidRPr="00CD0FE5">
              <w:t xml:space="preserve">relevant parts of the AEP </w:t>
            </w:r>
            <w:r>
              <w:t>from the exporter for each consignment</w:t>
            </w:r>
            <w:r w:rsidRPr="00CD0FE5">
              <w:t>.</w:t>
            </w:r>
          </w:p>
          <w:p w14:paraId="067E1A31" w14:textId="0B39BED1" w:rsidR="009E2E39" w:rsidRDefault="002C1949" w:rsidP="002054DB">
            <w:pPr>
              <w:pStyle w:val="ListParagraph"/>
              <w:numPr>
                <w:ilvl w:val="0"/>
                <w:numId w:val="6"/>
              </w:numPr>
              <w:spacing w:before="120" w:after="120"/>
              <w:ind w:left="380" w:hanging="380"/>
            </w:pPr>
            <w:r>
              <w:lastRenderedPageBreak/>
              <w:t>Records must be kept</w:t>
            </w:r>
            <w:r w:rsidR="009E2E39" w:rsidRPr="00CD0FE5">
              <w:t xml:space="preserve"> for at least 2 years.</w:t>
            </w:r>
            <w:r w:rsidR="00851D5A">
              <w:t xml:space="preserve"> This is subject to audit.</w:t>
            </w:r>
          </w:p>
          <w:p w14:paraId="188447EE" w14:textId="6F164BAA" w:rsidR="002E7D34" w:rsidRPr="00CD0FE5" w:rsidRDefault="002E7D34" w:rsidP="002054DB">
            <w:pPr>
              <w:pStyle w:val="ListParagraph"/>
              <w:numPr>
                <w:ilvl w:val="0"/>
                <w:numId w:val="6"/>
              </w:numPr>
              <w:spacing w:before="120" w:after="120"/>
              <w:ind w:left="380" w:hanging="380"/>
            </w:pPr>
            <w:r>
              <w:t>Refer to the</w:t>
            </w:r>
            <w:r w:rsidR="00A879E9">
              <w:t xml:space="preserve"> </w:t>
            </w:r>
            <w:hyperlink r:id="rId13" w:anchor="current-guidelines-and-policies" w:history="1">
              <w:r w:rsidR="00A879E9" w:rsidRPr="001C5C9A">
                <w:rPr>
                  <w:rStyle w:val="Hyperlink"/>
                </w:rPr>
                <w:t>Approved arrangement guidelines for the export of livestock</w:t>
              </w:r>
            </w:hyperlink>
            <w:r w:rsidR="00A879E9">
              <w:rPr>
                <w:rStyle w:val="Hyperlink"/>
              </w:rPr>
              <w:t>,</w:t>
            </w:r>
            <w:r w:rsidR="00177BC0">
              <w:t xml:space="preserve"> </w:t>
            </w:r>
            <w:hyperlink r:id="rId14" w:history="1">
              <w:r w:rsidR="00177BC0" w:rsidRPr="00A879E9">
                <w:rPr>
                  <w:rStyle w:val="Hyperlink"/>
                </w:rPr>
                <w:t xml:space="preserve">Approved Export Program </w:t>
              </w:r>
              <w:r w:rsidR="009A37E4" w:rsidRPr="00A879E9">
                <w:rPr>
                  <w:rStyle w:val="Hyperlink"/>
                </w:rPr>
                <w:t>g</w:t>
              </w:r>
              <w:r w:rsidR="00177BC0" w:rsidRPr="00A879E9">
                <w:rPr>
                  <w:rStyle w:val="Hyperlink"/>
                </w:rPr>
                <w:t>uidelines</w:t>
              </w:r>
              <w:r w:rsidR="00A879E9" w:rsidRPr="00A879E9">
                <w:rPr>
                  <w:rStyle w:val="Hyperlink"/>
                </w:rPr>
                <w:t xml:space="preserve"> for the export of livestock</w:t>
              </w:r>
            </w:hyperlink>
            <w:r w:rsidR="003E013A">
              <w:t xml:space="preserve"> and </w:t>
            </w:r>
            <w:hyperlink r:id="rId15" w:history="1">
              <w:r w:rsidR="003E013A" w:rsidRPr="003E013A">
                <w:rPr>
                  <w:rStyle w:val="Hyperlink"/>
                </w:rPr>
                <w:t>Roles and Responsibilities of AAVs</w:t>
              </w:r>
            </w:hyperlink>
            <w:r>
              <w:t>.</w:t>
            </w:r>
          </w:p>
        </w:tc>
      </w:tr>
      <w:tr w:rsidR="009E2E39" w:rsidRPr="00CD0FE5" w14:paraId="7E739C6E" w14:textId="77777777" w:rsidTr="00A879E9">
        <w:trPr>
          <w:trHeight w:val="1020"/>
        </w:trPr>
        <w:tc>
          <w:tcPr>
            <w:tcW w:w="1980" w:type="dxa"/>
          </w:tcPr>
          <w:p w14:paraId="1C0EC974" w14:textId="386A65C2" w:rsidR="009E2E39" w:rsidRPr="00CD0FE5" w:rsidRDefault="00F27441" w:rsidP="00CD0FE5">
            <w:pPr>
              <w:spacing w:before="120" w:after="120"/>
            </w:pPr>
            <w:r w:rsidRPr="00CD0FE5">
              <w:lastRenderedPageBreak/>
              <w:t>Livestock exporters</w:t>
            </w:r>
          </w:p>
        </w:tc>
        <w:tc>
          <w:tcPr>
            <w:tcW w:w="6100" w:type="dxa"/>
          </w:tcPr>
          <w:p w14:paraId="0CB0D701" w14:textId="4F41708F" w:rsidR="00042A3F" w:rsidRPr="00E21C54" w:rsidRDefault="00042A3F" w:rsidP="00CD0FE5">
            <w:pPr>
              <w:spacing w:before="120" w:after="120"/>
              <w:rPr>
                <w:rStyle w:val="normaltextrun"/>
                <w:rFonts w:ascii="Calibri" w:hAnsi="Calibri" w:cs="Calibri"/>
                <w:b/>
                <w:bCs/>
                <w:color w:val="000000"/>
                <w:shd w:val="clear" w:color="auto" w:fill="FFFFFF"/>
              </w:rPr>
            </w:pPr>
            <w:r w:rsidRPr="00E21C54">
              <w:rPr>
                <w:b/>
                <w:bCs/>
              </w:rPr>
              <w:t>Conditions of livestock export licences – significant exotic diseases</w:t>
            </w:r>
          </w:p>
          <w:p w14:paraId="7E532CD2" w14:textId="2BC2FC7F" w:rsidR="009E2E39" w:rsidRPr="00CD0FE5" w:rsidRDefault="00F27441" w:rsidP="00CD0FE5">
            <w:pPr>
              <w:spacing w:before="120" w:after="120"/>
            </w:pPr>
            <w:r>
              <w:rPr>
                <w:rStyle w:val="normaltextrun"/>
                <w:rFonts w:ascii="Calibri" w:hAnsi="Calibri" w:cs="Calibri"/>
                <w:color w:val="000000"/>
                <w:shd w:val="clear" w:color="auto" w:fill="FFFFFF"/>
              </w:rPr>
              <w:t xml:space="preserve">Authorised Officers may </w:t>
            </w:r>
            <w:r w:rsidR="003E013A">
              <w:rPr>
                <w:rStyle w:val="normaltextrun"/>
                <w:rFonts w:ascii="Calibri" w:hAnsi="Calibri" w:cs="Calibri"/>
                <w:color w:val="000000"/>
                <w:shd w:val="clear" w:color="auto" w:fill="FFFFFF"/>
              </w:rPr>
              <w:t>give</w:t>
            </w:r>
            <w:r>
              <w:rPr>
                <w:rStyle w:val="normaltextrun"/>
                <w:rFonts w:ascii="Calibri" w:hAnsi="Calibri" w:cs="Calibri"/>
                <w:color w:val="000000"/>
                <w:shd w:val="clear" w:color="auto" w:fill="FFFFFF"/>
              </w:rPr>
              <w:t xml:space="preserve"> an order to exporters requiring the</w:t>
            </w:r>
            <w:r w:rsidR="00511C6B">
              <w:rPr>
                <w:rStyle w:val="normaltextrun"/>
                <w:rFonts w:ascii="Calibri" w:hAnsi="Calibri" w:cs="Calibri"/>
                <w:color w:val="000000"/>
                <w:shd w:val="clear" w:color="auto" w:fill="FFFFFF"/>
              </w:rPr>
              <w:t>m to</w:t>
            </w:r>
            <w:r>
              <w:rPr>
                <w:rStyle w:val="normaltextrun"/>
                <w:rFonts w:ascii="Calibri" w:hAnsi="Calibri" w:cs="Calibri"/>
                <w:color w:val="000000"/>
                <w:shd w:val="clear" w:color="auto" w:fill="FFFFFF"/>
              </w:rPr>
              <w:t xml:space="preserve"> stop moving or loading livestock for export</w:t>
            </w:r>
            <w:r w:rsidR="00511C6B">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in circumstances where the presence of a significant exotic disease</w:t>
            </w:r>
            <w:r w:rsidR="003E013A">
              <w:rPr>
                <w:rStyle w:val="normaltextrun"/>
                <w:rFonts w:ascii="Calibri" w:hAnsi="Calibri" w:cs="Calibri"/>
                <w:color w:val="000000"/>
                <w:shd w:val="clear" w:color="auto" w:fill="FFFFFF"/>
              </w:rPr>
              <w:t>, infection or infestation</w:t>
            </w:r>
            <w:r>
              <w:rPr>
                <w:rStyle w:val="normaltextrun"/>
                <w:rFonts w:ascii="Calibri" w:hAnsi="Calibri" w:cs="Calibri"/>
                <w:color w:val="000000"/>
                <w:shd w:val="clear" w:color="auto" w:fill="FFFFFF"/>
              </w:rPr>
              <w:t xml:space="preserve"> </w:t>
            </w:r>
            <w:r w:rsidR="00FA7D66">
              <w:rPr>
                <w:rStyle w:val="normaltextrun"/>
                <w:rFonts w:ascii="Calibri" w:hAnsi="Calibri" w:cs="Calibri"/>
                <w:color w:val="000000"/>
                <w:shd w:val="clear" w:color="auto" w:fill="FFFFFF"/>
              </w:rPr>
              <w:t>is suspected or confirmed in Australia</w:t>
            </w:r>
            <w:r>
              <w:rPr>
                <w:rStyle w:val="normaltextrun"/>
                <w:rFonts w:ascii="Calibri" w:hAnsi="Calibri" w:cs="Calibri"/>
                <w:color w:val="000000"/>
                <w:shd w:val="clear" w:color="auto" w:fill="FFFFFF"/>
              </w:rPr>
              <w:t>.</w:t>
            </w:r>
            <w:r>
              <w:rPr>
                <w:rStyle w:val="eop"/>
                <w:rFonts w:ascii="Calibri" w:hAnsi="Calibri" w:cs="Calibri"/>
                <w:color w:val="000000"/>
                <w:shd w:val="clear" w:color="auto" w:fill="FFFFFF"/>
              </w:rPr>
              <w:t> </w:t>
            </w:r>
            <w:r w:rsidR="009E2E39" w:rsidRPr="00CD0FE5">
              <w:t xml:space="preserve"> </w:t>
            </w:r>
          </w:p>
        </w:tc>
        <w:tc>
          <w:tcPr>
            <w:tcW w:w="5868" w:type="dxa"/>
          </w:tcPr>
          <w:p w14:paraId="02BFD7DB" w14:textId="53163342" w:rsidR="005972D4" w:rsidRDefault="005972D4" w:rsidP="00E21C54">
            <w:pPr>
              <w:pStyle w:val="ListParagraph"/>
              <w:numPr>
                <w:ilvl w:val="0"/>
                <w:numId w:val="6"/>
              </w:numPr>
              <w:spacing w:before="120" w:after="120"/>
              <w:ind w:left="380" w:hanging="380"/>
            </w:pPr>
            <w:r>
              <w:t>Exporters are not required to make any changes</w:t>
            </w:r>
            <w:r w:rsidR="009C7619">
              <w:t xml:space="preserve"> to</w:t>
            </w:r>
            <w:r>
              <w:t xml:space="preserve"> their </w:t>
            </w:r>
            <w:r w:rsidRPr="001A10F2">
              <w:t>export licence</w:t>
            </w:r>
            <w:r>
              <w:t xml:space="preserve"> or </w:t>
            </w:r>
            <w:r w:rsidRPr="001A10F2">
              <w:t>AA.</w:t>
            </w:r>
            <w:r>
              <w:t xml:space="preserve"> </w:t>
            </w:r>
          </w:p>
          <w:p w14:paraId="61DC9132" w14:textId="25903D95" w:rsidR="005972D4" w:rsidRDefault="005972D4" w:rsidP="005972D4">
            <w:pPr>
              <w:pStyle w:val="ListParagraph"/>
              <w:numPr>
                <w:ilvl w:val="0"/>
                <w:numId w:val="6"/>
              </w:numPr>
              <w:spacing w:before="120" w:after="120"/>
              <w:ind w:left="380" w:hanging="380"/>
            </w:pPr>
            <w:r>
              <w:t xml:space="preserve">Exporters </w:t>
            </w:r>
            <w:r w:rsidR="003E013A">
              <w:t>should</w:t>
            </w:r>
            <w:r>
              <w:t xml:space="preserve"> develop contingency plans to ensure that legislative and regulatory requirements (including ASEL</w:t>
            </w:r>
            <w:r w:rsidR="003E013A">
              <w:t xml:space="preserve"> </w:t>
            </w:r>
            <w:r w:rsidR="0040113A">
              <w:t xml:space="preserve">standards </w:t>
            </w:r>
            <w:r w:rsidR="003E013A">
              <w:t>4.1.18 and 6.1.29</w:t>
            </w:r>
            <w:r>
              <w:t xml:space="preserve">) and animal health and welfare will continue to be upheld during these circumstances. Contingency plans should extend to animals that have already been loaded or commenced the export process. </w:t>
            </w:r>
          </w:p>
          <w:p w14:paraId="57EB71A5" w14:textId="71FB016B" w:rsidR="00D50347" w:rsidRPr="00CD0FE5" w:rsidRDefault="005972D4" w:rsidP="00CD0FE5">
            <w:pPr>
              <w:pStyle w:val="ListParagraph"/>
              <w:numPr>
                <w:ilvl w:val="0"/>
                <w:numId w:val="6"/>
              </w:numPr>
              <w:spacing w:before="120" w:after="120"/>
              <w:ind w:left="380" w:hanging="380"/>
            </w:pPr>
            <w:r>
              <w:t xml:space="preserve">Read the </w:t>
            </w:r>
            <w:hyperlink r:id="rId16" w:anchor="guidelines-and-policies" w:history="1">
              <w:r w:rsidR="005874D1" w:rsidRPr="002240EB">
                <w:rPr>
                  <w:rStyle w:val="Hyperlink"/>
                  <w:rFonts w:ascii="Calibri" w:eastAsia="Times New Roman" w:hAnsi="Calibri" w:cs="Calibri"/>
                  <w:i/>
                  <w:iCs/>
                  <w:szCs w:val="24"/>
                  <w:lang w:eastAsia="en-AU"/>
                </w:rPr>
                <w:t>Conditions</w:t>
              </w:r>
              <w:r w:rsidR="005874D1" w:rsidRPr="002240EB">
                <w:rPr>
                  <w:rStyle w:val="Hyperlink"/>
                  <w:rFonts w:ascii="Calibri" w:eastAsia="Times New Roman" w:hAnsi="Calibri" w:cs="Calibri"/>
                  <w:i/>
                  <w:iCs/>
                  <w:szCs w:val="24"/>
                  <w:lang w:eastAsia="en-AU"/>
                </w:rPr>
                <w:t xml:space="preserve"> </w:t>
              </w:r>
              <w:r w:rsidR="005874D1" w:rsidRPr="002240EB">
                <w:rPr>
                  <w:rStyle w:val="Hyperlink"/>
                  <w:rFonts w:ascii="Calibri" w:eastAsia="Times New Roman" w:hAnsi="Calibri" w:cs="Calibri"/>
                  <w:i/>
                  <w:iCs/>
                  <w:szCs w:val="24"/>
                  <w:lang w:eastAsia="en-AU"/>
                </w:rPr>
                <w:t>on livesto</w:t>
              </w:r>
              <w:r w:rsidR="005874D1" w:rsidRPr="002240EB">
                <w:rPr>
                  <w:rStyle w:val="Hyperlink"/>
                  <w:rFonts w:ascii="Calibri" w:eastAsia="Times New Roman" w:hAnsi="Calibri" w:cs="Calibri"/>
                  <w:i/>
                  <w:iCs/>
                  <w:szCs w:val="24"/>
                  <w:lang w:eastAsia="en-AU"/>
                </w:rPr>
                <w:t>c</w:t>
              </w:r>
              <w:r w:rsidR="005874D1" w:rsidRPr="002240EB">
                <w:rPr>
                  <w:rStyle w:val="Hyperlink"/>
                  <w:rFonts w:ascii="Calibri" w:eastAsia="Times New Roman" w:hAnsi="Calibri" w:cs="Calibri"/>
                  <w:i/>
                  <w:iCs/>
                  <w:szCs w:val="24"/>
                  <w:lang w:eastAsia="en-AU"/>
                </w:rPr>
                <w:t xml:space="preserve">k export licences – </w:t>
              </w:r>
              <w:r w:rsidR="00C83DB1" w:rsidRPr="002240EB">
                <w:rPr>
                  <w:rStyle w:val="Hyperlink"/>
                  <w:rFonts w:ascii="Calibri" w:eastAsia="Times New Roman" w:hAnsi="Calibri" w:cs="Calibri"/>
                  <w:i/>
                  <w:iCs/>
                  <w:szCs w:val="24"/>
                  <w:lang w:eastAsia="en-AU"/>
                </w:rPr>
                <w:t>Suspicions and detections of exotic animal diseases</w:t>
              </w:r>
            </w:hyperlink>
            <w:r w:rsidR="005874D1" w:rsidRPr="00115DAC">
              <w:rPr>
                <w:rFonts w:ascii="Open Sans" w:eastAsia="Times New Roman" w:hAnsi="Open Sans" w:cs="Open Sans"/>
                <w:szCs w:val="24"/>
                <w:lang w:eastAsia="en-AU"/>
              </w:rPr>
              <w:t xml:space="preserve"> </w:t>
            </w:r>
            <w:r w:rsidRPr="00115DAC">
              <w:t>policy</w:t>
            </w:r>
            <w:r>
              <w:t xml:space="preserve"> for further information.</w:t>
            </w:r>
          </w:p>
        </w:tc>
      </w:tr>
      <w:tr w:rsidR="00F61AE9" w:rsidRPr="00CD0FE5" w14:paraId="2636FBF8" w14:textId="77777777" w:rsidTr="00A879E9">
        <w:tc>
          <w:tcPr>
            <w:tcW w:w="1980" w:type="dxa"/>
          </w:tcPr>
          <w:p w14:paraId="2D372D54" w14:textId="4D65C308" w:rsidR="00F61AE9" w:rsidRPr="00CD0FE5" w:rsidRDefault="00F61AE9" w:rsidP="00CD0FE5">
            <w:pPr>
              <w:spacing w:before="120" w:after="120"/>
            </w:pPr>
            <w:r w:rsidRPr="00C13EE0">
              <w:t>Livestock exporters</w:t>
            </w:r>
          </w:p>
        </w:tc>
        <w:tc>
          <w:tcPr>
            <w:tcW w:w="6100" w:type="dxa"/>
          </w:tcPr>
          <w:p w14:paraId="0F258D1C" w14:textId="2BEDA89D" w:rsidR="00042A3F" w:rsidRPr="00FF0D9A" w:rsidRDefault="00042A3F" w:rsidP="00CD0FE5">
            <w:pPr>
              <w:spacing w:before="120" w:after="120"/>
              <w:rPr>
                <w:b/>
                <w:bCs/>
              </w:rPr>
            </w:pPr>
            <w:r w:rsidRPr="00FF0D9A">
              <w:rPr>
                <w:b/>
                <w:bCs/>
              </w:rPr>
              <w:t xml:space="preserve">Revocation of an </w:t>
            </w:r>
            <w:r w:rsidR="0065753A" w:rsidRPr="00314619">
              <w:rPr>
                <w:b/>
                <w:bCs/>
              </w:rPr>
              <w:t>exporter supply chain assurance system (ESCAS)</w:t>
            </w:r>
            <w:r w:rsidR="00314619">
              <w:rPr>
                <w:b/>
                <w:bCs/>
              </w:rPr>
              <w:t xml:space="preserve"> </w:t>
            </w:r>
            <w:r w:rsidRPr="0065753A">
              <w:rPr>
                <w:b/>
                <w:bCs/>
              </w:rPr>
              <w:t>– period</w:t>
            </w:r>
            <w:r w:rsidRPr="00FF0D9A">
              <w:rPr>
                <w:b/>
                <w:bCs/>
              </w:rPr>
              <w:t xml:space="preserve"> of response to show cause notice and notice of </w:t>
            </w:r>
            <w:proofErr w:type="gramStart"/>
            <w:r w:rsidRPr="00FF0D9A">
              <w:rPr>
                <w:b/>
                <w:bCs/>
              </w:rPr>
              <w:t>revocation</w:t>
            </w:r>
            <w:proofErr w:type="gramEnd"/>
          </w:p>
          <w:p w14:paraId="075B0149" w14:textId="1C2BF997" w:rsidR="00C13EE0" w:rsidRDefault="00C13EE0" w:rsidP="00CD0FE5">
            <w:pPr>
              <w:spacing w:before="120" w:after="120"/>
            </w:pPr>
            <w:r>
              <w:t>Th</w:t>
            </w:r>
            <w:r w:rsidR="0065753A">
              <w:t>is</w:t>
            </w:r>
            <w:r>
              <w:t xml:space="preserve"> change allows the department to provide </w:t>
            </w:r>
            <w:r w:rsidR="0065753A">
              <w:t xml:space="preserve">ESCAS </w:t>
            </w:r>
            <w:r>
              <w:t xml:space="preserve">holders with more time to respond to a </w:t>
            </w:r>
            <w:r w:rsidR="0065753A">
              <w:t>notice of proposed revocation (</w:t>
            </w:r>
            <w:r>
              <w:t>show cause notice</w:t>
            </w:r>
            <w:r w:rsidR="0065753A">
              <w:t>)</w:t>
            </w:r>
            <w:r>
              <w:t xml:space="preserve"> in appropriate cases, particularly where there are more complex issues to be addressed.</w:t>
            </w:r>
          </w:p>
          <w:p w14:paraId="38D2B0EE" w14:textId="0CEBEF68" w:rsidR="00F61AE9" w:rsidRPr="00CD0FE5" w:rsidRDefault="00F61AE9" w:rsidP="00CD0FE5">
            <w:pPr>
              <w:spacing w:before="120" w:after="120"/>
            </w:pPr>
          </w:p>
        </w:tc>
        <w:tc>
          <w:tcPr>
            <w:tcW w:w="5868" w:type="dxa"/>
          </w:tcPr>
          <w:p w14:paraId="05DA63E5" w14:textId="6E56D064" w:rsidR="002E7D34" w:rsidRPr="00CD0FE5" w:rsidRDefault="00314619" w:rsidP="00314619">
            <w:pPr>
              <w:pStyle w:val="ListParagraph"/>
              <w:numPr>
                <w:ilvl w:val="0"/>
                <w:numId w:val="6"/>
              </w:numPr>
              <w:spacing w:before="120" w:after="120" w:line="259" w:lineRule="auto"/>
              <w:ind w:left="380" w:hanging="380"/>
            </w:pPr>
            <w:r w:rsidRPr="00CD0FE5">
              <w:t>This is an administrative change</w:t>
            </w:r>
            <w:r>
              <w:t xml:space="preserve"> - no action required.</w:t>
            </w:r>
          </w:p>
        </w:tc>
      </w:tr>
      <w:tr w:rsidR="00314619" w:rsidRPr="00CD0FE5" w14:paraId="5989132B" w14:textId="77777777" w:rsidTr="00A879E9">
        <w:tc>
          <w:tcPr>
            <w:tcW w:w="1980" w:type="dxa"/>
          </w:tcPr>
          <w:p w14:paraId="085A9C70" w14:textId="15488272" w:rsidR="00314619" w:rsidRPr="00CD0FE5" w:rsidRDefault="00314619" w:rsidP="00314619">
            <w:pPr>
              <w:spacing w:before="120" w:after="120"/>
            </w:pPr>
            <w:r>
              <w:lastRenderedPageBreak/>
              <w:t>Third-party providers of assurance services</w:t>
            </w:r>
          </w:p>
        </w:tc>
        <w:tc>
          <w:tcPr>
            <w:tcW w:w="6100" w:type="dxa"/>
          </w:tcPr>
          <w:p w14:paraId="422AC4A7" w14:textId="512F7CE1" w:rsidR="00314619" w:rsidRPr="00FF0D9A" w:rsidRDefault="00314619" w:rsidP="00314619">
            <w:pPr>
              <w:spacing w:before="120" w:after="120"/>
              <w:rPr>
                <w:b/>
                <w:bCs/>
              </w:rPr>
            </w:pPr>
            <w:r w:rsidRPr="00FF0D9A">
              <w:rPr>
                <w:b/>
                <w:bCs/>
              </w:rPr>
              <w:t xml:space="preserve">Request for suspension of approved arrangement for </w:t>
            </w:r>
            <w:r w:rsidRPr="00314619">
              <w:rPr>
                <w:b/>
                <w:bCs/>
              </w:rPr>
              <w:t>exporter supply chain assurance operations</w:t>
            </w:r>
            <w:r w:rsidRPr="0065753A">
              <w:rPr>
                <w:b/>
                <w:bCs/>
              </w:rPr>
              <w:t xml:space="preserve"> (ESCAO)</w:t>
            </w:r>
            <w:r w:rsidRPr="00FF0D9A">
              <w:rPr>
                <w:b/>
                <w:bCs/>
              </w:rPr>
              <w:t xml:space="preserve"> by holder</w:t>
            </w:r>
          </w:p>
          <w:p w14:paraId="173030DC" w14:textId="67C379E7" w:rsidR="00314619" w:rsidRPr="00CD0FE5" w:rsidRDefault="00314619" w:rsidP="00314619">
            <w:pPr>
              <w:spacing w:before="120" w:after="120"/>
            </w:pPr>
            <w:r>
              <w:t>Allows the h</w:t>
            </w:r>
            <w:r w:rsidRPr="00CD0FE5">
              <w:t>older of an AA</w:t>
            </w:r>
            <w:r>
              <w:t xml:space="preserve"> for ESCAO</w:t>
            </w:r>
            <w:r w:rsidRPr="00CD0FE5">
              <w:t xml:space="preserve"> </w:t>
            </w:r>
            <w:r>
              <w:t>to</w:t>
            </w:r>
            <w:r w:rsidRPr="00CD0FE5">
              <w:t xml:space="preserve"> request suspend the</w:t>
            </w:r>
            <w:r>
              <w:t xml:space="preserve"> AA</w:t>
            </w:r>
            <w:r w:rsidRPr="00CD0FE5">
              <w:t xml:space="preserve"> or </w:t>
            </w:r>
            <w:r>
              <w:t xml:space="preserve">a </w:t>
            </w:r>
            <w:r w:rsidRPr="00CD0FE5">
              <w:t>part of the AA.</w:t>
            </w:r>
          </w:p>
        </w:tc>
        <w:tc>
          <w:tcPr>
            <w:tcW w:w="5868" w:type="dxa"/>
          </w:tcPr>
          <w:p w14:paraId="2ECF15EE" w14:textId="1A94B5C8" w:rsidR="00314619" w:rsidRPr="00CD0FE5" w:rsidRDefault="00314619" w:rsidP="00314619">
            <w:pPr>
              <w:pStyle w:val="ListParagraph"/>
              <w:numPr>
                <w:ilvl w:val="0"/>
                <w:numId w:val="6"/>
              </w:numPr>
              <w:spacing w:before="120" w:after="120"/>
              <w:ind w:left="380" w:hanging="380"/>
            </w:pPr>
            <w:r w:rsidRPr="00CD0FE5">
              <w:t>This is an administrative change</w:t>
            </w:r>
            <w:r>
              <w:t xml:space="preserve"> - no action required.</w:t>
            </w:r>
          </w:p>
        </w:tc>
      </w:tr>
      <w:tr w:rsidR="00314619" w:rsidRPr="00CD0FE5" w14:paraId="487AFD69" w14:textId="77777777" w:rsidTr="00A879E9">
        <w:tc>
          <w:tcPr>
            <w:tcW w:w="1980" w:type="dxa"/>
          </w:tcPr>
          <w:p w14:paraId="30FD12CB" w14:textId="316DB41B" w:rsidR="00314619" w:rsidRPr="00FF0D9A" w:rsidRDefault="00314619" w:rsidP="00314619">
            <w:pPr>
              <w:spacing w:before="120" w:after="120"/>
              <w:rPr>
                <w:highlight w:val="yellow"/>
              </w:rPr>
            </w:pPr>
            <w:r>
              <w:t>AAVs</w:t>
            </w:r>
          </w:p>
        </w:tc>
        <w:tc>
          <w:tcPr>
            <w:tcW w:w="6100" w:type="dxa"/>
          </w:tcPr>
          <w:p w14:paraId="2B76B866" w14:textId="53441AC4" w:rsidR="00314619" w:rsidRPr="005E28B9" w:rsidRDefault="00314619" w:rsidP="00314619">
            <w:pPr>
              <w:spacing w:before="120" w:after="120"/>
              <w:rPr>
                <w:b/>
                <w:bCs/>
              </w:rPr>
            </w:pPr>
            <w:r w:rsidRPr="005E28B9">
              <w:rPr>
                <w:b/>
                <w:bCs/>
              </w:rPr>
              <w:t xml:space="preserve">Period of response to show cause notice – variation, suspension and revocation of </w:t>
            </w:r>
            <w:proofErr w:type="gramStart"/>
            <w:r w:rsidRPr="005E28B9">
              <w:rPr>
                <w:b/>
                <w:bCs/>
              </w:rPr>
              <w:t>accreditation</w:t>
            </w:r>
            <w:proofErr w:type="gramEnd"/>
          </w:p>
          <w:p w14:paraId="77C6B5CF" w14:textId="167A0B26" w:rsidR="00314619" w:rsidRPr="008665B1" w:rsidRDefault="005E28B9" w:rsidP="00314619">
            <w:pPr>
              <w:spacing w:before="120" w:after="120"/>
            </w:pPr>
            <w:r>
              <w:t xml:space="preserve">This change allows the department to provide AAVs with more time to respond to a notice of proposed </w:t>
            </w:r>
            <w:r w:rsidR="008665B1">
              <w:t xml:space="preserve">variation, </w:t>
            </w:r>
            <w:proofErr w:type="gramStart"/>
            <w:r>
              <w:t>suspension</w:t>
            </w:r>
            <w:proofErr w:type="gramEnd"/>
            <w:r>
              <w:t xml:space="preserve"> or revocation (show cause notice) in appropriate cases, particularly where there are more complex issues to be addressed.</w:t>
            </w:r>
          </w:p>
        </w:tc>
        <w:tc>
          <w:tcPr>
            <w:tcW w:w="5868" w:type="dxa"/>
          </w:tcPr>
          <w:p w14:paraId="1D39ABA8" w14:textId="271D3F55" w:rsidR="00314619" w:rsidRPr="00CD0FE5" w:rsidRDefault="00F24CE6" w:rsidP="00A879E9">
            <w:pPr>
              <w:pStyle w:val="ListParagraph"/>
              <w:numPr>
                <w:ilvl w:val="0"/>
                <w:numId w:val="6"/>
              </w:numPr>
              <w:spacing w:before="120" w:after="120"/>
              <w:ind w:left="380" w:hanging="380"/>
            </w:pPr>
            <w:r w:rsidRPr="00CD0FE5">
              <w:t>This is an administrative change</w:t>
            </w:r>
            <w:r>
              <w:t xml:space="preserve"> - no action required.</w:t>
            </w:r>
          </w:p>
        </w:tc>
      </w:tr>
      <w:tr w:rsidR="008665B1" w:rsidRPr="00CD0FE5" w14:paraId="5C28D0F3" w14:textId="77777777" w:rsidTr="00A879E9">
        <w:tc>
          <w:tcPr>
            <w:tcW w:w="1980" w:type="dxa"/>
          </w:tcPr>
          <w:p w14:paraId="05FE0437" w14:textId="48A1B433" w:rsidR="008665B1" w:rsidRPr="00C13EE0" w:rsidRDefault="008665B1" w:rsidP="008665B1">
            <w:pPr>
              <w:spacing w:before="120" w:after="120"/>
            </w:pPr>
            <w:r>
              <w:t>AAVs</w:t>
            </w:r>
          </w:p>
        </w:tc>
        <w:tc>
          <w:tcPr>
            <w:tcW w:w="6100" w:type="dxa"/>
          </w:tcPr>
          <w:p w14:paraId="495E614C" w14:textId="77777777" w:rsidR="008665B1" w:rsidRPr="008665B1" w:rsidRDefault="008665B1" w:rsidP="008665B1">
            <w:pPr>
              <w:spacing w:before="120" w:after="120"/>
              <w:rPr>
                <w:b/>
                <w:bCs/>
              </w:rPr>
            </w:pPr>
            <w:r w:rsidRPr="008665B1">
              <w:rPr>
                <w:b/>
                <w:bCs/>
              </w:rPr>
              <w:t>Records by shipboard accredited veterinarians</w:t>
            </w:r>
          </w:p>
          <w:p w14:paraId="44C77893" w14:textId="2CDE4CC2" w:rsidR="008665B1" w:rsidRPr="00CD0FE5" w:rsidRDefault="00A817F1" w:rsidP="008665B1">
            <w:pPr>
              <w:spacing w:before="120" w:after="120"/>
            </w:pPr>
            <w:r>
              <w:t>Clarification that b</w:t>
            </w:r>
            <w:r w:rsidR="008665B1">
              <w:t>oth</w:t>
            </w:r>
            <w:r w:rsidR="008665B1" w:rsidRPr="00CD0FE5">
              <w:t xml:space="preserve"> </w:t>
            </w:r>
            <w:proofErr w:type="gramStart"/>
            <w:r w:rsidR="008665B1" w:rsidRPr="00CD0FE5">
              <w:t>land-based</w:t>
            </w:r>
            <w:proofErr w:type="gramEnd"/>
            <w:r w:rsidR="008665B1" w:rsidRPr="00CD0FE5">
              <w:t xml:space="preserve"> and shipboard </w:t>
            </w:r>
            <w:r w:rsidR="008665B1">
              <w:t>AAVs</w:t>
            </w:r>
            <w:r w:rsidR="008665B1" w:rsidRPr="00CD0FE5">
              <w:t xml:space="preserve"> </w:t>
            </w:r>
            <w:r w:rsidR="008665B1">
              <w:t>must</w:t>
            </w:r>
            <w:r w:rsidR="008665B1" w:rsidRPr="00CD0FE5">
              <w:t xml:space="preserve"> comply with relevant record keeping requirements</w:t>
            </w:r>
            <w:r w:rsidR="008665B1">
              <w:t>.</w:t>
            </w:r>
          </w:p>
          <w:p w14:paraId="7CF45BB6" w14:textId="77777777" w:rsidR="008665B1" w:rsidRPr="00FF0D9A" w:rsidRDefault="008665B1" w:rsidP="008665B1">
            <w:pPr>
              <w:spacing w:before="120" w:after="120"/>
              <w:rPr>
                <w:b/>
                <w:bCs/>
              </w:rPr>
            </w:pPr>
          </w:p>
        </w:tc>
        <w:tc>
          <w:tcPr>
            <w:tcW w:w="5868" w:type="dxa"/>
          </w:tcPr>
          <w:p w14:paraId="184C38FF" w14:textId="77777777" w:rsidR="008665B1" w:rsidRPr="00CD0FE5" w:rsidRDefault="008665B1" w:rsidP="008665B1">
            <w:pPr>
              <w:pStyle w:val="ListParagraph"/>
              <w:numPr>
                <w:ilvl w:val="0"/>
                <w:numId w:val="6"/>
              </w:numPr>
              <w:spacing w:before="120" w:after="120"/>
              <w:ind w:left="380" w:hanging="380"/>
            </w:pPr>
            <w:r>
              <w:t>AAVs must ensure they have a process for keeping required records.</w:t>
            </w:r>
          </w:p>
          <w:p w14:paraId="456F5BFD" w14:textId="31B5A625" w:rsidR="008665B1" w:rsidRDefault="008665B1" w:rsidP="005874D1">
            <w:pPr>
              <w:pStyle w:val="ListParagraph"/>
              <w:numPr>
                <w:ilvl w:val="0"/>
                <w:numId w:val="6"/>
              </w:numPr>
              <w:spacing w:before="120" w:after="120"/>
              <w:ind w:left="380" w:hanging="380"/>
            </w:pPr>
            <w:r>
              <w:t xml:space="preserve">Refer to the </w:t>
            </w:r>
            <w:hyperlink r:id="rId17" w:history="1">
              <w:r w:rsidR="00A879E9" w:rsidRPr="00A879E9">
                <w:rPr>
                  <w:rStyle w:val="Hyperlink"/>
                </w:rPr>
                <w:t>Approved Expor</w:t>
              </w:r>
              <w:r w:rsidR="00A879E9" w:rsidRPr="00A879E9">
                <w:rPr>
                  <w:rStyle w:val="Hyperlink"/>
                </w:rPr>
                <w:t>t</w:t>
              </w:r>
              <w:r w:rsidR="00A879E9" w:rsidRPr="00A879E9">
                <w:rPr>
                  <w:rStyle w:val="Hyperlink"/>
                </w:rPr>
                <w:t xml:space="preserve"> Program guidelines for the export of livestock</w:t>
              </w:r>
            </w:hyperlink>
            <w:r>
              <w:t xml:space="preserve"> and </w:t>
            </w:r>
            <w:hyperlink r:id="rId18" w:history="1">
              <w:r w:rsidR="005874D1" w:rsidRPr="003E013A">
                <w:rPr>
                  <w:rStyle w:val="Hyperlink"/>
                </w:rPr>
                <w:t>Roles and Res</w:t>
              </w:r>
              <w:r w:rsidR="005874D1" w:rsidRPr="003E013A">
                <w:rPr>
                  <w:rStyle w:val="Hyperlink"/>
                </w:rPr>
                <w:t>p</w:t>
              </w:r>
              <w:r w:rsidR="005874D1" w:rsidRPr="003E013A">
                <w:rPr>
                  <w:rStyle w:val="Hyperlink"/>
                </w:rPr>
                <w:t>onsibilities of AAVs</w:t>
              </w:r>
            </w:hyperlink>
            <w:r>
              <w:t>.</w:t>
            </w:r>
          </w:p>
        </w:tc>
      </w:tr>
      <w:tr w:rsidR="008665B1" w:rsidRPr="00CD0FE5" w14:paraId="24E88297" w14:textId="77777777" w:rsidTr="00A879E9">
        <w:tc>
          <w:tcPr>
            <w:tcW w:w="1980" w:type="dxa"/>
          </w:tcPr>
          <w:p w14:paraId="35361DED" w14:textId="32F6D862" w:rsidR="008665B1" w:rsidRPr="00C13EE0" w:rsidRDefault="008665B1" w:rsidP="008665B1">
            <w:pPr>
              <w:spacing w:before="120" w:after="120"/>
            </w:pPr>
            <w:r>
              <w:t>AAVs</w:t>
            </w:r>
          </w:p>
        </w:tc>
        <w:tc>
          <w:tcPr>
            <w:tcW w:w="6100" w:type="dxa"/>
          </w:tcPr>
          <w:p w14:paraId="54373BEE" w14:textId="77777777" w:rsidR="008665B1" w:rsidRPr="008665B1" w:rsidRDefault="008665B1" w:rsidP="008665B1">
            <w:pPr>
              <w:spacing w:before="120" w:after="120"/>
              <w:rPr>
                <w:b/>
                <w:bCs/>
              </w:rPr>
            </w:pPr>
            <w:r w:rsidRPr="008665B1">
              <w:rPr>
                <w:b/>
                <w:bCs/>
              </w:rPr>
              <w:t>Records of invoices</w:t>
            </w:r>
          </w:p>
          <w:p w14:paraId="7826E61C" w14:textId="4481C7B5" w:rsidR="008665B1" w:rsidRPr="00FF0D9A" w:rsidRDefault="008665B1" w:rsidP="008665B1">
            <w:pPr>
              <w:spacing w:before="120" w:after="120"/>
              <w:rPr>
                <w:b/>
                <w:bCs/>
              </w:rPr>
            </w:pPr>
            <w:r>
              <w:t>AAVs must keep a copy of all invoices</w:t>
            </w:r>
            <w:r w:rsidRPr="008665B1">
              <w:t xml:space="preserve"> received relating to the purchase of a drug or product for administration to export livestock.</w:t>
            </w:r>
          </w:p>
        </w:tc>
        <w:tc>
          <w:tcPr>
            <w:tcW w:w="5868" w:type="dxa"/>
          </w:tcPr>
          <w:p w14:paraId="0A453C6D" w14:textId="77777777" w:rsidR="008665B1" w:rsidRPr="00CD0FE5" w:rsidRDefault="008665B1" w:rsidP="008665B1">
            <w:pPr>
              <w:pStyle w:val="ListParagraph"/>
              <w:numPr>
                <w:ilvl w:val="0"/>
                <w:numId w:val="6"/>
              </w:numPr>
              <w:spacing w:before="120" w:after="120"/>
              <w:ind w:left="380" w:hanging="380"/>
            </w:pPr>
            <w:r>
              <w:t>AAVs must ensure they have a process for keeping required records.</w:t>
            </w:r>
          </w:p>
          <w:p w14:paraId="0756B849" w14:textId="4C32B9F2" w:rsidR="008665B1" w:rsidRDefault="00A879E9" w:rsidP="008665B1">
            <w:pPr>
              <w:pStyle w:val="ListParagraph"/>
              <w:numPr>
                <w:ilvl w:val="0"/>
                <w:numId w:val="6"/>
              </w:numPr>
              <w:spacing w:before="120" w:after="120"/>
              <w:ind w:left="380" w:hanging="380"/>
            </w:pPr>
            <w:r>
              <w:t xml:space="preserve">Refer to the </w:t>
            </w:r>
            <w:hyperlink r:id="rId19" w:history="1">
              <w:r w:rsidRPr="00A879E9">
                <w:rPr>
                  <w:rStyle w:val="Hyperlink"/>
                </w:rPr>
                <w:t>Approved E</w:t>
              </w:r>
              <w:r w:rsidRPr="00A879E9">
                <w:rPr>
                  <w:rStyle w:val="Hyperlink"/>
                </w:rPr>
                <w:t>x</w:t>
              </w:r>
              <w:r w:rsidRPr="00A879E9">
                <w:rPr>
                  <w:rStyle w:val="Hyperlink"/>
                </w:rPr>
                <w:t>port Program guidelines for the export of livestock</w:t>
              </w:r>
            </w:hyperlink>
            <w:r>
              <w:t xml:space="preserve"> and </w:t>
            </w:r>
            <w:hyperlink r:id="rId20" w:history="1">
              <w:r w:rsidRPr="003E013A">
                <w:rPr>
                  <w:rStyle w:val="Hyperlink"/>
                </w:rPr>
                <w:t>Roles and Respo</w:t>
              </w:r>
              <w:r w:rsidRPr="003E013A">
                <w:rPr>
                  <w:rStyle w:val="Hyperlink"/>
                </w:rPr>
                <w:t>n</w:t>
              </w:r>
              <w:r w:rsidRPr="003E013A">
                <w:rPr>
                  <w:rStyle w:val="Hyperlink"/>
                </w:rPr>
                <w:t>sibilities of AAVs</w:t>
              </w:r>
            </w:hyperlink>
            <w:r>
              <w:t>.</w:t>
            </w:r>
          </w:p>
        </w:tc>
      </w:tr>
      <w:tr w:rsidR="008665B1" w:rsidRPr="00CD0FE5" w14:paraId="0A0B6142" w14:textId="77777777" w:rsidTr="00A879E9">
        <w:tc>
          <w:tcPr>
            <w:tcW w:w="1980" w:type="dxa"/>
          </w:tcPr>
          <w:p w14:paraId="278FD98A" w14:textId="77777777" w:rsidR="00CC62E1" w:rsidRPr="00FF0D9A" w:rsidRDefault="00CC62E1" w:rsidP="00CC62E1">
            <w:pPr>
              <w:spacing w:before="120" w:after="120"/>
            </w:pPr>
            <w:r w:rsidRPr="00FF0D9A">
              <w:t>Livestock exporters</w:t>
            </w:r>
          </w:p>
          <w:p w14:paraId="31F62DEB" w14:textId="77777777" w:rsidR="00CC62E1" w:rsidRDefault="00CC62E1" w:rsidP="00CC62E1">
            <w:pPr>
              <w:spacing w:before="120" w:after="120"/>
            </w:pPr>
            <w:r>
              <w:t>Other l</w:t>
            </w:r>
            <w:r w:rsidRPr="00FF0D9A">
              <w:t>ive animal exporters</w:t>
            </w:r>
          </w:p>
          <w:p w14:paraId="5DAC13C4" w14:textId="61D718FD" w:rsidR="008665B1" w:rsidRPr="00C13EE0" w:rsidRDefault="00CC62E1" w:rsidP="00CC62E1">
            <w:pPr>
              <w:spacing w:before="120" w:after="120"/>
            </w:pPr>
            <w:r>
              <w:lastRenderedPageBreak/>
              <w:t>R</w:t>
            </w:r>
            <w:r w:rsidR="008665B1" w:rsidRPr="00FF0D9A">
              <w:t>eproductive material</w:t>
            </w:r>
            <w:r>
              <w:t xml:space="preserve"> exporters</w:t>
            </w:r>
          </w:p>
        </w:tc>
        <w:tc>
          <w:tcPr>
            <w:tcW w:w="6100" w:type="dxa"/>
          </w:tcPr>
          <w:p w14:paraId="0D401F12" w14:textId="46152E1A" w:rsidR="008665B1" w:rsidRPr="00FF0D9A" w:rsidRDefault="008665B1" w:rsidP="008665B1">
            <w:pPr>
              <w:spacing w:before="120" w:after="120"/>
              <w:rPr>
                <w:b/>
                <w:bCs/>
              </w:rPr>
            </w:pPr>
            <w:r w:rsidRPr="00FF0D9A">
              <w:rPr>
                <w:b/>
                <w:bCs/>
              </w:rPr>
              <w:lastRenderedPageBreak/>
              <w:t>Revocation and reissue of government certificate</w:t>
            </w:r>
            <w:r>
              <w:rPr>
                <w:b/>
                <w:bCs/>
              </w:rPr>
              <w:t>s</w:t>
            </w:r>
          </w:p>
          <w:p w14:paraId="0B14ECA3" w14:textId="00FD50C1" w:rsidR="008665B1" w:rsidRDefault="008665B1" w:rsidP="008665B1">
            <w:pPr>
              <w:spacing w:before="120" w:after="120"/>
            </w:pPr>
            <w:r>
              <w:t>E</w:t>
            </w:r>
            <w:r w:rsidRPr="00C13EE0">
              <w:t xml:space="preserve">xporters can </w:t>
            </w:r>
            <w:r w:rsidR="00C73921">
              <w:t xml:space="preserve">now </w:t>
            </w:r>
            <w:r w:rsidRPr="00C13EE0">
              <w:t xml:space="preserve">request </w:t>
            </w:r>
            <w:r>
              <w:t xml:space="preserve">the revocation of a </w:t>
            </w:r>
            <w:r w:rsidR="00CC62E1">
              <w:t>g</w:t>
            </w:r>
            <w:r>
              <w:t>overnment</w:t>
            </w:r>
            <w:r w:rsidR="00CC62E1">
              <w:t xml:space="preserve"> (health)</w:t>
            </w:r>
            <w:r w:rsidR="00A817F1">
              <w:t xml:space="preserve"> certificate</w:t>
            </w:r>
            <w:r>
              <w:t>.</w:t>
            </w:r>
          </w:p>
          <w:p w14:paraId="26E7392D" w14:textId="77777777" w:rsidR="008665B1" w:rsidRDefault="008665B1" w:rsidP="008665B1">
            <w:pPr>
              <w:spacing w:before="120" w:after="120"/>
            </w:pPr>
            <w:r>
              <w:t xml:space="preserve">Applications for a new government certificate must include details of any changes from the earlier application. The </w:t>
            </w:r>
            <w:r>
              <w:lastRenderedPageBreak/>
              <w:t xml:space="preserve">department may also accept information previously given by the exporter in relation the earlier application. </w:t>
            </w:r>
          </w:p>
          <w:p w14:paraId="2D7F315A" w14:textId="063E93A5" w:rsidR="008665B1" w:rsidRPr="00C13EE0" w:rsidRDefault="008665B1" w:rsidP="008665B1">
            <w:pPr>
              <w:spacing w:before="120" w:after="120"/>
            </w:pPr>
            <w:r w:rsidRPr="00877DD0">
              <w:rPr>
                <w:b/>
                <w:bCs/>
              </w:rPr>
              <w:t>Note:</w:t>
            </w:r>
            <w:r>
              <w:t xml:space="preserve"> previously this provision only applied to livestock. It now also applies to animals other than livestock and reproductive material.</w:t>
            </w:r>
          </w:p>
        </w:tc>
        <w:tc>
          <w:tcPr>
            <w:tcW w:w="5868" w:type="dxa"/>
          </w:tcPr>
          <w:p w14:paraId="3718228E" w14:textId="77777777" w:rsidR="008665B1" w:rsidRDefault="008665B1" w:rsidP="008665B1">
            <w:pPr>
              <w:pStyle w:val="ListParagraph"/>
              <w:numPr>
                <w:ilvl w:val="0"/>
                <w:numId w:val="6"/>
              </w:numPr>
              <w:spacing w:before="120" w:after="120" w:line="259" w:lineRule="auto"/>
              <w:ind w:left="380" w:hanging="380"/>
            </w:pPr>
            <w:r>
              <w:lastRenderedPageBreak/>
              <w:t>T</w:t>
            </w:r>
            <w:r w:rsidRPr="00FA6DE8">
              <w:t>his only applies if you are</w:t>
            </w:r>
            <w:r>
              <w:t xml:space="preserve"> an exporter intending to apply for a revocation and/or reissue of your government certificates.</w:t>
            </w:r>
          </w:p>
          <w:p w14:paraId="039519CC" w14:textId="661C3D47" w:rsidR="005874D1" w:rsidRPr="00CD0FE5" w:rsidRDefault="005874D1" w:rsidP="008665B1">
            <w:pPr>
              <w:pStyle w:val="ListParagraph"/>
              <w:numPr>
                <w:ilvl w:val="0"/>
                <w:numId w:val="6"/>
              </w:numPr>
              <w:spacing w:before="120" w:after="120" w:line="259" w:lineRule="auto"/>
              <w:ind w:left="380" w:hanging="380"/>
            </w:pPr>
            <w:r w:rsidRPr="00A879E9">
              <w:t xml:space="preserve">Refer to </w:t>
            </w:r>
            <w:hyperlink r:id="rId21" w:history="1">
              <w:r w:rsidR="00A879E9" w:rsidRPr="00A879E9">
                <w:rPr>
                  <w:rStyle w:val="Hyperlink"/>
                </w:rPr>
                <w:t>E</w:t>
              </w:r>
              <w:r w:rsidR="00736297" w:rsidRPr="00A879E9">
                <w:rPr>
                  <w:rStyle w:val="Hyperlink"/>
                </w:rPr>
                <w:t>xporting comp</w:t>
              </w:r>
              <w:r w:rsidR="00736297" w:rsidRPr="00A879E9">
                <w:rPr>
                  <w:rStyle w:val="Hyperlink"/>
                </w:rPr>
                <w:t>a</w:t>
              </w:r>
              <w:r w:rsidR="00736297" w:rsidRPr="00A879E9">
                <w:rPr>
                  <w:rStyle w:val="Hyperlink"/>
                </w:rPr>
                <w:t xml:space="preserve">nion animals and other </w:t>
              </w:r>
              <w:r w:rsidR="00A879E9">
                <w:rPr>
                  <w:rStyle w:val="Hyperlink"/>
                </w:rPr>
                <w:t xml:space="preserve">live </w:t>
              </w:r>
              <w:r w:rsidR="00736297" w:rsidRPr="00A879E9">
                <w:rPr>
                  <w:rStyle w:val="Hyperlink"/>
                </w:rPr>
                <w:t>animals</w:t>
              </w:r>
            </w:hyperlink>
            <w:r w:rsidR="00736297" w:rsidRPr="00A879E9">
              <w:t xml:space="preserve"> for further information</w:t>
            </w:r>
            <w:r w:rsidR="00736297">
              <w:t>.</w:t>
            </w:r>
          </w:p>
        </w:tc>
      </w:tr>
      <w:tr w:rsidR="008665B1" w:rsidRPr="00CD0FE5" w14:paraId="60BC3CD0" w14:textId="77777777" w:rsidTr="00A879E9">
        <w:tc>
          <w:tcPr>
            <w:tcW w:w="1980" w:type="dxa"/>
          </w:tcPr>
          <w:p w14:paraId="24286F57" w14:textId="74850320" w:rsidR="008665B1" w:rsidRPr="00FF0D9A" w:rsidRDefault="008665B1" w:rsidP="008665B1">
            <w:pPr>
              <w:spacing w:before="120" w:after="120"/>
            </w:pPr>
            <w:r w:rsidRPr="00FF0D9A">
              <w:t>Livestock exporters</w:t>
            </w:r>
          </w:p>
          <w:p w14:paraId="1B134898" w14:textId="6D08F561" w:rsidR="00B817BE" w:rsidRDefault="00B817BE" w:rsidP="00B817BE">
            <w:pPr>
              <w:spacing w:before="120" w:after="120"/>
            </w:pPr>
            <w:r>
              <w:t>Other l</w:t>
            </w:r>
            <w:r w:rsidRPr="00FF0D9A">
              <w:t>ive animal exporters</w:t>
            </w:r>
          </w:p>
          <w:p w14:paraId="719ED2A7" w14:textId="411DBA55" w:rsidR="008665B1" w:rsidRPr="00FF0D9A" w:rsidRDefault="008665B1" w:rsidP="008665B1">
            <w:pPr>
              <w:spacing w:before="120" w:after="120"/>
              <w:rPr>
                <w:highlight w:val="yellow"/>
              </w:rPr>
            </w:pPr>
          </w:p>
        </w:tc>
        <w:tc>
          <w:tcPr>
            <w:tcW w:w="6100" w:type="dxa"/>
          </w:tcPr>
          <w:p w14:paraId="5CE3B801" w14:textId="355C5450" w:rsidR="008665B1" w:rsidRPr="00FF0D9A" w:rsidRDefault="008665B1" w:rsidP="008665B1">
            <w:pPr>
              <w:spacing w:before="120" w:after="120"/>
              <w:rPr>
                <w:rStyle w:val="ui-provider"/>
                <w:b/>
                <w:bCs/>
              </w:rPr>
            </w:pPr>
            <w:r w:rsidRPr="00FF0D9A">
              <w:rPr>
                <w:b/>
                <w:bCs/>
              </w:rPr>
              <w:t>Revocation of approval of notice of intention to export</w:t>
            </w:r>
          </w:p>
          <w:p w14:paraId="75043AEA" w14:textId="52995541" w:rsidR="008665B1" w:rsidRPr="00CD0FE5" w:rsidRDefault="008665B1" w:rsidP="008665B1">
            <w:pPr>
              <w:spacing w:before="120" w:after="120"/>
            </w:pPr>
            <w:r>
              <w:rPr>
                <w:rStyle w:val="ui-provider"/>
              </w:rPr>
              <w:t xml:space="preserve">The department may revoke a notice of intention (NOI) to export if the exporter has </w:t>
            </w:r>
            <w:r>
              <w:t>not supplied true or accurate information.</w:t>
            </w:r>
          </w:p>
        </w:tc>
        <w:tc>
          <w:tcPr>
            <w:tcW w:w="5868" w:type="dxa"/>
          </w:tcPr>
          <w:p w14:paraId="4ADF9770" w14:textId="5F68766D" w:rsidR="008665B1" w:rsidRDefault="008665B1" w:rsidP="008665B1">
            <w:pPr>
              <w:pStyle w:val="ListParagraph"/>
              <w:numPr>
                <w:ilvl w:val="0"/>
                <w:numId w:val="6"/>
              </w:numPr>
              <w:spacing w:before="120" w:after="120"/>
              <w:ind w:left="380" w:hanging="380"/>
            </w:pPr>
            <w:r>
              <w:t>No action required.</w:t>
            </w:r>
          </w:p>
          <w:p w14:paraId="0F9D9F51" w14:textId="77777777" w:rsidR="008665B1" w:rsidRDefault="008665B1" w:rsidP="008665B1">
            <w:pPr>
              <w:pStyle w:val="ListParagraph"/>
              <w:numPr>
                <w:ilvl w:val="0"/>
                <w:numId w:val="6"/>
              </w:numPr>
              <w:spacing w:before="120" w:after="120"/>
              <w:ind w:left="380" w:hanging="380"/>
            </w:pPr>
            <w:r>
              <w:t>This does not affect the process by which NOIs are currently approved (including in relation to short haul cattle consignments to Indonesia by sea or in other instances where the commercial realities of the livestock trade mean certain details cannot sometimes be fully provided on the NOI until closer to the departure date).</w:t>
            </w:r>
          </w:p>
          <w:p w14:paraId="3E5512BA" w14:textId="14B0D3A1" w:rsidR="00AF5637" w:rsidRPr="00CD0FE5" w:rsidRDefault="00AF5637" w:rsidP="00023740">
            <w:pPr>
              <w:pStyle w:val="ListParagraph"/>
              <w:numPr>
                <w:ilvl w:val="0"/>
                <w:numId w:val="6"/>
              </w:numPr>
              <w:spacing w:before="120" w:after="120"/>
              <w:ind w:left="380" w:hanging="380"/>
            </w:pPr>
            <w:r>
              <w:rPr>
                <w:rFonts w:ascii="Calibri" w:eastAsiaTheme="majorEastAsia" w:hAnsi="Calibri" w:cs="Calibri"/>
                <w:color w:val="000000" w:themeColor="text1"/>
              </w:rPr>
              <w:t xml:space="preserve">Refer to </w:t>
            </w:r>
            <w:hyperlink r:id="rId22" w:history="1">
              <w:r w:rsidR="002240EB" w:rsidRPr="002240EB">
                <w:rPr>
                  <w:rStyle w:val="Hyperlink"/>
                  <w:rFonts w:ascii="Calibri" w:eastAsiaTheme="majorEastAsia" w:hAnsi="Calibri" w:cs="Calibri"/>
                </w:rPr>
                <w:t>Exporting a livestock consignment</w:t>
              </w:r>
            </w:hyperlink>
            <w:r w:rsidR="002240EB">
              <w:rPr>
                <w:rFonts w:ascii="Calibri" w:eastAsiaTheme="majorEastAsia" w:hAnsi="Calibri" w:cs="Calibri"/>
                <w:color w:val="000000" w:themeColor="text1"/>
              </w:rPr>
              <w:t xml:space="preserve">, </w:t>
            </w:r>
            <w:hyperlink r:id="rId23" w:history="1">
              <w:r w:rsidR="002240EB" w:rsidRPr="002240EB">
                <w:rPr>
                  <w:rStyle w:val="Hyperlink"/>
                  <w:rFonts w:ascii="Calibri" w:eastAsiaTheme="majorEastAsia" w:hAnsi="Calibri" w:cs="Calibri"/>
                </w:rPr>
                <w:t>Exporting live horses</w:t>
              </w:r>
            </w:hyperlink>
            <w:r w:rsidR="002240EB">
              <w:rPr>
                <w:rFonts w:ascii="Calibri" w:eastAsiaTheme="majorEastAsia" w:hAnsi="Calibri" w:cs="Calibri"/>
                <w:color w:val="000000" w:themeColor="text1"/>
              </w:rPr>
              <w:t xml:space="preserve"> and </w:t>
            </w:r>
            <w:hyperlink r:id="rId24" w:history="1">
              <w:r w:rsidR="00023740" w:rsidRPr="00023740">
                <w:rPr>
                  <w:rStyle w:val="Hyperlink"/>
                  <w:rFonts w:ascii="Calibri" w:eastAsiaTheme="majorEastAsia" w:hAnsi="Calibri" w:cs="Calibri"/>
                </w:rPr>
                <w:t>Exporting companion a</w:t>
              </w:r>
              <w:r w:rsidR="00023740" w:rsidRPr="00023740">
                <w:rPr>
                  <w:rStyle w:val="Hyperlink"/>
                  <w:rFonts w:ascii="Calibri" w:eastAsiaTheme="majorEastAsia" w:hAnsi="Calibri" w:cs="Calibri"/>
                </w:rPr>
                <w:t>n</w:t>
              </w:r>
              <w:r w:rsidR="00023740" w:rsidRPr="00023740">
                <w:rPr>
                  <w:rStyle w:val="Hyperlink"/>
                  <w:rFonts w:ascii="Calibri" w:eastAsiaTheme="majorEastAsia" w:hAnsi="Calibri" w:cs="Calibri"/>
                </w:rPr>
                <w:t>imals and other live animals</w:t>
              </w:r>
            </w:hyperlink>
            <w:r w:rsidR="00023740">
              <w:rPr>
                <w:rFonts w:ascii="Calibri" w:eastAsiaTheme="majorEastAsia" w:hAnsi="Calibri" w:cs="Calibri"/>
                <w:color w:val="000000" w:themeColor="text1"/>
              </w:rPr>
              <w:t xml:space="preserve"> </w:t>
            </w:r>
            <w:r w:rsidR="002240EB" w:rsidRPr="00023740">
              <w:rPr>
                <w:rFonts w:ascii="Calibri" w:eastAsiaTheme="majorEastAsia" w:hAnsi="Calibri" w:cs="Calibri"/>
                <w:color w:val="000000" w:themeColor="text1"/>
              </w:rPr>
              <w:t>for further information.</w:t>
            </w:r>
          </w:p>
        </w:tc>
      </w:tr>
    </w:tbl>
    <w:p w14:paraId="4C91FD98" w14:textId="15BB040A" w:rsidR="00CE6E2B" w:rsidRPr="00406296" w:rsidRDefault="00CE6E2B" w:rsidP="00406296">
      <w:pPr>
        <w:spacing w:before="120"/>
        <w:rPr>
          <w:rFonts w:ascii="Calibri" w:hAnsi="Calibri" w:cs="Calibri"/>
        </w:rPr>
      </w:pPr>
    </w:p>
    <w:sectPr w:rsidR="00CE6E2B" w:rsidRPr="00406296" w:rsidSect="00FA1A8C">
      <w:headerReference w:type="default" r:id="rId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E47CE" w14:textId="77777777" w:rsidR="00024DC7" w:rsidRDefault="00024DC7" w:rsidP="00024DC7">
      <w:pPr>
        <w:spacing w:after="0" w:line="240" w:lineRule="auto"/>
      </w:pPr>
      <w:r>
        <w:separator/>
      </w:r>
    </w:p>
  </w:endnote>
  <w:endnote w:type="continuationSeparator" w:id="0">
    <w:p w14:paraId="243B1646" w14:textId="77777777" w:rsidR="00024DC7" w:rsidRDefault="00024DC7" w:rsidP="00024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163A4" w14:textId="77777777" w:rsidR="00024DC7" w:rsidRDefault="00024DC7" w:rsidP="00024DC7">
      <w:pPr>
        <w:spacing w:after="0" w:line="240" w:lineRule="auto"/>
      </w:pPr>
      <w:r>
        <w:separator/>
      </w:r>
    </w:p>
  </w:footnote>
  <w:footnote w:type="continuationSeparator" w:id="0">
    <w:p w14:paraId="6079DD27" w14:textId="77777777" w:rsidR="00024DC7" w:rsidRDefault="00024DC7" w:rsidP="00024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05110" w14:textId="14819E26" w:rsidR="000C2BA0" w:rsidRDefault="000C2B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E414A"/>
    <w:multiLevelType w:val="hybridMultilevel"/>
    <w:tmpl w:val="CC2AF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8A5CB2"/>
    <w:multiLevelType w:val="hybridMultilevel"/>
    <w:tmpl w:val="C060C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010888"/>
    <w:multiLevelType w:val="hybridMultilevel"/>
    <w:tmpl w:val="FC145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4" w15:restartNumberingAfterBreak="0">
    <w:nsid w:val="279E185E"/>
    <w:multiLevelType w:val="hybridMultilevel"/>
    <w:tmpl w:val="F86627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5A53EC"/>
    <w:multiLevelType w:val="hybridMultilevel"/>
    <w:tmpl w:val="A95CD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num w:numId="1" w16cid:durableId="239753151">
    <w:abstractNumId w:val="6"/>
  </w:num>
  <w:num w:numId="2" w16cid:durableId="1955479298">
    <w:abstractNumId w:val="3"/>
  </w:num>
  <w:num w:numId="3" w16cid:durableId="1375226869">
    <w:abstractNumId w:val="5"/>
  </w:num>
  <w:num w:numId="4" w16cid:durableId="1484659473">
    <w:abstractNumId w:val="1"/>
  </w:num>
  <w:num w:numId="5" w16cid:durableId="1897739936">
    <w:abstractNumId w:val="3"/>
  </w:num>
  <w:num w:numId="6" w16cid:durableId="1284114889">
    <w:abstractNumId w:val="4"/>
  </w:num>
  <w:num w:numId="7" w16cid:durableId="1587379351">
    <w:abstractNumId w:val="0"/>
  </w:num>
  <w:num w:numId="8" w16cid:durableId="313872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A8C"/>
    <w:rsid w:val="00000576"/>
    <w:rsid w:val="00015C9A"/>
    <w:rsid w:val="00023740"/>
    <w:rsid w:val="00024DC7"/>
    <w:rsid w:val="0003352E"/>
    <w:rsid w:val="00042A3F"/>
    <w:rsid w:val="00057949"/>
    <w:rsid w:val="000757EC"/>
    <w:rsid w:val="00082CD4"/>
    <w:rsid w:val="000A241D"/>
    <w:rsid w:val="000C2BA0"/>
    <w:rsid w:val="000C4B23"/>
    <w:rsid w:val="00115DAC"/>
    <w:rsid w:val="00122A1D"/>
    <w:rsid w:val="00177BC0"/>
    <w:rsid w:val="001A10F2"/>
    <w:rsid w:val="001C5C9A"/>
    <w:rsid w:val="00203966"/>
    <w:rsid w:val="002054DB"/>
    <w:rsid w:val="00223716"/>
    <w:rsid w:val="002240C1"/>
    <w:rsid w:val="002240EB"/>
    <w:rsid w:val="0023013F"/>
    <w:rsid w:val="00275DC3"/>
    <w:rsid w:val="002C1949"/>
    <w:rsid w:val="002E7D34"/>
    <w:rsid w:val="00303703"/>
    <w:rsid w:val="00314619"/>
    <w:rsid w:val="0032034D"/>
    <w:rsid w:val="00341CC2"/>
    <w:rsid w:val="0034292E"/>
    <w:rsid w:val="00381B1D"/>
    <w:rsid w:val="00392AE4"/>
    <w:rsid w:val="003A3987"/>
    <w:rsid w:val="003A5436"/>
    <w:rsid w:val="003A6B29"/>
    <w:rsid w:val="003E013A"/>
    <w:rsid w:val="0040113A"/>
    <w:rsid w:val="00406296"/>
    <w:rsid w:val="00410550"/>
    <w:rsid w:val="00433E6F"/>
    <w:rsid w:val="004937A0"/>
    <w:rsid w:val="004D02C3"/>
    <w:rsid w:val="00511C6B"/>
    <w:rsid w:val="005346D4"/>
    <w:rsid w:val="005874D1"/>
    <w:rsid w:val="005972D4"/>
    <w:rsid w:val="005E28B9"/>
    <w:rsid w:val="00607010"/>
    <w:rsid w:val="0064285B"/>
    <w:rsid w:val="0065753A"/>
    <w:rsid w:val="00661186"/>
    <w:rsid w:val="00661812"/>
    <w:rsid w:val="006824D9"/>
    <w:rsid w:val="00686DAC"/>
    <w:rsid w:val="006B28CF"/>
    <w:rsid w:val="006C594B"/>
    <w:rsid w:val="00720845"/>
    <w:rsid w:val="00726E93"/>
    <w:rsid w:val="00736297"/>
    <w:rsid w:val="0077506B"/>
    <w:rsid w:val="00782D49"/>
    <w:rsid w:val="007A3485"/>
    <w:rsid w:val="007E092D"/>
    <w:rsid w:val="007E3903"/>
    <w:rsid w:val="007F5635"/>
    <w:rsid w:val="00832A52"/>
    <w:rsid w:val="00851D5A"/>
    <w:rsid w:val="008665B1"/>
    <w:rsid w:val="00877DD0"/>
    <w:rsid w:val="008D6D4F"/>
    <w:rsid w:val="00910D90"/>
    <w:rsid w:val="00927654"/>
    <w:rsid w:val="00934608"/>
    <w:rsid w:val="009A37E4"/>
    <w:rsid w:val="009C7619"/>
    <w:rsid w:val="009E2E39"/>
    <w:rsid w:val="00A113F0"/>
    <w:rsid w:val="00A334A3"/>
    <w:rsid w:val="00A64B6A"/>
    <w:rsid w:val="00A817F1"/>
    <w:rsid w:val="00A879E9"/>
    <w:rsid w:val="00A92C9E"/>
    <w:rsid w:val="00AB4306"/>
    <w:rsid w:val="00AD50BA"/>
    <w:rsid w:val="00AF38F6"/>
    <w:rsid w:val="00AF5637"/>
    <w:rsid w:val="00B4503F"/>
    <w:rsid w:val="00B817BE"/>
    <w:rsid w:val="00B92447"/>
    <w:rsid w:val="00BE13A9"/>
    <w:rsid w:val="00BE4FC1"/>
    <w:rsid w:val="00C13EE0"/>
    <w:rsid w:val="00C25F6F"/>
    <w:rsid w:val="00C46721"/>
    <w:rsid w:val="00C643A8"/>
    <w:rsid w:val="00C73921"/>
    <w:rsid w:val="00C83DB1"/>
    <w:rsid w:val="00C86777"/>
    <w:rsid w:val="00CC4884"/>
    <w:rsid w:val="00CC62E1"/>
    <w:rsid w:val="00CD0FE5"/>
    <w:rsid w:val="00CE6648"/>
    <w:rsid w:val="00CE6E2B"/>
    <w:rsid w:val="00CF5697"/>
    <w:rsid w:val="00D03522"/>
    <w:rsid w:val="00D50347"/>
    <w:rsid w:val="00E15592"/>
    <w:rsid w:val="00E21C54"/>
    <w:rsid w:val="00E326A1"/>
    <w:rsid w:val="00EC2005"/>
    <w:rsid w:val="00F24CE6"/>
    <w:rsid w:val="00F27441"/>
    <w:rsid w:val="00F34C31"/>
    <w:rsid w:val="00F61AE9"/>
    <w:rsid w:val="00F73E73"/>
    <w:rsid w:val="00F957B7"/>
    <w:rsid w:val="00FA1A8C"/>
    <w:rsid w:val="00FA6DE8"/>
    <w:rsid w:val="00FA7D66"/>
    <w:rsid w:val="00FF0D9A"/>
    <w:rsid w:val="0878D87D"/>
    <w:rsid w:val="2258AC32"/>
    <w:rsid w:val="2590A91E"/>
    <w:rsid w:val="2CFF30DF"/>
    <w:rsid w:val="35D9C6AD"/>
    <w:rsid w:val="3D6C133D"/>
    <w:rsid w:val="3D9FD9AD"/>
    <w:rsid w:val="4AC292D3"/>
    <w:rsid w:val="4AD48738"/>
    <w:rsid w:val="61A28DD8"/>
    <w:rsid w:val="63044BD3"/>
    <w:rsid w:val="6CF53656"/>
    <w:rsid w:val="71B61EB1"/>
    <w:rsid w:val="74CA28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96B8DE"/>
  <w15:chartTrackingRefBased/>
  <w15:docId w15:val="{DA17C035-44CF-4998-873B-EF6D3FACC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2E1"/>
  </w:style>
  <w:style w:type="paragraph" w:styleId="Heading1">
    <w:name w:val="heading 1"/>
    <w:next w:val="Normal"/>
    <w:link w:val="Heading1Char"/>
    <w:uiPriority w:val="1"/>
    <w:qFormat/>
    <w:rsid w:val="003A3987"/>
    <w:pPr>
      <w:widowControl w:val="0"/>
      <w:spacing w:before="360" w:after="240" w:line="240" w:lineRule="auto"/>
      <w:contextualSpacing/>
      <w:outlineLvl w:val="0"/>
    </w:pPr>
    <w:rPr>
      <w:rFonts w:ascii="Calibri" w:hAnsi="Calibri"/>
      <w:b/>
      <w:bCs/>
      <w:color w:val="000000"/>
      <w:spacing w:val="5"/>
      <w:kern w:val="28"/>
      <w:sz w:val="40"/>
      <w:szCs w:val="28"/>
      <w14:ligatures w14:val="none"/>
    </w:rPr>
  </w:style>
  <w:style w:type="paragraph" w:styleId="Heading2">
    <w:name w:val="heading 2"/>
    <w:basedOn w:val="Normal"/>
    <w:next w:val="Normal"/>
    <w:link w:val="Heading2Char"/>
    <w:uiPriority w:val="9"/>
    <w:semiHidden/>
    <w:unhideWhenUsed/>
    <w:qFormat/>
    <w:rsid w:val="00C83D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1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qFormat/>
    <w:rsid w:val="00FA1A8C"/>
    <w:pPr>
      <w:numPr>
        <w:numId w:val="1"/>
      </w:numPr>
      <w:spacing w:before="120" w:after="120" w:line="276" w:lineRule="auto"/>
    </w:pPr>
    <w:rPr>
      <w:kern w:val="0"/>
      <w14:ligatures w14:val="none"/>
    </w:rPr>
  </w:style>
  <w:style w:type="paragraph" w:styleId="ListBullet2">
    <w:name w:val="List Bullet 2"/>
    <w:basedOn w:val="Normal"/>
    <w:uiPriority w:val="8"/>
    <w:qFormat/>
    <w:rsid w:val="00FA1A8C"/>
    <w:pPr>
      <w:numPr>
        <w:ilvl w:val="1"/>
        <w:numId w:val="1"/>
      </w:numPr>
      <w:spacing w:before="120" w:after="120" w:line="276" w:lineRule="auto"/>
      <w:contextualSpacing/>
    </w:pPr>
    <w:rPr>
      <w:kern w:val="0"/>
      <w14:ligatures w14:val="none"/>
    </w:rPr>
  </w:style>
  <w:style w:type="numbering" w:customStyle="1" w:styleId="List1">
    <w:name w:val="List1"/>
    <w:basedOn w:val="NoList"/>
    <w:uiPriority w:val="99"/>
    <w:rsid w:val="00FA1A8C"/>
    <w:pPr>
      <w:numPr>
        <w:numId w:val="1"/>
      </w:numPr>
    </w:pPr>
  </w:style>
  <w:style w:type="paragraph" w:styleId="ListBullet3">
    <w:name w:val="List Bullet 3"/>
    <w:basedOn w:val="Normal"/>
    <w:uiPriority w:val="99"/>
    <w:semiHidden/>
    <w:rsid w:val="00FA1A8C"/>
    <w:pPr>
      <w:numPr>
        <w:ilvl w:val="2"/>
        <w:numId w:val="1"/>
      </w:numPr>
      <w:spacing w:after="120" w:line="276" w:lineRule="auto"/>
      <w:contextualSpacing/>
    </w:pPr>
    <w:rPr>
      <w:kern w:val="0"/>
      <w14:ligatures w14:val="none"/>
    </w:rPr>
  </w:style>
  <w:style w:type="paragraph" w:customStyle="1" w:styleId="TableBullet1">
    <w:name w:val="Table Bullet 1"/>
    <w:basedOn w:val="Normal"/>
    <w:uiPriority w:val="15"/>
    <w:qFormat/>
    <w:rsid w:val="009E2E39"/>
    <w:pPr>
      <w:numPr>
        <w:numId w:val="2"/>
      </w:numPr>
      <w:spacing w:before="60" w:after="60" w:line="240" w:lineRule="auto"/>
    </w:pPr>
    <w:rPr>
      <w:kern w:val="0"/>
      <w:sz w:val="20"/>
      <w14:ligatures w14:val="none"/>
    </w:rPr>
  </w:style>
  <w:style w:type="character" w:customStyle="1" w:styleId="ui-provider">
    <w:name w:val="ui-provider"/>
    <w:basedOn w:val="DefaultParagraphFont"/>
    <w:rsid w:val="0023013F"/>
  </w:style>
  <w:style w:type="paragraph" w:styleId="CommentText">
    <w:name w:val="annotation text"/>
    <w:basedOn w:val="Normal"/>
    <w:link w:val="CommentTextChar"/>
    <w:uiPriority w:val="99"/>
    <w:unhideWhenUsed/>
    <w:rsid w:val="00A334A3"/>
    <w:pPr>
      <w:spacing w:after="120" w:line="276" w:lineRule="auto"/>
    </w:pPr>
    <w:rPr>
      <w:kern w:val="0"/>
      <w:sz w:val="20"/>
      <w:szCs w:val="20"/>
      <w14:ligatures w14:val="none"/>
    </w:rPr>
  </w:style>
  <w:style w:type="character" w:customStyle="1" w:styleId="CommentTextChar">
    <w:name w:val="Comment Text Char"/>
    <w:basedOn w:val="DefaultParagraphFont"/>
    <w:link w:val="CommentText"/>
    <w:uiPriority w:val="99"/>
    <w:rsid w:val="00A334A3"/>
    <w:rPr>
      <w:kern w:val="0"/>
      <w:sz w:val="20"/>
      <w:szCs w:val="20"/>
      <w14:ligatures w14:val="none"/>
    </w:rPr>
  </w:style>
  <w:style w:type="character" w:styleId="Hyperlink">
    <w:name w:val="Hyperlink"/>
    <w:basedOn w:val="DefaultParagraphFont"/>
    <w:uiPriority w:val="99"/>
    <w:qFormat/>
    <w:rsid w:val="00A334A3"/>
    <w:rPr>
      <w:color w:val="165788"/>
      <w:u w:val="single"/>
    </w:rPr>
  </w:style>
  <w:style w:type="paragraph" w:styleId="ListParagraph">
    <w:name w:val="List Paragraph"/>
    <w:basedOn w:val="Normal"/>
    <w:uiPriority w:val="34"/>
    <w:qFormat/>
    <w:rsid w:val="002054DB"/>
    <w:pPr>
      <w:ind w:left="720"/>
      <w:contextualSpacing/>
    </w:pPr>
  </w:style>
  <w:style w:type="character" w:styleId="CommentReference">
    <w:name w:val="annotation reference"/>
    <w:basedOn w:val="DefaultParagraphFont"/>
    <w:uiPriority w:val="99"/>
    <w:semiHidden/>
    <w:unhideWhenUsed/>
    <w:rsid w:val="0034292E"/>
    <w:rPr>
      <w:sz w:val="16"/>
      <w:szCs w:val="16"/>
    </w:rPr>
  </w:style>
  <w:style w:type="paragraph" w:styleId="CommentSubject">
    <w:name w:val="annotation subject"/>
    <w:basedOn w:val="CommentText"/>
    <w:next w:val="CommentText"/>
    <w:link w:val="CommentSubjectChar"/>
    <w:uiPriority w:val="99"/>
    <w:semiHidden/>
    <w:unhideWhenUsed/>
    <w:rsid w:val="0034292E"/>
    <w:pPr>
      <w:spacing w:after="160" w:line="240" w:lineRule="auto"/>
    </w:pPr>
    <w:rPr>
      <w:b/>
      <w:bCs/>
      <w:kern w:val="2"/>
      <w14:ligatures w14:val="standardContextual"/>
    </w:rPr>
  </w:style>
  <w:style w:type="character" w:customStyle="1" w:styleId="CommentSubjectChar">
    <w:name w:val="Comment Subject Char"/>
    <w:basedOn w:val="CommentTextChar"/>
    <w:link w:val="CommentSubject"/>
    <w:uiPriority w:val="99"/>
    <w:semiHidden/>
    <w:rsid w:val="0034292E"/>
    <w:rPr>
      <w:b/>
      <w:bCs/>
      <w:kern w:val="0"/>
      <w:sz w:val="20"/>
      <w:szCs w:val="20"/>
      <w14:ligatures w14:val="none"/>
    </w:rPr>
  </w:style>
  <w:style w:type="paragraph" w:styleId="Revision">
    <w:name w:val="Revision"/>
    <w:hidden/>
    <w:uiPriority w:val="99"/>
    <w:semiHidden/>
    <w:rsid w:val="0034292E"/>
    <w:pPr>
      <w:spacing w:after="0" w:line="240" w:lineRule="auto"/>
    </w:pPr>
  </w:style>
  <w:style w:type="character" w:customStyle="1" w:styleId="normaltextrun">
    <w:name w:val="normaltextrun"/>
    <w:basedOn w:val="DefaultParagraphFont"/>
    <w:rsid w:val="00F27441"/>
  </w:style>
  <w:style w:type="character" w:customStyle="1" w:styleId="superscript">
    <w:name w:val="superscript"/>
    <w:basedOn w:val="DefaultParagraphFont"/>
    <w:rsid w:val="00F27441"/>
  </w:style>
  <w:style w:type="character" w:customStyle="1" w:styleId="eop">
    <w:name w:val="eop"/>
    <w:basedOn w:val="DefaultParagraphFont"/>
    <w:rsid w:val="00F27441"/>
  </w:style>
  <w:style w:type="character" w:styleId="UnresolvedMention">
    <w:name w:val="Unresolved Mention"/>
    <w:basedOn w:val="DefaultParagraphFont"/>
    <w:uiPriority w:val="99"/>
    <w:semiHidden/>
    <w:unhideWhenUsed/>
    <w:rsid w:val="00661812"/>
    <w:rPr>
      <w:color w:val="605E5C"/>
      <w:shd w:val="clear" w:color="auto" w:fill="E1DFDD"/>
    </w:rPr>
  </w:style>
  <w:style w:type="character" w:customStyle="1" w:styleId="Heading1Char">
    <w:name w:val="Heading 1 Char"/>
    <w:basedOn w:val="DefaultParagraphFont"/>
    <w:link w:val="Heading1"/>
    <w:uiPriority w:val="1"/>
    <w:rsid w:val="003A3987"/>
    <w:rPr>
      <w:rFonts w:ascii="Calibri" w:hAnsi="Calibri"/>
      <w:b/>
      <w:bCs/>
      <w:color w:val="000000"/>
      <w:spacing w:val="5"/>
      <w:kern w:val="28"/>
      <w:sz w:val="40"/>
      <w:szCs w:val="28"/>
      <w14:ligatures w14:val="none"/>
    </w:rPr>
  </w:style>
  <w:style w:type="character" w:styleId="FollowedHyperlink">
    <w:name w:val="FollowedHyperlink"/>
    <w:basedOn w:val="DefaultParagraphFont"/>
    <w:uiPriority w:val="99"/>
    <w:semiHidden/>
    <w:unhideWhenUsed/>
    <w:rsid w:val="001A10F2"/>
    <w:rPr>
      <w:color w:val="954F72" w:themeColor="followedHyperlink"/>
      <w:u w:val="single"/>
    </w:rPr>
  </w:style>
  <w:style w:type="paragraph" w:styleId="Header">
    <w:name w:val="header"/>
    <w:basedOn w:val="Normal"/>
    <w:link w:val="HeaderChar"/>
    <w:uiPriority w:val="99"/>
    <w:unhideWhenUsed/>
    <w:rsid w:val="00024D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C7"/>
  </w:style>
  <w:style w:type="paragraph" w:styleId="Footer">
    <w:name w:val="footer"/>
    <w:basedOn w:val="Normal"/>
    <w:link w:val="FooterChar"/>
    <w:uiPriority w:val="99"/>
    <w:unhideWhenUsed/>
    <w:rsid w:val="00024D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C7"/>
  </w:style>
  <w:style w:type="character" w:customStyle="1" w:styleId="Heading2Char">
    <w:name w:val="Heading 2 Char"/>
    <w:basedOn w:val="DefaultParagraphFont"/>
    <w:link w:val="Heading2"/>
    <w:uiPriority w:val="9"/>
    <w:semiHidden/>
    <w:rsid w:val="00C83DB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528568">
      <w:bodyDiv w:val="1"/>
      <w:marLeft w:val="0"/>
      <w:marRight w:val="0"/>
      <w:marTop w:val="0"/>
      <w:marBottom w:val="0"/>
      <w:divBdr>
        <w:top w:val="none" w:sz="0" w:space="0" w:color="auto"/>
        <w:left w:val="none" w:sz="0" w:space="0" w:color="auto"/>
        <w:bottom w:val="none" w:sz="0" w:space="0" w:color="auto"/>
        <w:right w:val="none" w:sz="0" w:space="0" w:color="auto"/>
      </w:divBdr>
    </w:div>
    <w:div w:id="870993331">
      <w:bodyDiv w:val="1"/>
      <w:marLeft w:val="0"/>
      <w:marRight w:val="0"/>
      <w:marTop w:val="0"/>
      <w:marBottom w:val="0"/>
      <w:divBdr>
        <w:top w:val="none" w:sz="0" w:space="0" w:color="auto"/>
        <w:left w:val="none" w:sz="0" w:space="0" w:color="auto"/>
        <w:bottom w:val="none" w:sz="0" w:space="0" w:color="auto"/>
        <w:right w:val="none" w:sz="0" w:space="0" w:color="auto"/>
      </w:divBdr>
      <w:divsChild>
        <w:div w:id="1916430434">
          <w:marLeft w:val="0"/>
          <w:marRight w:val="0"/>
          <w:marTop w:val="0"/>
          <w:marBottom w:val="0"/>
          <w:divBdr>
            <w:top w:val="none" w:sz="0" w:space="0" w:color="auto"/>
            <w:left w:val="none" w:sz="0" w:space="0" w:color="auto"/>
            <w:bottom w:val="none" w:sz="0" w:space="0" w:color="auto"/>
            <w:right w:val="none" w:sz="0" w:space="0" w:color="auto"/>
          </w:divBdr>
        </w:div>
        <w:div w:id="828516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griculture.gov.au/biosecurity-trade/export/controlled-goods/live-animals/livestock/exporters/approved-arrangements" TargetMode="External"/><Relationship Id="rId18" Type="http://schemas.openxmlformats.org/officeDocument/2006/relationships/hyperlink" Target="https://www.agriculture.gov.au/biosecurity-trade/export/controlled-goods/live-animals/livestock/accredited-veterinaria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griculture.gov.au/biosecurity-trade/export/controlled-goods/live-animals/companion-and-other-live-animals" TargetMode="External"/><Relationship Id="rId7" Type="http://schemas.openxmlformats.org/officeDocument/2006/relationships/webSettings" Target="webSettings.xml"/><Relationship Id="rId12" Type="http://schemas.openxmlformats.org/officeDocument/2006/relationships/hyperlink" Target="https://www.agriculture.gov.au/biosecurity-trade/export/controlled-goods/live-animals/livestock/exporters/approved-arrangements" TargetMode="External"/><Relationship Id="rId17" Type="http://schemas.openxmlformats.org/officeDocument/2006/relationships/hyperlink" Target="https://www.agriculture.gov.au/biosecurity-trade/export/controlled-goods/live-animals/livestock/exporters/approved-export-progra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griculture.gov.au/biosecurity-trade/export/controlled-goods/live-animals/livestock/exporters/export-licence" TargetMode="External"/><Relationship Id="rId20" Type="http://schemas.openxmlformats.org/officeDocument/2006/relationships/hyperlink" Target="https://www.agriculture.gov.au/biosecurity-trade/export/controlled-goods/live-animals/livestock/accredited-veterinaria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griculture.gov.au/biosecurity-trade/export/controlled-goods/live-animals/livestock/exporters/approved-arrangements" TargetMode="External"/><Relationship Id="rId24" Type="http://schemas.openxmlformats.org/officeDocument/2006/relationships/hyperlink" Target="https://www.agriculture.gov.au/biosecurity-trade/export/controlled-goods/live-animals/companion-and-other-live-animals" TargetMode="External"/><Relationship Id="rId5" Type="http://schemas.openxmlformats.org/officeDocument/2006/relationships/styles" Target="styles.xml"/><Relationship Id="rId15" Type="http://schemas.openxmlformats.org/officeDocument/2006/relationships/hyperlink" Target="https://www.agriculture.gov.au/biosecurity-trade/export/controlled-goods/live-animals/livestock/accredited-veterinarian" TargetMode="External"/><Relationship Id="rId23" Type="http://schemas.openxmlformats.org/officeDocument/2006/relationships/hyperlink" Target="https://www.agriculture.gov.au/biosecurity-trade/export/controlled-goods/live-animals/horse" TargetMode="External"/><Relationship Id="rId10" Type="http://schemas.openxmlformats.org/officeDocument/2006/relationships/hyperlink" Target="https://www.agriculture.gov.au/biosecurity-trade/export/controlled-goods/live-animals/livestock/exporters/approved-arrangements" TargetMode="External"/><Relationship Id="rId19" Type="http://schemas.openxmlformats.org/officeDocument/2006/relationships/hyperlink" Target="https://www.agriculture.gov.au/biosecurity-trade/export/controlled-goods/live-animals/livestock/exporters/approved-export-progra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griculture.gov.au/biosecurity-trade/export/controlled-goods/live-animals/livestock/exporters/approved-export-program" TargetMode="External"/><Relationship Id="rId22" Type="http://schemas.openxmlformats.org/officeDocument/2006/relationships/hyperlink" Target="https://www.agriculture.gov.au/biosecurity-trade/export/controlled-goods/live-animals/livestock/exporters/exporting-livestock-consignment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C13521109B5C4E813EED5B4CD35FE8" ma:contentTypeVersion="13" ma:contentTypeDescription="Create a new document." ma:contentTypeScope="" ma:versionID="9f96cc7e85a69aff0dee00a6a4c97d1a">
  <xsd:schema xmlns:xsd="http://www.w3.org/2001/XMLSchema" xmlns:xs="http://www.w3.org/2001/XMLSchema" xmlns:p="http://schemas.microsoft.com/office/2006/metadata/properties" xmlns:ns2="6183d753-4e0d-4b8c-8e8c-dbc502d82832" xmlns:ns3="0802b75a-89d5-408b-90bd-96b3a6bc3894" targetNamespace="http://schemas.microsoft.com/office/2006/metadata/properties" ma:root="true" ma:fieldsID="da6634874d4b6c191814b9b1ddd56e81" ns2:_="" ns3:_="">
    <xsd:import namespace="6183d753-4e0d-4b8c-8e8c-dbc502d82832"/>
    <xsd:import namespace="0802b75a-89d5-408b-90bd-96b3a6bc38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3d753-4e0d-4b8c-8e8c-dbc502d82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02b75a-89d5-408b-90bd-96b3a6bc389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38070B-82A2-45DE-A632-62CA28BBF7E3}">
  <ds:schemaRefs>
    <ds:schemaRef ds:uri="http://schemas.microsoft.com/sharepoint/v3/contenttype/forms"/>
  </ds:schemaRefs>
</ds:datastoreItem>
</file>

<file path=customXml/itemProps2.xml><?xml version="1.0" encoding="utf-8"?>
<ds:datastoreItem xmlns:ds="http://schemas.openxmlformats.org/officeDocument/2006/customXml" ds:itemID="{F6219354-60AE-4088-9529-FAAA17D262FB}">
  <ds:schemaRefs>
    <ds:schemaRef ds:uri="6183d753-4e0d-4b8c-8e8c-dbc502d82832"/>
    <ds:schemaRef ds:uri="http://schemas.microsoft.com/office/infopath/2007/PartnerControls"/>
    <ds:schemaRef ds:uri="http://www.w3.org/XML/1998/namespace"/>
    <ds:schemaRef ds:uri="http://schemas.openxmlformats.org/package/2006/metadata/core-properties"/>
    <ds:schemaRef ds:uri="http://purl.org/dc/terms/"/>
    <ds:schemaRef ds:uri="http://schemas.microsoft.com/office/2006/documentManagement/types"/>
    <ds:schemaRef ds:uri="http://purl.org/dc/elements/1.1/"/>
    <ds:schemaRef ds:uri="http://purl.org/dc/dcmitype/"/>
    <ds:schemaRef ds:uri="http://schemas.microsoft.com/office/2006/metadata/properties"/>
    <ds:schemaRef ds:uri="0802b75a-89d5-408b-90bd-96b3a6bc3894"/>
  </ds:schemaRefs>
</ds:datastoreItem>
</file>

<file path=customXml/itemProps3.xml><?xml version="1.0" encoding="utf-8"?>
<ds:datastoreItem xmlns:ds="http://schemas.openxmlformats.org/officeDocument/2006/customXml" ds:itemID="{4AF7C331-BC7A-40C1-A14E-AEDA9255A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3d753-4e0d-4b8c-8e8c-dbc502d82832"/>
    <ds:schemaRef ds:uri="0802b75a-89d5-408b-90bd-96b3a6bc38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Grace</dc:creator>
  <cp:keywords/>
  <dc:description/>
  <cp:lastModifiedBy>Lam, Grace</cp:lastModifiedBy>
  <cp:revision>15</cp:revision>
  <dcterms:created xsi:type="dcterms:W3CDTF">2023-11-29T23:59:00Z</dcterms:created>
  <dcterms:modified xsi:type="dcterms:W3CDTF">2023-12-19T01:51:00Z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0x010100B1C13521109B5C4E813EED5B4CD35FE8</vt:lpwstr>
  </property>
</Properties>
</file>