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C5A6" w14:textId="194D9314" w:rsidR="004A6BB9" w:rsidRPr="00AA425F" w:rsidRDefault="004A6BB9" w:rsidP="004A6BB9">
      <w:pPr>
        <w:pStyle w:val="Heading1"/>
      </w:pPr>
      <w:r>
        <w:t xml:space="preserve">Aerobic Plate Count in Foods (Neogen® </w:t>
      </w:r>
      <w:r w:rsidRPr="00AA425F">
        <w:t>Petrifi</w:t>
      </w:r>
      <w:r>
        <w:t>l</w:t>
      </w:r>
      <w:r w:rsidRPr="00AA425F">
        <w:t>m</w:t>
      </w:r>
      <w:r>
        <w:rPr>
          <w:vertAlign w:val="superscript"/>
        </w:rPr>
        <w:t xml:space="preserve"> </w:t>
      </w:r>
      <w:r>
        <w:t xml:space="preserve">Method) </w:t>
      </w:r>
      <w:r w:rsidRPr="00AA425F">
        <w:t xml:space="preserve">- AOAC 990.12 </w:t>
      </w:r>
    </w:p>
    <w:p w14:paraId="40461F45" w14:textId="77777777" w:rsidR="004A6BB9" w:rsidRPr="00AA425F" w:rsidRDefault="004A6BB9" w:rsidP="004A6BB9">
      <w:pPr>
        <w:pStyle w:val="Heading2"/>
      </w:pPr>
      <w:bookmarkStart w:id="0" w:name="_Toc248826553"/>
      <w:r w:rsidRPr="00AA425F">
        <w:t>SCOPE</w:t>
      </w:r>
      <w:bookmarkEnd w:id="0"/>
    </w:p>
    <w:p w14:paraId="5D2A80D4" w14:textId="3628E733" w:rsidR="004A6BB9" w:rsidRPr="00CB1C25" w:rsidRDefault="004A6BB9" w:rsidP="004A6BB9">
      <w:r w:rsidRPr="00CB1C25">
        <w:t>All foods</w:t>
      </w:r>
      <w:r w:rsidR="0053613B">
        <w:t xml:space="preserve">. </w:t>
      </w:r>
      <w:r w:rsidR="0053613B" w:rsidRPr="0053613B">
        <w:t>Note that Neogen Petrifilm is not supplied by a NATA or ISO 17025 certified media supplier and therefore new batches of media must undergo quality control prior to use.</w:t>
      </w:r>
    </w:p>
    <w:p w14:paraId="429D369B" w14:textId="77777777" w:rsidR="004A6BB9" w:rsidRPr="00AA425F" w:rsidRDefault="004A6BB9" w:rsidP="004A6BB9">
      <w:pPr>
        <w:pStyle w:val="Heading2"/>
      </w:pPr>
      <w:bookmarkStart w:id="1" w:name="_Toc248826554"/>
      <w:r w:rsidRPr="00AA425F">
        <w:t>PRINCIPLES</w:t>
      </w:r>
      <w:bookmarkEnd w:id="1"/>
    </w:p>
    <w:p w14:paraId="2444C03C" w14:textId="07BD7DA1" w:rsidR="004A6BB9" w:rsidRPr="00CB1C25" w:rsidRDefault="004A6BB9" w:rsidP="004A6BB9">
      <w:bookmarkStart w:id="2" w:name="OLE_LINK3"/>
      <w:bookmarkStart w:id="3" w:name="OLE_LINK4"/>
      <w:r>
        <w:t>Aerobic Plate Count (APC)</w:t>
      </w:r>
      <w:r>
        <w:rPr>
          <w:rStyle w:val="FootnoteReference"/>
        </w:rPr>
        <w:footnoteReference w:id="1"/>
      </w:r>
      <w:r w:rsidRPr="00CB1C25">
        <w:t xml:space="preserve"> </w:t>
      </w:r>
      <w:r>
        <w:t>Neogen</w:t>
      </w:r>
      <w:r w:rsidRPr="004A6BB9">
        <w:rPr>
          <w:vertAlign w:val="superscript"/>
        </w:rPr>
        <w:t xml:space="preserve">® </w:t>
      </w:r>
      <w:r w:rsidRPr="00CB1C25">
        <w:t xml:space="preserve">Petrifilm contains nutrients and 2,3,5-triphenyltetrazolium chloride as an indicator of bacterial growth. Reduction of </w:t>
      </w:r>
      <w:proofErr w:type="spellStart"/>
      <w:r w:rsidRPr="00CB1C25">
        <w:t>triphenyltetrazolium</w:t>
      </w:r>
      <w:proofErr w:type="spellEnd"/>
      <w:r w:rsidRPr="00CB1C25">
        <w:t xml:space="preserve"> by bacteria results in red coloured colonies</w:t>
      </w:r>
      <w:r>
        <w:rPr>
          <w:rStyle w:val="FootnoteReference"/>
        </w:rPr>
        <w:footnoteReference w:id="2"/>
      </w:r>
      <w:r w:rsidRPr="00CB1C25">
        <w:t>. Plates are hydrated with sample and gelling agents cause the media to solidify.</w:t>
      </w:r>
    </w:p>
    <w:bookmarkEnd w:id="2"/>
    <w:bookmarkEnd w:id="3"/>
    <w:p w14:paraId="7C8F9529" w14:textId="77777777" w:rsidR="004A6BB9" w:rsidRPr="00CB1C25" w:rsidRDefault="004A6BB9" w:rsidP="004A6BB9">
      <w:r w:rsidRPr="00CB1C25">
        <w:t xml:space="preserve">The enumeration of </w:t>
      </w:r>
      <w:r>
        <w:t>APC</w:t>
      </w:r>
      <w:r w:rsidRPr="00CB1C25">
        <w:t xml:space="preserve"> is broken down into stages as follows:</w:t>
      </w:r>
    </w:p>
    <w:p w14:paraId="2B5A3E28" w14:textId="77777777" w:rsidR="004A6BB9" w:rsidRPr="00AA425F" w:rsidRDefault="004A6BB9" w:rsidP="004A6BB9">
      <w:pPr>
        <w:pStyle w:val="Heading3"/>
      </w:pPr>
      <w:r w:rsidRPr="00AA425F">
        <w:t>Inoculation</w:t>
      </w:r>
    </w:p>
    <w:p w14:paraId="400F4C8A" w14:textId="6AA08F0B" w:rsidR="004A6BB9" w:rsidRPr="00CB1C25" w:rsidRDefault="004A6BB9" w:rsidP="004A6BB9">
      <w:pPr>
        <w:pStyle w:val="Normal-para"/>
      </w:pPr>
      <w:r w:rsidRPr="00CB1C25">
        <w:t>Generally, samples are diluted 1:10 in Butterfield’s buffered phosphate diluent</w:t>
      </w:r>
      <w:r>
        <w:rPr>
          <w:rStyle w:val="FootnoteReference"/>
        </w:rPr>
        <w:footnoteReference w:id="3"/>
      </w:r>
      <w:r w:rsidRPr="00CB1C25">
        <w:t xml:space="preserve"> or Buffered Peptone Water</w:t>
      </w:r>
      <w:r>
        <w:rPr>
          <w:rStyle w:val="FootnoteReference"/>
        </w:rPr>
        <w:footnoteReference w:id="4"/>
      </w:r>
      <w:r w:rsidRPr="00CB1C25">
        <w:t xml:space="preserve"> (or </w:t>
      </w:r>
      <w:proofErr w:type="gramStart"/>
      <w:r w:rsidRPr="00CB1C25">
        <w:t>other</w:t>
      </w:r>
      <w:proofErr w:type="gramEnd"/>
      <w:r w:rsidRPr="00CB1C25">
        <w:t xml:space="preserve"> diluent as recommended by th</w:t>
      </w:r>
      <w:r>
        <w:t>e manufacturer) and one-ml plat</w:t>
      </w:r>
      <w:r w:rsidRPr="00CB1C25">
        <w:t>e</w:t>
      </w:r>
      <w:r>
        <w:t>d</w:t>
      </w:r>
      <w:r w:rsidRPr="00CB1C25">
        <w:t xml:space="preserve"> onto Petrifilm. Plates are incubated in stacks (maximum of 20 units per stack). Carcass sponges should be hydrated with 25 ml of diluent. Serial dilutions must be prepared using appropriate diluent.</w:t>
      </w:r>
    </w:p>
    <w:p w14:paraId="25F812F7" w14:textId="77777777" w:rsidR="004A6BB9" w:rsidRDefault="004A6BB9" w:rsidP="004A6BB9">
      <w:pPr>
        <w:pStyle w:val="Heading3"/>
      </w:pPr>
      <w:r w:rsidRPr="00AA425F">
        <w:t>Incubation</w:t>
      </w:r>
    </w:p>
    <w:p w14:paraId="38FC567D" w14:textId="4695FCEB" w:rsidR="004A6BB9" w:rsidRDefault="004A6BB9" w:rsidP="004A6BB9">
      <w:pPr>
        <w:pStyle w:val="Normal-para"/>
      </w:pPr>
      <w:r>
        <w:t>APC</w:t>
      </w:r>
      <w:r w:rsidRPr="00CB1C25">
        <w:t xml:space="preserve"> </w:t>
      </w:r>
      <w:r>
        <w:t>Neogen</w:t>
      </w:r>
      <w:r w:rsidRPr="004A6BB9">
        <w:rPr>
          <w:vertAlign w:val="superscript"/>
        </w:rPr>
        <w:t xml:space="preserve">® </w:t>
      </w:r>
      <w:r w:rsidRPr="00CB1C25">
        <w:t>Petrifilm</w:t>
      </w:r>
      <w:r>
        <w:t xml:space="preserve"> plates are incubated at 35 ± 1</w:t>
      </w:r>
      <w:r w:rsidRPr="00CB1C25">
        <w:sym w:font="Symbol" w:char="F0B0"/>
      </w:r>
      <w:r w:rsidRPr="00CB1C25">
        <w:t xml:space="preserve">C for 48 ± 3 h. </w:t>
      </w:r>
      <w:r w:rsidRPr="00AA4717">
        <w:t>Count all colonies</w:t>
      </w:r>
      <w:r>
        <w:t xml:space="preserve"> in the countable range</w:t>
      </w:r>
      <w:r w:rsidRPr="00AA4717">
        <w:t xml:space="preserve"> (1-300). Estimate count on plates with &gt;300 colonies. If an estimation is not possible due to overgrowth, repeat the test with </w:t>
      </w:r>
      <w:r>
        <w:t xml:space="preserve">a </w:t>
      </w:r>
      <w:r w:rsidRPr="00AA4717">
        <w:t>higher dilution.</w:t>
      </w:r>
      <w:r>
        <w:t xml:space="preserve"> For carcass sponge/swabs analyse the neat sample if applicable to get a countable range.  </w:t>
      </w:r>
    </w:p>
    <w:p w14:paraId="438EBB33" w14:textId="77777777" w:rsidR="004A6BB9" w:rsidRPr="00AA425F" w:rsidRDefault="004A6BB9" w:rsidP="004A6BB9">
      <w:pPr>
        <w:pStyle w:val="Heading3"/>
      </w:pPr>
      <w:r w:rsidRPr="00AA425F">
        <w:t>Interpretation</w:t>
      </w:r>
    </w:p>
    <w:p w14:paraId="55B0596F" w14:textId="77777777" w:rsidR="004A6BB9" w:rsidRPr="00CB1C25" w:rsidRDefault="004A6BB9" w:rsidP="004A6BB9">
      <w:pPr>
        <w:pStyle w:val="Normal-para"/>
      </w:pPr>
      <w:r w:rsidRPr="00CB1C25">
        <w:t>All red colonies are counted. For swab samples counts should be expressed in CFU/cm</w:t>
      </w:r>
      <w:r w:rsidRPr="00DD745D">
        <w:rPr>
          <w:vertAlign w:val="superscript"/>
        </w:rPr>
        <w:t>2</w:t>
      </w:r>
      <w:r w:rsidRPr="00CB1C25">
        <w:t>.</w:t>
      </w:r>
    </w:p>
    <w:p w14:paraId="54D8C1AD" w14:textId="77777777" w:rsidR="004A6BB9" w:rsidRPr="004A6BB9" w:rsidRDefault="004A6BB9" w:rsidP="004A6BB9">
      <w:pPr>
        <w:sectPr w:rsidR="004A6BB9" w:rsidRPr="004A6BB9" w:rsidSect="002B6841">
          <w:headerReference w:type="default" r:id="rId11"/>
          <w:footerReference w:type="default" r:id="rId12"/>
          <w:pgSz w:w="11906" w:h="16838" w:code="9"/>
          <w:pgMar w:top="851" w:right="1134" w:bottom="567" w:left="1418" w:header="737" w:footer="567" w:gutter="0"/>
          <w:cols w:space="708"/>
          <w:docGrid w:linePitch="360"/>
        </w:sectPr>
      </w:pPr>
    </w:p>
    <w:p w14:paraId="2FED29FC" w14:textId="77777777" w:rsidR="004A6BB9" w:rsidRDefault="004A6BB9" w:rsidP="004A6BB9">
      <w:pPr>
        <w:pStyle w:val="Heading2"/>
      </w:pPr>
      <w:r w:rsidRPr="00FF6A50">
        <w:lastRenderedPageBreak/>
        <w:t>CHECKLIST</w:t>
      </w:r>
    </w:p>
    <w:tbl>
      <w:tblPr>
        <w:tblW w:w="9180" w:type="dxa"/>
        <w:tblInd w:w="108" w:type="dxa"/>
        <w:tblLook w:val="01E0" w:firstRow="1" w:lastRow="1" w:firstColumn="1" w:lastColumn="1" w:noHBand="0" w:noVBand="0"/>
      </w:tblPr>
      <w:tblGrid>
        <w:gridCol w:w="1800"/>
        <w:gridCol w:w="5040"/>
        <w:gridCol w:w="2340"/>
      </w:tblGrid>
      <w:tr w:rsidR="004A6BB9" w:rsidRPr="00120F6C" w14:paraId="32B72C70" w14:textId="77777777" w:rsidTr="005F6E11">
        <w:tc>
          <w:tcPr>
            <w:tcW w:w="1800" w:type="dxa"/>
            <w:tcBorders>
              <w:top w:val="single" w:sz="4" w:space="0" w:color="auto"/>
            </w:tcBorders>
          </w:tcPr>
          <w:p w14:paraId="38706F81" w14:textId="77777777" w:rsidR="004A6BB9" w:rsidRPr="00120F6C" w:rsidRDefault="004A6BB9" w:rsidP="005F6E11">
            <w:pPr>
              <w:rPr>
                <w:b/>
                <w:szCs w:val="22"/>
              </w:rPr>
            </w:pPr>
            <w:r w:rsidRPr="00120F6C">
              <w:rPr>
                <w:b/>
                <w:szCs w:val="22"/>
              </w:rPr>
              <w:t>Inoculation</w:t>
            </w:r>
          </w:p>
        </w:tc>
        <w:tc>
          <w:tcPr>
            <w:tcW w:w="5040" w:type="dxa"/>
            <w:tcBorders>
              <w:top w:val="single" w:sz="4" w:space="0" w:color="auto"/>
            </w:tcBorders>
          </w:tcPr>
          <w:p w14:paraId="4C72823A" w14:textId="77777777" w:rsidR="004A6BB9" w:rsidRPr="00120F6C" w:rsidRDefault="004A6BB9" w:rsidP="005F6E11">
            <w:pPr>
              <w:pStyle w:val="TableBody"/>
            </w:pPr>
            <w:r w:rsidRPr="00120F6C">
              <w:t xml:space="preserve">Is the diluent used recommended by the manufacturer? </w:t>
            </w:r>
          </w:p>
        </w:tc>
        <w:tc>
          <w:tcPr>
            <w:tcW w:w="2340" w:type="dxa"/>
            <w:tcBorders>
              <w:top w:val="single" w:sz="4" w:space="0" w:color="auto"/>
            </w:tcBorders>
            <w:vAlign w:val="center"/>
          </w:tcPr>
          <w:p w14:paraId="5FFAC728"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5C7933E7" w14:textId="77777777" w:rsidTr="005F6E11">
        <w:tc>
          <w:tcPr>
            <w:tcW w:w="1800" w:type="dxa"/>
          </w:tcPr>
          <w:p w14:paraId="38309589" w14:textId="77777777" w:rsidR="004A6BB9" w:rsidRPr="00120F6C" w:rsidRDefault="004A6BB9" w:rsidP="005F6E11">
            <w:pPr>
              <w:rPr>
                <w:b/>
                <w:szCs w:val="22"/>
              </w:rPr>
            </w:pPr>
          </w:p>
        </w:tc>
        <w:tc>
          <w:tcPr>
            <w:tcW w:w="5040" w:type="dxa"/>
          </w:tcPr>
          <w:p w14:paraId="3AE5823C" w14:textId="77777777" w:rsidR="004A6BB9" w:rsidRPr="00120F6C" w:rsidRDefault="004A6BB9" w:rsidP="005F6E11">
            <w:pPr>
              <w:rPr>
                <w:szCs w:val="22"/>
              </w:rPr>
            </w:pPr>
            <w:r w:rsidRPr="00120F6C">
              <w:rPr>
                <w:szCs w:val="22"/>
              </w:rPr>
              <w:t>Are appropriate dilution</w:t>
            </w:r>
            <w:r>
              <w:rPr>
                <w:szCs w:val="22"/>
              </w:rPr>
              <w:t>s</w:t>
            </w:r>
            <w:r w:rsidRPr="00120F6C">
              <w:rPr>
                <w:szCs w:val="22"/>
              </w:rPr>
              <w:t xml:space="preserve"> used to ensure a counting range?</w:t>
            </w:r>
          </w:p>
        </w:tc>
        <w:tc>
          <w:tcPr>
            <w:tcW w:w="2340" w:type="dxa"/>
            <w:vAlign w:val="center"/>
          </w:tcPr>
          <w:p w14:paraId="11C20CFE"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29FFC8B6" w14:textId="77777777" w:rsidTr="005F6E11">
        <w:tc>
          <w:tcPr>
            <w:tcW w:w="1800" w:type="dxa"/>
          </w:tcPr>
          <w:p w14:paraId="30C917A2" w14:textId="77777777" w:rsidR="004A6BB9" w:rsidRPr="00120F6C" w:rsidRDefault="004A6BB9" w:rsidP="005F6E11">
            <w:pPr>
              <w:rPr>
                <w:b/>
                <w:szCs w:val="22"/>
              </w:rPr>
            </w:pPr>
          </w:p>
        </w:tc>
        <w:tc>
          <w:tcPr>
            <w:tcW w:w="5040" w:type="dxa"/>
          </w:tcPr>
          <w:p w14:paraId="2D9C7F37" w14:textId="77777777" w:rsidR="004A6BB9" w:rsidRPr="00120F6C" w:rsidRDefault="004A6BB9" w:rsidP="005F6E11">
            <w:pPr>
              <w:rPr>
                <w:szCs w:val="22"/>
              </w:rPr>
            </w:pPr>
            <w:r>
              <w:rPr>
                <w:szCs w:val="22"/>
              </w:rPr>
              <w:t>What is the maximum number of colonies counted on Petrifilm plates (300)?</w:t>
            </w:r>
          </w:p>
        </w:tc>
        <w:tc>
          <w:tcPr>
            <w:tcW w:w="2340" w:type="dxa"/>
            <w:vAlign w:val="center"/>
          </w:tcPr>
          <w:p w14:paraId="67C920E4"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2C5F33DE" w14:textId="77777777" w:rsidTr="005F6E11">
        <w:tc>
          <w:tcPr>
            <w:tcW w:w="1800" w:type="dxa"/>
          </w:tcPr>
          <w:p w14:paraId="54C3A796" w14:textId="77777777" w:rsidR="004A6BB9" w:rsidRPr="00120F6C" w:rsidRDefault="004A6BB9" w:rsidP="005F6E11">
            <w:pPr>
              <w:rPr>
                <w:b/>
                <w:szCs w:val="22"/>
              </w:rPr>
            </w:pPr>
          </w:p>
        </w:tc>
        <w:tc>
          <w:tcPr>
            <w:tcW w:w="5040" w:type="dxa"/>
          </w:tcPr>
          <w:p w14:paraId="71010B8B" w14:textId="77777777" w:rsidR="004A6BB9" w:rsidRDefault="004A6BB9" w:rsidP="005F6E11">
            <w:pPr>
              <w:rPr>
                <w:szCs w:val="22"/>
              </w:rPr>
            </w:pPr>
            <w:r>
              <w:rPr>
                <w:szCs w:val="22"/>
              </w:rPr>
              <w:t>Are colony counts above 300 estimated?</w:t>
            </w:r>
          </w:p>
        </w:tc>
        <w:tc>
          <w:tcPr>
            <w:tcW w:w="2340" w:type="dxa"/>
            <w:vAlign w:val="center"/>
          </w:tcPr>
          <w:p w14:paraId="5024BC78"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4C61383E" w14:textId="77777777" w:rsidTr="005F6E11">
        <w:tc>
          <w:tcPr>
            <w:tcW w:w="1800" w:type="dxa"/>
          </w:tcPr>
          <w:p w14:paraId="5B55912E" w14:textId="77777777" w:rsidR="004A6BB9" w:rsidRPr="00120F6C" w:rsidRDefault="004A6BB9" w:rsidP="005F6E11">
            <w:pPr>
              <w:rPr>
                <w:b/>
                <w:szCs w:val="22"/>
              </w:rPr>
            </w:pPr>
          </w:p>
        </w:tc>
        <w:tc>
          <w:tcPr>
            <w:tcW w:w="5040" w:type="dxa"/>
          </w:tcPr>
          <w:p w14:paraId="7CAF8120" w14:textId="77777777" w:rsidR="004A6BB9" w:rsidRDefault="004A6BB9" w:rsidP="005F6E11">
            <w:pPr>
              <w:rPr>
                <w:szCs w:val="22"/>
              </w:rPr>
            </w:pPr>
            <w:r>
              <w:rPr>
                <w:szCs w:val="22"/>
              </w:rPr>
              <w:t>Is a higher dilution used when count is too numerous to count?</w:t>
            </w:r>
          </w:p>
        </w:tc>
        <w:tc>
          <w:tcPr>
            <w:tcW w:w="2340" w:type="dxa"/>
            <w:vAlign w:val="center"/>
          </w:tcPr>
          <w:p w14:paraId="73F9ACA5"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247E4471" w14:textId="77777777" w:rsidTr="005F6E11">
        <w:tc>
          <w:tcPr>
            <w:tcW w:w="1800" w:type="dxa"/>
          </w:tcPr>
          <w:p w14:paraId="48B77791" w14:textId="77777777" w:rsidR="004A6BB9" w:rsidRPr="00120F6C" w:rsidRDefault="004A6BB9" w:rsidP="005F6E11">
            <w:pPr>
              <w:rPr>
                <w:b/>
                <w:szCs w:val="22"/>
              </w:rPr>
            </w:pPr>
            <w:r w:rsidRPr="00120F6C">
              <w:rPr>
                <w:b/>
                <w:szCs w:val="22"/>
              </w:rPr>
              <w:t>Incubation</w:t>
            </w:r>
          </w:p>
        </w:tc>
        <w:tc>
          <w:tcPr>
            <w:tcW w:w="5040" w:type="dxa"/>
          </w:tcPr>
          <w:p w14:paraId="4172D5BC" w14:textId="77777777" w:rsidR="004A6BB9" w:rsidRPr="00120F6C" w:rsidRDefault="004A6BB9" w:rsidP="005F6E11">
            <w:pPr>
              <w:rPr>
                <w:szCs w:val="22"/>
              </w:rPr>
            </w:pPr>
            <w:r w:rsidRPr="00120F6C">
              <w:rPr>
                <w:szCs w:val="22"/>
              </w:rPr>
              <w:t>How are open packs stored?</w:t>
            </w:r>
          </w:p>
        </w:tc>
        <w:tc>
          <w:tcPr>
            <w:tcW w:w="2340" w:type="dxa"/>
            <w:vAlign w:val="center"/>
          </w:tcPr>
          <w:p w14:paraId="6D7E61E3"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3FF2D908" w14:textId="77777777" w:rsidTr="005F6E11">
        <w:tc>
          <w:tcPr>
            <w:tcW w:w="1800" w:type="dxa"/>
          </w:tcPr>
          <w:p w14:paraId="1B146A03" w14:textId="77777777" w:rsidR="004A6BB9" w:rsidRPr="00120F6C" w:rsidRDefault="004A6BB9" w:rsidP="005F6E11">
            <w:pPr>
              <w:rPr>
                <w:b/>
                <w:szCs w:val="22"/>
              </w:rPr>
            </w:pPr>
          </w:p>
        </w:tc>
        <w:tc>
          <w:tcPr>
            <w:tcW w:w="5040" w:type="dxa"/>
          </w:tcPr>
          <w:p w14:paraId="7933A916" w14:textId="77777777" w:rsidR="004A6BB9" w:rsidRPr="00120F6C" w:rsidRDefault="004A6BB9" w:rsidP="005F6E11">
            <w:pPr>
              <w:rPr>
                <w:szCs w:val="22"/>
              </w:rPr>
            </w:pPr>
            <w:r w:rsidRPr="00120F6C">
              <w:rPr>
                <w:szCs w:val="22"/>
              </w:rPr>
              <w:t>What is the shelf life of opened Petrifilm?</w:t>
            </w:r>
          </w:p>
        </w:tc>
        <w:tc>
          <w:tcPr>
            <w:tcW w:w="2340" w:type="dxa"/>
            <w:vAlign w:val="center"/>
          </w:tcPr>
          <w:p w14:paraId="4DEAB371"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7E5B6701" w14:textId="77777777" w:rsidTr="005F6E11">
        <w:tc>
          <w:tcPr>
            <w:tcW w:w="1800" w:type="dxa"/>
          </w:tcPr>
          <w:p w14:paraId="627CDFB8" w14:textId="77777777" w:rsidR="004A6BB9" w:rsidRPr="00120F6C" w:rsidRDefault="004A6BB9" w:rsidP="005F6E11">
            <w:pPr>
              <w:rPr>
                <w:b/>
                <w:szCs w:val="22"/>
              </w:rPr>
            </w:pPr>
          </w:p>
        </w:tc>
        <w:tc>
          <w:tcPr>
            <w:tcW w:w="5040" w:type="dxa"/>
          </w:tcPr>
          <w:p w14:paraId="6B9F918C" w14:textId="77777777" w:rsidR="004A6BB9" w:rsidRPr="00120F6C" w:rsidRDefault="004A6BB9" w:rsidP="005F6E11">
            <w:pPr>
              <w:rPr>
                <w:szCs w:val="22"/>
              </w:rPr>
            </w:pPr>
            <w:r w:rsidRPr="00120F6C">
              <w:rPr>
                <w:szCs w:val="22"/>
              </w:rPr>
              <w:t>What are the incubation conditions and period?</w:t>
            </w:r>
          </w:p>
        </w:tc>
        <w:tc>
          <w:tcPr>
            <w:tcW w:w="2340" w:type="dxa"/>
            <w:vAlign w:val="center"/>
          </w:tcPr>
          <w:p w14:paraId="639FA3CA"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6D7FE8AB" w14:textId="77777777" w:rsidTr="005F6E11">
        <w:tc>
          <w:tcPr>
            <w:tcW w:w="1800" w:type="dxa"/>
          </w:tcPr>
          <w:p w14:paraId="138B7D6A" w14:textId="77777777" w:rsidR="004A6BB9" w:rsidRPr="00120F6C" w:rsidRDefault="004A6BB9" w:rsidP="005F6E11">
            <w:pPr>
              <w:rPr>
                <w:b/>
                <w:szCs w:val="22"/>
              </w:rPr>
            </w:pPr>
          </w:p>
        </w:tc>
        <w:tc>
          <w:tcPr>
            <w:tcW w:w="5040" w:type="dxa"/>
          </w:tcPr>
          <w:p w14:paraId="6956FC49" w14:textId="5648CE29" w:rsidR="004A6BB9" w:rsidRPr="00120F6C" w:rsidRDefault="004A6BB9" w:rsidP="005F6E11">
            <w:pPr>
              <w:rPr>
                <w:szCs w:val="22"/>
              </w:rPr>
            </w:pPr>
            <w:r w:rsidRPr="00120F6C">
              <w:rPr>
                <w:szCs w:val="22"/>
              </w:rPr>
              <w:t xml:space="preserve">Are </w:t>
            </w:r>
            <w:r>
              <w:rPr>
                <w:szCs w:val="22"/>
              </w:rPr>
              <w:t xml:space="preserve">Neogen </w:t>
            </w:r>
            <w:r w:rsidRPr="00120F6C">
              <w:rPr>
                <w:szCs w:val="22"/>
              </w:rPr>
              <w:t>Petrifilm stored in stacks of &lt;20?</w:t>
            </w:r>
          </w:p>
        </w:tc>
        <w:tc>
          <w:tcPr>
            <w:tcW w:w="2340" w:type="dxa"/>
          </w:tcPr>
          <w:p w14:paraId="49195FE0"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1E7FA94C" w14:textId="77777777" w:rsidTr="005F6E11">
        <w:tc>
          <w:tcPr>
            <w:tcW w:w="1800" w:type="dxa"/>
          </w:tcPr>
          <w:p w14:paraId="5F0DCF39" w14:textId="77777777" w:rsidR="004A6BB9" w:rsidRPr="00120F6C" w:rsidRDefault="004A6BB9" w:rsidP="005F6E11">
            <w:pPr>
              <w:rPr>
                <w:b/>
                <w:szCs w:val="22"/>
              </w:rPr>
            </w:pPr>
            <w:r w:rsidRPr="00120F6C">
              <w:rPr>
                <w:b/>
                <w:szCs w:val="22"/>
              </w:rPr>
              <w:t>Interpretation</w:t>
            </w:r>
          </w:p>
        </w:tc>
        <w:tc>
          <w:tcPr>
            <w:tcW w:w="5040" w:type="dxa"/>
          </w:tcPr>
          <w:p w14:paraId="2FD39526" w14:textId="77777777" w:rsidR="004A6BB9" w:rsidRPr="00120F6C" w:rsidRDefault="004A6BB9" w:rsidP="005F6E11">
            <w:pPr>
              <w:rPr>
                <w:szCs w:val="22"/>
              </w:rPr>
            </w:pPr>
            <w:r w:rsidRPr="00120F6C">
              <w:rPr>
                <w:szCs w:val="22"/>
              </w:rPr>
              <w:t>What colonies are identified and counted?</w:t>
            </w:r>
          </w:p>
        </w:tc>
        <w:tc>
          <w:tcPr>
            <w:tcW w:w="2340" w:type="dxa"/>
            <w:vAlign w:val="center"/>
          </w:tcPr>
          <w:p w14:paraId="630DABAB" w14:textId="77777777" w:rsidR="004A6BB9" w:rsidRPr="00120F6C" w:rsidRDefault="004A6BB9" w:rsidP="005F6E11">
            <w:pPr>
              <w:tabs>
                <w:tab w:val="left" w:pos="1962"/>
              </w:tabs>
              <w:ind w:left="72"/>
              <w:rPr>
                <w:szCs w:val="22"/>
                <w:u w:val="single"/>
              </w:rPr>
            </w:pPr>
            <w:r w:rsidRPr="00120F6C">
              <w:rPr>
                <w:szCs w:val="22"/>
                <w:u w:val="single"/>
              </w:rPr>
              <w:tab/>
            </w:r>
          </w:p>
        </w:tc>
      </w:tr>
      <w:tr w:rsidR="004A6BB9" w:rsidRPr="00120F6C" w14:paraId="2BC28FFA" w14:textId="77777777" w:rsidTr="005F6E11">
        <w:tc>
          <w:tcPr>
            <w:tcW w:w="1800" w:type="dxa"/>
            <w:tcBorders>
              <w:bottom w:val="single" w:sz="4" w:space="0" w:color="auto"/>
            </w:tcBorders>
            <w:vAlign w:val="center"/>
          </w:tcPr>
          <w:p w14:paraId="228E8AD9" w14:textId="77777777" w:rsidR="004A6BB9" w:rsidRPr="00120F6C" w:rsidRDefault="004A6BB9" w:rsidP="005F6E11">
            <w:pPr>
              <w:rPr>
                <w:b/>
                <w:szCs w:val="22"/>
              </w:rPr>
            </w:pPr>
          </w:p>
        </w:tc>
        <w:tc>
          <w:tcPr>
            <w:tcW w:w="5040" w:type="dxa"/>
            <w:tcBorders>
              <w:bottom w:val="single" w:sz="4" w:space="0" w:color="auto"/>
            </w:tcBorders>
          </w:tcPr>
          <w:p w14:paraId="51717030" w14:textId="77777777" w:rsidR="004A6BB9" w:rsidRPr="00120F6C" w:rsidRDefault="004A6BB9" w:rsidP="005F6E11">
            <w:pPr>
              <w:rPr>
                <w:szCs w:val="22"/>
              </w:rPr>
            </w:pPr>
            <w:r w:rsidRPr="00120F6C">
              <w:rPr>
                <w:szCs w:val="22"/>
              </w:rPr>
              <w:t>How are counts outside the countable range reported?</w:t>
            </w:r>
          </w:p>
        </w:tc>
        <w:tc>
          <w:tcPr>
            <w:tcW w:w="2340" w:type="dxa"/>
            <w:tcBorders>
              <w:bottom w:val="single" w:sz="4" w:space="0" w:color="auto"/>
            </w:tcBorders>
          </w:tcPr>
          <w:p w14:paraId="07E9B49D" w14:textId="77777777" w:rsidR="004A6BB9" w:rsidRPr="00120F6C" w:rsidRDefault="004A6BB9" w:rsidP="005F6E11">
            <w:pPr>
              <w:tabs>
                <w:tab w:val="left" w:pos="1962"/>
              </w:tabs>
              <w:ind w:left="74"/>
              <w:rPr>
                <w:szCs w:val="22"/>
                <w:u w:val="single"/>
              </w:rPr>
            </w:pPr>
            <w:r w:rsidRPr="00120F6C">
              <w:rPr>
                <w:szCs w:val="22"/>
                <w:u w:val="single"/>
              </w:rPr>
              <w:tab/>
            </w:r>
          </w:p>
        </w:tc>
      </w:tr>
    </w:tbl>
    <w:p w14:paraId="621A3259" w14:textId="77777777" w:rsidR="004A6BB9" w:rsidRDefault="004A6BB9" w:rsidP="004A6BB9"/>
    <w:p w14:paraId="220A79F1" w14:textId="77777777" w:rsidR="004A6BB9" w:rsidRDefault="004A6BB9" w:rsidP="004A6BB9">
      <w:pPr>
        <w:pStyle w:val="Heading2"/>
      </w:pPr>
      <w:r>
        <w:t>PETRIFILM QC CHECKLIST</w:t>
      </w:r>
    </w:p>
    <w:tbl>
      <w:tblPr>
        <w:tblW w:w="9180" w:type="dxa"/>
        <w:tblInd w:w="108" w:type="dxa"/>
        <w:tblLook w:val="01E0" w:firstRow="1" w:lastRow="1" w:firstColumn="1" w:lastColumn="1" w:noHBand="0" w:noVBand="0"/>
      </w:tblPr>
      <w:tblGrid>
        <w:gridCol w:w="1800"/>
        <w:gridCol w:w="5040"/>
        <w:gridCol w:w="2340"/>
      </w:tblGrid>
      <w:tr w:rsidR="004A6BB9" w14:paraId="0AF45514" w14:textId="77777777" w:rsidTr="005F6E11">
        <w:tc>
          <w:tcPr>
            <w:tcW w:w="1800" w:type="dxa"/>
            <w:tcBorders>
              <w:top w:val="single" w:sz="4" w:space="0" w:color="auto"/>
              <w:left w:val="nil"/>
              <w:bottom w:val="nil"/>
              <w:right w:val="nil"/>
            </w:tcBorders>
          </w:tcPr>
          <w:p w14:paraId="06F4E4D3" w14:textId="77777777" w:rsidR="004A6BB9" w:rsidRDefault="004A6BB9" w:rsidP="005F6E11">
            <w:pPr>
              <w:spacing w:beforeLines="60" w:before="144" w:afterLines="60" w:after="144"/>
              <w:ind w:left="114" w:right="114"/>
              <w:rPr>
                <w:b/>
                <w:szCs w:val="22"/>
              </w:rPr>
            </w:pPr>
          </w:p>
        </w:tc>
        <w:tc>
          <w:tcPr>
            <w:tcW w:w="5040" w:type="dxa"/>
            <w:tcBorders>
              <w:top w:val="single" w:sz="4" w:space="0" w:color="auto"/>
              <w:left w:val="nil"/>
              <w:bottom w:val="nil"/>
              <w:right w:val="nil"/>
            </w:tcBorders>
            <w:hideMark/>
          </w:tcPr>
          <w:p w14:paraId="7BFB370F" w14:textId="77777777" w:rsidR="004A6BB9" w:rsidRDefault="004A6BB9" w:rsidP="005F6E11">
            <w:pPr>
              <w:spacing w:beforeLines="60" w:before="144" w:afterLines="60" w:after="144"/>
              <w:ind w:left="114" w:right="114"/>
              <w:rPr>
                <w:szCs w:val="22"/>
              </w:rPr>
            </w:pPr>
            <w:r>
              <w:rPr>
                <w:szCs w:val="22"/>
              </w:rPr>
              <w:t xml:space="preserve">Is media QC carried out on all new batches of Petrifilm? </w:t>
            </w:r>
          </w:p>
        </w:tc>
        <w:tc>
          <w:tcPr>
            <w:tcW w:w="2340" w:type="dxa"/>
            <w:tcBorders>
              <w:top w:val="single" w:sz="4" w:space="0" w:color="auto"/>
              <w:left w:val="nil"/>
              <w:bottom w:val="nil"/>
              <w:right w:val="nil"/>
            </w:tcBorders>
            <w:vAlign w:val="center"/>
            <w:hideMark/>
          </w:tcPr>
          <w:p w14:paraId="6F7C346E" w14:textId="77777777" w:rsidR="004A6BB9" w:rsidRDefault="004A6BB9" w:rsidP="005F6E11">
            <w:pPr>
              <w:tabs>
                <w:tab w:val="left" w:pos="1962"/>
              </w:tabs>
              <w:spacing w:beforeLines="60" w:before="144" w:afterLines="60" w:after="144"/>
              <w:ind w:left="129" w:right="114"/>
              <w:rPr>
                <w:szCs w:val="22"/>
                <w:u w:val="single"/>
              </w:rPr>
            </w:pPr>
            <w:r>
              <w:rPr>
                <w:szCs w:val="22"/>
                <w:u w:val="single"/>
              </w:rPr>
              <w:tab/>
            </w:r>
          </w:p>
        </w:tc>
      </w:tr>
      <w:tr w:rsidR="004A6BB9" w14:paraId="1D178495" w14:textId="77777777" w:rsidTr="005F6E11">
        <w:tc>
          <w:tcPr>
            <w:tcW w:w="1800" w:type="dxa"/>
          </w:tcPr>
          <w:p w14:paraId="5A709025" w14:textId="77777777" w:rsidR="004A6BB9" w:rsidRDefault="004A6BB9" w:rsidP="005F6E11">
            <w:pPr>
              <w:spacing w:beforeLines="60" w:before="144" w:afterLines="60" w:after="144"/>
              <w:ind w:left="114" w:right="114"/>
              <w:rPr>
                <w:b/>
                <w:szCs w:val="22"/>
              </w:rPr>
            </w:pPr>
          </w:p>
        </w:tc>
        <w:tc>
          <w:tcPr>
            <w:tcW w:w="5040" w:type="dxa"/>
            <w:hideMark/>
          </w:tcPr>
          <w:p w14:paraId="2B56B7E8" w14:textId="77777777" w:rsidR="004A6BB9" w:rsidRDefault="004A6BB9" w:rsidP="005F6E11">
            <w:pPr>
              <w:spacing w:beforeLines="60" w:before="144" w:afterLines="60" w:after="144"/>
              <w:ind w:left="114" w:right="114"/>
              <w:rPr>
                <w:szCs w:val="22"/>
              </w:rPr>
            </w:pPr>
            <w:r>
              <w:rPr>
                <w:szCs w:val="22"/>
              </w:rPr>
              <w:t>Are new batches clearly identified and held in quarantine until QC results are known?</w:t>
            </w:r>
          </w:p>
        </w:tc>
        <w:tc>
          <w:tcPr>
            <w:tcW w:w="2340" w:type="dxa"/>
            <w:vAlign w:val="center"/>
            <w:hideMark/>
          </w:tcPr>
          <w:p w14:paraId="38D9F84D" w14:textId="77777777" w:rsidR="004A6BB9" w:rsidRDefault="004A6BB9" w:rsidP="005F6E11">
            <w:pPr>
              <w:tabs>
                <w:tab w:val="left" w:pos="1962"/>
              </w:tabs>
              <w:spacing w:beforeLines="60" w:before="144" w:afterLines="60" w:after="144"/>
              <w:ind w:left="129" w:right="114"/>
              <w:rPr>
                <w:szCs w:val="22"/>
                <w:u w:val="single"/>
              </w:rPr>
            </w:pPr>
            <w:r>
              <w:rPr>
                <w:szCs w:val="22"/>
                <w:u w:val="single"/>
              </w:rPr>
              <w:tab/>
            </w:r>
          </w:p>
        </w:tc>
      </w:tr>
      <w:tr w:rsidR="004A6BB9" w14:paraId="3CD381AF" w14:textId="77777777" w:rsidTr="005F6E11">
        <w:tc>
          <w:tcPr>
            <w:tcW w:w="1800" w:type="dxa"/>
          </w:tcPr>
          <w:p w14:paraId="2A45FD1B" w14:textId="77777777" w:rsidR="004A6BB9" w:rsidRDefault="004A6BB9" w:rsidP="005F6E11">
            <w:pPr>
              <w:spacing w:beforeLines="60" w:before="144" w:afterLines="60" w:after="144"/>
              <w:ind w:left="114" w:right="114"/>
              <w:rPr>
                <w:b/>
                <w:szCs w:val="22"/>
              </w:rPr>
            </w:pPr>
          </w:p>
        </w:tc>
        <w:tc>
          <w:tcPr>
            <w:tcW w:w="5040" w:type="dxa"/>
            <w:hideMark/>
          </w:tcPr>
          <w:p w14:paraId="5A0BB865" w14:textId="77777777" w:rsidR="004A6BB9" w:rsidRDefault="004A6BB9" w:rsidP="005F6E11">
            <w:pPr>
              <w:spacing w:beforeLines="60" w:before="144" w:afterLines="60" w:after="144"/>
              <w:ind w:left="114" w:right="114"/>
              <w:rPr>
                <w:szCs w:val="22"/>
              </w:rPr>
            </w:pPr>
            <w:r>
              <w:rPr>
                <w:szCs w:val="22"/>
              </w:rPr>
              <w:t>Are morphology checks for positive and negative controls recorded for new batches of Petrifilm?</w:t>
            </w:r>
          </w:p>
        </w:tc>
        <w:tc>
          <w:tcPr>
            <w:tcW w:w="2340" w:type="dxa"/>
            <w:hideMark/>
          </w:tcPr>
          <w:p w14:paraId="0EADCE64" w14:textId="77777777" w:rsidR="004A6BB9" w:rsidRDefault="004A6BB9" w:rsidP="005F6E11">
            <w:pPr>
              <w:tabs>
                <w:tab w:val="left" w:pos="1962"/>
              </w:tabs>
              <w:spacing w:beforeLines="60" w:before="144" w:afterLines="60" w:after="144"/>
              <w:ind w:left="129" w:right="114"/>
              <w:rPr>
                <w:szCs w:val="22"/>
                <w:u w:val="single"/>
              </w:rPr>
            </w:pPr>
            <w:r>
              <w:rPr>
                <w:szCs w:val="22"/>
                <w:u w:val="single"/>
              </w:rPr>
              <w:tab/>
            </w:r>
          </w:p>
        </w:tc>
      </w:tr>
      <w:tr w:rsidR="004A6BB9" w14:paraId="680C28A8" w14:textId="77777777" w:rsidTr="005F6E11">
        <w:tc>
          <w:tcPr>
            <w:tcW w:w="1800" w:type="dxa"/>
          </w:tcPr>
          <w:p w14:paraId="1922E8A0" w14:textId="77777777" w:rsidR="004A6BB9" w:rsidRDefault="004A6BB9" w:rsidP="005F6E11">
            <w:pPr>
              <w:spacing w:beforeLines="60" w:before="144" w:afterLines="60" w:after="144"/>
              <w:ind w:left="114" w:right="114"/>
              <w:rPr>
                <w:b/>
                <w:szCs w:val="22"/>
              </w:rPr>
            </w:pPr>
          </w:p>
        </w:tc>
        <w:tc>
          <w:tcPr>
            <w:tcW w:w="5040" w:type="dxa"/>
            <w:hideMark/>
          </w:tcPr>
          <w:p w14:paraId="6B42F1A1" w14:textId="77777777" w:rsidR="004A6BB9" w:rsidRDefault="004A6BB9" w:rsidP="005F6E11">
            <w:pPr>
              <w:spacing w:beforeLines="60" w:before="144" w:afterLines="60" w:after="144"/>
              <w:ind w:left="114" w:right="114"/>
              <w:rPr>
                <w:szCs w:val="22"/>
              </w:rPr>
            </w:pPr>
            <w:r>
              <w:rPr>
                <w:szCs w:val="22"/>
              </w:rPr>
              <w:t>Is recovery on new batches of Petrifilm compared to that on non-selective agar?</w:t>
            </w:r>
          </w:p>
        </w:tc>
        <w:tc>
          <w:tcPr>
            <w:tcW w:w="2340" w:type="dxa"/>
            <w:vAlign w:val="center"/>
            <w:hideMark/>
          </w:tcPr>
          <w:p w14:paraId="023C8D7A" w14:textId="77777777" w:rsidR="004A6BB9" w:rsidRDefault="004A6BB9" w:rsidP="005F6E11">
            <w:pPr>
              <w:tabs>
                <w:tab w:val="left" w:pos="1962"/>
              </w:tabs>
              <w:spacing w:beforeLines="60" w:before="144" w:afterLines="60" w:after="144"/>
              <w:ind w:left="129" w:right="114"/>
              <w:rPr>
                <w:szCs w:val="22"/>
                <w:u w:val="single"/>
              </w:rPr>
            </w:pPr>
            <w:r>
              <w:rPr>
                <w:szCs w:val="22"/>
                <w:u w:val="single"/>
              </w:rPr>
              <w:tab/>
            </w:r>
          </w:p>
        </w:tc>
      </w:tr>
      <w:tr w:rsidR="004A6BB9" w14:paraId="27B22FE7" w14:textId="77777777" w:rsidTr="005F6E11">
        <w:tc>
          <w:tcPr>
            <w:tcW w:w="1800" w:type="dxa"/>
            <w:tcBorders>
              <w:top w:val="nil"/>
              <w:left w:val="nil"/>
              <w:bottom w:val="single" w:sz="4" w:space="0" w:color="auto"/>
              <w:right w:val="nil"/>
            </w:tcBorders>
          </w:tcPr>
          <w:p w14:paraId="35809CBC" w14:textId="77777777" w:rsidR="004A6BB9" w:rsidRDefault="004A6BB9" w:rsidP="005F6E11">
            <w:pPr>
              <w:spacing w:beforeLines="60" w:before="144" w:afterLines="60" w:after="144"/>
              <w:ind w:left="114" w:right="114"/>
              <w:rPr>
                <w:b/>
                <w:szCs w:val="22"/>
              </w:rPr>
            </w:pPr>
          </w:p>
        </w:tc>
        <w:tc>
          <w:tcPr>
            <w:tcW w:w="5040" w:type="dxa"/>
            <w:tcBorders>
              <w:top w:val="nil"/>
              <w:left w:val="nil"/>
              <w:bottom w:val="single" w:sz="4" w:space="0" w:color="auto"/>
              <w:right w:val="nil"/>
            </w:tcBorders>
            <w:hideMark/>
          </w:tcPr>
          <w:p w14:paraId="2209B1C3" w14:textId="77777777" w:rsidR="004A6BB9" w:rsidRDefault="004A6BB9" w:rsidP="005F6E11">
            <w:pPr>
              <w:spacing w:beforeLines="60" w:before="144" w:afterLines="60" w:after="144"/>
              <w:ind w:left="114" w:right="114"/>
              <w:rPr>
                <w:szCs w:val="22"/>
              </w:rPr>
            </w:pPr>
            <w:r>
              <w:rPr>
                <w:szCs w:val="22"/>
              </w:rPr>
              <w:t xml:space="preserve">Is an appropriate performance standard used to pass new batches of Petrifilm, </w:t>
            </w:r>
            <w:proofErr w:type="gramStart"/>
            <w:r>
              <w:rPr>
                <w:szCs w:val="22"/>
              </w:rPr>
              <w:t>i.e.</w:t>
            </w:r>
            <w:proofErr w:type="gramEnd"/>
            <w:r>
              <w:rPr>
                <w:szCs w:val="22"/>
              </w:rPr>
              <w:t xml:space="preserve"> 70%?</w:t>
            </w:r>
          </w:p>
        </w:tc>
        <w:tc>
          <w:tcPr>
            <w:tcW w:w="2340" w:type="dxa"/>
            <w:tcBorders>
              <w:top w:val="nil"/>
              <w:left w:val="nil"/>
              <w:bottom w:val="single" w:sz="4" w:space="0" w:color="auto"/>
              <w:right w:val="nil"/>
            </w:tcBorders>
            <w:vAlign w:val="center"/>
            <w:hideMark/>
          </w:tcPr>
          <w:p w14:paraId="68F55B08" w14:textId="77777777" w:rsidR="004A6BB9" w:rsidRDefault="004A6BB9" w:rsidP="005F6E11">
            <w:pPr>
              <w:tabs>
                <w:tab w:val="left" w:pos="1962"/>
              </w:tabs>
              <w:spacing w:beforeLines="60" w:before="144" w:afterLines="60" w:after="144"/>
              <w:ind w:left="129" w:right="114"/>
              <w:rPr>
                <w:szCs w:val="22"/>
                <w:u w:val="single"/>
              </w:rPr>
            </w:pPr>
            <w:r>
              <w:rPr>
                <w:szCs w:val="22"/>
                <w:u w:val="single"/>
              </w:rPr>
              <w:tab/>
            </w:r>
          </w:p>
        </w:tc>
      </w:tr>
    </w:tbl>
    <w:p w14:paraId="407D90FD" w14:textId="5E6C3593" w:rsidR="00E00A76" w:rsidRPr="00E00A76" w:rsidRDefault="00E00A76" w:rsidP="004A6BB9">
      <w:pPr>
        <w:pStyle w:val="Heading2"/>
        <w:ind w:left="0"/>
      </w:pPr>
    </w:p>
    <w:sectPr w:rsidR="00E00A76" w:rsidRPr="00E00A76">
      <w:headerReference w:type="default" r:id="rId13"/>
      <w:footerReference w:type="default" r:id="rId14"/>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CAED" w14:textId="77777777" w:rsidR="00E2677A" w:rsidRDefault="00E2677A" w:rsidP="00E0322F">
      <w:pPr>
        <w:spacing w:before="0" w:after="0"/>
      </w:pPr>
      <w:r>
        <w:separator/>
      </w:r>
    </w:p>
  </w:endnote>
  <w:endnote w:type="continuationSeparator" w:id="0">
    <w:p w14:paraId="72922B2B" w14:textId="77777777" w:rsidR="00E2677A" w:rsidRDefault="00E2677A"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B33C" w14:textId="5C80EE76" w:rsidR="00BE6B56" w:rsidRDefault="00BE6B56" w:rsidP="0071140B">
    <w:pPr>
      <w:pStyle w:val="Footer"/>
      <w:tabs>
        <w:tab w:val="clear" w:pos="4513"/>
        <w:tab w:val="center" w:pos="8647"/>
      </w:tabs>
    </w:pPr>
    <w:r w:rsidRPr="009E0DA8">
      <w:t>Issue 20</w:t>
    </w:r>
    <w:r w:rsidR="008C509D" w:rsidRPr="009E0DA8">
      <w:t>2</w:t>
    </w:r>
    <w:r w:rsidR="004A6BB9">
      <w:t>4</w:t>
    </w:r>
    <w:r w:rsidR="009E0DA8" w:rsidRPr="009E0DA8">
      <w:t xml:space="preserve"> </w:t>
    </w:r>
    <w:r w:rsidR="004A6BB9">
      <w:t>01</w:t>
    </w:r>
    <w:r w:rsidR="009E0DA8" w:rsidRPr="009E0DA8">
      <w:t xml:space="preserve"> </w:t>
    </w:r>
    <w:r w:rsidR="004A6BB9">
      <w:t>05</w:t>
    </w:r>
    <w:r w:rsidR="009E0DA8" w:rsidRPr="009E0DA8">
      <w:t xml:space="preserve"> </w:t>
    </w:r>
    <w:r w:rsidRPr="009E0DA8">
      <w:t>|</w:t>
    </w:r>
    <w:r>
      <w:t xml:space="preserve"> </w:t>
    </w:r>
    <w:r w:rsidRPr="001E48B7">
      <w:t>Approve</w:t>
    </w:r>
    <w:r>
      <w:t>d Methods Manual</w:t>
    </w:r>
  </w:p>
  <w:p w14:paraId="5DDCDD96" w14:textId="77777777" w:rsidR="00BE6B56" w:rsidRDefault="00BE6B56" w:rsidP="00670835">
    <w:pPr>
      <w:pStyle w:val="Footer"/>
      <w:tabs>
        <w:tab w:val="clear" w:pos="4513"/>
        <w:tab w:val="clear" w:pos="9026"/>
        <w:tab w:val="center" w:pos="8505"/>
        <w:tab w:val="right" w:pos="8789"/>
      </w:tabs>
      <w:ind w:right="-2"/>
    </w:pPr>
    <w:r>
      <w:t xml:space="preserve">Export Standards Branch | Exports </w:t>
    </w:r>
    <w:r w:rsidR="008C509D">
      <w:t xml:space="preserve">and Veterinary Services </w:t>
    </w:r>
    <w:r>
      <w:t>Division</w:t>
    </w:r>
    <w:r>
      <w:tab/>
      <w:t xml:space="preserve">Page </w:t>
    </w:r>
    <w:r>
      <w:fldChar w:fldCharType="begin"/>
    </w:r>
    <w:r>
      <w:instrText xml:space="preserve"> PAGE </w:instrText>
    </w:r>
    <w:r>
      <w:fldChar w:fldCharType="separate"/>
    </w:r>
    <w:r w:rsidR="002228CD">
      <w:rPr>
        <w:noProof/>
      </w:rPr>
      <w:t>1</w:t>
    </w:r>
    <w:r>
      <w:fldChar w:fldCharType="end"/>
    </w:r>
    <w:r>
      <w:t xml:space="preserve"> of </w:t>
    </w:r>
    <w:fldSimple w:instr=" NUMPAGES  ">
      <w:r w:rsidR="002228CD">
        <w:rPr>
          <w:noProof/>
        </w:rPr>
        <w:t>2</w:t>
      </w:r>
    </w:fldSimple>
  </w:p>
  <w:p w14:paraId="7D2DA6B2" w14:textId="77777777" w:rsidR="00BE6B56" w:rsidRPr="001E48B7" w:rsidRDefault="00BE6B56" w:rsidP="00670835">
    <w:pPr>
      <w:pStyle w:val="Footer"/>
      <w:tabs>
        <w:tab w:val="clear" w:pos="4513"/>
        <w:tab w:val="clear" w:pos="9026"/>
        <w:tab w:val="center" w:pos="8505"/>
        <w:tab w:val="right" w:pos="8789"/>
      </w:tabs>
      <w:ind w:right="-2"/>
    </w:pPr>
    <w:r>
      <w:t>Department of Agriculture</w:t>
    </w:r>
    <w:r w:rsidR="008C509D">
      <w:t xml:space="preserve">, </w:t>
    </w:r>
    <w:r w:rsidR="0035430D">
      <w:t>Fisheries and Forestry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63C5" w14:textId="3264B322" w:rsidR="00BE6B56" w:rsidRDefault="00800DE2" w:rsidP="0071140B">
    <w:pPr>
      <w:pStyle w:val="Footer"/>
      <w:tabs>
        <w:tab w:val="clear" w:pos="4513"/>
        <w:tab w:val="center" w:pos="8505"/>
      </w:tabs>
    </w:pPr>
    <w:r>
      <w:t>Issue 20</w:t>
    </w:r>
    <w:r w:rsidR="008C509D">
      <w:t>2</w:t>
    </w:r>
    <w:r w:rsidR="004A6BB9">
      <w:t>4</w:t>
    </w:r>
    <w:r w:rsidR="00BE6B56">
      <w:t xml:space="preserve"> </w:t>
    </w:r>
    <w:r w:rsidR="004A6BB9">
      <w:t>01</w:t>
    </w:r>
    <w:r w:rsidR="00E00A76">
      <w:t xml:space="preserve"> </w:t>
    </w:r>
    <w:r w:rsidR="004A6BB9">
      <w:t>05</w:t>
    </w:r>
    <w:r w:rsidR="00BE6B56">
      <w:t xml:space="preserve"> | </w:t>
    </w:r>
    <w:r w:rsidR="00BE6B56" w:rsidRPr="001E48B7">
      <w:t>Approve</w:t>
    </w:r>
    <w:r w:rsidR="00BE6B56">
      <w:t>d Methods Manual</w:t>
    </w:r>
  </w:p>
  <w:p w14:paraId="5F982387" w14:textId="77777777" w:rsidR="00BE6B56" w:rsidRDefault="00BE6B56" w:rsidP="00670835">
    <w:pPr>
      <w:pStyle w:val="Footer"/>
      <w:tabs>
        <w:tab w:val="clear" w:pos="4513"/>
        <w:tab w:val="center" w:pos="8789"/>
      </w:tabs>
    </w:pPr>
    <w:r>
      <w:t xml:space="preserve">Export Standards Branch | Exports </w:t>
    </w:r>
    <w:r w:rsidR="008C509D">
      <w:t xml:space="preserve">and Veterinary Services </w:t>
    </w:r>
    <w:r>
      <w:t>Division</w:t>
    </w:r>
    <w:r>
      <w:tab/>
      <w:t xml:space="preserve">Page </w:t>
    </w:r>
    <w:r>
      <w:fldChar w:fldCharType="begin"/>
    </w:r>
    <w:r>
      <w:instrText xml:space="preserve"> PAGE </w:instrText>
    </w:r>
    <w:r>
      <w:fldChar w:fldCharType="separate"/>
    </w:r>
    <w:r w:rsidR="002228CD">
      <w:rPr>
        <w:noProof/>
      </w:rPr>
      <w:t>2</w:t>
    </w:r>
    <w:r>
      <w:fldChar w:fldCharType="end"/>
    </w:r>
    <w:r>
      <w:t xml:space="preserve"> of </w:t>
    </w:r>
    <w:fldSimple w:instr=" NUMPAGES  ">
      <w:r w:rsidR="002228CD">
        <w:rPr>
          <w:noProof/>
        </w:rPr>
        <w:t>2</w:t>
      </w:r>
    </w:fldSimple>
  </w:p>
  <w:p w14:paraId="6A97DD44" w14:textId="77777777" w:rsidR="00BE6B56" w:rsidRPr="001E48B7" w:rsidRDefault="00BE6B56" w:rsidP="001E48B7">
    <w:pPr>
      <w:pStyle w:val="Footer"/>
    </w:pPr>
    <w:r>
      <w:t>Department of Agriculture</w:t>
    </w:r>
    <w:r w:rsidR="008C509D">
      <w:t xml:space="preserve">, </w:t>
    </w:r>
    <w:r w:rsidR="0035430D">
      <w:t>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A680" w14:textId="77777777" w:rsidR="00E2677A" w:rsidRDefault="00E2677A" w:rsidP="00E0322F">
      <w:pPr>
        <w:spacing w:before="0" w:after="0"/>
      </w:pPr>
      <w:r>
        <w:separator/>
      </w:r>
    </w:p>
  </w:footnote>
  <w:footnote w:type="continuationSeparator" w:id="0">
    <w:p w14:paraId="3FF6FD3B" w14:textId="77777777" w:rsidR="00E2677A" w:rsidRDefault="00E2677A" w:rsidP="00E0322F">
      <w:pPr>
        <w:spacing w:before="0" w:after="0"/>
      </w:pPr>
      <w:r>
        <w:continuationSeparator/>
      </w:r>
    </w:p>
  </w:footnote>
  <w:footnote w:id="1">
    <w:p w14:paraId="6963E338" w14:textId="77777777" w:rsidR="004A6BB9" w:rsidRPr="00B70D2D" w:rsidRDefault="004A6BB9" w:rsidP="004A6BB9">
      <w:pPr>
        <w:pStyle w:val="FootnoteText"/>
        <w:spacing w:after="120"/>
        <w:rPr>
          <w:szCs w:val="16"/>
        </w:rPr>
      </w:pPr>
      <w:r>
        <w:rPr>
          <w:rStyle w:val="FootnoteReference"/>
        </w:rPr>
        <w:footnoteRef/>
      </w:r>
      <w:r>
        <w:t xml:space="preserve"> </w:t>
      </w:r>
      <w:r w:rsidRPr="00B70D2D">
        <w:rPr>
          <w:szCs w:val="16"/>
        </w:rPr>
        <w:t>Sometimes refer to as TVC (Total Viable Counts)</w:t>
      </w:r>
    </w:p>
  </w:footnote>
  <w:footnote w:id="2">
    <w:p w14:paraId="3810CAC3" w14:textId="2C9C8711" w:rsidR="004A6BB9" w:rsidRPr="00B70D2D" w:rsidRDefault="004A6BB9" w:rsidP="004A6BB9">
      <w:pPr>
        <w:overflowPunct/>
        <w:spacing w:before="0"/>
        <w:ind w:left="0" w:right="0"/>
        <w:textAlignment w:val="auto"/>
        <w:rPr>
          <w:sz w:val="16"/>
          <w:szCs w:val="16"/>
        </w:rPr>
      </w:pPr>
      <w:r w:rsidRPr="00B70D2D">
        <w:rPr>
          <w:rStyle w:val="FootnoteReference"/>
          <w:sz w:val="16"/>
          <w:szCs w:val="16"/>
        </w:rPr>
        <w:footnoteRef/>
      </w:r>
      <w:r w:rsidRPr="00B70D2D">
        <w:rPr>
          <w:sz w:val="16"/>
          <w:szCs w:val="16"/>
        </w:rPr>
        <w:t xml:space="preserve"> </w:t>
      </w:r>
      <w:r w:rsidRPr="00B70D2D">
        <w:rPr>
          <w:rFonts w:cs="TimesNewRoman"/>
          <w:color w:val="010101"/>
          <w:sz w:val="16"/>
          <w:szCs w:val="16"/>
        </w:rPr>
        <w:t xml:space="preserve">Not all bacteria are able to reduce 2,3,5-triphenyltetrazolium in 48 h. This can be a particular problem in dairy samples. </w:t>
      </w:r>
      <w:r>
        <w:rPr>
          <w:rFonts w:cs="TimesNewRoman"/>
          <w:color w:val="010101"/>
          <w:sz w:val="16"/>
          <w:szCs w:val="16"/>
        </w:rPr>
        <w:t>Neogen</w:t>
      </w:r>
      <w:r w:rsidRPr="00B70D2D">
        <w:rPr>
          <w:rFonts w:cs="TimesNewRoman"/>
          <w:color w:val="010101"/>
          <w:sz w:val="16"/>
          <w:szCs w:val="16"/>
        </w:rPr>
        <w:t xml:space="preserve"> Petrifilm is generally considered to provide a good estimate of the number of bacteria present in meat sample</w:t>
      </w:r>
      <w:r>
        <w:rPr>
          <w:rFonts w:cs="TimesNewRoman"/>
          <w:color w:val="010101"/>
          <w:sz w:val="16"/>
          <w:szCs w:val="16"/>
        </w:rPr>
        <w:t>.</w:t>
      </w:r>
    </w:p>
  </w:footnote>
  <w:footnote w:id="3">
    <w:p w14:paraId="773F787F" w14:textId="77777777" w:rsidR="004A6BB9" w:rsidRPr="00B70D2D" w:rsidRDefault="004A6BB9" w:rsidP="004A6BB9">
      <w:pPr>
        <w:pStyle w:val="FootnoteText"/>
        <w:spacing w:after="120"/>
        <w:rPr>
          <w:szCs w:val="16"/>
        </w:rPr>
      </w:pPr>
      <w:r w:rsidRPr="00B70D2D">
        <w:rPr>
          <w:rStyle w:val="FootnoteReference"/>
          <w:szCs w:val="16"/>
        </w:rPr>
        <w:footnoteRef/>
      </w:r>
      <w:r w:rsidRPr="00B70D2D">
        <w:rPr>
          <w:szCs w:val="16"/>
        </w:rPr>
        <w:t xml:space="preserve"> 0.0425g/L KH</w:t>
      </w:r>
      <w:r w:rsidRPr="00B70D2D">
        <w:rPr>
          <w:szCs w:val="16"/>
          <w:vertAlign w:val="subscript"/>
        </w:rPr>
        <w:t>2</w:t>
      </w:r>
      <w:r w:rsidRPr="00B70D2D">
        <w:rPr>
          <w:szCs w:val="16"/>
        </w:rPr>
        <w:t>PO</w:t>
      </w:r>
      <w:r w:rsidRPr="00B70D2D">
        <w:rPr>
          <w:szCs w:val="16"/>
          <w:vertAlign w:val="subscript"/>
        </w:rPr>
        <w:t>4</w:t>
      </w:r>
      <w:r w:rsidRPr="00B70D2D">
        <w:rPr>
          <w:szCs w:val="16"/>
        </w:rPr>
        <w:t xml:space="preserve"> adjusted to pH 7.2</w:t>
      </w:r>
    </w:p>
  </w:footnote>
  <w:footnote w:id="4">
    <w:p w14:paraId="58FEA249" w14:textId="77777777" w:rsidR="004A6BB9" w:rsidRDefault="004A6BB9" w:rsidP="004A6BB9">
      <w:pPr>
        <w:pStyle w:val="FootnoteText"/>
      </w:pPr>
      <w:r w:rsidRPr="00B70D2D">
        <w:rPr>
          <w:rStyle w:val="FootnoteReference"/>
          <w:szCs w:val="16"/>
        </w:rPr>
        <w:footnoteRef/>
      </w:r>
      <w:r w:rsidRPr="00B70D2D">
        <w:rPr>
          <w:szCs w:val="16"/>
        </w:rPr>
        <w:t xml:space="preserve"> Enzymatic digest of casein (10g);</w:t>
      </w:r>
      <w:r>
        <w:t xml:space="preserve"> NaCl (5g); Na</w:t>
      </w:r>
      <w:r>
        <w:rPr>
          <w:vertAlign w:val="subscript"/>
        </w:rPr>
        <w:t>2</w:t>
      </w:r>
      <w:r>
        <w:t>HPO</w:t>
      </w:r>
      <w:r>
        <w:rPr>
          <w:vertAlign w:val="subscript"/>
        </w:rPr>
        <w:t>4</w:t>
      </w:r>
      <w:r>
        <w:t>.12H</w:t>
      </w:r>
      <w:r>
        <w:rPr>
          <w:vertAlign w:val="subscript"/>
        </w:rPr>
        <w:t>2</w:t>
      </w:r>
      <w:r>
        <w:t>O (9g); KH</w:t>
      </w:r>
      <w:r>
        <w:rPr>
          <w:vertAlign w:val="subscript"/>
        </w:rPr>
        <w:t>2</w:t>
      </w:r>
      <w:r>
        <w:t>PO</w:t>
      </w:r>
      <w:r>
        <w:rPr>
          <w:vertAlign w:val="subscript"/>
        </w:rPr>
        <w:t>4</w:t>
      </w:r>
      <w:r>
        <w:t xml:space="preserve"> (1.5g); water 1,000 ml, as per AS 5013.10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32D7" w14:textId="1F06D362" w:rsidR="00BE6B56" w:rsidRDefault="002B6841" w:rsidP="002B6841">
    <w:pPr>
      <w:pStyle w:val="Header"/>
      <w:spacing w:after="720"/>
      <w:jc w:val="left"/>
    </w:pPr>
    <w:r>
      <w:rPr>
        <w:noProof/>
      </w:rPr>
      <w:drawing>
        <wp:inline distT="0" distB="0" distL="0" distR="0" wp14:anchorId="35DE4B3B" wp14:editId="16B0FDD7">
          <wp:extent cx="3823970" cy="534670"/>
          <wp:effectExtent l="0" t="0" r="0" b="0"/>
          <wp:docPr id="4" name="Picture 1" descr="Department of Agriculture, Fisheries and Forestr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 of Agriculture, Fisheries and Forestry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3970" cy="5346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203A" w14:textId="43F42A88" w:rsidR="00BE6B56" w:rsidRPr="00EA7D73" w:rsidRDefault="009D40BE" w:rsidP="00EA7D73">
    <w:pPr>
      <w:pStyle w:val="Header"/>
      <w:rPr>
        <w:rFonts w:ascii="Garamond" w:hAnsi="Garamond"/>
        <w:sz w:val="20"/>
        <w:szCs w:val="20"/>
      </w:rPr>
    </w:pPr>
    <w:r>
      <w:rPr>
        <w:rFonts w:ascii="Garamond" w:hAnsi="Garamond"/>
        <w:sz w:val="20"/>
        <w:szCs w:val="20"/>
      </w:rPr>
      <w:t>Neogen</w:t>
    </w:r>
    <w:r w:rsidR="004A6BB9" w:rsidRPr="004A6BB9">
      <w:rPr>
        <w:vertAlign w:val="superscript"/>
      </w:rPr>
      <w:t xml:space="preserve">® </w:t>
    </w:r>
    <w:r w:rsidR="004A6BB9">
      <w:rPr>
        <w:rFonts w:ascii="Garamond" w:hAnsi="Garamond"/>
        <w:sz w:val="20"/>
        <w:szCs w:val="20"/>
      </w:rPr>
      <w:t>APC</w:t>
    </w:r>
    <w:r w:rsidR="004A6BB9" w:rsidRPr="004A6BB9">
      <w:rPr>
        <w:rFonts w:ascii="Garamond" w:hAnsi="Garamond"/>
        <w:sz w:val="20"/>
        <w:szCs w:val="20"/>
      </w:rPr>
      <w:t xml:space="preserve"> Petrifilm – AOAC 990.12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604652492">
    <w:abstractNumId w:val="0"/>
  </w:num>
  <w:num w:numId="2" w16cid:durableId="41945576">
    <w:abstractNumId w:val="1"/>
  </w:num>
  <w:num w:numId="3" w16cid:durableId="838544813">
    <w:abstractNumId w:val="3"/>
  </w:num>
  <w:num w:numId="4" w16cid:durableId="205724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NjU2NrEwM7Y0NzRW0lEKTi0uzszPAykwrAUAXSANaywAAAA="/>
    <w:docVar w:name="_AMO_ReportControlsVisible" w:val="Empty"/>
    <w:docVar w:name="_AMO_UniqueIdentifier" w:val="521000c5-b811-4c90-b801-52bbcae476fb"/>
  </w:docVars>
  <w:rsids>
    <w:rsidRoot w:val="0023008E"/>
    <w:rsid w:val="00013257"/>
    <w:rsid w:val="000222C8"/>
    <w:rsid w:val="000236E5"/>
    <w:rsid w:val="00026A40"/>
    <w:rsid w:val="000339BD"/>
    <w:rsid w:val="00037D59"/>
    <w:rsid w:val="0007611A"/>
    <w:rsid w:val="000763DC"/>
    <w:rsid w:val="00083F95"/>
    <w:rsid w:val="000A308F"/>
    <w:rsid w:val="000E1166"/>
    <w:rsid w:val="00104392"/>
    <w:rsid w:val="00112B4C"/>
    <w:rsid w:val="00123F6D"/>
    <w:rsid w:val="001346F9"/>
    <w:rsid w:val="0013634C"/>
    <w:rsid w:val="00163A3C"/>
    <w:rsid w:val="00187BE5"/>
    <w:rsid w:val="001A25B8"/>
    <w:rsid w:val="001B09CB"/>
    <w:rsid w:val="001B1761"/>
    <w:rsid w:val="001D0A32"/>
    <w:rsid w:val="001E48B7"/>
    <w:rsid w:val="00202FC9"/>
    <w:rsid w:val="002079F4"/>
    <w:rsid w:val="00221386"/>
    <w:rsid w:val="002228CD"/>
    <w:rsid w:val="00226AFA"/>
    <w:rsid w:val="0023008E"/>
    <w:rsid w:val="00234F1B"/>
    <w:rsid w:val="00255508"/>
    <w:rsid w:val="00272AAC"/>
    <w:rsid w:val="00281B05"/>
    <w:rsid w:val="00295503"/>
    <w:rsid w:val="002B6841"/>
    <w:rsid w:val="002C7146"/>
    <w:rsid w:val="002D24D9"/>
    <w:rsid w:val="002E1679"/>
    <w:rsid w:val="00342CD4"/>
    <w:rsid w:val="0035430D"/>
    <w:rsid w:val="00360055"/>
    <w:rsid w:val="00367E78"/>
    <w:rsid w:val="00371076"/>
    <w:rsid w:val="00372452"/>
    <w:rsid w:val="003E49B8"/>
    <w:rsid w:val="003E6B13"/>
    <w:rsid w:val="003F20A8"/>
    <w:rsid w:val="0042371A"/>
    <w:rsid w:val="00433514"/>
    <w:rsid w:val="0044653E"/>
    <w:rsid w:val="0045586B"/>
    <w:rsid w:val="00466F95"/>
    <w:rsid w:val="0049340F"/>
    <w:rsid w:val="00494036"/>
    <w:rsid w:val="00497E53"/>
    <w:rsid w:val="004A2E64"/>
    <w:rsid w:val="004A6BB9"/>
    <w:rsid w:val="004C644E"/>
    <w:rsid w:val="004E7111"/>
    <w:rsid w:val="004F03DD"/>
    <w:rsid w:val="005000E9"/>
    <w:rsid w:val="00520F3E"/>
    <w:rsid w:val="005276AA"/>
    <w:rsid w:val="0053613B"/>
    <w:rsid w:val="00552335"/>
    <w:rsid w:val="00595BF4"/>
    <w:rsid w:val="00597206"/>
    <w:rsid w:val="005A1BA4"/>
    <w:rsid w:val="005C1A12"/>
    <w:rsid w:val="005C6271"/>
    <w:rsid w:val="00600380"/>
    <w:rsid w:val="0063002B"/>
    <w:rsid w:val="0063113D"/>
    <w:rsid w:val="0064020D"/>
    <w:rsid w:val="006417CC"/>
    <w:rsid w:val="00657D02"/>
    <w:rsid w:val="00664AF3"/>
    <w:rsid w:val="0066621A"/>
    <w:rsid w:val="00667F57"/>
    <w:rsid w:val="00670835"/>
    <w:rsid w:val="0068117F"/>
    <w:rsid w:val="006A0E1A"/>
    <w:rsid w:val="006D4EA3"/>
    <w:rsid w:val="0071140B"/>
    <w:rsid w:val="00740CA0"/>
    <w:rsid w:val="00793DA8"/>
    <w:rsid w:val="007B2C7D"/>
    <w:rsid w:val="007E4068"/>
    <w:rsid w:val="007E538E"/>
    <w:rsid w:val="007E7C98"/>
    <w:rsid w:val="007F6754"/>
    <w:rsid w:val="007F69EF"/>
    <w:rsid w:val="00800DE2"/>
    <w:rsid w:val="00802E5D"/>
    <w:rsid w:val="00804C33"/>
    <w:rsid w:val="00852040"/>
    <w:rsid w:val="00855E0C"/>
    <w:rsid w:val="00883120"/>
    <w:rsid w:val="008C392A"/>
    <w:rsid w:val="008C509D"/>
    <w:rsid w:val="0090355C"/>
    <w:rsid w:val="00913577"/>
    <w:rsid w:val="0092202E"/>
    <w:rsid w:val="009264DB"/>
    <w:rsid w:val="00932FD0"/>
    <w:rsid w:val="00934C48"/>
    <w:rsid w:val="0094660E"/>
    <w:rsid w:val="00952047"/>
    <w:rsid w:val="009746CB"/>
    <w:rsid w:val="009B0083"/>
    <w:rsid w:val="009C34A1"/>
    <w:rsid w:val="009D40BE"/>
    <w:rsid w:val="009E0DA8"/>
    <w:rsid w:val="009E4708"/>
    <w:rsid w:val="009E60CA"/>
    <w:rsid w:val="009E6DCC"/>
    <w:rsid w:val="009F0551"/>
    <w:rsid w:val="009F2FC4"/>
    <w:rsid w:val="00A00E69"/>
    <w:rsid w:val="00A020BB"/>
    <w:rsid w:val="00A061D0"/>
    <w:rsid w:val="00A26D66"/>
    <w:rsid w:val="00A81F44"/>
    <w:rsid w:val="00A83672"/>
    <w:rsid w:val="00AA6BE4"/>
    <w:rsid w:val="00AC062A"/>
    <w:rsid w:val="00AD351B"/>
    <w:rsid w:val="00AD5F2B"/>
    <w:rsid w:val="00AD7EC2"/>
    <w:rsid w:val="00AF7BBF"/>
    <w:rsid w:val="00B0765D"/>
    <w:rsid w:val="00B15B9C"/>
    <w:rsid w:val="00B32BD2"/>
    <w:rsid w:val="00B32EA5"/>
    <w:rsid w:val="00B629CE"/>
    <w:rsid w:val="00B63D41"/>
    <w:rsid w:val="00B64A88"/>
    <w:rsid w:val="00BA04E6"/>
    <w:rsid w:val="00BD4BA5"/>
    <w:rsid w:val="00BD596C"/>
    <w:rsid w:val="00BE6B56"/>
    <w:rsid w:val="00C117CA"/>
    <w:rsid w:val="00C22CAD"/>
    <w:rsid w:val="00C33522"/>
    <w:rsid w:val="00C42382"/>
    <w:rsid w:val="00C463CA"/>
    <w:rsid w:val="00C47ED6"/>
    <w:rsid w:val="00C5342E"/>
    <w:rsid w:val="00C56A77"/>
    <w:rsid w:val="00C56FE0"/>
    <w:rsid w:val="00C77C0C"/>
    <w:rsid w:val="00CC3456"/>
    <w:rsid w:val="00CF61A4"/>
    <w:rsid w:val="00D00A7F"/>
    <w:rsid w:val="00D04B8A"/>
    <w:rsid w:val="00D12615"/>
    <w:rsid w:val="00D1679C"/>
    <w:rsid w:val="00D21A08"/>
    <w:rsid w:val="00D44B30"/>
    <w:rsid w:val="00D860BE"/>
    <w:rsid w:val="00DB0834"/>
    <w:rsid w:val="00DB0989"/>
    <w:rsid w:val="00DC5B91"/>
    <w:rsid w:val="00DF4CC6"/>
    <w:rsid w:val="00E00A76"/>
    <w:rsid w:val="00E0322F"/>
    <w:rsid w:val="00E06588"/>
    <w:rsid w:val="00E2677A"/>
    <w:rsid w:val="00E32350"/>
    <w:rsid w:val="00E66A1E"/>
    <w:rsid w:val="00E93DB2"/>
    <w:rsid w:val="00EA5006"/>
    <w:rsid w:val="00EA7D73"/>
    <w:rsid w:val="00EC20E1"/>
    <w:rsid w:val="00ED64A6"/>
    <w:rsid w:val="00EF3F21"/>
    <w:rsid w:val="00F01F9E"/>
    <w:rsid w:val="00F06103"/>
    <w:rsid w:val="00F55D31"/>
    <w:rsid w:val="00F66EF1"/>
    <w:rsid w:val="00F75E04"/>
    <w:rsid w:val="00F91501"/>
    <w:rsid w:val="00F93E9E"/>
    <w:rsid w:val="00FA2D1F"/>
    <w:rsid w:val="00FA2F64"/>
    <w:rsid w:val="00FA404F"/>
    <w:rsid w:val="00FA7866"/>
    <w:rsid w:val="00FD5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9F442"/>
  <w15:chartTrackingRefBased/>
  <w15:docId w15:val="{8075CCD2-4A1F-43BA-B53D-099E18DB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B56"/>
    <w:pPr>
      <w:overflowPunct w:val="0"/>
      <w:autoSpaceDE w:val="0"/>
      <w:autoSpaceDN w:val="0"/>
      <w:adjustRightInd w:val="0"/>
      <w:spacing w:before="60" w:after="60" w:line="269" w:lineRule="auto"/>
      <w:ind w:left="57" w:right="57"/>
      <w:textAlignment w:val="baseline"/>
    </w:pPr>
    <w:rPr>
      <w:rFonts w:ascii="Cambria" w:hAnsi="Cambria"/>
      <w:sz w:val="22"/>
    </w:rPr>
  </w:style>
  <w:style w:type="paragraph" w:styleId="Heading1">
    <w:name w:val="heading 1"/>
    <w:basedOn w:val="Normal"/>
    <w:next w:val="Normal"/>
    <w:link w:val="Heading1Char"/>
    <w:qFormat/>
    <w:rsid w:val="00BE6B56"/>
    <w:pPr>
      <w:keepNext/>
      <w:keepLines/>
      <w:spacing w:before="0" w:after="240" w:line="240" w:lineRule="auto"/>
      <w:outlineLvl w:val="0"/>
    </w:pPr>
    <w:rPr>
      <w:rFonts w:ascii="Calibri" w:hAnsi="Calibri"/>
      <w:b/>
      <w:bCs/>
      <w:sz w:val="28"/>
      <w:szCs w:val="28"/>
    </w:rPr>
  </w:style>
  <w:style w:type="paragraph" w:styleId="Heading2">
    <w:name w:val="heading 2"/>
    <w:basedOn w:val="Normal"/>
    <w:next w:val="Normal"/>
    <w:link w:val="Heading2Char"/>
    <w:autoRedefine/>
    <w:unhideWhenUsed/>
    <w:qFormat/>
    <w:rsid w:val="00C47ED6"/>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E6B56"/>
    <w:pPr>
      <w:keepNext/>
      <w:keepLines/>
      <w:numPr>
        <w:numId w:val="1"/>
      </w:numPr>
      <w:spacing w:before="120"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6B56"/>
    <w:rPr>
      <w:rFonts w:ascii="Calibri" w:hAnsi="Calibri"/>
      <w:b/>
      <w:bCs/>
      <w:sz w:val="28"/>
      <w:szCs w:val="28"/>
    </w:rPr>
  </w:style>
  <w:style w:type="character" w:customStyle="1" w:styleId="Heading2Char">
    <w:name w:val="Heading 2 Char"/>
    <w:link w:val="Heading2"/>
    <w:rsid w:val="00C47ED6"/>
    <w:rPr>
      <w:rFonts w:ascii="Calibri" w:hAnsi="Calibri"/>
      <w:b/>
      <w:bCs/>
      <w:spacing w:val="30"/>
      <w:sz w:val="24"/>
      <w:szCs w:val="26"/>
    </w:rPr>
  </w:style>
  <w:style w:type="character" w:customStyle="1" w:styleId="Heading3Char">
    <w:name w:val="Heading 3 Char"/>
    <w:link w:val="Heading3"/>
    <w:rsid w:val="00BE6B56"/>
    <w:rPr>
      <w:rFonts w:ascii="Cambria" w:hAnsi="Cambria"/>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before="0"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BalloonText">
    <w:name w:val="Balloon Text"/>
    <w:basedOn w:val="Normal"/>
    <w:link w:val="BalloonTextChar"/>
    <w:rsid w:val="00913577"/>
    <w:pPr>
      <w:spacing w:before="0" w:after="0" w:line="240" w:lineRule="auto"/>
    </w:pPr>
    <w:rPr>
      <w:rFonts w:ascii="Segoe UI" w:hAnsi="Segoe UI" w:cs="Segoe UI"/>
      <w:sz w:val="18"/>
      <w:szCs w:val="18"/>
    </w:rPr>
  </w:style>
  <w:style w:type="character" w:customStyle="1" w:styleId="BalloonTextChar">
    <w:name w:val="Balloon Text Char"/>
    <w:link w:val="BalloonText"/>
    <w:rsid w:val="00913577"/>
    <w:rPr>
      <w:rFonts w:ascii="Segoe UI" w:hAnsi="Segoe UI" w:cs="Segoe UI"/>
      <w:sz w:val="18"/>
      <w:szCs w:val="18"/>
    </w:rPr>
  </w:style>
  <w:style w:type="character" w:styleId="CommentReference">
    <w:name w:val="annotation reference"/>
    <w:rsid w:val="008C392A"/>
    <w:rPr>
      <w:sz w:val="16"/>
      <w:szCs w:val="16"/>
    </w:rPr>
  </w:style>
  <w:style w:type="paragraph" w:styleId="CommentText">
    <w:name w:val="annotation text"/>
    <w:basedOn w:val="Normal"/>
    <w:link w:val="CommentTextChar"/>
    <w:rsid w:val="008C392A"/>
    <w:rPr>
      <w:sz w:val="20"/>
    </w:rPr>
  </w:style>
  <w:style w:type="character" w:customStyle="1" w:styleId="CommentTextChar">
    <w:name w:val="Comment Text Char"/>
    <w:link w:val="CommentText"/>
    <w:rsid w:val="008C392A"/>
    <w:rPr>
      <w:rFonts w:ascii="Cambria" w:hAnsi="Cambria"/>
      <w:lang w:val="en-AU" w:eastAsia="en-AU"/>
    </w:rPr>
  </w:style>
  <w:style w:type="paragraph" w:styleId="CommentSubject">
    <w:name w:val="annotation subject"/>
    <w:basedOn w:val="CommentText"/>
    <w:next w:val="CommentText"/>
    <w:link w:val="CommentSubjectChar"/>
    <w:rsid w:val="008C392A"/>
    <w:rPr>
      <w:b/>
      <w:bCs/>
    </w:rPr>
  </w:style>
  <w:style w:type="character" w:customStyle="1" w:styleId="CommentSubjectChar">
    <w:name w:val="Comment Subject Char"/>
    <w:link w:val="CommentSubject"/>
    <w:rsid w:val="008C392A"/>
    <w:rPr>
      <w:rFonts w:ascii="Cambria" w:hAnsi="Cambria"/>
      <w:b/>
      <w:bCs/>
      <w:lang w:val="en-AU" w:eastAsia="en-AU"/>
    </w:rPr>
  </w:style>
  <w:style w:type="paragraph" w:styleId="Revision">
    <w:name w:val="Revision"/>
    <w:hidden/>
    <w:uiPriority w:val="99"/>
    <w:semiHidden/>
    <w:rsid w:val="00494036"/>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BB113-A599-4348-BD1A-6DEE2B5C38D0}">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sharepoint/v3"/>
    <ds:schemaRef ds:uri="http://purl.org/dc/dcmitype/"/>
    <ds:schemaRef ds:uri="http://schemas.microsoft.com/office/2006/documentManagement/typ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49356DC2-111F-4559-AE17-CB233970B3BF}">
  <ds:schemaRefs>
    <ds:schemaRef ds:uri="http://schemas.microsoft.com/sharepoint/v3/contenttype/forms"/>
  </ds:schemaRefs>
</ds:datastoreItem>
</file>

<file path=customXml/itemProps3.xml><?xml version="1.0" encoding="utf-8"?>
<ds:datastoreItem xmlns:ds="http://schemas.openxmlformats.org/officeDocument/2006/customXml" ds:itemID="{4BB3639B-67DB-470C-8764-C6B5AEE40B05}">
  <ds:schemaRefs>
    <ds:schemaRef ds:uri="http://schemas.openxmlformats.org/officeDocument/2006/bibliography"/>
  </ds:schemaRefs>
</ds:datastoreItem>
</file>

<file path=customXml/itemProps4.xml><?xml version="1.0" encoding="utf-8"?>
<ds:datastoreItem xmlns:ds="http://schemas.openxmlformats.org/officeDocument/2006/customXml" ds:itemID="{DACCFD7C-2B1C-4865-B73C-1B21A5A2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394</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Neogen RAC Petrifilm - AOAC 2013.13</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Neogen RAC Petrifilm - AOAC 2013.13</dc:title>
  <dc:subject>Approved Method Manual</dc:subject>
  <dc:creator>Department of Agriculture, Fisheries and Forestry</dc:creator>
  <cp:keywords>Microbiological Testing, Meat testing, Petrifilm, AOAC 2013.13</cp:keywords>
  <cp:lastModifiedBy>Chowdhury, Arefin</cp:lastModifiedBy>
  <cp:revision>7</cp:revision>
  <cp:lastPrinted>2024-01-09T23:12:00Z</cp:lastPrinted>
  <dcterms:created xsi:type="dcterms:W3CDTF">2024-01-04T23:18:00Z</dcterms:created>
  <dcterms:modified xsi:type="dcterms:W3CDTF">2024-01-09T23:12:00Z</dcterms:modified>
  <cp:category>Microbiological method</cp:category>
</cp:coreProperties>
</file>